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60B7" w14:textId="6BF46DBD" w:rsidR="006A1646" w:rsidRPr="00093C61" w:rsidRDefault="006A1646" w:rsidP="00722757">
      <w:pPr>
        <w:spacing w:before="60" w:after="60" w:line="240" w:lineRule="auto"/>
        <w:jc w:val="center"/>
        <w:rPr>
          <w:rFonts w:ascii="Times New Roman" w:eastAsia="Calibri" w:hAnsi="Times New Roman" w:cs="Times New Roman"/>
          <w:b/>
          <w:noProof/>
          <w:sz w:val="24"/>
          <w:szCs w:val="20"/>
          <w:u w:val="single"/>
          <w:lang w:eastAsia="bg-BG" w:bidi="bg-BG"/>
        </w:rPr>
      </w:pPr>
    </w:p>
    <w:p w14:paraId="4B89B0F7" w14:textId="5EC4292C" w:rsidR="00722757" w:rsidRPr="00171DED" w:rsidRDefault="00722757" w:rsidP="00722757">
      <w:pPr>
        <w:spacing w:before="60" w:after="60" w:line="240" w:lineRule="auto"/>
        <w:jc w:val="center"/>
        <w:rPr>
          <w:rFonts w:ascii="Times New Roman" w:eastAsia="Calibri" w:hAnsi="Times New Roman" w:cs="Times New Roman"/>
          <w:b/>
          <w:noProof/>
          <w:sz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ПРИЛОЖЕНИЕ V</w:t>
      </w:r>
    </w:p>
    <w:p w14:paraId="7C56CE6E" w14:textId="77777777" w:rsidR="00722757" w:rsidRPr="00171DED" w:rsidRDefault="00722757" w:rsidP="00722757">
      <w:pPr>
        <w:spacing w:before="120" w:after="120" w:line="240" w:lineRule="auto"/>
        <w:jc w:val="center"/>
        <w:rPr>
          <w:rFonts w:ascii="Times New Roman" w:eastAsia="Calibri"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21"/>
      </w:tblGrid>
      <w:tr w:rsidR="00722757" w:rsidRPr="00171DED" w14:paraId="78E01EBA" w14:textId="77777777" w:rsidTr="00EA2BC7">
        <w:trPr>
          <w:trHeight w:val="222"/>
          <w:jc w:val="center"/>
        </w:trPr>
        <w:tc>
          <w:tcPr>
            <w:tcW w:w="3397" w:type="dxa"/>
            <w:shd w:val="clear" w:color="auto" w:fill="auto"/>
          </w:tcPr>
          <w:p w14:paraId="293A3A43"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CCI</w:t>
            </w:r>
          </w:p>
        </w:tc>
        <w:tc>
          <w:tcPr>
            <w:tcW w:w="5021" w:type="dxa"/>
            <w:shd w:val="clear" w:color="auto" w:fill="auto"/>
          </w:tcPr>
          <w:p w14:paraId="39D9F02F"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0575B" w14:paraId="27D25E9B" w14:textId="77777777" w:rsidTr="00EA2BC7">
        <w:trPr>
          <w:trHeight w:val="269"/>
          <w:jc w:val="center"/>
        </w:trPr>
        <w:tc>
          <w:tcPr>
            <w:tcW w:w="3397" w:type="dxa"/>
            <w:shd w:val="clear" w:color="auto" w:fill="auto"/>
          </w:tcPr>
          <w:p w14:paraId="4907B5BD"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Наименование на BG</w:t>
            </w:r>
          </w:p>
        </w:tc>
        <w:tc>
          <w:tcPr>
            <w:tcW w:w="5021" w:type="dxa"/>
            <w:shd w:val="clear" w:color="auto" w:fill="auto"/>
          </w:tcPr>
          <w:p w14:paraId="47D3EA5A" w14:textId="7E9B6D9E"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[255 знака</w:t>
            </w:r>
            <w:r w:rsidRPr="00171DED">
              <w:rPr>
                <w:rFonts w:ascii="Times New Roman" w:eastAsia="Calibri" w:hAnsi="Times New Roman" w:cs="Times New Roman"/>
                <w:noProof/>
                <w:sz w:val="18"/>
                <w:szCs w:val="20"/>
                <w:vertAlign w:val="superscript"/>
                <w:lang w:val="bg-BG" w:eastAsia="bg-BG" w:bidi="bg-BG"/>
              </w:rPr>
              <w:footnoteReference w:id="2"/>
            </w:r>
            <w:r w:rsidRPr="00171DED">
              <w:rPr>
                <w:rFonts w:ascii="Times New Roman" w:eastAsia="Calibri" w:hAnsi="Times New Roman" w:cs="Times New Roman"/>
                <w:noProof/>
                <w:sz w:val="18"/>
                <w:szCs w:val="20"/>
                <w:lang w:val="bg-BG" w:eastAsia="bg-BG" w:bidi="bg-BG"/>
              </w:rPr>
              <w:t>]</w:t>
            </w:r>
            <w:r w:rsidR="00910879" w:rsidRPr="00171DED">
              <w:rPr>
                <w:rFonts w:ascii="Times New Roman" w:eastAsia="Calibri" w:hAnsi="Times New Roman" w:cs="Times New Roman"/>
                <w:noProof/>
                <w:sz w:val="18"/>
                <w:szCs w:val="20"/>
                <w:lang w:val="bg-BG" w:eastAsia="bg-BG" w:bidi="bg-BG"/>
              </w:rPr>
              <w:t xml:space="preserve"> </w:t>
            </w:r>
            <w:r w:rsidR="00F812C0" w:rsidRPr="00171DED">
              <w:rPr>
                <w:rFonts w:ascii="Times New Roman" w:eastAsia="Calibri" w:hAnsi="Times New Roman" w:cs="Times New Roman"/>
                <w:noProof/>
                <w:sz w:val="24"/>
                <w:szCs w:val="20"/>
                <w:lang w:val="bg-BG" w:eastAsia="bg-BG" w:bidi="bg-BG"/>
              </w:rPr>
              <w:t xml:space="preserve">Програма </w:t>
            </w:r>
            <w:r w:rsidR="00910879" w:rsidRPr="00171DED">
              <w:rPr>
                <w:rFonts w:ascii="Times New Roman" w:eastAsia="Calibri" w:hAnsi="Times New Roman" w:cs="Times New Roman"/>
                <w:noProof/>
                <w:sz w:val="24"/>
                <w:szCs w:val="20"/>
                <w:lang w:val="bg-BG" w:eastAsia="bg-BG" w:bidi="bg-BG"/>
              </w:rPr>
              <w:t>„Околна среда“ 2021-2027 г.</w:t>
            </w:r>
          </w:p>
        </w:tc>
      </w:tr>
      <w:tr w:rsidR="00722757" w:rsidRPr="00171DED" w14:paraId="62845EB3" w14:textId="77777777" w:rsidTr="00EA2BC7">
        <w:trPr>
          <w:trHeight w:val="138"/>
          <w:jc w:val="center"/>
        </w:trPr>
        <w:tc>
          <w:tcPr>
            <w:tcW w:w="3397" w:type="dxa"/>
            <w:shd w:val="clear" w:color="auto" w:fill="auto"/>
          </w:tcPr>
          <w:p w14:paraId="4C8426F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Наименование на националния език </w:t>
            </w:r>
          </w:p>
        </w:tc>
        <w:tc>
          <w:tcPr>
            <w:tcW w:w="5021" w:type="dxa"/>
            <w:shd w:val="clear" w:color="auto" w:fill="auto"/>
          </w:tcPr>
          <w:p w14:paraId="04D7B696" w14:textId="67582E40"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[255]</w:t>
            </w:r>
            <w:r w:rsidR="00BA3936" w:rsidRPr="00171DED">
              <w:rPr>
                <w:rFonts w:ascii="Times New Roman" w:eastAsia="Calibri" w:hAnsi="Times New Roman" w:cs="Times New Roman"/>
                <w:noProof/>
                <w:sz w:val="24"/>
                <w:szCs w:val="20"/>
                <w:lang w:val="bg-BG" w:eastAsia="bg-BG" w:bidi="bg-BG"/>
              </w:rPr>
              <w:t xml:space="preserve"> </w:t>
            </w:r>
            <w:r w:rsidR="00F812C0" w:rsidRPr="00171DED">
              <w:rPr>
                <w:rFonts w:ascii="Times New Roman" w:eastAsia="Calibri" w:hAnsi="Times New Roman" w:cs="Times New Roman"/>
                <w:noProof/>
                <w:sz w:val="24"/>
                <w:szCs w:val="20"/>
                <w:lang w:val="bg-BG" w:eastAsia="bg-BG" w:bidi="bg-BG"/>
              </w:rPr>
              <w:t xml:space="preserve">Програма </w:t>
            </w:r>
            <w:r w:rsidR="00BA3936" w:rsidRPr="00171DED">
              <w:rPr>
                <w:rFonts w:ascii="Times New Roman" w:eastAsia="Calibri" w:hAnsi="Times New Roman" w:cs="Times New Roman"/>
                <w:noProof/>
                <w:sz w:val="24"/>
                <w:szCs w:val="20"/>
                <w:lang w:val="bg-BG" w:eastAsia="bg-BG" w:bidi="bg-BG"/>
              </w:rPr>
              <w:t>„Околна среда“ 2021-2027 г.</w:t>
            </w:r>
          </w:p>
        </w:tc>
      </w:tr>
      <w:tr w:rsidR="00722757" w:rsidRPr="00171DED" w14:paraId="140ACA23" w14:textId="77777777" w:rsidTr="00EA2BC7">
        <w:trPr>
          <w:trHeight w:val="138"/>
          <w:jc w:val="center"/>
        </w:trPr>
        <w:tc>
          <w:tcPr>
            <w:tcW w:w="3397" w:type="dxa"/>
            <w:shd w:val="clear" w:color="auto" w:fill="auto"/>
          </w:tcPr>
          <w:p w14:paraId="0B31DA70"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Версия</w:t>
            </w:r>
          </w:p>
        </w:tc>
        <w:tc>
          <w:tcPr>
            <w:tcW w:w="5021" w:type="dxa"/>
            <w:shd w:val="clear" w:color="auto" w:fill="auto"/>
          </w:tcPr>
          <w:p w14:paraId="1295B343" w14:textId="49071176" w:rsidR="00722757" w:rsidRPr="00D83921" w:rsidRDefault="00D83921" w:rsidP="001E3E7F">
            <w:pPr>
              <w:spacing w:before="120" w:after="0" w:line="240" w:lineRule="auto"/>
              <w:jc w:val="both"/>
              <w:rPr>
                <w:rFonts w:ascii="Times New Roman" w:eastAsia="Calibri" w:hAnsi="Times New Roman" w:cs="Times New Roman"/>
                <w:noProof/>
                <w:sz w:val="24"/>
                <w:szCs w:val="18"/>
                <w:lang w:eastAsia="bg-BG" w:bidi="bg-BG"/>
              </w:rPr>
            </w:pPr>
            <w:r>
              <w:rPr>
                <w:rFonts w:ascii="Times New Roman" w:eastAsia="Calibri" w:hAnsi="Times New Roman" w:cs="Times New Roman"/>
                <w:noProof/>
                <w:sz w:val="24"/>
                <w:szCs w:val="18"/>
                <w:lang w:eastAsia="bg-BG" w:bidi="bg-BG"/>
              </w:rPr>
              <w:t>3</w:t>
            </w:r>
          </w:p>
        </w:tc>
      </w:tr>
      <w:tr w:rsidR="00722757" w:rsidRPr="00171DED" w14:paraId="12939A15" w14:textId="77777777" w:rsidTr="00EA2BC7">
        <w:trPr>
          <w:jc w:val="center"/>
        </w:trPr>
        <w:tc>
          <w:tcPr>
            <w:tcW w:w="3397" w:type="dxa"/>
            <w:shd w:val="clear" w:color="auto" w:fill="auto"/>
          </w:tcPr>
          <w:p w14:paraId="7CF96E69"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Първа година</w:t>
            </w:r>
          </w:p>
        </w:tc>
        <w:tc>
          <w:tcPr>
            <w:tcW w:w="5021" w:type="dxa"/>
            <w:shd w:val="clear" w:color="auto" w:fill="auto"/>
          </w:tcPr>
          <w:p w14:paraId="080DC036"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71DED">
              <w:rPr>
                <w:rFonts w:ascii="Times New Roman" w:eastAsia="Calibri" w:hAnsi="Times New Roman" w:cs="Times New Roman"/>
                <w:noProof/>
                <w:sz w:val="24"/>
                <w:szCs w:val="20"/>
                <w:lang w:val="bg-BG" w:eastAsia="bg-BG" w:bidi="bg-BG"/>
              </w:rPr>
              <w:t>2021</w:t>
            </w:r>
          </w:p>
        </w:tc>
      </w:tr>
      <w:tr w:rsidR="00722757" w:rsidRPr="00171DED" w14:paraId="50205B9F" w14:textId="77777777" w:rsidTr="00EA2BC7">
        <w:trPr>
          <w:jc w:val="center"/>
        </w:trPr>
        <w:tc>
          <w:tcPr>
            <w:tcW w:w="3397" w:type="dxa"/>
            <w:shd w:val="clear" w:color="auto" w:fill="auto"/>
          </w:tcPr>
          <w:p w14:paraId="438ACF8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Последна година</w:t>
            </w:r>
          </w:p>
        </w:tc>
        <w:tc>
          <w:tcPr>
            <w:tcW w:w="5021" w:type="dxa"/>
            <w:shd w:val="clear" w:color="auto" w:fill="auto"/>
          </w:tcPr>
          <w:p w14:paraId="3F4834DA"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71DED">
              <w:rPr>
                <w:rFonts w:ascii="Times New Roman" w:eastAsia="Calibri" w:hAnsi="Times New Roman" w:cs="Times New Roman"/>
                <w:noProof/>
                <w:sz w:val="24"/>
                <w:szCs w:val="20"/>
                <w:lang w:val="bg-BG" w:eastAsia="bg-BG" w:bidi="bg-BG"/>
              </w:rPr>
              <w:t>2027</w:t>
            </w:r>
          </w:p>
        </w:tc>
      </w:tr>
      <w:tr w:rsidR="00722757" w:rsidRPr="00171DED" w14:paraId="68ED3C7B" w14:textId="77777777" w:rsidTr="00EA2BC7">
        <w:trPr>
          <w:jc w:val="center"/>
        </w:trPr>
        <w:tc>
          <w:tcPr>
            <w:tcW w:w="3397" w:type="dxa"/>
            <w:shd w:val="clear" w:color="auto" w:fill="auto"/>
          </w:tcPr>
          <w:p w14:paraId="0467C71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Допустими от</w:t>
            </w:r>
          </w:p>
        </w:tc>
        <w:tc>
          <w:tcPr>
            <w:tcW w:w="5021" w:type="dxa"/>
            <w:shd w:val="clear" w:color="auto" w:fill="auto"/>
          </w:tcPr>
          <w:p w14:paraId="26A3EB1A" w14:textId="529406D3" w:rsidR="00BA3936" w:rsidRPr="00171DED" w:rsidRDefault="00BA3936" w:rsidP="001E3E7F">
            <w:pPr>
              <w:spacing w:before="120" w:after="0" w:line="240" w:lineRule="auto"/>
              <w:jc w:val="both"/>
              <w:rPr>
                <w:rFonts w:ascii="Times New Roman" w:eastAsia="Calibri" w:hAnsi="Times New Roman" w:cs="Times New Roman"/>
                <w:noProof/>
                <w:sz w:val="24"/>
                <w:szCs w:val="18"/>
                <w:lang w:val="bg-BG" w:eastAsia="bg-BG" w:bidi="bg-BG"/>
              </w:rPr>
            </w:pPr>
            <w:r w:rsidRPr="00171DED">
              <w:rPr>
                <w:rFonts w:ascii="Times New Roman" w:eastAsia="Calibri" w:hAnsi="Times New Roman" w:cs="Times New Roman"/>
                <w:noProof/>
                <w:sz w:val="24"/>
                <w:szCs w:val="18"/>
                <w:lang w:val="bg-BG" w:eastAsia="bg-BG" w:bidi="bg-BG"/>
              </w:rPr>
              <w:t xml:space="preserve">01.01.2021 г. </w:t>
            </w:r>
          </w:p>
          <w:p w14:paraId="1C4D9F84" w14:textId="797F18F6" w:rsidR="00722757" w:rsidRPr="00171DED" w:rsidRDefault="00BA3936"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18"/>
                <w:lang w:val="bg-BG" w:eastAsia="bg-BG" w:bidi="bg-BG"/>
              </w:rPr>
              <w:t>31.12.2029 г.</w:t>
            </w:r>
          </w:p>
        </w:tc>
      </w:tr>
      <w:tr w:rsidR="00722757" w:rsidRPr="00171DED" w14:paraId="027F3E8E" w14:textId="77777777" w:rsidTr="00EA2BC7">
        <w:trPr>
          <w:jc w:val="center"/>
        </w:trPr>
        <w:tc>
          <w:tcPr>
            <w:tcW w:w="3397" w:type="dxa"/>
            <w:shd w:val="clear" w:color="auto" w:fill="auto"/>
          </w:tcPr>
          <w:p w14:paraId="703616FE"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Допустими до</w:t>
            </w:r>
          </w:p>
        </w:tc>
        <w:tc>
          <w:tcPr>
            <w:tcW w:w="5021" w:type="dxa"/>
            <w:shd w:val="clear" w:color="auto" w:fill="auto"/>
          </w:tcPr>
          <w:p w14:paraId="661D0615"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71DED" w14:paraId="480E642D" w14:textId="77777777" w:rsidTr="00EA2BC7">
        <w:trPr>
          <w:jc w:val="center"/>
        </w:trPr>
        <w:tc>
          <w:tcPr>
            <w:tcW w:w="3397" w:type="dxa"/>
            <w:shd w:val="clear" w:color="auto" w:fill="auto"/>
          </w:tcPr>
          <w:p w14:paraId="668F88C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Номер на решението на Комисията</w:t>
            </w:r>
          </w:p>
        </w:tc>
        <w:tc>
          <w:tcPr>
            <w:tcW w:w="5021" w:type="dxa"/>
            <w:shd w:val="clear" w:color="auto" w:fill="auto"/>
          </w:tcPr>
          <w:p w14:paraId="2B7F272B"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11874A82" w14:textId="77777777" w:rsidTr="00EA2BC7">
        <w:trPr>
          <w:jc w:val="center"/>
        </w:trPr>
        <w:tc>
          <w:tcPr>
            <w:tcW w:w="3397" w:type="dxa"/>
            <w:shd w:val="clear" w:color="auto" w:fill="auto"/>
          </w:tcPr>
          <w:p w14:paraId="6B25FE1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Дата на решението на Комисията</w:t>
            </w:r>
          </w:p>
        </w:tc>
        <w:tc>
          <w:tcPr>
            <w:tcW w:w="5021" w:type="dxa"/>
            <w:shd w:val="clear" w:color="auto" w:fill="auto"/>
          </w:tcPr>
          <w:p w14:paraId="2B91C034"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3C4FA449" w14:textId="77777777" w:rsidTr="00EA2BC7">
        <w:trPr>
          <w:trHeight w:val="163"/>
          <w:jc w:val="center"/>
        </w:trPr>
        <w:tc>
          <w:tcPr>
            <w:tcW w:w="3397" w:type="dxa"/>
            <w:shd w:val="clear" w:color="auto" w:fill="auto"/>
          </w:tcPr>
          <w:p w14:paraId="0E4218DF"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Номер на решението за изменение на държавата членка</w:t>
            </w:r>
          </w:p>
        </w:tc>
        <w:tc>
          <w:tcPr>
            <w:tcW w:w="5021" w:type="dxa"/>
            <w:shd w:val="clear" w:color="auto" w:fill="auto"/>
          </w:tcPr>
          <w:p w14:paraId="18C0ECF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6AC1872" w14:textId="77777777" w:rsidTr="00EA2BC7">
        <w:trPr>
          <w:trHeight w:val="163"/>
          <w:jc w:val="center"/>
        </w:trPr>
        <w:tc>
          <w:tcPr>
            <w:tcW w:w="3397" w:type="dxa"/>
            <w:shd w:val="clear" w:color="auto" w:fill="auto"/>
          </w:tcPr>
          <w:p w14:paraId="565E553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Дата на влизане в сила на решението за изменение на държавата членка</w:t>
            </w:r>
          </w:p>
        </w:tc>
        <w:tc>
          <w:tcPr>
            <w:tcW w:w="5021" w:type="dxa"/>
            <w:shd w:val="clear" w:color="auto" w:fill="auto"/>
          </w:tcPr>
          <w:p w14:paraId="7BF810DE"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0C1A475B" w14:textId="77777777" w:rsidTr="00EA2BC7">
        <w:trPr>
          <w:trHeight w:val="163"/>
          <w:jc w:val="center"/>
        </w:trPr>
        <w:tc>
          <w:tcPr>
            <w:tcW w:w="3397" w:type="dxa"/>
            <w:shd w:val="clear" w:color="auto" w:fill="auto"/>
          </w:tcPr>
          <w:p w14:paraId="4332BABC"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Несъществено прехвърляне (чл. 19.5)</w:t>
            </w:r>
          </w:p>
        </w:tc>
        <w:tc>
          <w:tcPr>
            <w:tcW w:w="5021" w:type="dxa"/>
            <w:shd w:val="clear" w:color="auto" w:fill="auto"/>
          </w:tcPr>
          <w:p w14:paraId="0C3298BD"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r w:rsidRPr="00171DED">
              <w:rPr>
                <w:rFonts w:ascii="Times New Roman" w:eastAsia="Calibri" w:hAnsi="Times New Roman" w:cs="Times New Roman"/>
                <w:noProof/>
                <w:sz w:val="18"/>
                <w:szCs w:val="20"/>
                <w:lang w:val="bg-BG" w:eastAsia="bg-BG" w:bidi="bg-BG"/>
              </w:rPr>
              <w:t>Да/Не</w:t>
            </w:r>
          </w:p>
        </w:tc>
      </w:tr>
      <w:tr w:rsidR="00722757" w:rsidRPr="00171DED" w14:paraId="03BF533A" w14:textId="77777777" w:rsidTr="00EA2BC7">
        <w:trPr>
          <w:trHeight w:val="163"/>
          <w:jc w:val="center"/>
        </w:trPr>
        <w:tc>
          <w:tcPr>
            <w:tcW w:w="3397" w:type="dxa"/>
            <w:shd w:val="clear" w:color="auto" w:fill="auto"/>
          </w:tcPr>
          <w:p w14:paraId="6730267A"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Региони по NUTS, обхванати от програмата</w:t>
            </w:r>
            <w:r w:rsidRPr="00171DED">
              <w:rPr>
                <w:rFonts w:ascii="Times New Roman" w:eastAsia="Calibri" w:hAnsi="Times New Roman" w:cs="Times New Roman"/>
                <w:noProof/>
                <w:sz w:val="24"/>
                <w:szCs w:val="20"/>
                <w:lang w:val="bg-BG" w:eastAsia="bg-BG" w:bidi="bg-BG"/>
              </w:rPr>
              <w:t xml:space="preserve"> (не се прилага за ЕФМДР)</w:t>
            </w:r>
          </w:p>
        </w:tc>
        <w:tc>
          <w:tcPr>
            <w:tcW w:w="5021" w:type="dxa"/>
            <w:shd w:val="clear" w:color="auto" w:fill="auto"/>
          </w:tcPr>
          <w:p w14:paraId="3D410DE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C06DCA9" w14:textId="77777777" w:rsidTr="00EA2BC7">
        <w:trPr>
          <w:trHeight w:val="163"/>
          <w:jc w:val="center"/>
        </w:trPr>
        <w:tc>
          <w:tcPr>
            <w:tcW w:w="3397" w:type="dxa"/>
            <w:vMerge w:val="restart"/>
            <w:shd w:val="clear" w:color="auto" w:fill="auto"/>
          </w:tcPr>
          <w:p w14:paraId="5DE898A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Съответен фонд</w:t>
            </w:r>
          </w:p>
        </w:tc>
        <w:tc>
          <w:tcPr>
            <w:tcW w:w="5021" w:type="dxa"/>
            <w:shd w:val="clear" w:color="auto" w:fill="auto"/>
          </w:tcPr>
          <w:p w14:paraId="3F3554E6" w14:textId="77777777" w:rsidR="00722757" w:rsidRPr="00171DED" w:rsidRDefault="00910879"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20"/>
                <w:lang w:val="bg-BG" w:eastAsia="bg-BG" w:bidi="bg-BG"/>
              </w:rPr>
              <w:sym w:font="Wingdings 2" w:char="F052"/>
            </w:r>
            <w:r w:rsidR="00722757" w:rsidRPr="00171DED">
              <w:rPr>
                <w:rFonts w:ascii="Times New Roman" w:eastAsia="Calibri" w:hAnsi="Times New Roman" w:cs="Times New Roman"/>
                <w:noProof/>
                <w:sz w:val="20"/>
                <w:szCs w:val="20"/>
                <w:lang w:val="bg-BG" w:eastAsia="bg-BG" w:bidi="bg-BG"/>
              </w:rPr>
              <w:t xml:space="preserve"> </w:t>
            </w:r>
            <w:r w:rsidR="00722757" w:rsidRPr="00171DED">
              <w:rPr>
                <w:rFonts w:ascii="Times New Roman" w:eastAsia="Calibri" w:hAnsi="Times New Roman" w:cs="Times New Roman"/>
                <w:noProof/>
                <w:sz w:val="18"/>
                <w:szCs w:val="20"/>
                <w:lang w:val="bg-BG" w:eastAsia="bg-BG" w:bidi="bg-BG"/>
              </w:rPr>
              <w:t>ЕФРР</w:t>
            </w:r>
          </w:p>
        </w:tc>
      </w:tr>
      <w:tr w:rsidR="00722757" w:rsidRPr="00171DED" w14:paraId="7732921C" w14:textId="77777777" w:rsidTr="00EA2BC7">
        <w:trPr>
          <w:trHeight w:val="163"/>
          <w:jc w:val="center"/>
        </w:trPr>
        <w:tc>
          <w:tcPr>
            <w:tcW w:w="3397" w:type="dxa"/>
            <w:vMerge/>
            <w:shd w:val="clear" w:color="auto" w:fill="auto"/>
          </w:tcPr>
          <w:p w14:paraId="2E4C28D2" w14:textId="77777777" w:rsidR="00722757" w:rsidRPr="00171DED" w:rsidRDefault="00722757" w:rsidP="00584F2A">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3AC6C9A5" w14:textId="77777777" w:rsidR="00722757" w:rsidRPr="00171DED" w:rsidRDefault="00910879" w:rsidP="00584F2A">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20"/>
                <w:lang w:val="bg-BG" w:eastAsia="bg-BG" w:bidi="bg-BG"/>
              </w:rPr>
              <w:sym w:font="Wingdings 2" w:char="F052"/>
            </w:r>
            <w:r w:rsidR="00722757" w:rsidRPr="00171DED">
              <w:rPr>
                <w:rFonts w:ascii="Times New Roman" w:eastAsia="Calibri" w:hAnsi="Times New Roman" w:cs="Times New Roman"/>
                <w:noProof/>
                <w:sz w:val="20"/>
                <w:szCs w:val="20"/>
                <w:lang w:val="bg-BG" w:eastAsia="bg-BG" w:bidi="bg-BG"/>
              </w:rPr>
              <w:t xml:space="preserve"> </w:t>
            </w:r>
            <w:r w:rsidR="00722757" w:rsidRPr="00171DED">
              <w:rPr>
                <w:rFonts w:ascii="Times New Roman" w:eastAsia="Calibri" w:hAnsi="Times New Roman" w:cs="Times New Roman"/>
                <w:noProof/>
                <w:sz w:val="18"/>
                <w:szCs w:val="20"/>
                <w:lang w:val="bg-BG" w:eastAsia="bg-BG" w:bidi="bg-BG"/>
              </w:rPr>
              <w:t>Кохезионен фонд</w:t>
            </w:r>
          </w:p>
        </w:tc>
      </w:tr>
      <w:tr w:rsidR="00722757" w:rsidRPr="00171DED" w14:paraId="58D97554" w14:textId="77777777" w:rsidTr="00EA2BC7">
        <w:trPr>
          <w:trHeight w:val="163"/>
          <w:jc w:val="center"/>
        </w:trPr>
        <w:tc>
          <w:tcPr>
            <w:tcW w:w="3397" w:type="dxa"/>
            <w:vMerge/>
            <w:shd w:val="clear" w:color="auto" w:fill="auto"/>
          </w:tcPr>
          <w:p w14:paraId="6A1C2DD6" w14:textId="77777777" w:rsidR="00722757" w:rsidRPr="00171DED" w:rsidRDefault="00722757" w:rsidP="00584F2A">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561759B6" w14:textId="77777777" w:rsidR="00722757" w:rsidRPr="00171DED" w:rsidRDefault="00722757" w:rsidP="00584F2A">
            <w:pPr>
              <w:spacing w:before="120" w:after="0" w:line="240" w:lineRule="auto"/>
              <w:jc w:val="both"/>
              <w:rPr>
                <w:rFonts w:ascii="Times New Roman" w:eastAsia="Calibri" w:hAnsi="Times New Roman" w:cs="Times New Roman"/>
                <w:i/>
                <w:noProof/>
                <w:sz w:val="18"/>
                <w:szCs w:val="18"/>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Pr="00171DED">
              <w:rPr>
                <w:rFonts w:ascii="Times New Roman" w:eastAsia="Calibri" w:hAnsi="Times New Roman" w:cs="Times New Roman"/>
                <w:noProof/>
                <w:sz w:val="18"/>
                <w:szCs w:val="20"/>
                <w:lang w:val="bg-BG" w:eastAsia="bg-BG" w:bidi="bg-BG"/>
              </w:rPr>
              <w:t>ЕСФ+</w:t>
            </w:r>
          </w:p>
        </w:tc>
      </w:tr>
      <w:tr w:rsidR="00722757" w:rsidRPr="00171DED" w14:paraId="68387D66" w14:textId="77777777" w:rsidTr="00EA2BC7">
        <w:trPr>
          <w:trHeight w:val="163"/>
          <w:jc w:val="center"/>
        </w:trPr>
        <w:tc>
          <w:tcPr>
            <w:tcW w:w="3397" w:type="dxa"/>
            <w:vMerge/>
            <w:shd w:val="clear" w:color="auto" w:fill="auto"/>
          </w:tcPr>
          <w:p w14:paraId="29770C08" w14:textId="77777777" w:rsidR="00722757" w:rsidRPr="00171DED" w:rsidRDefault="00722757" w:rsidP="00584F2A">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571553B0" w14:textId="77777777" w:rsidR="00722757" w:rsidRPr="00171DED" w:rsidRDefault="00722757" w:rsidP="00584F2A">
            <w:pPr>
              <w:spacing w:before="120" w:after="0" w:line="240" w:lineRule="auto"/>
              <w:jc w:val="both"/>
              <w:rPr>
                <w:rFonts w:ascii="Times New Roman" w:eastAsia="Calibri" w:hAnsi="Times New Roman" w:cs="Times New Roman"/>
                <w:i/>
                <w:noProof/>
                <w:sz w:val="18"/>
                <w:szCs w:val="18"/>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Pr="00171DED">
              <w:rPr>
                <w:rFonts w:ascii="Times New Roman" w:eastAsia="Calibri" w:hAnsi="Times New Roman" w:cs="Times New Roman"/>
                <w:noProof/>
                <w:sz w:val="18"/>
                <w:szCs w:val="20"/>
                <w:lang w:val="bg-BG" w:eastAsia="bg-BG" w:bidi="bg-BG"/>
              </w:rPr>
              <w:t>ЕФМДР</w:t>
            </w:r>
          </w:p>
        </w:tc>
      </w:tr>
    </w:tbl>
    <w:p w14:paraId="5A2F9290"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hAnsi="Times New Roman"/>
          <w:b/>
          <w:sz w:val="24"/>
          <w:lang w:val="bg-BG"/>
        </w:rPr>
        <w:lastRenderedPageBreak/>
        <w:t>Програмна стратегия:</w:t>
      </w:r>
      <w:r w:rsidRPr="00171DED">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p>
    <w:p w14:paraId="6E16765A"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а), точки i)-vii) и член 17, параграф 3, буква б)</w:t>
      </w:r>
    </w:p>
    <w:tbl>
      <w:tblPr>
        <w:tblStyle w:val="TableGrid"/>
        <w:tblW w:w="0" w:type="auto"/>
        <w:tblLook w:val="04A0" w:firstRow="1" w:lastRow="0" w:firstColumn="1" w:lastColumn="0" w:noHBand="0" w:noVBand="1"/>
      </w:tblPr>
      <w:tblGrid>
        <w:gridCol w:w="9062"/>
      </w:tblGrid>
      <w:tr w:rsidR="00722757" w:rsidRPr="00171DED" w14:paraId="6462728F" w14:textId="77777777" w:rsidTr="00103BED">
        <w:tc>
          <w:tcPr>
            <w:tcW w:w="9062" w:type="dxa"/>
          </w:tcPr>
          <w:p w14:paraId="4F1B4599" w14:textId="77777777" w:rsidR="00BB57C4" w:rsidRPr="00171DED" w:rsidRDefault="00722757" w:rsidP="001E3E7F">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[30</w:t>
            </w:r>
            <w:r w:rsidR="00BB57C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54B5B824" w14:textId="77777777" w:rsidR="00BB57C4" w:rsidRPr="00171DED" w:rsidRDefault="0005400D" w:rsidP="001E3E7F">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ОБЩА ИНФОРМАЦИЯ И ХОРИЗОНТАЛНИ ПРИНЦИПИ</w:t>
            </w:r>
          </w:p>
          <w:p w14:paraId="62531CF5" w14:textId="27741C6E" w:rsidR="00EA2BC7"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Хоризонталният характер на политиките по околна среда и изменение на климата </w:t>
            </w:r>
            <w:r w:rsidR="00460072" w:rsidRPr="00171DED">
              <w:rPr>
                <w:rFonts w:ascii="Times New Roman" w:eastAsia="Times New Roman" w:hAnsi="Times New Roman" w:cs="Times New Roman"/>
                <w:bCs/>
                <w:sz w:val="24"/>
                <w:szCs w:val="24"/>
                <w:lang w:eastAsia="zh-CN"/>
              </w:rPr>
              <w:t xml:space="preserve">предопределя спазването </w:t>
            </w:r>
            <w:r w:rsidRPr="00171DED">
              <w:rPr>
                <w:rFonts w:ascii="Times New Roman" w:eastAsia="Times New Roman" w:hAnsi="Times New Roman" w:cs="Times New Roman"/>
                <w:bCs/>
                <w:sz w:val="24"/>
                <w:szCs w:val="24"/>
                <w:lang w:eastAsia="zh-CN"/>
              </w:rPr>
              <w:t xml:space="preserve">на хоризонталните принципи, определени в чл. 3 от ДЕС и чл. 10 от ДФЕС, вземайки предвид Хартата на основните права на </w:t>
            </w:r>
            <w:r w:rsidR="00444370">
              <w:rPr>
                <w:rFonts w:ascii="Times New Roman" w:eastAsia="Times New Roman" w:hAnsi="Times New Roman" w:cs="Times New Roman"/>
                <w:bCs/>
                <w:sz w:val="24"/>
                <w:szCs w:val="24"/>
                <w:lang w:eastAsia="zh-CN"/>
              </w:rPr>
              <w:t>ЕС</w:t>
            </w:r>
            <w:r w:rsidRPr="00171DED">
              <w:rPr>
                <w:rFonts w:ascii="Times New Roman" w:eastAsia="Times New Roman" w:hAnsi="Times New Roman" w:cs="Times New Roman"/>
                <w:bCs/>
                <w:sz w:val="24"/>
                <w:szCs w:val="24"/>
                <w:lang w:eastAsia="zh-CN"/>
              </w:rPr>
              <w:t>. Аналогично</w:t>
            </w:r>
            <w:r w:rsidR="004E495F" w:rsidRPr="00171DED">
              <w:rPr>
                <w:rFonts w:ascii="Times New Roman" w:eastAsia="Times New Roman" w:hAnsi="Times New Roman" w:cs="Times New Roman"/>
                <w:bCs/>
                <w:sz w:val="24"/>
                <w:szCs w:val="24"/>
                <w:lang w:eastAsia="zh-CN"/>
              </w:rPr>
              <w:t xml:space="preserve"> </w:t>
            </w:r>
            <w:r w:rsidR="00460072" w:rsidRPr="00171DED">
              <w:rPr>
                <w:rFonts w:ascii="Times New Roman" w:eastAsia="Times New Roman" w:hAnsi="Times New Roman" w:cs="Times New Roman"/>
                <w:bCs/>
                <w:sz w:val="24"/>
                <w:szCs w:val="24"/>
                <w:lang w:eastAsia="zh-CN"/>
              </w:rPr>
              <w:t>се гарантира</w:t>
            </w:r>
            <w:r w:rsidRPr="00171DED">
              <w:rPr>
                <w:rFonts w:ascii="Times New Roman" w:eastAsia="Times New Roman" w:hAnsi="Times New Roman" w:cs="Times New Roman"/>
                <w:bCs/>
                <w:sz w:val="24"/>
                <w:szCs w:val="24"/>
                <w:lang w:eastAsia="zh-CN"/>
              </w:rPr>
              <w:t xml:space="preserve"> спазване правата на хората с увреждания и осигуряване на достъпност, премахване на неравнопоставеността и насърчаване равенството половете, както и противопоставяне на дискриминацията по пол, рас</w:t>
            </w:r>
            <w:r w:rsidR="00E5464F" w:rsidRPr="00171DED">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 xml:space="preserve"> или етн</w:t>
            </w:r>
            <w:r w:rsidR="00E5464F" w:rsidRPr="00171DED">
              <w:rPr>
                <w:rFonts w:ascii="Times New Roman" w:eastAsia="Times New Roman" w:hAnsi="Times New Roman" w:cs="Times New Roman"/>
                <w:bCs/>
                <w:sz w:val="24"/>
                <w:szCs w:val="24"/>
                <w:lang w:eastAsia="zh-CN"/>
              </w:rPr>
              <w:t>ос</w:t>
            </w:r>
            <w:r w:rsidRPr="00171DED">
              <w:rPr>
                <w:rFonts w:ascii="Times New Roman" w:eastAsia="Times New Roman" w:hAnsi="Times New Roman" w:cs="Times New Roman"/>
                <w:bCs/>
                <w:sz w:val="24"/>
                <w:szCs w:val="24"/>
                <w:lang w:eastAsia="zh-CN"/>
              </w:rPr>
              <w:t>, религия или вероизповедание, увреждане, възраст или сексуална ориентация. Секторният характер на програма</w:t>
            </w:r>
            <w:r w:rsidR="00F812C0"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сам по себе си </w:t>
            </w:r>
            <w:r w:rsidR="004E495F" w:rsidRPr="00171DED">
              <w:rPr>
                <w:rFonts w:ascii="Times New Roman" w:eastAsia="Times New Roman" w:hAnsi="Times New Roman" w:cs="Times New Roman"/>
                <w:bCs/>
                <w:sz w:val="24"/>
                <w:szCs w:val="24"/>
                <w:lang w:eastAsia="zh-CN"/>
              </w:rPr>
              <w:t>предопределя</w:t>
            </w:r>
            <w:r w:rsidRPr="00171DED">
              <w:rPr>
                <w:rFonts w:ascii="Times New Roman" w:eastAsia="Times New Roman" w:hAnsi="Times New Roman" w:cs="Times New Roman"/>
                <w:bCs/>
                <w:sz w:val="24"/>
                <w:szCs w:val="24"/>
                <w:lang w:eastAsia="zh-CN"/>
              </w:rPr>
              <w:t xml:space="preserve"> подкрепа</w:t>
            </w:r>
            <w:r w:rsidR="004E495F"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на мерки </w:t>
            </w:r>
            <w:r w:rsidR="004E495F" w:rsidRPr="00171DED">
              <w:rPr>
                <w:rFonts w:ascii="Times New Roman" w:eastAsia="Times New Roman" w:hAnsi="Times New Roman" w:cs="Times New Roman"/>
                <w:bCs/>
                <w:sz w:val="24"/>
                <w:szCs w:val="24"/>
                <w:lang w:eastAsia="zh-CN"/>
              </w:rPr>
              <w:t>за</w:t>
            </w:r>
            <w:r w:rsidRPr="00171DED">
              <w:rPr>
                <w:rFonts w:ascii="Times New Roman" w:eastAsia="Times New Roman" w:hAnsi="Times New Roman" w:cs="Times New Roman"/>
                <w:bCs/>
                <w:sz w:val="24"/>
                <w:szCs w:val="24"/>
                <w:lang w:eastAsia="zh-CN"/>
              </w:rPr>
              <w:t xml:space="preserve"> уст</w:t>
            </w:r>
            <w:r w:rsidR="004E495F" w:rsidRPr="00171DED">
              <w:rPr>
                <w:rFonts w:ascii="Times New Roman" w:eastAsia="Times New Roman" w:hAnsi="Times New Roman" w:cs="Times New Roman"/>
                <w:bCs/>
                <w:sz w:val="24"/>
                <w:szCs w:val="24"/>
                <w:lang w:eastAsia="zh-CN"/>
              </w:rPr>
              <w:t>ойчиво</w:t>
            </w:r>
            <w:r w:rsidRPr="00171DED">
              <w:rPr>
                <w:rFonts w:ascii="Times New Roman" w:eastAsia="Times New Roman" w:hAnsi="Times New Roman" w:cs="Times New Roman"/>
                <w:bCs/>
                <w:sz w:val="24"/>
                <w:szCs w:val="24"/>
                <w:lang w:eastAsia="zh-CN"/>
              </w:rPr>
              <w:t xml:space="preserve"> развитие и утвърждаване целта за съхраняване, опазване и подобряване на качеството на околната среда, както е предвидено в чл</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11 и чл</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191, </w:t>
            </w:r>
            <w:proofErr w:type="spellStart"/>
            <w:r w:rsidRPr="00171DED">
              <w:rPr>
                <w:rFonts w:ascii="Times New Roman" w:eastAsia="Times New Roman" w:hAnsi="Times New Roman" w:cs="Times New Roman"/>
                <w:bCs/>
                <w:sz w:val="24"/>
                <w:szCs w:val="24"/>
                <w:lang w:eastAsia="zh-CN"/>
              </w:rPr>
              <w:t>пар</w:t>
            </w:r>
            <w:proofErr w:type="spellEnd"/>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1 от ДФЕС, като се взема предвид принципът „замърсителят плаща“. </w:t>
            </w:r>
            <w:r w:rsidR="00D422C3" w:rsidRPr="00171DED">
              <w:rPr>
                <w:rFonts w:ascii="Times New Roman" w:eastAsia="Times New Roman" w:hAnsi="Times New Roman" w:cs="Times New Roman"/>
                <w:bCs/>
                <w:sz w:val="24"/>
                <w:szCs w:val="24"/>
                <w:lang w:eastAsia="zh-CN"/>
              </w:rPr>
              <w:t xml:space="preserve">ПОС 2021-2027 г. подкрепя инвестиции, насочени към ресурсна ефективност, преход към кръгова икономика </w:t>
            </w:r>
            <w:r w:rsidR="003E4672">
              <w:rPr>
                <w:rFonts w:ascii="Times New Roman" w:eastAsia="Times New Roman" w:hAnsi="Times New Roman" w:cs="Times New Roman"/>
                <w:bCs/>
                <w:sz w:val="24"/>
                <w:szCs w:val="24"/>
                <w:lang w:eastAsia="zh-CN"/>
              </w:rPr>
              <w:t>(</w:t>
            </w:r>
            <w:r w:rsidR="00D422C3" w:rsidRPr="00171DED">
              <w:rPr>
                <w:rFonts w:ascii="Times New Roman" w:eastAsia="Times New Roman" w:hAnsi="Times New Roman" w:cs="Times New Roman"/>
                <w:bCs/>
                <w:sz w:val="24"/>
                <w:szCs w:val="24"/>
                <w:lang w:eastAsia="zh-CN"/>
              </w:rPr>
              <w:t>в областта на управлението на отпадъци</w:t>
            </w:r>
            <w:r w:rsidR="003E4672">
              <w:rPr>
                <w:rFonts w:ascii="Times New Roman" w:eastAsia="Times New Roman" w:hAnsi="Times New Roman" w:cs="Times New Roman"/>
                <w:bCs/>
                <w:sz w:val="24"/>
                <w:szCs w:val="24"/>
                <w:lang w:eastAsia="zh-CN"/>
              </w:rPr>
              <w:t>)</w:t>
            </w:r>
            <w:r w:rsidR="00D422C3" w:rsidRPr="00171DED">
              <w:rPr>
                <w:rFonts w:ascii="Times New Roman" w:eastAsia="Times New Roman" w:hAnsi="Times New Roman" w:cs="Times New Roman"/>
                <w:bCs/>
                <w:sz w:val="24"/>
                <w:szCs w:val="24"/>
                <w:lang w:eastAsia="zh-CN"/>
              </w:rPr>
              <w:t xml:space="preserve">, използване на екологични алтернативи за отопление, съобразявайки принципа за „нeнанасяне на вреди“. </w:t>
            </w:r>
            <w:r w:rsidR="007E5478" w:rsidRPr="00171DED">
              <w:rPr>
                <w:rFonts w:ascii="Times New Roman" w:eastAsia="Times New Roman" w:hAnsi="Times New Roman" w:cs="Times New Roman"/>
                <w:bCs/>
                <w:sz w:val="24"/>
                <w:szCs w:val="24"/>
                <w:lang w:eastAsia="zh-CN"/>
              </w:rPr>
              <w:t xml:space="preserve">Където </w:t>
            </w:r>
            <w:r w:rsidR="00D422C3" w:rsidRPr="00171DED">
              <w:rPr>
                <w:rFonts w:ascii="Times New Roman" w:eastAsia="Times New Roman" w:hAnsi="Times New Roman" w:cs="Times New Roman"/>
                <w:bCs/>
                <w:sz w:val="24"/>
                <w:szCs w:val="24"/>
                <w:lang w:eastAsia="zh-CN"/>
              </w:rPr>
              <w:t>е възможно, ще се насърчава прилагането на зелени обществени поръчки</w:t>
            </w:r>
            <w:r w:rsidR="00413816">
              <w:rPr>
                <w:rFonts w:ascii="Times New Roman" w:eastAsia="Times New Roman" w:hAnsi="Times New Roman" w:cs="Times New Roman"/>
                <w:bCs/>
                <w:sz w:val="24"/>
                <w:szCs w:val="24"/>
                <w:lang w:eastAsia="zh-CN"/>
              </w:rPr>
              <w:t>, както и</w:t>
            </w:r>
            <w:r w:rsidR="00EA2BC7" w:rsidRPr="00171DED">
              <w:rPr>
                <w:rFonts w:ascii="Times New Roman" w:eastAsia="Times New Roman" w:hAnsi="Times New Roman" w:cs="Times New Roman"/>
                <w:bCs/>
                <w:sz w:val="24"/>
                <w:szCs w:val="24"/>
                <w:lang w:eastAsia="zh-CN"/>
              </w:rPr>
              <w:t xml:space="preserve"> </w:t>
            </w:r>
            <w:r w:rsidR="003B47E1">
              <w:rPr>
                <w:rFonts w:ascii="Times New Roman" w:eastAsia="Times New Roman" w:hAnsi="Times New Roman" w:cs="Times New Roman"/>
                <w:bCs/>
                <w:sz w:val="24"/>
                <w:szCs w:val="24"/>
                <w:lang w:eastAsia="zh-CN"/>
              </w:rPr>
              <w:t>ще се търсят възможности за предоставяне на подкрепа на уязвими групи</w:t>
            </w:r>
            <w:r w:rsidR="00EA53FC">
              <w:rPr>
                <w:rFonts w:ascii="Times New Roman" w:eastAsia="Times New Roman" w:hAnsi="Times New Roman" w:cs="Times New Roman"/>
                <w:bCs/>
                <w:sz w:val="24"/>
                <w:szCs w:val="24"/>
                <w:lang w:eastAsia="zh-CN"/>
              </w:rPr>
              <w:t>.</w:t>
            </w:r>
            <w:r w:rsidR="00EA2BC7" w:rsidRPr="00171DED">
              <w:rPr>
                <w:rFonts w:ascii="Times New Roman" w:eastAsia="Times New Roman" w:hAnsi="Times New Roman" w:cs="Times New Roman"/>
                <w:bCs/>
                <w:sz w:val="24"/>
                <w:szCs w:val="24"/>
                <w:lang w:eastAsia="zh-CN"/>
              </w:rPr>
              <w:t xml:space="preserve"> </w:t>
            </w:r>
            <w:r w:rsidR="00EA53FC" w:rsidRPr="00171DED">
              <w:rPr>
                <w:rFonts w:ascii="Times New Roman" w:eastAsia="Times New Roman" w:hAnsi="Times New Roman" w:cs="Times New Roman"/>
                <w:bCs/>
                <w:sz w:val="24"/>
                <w:szCs w:val="24"/>
                <w:lang w:eastAsia="zh-CN"/>
              </w:rPr>
              <w:t>Напр</w:t>
            </w:r>
            <w:r w:rsidR="00EA2BC7" w:rsidRPr="00171DED">
              <w:rPr>
                <w:rFonts w:ascii="Times New Roman" w:eastAsia="Times New Roman" w:hAnsi="Times New Roman" w:cs="Times New Roman"/>
                <w:bCs/>
                <w:sz w:val="24"/>
                <w:szCs w:val="24"/>
                <w:lang w:eastAsia="zh-CN"/>
              </w:rPr>
              <w:t>. при подбора на крайни получатели на помощта при подмяна на топлоуреди на твърдо гориво приоритетно ще се разглеждат енергийно бедни домакинства и</w:t>
            </w:r>
            <w:r w:rsidR="003B47E1">
              <w:rPr>
                <w:rFonts w:ascii="Times New Roman" w:eastAsia="Times New Roman" w:hAnsi="Times New Roman" w:cs="Times New Roman"/>
                <w:bCs/>
                <w:sz w:val="24"/>
                <w:szCs w:val="24"/>
                <w:lang w:eastAsia="zh-CN"/>
              </w:rPr>
              <w:t xml:space="preserve"> други</w:t>
            </w:r>
            <w:r w:rsidR="00EA2BC7" w:rsidRPr="00171DED">
              <w:rPr>
                <w:rFonts w:ascii="Times New Roman" w:eastAsia="Times New Roman" w:hAnsi="Times New Roman" w:cs="Times New Roman"/>
                <w:bCs/>
                <w:sz w:val="24"/>
                <w:szCs w:val="24"/>
                <w:lang w:eastAsia="zh-CN"/>
              </w:rPr>
              <w:t xml:space="preserve"> представители на уязвими групи. Проверката на ЕС за пригодност на Директиви 2004/107/EC и 2008/50/EC констатира, че замърсяването на въздуха води и до социални разходи по отношение на неравенствата и социалната устойчивост. Следователно мерките за намаляване на замърсяването на въздуха могат да </w:t>
            </w:r>
            <w:r w:rsidR="003B3109">
              <w:rPr>
                <w:rFonts w:ascii="Times New Roman" w:eastAsia="Times New Roman" w:hAnsi="Times New Roman" w:cs="Times New Roman"/>
                <w:bCs/>
                <w:sz w:val="24"/>
                <w:szCs w:val="24"/>
                <w:lang w:eastAsia="zh-CN"/>
              </w:rPr>
              <w:t>имат</w:t>
            </w:r>
            <w:r w:rsidR="00EA2BC7" w:rsidRPr="00171DED">
              <w:rPr>
                <w:rFonts w:ascii="Times New Roman" w:eastAsia="Times New Roman" w:hAnsi="Times New Roman" w:cs="Times New Roman"/>
                <w:bCs/>
                <w:sz w:val="24"/>
                <w:szCs w:val="24"/>
                <w:lang w:eastAsia="zh-CN"/>
              </w:rPr>
              <w:t xml:space="preserve"> положително </w:t>
            </w:r>
            <w:r w:rsidR="003B3109">
              <w:rPr>
                <w:rFonts w:ascii="Times New Roman" w:eastAsia="Times New Roman" w:hAnsi="Times New Roman" w:cs="Times New Roman"/>
                <w:bCs/>
                <w:sz w:val="24"/>
                <w:szCs w:val="24"/>
                <w:lang w:eastAsia="zh-CN"/>
              </w:rPr>
              <w:t xml:space="preserve">въздействие </w:t>
            </w:r>
            <w:r w:rsidR="00EA2BC7" w:rsidRPr="00171DED">
              <w:rPr>
                <w:rFonts w:ascii="Times New Roman" w:eastAsia="Times New Roman" w:hAnsi="Times New Roman" w:cs="Times New Roman"/>
                <w:bCs/>
                <w:sz w:val="24"/>
                <w:szCs w:val="24"/>
                <w:lang w:eastAsia="zh-CN"/>
              </w:rPr>
              <w:t>за подобряване на социалната устойчивост.</w:t>
            </w:r>
          </w:p>
          <w:p w14:paraId="140BD409" w14:textId="059BFE3C" w:rsidR="00BB57C4" w:rsidRPr="00171DED" w:rsidRDefault="0005400D"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ОСНОВНИ ПРЕДИЗВИКАТЕЛСТВА</w:t>
            </w:r>
          </w:p>
          <w:p w14:paraId="6A92F815" w14:textId="2C736481" w:rsidR="00BB57C4" w:rsidRPr="00171DED" w:rsidRDefault="0005400D"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 Общи икономически условия, научени уроци</w:t>
            </w:r>
            <w:r w:rsidR="008D11AD">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
                <w:sz w:val="24"/>
                <w:szCs w:val="24"/>
                <w:lang w:eastAsia="zh-CN"/>
              </w:rPr>
              <w:t xml:space="preserve"> инвестиционни нужди въз основа на предизвикателствата, идентифицирани в европейски и национални препоръки</w:t>
            </w:r>
          </w:p>
          <w:p w14:paraId="68219376" w14:textId="4597265A" w:rsidR="00BB57C4" w:rsidRPr="00171DED" w:rsidRDefault="004E495F"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В </w:t>
            </w:r>
            <w:r w:rsidR="00722757" w:rsidRPr="00171DED">
              <w:rPr>
                <w:rFonts w:ascii="Times New Roman" w:eastAsia="Times New Roman" w:hAnsi="Times New Roman" w:cs="Times New Roman"/>
                <w:bCs/>
                <w:sz w:val="24"/>
                <w:szCs w:val="24"/>
                <w:lang w:eastAsia="zh-CN"/>
              </w:rPr>
              <w:t>последните десет години България запазва стабилност по отношение на макроикономическата среда.</w:t>
            </w:r>
            <w:r w:rsidR="00722757" w:rsidRPr="00171DED">
              <w:rPr>
                <w:rFonts w:ascii="Times New Roman" w:eastAsia="Times New Roman" w:hAnsi="Times New Roman" w:cs="Times New Roman"/>
                <w:bCs/>
                <w:i/>
                <w:sz w:val="24"/>
                <w:szCs w:val="24"/>
                <w:lang w:eastAsia="zh-CN"/>
              </w:rPr>
              <w:t xml:space="preserve"> </w:t>
            </w:r>
            <w:r w:rsidR="00722757" w:rsidRPr="00171DED">
              <w:rPr>
                <w:rFonts w:ascii="Times New Roman" w:eastAsia="Times New Roman" w:hAnsi="Times New Roman" w:cs="Times New Roman"/>
                <w:bCs/>
                <w:sz w:val="24"/>
                <w:szCs w:val="24"/>
                <w:lang w:eastAsia="zh-CN"/>
              </w:rPr>
              <w:t xml:space="preserve">Политиката на сближаване има голямо отражение върху </w:t>
            </w:r>
            <w:r w:rsidR="00A005AA" w:rsidRPr="00171DED">
              <w:rPr>
                <w:rFonts w:ascii="Times New Roman" w:eastAsia="Times New Roman" w:hAnsi="Times New Roman" w:cs="Times New Roman"/>
                <w:bCs/>
                <w:sz w:val="24"/>
                <w:szCs w:val="24"/>
                <w:lang w:eastAsia="zh-CN"/>
              </w:rPr>
              <w:t>икономик</w:t>
            </w:r>
            <w:r w:rsidR="00A005AA">
              <w:rPr>
                <w:rFonts w:ascii="Times New Roman" w:eastAsia="Times New Roman" w:hAnsi="Times New Roman" w:cs="Times New Roman"/>
                <w:bCs/>
                <w:sz w:val="24"/>
                <w:szCs w:val="24"/>
                <w:lang w:eastAsia="zh-CN"/>
              </w:rPr>
              <w:t>а</w:t>
            </w:r>
            <w:r w:rsidR="00A005AA" w:rsidRPr="00171DED">
              <w:rPr>
                <w:rFonts w:ascii="Times New Roman" w:eastAsia="Times New Roman" w:hAnsi="Times New Roman" w:cs="Times New Roman"/>
                <w:bCs/>
                <w:sz w:val="24"/>
                <w:szCs w:val="24"/>
                <w:lang w:eastAsia="zh-CN"/>
              </w:rPr>
              <w:t>т</w:t>
            </w:r>
            <w:r w:rsidR="00A005AA">
              <w:rPr>
                <w:rFonts w:ascii="Times New Roman" w:eastAsia="Times New Roman" w:hAnsi="Times New Roman" w:cs="Times New Roman"/>
                <w:bCs/>
                <w:sz w:val="24"/>
                <w:szCs w:val="24"/>
                <w:lang w:eastAsia="zh-CN"/>
              </w:rPr>
              <w:t>а</w:t>
            </w:r>
            <w:r w:rsidR="00A005AA" w:rsidRPr="00171DED">
              <w:rPr>
                <w:rFonts w:ascii="Times New Roman" w:eastAsia="Times New Roman" w:hAnsi="Times New Roman" w:cs="Times New Roman"/>
                <w:bCs/>
                <w:sz w:val="24"/>
                <w:szCs w:val="24"/>
                <w:lang w:eastAsia="zh-CN"/>
              </w:rPr>
              <w:t xml:space="preserve"> </w:t>
            </w:r>
            <w:r w:rsidR="00722757" w:rsidRPr="00171DED">
              <w:rPr>
                <w:rFonts w:ascii="Times New Roman" w:eastAsia="Times New Roman" w:hAnsi="Times New Roman" w:cs="Times New Roman"/>
                <w:bCs/>
                <w:sz w:val="24"/>
                <w:szCs w:val="24"/>
                <w:lang w:eastAsia="zh-CN"/>
              </w:rPr>
              <w:t>на и в частност на България, а ефектът от инвестициите се натрупва в дългосрочен план. Очаква се, че финансираните от ЕС инвестиции ще продължат да стимулират икономическия растеж</w:t>
            </w:r>
            <w:r w:rsidR="00722757" w:rsidRPr="00171DED">
              <w:rPr>
                <w:rFonts w:ascii="Times New Roman" w:eastAsia="Times New Roman" w:hAnsi="Times New Roman" w:cs="Times New Roman"/>
                <w:bCs/>
                <w:sz w:val="24"/>
                <w:szCs w:val="24"/>
                <w:vertAlign w:val="superscript"/>
                <w:lang w:eastAsia="zh-CN"/>
              </w:rPr>
              <w:footnoteReference w:id="3"/>
            </w:r>
            <w:r w:rsidR="00722757" w:rsidRPr="00171DED">
              <w:rPr>
                <w:rFonts w:ascii="Times New Roman" w:eastAsia="Times New Roman" w:hAnsi="Times New Roman" w:cs="Times New Roman"/>
                <w:bCs/>
                <w:sz w:val="24"/>
                <w:szCs w:val="24"/>
                <w:lang w:eastAsia="zh-CN"/>
              </w:rPr>
              <w:t xml:space="preserve">. </w:t>
            </w:r>
            <w:r w:rsidR="00DB71D7" w:rsidRPr="00171DED">
              <w:rPr>
                <w:rFonts w:ascii="Times New Roman" w:eastAsia="Times New Roman" w:hAnsi="Times New Roman" w:cs="Times New Roman"/>
                <w:bCs/>
                <w:sz w:val="24"/>
                <w:szCs w:val="24"/>
                <w:lang w:eastAsia="zh-CN"/>
              </w:rPr>
              <w:t xml:space="preserve">Нарастването на публичните инвестиции </w:t>
            </w:r>
            <w:r w:rsidR="00722757" w:rsidRPr="00171DED">
              <w:rPr>
                <w:rFonts w:ascii="Times New Roman" w:eastAsia="Times New Roman" w:hAnsi="Times New Roman" w:cs="Times New Roman"/>
                <w:bCs/>
                <w:sz w:val="24"/>
                <w:szCs w:val="24"/>
                <w:lang w:eastAsia="zh-CN"/>
              </w:rPr>
              <w:t>показва ясно връзката между европейските програми и напредъка на страната в социално-икономическо отношение.</w:t>
            </w:r>
          </w:p>
          <w:p w14:paraId="0B7AE939" w14:textId="3C01F28A" w:rsidR="00BB57C4"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 xml:space="preserve">След присъединяването към ЕС България увеличава разходите си за опазване на околната среда и постига подобрение в своите екологични показатели, но остават някои значими предизвикателства. </w:t>
            </w:r>
            <w:r w:rsidR="0005400D" w:rsidRPr="00171DED">
              <w:rPr>
                <w:rFonts w:ascii="Times New Roman" w:eastAsia="Times New Roman" w:hAnsi="Times New Roman" w:cs="Times New Roman"/>
                <w:bCs/>
                <w:sz w:val="24"/>
                <w:szCs w:val="24"/>
                <w:lang w:eastAsia="zh-CN"/>
              </w:rPr>
              <w:t>Като резултат от опита, натрупан през предишните програмни периоди, взимайки предвид специфичните препоръки в Доклада за България за 2019 г., за периода 2021-2027 са идентифицирани пет приоритета, които да бъдат финансирани по програма</w:t>
            </w:r>
            <w:r w:rsidR="000421DC">
              <w:rPr>
                <w:rFonts w:ascii="Times New Roman" w:eastAsia="Times New Roman" w:hAnsi="Times New Roman" w:cs="Times New Roman"/>
                <w:bCs/>
                <w:sz w:val="24"/>
                <w:szCs w:val="24"/>
                <w:lang w:eastAsia="zh-CN"/>
              </w:rPr>
              <w:t>та</w:t>
            </w:r>
            <w:r w:rsidR="001D3980" w:rsidRPr="00171DED">
              <w:rPr>
                <w:rFonts w:ascii="Times New Roman" w:eastAsia="Times New Roman" w:hAnsi="Times New Roman" w:cs="Times New Roman"/>
                <w:bCs/>
                <w:sz w:val="24"/>
                <w:szCs w:val="24"/>
                <w:lang w:eastAsia="zh-CN"/>
              </w:rPr>
              <w:t xml:space="preserve">, като същите са насочени към постигане на цел на политиката 2 </w:t>
            </w:r>
            <w:r w:rsidR="000421DC">
              <w:rPr>
                <w:rFonts w:ascii="Times New Roman" w:eastAsia="Times New Roman" w:hAnsi="Times New Roman" w:cs="Times New Roman"/>
                <w:bCs/>
                <w:sz w:val="24"/>
                <w:szCs w:val="24"/>
                <w:lang w:eastAsia="zh-CN"/>
              </w:rPr>
              <w:t>от Общия Регламент за 2021-2027</w:t>
            </w:r>
            <w:r w:rsidR="001D3980" w:rsidRPr="00171DED">
              <w:rPr>
                <w:rFonts w:ascii="Times New Roman" w:eastAsia="Times New Roman" w:hAnsi="Times New Roman" w:cs="Times New Roman"/>
                <w:bCs/>
                <w:sz w:val="24"/>
                <w:szCs w:val="24"/>
                <w:lang w:eastAsia="zh-CN"/>
              </w:rPr>
              <w:t>. Предвидените инвестиции ще допринесат за постигането на цели</w:t>
            </w:r>
            <w:r w:rsidR="00A005AA">
              <w:rPr>
                <w:rFonts w:ascii="Times New Roman" w:eastAsia="Times New Roman" w:hAnsi="Times New Roman" w:cs="Times New Roman"/>
                <w:bCs/>
                <w:sz w:val="24"/>
                <w:szCs w:val="24"/>
                <w:lang w:eastAsia="zh-CN"/>
              </w:rPr>
              <w:t>те</w:t>
            </w:r>
            <w:r w:rsidR="001D3980" w:rsidRPr="00171DED">
              <w:rPr>
                <w:rFonts w:ascii="Times New Roman" w:eastAsia="Times New Roman" w:hAnsi="Times New Roman" w:cs="Times New Roman"/>
                <w:bCs/>
                <w:sz w:val="24"/>
                <w:szCs w:val="24"/>
                <w:lang w:eastAsia="zh-CN"/>
              </w:rPr>
              <w:t>, определени в Национална</w:t>
            </w:r>
            <w:r w:rsidR="000421DC">
              <w:rPr>
                <w:rFonts w:ascii="Times New Roman" w:eastAsia="Times New Roman" w:hAnsi="Times New Roman" w:cs="Times New Roman"/>
                <w:bCs/>
                <w:sz w:val="24"/>
                <w:szCs w:val="24"/>
                <w:lang w:eastAsia="zh-CN"/>
              </w:rPr>
              <w:t>та</w:t>
            </w:r>
            <w:r w:rsidR="001D3980" w:rsidRPr="00171DED">
              <w:rPr>
                <w:rFonts w:ascii="Times New Roman" w:eastAsia="Times New Roman" w:hAnsi="Times New Roman" w:cs="Times New Roman"/>
                <w:bCs/>
                <w:sz w:val="24"/>
                <w:szCs w:val="24"/>
                <w:lang w:eastAsia="zh-CN"/>
              </w:rPr>
              <w:t xml:space="preserve"> програма за развитие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„Местно развитие“ в ос на развитие 3 „Свързана и интегрирана България“.</w:t>
            </w:r>
          </w:p>
          <w:p w14:paraId="7098338B" w14:textId="77777777" w:rsidR="00BB57C4" w:rsidRPr="00171DED" w:rsidRDefault="001D3980"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 Води</w:t>
            </w:r>
          </w:p>
          <w:p w14:paraId="64BB910D" w14:textId="77777777" w:rsidR="00BB57C4" w:rsidRPr="00171DED" w:rsidRDefault="0089141F"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30D3E26" w14:textId="7F7966A5" w:rsidR="00BB57C4"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Системите за центр</w:t>
            </w:r>
            <w:r w:rsidR="000B0323" w:rsidRPr="00171DED">
              <w:rPr>
                <w:rFonts w:ascii="Times New Roman" w:eastAsia="Times New Roman" w:hAnsi="Times New Roman" w:cs="Times New Roman"/>
                <w:bCs/>
                <w:sz w:val="24"/>
                <w:szCs w:val="24"/>
                <w:lang w:eastAsia="zh-CN"/>
              </w:rPr>
              <w:t>ално водоснабдяване покриват 99,</w:t>
            </w:r>
            <w:r w:rsidRPr="00171DED">
              <w:rPr>
                <w:rFonts w:ascii="Times New Roman" w:eastAsia="Times New Roman" w:hAnsi="Times New Roman" w:cs="Times New Roman"/>
                <w:bCs/>
                <w:sz w:val="24"/>
                <w:szCs w:val="24"/>
                <w:lang w:eastAsia="zh-CN"/>
              </w:rPr>
              <w:t xml:space="preserve">4% от населението при </w:t>
            </w:r>
            <w:r w:rsidR="00355CC3" w:rsidRPr="00171DED">
              <w:rPr>
                <w:rFonts w:ascii="Times New Roman" w:eastAsia="Times New Roman" w:hAnsi="Times New Roman" w:cs="Times New Roman"/>
                <w:bCs/>
                <w:sz w:val="24"/>
                <w:szCs w:val="24"/>
                <w:lang w:eastAsia="zh-CN"/>
              </w:rPr>
              <w:t xml:space="preserve">сравнително добро </w:t>
            </w:r>
            <w:r w:rsidRPr="00171DED">
              <w:rPr>
                <w:rFonts w:ascii="Times New Roman" w:eastAsia="Times New Roman" w:hAnsi="Times New Roman" w:cs="Times New Roman"/>
                <w:bCs/>
                <w:sz w:val="24"/>
                <w:szCs w:val="24"/>
                <w:lang w:eastAsia="zh-CN"/>
              </w:rPr>
              <w:t xml:space="preserve">качество на питейната </w:t>
            </w:r>
            <w:r w:rsidRPr="00171DED">
              <w:rPr>
                <w:rFonts w:ascii="Times New Roman" w:eastAsia="Times New Roman" w:hAnsi="Times New Roman" w:cs="Times New Roman"/>
                <w:b/>
                <w:sz w:val="24"/>
                <w:szCs w:val="24"/>
                <w:lang w:eastAsia="zh-CN"/>
              </w:rPr>
              <w:t>вода</w:t>
            </w:r>
            <w:r w:rsidR="00355CC3" w:rsidRPr="00171DED">
              <w:rPr>
                <w:rFonts w:ascii="Times New Roman" w:eastAsia="Times New Roman" w:hAnsi="Times New Roman" w:cs="Times New Roman"/>
                <w:bCs/>
                <w:sz w:val="24"/>
                <w:szCs w:val="24"/>
                <w:lang w:eastAsia="zh-CN"/>
              </w:rPr>
              <w:t xml:space="preserve">. </w:t>
            </w:r>
            <w:r w:rsidR="00B36317" w:rsidRPr="00171DED">
              <w:rPr>
                <w:rFonts w:ascii="Times New Roman" w:eastAsia="Times New Roman" w:hAnsi="Times New Roman" w:cs="Times New Roman"/>
                <w:bCs/>
                <w:sz w:val="24"/>
                <w:szCs w:val="24"/>
                <w:lang w:eastAsia="zh-CN"/>
              </w:rPr>
              <w:t xml:space="preserve">Въпреки това случаите </w:t>
            </w:r>
            <w:r w:rsidR="00355CC3" w:rsidRPr="00171DED">
              <w:rPr>
                <w:rFonts w:ascii="Times New Roman" w:eastAsia="Times New Roman" w:hAnsi="Times New Roman" w:cs="Times New Roman"/>
                <w:bCs/>
                <w:sz w:val="24"/>
                <w:szCs w:val="24"/>
                <w:lang w:eastAsia="zh-CN"/>
              </w:rPr>
              <w:t>на водни режими</w:t>
            </w:r>
            <w:r w:rsidR="00B36317" w:rsidRPr="00171DED">
              <w:rPr>
                <w:rFonts w:ascii="Times New Roman" w:eastAsia="Times New Roman" w:hAnsi="Times New Roman" w:cs="Times New Roman"/>
                <w:bCs/>
                <w:sz w:val="24"/>
                <w:szCs w:val="24"/>
                <w:lang w:eastAsia="zh-CN"/>
              </w:rPr>
              <w:t xml:space="preserve"> зачестяват. Това се дължи както на изменението</w:t>
            </w:r>
            <w:r w:rsidR="00355CC3" w:rsidRPr="00171DED">
              <w:rPr>
                <w:rFonts w:ascii="Times New Roman" w:eastAsia="Times New Roman" w:hAnsi="Times New Roman" w:cs="Times New Roman"/>
                <w:bCs/>
                <w:sz w:val="24"/>
                <w:szCs w:val="24"/>
                <w:lang w:eastAsia="zh-CN"/>
              </w:rPr>
              <w:t xml:space="preserve"> на климата, така и</w:t>
            </w:r>
            <w:r w:rsidRPr="00171DED">
              <w:rPr>
                <w:rFonts w:ascii="Times New Roman" w:eastAsia="Times New Roman" w:hAnsi="Times New Roman" w:cs="Times New Roman"/>
                <w:bCs/>
                <w:sz w:val="24"/>
                <w:szCs w:val="24"/>
                <w:lang w:eastAsia="zh-CN"/>
              </w:rPr>
              <w:t xml:space="preserve"> н</w:t>
            </w:r>
            <w:r w:rsidR="00355CC3" w:rsidRPr="00171DED">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 xml:space="preserve"> загуби на вода от водопроводната мрежа предвид силната й </w:t>
            </w:r>
            <w:proofErr w:type="spellStart"/>
            <w:r w:rsidRPr="00171DED">
              <w:rPr>
                <w:rFonts w:ascii="Times New Roman" w:eastAsia="Times New Roman" w:hAnsi="Times New Roman" w:cs="Times New Roman"/>
                <w:bCs/>
                <w:sz w:val="24"/>
                <w:szCs w:val="24"/>
                <w:lang w:eastAsia="zh-CN"/>
              </w:rPr>
              <w:t>амортизираност</w:t>
            </w:r>
            <w:proofErr w:type="spellEnd"/>
            <w:r w:rsidR="002A34F4" w:rsidRPr="00171DED">
              <w:rPr>
                <w:rFonts w:ascii="Times New Roman" w:eastAsia="Times New Roman" w:hAnsi="Times New Roman" w:cs="Times New Roman"/>
                <w:bCs/>
                <w:sz w:val="24"/>
                <w:szCs w:val="24"/>
                <w:lang w:eastAsia="zh-CN"/>
              </w:rPr>
              <w:t xml:space="preserve"> –</w:t>
            </w:r>
            <w:r w:rsidR="005339CA" w:rsidRPr="00171DED">
              <w:rPr>
                <w:rFonts w:ascii="Times New Roman" w:eastAsia="Times New Roman" w:hAnsi="Times New Roman" w:cs="Times New Roman"/>
                <w:bCs/>
                <w:sz w:val="24"/>
                <w:szCs w:val="24"/>
                <w:lang w:eastAsia="zh-CN"/>
              </w:rPr>
              <w:t xml:space="preserve"> тръбите са на средна възраст 36 години и над 50% от водата е „</w:t>
            </w:r>
            <w:proofErr w:type="spellStart"/>
            <w:r w:rsidR="005339CA" w:rsidRPr="00171DED">
              <w:rPr>
                <w:rFonts w:ascii="Times New Roman" w:eastAsia="Times New Roman" w:hAnsi="Times New Roman" w:cs="Times New Roman"/>
                <w:bCs/>
                <w:sz w:val="24"/>
                <w:szCs w:val="24"/>
                <w:lang w:eastAsia="zh-CN"/>
              </w:rPr>
              <w:t>неносеща</w:t>
            </w:r>
            <w:proofErr w:type="spellEnd"/>
            <w:r w:rsidR="005339CA" w:rsidRPr="00171DED">
              <w:rPr>
                <w:rFonts w:ascii="Times New Roman" w:eastAsia="Times New Roman" w:hAnsi="Times New Roman" w:cs="Times New Roman"/>
                <w:bCs/>
                <w:sz w:val="24"/>
                <w:szCs w:val="24"/>
                <w:lang w:eastAsia="zh-CN"/>
              </w:rPr>
              <w:t xml:space="preserve"> приходи“</w:t>
            </w:r>
            <w:r w:rsidR="00444370">
              <w:rPr>
                <w:rFonts w:ascii="Times New Roman" w:eastAsia="Times New Roman" w:hAnsi="Times New Roman" w:cs="Times New Roman"/>
                <w:bCs/>
                <w:sz w:val="24"/>
                <w:szCs w:val="24"/>
                <w:lang w:eastAsia="zh-CN"/>
              </w:rPr>
              <w:t xml:space="preserve">. Това </w:t>
            </w:r>
            <w:r w:rsidR="002A34F4" w:rsidRPr="00171DED">
              <w:rPr>
                <w:rFonts w:ascii="Times New Roman" w:eastAsia="Times New Roman" w:hAnsi="Times New Roman" w:cs="Times New Roman"/>
                <w:bCs/>
                <w:sz w:val="24"/>
                <w:szCs w:val="24"/>
                <w:lang w:eastAsia="zh-CN"/>
              </w:rPr>
              <w:t>предпоставя нуждите от инвестиции в</w:t>
            </w:r>
            <w:r w:rsidR="00444370">
              <w:rPr>
                <w:rFonts w:ascii="Times New Roman" w:eastAsia="Times New Roman" w:hAnsi="Times New Roman" w:cs="Times New Roman"/>
                <w:bCs/>
                <w:sz w:val="24"/>
                <w:szCs w:val="24"/>
                <w:lang w:eastAsia="zh-CN"/>
              </w:rPr>
              <w:t>ъв</w:t>
            </w:r>
            <w:r w:rsidR="002A34F4" w:rsidRPr="00171DED">
              <w:rPr>
                <w:rFonts w:ascii="Times New Roman" w:eastAsia="Times New Roman" w:hAnsi="Times New Roman" w:cs="Times New Roman"/>
                <w:bCs/>
                <w:sz w:val="24"/>
                <w:szCs w:val="24"/>
                <w:lang w:eastAsia="zh-CN"/>
              </w:rPr>
              <w:t xml:space="preserve"> водоснабдителните мрежи</w:t>
            </w:r>
            <w:r w:rsidR="00A52A7D" w:rsidRPr="00171DED">
              <w:rPr>
                <w:rFonts w:ascii="Times New Roman" w:eastAsia="Times New Roman" w:hAnsi="Times New Roman" w:cs="Times New Roman"/>
                <w:bCs/>
                <w:sz w:val="24"/>
                <w:szCs w:val="24"/>
                <w:lang w:eastAsia="zh-CN"/>
              </w:rPr>
              <w:t>, за да се допринесе за намаляване на загубите на вода предвид значимостта на този проблем</w:t>
            </w:r>
            <w:r w:rsidRPr="00171DED">
              <w:rPr>
                <w:rFonts w:ascii="Times New Roman" w:eastAsia="Times New Roman" w:hAnsi="Times New Roman" w:cs="Times New Roman"/>
                <w:bCs/>
                <w:sz w:val="24"/>
                <w:szCs w:val="24"/>
                <w:lang w:eastAsia="zh-CN"/>
              </w:rPr>
              <w:t xml:space="preserve">. </w:t>
            </w:r>
            <w:r w:rsidR="00355CC3" w:rsidRPr="00171DED">
              <w:rPr>
                <w:rFonts w:ascii="Times New Roman" w:eastAsia="Times New Roman" w:hAnsi="Times New Roman" w:cs="Times New Roman"/>
                <w:bCs/>
                <w:sz w:val="24"/>
                <w:szCs w:val="24"/>
                <w:lang w:eastAsia="zh-CN"/>
              </w:rPr>
              <w:t>За</w:t>
            </w:r>
            <w:r w:rsidR="005339CA" w:rsidRPr="00171DED">
              <w:rPr>
                <w:rFonts w:ascii="Times New Roman" w:eastAsia="Times New Roman" w:hAnsi="Times New Roman" w:cs="Times New Roman"/>
                <w:bCs/>
                <w:sz w:val="24"/>
                <w:szCs w:val="24"/>
                <w:lang w:eastAsia="zh-CN"/>
              </w:rPr>
              <w:t xml:space="preserve"> постигане на съответствие с изискванията на Директива 98/83/EО</w:t>
            </w:r>
            <w:r w:rsidR="00A52A7D" w:rsidRPr="00171DED">
              <w:rPr>
                <w:rFonts w:ascii="Times New Roman" w:eastAsia="Times New Roman" w:hAnsi="Times New Roman" w:cs="Times New Roman"/>
                <w:bCs/>
                <w:sz w:val="24"/>
                <w:szCs w:val="24"/>
                <w:lang w:eastAsia="zh-CN"/>
              </w:rPr>
              <w:t xml:space="preserve"> </w:t>
            </w:r>
            <w:r w:rsidR="00095F50">
              <w:rPr>
                <w:rFonts w:ascii="Times New Roman" w:eastAsia="Times New Roman" w:hAnsi="Times New Roman" w:cs="Times New Roman"/>
                <w:bCs/>
                <w:sz w:val="24"/>
                <w:szCs w:val="24"/>
                <w:lang w:eastAsia="zh-CN"/>
              </w:rPr>
              <w:t xml:space="preserve">и </w:t>
            </w:r>
            <w:r w:rsidR="00BB0EA4" w:rsidRPr="00BB0EA4">
              <w:rPr>
                <w:rFonts w:ascii="Times New Roman" w:eastAsia="Times New Roman" w:hAnsi="Times New Roman" w:cs="Times New Roman"/>
                <w:bCs/>
                <w:sz w:val="24"/>
                <w:szCs w:val="24"/>
                <w:lang w:eastAsia="zh-CN"/>
              </w:rPr>
              <w:t>Директива (ЕС) 2020/2184</w:t>
            </w:r>
            <w:r w:rsidR="005339CA" w:rsidRPr="00171DED">
              <w:rPr>
                <w:rFonts w:ascii="Times New Roman" w:eastAsia="Times New Roman" w:hAnsi="Times New Roman" w:cs="Times New Roman"/>
                <w:bCs/>
                <w:sz w:val="24"/>
                <w:szCs w:val="24"/>
                <w:lang w:eastAsia="zh-CN"/>
              </w:rPr>
              <w:t xml:space="preserve"> </w:t>
            </w:r>
            <w:r w:rsidR="00355CC3" w:rsidRPr="00171DED">
              <w:rPr>
                <w:rFonts w:ascii="Times New Roman" w:eastAsia="Times New Roman" w:hAnsi="Times New Roman" w:cs="Times New Roman"/>
                <w:bCs/>
                <w:sz w:val="24"/>
                <w:szCs w:val="24"/>
                <w:lang w:eastAsia="zh-CN"/>
              </w:rPr>
              <w:t xml:space="preserve">се </w:t>
            </w:r>
            <w:r w:rsidR="005339CA" w:rsidRPr="00171DED">
              <w:rPr>
                <w:rFonts w:ascii="Times New Roman" w:eastAsia="Times New Roman" w:hAnsi="Times New Roman" w:cs="Times New Roman"/>
                <w:bCs/>
                <w:sz w:val="24"/>
                <w:szCs w:val="24"/>
                <w:lang w:eastAsia="zh-CN"/>
              </w:rPr>
              <w:t>налага</w:t>
            </w:r>
            <w:r w:rsidR="00355CC3" w:rsidRPr="00171DED">
              <w:rPr>
                <w:rFonts w:ascii="Times New Roman" w:eastAsia="Times New Roman" w:hAnsi="Times New Roman" w:cs="Times New Roman"/>
                <w:bCs/>
                <w:sz w:val="24"/>
                <w:szCs w:val="24"/>
                <w:lang w:eastAsia="zh-CN"/>
              </w:rPr>
              <w:t>т</w:t>
            </w:r>
            <w:r w:rsidR="005339CA" w:rsidRPr="00171DED">
              <w:rPr>
                <w:rFonts w:ascii="Times New Roman" w:eastAsia="Times New Roman" w:hAnsi="Times New Roman" w:cs="Times New Roman"/>
                <w:bCs/>
                <w:sz w:val="24"/>
                <w:szCs w:val="24"/>
                <w:lang w:eastAsia="zh-CN"/>
              </w:rPr>
              <w:t xml:space="preserve"> значителни инвестиции, гарантиращи, че качеството на водата и използването на ресурсите във водоснабдяването отговарят на изискванията на директивите на ЕС. </w:t>
            </w:r>
          </w:p>
          <w:p w14:paraId="41E882D0" w14:textId="10668B18" w:rsidR="00BB57C4" w:rsidRPr="00171DED" w:rsidRDefault="00B3631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По отношение на канализацията и пречиствателните станции за отпадъчни води, свързаността на населението нараства при подобряване на технологиите на пречистване</w:t>
            </w:r>
            <w:r w:rsidR="00F24CFA" w:rsidRPr="00171DED">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F24CFA" w:rsidRPr="00171DED">
              <w:rPr>
                <w:rFonts w:ascii="Times New Roman" w:eastAsia="Times New Roman" w:hAnsi="Times New Roman" w:cs="Times New Roman"/>
                <w:bCs/>
                <w:sz w:val="24"/>
                <w:szCs w:val="24"/>
                <w:lang w:eastAsia="zh-CN"/>
              </w:rPr>
              <w:t xml:space="preserve">Въпреки това нуждите </w:t>
            </w:r>
            <w:r w:rsidR="00444370">
              <w:rPr>
                <w:rFonts w:ascii="Times New Roman" w:eastAsia="Times New Roman" w:hAnsi="Times New Roman" w:cs="Times New Roman"/>
                <w:bCs/>
                <w:sz w:val="24"/>
                <w:szCs w:val="24"/>
                <w:lang w:eastAsia="zh-CN"/>
              </w:rPr>
              <w:t>от</w:t>
            </w:r>
            <w:r w:rsidR="00F24CFA" w:rsidRPr="00171DED">
              <w:rPr>
                <w:rFonts w:ascii="Times New Roman" w:eastAsia="Times New Roman" w:hAnsi="Times New Roman" w:cs="Times New Roman"/>
                <w:bCs/>
                <w:sz w:val="24"/>
                <w:szCs w:val="24"/>
                <w:lang w:eastAsia="zh-CN"/>
              </w:rPr>
              <w:t xml:space="preserve"> инфраструктурни инвестиции в отрасъла остават високи, предвид ангажиментите на страната за постигане на съответствие с </w:t>
            </w:r>
            <w:r w:rsidR="00444370" w:rsidRPr="00171DED">
              <w:rPr>
                <w:rFonts w:ascii="Times New Roman" w:eastAsia="Times New Roman" w:hAnsi="Times New Roman" w:cs="Times New Roman"/>
                <w:bCs/>
                <w:sz w:val="24"/>
                <w:szCs w:val="24"/>
                <w:lang w:eastAsia="zh-CN"/>
              </w:rPr>
              <w:t xml:space="preserve">Европейските </w:t>
            </w:r>
            <w:r w:rsidR="00F24CFA" w:rsidRPr="00171DED">
              <w:rPr>
                <w:rFonts w:ascii="Times New Roman" w:eastAsia="Times New Roman" w:hAnsi="Times New Roman" w:cs="Times New Roman"/>
                <w:bCs/>
                <w:sz w:val="24"/>
                <w:szCs w:val="24"/>
                <w:lang w:eastAsia="zh-CN"/>
              </w:rPr>
              <w:t xml:space="preserve">директиви. </w:t>
            </w:r>
            <w:r w:rsidR="0022791F" w:rsidRPr="00171DED">
              <w:rPr>
                <w:rFonts w:ascii="Times New Roman" w:eastAsia="Times New Roman" w:hAnsi="Times New Roman" w:cs="Times New Roman"/>
                <w:bCs/>
                <w:sz w:val="24"/>
                <w:szCs w:val="24"/>
                <w:lang w:eastAsia="zh-CN"/>
              </w:rPr>
              <w:t>България все още не е постигнала съответствие с изискванията на Директива  91/271/ЕИО</w:t>
            </w:r>
            <w:r w:rsidR="002B5751" w:rsidRPr="00171DED">
              <w:rPr>
                <w:rFonts w:ascii="Times New Roman" w:eastAsia="Times New Roman" w:hAnsi="Times New Roman" w:cs="Times New Roman"/>
                <w:bCs/>
                <w:sz w:val="24"/>
                <w:szCs w:val="24"/>
                <w:lang w:eastAsia="zh-CN"/>
              </w:rPr>
              <w:t xml:space="preserve">. </w:t>
            </w:r>
            <w:r w:rsidR="0077072F">
              <w:rPr>
                <w:rFonts w:ascii="Times New Roman" w:eastAsia="Times New Roman" w:hAnsi="Times New Roman" w:cs="Times New Roman"/>
                <w:bCs/>
                <w:sz w:val="24"/>
                <w:szCs w:val="24"/>
                <w:lang w:eastAsia="zh-CN"/>
              </w:rPr>
              <w:t xml:space="preserve">В страната </w:t>
            </w:r>
            <w:r w:rsidR="0077072F" w:rsidRPr="00171DED">
              <w:rPr>
                <w:rFonts w:ascii="Times New Roman" w:eastAsia="Times New Roman" w:hAnsi="Times New Roman" w:cs="Times New Roman"/>
                <w:bCs/>
                <w:sz w:val="24"/>
                <w:szCs w:val="24"/>
                <w:lang w:eastAsia="zh-CN"/>
              </w:rPr>
              <w:t xml:space="preserve">има </w:t>
            </w:r>
            <w:r w:rsidR="005525EC" w:rsidRPr="00171DED">
              <w:rPr>
                <w:rFonts w:ascii="Times New Roman" w:eastAsia="Times New Roman" w:hAnsi="Times New Roman" w:cs="Times New Roman"/>
                <w:bCs/>
                <w:sz w:val="24"/>
                <w:szCs w:val="24"/>
                <w:lang w:eastAsia="zh-CN"/>
              </w:rPr>
              <w:t xml:space="preserve">332 </w:t>
            </w:r>
            <w:r w:rsidR="002B5751" w:rsidRPr="00171DED">
              <w:rPr>
                <w:rFonts w:ascii="Times New Roman" w:eastAsia="Times New Roman" w:hAnsi="Times New Roman" w:cs="Times New Roman"/>
                <w:bCs/>
                <w:sz w:val="24"/>
                <w:szCs w:val="24"/>
                <w:lang w:eastAsia="zh-CN"/>
              </w:rPr>
              <w:t xml:space="preserve">агломерации (99 агломерации над 10 000 </w:t>
            </w:r>
            <w:proofErr w:type="spellStart"/>
            <w:r w:rsidR="002B5751" w:rsidRPr="00171DED">
              <w:rPr>
                <w:rFonts w:ascii="Times New Roman" w:eastAsia="Times New Roman" w:hAnsi="Times New Roman" w:cs="Times New Roman"/>
                <w:bCs/>
                <w:sz w:val="24"/>
                <w:szCs w:val="24"/>
                <w:lang w:eastAsia="zh-CN"/>
              </w:rPr>
              <w:t>е</w:t>
            </w:r>
            <w:r w:rsidR="00F03B2B">
              <w:rPr>
                <w:rFonts w:ascii="Times New Roman" w:eastAsia="Times New Roman" w:hAnsi="Times New Roman" w:cs="Times New Roman"/>
                <w:bCs/>
                <w:sz w:val="24"/>
                <w:szCs w:val="24"/>
                <w:lang w:eastAsia="zh-CN"/>
              </w:rPr>
              <w:t>кв</w:t>
            </w:r>
            <w:r w:rsidR="002B5751" w:rsidRPr="00171DED">
              <w:rPr>
                <w:rFonts w:ascii="Times New Roman" w:eastAsia="Times New Roman" w:hAnsi="Times New Roman" w:cs="Times New Roman"/>
                <w:bCs/>
                <w:sz w:val="24"/>
                <w:szCs w:val="24"/>
                <w:lang w:eastAsia="zh-CN"/>
              </w:rPr>
              <w:t>.ж</w:t>
            </w:r>
            <w:proofErr w:type="spellEnd"/>
            <w:r w:rsidR="002B5751" w:rsidRPr="00171DED">
              <w:rPr>
                <w:rFonts w:ascii="Times New Roman" w:eastAsia="Times New Roman" w:hAnsi="Times New Roman" w:cs="Times New Roman"/>
                <w:bCs/>
                <w:sz w:val="24"/>
                <w:szCs w:val="24"/>
                <w:lang w:eastAsia="zh-CN"/>
              </w:rPr>
              <w:t xml:space="preserve">.). </w:t>
            </w:r>
            <w:r w:rsidR="005525EC" w:rsidRPr="00171DED">
              <w:rPr>
                <w:rFonts w:ascii="Times New Roman" w:eastAsia="Times New Roman" w:hAnsi="Times New Roman" w:cs="Times New Roman"/>
                <w:bCs/>
                <w:sz w:val="24"/>
                <w:szCs w:val="24"/>
                <w:lang w:eastAsia="zh-CN"/>
              </w:rPr>
              <w:t xml:space="preserve">253 </w:t>
            </w:r>
            <w:r w:rsidR="002B5751" w:rsidRPr="00171DED">
              <w:rPr>
                <w:rFonts w:ascii="Times New Roman" w:eastAsia="Times New Roman" w:hAnsi="Times New Roman" w:cs="Times New Roman"/>
                <w:bCs/>
                <w:sz w:val="24"/>
                <w:szCs w:val="24"/>
                <w:lang w:eastAsia="zh-CN"/>
              </w:rPr>
              <w:t xml:space="preserve">от тези агломерации се намират на територията на консолидиран район (общо 22 консолидирани </w:t>
            </w:r>
            <w:r w:rsidR="00A52A7D" w:rsidRPr="00171DED">
              <w:rPr>
                <w:rFonts w:ascii="Times New Roman" w:eastAsia="Times New Roman" w:hAnsi="Times New Roman" w:cs="Times New Roman"/>
                <w:bCs/>
                <w:sz w:val="24"/>
                <w:szCs w:val="24"/>
                <w:lang w:eastAsia="zh-CN"/>
              </w:rPr>
              <w:t>района</w:t>
            </w:r>
            <w:r w:rsidR="002B5751" w:rsidRPr="00171DED">
              <w:rPr>
                <w:rFonts w:ascii="Times New Roman" w:eastAsia="Times New Roman" w:hAnsi="Times New Roman" w:cs="Times New Roman"/>
                <w:bCs/>
                <w:sz w:val="24"/>
                <w:szCs w:val="24"/>
                <w:lang w:eastAsia="zh-CN"/>
              </w:rPr>
              <w:t xml:space="preserve">). Неконсолидираните </w:t>
            </w:r>
            <w:r w:rsidR="009474BD">
              <w:rPr>
                <w:rFonts w:ascii="Times New Roman" w:eastAsia="Times New Roman" w:hAnsi="Times New Roman" w:cs="Times New Roman"/>
                <w:bCs/>
                <w:sz w:val="24"/>
                <w:szCs w:val="24"/>
                <w:lang w:eastAsia="zh-CN"/>
              </w:rPr>
              <w:t>райони</w:t>
            </w:r>
            <w:r w:rsidR="002B5751" w:rsidRPr="00171DED">
              <w:rPr>
                <w:rFonts w:ascii="Times New Roman" w:eastAsia="Times New Roman" w:hAnsi="Times New Roman" w:cs="Times New Roman"/>
                <w:bCs/>
                <w:sz w:val="24"/>
                <w:szCs w:val="24"/>
                <w:lang w:eastAsia="zh-CN"/>
              </w:rPr>
              <w:t xml:space="preserve"> са 6 с 79 агломерации. Следва да се има предвид, че разработването на </w:t>
            </w:r>
            <w:r w:rsidR="00BD0BB0" w:rsidRPr="00171DED">
              <w:rPr>
                <w:rFonts w:ascii="Times New Roman" w:eastAsia="Times New Roman" w:hAnsi="Times New Roman" w:cs="Times New Roman"/>
                <w:bCs/>
                <w:sz w:val="24"/>
                <w:szCs w:val="24"/>
                <w:lang w:eastAsia="zh-CN"/>
              </w:rPr>
              <w:t xml:space="preserve">регионални прединвестиционни проучвания </w:t>
            </w:r>
            <w:r w:rsidR="00BD0BB0">
              <w:rPr>
                <w:rFonts w:ascii="Times New Roman" w:eastAsia="Times New Roman" w:hAnsi="Times New Roman" w:cs="Times New Roman"/>
                <w:bCs/>
                <w:sz w:val="24"/>
                <w:szCs w:val="24"/>
                <w:lang w:eastAsia="zh-CN"/>
              </w:rPr>
              <w:t>(</w:t>
            </w:r>
            <w:r w:rsidR="002B5751" w:rsidRPr="00171DED">
              <w:rPr>
                <w:rFonts w:ascii="Times New Roman" w:eastAsia="Times New Roman" w:hAnsi="Times New Roman" w:cs="Times New Roman"/>
                <w:bCs/>
                <w:sz w:val="24"/>
                <w:szCs w:val="24"/>
                <w:lang w:eastAsia="zh-CN"/>
              </w:rPr>
              <w:t>РПИП</w:t>
            </w:r>
            <w:r w:rsidR="00BD0BB0">
              <w:rPr>
                <w:rFonts w:ascii="Times New Roman" w:eastAsia="Times New Roman" w:hAnsi="Times New Roman" w:cs="Times New Roman"/>
                <w:bCs/>
                <w:sz w:val="24"/>
                <w:szCs w:val="24"/>
                <w:lang w:eastAsia="zh-CN"/>
              </w:rPr>
              <w:t>)</w:t>
            </w:r>
            <w:r w:rsidR="002B5751" w:rsidRPr="00171DED">
              <w:rPr>
                <w:rFonts w:ascii="Times New Roman" w:eastAsia="Times New Roman" w:hAnsi="Times New Roman" w:cs="Times New Roman"/>
                <w:bCs/>
                <w:sz w:val="24"/>
                <w:szCs w:val="24"/>
                <w:lang w:eastAsia="zh-CN"/>
              </w:rPr>
              <w:t xml:space="preserve"> само за консолидирани ВиК </w:t>
            </w:r>
            <w:r w:rsidR="0077072F">
              <w:rPr>
                <w:rFonts w:ascii="Times New Roman" w:eastAsia="Times New Roman" w:hAnsi="Times New Roman" w:cs="Times New Roman"/>
                <w:bCs/>
                <w:sz w:val="24"/>
                <w:szCs w:val="24"/>
                <w:lang w:eastAsia="zh-CN"/>
              </w:rPr>
              <w:t>райони</w:t>
            </w:r>
            <w:r w:rsidR="0077072F" w:rsidRPr="00171DED">
              <w:rPr>
                <w:rFonts w:ascii="Times New Roman" w:eastAsia="Times New Roman" w:hAnsi="Times New Roman" w:cs="Times New Roman"/>
                <w:bCs/>
                <w:sz w:val="24"/>
                <w:szCs w:val="24"/>
                <w:lang w:eastAsia="zh-CN"/>
              </w:rPr>
              <w:t xml:space="preserve"> </w:t>
            </w:r>
            <w:r w:rsidR="002B5751" w:rsidRPr="00171DED">
              <w:rPr>
                <w:rFonts w:ascii="Times New Roman" w:eastAsia="Times New Roman" w:hAnsi="Times New Roman" w:cs="Times New Roman"/>
                <w:bCs/>
                <w:sz w:val="24"/>
                <w:szCs w:val="24"/>
                <w:lang w:eastAsia="zh-CN"/>
              </w:rPr>
              <w:t>променя големината и обхвата на агломерациите при прилагането на принципа за достатъчна концентрираност и доказана необходимост от промяна на географския обхват при някои от агломерациите. Това води до</w:t>
            </w:r>
            <w:r w:rsidR="002B5751" w:rsidRPr="00171DED">
              <w:rPr>
                <w:rFonts w:ascii="Times New Roman" w:eastAsia="Times New Roman" w:hAnsi="Times New Roman" w:cs="Times New Roman"/>
                <w:bCs/>
                <w:sz w:val="20"/>
                <w:szCs w:val="20"/>
                <w:lang w:eastAsia="zh-CN"/>
              </w:rPr>
              <w:t xml:space="preserve"> </w:t>
            </w:r>
            <w:r w:rsidR="002B5751" w:rsidRPr="00171DED">
              <w:rPr>
                <w:rFonts w:ascii="Times New Roman" w:eastAsia="Times New Roman" w:hAnsi="Times New Roman" w:cs="Times New Roman"/>
                <w:bCs/>
                <w:sz w:val="24"/>
                <w:szCs w:val="24"/>
                <w:lang w:eastAsia="zh-CN"/>
              </w:rPr>
              <w:t>актуализация на данните по отношение броя агломерации в страната, съответно до различия с част от посочената информация в текста на ОПОС 2014-2020.</w:t>
            </w:r>
          </w:p>
          <w:p w14:paraId="494F5E93" w14:textId="70C0FFF7" w:rsidR="00BB57C4" w:rsidRPr="00171DED" w:rsidRDefault="00540E9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Съответствието се е увеличило </w:t>
            </w:r>
            <w:r w:rsidR="00444370">
              <w:rPr>
                <w:rFonts w:ascii="Times New Roman" w:eastAsia="Times New Roman" w:hAnsi="Times New Roman" w:cs="Times New Roman"/>
                <w:bCs/>
                <w:sz w:val="24"/>
                <w:szCs w:val="24"/>
                <w:lang w:eastAsia="zh-CN"/>
              </w:rPr>
              <w:t>чувствително</w:t>
            </w:r>
            <w:r w:rsidR="00444370"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в резултат на повишеното количество на събираните и пречиствани отпадъчни води с изградена нова инфраструктура и на по-добро отчитане и оценка на данните с разработените РПИП, вкл. със средства по ОПОС 2007-2013 г. и ОПОС 2014-2020 г. </w:t>
            </w:r>
            <w:r w:rsidR="0077072F">
              <w:rPr>
                <w:rFonts w:ascii="Times New Roman" w:eastAsia="Times New Roman" w:hAnsi="Times New Roman" w:cs="Times New Roman"/>
                <w:bCs/>
                <w:sz w:val="24"/>
                <w:szCs w:val="24"/>
                <w:lang w:eastAsia="zh-CN"/>
              </w:rPr>
              <w:t>През програмен период</w:t>
            </w:r>
            <w:r w:rsidRPr="00171DED">
              <w:rPr>
                <w:rFonts w:ascii="Times New Roman" w:eastAsia="Times New Roman" w:hAnsi="Times New Roman" w:cs="Times New Roman"/>
                <w:bCs/>
                <w:sz w:val="24"/>
                <w:szCs w:val="24"/>
                <w:lang w:eastAsia="zh-CN"/>
              </w:rPr>
              <w:t xml:space="preserve"> 2014-2020 г. </w:t>
            </w:r>
            <w:r w:rsidR="0077072F">
              <w:rPr>
                <w:rFonts w:ascii="Times New Roman" w:eastAsia="Times New Roman" w:hAnsi="Times New Roman" w:cs="Times New Roman"/>
                <w:bCs/>
                <w:sz w:val="24"/>
                <w:szCs w:val="24"/>
                <w:lang w:eastAsia="zh-CN"/>
              </w:rPr>
              <w:t xml:space="preserve">се </w:t>
            </w:r>
            <w:r w:rsidRPr="00171DED">
              <w:rPr>
                <w:rFonts w:ascii="Times New Roman" w:eastAsia="Times New Roman" w:hAnsi="Times New Roman" w:cs="Times New Roman"/>
                <w:bCs/>
                <w:sz w:val="24"/>
                <w:szCs w:val="24"/>
                <w:lang w:eastAsia="zh-CN"/>
              </w:rPr>
              <w:t xml:space="preserve">подкрепя постигането на съответствие в </w:t>
            </w:r>
            <w:r w:rsidR="005525EC" w:rsidRPr="00171DED">
              <w:rPr>
                <w:rFonts w:ascii="Times New Roman" w:eastAsia="Times New Roman" w:hAnsi="Times New Roman" w:cs="Times New Roman"/>
                <w:bCs/>
                <w:sz w:val="24"/>
                <w:szCs w:val="24"/>
                <w:lang w:eastAsia="zh-CN"/>
              </w:rPr>
              <w:t xml:space="preserve">50 </w:t>
            </w:r>
            <w:r w:rsidRPr="00171DED">
              <w:rPr>
                <w:rFonts w:ascii="Times New Roman" w:eastAsia="Times New Roman" w:hAnsi="Times New Roman" w:cs="Times New Roman"/>
                <w:bCs/>
                <w:sz w:val="24"/>
                <w:szCs w:val="24"/>
                <w:lang w:eastAsia="zh-CN"/>
              </w:rPr>
              <w:t xml:space="preserve">агломерации с над 10 000 </w:t>
            </w:r>
            <w:proofErr w:type="spellStart"/>
            <w:r w:rsidRPr="00171DED">
              <w:rPr>
                <w:rFonts w:ascii="Times New Roman" w:eastAsia="Times New Roman" w:hAnsi="Times New Roman" w:cs="Times New Roman"/>
                <w:bCs/>
                <w:sz w:val="24"/>
                <w:szCs w:val="24"/>
                <w:lang w:eastAsia="zh-CN"/>
              </w:rPr>
              <w:t>е</w:t>
            </w:r>
            <w:r w:rsidR="00C07602">
              <w:rPr>
                <w:rFonts w:ascii="Times New Roman" w:eastAsia="Times New Roman" w:hAnsi="Times New Roman" w:cs="Times New Roman"/>
                <w:bCs/>
                <w:sz w:val="24"/>
                <w:szCs w:val="24"/>
                <w:lang w:eastAsia="zh-CN"/>
              </w:rPr>
              <w:t>кв</w:t>
            </w:r>
            <w:r w:rsidRPr="00171DED">
              <w:rPr>
                <w:rFonts w:ascii="Times New Roman" w:eastAsia="Times New Roman" w:hAnsi="Times New Roman" w:cs="Times New Roman"/>
                <w:bCs/>
                <w:sz w:val="24"/>
                <w:szCs w:val="24"/>
                <w:lang w:eastAsia="zh-CN"/>
              </w:rPr>
              <w:t>.ж</w:t>
            </w:r>
            <w:proofErr w:type="spellEnd"/>
            <w:r w:rsidRPr="00171DED">
              <w:rPr>
                <w:rFonts w:ascii="Times New Roman" w:eastAsia="Times New Roman" w:hAnsi="Times New Roman" w:cs="Times New Roman"/>
                <w:bCs/>
                <w:sz w:val="24"/>
                <w:szCs w:val="24"/>
                <w:lang w:eastAsia="zh-CN"/>
              </w:rPr>
              <w:t>. в 15 консолидирани региона (с 1 млрд. евро). За постиг</w:t>
            </w:r>
            <w:r w:rsidR="00444370">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н</w:t>
            </w:r>
            <w:r w:rsidR="00444370">
              <w:rPr>
                <w:rFonts w:ascii="Times New Roman" w:eastAsia="Times New Roman" w:hAnsi="Times New Roman" w:cs="Times New Roman"/>
                <w:bCs/>
                <w:sz w:val="24"/>
                <w:szCs w:val="24"/>
                <w:lang w:eastAsia="zh-CN"/>
              </w:rPr>
              <w:t>е на</w:t>
            </w:r>
            <w:r w:rsidRPr="00171DED">
              <w:rPr>
                <w:rFonts w:ascii="Times New Roman" w:eastAsia="Times New Roman" w:hAnsi="Times New Roman" w:cs="Times New Roman"/>
                <w:bCs/>
                <w:sz w:val="24"/>
                <w:szCs w:val="24"/>
                <w:lang w:eastAsia="zh-CN"/>
              </w:rPr>
              <w:t xml:space="preserve"> пълно съответствие с </w:t>
            </w:r>
            <w:r w:rsidRPr="00171DED">
              <w:rPr>
                <w:rFonts w:ascii="Times New Roman" w:eastAsia="Times New Roman" w:hAnsi="Times New Roman" w:cs="Times New Roman"/>
                <w:bCs/>
                <w:sz w:val="24"/>
                <w:szCs w:val="24"/>
                <w:lang w:eastAsia="zh-CN"/>
              </w:rPr>
              <w:lastRenderedPageBreak/>
              <w:t>изискванията на Директивата</w:t>
            </w:r>
            <w:r w:rsidR="0077072F">
              <w:rPr>
                <w:rFonts w:ascii="Times New Roman" w:eastAsia="Times New Roman" w:hAnsi="Times New Roman" w:cs="Times New Roman"/>
                <w:bCs/>
                <w:sz w:val="24"/>
                <w:szCs w:val="24"/>
                <w:lang w:eastAsia="zh-CN"/>
              </w:rPr>
              <w:t>,</w:t>
            </w:r>
            <w:r w:rsidR="005525EC" w:rsidRPr="00171DED">
              <w:rPr>
                <w:rFonts w:ascii="Times New Roman" w:eastAsia="Times New Roman" w:hAnsi="Times New Roman" w:cs="Times New Roman"/>
                <w:bCs/>
                <w:sz w:val="24"/>
                <w:szCs w:val="24"/>
                <w:lang w:eastAsia="zh-CN"/>
              </w:rPr>
              <w:t xml:space="preserve"> за агломерациите с над 10 000 </w:t>
            </w:r>
            <w:proofErr w:type="spellStart"/>
            <w:r w:rsidR="005525EC" w:rsidRPr="00171DED">
              <w:rPr>
                <w:rFonts w:ascii="Times New Roman" w:eastAsia="Times New Roman" w:hAnsi="Times New Roman" w:cs="Times New Roman"/>
                <w:bCs/>
                <w:sz w:val="24"/>
                <w:szCs w:val="24"/>
                <w:lang w:eastAsia="zh-CN"/>
              </w:rPr>
              <w:t>е</w:t>
            </w:r>
            <w:r w:rsidR="00C07602">
              <w:rPr>
                <w:rFonts w:ascii="Times New Roman" w:eastAsia="Times New Roman" w:hAnsi="Times New Roman" w:cs="Times New Roman"/>
                <w:bCs/>
                <w:sz w:val="24"/>
                <w:szCs w:val="24"/>
                <w:lang w:eastAsia="zh-CN"/>
              </w:rPr>
              <w:t>кв</w:t>
            </w:r>
            <w:r w:rsidR="005525EC" w:rsidRPr="00171DED">
              <w:rPr>
                <w:rFonts w:ascii="Times New Roman" w:eastAsia="Times New Roman" w:hAnsi="Times New Roman" w:cs="Times New Roman"/>
                <w:bCs/>
                <w:sz w:val="24"/>
                <w:szCs w:val="24"/>
                <w:lang w:eastAsia="zh-CN"/>
              </w:rPr>
              <w:t>.ж</w:t>
            </w:r>
            <w:proofErr w:type="spellEnd"/>
            <w:r w:rsidR="005525EC" w:rsidRPr="00171DED">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525EC" w:rsidRPr="00171DED">
              <w:rPr>
                <w:rFonts w:ascii="Times New Roman" w:eastAsia="Times New Roman" w:hAnsi="Times New Roman" w:cs="Times New Roman"/>
                <w:bCs/>
                <w:sz w:val="24"/>
                <w:szCs w:val="24"/>
                <w:lang w:eastAsia="zh-CN"/>
              </w:rPr>
              <w:t xml:space="preserve">в консолидираните райони </w:t>
            </w:r>
            <w:r w:rsidRPr="00171DED">
              <w:rPr>
                <w:rFonts w:ascii="Times New Roman" w:eastAsia="Times New Roman" w:hAnsi="Times New Roman" w:cs="Times New Roman"/>
                <w:bCs/>
                <w:sz w:val="24"/>
                <w:szCs w:val="24"/>
                <w:lang w:eastAsia="zh-CN"/>
              </w:rPr>
              <w:t xml:space="preserve">са необходими инвестиции в още </w:t>
            </w:r>
            <w:r w:rsidR="005525EC" w:rsidRPr="00171DED">
              <w:rPr>
                <w:rFonts w:ascii="Times New Roman" w:eastAsia="Times New Roman" w:hAnsi="Times New Roman" w:cs="Times New Roman"/>
                <w:bCs/>
                <w:sz w:val="24"/>
                <w:szCs w:val="24"/>
                <w:lang w:eastAsia="zh-CN"/>
              </w:rPr>
              <w:t xml:space="preserve">20 </w:t>
            </w:r>
            <w:r w:rsidRPr="00171DED">
              <w:rPr>
                <w:rFonts w:ascii="Times New Roman" w:eastAsia="Times New Roman" w:hAnsi="Times New Roman" w:cs="Times New Roman"/>
                <w:bCs/>
                <w:sz w:val="24"/>
                <w:szCs w:val="24"/>
                <w:lang w:eastAsia="zh-CN"/>
              </w:rPr>
              <w:t>агломерации</w:t>
            </w:r>
            <w:r w:rsidR="002F7D0E" w:rsidRPr="00171DED">
              <w:rPr>
                <w:rFonts w:ascii="Times New Roman" w:eastAsia="Times New Roman" w:hAnsi="Times New Roman" w:cs="Times New Roman"/>
                <w:bCs/>
                <w:sz w:val="24"/>
                <w:szCs w:val="24"/>
                <w:lang w:eastAsia="zh-CN"/>
              </w:rPr>
              <w:t xml:space="preserve"> (в 6те новоконсолидирани района и в Столична община)</w:t>
            </w:r>
            <w:r w:rsidRPr="00171DED">
              <w:rPr>
                <w:rFonts w:ascii="Times New Roman" w:eastAsia="Times New Roman" w:hAnsi="Times New Roman" w:cs="Times New Roman"/>
                <w:bCs/>
                <w:sz w:val="24"/>
                <w:szCs w:val="24"/>
                <w:lang w:eastAsia="zh-CN"/>
              </w:rPr>
              <w:t>.</w:t>
            </w:r>
          </w:p>
          <w:p w14:paraId="4300DFA6" w14:textId="293539D7" w:rsidR="00BB57C4" w:rsidRPr="00171DED" w:rsidRDefault="00540E9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Планираната подкрепа през 2021-2027 г. ще надгради резултатите от периода 2014-2020 г., като ПОС ще продължи да финансира </w:t>
            </w:r>
            <w:r w:rsidR="0059619D" w:rsidRPr="00171DED">
              <w:rPr>
                <w:rFonts w:ascii="Times New Roman" w:eastAsia="Times New Roman" w:hAnsi="Times New Roman" w:cs="Times New Roman"/>
                <w:bCs/>
                <w:sz w:val="24"/>
                <w:szCs w:val="24"/>
                <w:lang w:eastAsia="zh-CN"/>
              </w:rPr>
              <w:t>най-</w:t>
            </w:r>
            <w:r w:rsidRPr="00171DED">
              <w:rPr>
                <w:rFonts w:ascii="Times New Roman" w:eastAsia="Times New Roman" w:hAnsi="Times New Roman" w:cs="Times New Roman"/>
                <w:bCs/>
                <w:sz w:val="24"/>
                <w:szCs w:val="24"/>
                <w:lang w:eastAsia="zh-CN"/>
              </w:rPr>
              <w:t>значи</w:t>
            </w:r>
            <w:r w:rsidR="0059619D" w:rsidRPr="00171DED">
              <w:rPr>
                <w:rFonts w:ascii="Times New Roman" w:eastAsia="Times New Roman" w:hAnsi="Times New Roman" w:cs="Times New Roman"/>
                <w:bCs/>
                <w:sz w:val="24"/>
                <w:szCs w:val="24"/>
                <w:lang w:eastAsia="zh-CN"/>
              </w:rPr>
              <w:t>мите</w:t>
            </w:r>
            <w:r w:rsidRPr="00171DED">
              <w:rPr>
                <w:rFonts w:ascii="Times New Roman" w:eastAsia="Times New Roman" w:hAnsi="Times New Roman" w:cs="Times New Roman"/>
                <w:bCs/>
                <w:sz w:val="24"/>
                <w:szCs w:val="24"/>
                <w:lang w:eastAsia="zh-CN"/>
              </w:rPr>
              <w:t xml:space="preserve"> нужди с висок приоритет в</w:t>
            </w:r>
            <w:r w:rsidR="00A005AA">
              <w:rPr>
                <w:rFonts w:ascii="Times New Roman" w:eastAsia="Times New Roman" w:hAnsi="Times New Roman" w:cs="Times New Roman"/>
                <w:bCs/>
                <w:sz w:val="24"/>
                <w:szCs w:val="24"/>
                <w:lang w:eastAsia="zh-CN"/>
              </w:rPr>
              <w:t>ъв</w:t>
            </w:r>
            <w:r w:rsidRPr="00171DED">
              <w:rPr>
                <w:rFonts w:ascii="Times New Roman" w:eastAsia="Times New Roman" w:hAnsi="Times New Roman" w:cs="Times New Roman"/>
                <w:bCs/>
                <w:sz w:val="24"/>
                <w:szCs w:val="24"/>
                <w:lang w:eastAsia="zh-CN"/>
              </w:rPr>
              <w:t xml:space="preserve"> ВиК сектора</w:t>
            </w:r>
            <w:r w:rsidR="0059619D" w:rsidRPr="00171DED">
              <w:rPr>
                <w:rFonts w:ascii="Times New Roman" w:eastAsia="Times New Roman" w:hAnsi="Times New Roman" w:cs="Times New Roman"/>
                <w:bCs/>
                <w:sz w:val="24"/>
                <w:szCs w:val="24"/>
                <w:lang w:eastAsia="zh-CN"/>
              </w:rPr>
              <w:t xml:space="preserve">, зачитайки водната реформа и осигурявайки намаляване на загубите на вода и подобряване качеството на питейната вода. </w:t>
            </w:r>
            <w:r w:rsidR="00A52A7D" w:rsidRPr="00171DED">
              <w:rPr>
                <w:rFonts w:ascii="Times New Roman" w:eastAsia="Times New Roman" w:hAnsi="Times New Roman" w:cs="Times New Roman"/>
                <w:bCs/>
                <w:sz w:val="24"/>
                <w:szCs w:val="24"/>
                <w:lang w:eastAsia="zh-CN"/>
              </w:rPr>
              <w:t xml:space="preserve">В изпълнение на ВиК реформата е предложен проект на Закон за </w:t>
            </w:r>
            <w:r w:rsidR="00A005AA">
              <w:rPr>
                <w:rFonts w:ascii="Times New Roman" w:eastAsia="Times New Roman" w:hAnsi="Times New Roman" w:cs="Times New Roman"/>
                <w:bCs/>
                <w:sz w:val="24"/>
                <w:szCs w:val="24"/>
                <w:lang w:eastAsia="zh-CN"/>
              </w:rPr>
              <w:t>ВиК</w:t>
            </w:r>
            <w:r w:rsidR="00A52A7D" w:rsidRPr="00171DED">
              <w:rPr>
                <w:rFonts w:ascii="Times New Roman" w:eastAsia="Times New Roman" w:hAnsi="Times New Roman" w:cs="Times New Roman"/>
                <w:bCs/>
                <w:sz w:val="24"/>
                <w:szCs w:val="24"/>
                <w:lang w:eastAsia="zh-CN"/>
              </w:rPr>
              <w:t xml:space="preserve">, с който консолидацията на операторите става задължителна за всички области в страната. </w:t>
            </w:r>
            <w:r w:rsidR="00A52A7D" w:rsidRPr="001737E9">
              <w:rPr>
                <w:rFonts w:ascii="Times New Roman" w:eastAsia="Times New Roman" w:hAnsi="Times New Roman" w:cs="Times New Roman"/>
                <w:bCs/>
                <w:sz w:val="24"/>
                <w:szCs w:val="24"/>
                <w:lang w:eastAsia="zh-CN"/>
              </w:rPr>
              <w:t xml:space="preserve">Законопроектът е </w:t>
            </w:r>
            <w:r w:rsidR="00812A33" w:rsidRPr="001737E9">
              <w:rPr>
                <w:rFonts w:ascii="Times New Roman" w:eastAsia="Times New Roman" w:hAnsi="Times New Roman" w:cs="Times New Roman"/>
                <w:bCs/>
                <w:sz w:val="24"/>
                <w:szCs w:val="24"/>
                <w:lang w:eastAsia="zh-CN"/>
              </w:rPr>
              <w:t>публикуван</w:t>
            </w:r>
            <w:r w:rsidR="00A52A7D" w:rsidRPr="001737E9">
              <w:rPr>
                <w:rFonts w:ascii="Times New Roman" w:eastAsia="Times New Roman" w:hAnsi="Times New Roman" w:cs="Times New Roman"/>
                <w:bCs/>
                <w:sz w:val="24"/>
                <w:szCs w:val="24"/>
                <w:lang w:eastAsia="zh-CN"/>
              </w:rPr>
              <w:t xml:space="preserve"> за </w:t>
            </w:r>
            <w:r w:rsidR="00F410A2" w:rsidRPr="001737E9">
              <w:rPr>
                <w:rFonts w:ascii="Times New Roman" w:eastAsia="Times New Roman" w:hAnsi="Times New Roman" w:cs="Times New Roman"/>
                <w:bCs/>
                <w:sz w:val="24"/>
                <w:szCs w:val="24"/>
                <w:lang w:eastAsia="zh-CN"/>
              </w:rPr>
              <w:t>обществено обсъждане</w:t>
            </w:r>
            <w:r w:rsidR="00A52A7D" w:rsidRPr="001737E9">
              <w:rPr>
                <w:rFonts w:ascii="Times New Roman" w:eastAsia="Times New Roman" w:hAnsi="Times New Roman" w:cs="Times New Roman"/>
                <w:bCs/>
                <w:sz w:val="24"/>
                <w:szCs w:val="24"/>
                <w:lang w:eastAsia="zh-CN"/>
              </w:rPr>
              <w:t>.</w:t>
            </w:r>
          </w:p>
          <w:p w14:paraId="1C9344FB" w14:textId="68797C0D" w:rsidR="002D3E66"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Екологичното законодателство на ЕС по отношение на водите изисква в съответните инструменти за планиране (</w:t>
            </w:r>
            <w:r w:rsidR="005C12F1">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ланове за управление на речните басейни</w:t>
            </w:r>
            <w:r w:rsidR="000B0323" w:rsidRPr="00171DED">
              <w:rPr>
                <w:rFonts w:ascii="Times New Roman" w:eastAsia="Times New Roman" w:hAnsi="Times New Roman" w:cs="Times New Roman"/>
                <w:bCs/>
                <w:sz w:val="24"/>
                <w:szCs w:val="24"/>
                <w:lang w:eastAsia="zh-CN"/>
              </w:rPr>
              <w:t xml:space="preserve"> – ПУРБ</w:t>
            </w:r>
            <w:r w:rsidRPr="00171DED">
              <w:rPr>
                <w:rFonts w:ascii="Times New Roman" w:eastAsia="Times New Roman" w:hAnsi="Times New Roman" w:cs="Times New Roman"/>
                <w:bCs/>
                <w:sz w:val="24"/>
                <w:szCs w:val="24"/>
                <w:lang w:eastAsia="zh-CN"/>
              </w:rPr>
              <w:t xml:space="preserve">, </w:t>
            </w:r>
            <w:r w:rsidR="005C12F1">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ланове за управление на риска от наводнения</w:t>
            </w:r>
            <w:r w:rsidR="000B0323" w:rsidRPr="00171DED">
              <w:rPr>
                <w:rFonts w:ascii="Times New Roman" w:eastAsia="Times New Roman" w:hAnsi="Times New Roman" w:cs="Times New Roman"/>
                <w:bCs/>
                <w:sz w:val="24"/>
                <w:szCs w:val="24"/>
                <w:lang w:eastAsia="zh-CN"/>
              </w:rPr>
              <w:t xml:space="preserve"> – ПУРН</w:t>
            </w:r>
            <w:r w:rsidR="0013133C" w:rsidRPr="00171DED">
              <w:rPr>
                <w:rFonts w:ascii="Times New Roman" w:eastAsia="Times New Roman" w:hAnsi="Times New Roman" w:cs="Times New Roman"/>
                <w:bCs/>
                <w:sz w:val="24"/>
                <w:szCs w:val="24"/>
                <w:lang w:eastAsia="zh-CN"/>
              </w:rPr>
              <w:t>, Морската стратегия</w:t>
            </w:r>
            <w:r w:rsidR="000B0323" w:rsidRPr="00171DED">
              <w:rPr>
                <w:rFonts w:ascii="Times New Roman" w:eastAsia="Times New Roman" w:hAnsi="Times New Roman" w:cs="Times New Roman"/>
                <w:bCs/>
                <w:sz w:val="24"/>
                <w:szCs w:val="24"/>
                <w:lang w:eastAsia="zh-CN"/>
              </w:rPr>
              <w:t xml:space="preserve"> и др.</w:t>
            </w:r>
            <w:r w:rsidRPr="00171DED">
              <w:rPr>
                <w:rFonts w:ascii="Times New Roman" w:eastAsia="Times New Roman" w:hAnsi="Times New Roman" w:cs="Times New Roman"/>
                <w:bCs/>
                <w:sz w:val="24"/>
                <w:szCs w:val="24"/>
                <w:lang w:eastAsia="zh-CN"/>
              </w:rPr>
              <w:t>) да бъдат взети предвид възможните въздействия от изменението на климата. Екологичното състояние</w:t>
            </w:r>
            <w:r w:rsidR="00D7576E"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е добр</w:t>
            </w:r>
            <w:r w:rsidR="008E723C" w:rsidRPr="00171DED">
              <w:rPr>
                <w:rFonts w:ascii="Times New Roman" w:eastAsia="Times New Roman" w:hAnsi="Times New Roman" w:cs="Times New Roman"/>
                <w:bCs/>
                <w:sz w:val="24"/>
                <w:szCs w:val="24"/>
                <w:lang w:eastAsia="zh-CN"/>
              </w:rPr>
              <w:t>о</w:t>
            </w:r>
            <w:r w:rsidRPr="00171DED">
              <w:rPr>
                <w:rFonts w:ascii="Times New Roman" w:eastAsia="Times New Roman" w:hAnsi="Times New Roman" w:cs="Times New Roman"/>
                <w:bCs/>
                <w:sz w:val="24"/>
                <w:szCs w:val="24"/>
                <w:lang w:eastAsia="zh-CN"/>
              </w:rPr>
              <w:t xml:space="preserve"> или много добр</w:t>
            </w:r>
            <w:r w:rsidR="00920CF5" w:rsidRPr="00171DED">
              <w:rPr>
                <w:rFonts w:ascii="Times New Roman" w:eastAsia="Times New Roman" w:hAnsi="Times New Roman" w:cs="Times New Roman"/>
                <w:bCs/>
                <w:sz w:val="24"/>
                <w:szCs w:val="24"/>
                <w:lang w:eastAsia="zh-CN"/>
              </w:rPr>
              <w:t>о</w:t>
            </w:r>
            <w:r w:rsidRPr="00171DED">
              <w:rPr>
                <w:rFonts w:ascii="Times New Roman" w:eastAsia="Times New Roman" w:hAnsi="Times New Roman" w:cs="Times New Roman"/>
                <w:bCs/>
                <w:sz w:val="24"/>
                <w:szCs w:val="24"/>
                <w:lang w:eastAsia="zh-CN"/>
              </w:rPr>
              <w:t xml:space="preserve"> в 46% от всички </w:t>
            </w:r>
            <w:r w:rsidR="002514D4" w:rsidRPr="00171DED">
              <w:rPr>
                <w:rFonts w:ascii="Times New Roman" w:eastAsia="Times New Roman" w:hAnsi="Times New Roman" w:cs="Times New Roman"/>
                <w:bCs/>
                <w:sz w:val="24"/>
                <w:szCs w:val="24"/>
                <w:lang w:eastAsia="zh-CN"/>
              </w:rPr>
              <w:t xml:space="preserve">оценени повърхностни </w:t>
            </w:r>
            <w:r w:rsidRPr="00171DED">
              <w:rPr>
                <w:rFonts w:ascii="Times New Roman" w:eastAsia="Times New Roman" w:hAnsi="Times New Roman" w:cs="Times New Roman"/>
                <w:bCs/>
                <w:sz w:val="24"/>
                <w:szCs w:val="24"/>
                <w:lang w:eastAsia="zh-CN"/>
              </w:rPr>
              <w:t>водни тела, от което се налага изводът, че страната следва да инвестира допълнително за постигане целите за добро състояние</w:t>
            </w:r>
            <w:r w:rsidR="002514D4" w:rsidRPr="00171DED">
              <w:rPr>
                <w:rFonts w:ascii="Times New Roman" w:eastAsia="Times New Roman" w:hAnsi="Times New Roman" w:cs="Times New Roman"/>
                <w:bCs/>
                <w:sz w:val="24"/>
                <w:szCs w:val="24"/>
                <w:lang w:eastAsia="zh-CN"/>
              </w:rPr>
              <w:t xml:space="preserve"> на водите в съответствие с </w:t>
            </w:r>
            <w:r w:rsidRPr="00171DED">
              <w:rPr>
                <w:rFonts w:ascii="Times New Roman" w:eastAsia="Times New Roman" w:hAnsi="Times New Roman" w:cs="Times New Roman"/>
                <w:bCs/>
                <w:sz w:val="24"/>
                <w:szCs w:val="24"/>
                <w:lang w:eastAsia="zh-CN"/>
              </w:rPr>
              <w:t>Рамковата директива за водите</w:t>
            </w:r>
            <w:r w:rsidR="003E4672">
              <w:rPr>
                <w:rFonts w:ascii="Times New Roman" w:eastAsia="Times New Roman" w:hAnsi="Times New Roman" w:cs="Times New Roman"/>
                <w:bCs/>
                <w:sz w:val="24"/>
                <w:szCs w:val="24"/>
                <w:lang w:eastAsia="zh-CN"/>
              </w:rPr>
              <w:t xml:space="preserve"> (РДВ)</w:t>
            </w:r>
            <w:r w:rsidR="00E5464F" w:rsidRPr="00171DED">
              <w:rPr>
                <w:rFonts w:ascii="Times New Roman" w:eastAsia="Times New Roman" w:hAnsi="Times New Roman" w:cs="Times New Roman"/>
                <w:bCs/>
                <w:sz w:val="24"/>
                <w:szCs w:val="24"/>
                <w:lang w:eastAsia="zh-CN"/>
              </w:rPr>
              <w:t xml:space="preserve">. </w:t>
            </w:r>
            <w:r w:rsidR="00444779" w:rsidRPr="00171DED">
              <w:rPr>
                <w:rFonts w:ascii="Times New Roman" w:eastAsia="Times New Roman" w:hAnsi="Times New Roman" w:cs="Times New Roman"/>
                <w:bCs/>
                <w:sz w:val="24"/>
                <w:szCs w:val="24"/>
                <w:lang w:eastAsia="zh-CN"/>
              </w:rPr>
              <w:t xml:space="preserve">В тази връзка е необходимо да продължат усилията за подобряване на </w:t>
            </w:r>
            <w:r w:rsidR="00A52A7D" w:rsidRPr="00171DED">
              <w:rPr>
                <w:rFonts w:ascii="Times New Roman" w:eastAsia="Times New Roman" w:hAnsi="Times New Roman" w:cs="Times New Roman"/>
                <w:bCs/>
                <w:sz w:val="24"/>
                <w:szCs w:val="24"/>
                <w:lang w:eastAsia="zh-CN"/>
              </w:rPr>
              <w:t xml:space="preserve"> </w:t>
            </w:r>
            <w:r w:rsidR="00BD1A5D" w:rsidRPr="00171DED">
              <w:rPr>
                <w:rFonts w:ascii="Times New Roman" w:eastAsia="Times New Roman" w:hAnsi="Times New Roman" w:cs="Times New Roman"/>
                <w:bCs/>
                <w:sz w:val="24"/>
                <w:szCs w:val="24"/>
                <w:lang w:eastAsia="zh-CN"/>
              </w:rPr>
              <w:t>с</w:t>
            </w:r>
            <w:r w:rsidR="00A52A7D" w:rsidRPr="00171DED">
              <w:rPr>
                <w:rFonts w:ascii="Times New Roman" w:eastAsia="Times New Roman" w:hAnsi="Times New Roman" w:cs="Times New Roman"/>
                <w:bCs/>
                <w:sz w:val="24"/>
                <w:szCs w:val="24"/>
                <w:lang w:eastAsia="zh-CN"/>
              </w:rPr>
              <w:t>ъстоянието на водните тела, чрез изпълнение на мерките, заложени в ПУРБ.</w:t>
            </w:r>
          </w:p>
          <w:p w14:paraId="0FF70F42" w14:textId="67913ECF" w:rsidR="002D3E66" w:rsidRPr="00171DED" w:rsidRDefault="00180B1E"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6D49A415" w14:textId="6C770D76" w:rsidR="002D3E66" w:rsidRPr="00E66844" w:rsidRDefault="00180B1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Националната програма за развитие България 2030 и UNO цел „Осигуряване на достъпно и устойчиво управление на водните и канализационни мрежи за всички“. Допустимите мерки ще осигурят допълняемост с индикативните дейности, посочени в чл. 4, </w:t>
            </w:r>
            <w:proofErr w:type="spellStart"/>
            <w:r w:rsidRPr="00171DED">
              <w:rPr>
                <w:rFonts w:ascii="Times New Roman" w:eastAsia="Times New Roman" w:hAnsi="Times New Roman" w:cs="Times New Roman"/>
                <w:bCs/>
                <w:sz w:val="24"/>
                <w:szCs w:val="24"/>
                <w:lang w:eastAsia="zh-CN"/>
              </w:rPr>
              <w:t>пар</w:t>
            </w:r>
            <w:proofErr w:type="spellEnd"/>
            <w:r w:rsidRPr="00171DED">
              <w:rPr>
                <w:rFonts w:ascii="Times New Roman" w:eastAsia="Times New Roman" w:hAnsi="Times New Roman" w:cs="Times New Roman"/>
                <w:bCs/>
                <w:sz w:val="24"/>
                <w:szCs w:val="24"/>
                <w:lang w:eastAsia="zh-CN"/>
              </w:rPr>
              <w:t>. 2</w:t>
            </w:r>
            <w:r w:rsidR="009600CC" w:rsidRPr="00171DED">
              <w:rPr>
                <w:rFonts w:ascii="Times New Roman" w:eastAsia="Times New Roman" w:hAnsi="Times New Roman" w:cs="Times New Roman"/>
                <w:bCs/>
                <w:sz w:val="24"/>
                <w:szCs w:val="24"/>
                <w:lang w:eastAsia="zh-CN"/>
              </w:rPr>
              <w:t>, б. г</w:t>
            </w:r>
            <w:r w:rsidRPr="00171DED">
              <w:rPr>
                <w:rFonts w:ascii="Times New Roman" w:eastAsia="Times New Roman" w:hAnsi="Times New Roman" w:cs="Times New Roman"/>
                <w:bCs/>
                <w:sz w:val="24"/>
                <w:szCs w:val="24"/>
                <w:lang w:eastAsia="zh-CN"/>
              </w:rPr>
              <w:t xml:space="preserve"> на проекта на Регламент, с който се създава Фонда за справедлив преход</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9600CC" w:rsidRPr="00171DED">
              <w:rPr>
                <w:rFonts w:ascii="Times New Roman" w:eastAsia="Times New Roman" w:hAnsi="Times New Roman" w:cs="Times New Roman"/>
                <w:bCs/>
                <w:sz w:val="24"/>
                <w:szCs w:val="24"/>
                <w:lang w:eastAsia="zh-CN"/>
              </w:rPr>
              <w:t>„инвестиции във внедряването на технологии и инфраструктури за чиста енергия на достъпна цена, в намаляването на емисиите на парникови газове, в енергийната ефективност и енергията от възобновяеми енергийни източници (разглеждайки възможностите за оползотворяване на утайките от пречиствателните станции за отпадъчни води)</w:t>
            </w:r>
            <w:r w:rsidR="00444370">
              <w:rPr>
                <w:rFonts w:ascii="Times New Roman" w:eastAsia="Times New Roman" w:hAnsi="Times New Roman" w:cs="Times New Roman"/>
                <w:bCs/>
                <w:sz w:val="24"/>
                <w:szCs w:val="24"/>
                <w:lang w:eastAsia="zh-CN"/>
              </w:rPr>
              <w:t>“</w:t>
            </w:r>
            <w:r w:rsidR="009600CC" w:rsidRPr="00171DED">
              <w:rPr>
                <w:rFonts w:ascii="Times New Roman" w:eastAsia="Times New Roman" w:hAnsi="Times New Roman" w:cs="Times New Roman"/>
                <w:bCs/>
                <w:sz w:val="24"/>
                <w:szCs w:val="24"/>
                <w:lang w:eastAsia="zh-CN"/>
              </w:rPr>
              <w:t xml:space="preserve">. </w:t>
            </w:r>
          </w:p>
          <w:p w14:paraId="57046C29" w14:textId="5A72F4BE" w:rsidR="002D3E66" w:rsidRPr="00171DED" w:rsidRDefault="004B7BB3"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III. Отпадъци</w:t>
            </w:r>
          </w:p>
          <w:p w14:paraId="40AF2063" w14:textId="77777777" w:rsidR="002D3E66" w:rsidRPr="00171DED" w:rsidRDefault="004B7BB3"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53D3A725" w:rsidR="002D3E66" w:rsidRPr="00171DED" w:rsidRDefault="004B7BB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политиките в сферата на </w:t>
            </w:r>
            <w:r w:rsidRPr="00171DED">
              <w:rPr>
                <w:rFonts w:ascii="Times New Roman" w:eastAsia="Times New Roman" w:hAnsi="Times New Roman" w:cs="Times New Roman"/>
                <w:b/>
                <w:sz w:val="24"/>
                <w:szCs w:val="24"/>
                <w:lang w:eastAsia="zh-CN"/>
              </w:rPr>
              <w:t>отпадъците</w:t>
            </w:r>
            <w:r w:rsidRPr="00171DED">
              <w:rPr>
                <w:rFonts w:ascii="Times New Roman" w:eastAsia="Times New Roman" w:hAnsi="Times New Roman" w:cs="Times New Roman"/>
                <w:bCs/>
                <w:sz w:val="24"/>
                <w:szCs w:val="24"/>
                <w:lang w:eastAsia="zh-CN"/>
              </w:rPr>
              <w:t xml:space="preserve"> и ефективната употреба на ресурси се наблюдава намаление в ресурсната интензивност на икономиката, но с изоставащи темпове спрямо тази в ЕС. Съществен елемент на ресурсната ефективност е рециклирането чрез повторно вътрешно използване на материалите и намаляване </w:t>
            </w:r>
            <w:r w:rsidR="00352BD6" w:rsidRPr="00171DED">
              <w:rPr>
                <w:rFonts w:ascii="Times New Roman" w:eastAsia="Times New Roman" w:hAnsi="Times New Roman" w:cs="Times New Roman"/>
                <w:bCs/>
                <w:sz w:val="24"/>
                <w:szCs w:val="24"/>
                <w:lang w:eastAsia="zh-CN"/>
              </w:rPr>
              <w:t xml:space="preserve">образуването </w:t>
            </w:r>
            <w:r w:rsidRPr="00171DED">
              <w:rPr>
                <w:rFonts w:ascii="Times New Roman" w:eastAsia="Times New Roman" w:hAnsi="Times New Roman" w:cs="Times New Roman"/>
                <w:bCs/>
                <w:sz w:val="24"/>
                <w:szCs w:val="24"/>
                <w:lang w:eastAsia="zh-CN"/>
              </w:rPr>
              <w:t xml:space="preserve">на отпадъци. В тази връзка, </w:t>
            </w:r>
            <w:r w:rsidR="004C401A" w:rsidRPr="00171DED">
              <w:rPr>
                <w:rFonts w:ascii="Times New Roman" w:eastAsia="Times New Roman" w:hAnsi="Times New Roman" w:cs="Times New Roman"/>
                <w:bCs/>
                <w:sz w:val="24"/>
                <w:szCs w:val="24"/>
                <w:lang w:eastAsia="zh-CN"/>
              </w:rPr>
              <w:t xml:space="preserve">са предприети </w:t>
            </w:r>
            <w:r w:rsidRPr="00171DED">
              <w:rPr>
                <w:rFonts w:ascii="Times New Roman" w:eastAsia="Times New Roman" w:hAnsi="Times New Roman" w:cs="Times New Roman"/>
                <w:bCs/>
                <w:sz w:val="24"/>
                <w:szCs w:val="24"/>
                <w:lang w:eastAsia="zh-CN"/>
              </w:rPr>
              <w:t xml:space="preserve"> инициативи,</w:t>
            </w:r>
            <w:r w:rsidR="004C401A" w:rsidRPr="00171DED">
              <w:rPr>
                <w:rFonts w:ascii="Times New Roman" w:eastAsia="Times New Roman" w:hAnsi="Times New Roman" w:cs="Times New Roman"/>
                <w:bCs/>
                <w:sz w:val="24"/>
                <w:szCs w:val="24"/>
                <w:lang w:eastAsia="zh-CN"/>
              </w:rPr>
              <w:t xml:space="preserve"> вкл. законодателни, за съобразяване на</w:t>
            </w:r>
            <w:r w:rsidRPr="00171DED">
              <w:rPr>
                <w:rFonts w:ascii="Times New Roman" w:eastAsia="Times New Roman" w:hAnsi="Times New Roman" w:cs="Times New Roman"/>
                <w:bCs/>
                <w:sz w:val="24"/>
                <w:szCs w:val="24"/>
                <w:lang w:eastAsia="zh-CN"/>
              </w:rPr>
              <w:t xml:space="preserve"> политиките на България с политиките на Европейско ниво</w:t>
            </w:r>
            <w:r w:rsidR="004C401A" w:rsidRPr="00171DED">
              <w:rPr>
                <w:rFonts w:ascii="Times New Roman" w:eastAsia="Times New Roman" w:hAnsi="Times New Roman" w:cs="Times New Roman"/>
                <w:bCs/>
                <w:sz w:val="24"/>
                <w:szCs w:val="24"/>
                <w:lang w:eastAsia="zh-CN"/>
              </w:rPr>
              <w:t xml:space="preserve"> за намаляване на количеството на отпадъците и за прехода към кръгова икономика</w:t>
            </w:r>
            <w:r w:rsidRPr="00171DED">
              <w:rPr>
                <w:rFonts w:ascii="Times New Roman" w:eastAsia="Times New Roman" w:hAnsi="Times New Roman" w:cs="Times New Roman"/>
                <w:bCs/>
                <w:sz w:val="24"/>
                <w:szCs w:val="24"/>
                <w:lang w:eastAsia="zh-CN"/>
              </w:rPr>
              <w:t>.</w:t>
            </w:r>
          </w:p>
          <w:p w14:paraId="355E1E8F" w14:textId="5A40A848" w:rsidR="002D3E66" w:rsidRPr="00171DED" w:rsidRDefault="004B7BB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 xml:space="preserve">Следва да се отбележат постигнатите съществени резултати – генерираните битови отпадъци са с тенденция на трайно намаление през последните десет години, </w:t>
            </w:r>
            <w:r w:rsidR="004C401A" w:rsidRPr="00171DED">
              <w:rPr>
                <w:rFonts w:ascii="Times New Roman" w:eastAsia="Times New Roman" w:hAnsi="Times New Roman" w:cs="Times New Roman"/>
                <w:bCs/>
                <w:sz w:val="24"/>
                <w:szCs w:val="24"/>
                <w:lang w:eastAsia="zh-CN"/>
              </w:rPr>
              <w:t xml:space="preserve">но все още </w:t>
            </w:r>
            <w:r w:rsidR="00B47F33" w:rsidRPr="005B2492">
              <w:rPr>
                <w:rFonts w:ascii="Times New Roman" w:eastAsia="Times New Roman" w:hAnsi="Times New Roman" w:cs="Times New Roman"/>
                <w:bCs/>
                <w:sz w:val="24"/>
                <w:szCs w:val="24"/>
                <w:lang w:eastAsia="zh-CN"/>
              </w:rPr>
              <w:t>депонирането на битови отпадъци</w:t>
            </w:r>
            <w:r w:rsidR="00B47F33" w:rsidRPr="00171DED">
              <w:rPr>
                <w:rFonts w:ascii="Times New Roman" w:eastAsia="Times New Roman" w:hAnsi="Times New Roman" w:cs="Times New Roman"/>
                <w:bCs/>
                <w:sz w:val="24"/>
                <w:szCs w:val="24"/>
                <w:lang w:eastAsia="zh-CN"/>
              </w:rPr>
              <w:t xml:space="preserve"> </w:t>
            </w:r>
            <w:r w:rsidR="004C401A" w:rsidRPr="00171DED">
              <w:rPr>
                <w:rFonts w:ascii="Times New Roman" w:eastAsia="Times New Roman" w:hAnsi="Times New Roman" w:cs="Times New Roman"/>
                <w:bCs/>
                <w:sz w:val="24"/>
                <w:szCs w:val="24"/>
                <w:lang w:eastAsia="zh-CN"/>
              </w:rPr>
              <w:t>остава над три пъти повече от средното ниво за ЕС27. Д</w:t>
            </w:r>
            <w:r w:rsidRPr="00171DED">
              <w:rPr>
                <w:rFonts w:ascii="Times New Roman" w:eastAsia="Times New Roman" w:hAnsi="Times New Roman" w:cs="Times New Roman"/>
                <w:bCs/>
                <w:sz w:val="24"/>
                <w:szCs w:val="24"/>
                <w:lang w:eastAsia="zh-CN"/>
              </w:rPr>
              <w:t xml:space="preserve">елът на третираните битови отпадъци нараства, </w:t>
            </w:r>
            <w:r w:rsidR="004C401A" w:rsidRPr="00171DED">
              <w:rPr>
                <w:rFonts w:ascii="Times New Roman" w:eastAsia="Times New Roman" w:hAnsi="Times New Roman" w:cs="Times New Roman"/>
                <w:bCs/>
                <w:sz w:val="24"/>
                <w:szCs w:val="24"/>
                <w:lang w:eastAsia="zh-CN"/>
              </w:rPr>
              <w:t xml:space="preserve">но намаляването на дела на отпадъците, които </w:t>
            </w:r>
            <w:r w:rsidR="00B47F33">
              <w:rPr>
                <w:rFonts w:ascii="Times New Roman" w:eastAsia="Times New Roman" w:hAnsi="Times New Roman" w:cs="Times New Roman"/>
                <w:bCs/>
                <w:sz w:val="24"/>
                <w:szCs w:val="24"/>
                <w:lang w:eastAsia="zh-CN"/>
              </w:rPr>
              <w:t>са обезвредени</w:t>
            </w:r>
            <w:r w:rsidR="004C401A" w:rsidRPr="00171DED">
              <w:rPr>
                <w:rFonts w:ascii="Times New Roman" w:eastAsia="Times New Roman" w:hAnsi="Times New Roman" w:cs="Times New Roman"/>
                <w:bCs/>
                <w:sz w:val="24"/>
                <w:szCs w:val="24"/>
                <w:lang w:eastAsia="zh-CN"/>
              </w:rPr>
              <w:t xml:space="preserve"> на депа, остава предизвикателство.</w:t>
            </w:r>
            <w:r w:rsidR="0077072F">
              <w:rPr>
                <w:rFonts w:ascii="Times New Roman" w:eastAsia="Times New Roman" w:hAnsi="Times New Roman" w:cs="Times New Roman"/>
                <w:bCs/>
                <w:sz w:val="24"/>
                <w:szCs w:val="24"/>
                <w:lang w:eastAsia="zh-CN"/>
              </w:rPr>
              <w:t xml:space="preserve"> </w:t>
            </w:r>
            <w:r w:rsidR="004C401A" w:rsidRPr="00171DED">
              <w:rPr>
                <w:rFonts w:ascii="Times New Roman" w:eastAsia="Times New Roman" w:hAnsi="Times New Roman" w:cs="Times New Roman"/>
                <w:bCs/>
                <w:sz w:val="24"/>
                <w:szCs w:val="24"/>
                <w:lang w:eastAsia="zh-CN"/>
              </w:rPr>
              <w:t>След присъединяването към ЕС относителният дял на депонираните отпадъци намалява значително, но нивото, постигнато през 2017 г. (61,8%), остава по-високо от средното за ЕС</w:t>
            </w:r>
            <w:r w:rsidRPr="00171DED">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171DED">
              <w:rPr>
                <w:rFonts w:ascii="Times New Roman" w:eastAsia="Times New Roman" w:hAnsi="Times New Roman" w:cs="Times New Roman"/>
                <w:bCs/>
                <w:sz w:val="24"/>
                <w:szCs w:val="24"/>
                <w:lang w:eastAsia="zh-CN"/>
              </w:rPr>
              <w:t xml:space="preserve">8 </w:t>
            </w:r>
            <w:r w:rsidR="003C17B1" w:rsidRPr="00171DED">
              <w:rPr>
                <w:rFonts w:ascii="Times New Roman" w:eastAsia="Times New Roman" w:hAnsi="Times New Roman" w:cs="Times New Roman"/>
                <w:bCs/>
                <w:sz w:val="24"/>
                <w:szCs w:val="24"/>
                <w:lang w:eastAsia="zh-CN"/>
              </w:rPr>
              <w:t>% и включва 4 6</w:t>
            </w:r>
            <w:r w:rsidR="004C401A" w:rsidRPr="00171DED">
              <w:rPr>
                <w:rFonts w:ascii="Times New Roman" w:eastAsia="Times New Roman" w:hAnsi="Times New Roman" w:cs="Times New Roman"/>
                <w:bCs/>
                <w:sz w:val="24"/>
                <w:szCs w:val="24"/>
                <w:lang w:eastAsia="zh-CN"/>
              </w:rPr>
              <w:t>98</w:t>
            </w:r>
            <w:r w:rsidR="003C17B1" w:rsidRPr="00171DED">
              <w:rPr>
                <w:rFonts w:ascii="Times New Roman" w:eastAsia="Times New Roman" w:hAnsi="Times New Roman" w:cs="Times New Roman"/>
                <w:bCs/>
                <w:sz w:val="24"/>
                <w:szCs w:val="24"/>
                <w:lang w:eastAsia="zh-CN"/>
              </w:rPr>
              <w:t xml:space="preserve"> населени места (НСИ 201</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xml:space="preserve"> г.)</w:t>
            </w:r>
            <w:r w:rsidR="001B5E1C" w:rsidRPr="00E66844">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Нивото на рециклиране е 34,6 %, което все още е далеч от стойностите от 46,4 % на ниво ЕС. </w:t>
            </w:r>
            <w:r w:rsidR="00D32E63">
              <w:t xml:space="preserve"> </w:t>
            </w:r>
            <w:r w:rsidR="00D32E63" w:rsidRPr="00D32E63">
              <w:rPr>
                <w:rFonts w:ascii="Times New Roman" w:eastAsia="Times New Roman" w:hAnsi="Times New Roman" w:cs="Times New Roman"/>
                <w:bCs/>
                <w:sz w:val="24"/>
                <w:szCs w:val="24"/>
                <w:lang w:eastAsia="zh-CN"/>
              </w:rPr>
              <w:t xml:space="preserve">Например, въпреки че </w:t>
            </w:r>
            <w:r w:rsidR="00AD2473">
              <w:rPr>
                <w:rFonts w:ascii="Times New Roman" w:eastAsia="Times New Roman" w:hAnsi="Times New Roman" w:cs="Times New Roman"/>
                <w:bCs/>
                <w:sz w:val="24"/>
                <w:szCs w:val="24"/>
                <w:lang w:eastAsia="zh-CN"/>
              </w:rPr>
              <w:t>преобладаващата част</w:t>
            </w:r>
            <w:r w:rsidR="00D32E63" w:rsidRPr="00D32E63">
              <w:rPr>
                <w:rFonts w:ascii="Times New Roman" w:eastAsia="Times New Roman" w:hAnsi="Times New Roman" w:cs="Times New Roman"/>
                <w:bCs/>
                <w:sz w:val="24"/>
                <w:szCs w:val="24"/>
                <w:lang w:eastAsia="zh-CN"/>
              </w:rPr>
              <w:t xml:space="preserve"> отпадъци от строителство и разрушаване имат висок потенциал за рециклиране и оползотворяване </w:t>
            </w:r>
            <w:r w:rsidR="00F85FAD">
              <w:rPr>
                <w:rFonts w:ascii="Times New Roman" w:eastAsia="Times New Roman" w:hAnsi="Times New Roman" w:cs="Times New Roman"/>
                <w:bCs/>
                <w:sz w:val="24"/>
                <w:szCs w:val="24"/>
                <w:lang w:eastAsia="zh-CN"/>
              </w:rPr>
              <w:t xml:space="preserve">и </w:t>
            </w:r>
            <w:r w:rsidR="00F85FAD" w:rsidRPr="00171DED">
              <w:rPr>
                <w:rFonts w:ascii="Times New Roman" w:eastAsia="Times New Roman" w:hAnsi="Times New Roman" w:cs="Times New Roman"/>
                <w:bCs/>
                <w:sz w:val="24"/>
                <w:szCs w:val="24"/>
                <w:lang w:eastAsia="zh-CN"/>
              </w:rPr>
              <w:t xml:space="preserve">има </w:t>
            </w:r>
            <w:r w:rsidR="00F85FAD">
              <w:rPr>
                <w:rFonts w:ascii="Times New Roman" w:eastAsia="Times New Roman" w:hAnsi="Times New Roman" w:cs="Times New Roman"/>
                <w:bCs/>
                <w:sz w:val="24"/>
                <w:szCs w:val="24"/>
                <w:lang w:eastAsia="zh-CN"/>
              </w:rPr>
              <w:t>различни</w:t>
            </w:r>
            <w:r w:rsidR="00AF2610">
              <w:rPr>
                <w:rFonts w:ascii="Times New Roman" w:eastAsia="Times New Roman" w:hAnsi="Times New Roman" w:cs="Times New Roman"/>
                <w:bCs/>
                <w:sz w:val="24"/>
                <w:szCs w:val="24"/>
                <w:lang w:eastAsia="zh-CN"/>
              </w:rPr>
              <w:t>,</w:t>
            </w:r>
            <w:r w:rsidR="00F85FAD">
              <w:rPr>
                <w:rFonts w:ascii="Times New Roman" w:eastAsia="Times New Roman" w:hAnsi="Times New Roman" w:cs="Times New Roman"/>
                <w:bCs/>
                <w:sz w:val="24"/>
                <w:szCs w:val="24"/>
                <w:lang w:eastAsia="zh-CN"/>
              </w:rPr>
              <w:t xml:space="preserve"> </w:t>
            </w:r>
            <w:r w:rsidR="00F85FAD" w:rsidRPr="00171DED">
              <w:rPr>
                <w:rFonts w:ascii="Times New Roman" w:eastAsia="Times New Roman" w:hAnsi="Times New Roman" w:cs="Times New Roman"/>
                <w:bCs/>
                <w:sz w:val="24"/>
                <w:szCs w:val="24"/>
                <w:lang w:eastAsia="zh-CN"/>
              </w:rPr>
              <w:t xml:space="preserve">достъпни технологии за рециклиране, </w:t>
            </w:r>
            <w:r w:rsidR="00AF2610">
              <w:rPr>
                <w:rFonts w:ascii="Times New Roman" w:eastAsia="Times New Roman" w:hAnsi="Times New Roman" w:cs="Times New Roman"/>
                <w:bCs/>
                <w:sz w:val="24"/>
                <w:szCs w:val="24"/>
                <w:lang w:eastAsia="zh-CN"/>
              </w:rPr>
              <w:t>и</w:t>
            </w:r>
            <w:r w:rsidR="00AF2610" w:rsidRPr="00171DED">
              <w:rPr>
                <w:rFonts w:ascii="Times New Roman" w:eastAsia="Times New Roman" w:hAnsi="Times New Roman" w:cs="Times New Roman"/>
                <w:bCs/>
                <w:sz w:val="24"/>
                <w:szCs w:val="24"/>
                <w:lang w:eastAsia="zh-CN"/>
              </w:rPr>
              <w:t xml:space="preserve">зводите от НПУО 2021-2028 г. и Стратегията и плана за действие за преход към кръгова икономика </w:t>
            </w:r>
            <w:r w:rsidR="00AF2610" w:rsidRPr="00C66658">
              <w:rPr>
                <w:rFonts w:ascii="Times New Roman" w:eastAsia="Times New Roman" w:hAnsi="Times New Roman" w:cs="Times New Roman"/>
                <w:bCs/>
                <w:sz w:val="24"/>
                <w:szCs w:val="24"/>
                <w:lang w:eastAsia="zh-CN"/>
              </w:rPr>
              <w:t>2021-2027</w:t>
            </w:r>
            <w:r w:rsidR="00AF2610" w:rsidRPr="00171DED">
              <w:rPr>
                <w:rFonts w:ascii="Times New Roman" w:eastAsia="Times New Roman" w:hAnsi="Times New Roman" w:cs="Times New Roman"/>
                <w:bCs/>
                <w:sz w:val="24"/>
                <w:szCs w:val="24"/>
                <w:lang w:eastAsia="zh-CN"/>
              </w:rPr>
              <w:t xml:space="preserve"> г. показват</w:t>
            </w:r>
            <w:r w:rsidR="00AF2610">
              <w:rPr>
                <w:rFonts w:ascii="Times New Roman" w:eastAsia="Times New Roman" w:hAnsi="Times New Roman" w:cs="Times New Roman"/>
                <w:bCs/>
                <w:sz w:val="24"/>
                <w:szCs w:val="24"/>
                <w:lang w:eastAsia="zh-CN"/>
              </w:rPr>
              <w:t>,</w:t>
            </w:r>
            <w:r w:rsidR="00AF2610" w:rsidRPr="00171DED">
              <w:rPr>
                <w:rFonts w:ascii="Times New Roman" w:eastAsia="Times New Roman" w:hAnsi="Times New Roman" w:cs="Times New Roman"/>
                <w:bCs/>
                <w:sz w:val="24"/>
                <w:szCs w:val="24"/>
                <w:lang w:eastAsia="zh-CN"/>
              </w:rPr>
              <w:t xml:space="preserve"> </w:t>
            </w:r>
            <w:r w:rsidR="00AD2473">
              <w:rPr>
                <w:rFonts w:ascii="Times New Roman" w:eastAsia="Times New Roman" w:hAnsi="Times New Roman" w:cs="Times New Roman"/>
                <w:bCs/>
                <w:sz w:val="24"/>
                <w:szCs w:val="24"/>
                <w:lang w:eastAsia="zh-CN"/>
              </w:rPr>
              <w:t>че</w:t>
            </w:r>
            <w:r w:rsidR="00F85FAD" w:rsidRPr="00171DED">
              <w:rPr>
                <w:rFonts w:ascii="Times New Roman" w:eastAsia="Times New Roman" w:hAnsi="Times New Roman" w:cs="Times New Roman"/>
                <w:bCs/>
                <w:sz w:val="24"/>
                <w:szCs w:val="24"/>
                <w:lang w:eastAsia="zh-CN"/>
              </w:rPr>
              <w:t xml:space="preserve"> няма достатъчно изграден капацитет за рециклиране на този тип отпадъци</w:t>
            </w:r>
            <w:r w:rsidR="00AD2473">
              <w:rPr>
                <w:rFonts w:ascii="Times New Roman" w:eastAsia="Times New Roman" w:hAnsi="Times New Roman" w:cs="Times New Roman"/>
                <w:bCs/>
                <w:sz w:val="24"/>
                <w:szCs w:val="24"/>
                <w:lang w:eastAsia="zh-CN"/>
              </w:rPr>
              <w:t xml:space="preserve"> и </w:t>
            </w:r>
            <w:r w:rsidR="00AF2610" w:rsidRPr="00171DED">
              <w:rPr>
                <w:rFonts w:ascii="Times New Roman" w:eastAsia="Times New Roman" w:hAnsi="Times New Roman" w:cs="Times New Roman"/>
                <w:bCs/>
                <w:sz w:val="24"/>
                <w:szCs w:val="24"/>
                <w:lang w:eastAsia="zh-CN"/>
              </w:rPr>
              <w:t xml:space="preserve">нерегламентираното </w:t>
            </w:r>
            <w:r w:rsidR="00AF2610">
              <w:rPr>
                <w:rFonts w:ascii="Times New Roman" w:eastAsia="Times New Roman" w:hAnsi="Times New Roman" w:cs="Times New Roman"/>
                <w:bCs/>
                <w:sz w:val="24"/>
                <w:szCs w:val="24"/>
                <w:lang w:eastAsia="zh-CN"/>
              </w:rPr>
              <w:t xml:space="preserve">им </w:t>
            </w:r>
            <w:r w:rsidR="00AF2610" w:rsidRPr="00171DED">
              <w:rPr>
                <w:rFonts w:ascii="Times New Roman" w:eastAsia="Times New Roman" w:hAnsi="Times New Roman" w:cs="Times New Roman"/>
                <w:bCs/>
                <w:sz w:val="24"/>
                <w:szCs w:val="24"/>
                <w:lang w:eastAsia="zh-CN"/>
              </w:rPr>
              <w:t>депониране все още се наблюдава на практика</w:t>
            </w:r>
            <w:r w:rsidR="00AF2610">
              <w:rPr>
                <w:rFonts w:ascii="Times New Roman" w:eastAsia="Times New Roman" w:hAnsi="Times New Roman" w:cs="Times New Roman"/>
                <w:bCs/>
                <w:sz w:val="24"/>
                <w:szCs w:val="24"/>
                <w:lang w:eastAsia="zh-CN"/>
              </w:rPr>
              <w:t>.</w:t>
            </w:r>
          </w:p>
          <w:p w14:paraId="6A3045F3" w14:textId="4BAB1FD4" w:rsidR="0077072F" w:rsidRDefault="00AA63F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През 2007-2013 и 2014-2020 г. подкрепа е осигурена за постигането на целите до 2020 г. по управление на отпадъците на общините и на ниво регион за управление на отпадъците. Общо над 260 млн. евро чрез ОПОС 2014-2020 г. са насочени към осигуряване разделно събиране на зелени и/или биоразградими битови отпадъци и изграждане на  компостиращи инсталации (43 бр.</w:t>
            </w:r>
            <w:r w:rsidR="0077072F">
              <w:rPr>
                <w:rFonts w:ascii="Times New Roman" w:eastAsia="Times New Roman" w:hAnsi="Times New Roman" w:cs="Times New Roman"/>
                <w:bCs/>
                <w:sz w:val="24"/>
                <w:szCs w:val="24"/>
                <w:lang w:eastAsia="zh-CN"/>
              </w:rPr>
              <w:t xml:space="preserve"> за</w:t>
            </w:r>
            <w:r w:rsidRPr="00171DED">
              <w:rPr>
                <w:rFonts w:ascii="Times New Roman" w:eastAsia="Times New Roman" w:hAnsi="Times New Roman" w:cs="Times New Roman"/>
                <w:bCs/>
                <w:sz w:val="24"/>
                <w:szCs w:val="24"/>
                <w:lang w:eastAsia="zh-CN"/>
              </w:rPr>
              <w:t xml:space="preserve"> 98 общини от 24 региона за управление на отпадъците)</w:t>
            </w:r>
            <w:r w:rsidR="0077072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на анаеробни инсталации (3 бр.</w:t>
            </w:r>
            <w:r w:rsidR="0077072F">
              <w:rPr>
                <w:rFonts w:ascii="Times New Roman" w:eastAsia="Times New Roman" w:hAnsi="Times New Roman" w:cs="Times New Roman"/>
                <w:bCs/>
                <w:sz w:val="24"/>
                <w:szCs w:val="24"/>
                <w:lang w:eastAsia="zh-CN"/>
              </w:rPr>
              <w:t xml:space="preserve"> за </w:t>
            </w:r>
            <w:r w:rsidRPr="00171DED">
              <w:rPr>
                <w:rFonts w:ascii="Times New Roman" w:eastAsia="Times New Roman" w:hAnsi="Times New Roman" w:cs="Times New Roman"/>
                <w:bCs/>
                <w:sz w:val="24"/>
                <w:szCs w:val="24"/>
                <w:lang w:eastAsia="zh-CN"/>
              </w:rPr>
              <w:t xml:space="preserve">13 общини от 3 региона) и инсталации за предварително третиране </w:t>
            </w:r>
            <w:r w:rsidR="0077072F">
              <w:rPr>
                <w:rFonts w:ascii="Times New Roman" w:eastAsia="Times New Roman" w:hAnsi="Times New Roman" w:cs="Times New Roman"/>
                <w:bCs/>
                <w:sz w:val="24"/>
                <w:szCs w:val="24"/>
                <w:lang w:eastAsia="zh-CN"/>
              </w:rPr>
              <w:t>(</w:t>
            </w:r>
            <w:r w:rsidR="0077072F" w:rsidRPr="00171DED">
              <w:rPr>
                <w:rFonts w:ascii="Times New Roman" w:eastAsia="Times New Roman" w:hAnsi="Times New Roman" w:cs="Times New Roman"/>
                <w:bCs/>
                <w:sz w:val="24"/>
                <w:szCs w:val="24"/>
                <w:lang w:eastAsia="zh-CN"/>
              </w:rPr>
              <w:t>19 бр.</w:t>
            </w:r>
            <w:r w:rsidR="0077072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за 74 общини от 17 региона</w:t>
            </w:r>
            <w:r w:rsidR="0077072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както и </w:t>
            </w:r>
            <w:r w:rsidR="0077072F">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r w:rsidR="0077072F">
              <w:rPr>
                <w:rFonts w:ascii="Times New Roman" w:eastAsia="Times New Roman" w:hAnsi="Times New Roman" w:cs="Times New Roman"/>
                <w:bCs/>
                <w:sz w:val="24"/>
                <w:szCs w:val="24"/>
                <w:lang w:eastAsia="zh-CN"/>
              </w:rPr>
              <w:t xml:space="preserve">(за </w:t>
            </w:r>
            <w:r w:rsidRPr="00171DED">
              <w:rPr>
                <w:rFonts w:ascii="Times New Roman" w:eastAsia="Times New Roman" w:hAnsi="Times New Roman" w:cs="Times New Roman"/>
                <w:bCs/>
                <w:sz w:val="24"/>
                <w:szCs w:val="24"/>
                <w:lang w:eastAsia="zh-CN"/>
              </w:rPr>
              <w:t xml:space="preserve">1 община </w:t>
            </w:r>
            <w:r w:rsidR="0077072F">
              <w:rPr>
                <w:rFonts w:ascii="Times New Roman" w:eastAsia="Times New Roman" w:hAnsi="Times New Roman" w:cs="Times New Roman"/>
                <w:bCs/>
                <w:sz w:val="24"/>
                <w:szCs w:val="24"/>
                <w:lang w:eastAsia="zh-CN"/>
              </w:rPr>
              <w:t>от</w:t>
            </w:r>
            <w:r w:rsidR="0077072F"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1 регион</w:t>
            </w:r>
            <w:r w:rsidR="0077072F">
              <w:rPr>
                <w:rFonts w:ascii="Times New Roman" w:eastAsia="Times New Roman" w:hAnsi="Times New Roman" w:cs="Times New Roman"/>
                <w:bCs/>
                <w:sz w:val="24"/>
                <w:szCs w:val="24"/>
                <w:lang w:eastAsia="zh-CN"/>
              </w:rPr>
              <w:t>)</w:t>
            </w:r>
            <w:r w:rsidR="004C401A" w:rsidRPr="00171DED">
              <w:rPr>
                <w:rFonts w:ascii="Times New Roman" w:eastAsia="Times New Roman" w:hAnsi="Times New Roman" w:cs="Times New Roman"/>
                <w:bCs/>
                <w:sz w:val="24"/>
                <w:szCs w:val="24"/>
                <w:lang w:eastAsia="zh-CN"/>
              </w:rPr>
              <w:t xml:space="preserve">. </w:t>
            </w:r>
          </w:p>
          <w:p w14:paraId="46B51446" w14:textId="21A07FF1" w:rsidR="00801B5E" w:rsidRPr="00171DED" w:rsidRDefault="004C401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Финансирането през периода 2021-2027 г. ще съобразява регионалния принцип при управлението на битовите отпадъци като добра практика от двата програмни периода, доказала своите предимства при цялостния подход за намаляване на количеството депонирани отпадъци. </w:t>
            </w:r>
            <w:r w:rsidR="00801B5E" w:rsidRPr="00171DED">
              <w:rPr>
                <w:rFonts w:ascii="Times New Roman" w:eastAsia="Times New Roman" w:hAnsi="Times New Roman" w:cs="Times New Roman"/>
                <w:bCs/>
                <w:sz w:val="24"/>
                <w:szCs w:val="24"/>
                <w:lang w:eastAsia="zh-CN"/>
              </w:rPr>
              <w:t xml:space="preserve">Приоритет </w:t>
            </w:r>
            <w:r w:rsidR="00801B5E">
              <w:rPr>
                <w:rFonts w:ascii="Times New Roman" w:eastAsia="Times New Roman" w:hAnsi="Times New Roman" w:cs="Times New Roman"/>
                <w:bCs/>
                <w:sz w:val="24"/>
                <w:szCs w:val="24"/>
                <w:lang w:eastAsia="zh-CN"/>
              </w:rPr>
              <w:t>се</w:t>
            </w:r>
            <w:r w:rsidR="00801B5E" w:rsidRPr="00171DED">
              <w:rPr>
                <w:rFonts w:ascii="Times New Roman" w:eastAsia="Times New Roman" w:hAnsi="Times New Roman" w:cs="Times New Roman"/>
                <w:bCs/>
                <w:sz w:val="24"/>
                <w:szCs w:val="24"/>
                <w:lang w:eastAsia="zh-CN"/>
              </w:rPr>
              <w:t xml:space="preserve"> да</w:t>
            </w:r>
            <w:r w:rsidR="00801B5E">
              <w:rPr>
                <w:rFonts w:ascii="Times New Roman" w:eastAsia="Times New Roman" w:hAnsi="Times New Roman" w:cs="Times New Roman"/>
                <w:bCs/>
                <w:sz w:val="24"/>
                <w:szCs w:val="24"/>
                <w:lang w:eastAsia="zh-CN"/>
              </w:rPr>
              <w:t>ва</w:t>
            </w:r>
            <w:r w:rsidR="00801B5E" w:rsidRPr="00171DED">
              <w:rPr>
                <w:rFonts w:ascii="Times New Roman" w:eastAsia="Times New Roman" w:hAnsi="Times New Roman" w:cs="Times New Roman"/>
                <w:bCs/>
                <w:sz w:val="24"/>
                <w:szCs w:val="24"/>
                <w:lang w:eastAsia="zh-CN"/>
              </w:rPr>
              <w:t xml:space="preserve"> на развитието и подобряването на общинските системи за управление на отпадъци на регионално ниво, най-вече инфраструктура, която </w:t>
            </w:r>
            <w:r w:rsidR="00801B5E" w:rsidRPr="007F0313">
              <w:rPr>
                <w:rFonts w:ascii="Times New Roman" w:eastAsia="Times New Roman" w:hAnsi="Times New Roman" w:cs="Times New Roman"/>
                <w:bCs/>
                <w:sz w:val="24"/>
                <w:szCs w:val="24"/>
                <w:lang w:eastAsia="zh-CN"/>
              </w:rPr>
              <w:t>цели</w:t>
            </w:r>
            <w:r w:rsidR="00801B5E" w:rsidRPr="00651B98">
              <w:rPr>
                <w:rFonts w:ascii="Times New Roman" w:eastAsia="Times New Roman" w:hAnsi="Times New Roman" w:cs="Times New Roman"/>
                <w:bCs/>
                <w:sz w:val="24"/>
                <w:szCs w:val="24"/>
                <w:lang w:eastAsia="zh-CN"/>
              </w:rPr>
              <w:t xml:space="preserve"> </w:t>
            </w:r>
            <w:r w:rsidR="00801B5E" w:rsidRPr="005B2492">
              <w:rPr>
                <w:rFonts w:ascii="Times New Roman" w:eastAsia="Times New Roman" w:hAnsi="Times New Roman" w:cs="Times New Roman"/>
                <w:bCs/>
                <w:sz w:val="24"/>
                <w:szCs w:val="24"/>
                <w:lang w:eastAsia="zh-CN"/>
              </w:rPr>
              <w:t>повторна</w:t>
            </w:r>
            <w:r w:rsidR="00801B5E" w:rsidRPr="00171DED">
              <w:rPr>
                <w:rFonts w:ascii="Times New Roman" w:eastAsia="Times New Roman" w:hAnsi="Times New Roman" w:cs="Times New Roman"/>
                <w:bCs/>
                <w:sz w:val="24"/>
                <w:szCs w:val="24"/>
                <w:lang w:eastAsia="zh-CN"/>
              </w:rPr>
              <w:t xml:space="preserve"> употреба, рециклиране и разделно събиране за постигане на целите към 2030 г. </w:t>
            </w:r>
            <w:r w:rsidR="00801B5E">
              <w:rPr>
                <w:rFonts w:ascii="Times New Roman" w:eastAsia="Times New Roman" w:hAnsi="Times New Roman" w:cs="Times New Roman"/>
                <w:bCs/>
                <w:sz w:val="24"/>
                <w:szCs w:val="24"/>
                <w:lang w:eastAsia="zh-CN"/>
              </w:rPr>
              <w:t>И</w:t>
            </w:r>
            <w:r w:rsidR="00801B5E" w:rsidRPr="00171DED">
              <w:rPr>
                <w:rFonts w:ascii="Times New Roman" w:eastAsia="Times New Roman" w:hAnsi="Times New Roman" w:cs="Times New Roman"/>
                <w:bCs/>
                <w:sz w:val="24"/>
                <w:szCs w:val="24"/>
                <w:lang w:eastAsia="zh-CN"/>
              </w:rPr>
              <w:t xml:space="preserve">нвестициите в регионалната инфраструктура за достигане на целите към 2030-2035 г. следва да се насочат приоритетно към идентифицираните </w:t>
            </w:r>
            <w:r w:rsidR="00801B5E">
              <w:rPr>
                <w:rFonts w:ascii="Times New Roman" w:eastAsia="Times New Roman" w:hAnsi="Times New Roman" w:cs="Times New Roman"/>
                <w:bCs/>
                <w:sz w:val="24"/>
                <w:szCs w:val="24"/>
                <w:lang w:eastAsia="zh-CN"/>
              </w:rPr>
              <w:t xml:space="preserve">потребности </w:t>
            </w:r>
            <w:r w:rsidR="00801B5E" w:rsidRPr="00171DED">
              <w:rPr>
                <w:rFonts w:ascii="Times New Roman" w:eastAsia="Times New Roman" w:hAnsi="Times New Roman" w:cs="Times New Roman"/>
                <w:bCs/>
                <w:sz w:val="24"/>
                <w:szCs w:val="24"/>
                <w:lang w:eastAsia="zh-CN"/>
              </w:rPr>
              <w:t>в НПУО 2021-2028 г.</w:t>
            </w:r>
            <w:r w:rsidR="00801B5E">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Необходими са и повече усилия за повишаване на общественото съзнание и повишаване на базата от знания като </w:t>
            </w:r>
            <w:r w:rsidR="00801B5E">
              <w:rPr>
                <w:rFonts w:ascii="Times New Roman" w:eastAsia="Times New Roman" w:hAnsi="Times New Roman" w:cs="Times New Roman"/>
                <w:bCs/>
                <w:sz w:val="24"/>
                <w:szCs w:val="24"/>
                <w:lang w:eastAsia="zh-CN"/>
              </w:rPr>
              <w:t>ключови</w:t>
            </w:r>
            <w:r w:rsidRPr="00171DED">
              <w:rPr>
                <w:rFonts w:ascii="Times New Roman" w:eastAsia="Times New Roman" w:hAnsi="Times New Roman" w:cs="Times New Roman"/>
                <w:bCs/>
                <w:sz w:val="24"/>
                <w:szCs w:val="24"/>
                <w:lang w:eastAsia="zh-CN"/>
              </w:rPr>
              <w:t xml:space="preserve"> действия </w:t>
            </w:r>
            <w:r w:rsidR="00801B5E">
              <w:rPr>
                <w:rFonts w:ascii="Times New Roman" w:eastAsia="Times New Roman" w:hAnsi="Times New Roman" w:cs="Times New Roman"/>
                <w:bCs/>
                <w:sz w:val="24"/>
                <w:szCs w:val="24"/>
                <w:lang w:eastAsia="zh-CN"/>
              </w:rPr>
              <w:t>за</w:t>
            </w:r>
            <w:r w:rsidRPr="00171DED">
              <w:rPr>
                <w:rFonts w:ascii="Times New Roman" w:eastAsia="Times New Roman" w:hAnsi="Times New Roman" w:cs="Times New Roman"/>
                <w:bCs/>
                <w:sz w:val="24"/>
                <w:szCs w:val="24"/>
                <w:lang w:eastAsia="zh-CN"/>
              </w:rPr>
              <w:t xml:space="preserve"> подобряване на управлението на отпадъците. </w:t>
            </w:r>
          </w:p>
          <w:p w14:paraId="18DECA67" w14:textId="5DDFB3DA" w:rsidR="002D3E66" w:rsidRPr="00171DED" w:rsidRDefault="00AA63FE" w:rsidP="007F0313">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Инвестициите за периода 2021-2027 г. </w:t>
            </w:r>
            <w:r w:rsidR="004C401A" w:rsidRPr="00171DED">
              <w:rPr>
                <w:rFonts w:ascii="Times New Roman" w:eastAsia="Times New Roman" w:hAnsi="Times New Roman" w:cs="Times New Roman"/>
                <w:bCs/>
                <w:sz w:val="24"/>
                <w:szCs w:val="24"/>
                <w:lang w:eastAsia="zh-CN"/>
              </w:rPr>
              <w:t>ще</w:t>
            </w:r>
            <w:r w:rsidRPr="00171DED">
              <w:rPr>
                <w:rFonts w:ascii="Times New Roman" w:eastAsia="Times New Roman" w:hAnsi="Times New Roman" w:cs="Times New Roman"/>
                <w:bCs/>
                <w:sz w:val="24"/>
                <w:szCs w:val="24"/>
                <w:lang w:eastAsia="zh-CN"/>
              </w:rPr>
              <w:t xml:space="preserve"> бъдат фокусирани върху интервенции, стимулиращи прехода към кръгова икономика. </w:t>
            </w:r>
            <w:r w:rsidR="001D6CE5" w:rsidRPr="00171DED">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Pr>
                <w:rFonts w:ascii="Times New Roman" w:eastAsia="Times New Roman" w:hAnsi="Times New Roman" w:cs="Times New Roman"/>
                <w:bCs/>
                <w:sz w:val="24"/>
                <w:szCs w:val="24"/>
                <w:lang w:eastAsia="zh-CN"/>
              </w:rPr>
              <w:t>в тази посока</w:t>
            </w:r>
            <w:r w:rsidR="001D6CE5" w:rsidRPr="00171DED">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Pr>
                <w:rFonts w:ascii="Times New Roman" w:eastAsia="Times New Roman" w:hAnsi="Times New Roman" w:cs="Times New Roman"/>
                <w:bCs/>
                <w:sz w:val="24"/>
                <w:szCs w:val="24"/>
                <w:lang w:eastAsia="zh-CN"/>
              </w:rPr>
              <w:t>,</w:t>
            </w:r>
            <w:r w:rsidR="001D6CE5" w:rsidRPr="00171DED">
              <w:rPr>
                <w:rFonts w:ascii="Times New Roman" w:eastAsia="Times New Roman" w:hAnsi="Times New Roman" w:cs="Times New Roman"/>
                <w:bCs/>
                <w:sz w:val="24"/>
                <w:szCs w:val="24"/>
                <w:lang w:eastAsia="zh-CN"/>
              </w:rPr>
              <w:t xml:space="preserve"> за </w:t>
            </w:r>
            <w:r w:rsidR="00801B5E">
              <w:rPr>
                <w:rFonts w:ascii="Times New Roman" w:eastAsia="Times New Roman" w:hAnsi="Times New Roman" w:cs="Times New Roman"/>
                <w:bCs/>
                <w:sz w:val="24"/>
                <w:szCs w:val="24"/>
                <w:lang w:eastAsia="zh-CN"/>
              </w:rPr>
              <w:t>генериране</w:t>
            </w:r>
            <w:r w:rsidR="001D6CE5" w:rsidRPr="00171DED">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 с финансиране, различно от предоставяното по програмата.</w:t>
            </w:r>
            <w:r w:rsidR="0077072F">
              <w:rPr>
                <w:rFonts w:ascii="Times New Roman" w:eastAsia="Times New Roman" w:hAnsi="Times New Roman" w:cs="Times New Roman"/>
                <w:bCs/>
                <w:sz w:val="24"/>
                <w:szCs w:val="24"/>
                <w:lang w:eastAsia="zh-CN"/>
              </w:rPr>
              <w:t xml:space="preserve"> </w:t>
            </w:r>
          </w:p>
          <w:p w14:paraId="15787599" w14:textId="77777777" w:rsidR="002D3E66" w:rsidRPr="00171DED" w:rsidRDefault="00353814"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409E558E" w:rsidR="002D3E66" w:rsidRPr="00171DED" w:rsidRDefault="004C401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За да и</w:t>
            </w:r>
            <w:r w:rsidR="00353814" w:rsidRPr="00171DED">
              <w:rPr>
                <w:rFonts w:ascii="Times New Roman" w:eastAsia="Times New Roman" w:hAnsi="Times New Roman" w:cs="Times New Roman"/>
                <w:bCs/>
                <w:sz w:val="24"/>
                <w:szCs w:val="24"/>
                <w:lang w:eastAsia="zh-CN"/>
              </w:rPr>
              <w:t>зпълн</w:t>
            </w:r>
            <w:r w:rsidRPr="00171DED">
              <w:rPr>
                <w:rFonts w:ascii="Times New Roman" w:eastAsia="Times New Roman" w:hAnsi="Times New Roman" w:cs="Times New Roman"/>
                <w:bCs/>
                <w:sz w:val="24"/>
                <w:szCs w:val="24"/>
                <w:lang w:eastAsia="zh-CN"/>
              </w:rPr>
              <w:t>и</w:t>
            </w:r>
            <w:r w:rsidR="00353814" w:rsidRPr="00171DED">
              <w:rPr>
                <w:rFonts w:ascii="Times New Roman" w:eastAsia="Times New Roman" w:hAnsi="Times New Roman" w:cs="Times New Roman"/>
                <w:bCs/>
                <w:sz w:val="24"/>
                <w:szCs w:val="24"/>
                <w:lang w:eastAsia="zh-CN"/>
              </w:rPr>
              <w:t xml:space="preserve"> ангажиментите по постигане на заложените в Европейското законодателство цели, България предприема стъпки за трансформиране на икономиката си от линейна към кръгова. Концепцията за преход към кръгова икономика е в съответствие с целите за устойчиво развитие от</w:t>
            </w:r>
            <w:r w:rsidR="00DB53D7">
              <w:rPr>
                <w:rFonts w:ascii="Times New Roman" w:eastAsia="Times New Roman" w:hAnsi="Times New Roman" w:cs="Times New Roman"/>
                <w:bCs/>
                <w:sz w:val="24"/>
                <w:szCs w:val="24"/>
                <w:lang w:eastAsia="zh-CN"/>
              </w:rPr>
              <w:t xml:space="preserve"> </w:t>
            </w:r>
            <w:r w:rsidR="00353814" w:rsidRPr="00171DED">
              <w:rPr>
                <w:rFonts w:ascii="Times New Roman" w:eastAsia="Times New Roman" w:hAnsi="Times New Roman" w:cs="Times New Roman"/>
                <w:bCs/>
                <w:sz w:val="24"/>
                <w:szCs w:val="24"/>
                <w:lang w:eastAsia="zh-CN"/>
              </w:rPr>
              <w:t>Програмата на ООН до 2030 г., с постигането на които се гарантира устойчив растеж на икономиката. Част от условията са свързани с насърчаване ефективното използване на ресурси по време целия им жизнен цикъл, включително тяхната поправка, повторна употреба и рециклиране, което ще доведе не само до намаляване на отпадъците, но и ще намали необходимостта от извличането на нови ресурси. Насърчава се прилагането на мерки, насочени към гарантиране на разделяне при източника, събиране и рециклиране на приоритетните потоци от отпадъци. В съответствие с йерархията на отпадъците и с цел намаляване на емисиите на парникови газове, които се отделят от депонирането на отпадъци в депа, е важно да се улесни тяхното разделно събиране и правилно третиране.</w:t>
            </w:r>
            <w:bookmarkStart w:id="0" w:name="_Hlk36118476"/>
          </w:p>
          <w:p w14:paraId="1E9EC574" w14:textId="77777777" w:rsidR="002D3E66" w:rsidRPr="00171DED" w:rsidRDefault="00353814" w:rsidP="001E3E7F">
            <w:pPr>
              <w:spacing w:before="240" w:after="120"/>
              <w:ind w:left="447"/>
              <w:jc w:val="both"/>
              <w:rPr>
                <w:rFonts w:ascii="Times New Roman" w:hAnsi="Times New Roman" w:cs="Times New Roman"/>
                <w:b/>
                <w:bCs/>
                <w:sz w:val="24"/>
                <w:szCs w:val="24"/>
              </w:rPr>
            </w:pPr>
            <w:r w:rsidRPr="00171DED">
              <w:rPr>
                <w:rFonts w:ascii="Times New Roman" w:hAnsi="Times New Roman" w:cs="Times New Roman"/>
                <w:b/>
                <w:bCs/>
                <w:sz w:val="24"/>
                <w:szCs w:val="24"/>
              </w:rPr>
              <w:t xml:space="preserve">IV. </w:t>
            </w:r>
            <w:r w:rsidRPr="00171DED">
              <w:rPr>
                <w:rFonts w:ascii="Times New Roman" w:eastAsia="Times New Roman" w:hAnsi="Times New Roman" w:cs="Times New Roman"/>
                <w:b/>
                <w:sz w:val="24"/>
                <w:szCs w:val="24"/>
                <w:lang w:eastAsia="zh-CN"/>
              </w:rPr>
              <w:t>Биоразнообразие</w:t>
            </w:r>
          </w:p>
          <w:p w14:paraId="06996EB7" w14:textId="77777777" w:rsidR="002D3E66" w:rsidRPr="00171DED" w:rsidRDefault="00353814"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04E5E836" w:rsidR="002D3E66" w:rsidRPr="00171DED" w:rsidRDefault="005537BC"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hAnsi="Times New Roman" w:cs="Times New Roman"/>
                <w:sz w:val="24"/>
                <w:szCs w:val="24"/>
              </w:rPr>
              <w:t>В сектор „</w:t>
            </w:r>
            <w:r w:rsidR="00CD1A42" w:rsidRPr="00171DED">
              <w:rPr>
                <w:rFonts w:ascii="Times New Roman" w:hAnsi="Times New Roman" w:cs="Times New Roman"/>
                <w:b/>
                <w:bCs/>
                <w:sz w:val="24"/>
                <w:szCs w:val="24"/>
              </w:rPr>
              <w:t xml:space="preserve">биологично </w:t>
            </w:r>
            <w:r w:rsidRPr="00171DED">
              <w:rPr>
                <w:rFonts w:ascii="Times New Roman" w:hAnsi="Times New Roman" w:cs="Times New Roman"/>
                <w:b/>
                <w:bCs/>
                <w:sz w:val="24"/>
                <w:szCs w:val="24"/>
              </w:rPr>
              <w:t>разнообразие и Натура 2000</w:t>
            </w:r>
            <w:r w:rsidRPr="00171DED">
              <w:rPr>
                <w:rFonts w:ascii="Times New Roman" w:hAnsi="Times New Roman" w:cs="Times New Roman"/>
                <w:sz w:val="24"/>
                <w:szCs w:val="24"/>
              </w:rPr>
              <w:t>“ ще продължат усилията за опазване, поддържане и възстановяване на биологичното разнообразие. Със Закона за биологичното разнообразие</w:t>
            </w:r>
            <w:r w:rsidR="004B240A">
              <w:rPr>
                <w:rFonts w:ascii="Times New Roman" w:hAnsi="Times New Roman" w:cs="Times New Roman"/>
                <w:sz w:val="24"/>
                <w:szCs w:val="24"/>
              </w:rPr>
              <w:t xml:space="preserve"> (ЗБР)</w:t>
            </w:r>
            <w:r w:rsidRPr="00171DED">
              <w:rPr>
                <w:rFonts w:ascii="Times New Roman" w:hAnsi="Times New Roman" w:cs="Times New Roman"/>
                <w:sz w:val="24"/>
                <w:szCs w:val="24"/>
              </w:rPr>
              <w:t xml:space="preserve"> още през 2002 г. 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В периода 2008-2019 г. националният списък е неколкократно допълван и разширяван. Приносът на страната ни към общоевропейската мрежа се изразява в защитени зони</w:t>
            </w:r>
            <w:r w:rsidR="00A005AA">
              <w:rPr>
                <w:rFonts w:ascii="Times New Roman" w:hAnsi="Times New Roman" w:cs="Times New Roman"/>
                <w:sz w:val="24"/>
                <w:szCs w:val="24"/>
              </w:rPr>
              <w:t xml:space="preserve"> (ЗЗ)</w:t>
            </w:r>
            <w:r w:rsidRPr="00171DED">
              <w:rPr>
                <w:rFonts w:ascii="Times New Roman" w:hAnsi="Times New Roman" w:cs="Times New Roman"/>
                <w:sz w:val="24"/>
                <w:szCs w:val="24"/>
              </w:rPr>
              <w:t xml:space="preserve"> с обща площ 41</w:t>
            </w:r>
            <w:r w:rsidR="00A005AA">
              <w:rPr>
                <w:rFonts w:ascii="Times New Roman" w:hAnsi="Times New Roman" w:cs="Times New Roman"/>
                <w:sz w:val="24"/>
                <w:szCs w:val="24"/>
              </w:rPr>
              <w:t>,</w:t>
            </w:r>
            <w:r w:rsidRPr="00171DED">
              <w:rPr>
                <w:rFonts w:ascii="Times New Roman" w:hAnsi="Times New Roman" w:cs="Times New Roman"/>
                <w:sz w:val="24"/>
                <w:szCs w:val="24"/>
              </w:rPr>
              <w:t>5</w:t>
            </w:r>
            <w:r w:rsidR="00A005AA">
              <w:rPr>
                <w:rFonts w:ascii="Times New Roman" w:hAnsi="Times New Roman" w:cs="Times New Roman"/>
                <w:sz w:val="24"/>
                <w:szCs w:val="24"/>
              </w:rPr>
              <w:t xml:space="preserve"> млн.</w:t>
            </w:r>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(38</w:t>
            </w:r>
            <w:r w:rsidR="00A005AA">
              <w:rPr>
                <w:rFonts w:ascii="Times New Roman" w:hAnsi="Times New Roman" w:cs="Times New Roman"/>
                <w:sz w:val="24"/>
                <w:szCs w:val="24"/>
              </w:rPr>
              <w:t>,</w:t>
            </w:r>
            <w:r w:rsidRPr="00171DED">
              <w:rPr>
                <w:rFonts w:ascii="Times New Roman" w:hAnsi="Times New Roman" w:cs="Times New Roman"/>
                <w:sz w:val="24"/>
                <w:szCs w:val="24"/>
              </w:rPr>
              <w:t>7</w:t>
            </w:r>
            <w:r w:rsidR="00A005AA">
              <w:rPr>
                <w:rFonts w:ascii="Times New Roman" w:hAnsi="Times New Roman" w:cs="Times New Roman"/>
                <w:sz w:val="24"/>
                <w:szCs w:val="24"/>
              </w:rPr>
              <w:t xml:space="preserve"> млн.</w:t>
            </w:r>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разположени на сушата, а 2</w:t>
            </w:r>
            <w:r w:rsidR="00A005AA">
              <w:rPr>
                <w:rFonts w:ascii="Times New Roman" w:hAnsi="Times New Roman" w:cs="Times New Roman"/>
                <w:sz w:val="24"/>
                <w:szCs w:val="24"/>
              </w:rPr>
              <w:t>,</w:t>
            </w:r>
            <w:r w:rsidRPr="00171DED">
              <w:rPr>
                <w:rFonts w:ascii="Times New Roman" w:hAnsi="Times New Roman" w:cs="Times New Roman"/>
                <w:sz w:val="24"/>
                <w:szCs w:val="24"/>
              </w:rPr>
              <w:t>8</w:t>
            </w:r>
            <w:r w:rsidR="00A005AA">
              <w:rPr>
                <w:rFonts w:ascii="Times New Roman" w:hAnsi="Times New Roman" w:cs="Times New Roman"/>
                <w:sz w:val="24"/>
                <w:szCs w:val="24"/>
              </w:rPr>
              <w:t xml:space="preserve"> млн.</w:t>
            </w:r>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w:t>
            </w:r>
            <w:r w:rsidR="00A005AA">
              <w:rPr>
                <w:rFonts w:ascii="Times New Roman" w:hAnsi="Times New Roman" w:cs="Times New Roman"/>
                <w:sz w:val="24"/>
                <w:szCs w:val="24"/>
              </w:rPr>
              <w:t xml:space="preserve">- </w:t>
            </w:r>
            <w:r w:rsidRPr="00171DED">
              <w:rPr>
                <w:rFonts w:ascii="Times New Roman" w:hAnsi="Times New Roman" w:cs="Times New Roman"/>
                <w:sz w:val="24"/>
                <w:szCs w:val="24"/>
              </w:rPr>
              <w:t>морска територия). Предмет на опазване в мрежата Натура 2000 в България са 92 типа природни местообитания и 121 вида, различни от птици – в т</w:t>
            </w:r>
            <w:r w:rsidR="00A005AA">
              <w:rPr>
                <w:rFonts w:ascii="Times New Roman" w:hAnsi="Times New Roman" w:cs="Times New Roman"/>
                <w:sz w:val="24"/>
                <w:szCs w:val="24"/>
              </w:rPr>
              <w:t>.</w:t>
            </w:r>
            <w:r w:rsidRPr="00171DED">
              <w:rPr>
                <w:rFonts w:ascii="Times New Roman" w:hAnsi="Times New Roman" w:cs="Times New Roman"/>
                <w:sz w:val="24"/>
                <w:szCs w:val="24"/>
              </w:rPr>
              <w:t>ч</w:t>
            </w:r>
            <w:r w:rsidR="00A005AA">
              <w:rPr>
                <w:rFonts w:ascii="Times New Roman" w:hAnsi="Times New Roman" w:cs="Times New Roman"/>
                <w:sz w:val="24"/>
                <w:szCs w:val="24"/>
              </w:rPr>
              <w:t>.</w:t>
            </w:r>
            <w:r w:rsidRPr="00171DED">
              <w:rPr>
                <w:rFonts w:ascii="Times New Roman" w:hAnsi="Times New Roman" w:cs="Times New Roman"/>
                <w:sz w:val="24"/>
                <w:szCs w:val="24"/>
              </w:rPr>
              <w:t xml:space="preserve"> 28 приоритетни местообитания и 8 приоритетни вида, както и </w:t>
            </w:r>
            <w:r w:rsidR="00501410" w:rsidRPr="001737E9">
              <w:rPr>
                <w:rFonts w:ascii="Times New Roman" w:hAnsi="Times New Roman" w:cs="Times New Roman"/>
                <w:sz w:val="24"/>
                <w:szCs w:val="24"/>
              </w:rPr>
              <w:t>239</w:t>
            </w:r>
            <w:r w:rsidRPr="001737E9">
              <w:rPr>
                <w:rFonts w:ascii="Times New Roman" w:hAnsi="Times New Roman" w:cs="Times New Roman"/>
                <w:sz w:val="24"/>
                <w:szCs w:val="24"/>
              </w:rPr>
              <w:t xml:space="preserve"> птици</w:t>
            </w:r>
            <w:r w:rsidR="00501410" w:rsidRPr="001737E9">
              <w:rPr>
                <w:rFonts w:ascii="Times New Roman" w:eastAsia="Calibri" w:hAnsi="Times New Roman" w:cs="Times New Roman"/>
                <w:iCs/>
                <w:sz w:val="24"/>
                <w:szCs w:val="24"/>
              </w:rPr>
              <w:t xml:space="preserve">, предмет на опазване в </w:t>
            </w:r>
            <w:r w:rsidR="00A005AA">
              <w:rPr>
                <w:rFonts w:ascii="Times New Roman" w:eastAsia="Calibri" w:hAnsi="Times New Roman" w:cs="Times New Roman"/>
                <w:iCs/>
                <w:sz w:val="24"/>
                <w:szCs w:val="24"/>
              </w:rPr>
              <w:t>ЗЗ</w:t>
            </w:r>
            <w:r w:rsidR="00501410" w:rsidRPr="001737E9">
              <w:rPr>
                <w:rFonts w:ascii="Times New Roman" w:eastAsia="Calibri" w:hAnsi="Times New Roman" w:cs="Times New Roman"/>
                <w:iCs/>
                <w:sz w:val="24"/>
                <w:szCs w:val="24"/>
              </w:rPr>
              <w:t xml:space="preserve"> в България</w:t>
            </w:r>
            <w:r w:rsidR="003A6110" w:rsidRPr="001737E9">
              <w:rPr>
                <w:rFonts w:ascii="Times New Roman" w:eastAsia="Times New Roman" w:hAnsi="Times New Roman" w:cs="Times New Roman"/>
                <w:bCs/>
                <w:sz w:val="24"/>
                <w:szCs w:val="24"/>
                <w:lang w:eastAsia="zh-CN"/>
              </w:rPr>
              <w:t>.</w:t>
            </w:r>
            <w:bookmarkEnd w:id="0"/>
          </w:p>
          <w:p w14:paraId="7442BC12" w14:textId="32AA6D96" w:rsidR="001A089C" w:rsidRDefault="005537BC" w:rsidP="001A089C">
            <w:pPr>
              <w:spacing w:before="120" w:after="120"/>
              <w:jc w:val="both"/>
              <w:rPr>
                <w:rFonts w:ascii="Times New Roman" w:hAnsi="Times New Roman" w:cs="Times New Roman"/>
                <w:sz w:val="24"/>
                <w:szCs w:val="24"/>
              </w:rPr>
            </w:pPr>
            <w:r w:rsidRPr="00171DED">
              <w:rPr>
                <w:rFonts w:ascii="Times New Roman" w:eastAsia="Times New Roman" w:hAnsi="Times New Roman" w:cs="Times New Roman"/>
                <w:bCs/>
                <w:sz w:val="24"/>
                <w:szCs w:val="24"/>
                <w:lang w:eastAsia="zh-CN"/>
              </w:rPr>
              <w:t xml:space="preserve">През периода 2007-2013 г. със средства от ЕСИФ и от националния бюджет е подкрепено изпълнението на редица важни проекти в защитените територии и зони в страната. Основополагащи за сектора бяха проектите за картиране и определяне на природозащитното състояние на природни местообитания и видове – фаза І, на база на който страната извърши първото си докладване към ЕК по чл. 17 на Директивата за </w:t>
            </w:r>
            <w:proofErr w:type="spellStart"/>
            <w:r w:rsidRPr="00171DED">
              <w:rPr>
                <w:rFonts w:ascii="Times New Roman" w:eastAsia="Times New Roman" w:hAnsi="Times New Roman" w:cs="Times New Roman"/>
                <w:bCs/>
                <w:sz w:val="24"/>
                <w:szCs w:val="24"/>
                <w:lang w:eastAsia="zh-CN"/>
              </w:rPr>
              <w:t>хабитатите</w:t>
            </w:r>
            <w:proofErr w:type="spellEnd"/>
            <w:r w:rsidRPr="00171DED">
              <w:rPr>
                <w:rFonts w:ascii="Times New Roman" w:eastAsia="Times New Roman" w:hAnsi="Times New Roman" w:cs="Times New Roman"/>
                <w:bCs/>
                <w:sz w:val="24"/>
                <w:szCs w:val="24"/>
                <w:lang w:eastAsia="zh-CN"/>
              </w:rPr>
              <w:t xml:space="preserve"> и чл. 12 на Директивата за птиците; разработване и внедряване на информационна система за </w:t>
            </w:r>
            <w:r w:rsidR="00A005AA">
              <w:rPr>
                <w:rFonts w:ascii="Times New Roman" w:eastAsia="Times New Roman" w:hAnsi="Times New Roman" w:cs="Times New Roman"/>
                <w:bCs/>
                <w:sz w:val="24"/>
                <w:szCs w:val="24"/>
                <w:lang w:eastAsia="zh-CN"/>
              </w:rPr>
              <w:t>ЗЗ</w:t>
            </w:r>
            <w:r w:rsidRPr="00171DED">
              <w:rPr>
                <w:rFonts w:ascii="Times New Roman" w:eastAsia="Times New Roman" w:hAnsi="Times New Roman" w:cs="Times New Roman"/>
                <w:bCs/>
                <w:sz w:val="24"/>
                <w:szCs w:val="24"/>
                <w:lang w:eastAsia="zh-CN"/>
              </w:rPr>
              <w:t xml:space="preserve"> от екологична мрежа Натура 2000, чрез който е изградена система, съдържаща цялата налична информация за състоянието на видовете и местообитанията; </w:t>
            </w:r>
            <w:r w:rsidR="00A005AA" w:rsidRPr="00171DED">
              <w:rPr>
                <w:rFonts w:ascii="Times New Roman" w:eastAsia="Times New Roman" w:hAnsi="Times New Roman" w:cs="Times New Roman"/>
                <w:bCs/>
                <w:sz w:val="24"/>
                <w:szCs w:val="24"/>
                <w:lang w:eastAsia="zh-CN"/>
              </w:rPr>
              <w:t xml:space="preserve">Национална </w:t>
            </w:r>
            <w:r w:rsidRPr="00171DED">
              <w:rPr>
                <w:rFonts w:ascii="Times New Roman" w:eastAsia="Times New Roman" w:hAnsi="Times New Roman" w:cs="Times New Roman"/>
                <w:bCs/>
                <w:sz w:val="24"/>
                <w:szCs w:val="24"/>
                <w:lang w:eastAsia="zh-CN"/>
              </w:rPr>
              <w:t xml:space="preserve">информационна и </w:t>
            </w:r>
            <w:r w:rsidR="009047BC" w:rsidRPr="00171DED">
              <w:rPr>
                <w:rFonts w:ascii="Times New Roman" w:eastAsia="Times New Roman" w:hAnsi="Times New Roman" w:cs="Times New Roman"/>
                <w:bCs/>
                <w:sz w:val="24"/>
                <w:szCs w:val="24"/>
                <w:lang w:eastAsia="zh-CN"/>
              </w:rPr>
              <w:t xml:space="preserve">комуникационна </w:t>
            </w:r>
            <w:r w:rsidRPr="00171DED">
              <w:rPr>
                <w:rFonts w:ascii="Times New Roman" w:eastAsia="Times New Roman" w:hAnsi="Times New Roman" w:cs="Times New Roman"/>
                <w:bCs/>
                <w:sz w:val="24"/>
                <w:szCs w:val="24"/>
                <w:lang w:eastAsia="zh-CN"/>
              </w:rPr>
              <w:t xml:space="preserve">стратегия за Натура 2000, в рамките на </w:t>
            </w:r>
            <w:r w:rsidR="009047BC" w:rsidRPr="00171DED">
              <w:rPr>
                <w:rFonts w:ascii="Times New Roman" w:eastAsia="Times New Roman" w:hAnsi="Times New Roman" w:cs="Times New Roman"/>
                <w:bCs/>
                <w:sz w:val="24"/>
                <w:szCs w:val="24"/>
                <w:lang w:eastAsia="zh-CN"/>
              </w:rPr>
              <w:t xml:space="preserve">която </w:t>
            </w:r>
            <w:r w:rsidR="00A005AA">
              <w:rPr>
                <w:rFonts w:ascii="Times New Roman" w:eastAsia="Times New Roman" w:hAnsi="Times New Roman" w:cs="Times New Roman"/>
                <w:bCs/>
                <w:sz w:val="24"/>
                <w:szCs w:val="24"/>
                <w:lang w:eastAsia="zh-CN"/>
              </w:rPr>
              <w:t>са</w:t>
            </w:r>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 за период от 10 години.</w:t>
            </w:r>
            <w:r w:rsidR="00656F2B" w:rsidRPr="00171DED">
              <w:rPr>
                <w:rFonts w:ascii="Times New Roman" w:eastAsia="Times New Roman" w:hAnsi="Times New Roman" w:cs="Times New Roman"/>
                <w:bCs/>
                <w:sz w:val="24"/>
                <w:szCs w:val="24"/>
                <w:lang w:eastAsia="zh-CN"/>
              </w:rPr>
              <w:t xml:space="preserve"> </w:t>
            </w:r>
            <w:r w:rsidRPr="00171DED">
              <w:rPr>
                <w:rFonts w:ascii="Times New Roman" w:hAnsi="Times New Roman" w:cs="Times New Roman"/>
                <w:sz w:val="24"/>
                <w:szCs w:val="24"/>
              </w:rPr>
              <w:t>През</w:t>
            </w:r>
            <w:r w:rsidR="00656F2B" w:rsidRPr="00171DED">
              <w:rPr>
                <w:rFonts w:ascii="Times New Roman" w:hAnsi="Times New Roman" w:cs="Times New Roman"/>
                <w:sz w:val="24"/>
                <w:szCs w:val="24"/>
              </w:rPr>
              <w:t xml:space="preserve"> </w:t>
            </w:r>
            <w:r w:rsidRPr="00171DED">
              <w:rPr>
                <w:rFonts w:ascii="Times New Roman" w:hAnsi="Times New Roman" w:cs="Times New Roman"/>
                <w:sz w:val="24"/>
                <w:szCs w:val="24"/>
              </w:rPr>
              <w:t>периода 2014-2020 г. фокусът в сектор биоразнообразие е поставен изцяло върху мрежата Натура 2000</w:t>
            </w:r>
            <w:r w:rsidR="00D20023" w:rsidRPr="00171DED">
              <w:rPr>
                <w:rFonts w:ascii="Times New Roman" w:hAnsi="Times New Roman" w:cs="Times New Roman"/>
                <w:sz w:val="24"/>
                <w:szCs w:val="24"/>
              </w:rPr>
              <w:t>, където се инвестират близо 60 млн. евро</w:t>
            </w:r>
            <w:r w:rsidRPr="00171DED">
              <w:rPr>
                <w:rFonts w:ascii="Times New Roman" w:hAnsi="Times New Roman" w:cs="Times New Roman"/>
                <w:sz w:val="24"/>
                <w:szCs w:val="24"/>
              </w:rPr>
              <w:t xml:space="preserve">. </w:t>
            </w:r>
            <w:r w:rsidR="001A089C" w:rsidRPr="001737E9">
              <w:rPr>
                <w:rFonts w:ascii="Times New Roman" w:hAnsi="Times New Roman" w:cs="Times New Roman"/>
                <w:sz w:val="24"/>
                <w:szCs w:val="24"/>
              </w:rPr>
              <w:t>Подкрепят се м</w:t>
            </w:r>
            <w:r w:rsidR="001A089C" w:rsidRPr="000B0D99">
              <w:rPr>
                <w:rFonts w:ascii="Times New Roman" w:hAnsi="Times New Roman" w:cs="Times New Roman"/>
                <w:sz w:val="24"/>
                <w:szCs w:val="24"/>
              </w:rPr>
              <w:t xml:space="preserve">ерки, свързани със завършване на процеса по изграждане на мрежата в морска среда, както и редица консервационни мерки за влажни зони, видове птици, природни местообитания. Разработен е подход за управление на </w:t>
            </w:r>
            <w:r w:rsidR="00A005AA">
              <w:rPr>
                <w:rFonts w:ascii="Times New Roman" w:hAnsi="Times New Roman" w:cs="Times New Roman"/>
                <w:sz w:val="24"/>
                <w:szCs w:val="24"/>
              </w:rPr>
              <w:t>ЗЗ</w:t>
            </w:r>
            <w:r w:rsidR="001A089C" w:rsidRPr="000B0D99">
              <w:rPr>
                <w:rFonts w:ascii="Times New Roman" w:hAnsi="Times New Roman" w:cs="Times New Roman"/>
                <w:sz w:val="24"/>
                <w:szCs w:val="24"/>
              </w:rPr>
              <w:t xml:space="preserve">, което е сред най-важните </w:t>
            </w:r>
            <w:r w:rsidR="001A089C" w:rsidRPr="000B0D99">
              <w:rPr>
                <w:rFonts w:ascii="Times New Roman" w:hAnsi="Times New Roman" w:cs="Times New Roman"/>
                <w:sz w:val="24"/>
                <w:szCs w:val="24"/>
              </w:rPr>
              <w:lastRenderedPageBreak/>
              <w:t>мерки</w:t>
            </w:r>
            <w:r w:rsidR="001A089C" w:rsidRPr="00820D13">
              <w:rPr>
                <w:rFonts w:ascii="Times New Roman" w:hAnsi="Times New Roman" w:cs="Times New Roman"/>
                <w:sz w:val="24"/>
                <w:szCs w:val="24"/>
              </w:rPr>
              <w:t xml:space="preserve">, идентифицирани в Националната приоритетна рамка за действие за 2014-2020 г., както и в т.нар. </w:t>
            </w:r>
            <w:proofErr w:type="spellStart"/>
            <w:r w:rsidR="001A089C" w:rsidRPr="00820D13">
              <w:rPr>
                <w:rFonts w:ascii="Times New Roman" w:hAnsi="Times New Roman" w:cs="Times New Roman"/>
                <w:sz w:val="24"/>
                <w:szCs w:val="24"/>
              </w:rPr>
              <w:t>Position</w:t>
            </w:r>
            <w:proofErr w:type="spellEnd"/>
            <w:r w:rsidR="001A089C" w:rsidRPr="00820D13">
              <w:rPr>
                <w:rFonts w:ascii="Times New Roman" w:hAnsi="Times New Roman" w:cs="Times New Roman"/>
                <w:sz w:val="24"/>
                <w:szCs w:val="24"/>
              </w:rPr>
              <w:t xml:space="preserve"> </w:t>
            </w:r>
            <w:proofErr w:type="spellStart"/>
            <w:r w:rsidR="001A089C" w:rsidRPr="00820D13">
              <w:rPr>
                <w:rFonts w:ascii="Times New Roman" w:hAnsi="Times New Roman" w:cs="Times New Roman"/>
                <w:sz w:val="24"/>
                <w:szCs w:val="24"/>
              </w:rPr>
              <w:t>paper</w:t>
            </w:r>
            <w:proofErr w:type="spellEnd"/>
            <w:r w:rsidR="001A089C" w:rsidRPr="00820D13">
              <w:rPr>
                <w:rFonts w:ascii="Times New Roman" w:hAnsi="Times New Roman" w:cs="Times New Roman"/>
                <w:sz w:val="24"/>
                <w:szCs w:val="24"/>
              </w:rPr>
              <w:t xml:space="preserve"> за програмния период от страна на ЕК. Генерирано е забавяне в процеса на въвеждане </w:t>
            </w:r>
            <w:r w:rsidR="004B240A">
              <w:rPr>
                <w:rFonts w:ascii="Times New Roman" w:hAnsi="Times New Roman" w:cs="Times New Roman"/>
                <w:sz w:val="24"/>
                <w:szCs w:val="24"/>
              </w:rPr>
              <w:t xml:space="preserve">на подхода </w:t>
            </w:r>
            <w:r w:rsidR="001A089C" w:rsidRPr="00820D13">
              <w:rPr>
                <w:rFonts w:ascii="Times New Roman" w:hAnsi="Times New Roman" w:cs="Times New Roman"/>
                <w:sz w:val="24"/>
                <w:szCs w:val="24"/>
              </w:rPr>
              <w:t>предвид необходимостта от постигане на консенсус межд</w:t>
            </w:r>
            <w:r w:rsidR="001A089C" w:rsidRPr="00270347">
              <w:rPr>
                <w:rFonts w:ascii="Times New Roman" w:hAnsi="Times New Roman" w:cs="Times New Roman"/>
                <w:sz w:val="24"/>
                <w:szCs w:val="24"/>
              </w:rPr>
              <w:t xml:space="preserve">у всички заинтересовани страни. С </w:t>
            </w:r>
            <w:r w:rsidR="004B240A">
              <w:rPr>
                <w:rFonts w:ascii="Times New Roman" w:hAnsi="Times New Roman" w:cs="Times New Roman"/>
                <w:sz w:val="24"/>
                <w:szCs w:val="24"/>
              </w:rPr>
              <w:t>РМС</w:t>
            </w:r>
            <w:r w:rsidR="001A089C" w:rsidRPr="00270347">
              <w:rPr>
                <w:rFonts w:ascii="Times New Roman" w:hAnsi="Times New Roman" w:cs="Times New Roman"/>
                <w:sz w:val="24"/>
                <w:szCs w:val="24"/>
              </w:rPr>
              <w:t xml:space="preserve"> № 147/05.03.2020 г. </w:t>
            </w:r>
            <w:r w:rsidR="004B240A">
              <w:rPr>
                <w:rFonts w:ascii="Times New Roman" w:hAnsi="Times New Roman" w:cs="Times New Roman"/>
                <w:sz w:val="24"/>
                <w:szCs w:val="24"/>
              </w:rPr>
              <w:t xml:space="preserve">са </w:t>
            </w:r>
            <w:r w:rsidR="001A089C" w:rsidRPr="00270347">
              <w:rPr>
                <w:rFonts w:ascii="Times New Roman" w:hAnsi="Times New Roman" w:cs="Times New Roman"/>
                <w:sz w:val="24"/>
                <w:szCs w:val="24"/>
              </w:rPr>
              <w:t>одобр</w:t>
            </w:r>
            <w:r w:rsidR="004B240A">
              <w:rPr>
                <w:rFonts w:ascii="Times New Roman" w:hAnsi="Times New Roman" w:cs="Times New Roman"/>
                <w:sz w:val="24"/>
                <w:szCs w:val="24"/>
              </w:rPr>
              <w:t>ени</w:t>
            </w:r>
            <w:r w:rsidR="001A089C" w:rsidRPr="00270347">
              <w:rPr>
                <w:rFonts w:ascii="Times New Roman" w:hAnsi="Times New Roman" w:cs="Times New Roman"/>
                <w:sz w:val="24"/>
                <w:szCs w:val="24"/>
              </w:rPr>
              <w:t xml:space="preserve"> измененията в Закона за биологичното разнообразие (ЗБР), с които се предлага сформиране на национален орган в централното управление на МОСВ и регионални орган</w:t>
            </w:r>
            <w:r w:rsidR="001A089C" w:rsidRPr="00C218AB">
              <w:rPr>
                <w:rFonts w:ascii="Times New Roman" w:hAnsi="Times New Roman" w:cs="Times New Roman"/>
                <w:sz w:val="24"/>
                <w:szCs w:val="24"/>
              </w:rPr>
              <w:t xml:space="preserve">и в рамките на съществуващите </w:t>
            </w:r>
            <w:r w:rsidR="00A005AA">
              <w:rPr>
                <w:rFonts w:ascii="Times New Roman" w:hAnsi="Times New Roman" w:cs="Times New Roman"/>
                <w:sz w:val="24"/>
                <w:szCs w:val="24"/>
              </w:rPr>
              <w:t>РИОСВ</w:t>
            </w:r>
            <w:r w:rsidR="001A089C" w:rsidRPr="00C218AB">
              <w:rPr>
                <w:rFonts w:ascii="Times New Roman" w:hAnsi="Times New Roman" w:cs="Times New Roman"/>
                <w:sz w:val="24"/>
                <w:szCs w:val="24"/>
              </w:rPr>
              <w:t xml:space="preserve">. Националният орган изготвя методическите указания, инструкции, ръководства, процедури и обобщава наличната информация за целите на докладването по чл. 12 </w:t>
            </w:r>
            <w:r w:rsidR="001A089C" w:rsidRPr="007C2655">
              <w:rPr>
                <w:rFonts w:ascii="Times New Roman" w:hAnsi="Times New Roman" w:cs="Times New Roman"/>
                <w:sz w:val="24"/>
                <w:szCs w:val="24"/>
              </w:rPr>
              <w:t xml:space="preserve">и чл. 17 на </w:t>
            </w:r>
            <w:r w:rsidR="004B240A">
              <w:rPr>
                <w:rFonts w:ascii="Times New Roman" w:hAnsi="Times New Roman" w:cs="Times New Roman"/>
                <w:sz w:val="24"/>
                <w:szCs w:val="24"/>
              </w:rPr>
              <w:t xml:space="preserve">двете </w:t>
            </w:r>
            <w:r w:rsidR="001A089C" w:rsidRPr="007C2655">
              <w:rPr>
                <w:rFonts w:ascii="Times New Roman" w:hAnsi="Times New Roman" w:cs="Times New Roman"/>
                <w:sz w:val="24"/>
                <w:szCs w:val="24"/>
              </w:rPr>
              <w:t>Директив</w:t>
            </w:r>
            <w:r w:rsidR="004B240A">
              <w:rPr>
                <w:rFonts w:ascii="Times New Roman" w:hAnsi="Times New Roman" w:cs="Times New Roman"/>
                <w:sz w:val="24"/>
                <w:szCs w:val="24"/>
              </w:rPr>
              <w:t>и</w:t>
            </w:r>
            <w:r w:rsidR="001A089C" w:rsidRPr="007C2655">
              <w:rPr>
                <w:rFonts w:ascii="Times New Roman" w:hAnsi="Times New Roman" w:cs="Times New Roman"/>
                <w:sz w:val="24"/>
                <w:szCs w:val="24"/>
              </w:rPr>
              <w:t xml:space="preserve">. Регионалните органи са отговорни за разработването на териториални планове за управление с необходимите консервационни мерки за съответните зони. Към януари 2021 г. предложението за изменение на ЗБР (с </w:t>
            </w:r>
            <w:r w:rsidR="001A089C" w:rsidRPr="00011DE0">
              <w:rPr>
                <w:rFonts w:ascii="Times New Roman" w:hAnsi="Times New Roman" w:cs="Times New Roman"/>
                <w:sz w:val="24"/>
                <w:szCs w:val="24"/>
              </w:rPr>
              <w:t>което се финализира законодателно създаването на управленската структура) все още не е одобрено от Народното събрание, поради което разработването на плановете за управление, включително необходимата активна комуникация със заинтересованите страни, за да се гарантира тяхната подкрепа, разбиране и приемственост,</w:t>
            </w:r>
            <w:r w:rsidR="001A089C" w:rsidRPr="00011DE0">
              <w:t xml:space="preserve"> </w:t>
            </w:r>
            <w:r w:rsidR="001A089C" w:rsidRPr="00011DE0">
              <w:rPr>
                <w:rFonts w:ascii="Times New Roman" w:hAnsi="Times New Roman" w:cs="Times New Roman"/>
                <w:sz w:val="24"/>
                <w:szCs w:val="24"/>
              </w:rPr>
              <w:t>се предвижда през периода 2021-2027 г.</w:t>
            </w:r>
          </w:p>
          <w:p w14:paraId="79A45A26" w14:textId="72B73D4D" w:rsidR="00796DB3" w:rsidRPr="00796DB3" w:rsidRDefault="00D46D47" w:rsidP="00CD1A42">
            <w:pPr>
              <w:spacing w:before="240" w:after="120"/>
              <w:jc w:val="both"/>
              <w:rPr>
                <w:rFonts w:ascii="Times New Roman" w:eastAsia="Times New Roman" w:hAnsi="Times New Roman" w:cs="Times New Roman"/>
                <w:b/>
                <w:sz w:val="16"/>
                <w:szCs w:val="16"/>
                <w:lang w:eastAsia="zh-CN"/>
              </w:rPr>
            </w:pPr>
            <w:r w:rsidRPr="00171DED">
              <w:rPr>
                <w:rFonts w:ascii="Times New Roman" w:eastAsia="Times New Roman" w:hAnsi="Times New Roman" w:cs="Times New Roman"/>
                <w:bCs/>
                <w:iCs/>
                <w:sz w:val="24"/>
                <w:szCs w:val="24"/>
                <w:lang w:eastAsia="zh-CN"/>
              </w:rPr>
              <w:t xml:space="preserve">Най-важната цел е да бъде подкрепено изпълнението на </w:t>
            </w:r>
            <w:r w:rsidR="004B240A">
              <w:rPr>
                <w:rFonts w:ascii="Times New Roman" w:eastAsia="Times New Roman" w:hAnsi="Times New Roman" w:cs="Times New Roman"/>
                <w:bCs/>
                <w:iCs/>
                <w:sz w:val="24"/>
                <w:szCs w:val="24"/>
                <w:lang w:eastAsia="zh-CN"/>
              </w:rPr>
              <w:t xml:space="preserve">консервационни </w:t>
            </w:r>
            <w:r w:rsidRPr="00171DED">
              <w:rPr>
                <w:rFonts w:ascii="Times New Roman" w:eastAsia="Times New Roman" w:hAnsi="Times New Roman" w:cs="Times New Roman"/>
                <w:bCs/>
                <w:iCs/>
                <w:sz w:val="24"/>
                <w:szCs w:val="24"/>
                <w:lang w:eastAsia="zh-CN"/>
              </w:rPr>
              <w:t xml:space="preserve">мерки, за да се постигне </w:t>
            </w:r>
            <w:r w:rsidR="009047BC" w:rsidRPr="00171DED">
              <w:rPr>
                <w:rFonts w:ascii="Times New Roman" w:eastAsia="Times New Roman" w:hAnsi="Times New Roman" w:cs="Times New Roman"/>
                <w:bCs/>
                <w:iCs/>
                <w:sz w:val="24"/>
                <w:szCs w:val="24"/>
                <w:lang w:eastAsia="zh-CN"/>
              </w:rPr>
              <w:t xml:space="preserve">подобряване на </w:t>
            </w:r>
            <w:r w:rsidR="005512EB" w:rsidRPr="00171DED">
              <w:rPr>
                <w:rFonts w:ascii="Times New Roman" w:eastAsia="Times New Roman" w:hAnsi="Times New Roman" w:cs="Times New Roman"/>
                <w:bCs/>
                <w:iCs/>
                <w:sz w:val="24"/>
                <w:szCs w:val="24"/>
                <w:lang w:eastAsia="zh-CN"/>
              </w:rPr>
              <w:t>състояние</w:t>
            </w:r>
            <w:r w:rsidR="009047BC" w:rsidRPr="00171DED">
              <w:rPr>
                <w:rFonts w:ascii="Times New Roman" w:eastAsia="Times New Roman" w:hAnsi="Times New Roman" w:cs="Times New Roman"/>
                <w:bCs/>
                <w:iCs/>
                <w:sz w:val="24"/>
                <w:szCs w:val="24"/>
                <w:lang w:eastAsia="zh-CN"/>
              </w:rPr>
              <w:t>то</w:t>
            </w:r>
            <w:r w:rsidR="005512EB" w:rsidRPr="00171DED">
              <w:rPr>
                <w:rFonts w:ascii="Times New Roman" w:eastAsia="Times New Roman" w:hAnsi="Times New Roman" w:cs="Times New Roman"/>
                <w:bCs/>
                <w:iCs/>
                <w:sz w:val="24"/>
                <w:szCs w:val="24"/>
                <w:lang w:eastAsia="zh-CN"/>
              </w:rPr>
              <w:t xml:space="preserve"> на видове и местообитания.</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В тази връзка</w:t>
            </w:r>
            <w:r w:rsidR="00796DB3">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 през 2021</w:t>
            </w:r>
            <w:r w:rsidR="00796DB3">
              <w:rPr>
                <w:rFonts w:ascii="Times New Roman" w:eastAsia="Times New Roman" w:hAnsi="Times New Roman" w:cs="Times New Roman"/>
                <w:bCs/>
                <w:iCs/>
                <w:sz w:val="24"/>
                <w:szCs w:val="24"/>
                <w:lang w:eastAsia="zh-CN"/>
              </w:rPr>
              <w:t xml:space="preserve"> - </w:t>
            </w:r>
            <w:r w:rsidR="00796DB3" w:rsidRPr="00796DB3">
              <w:rPr>
                <w:rFonts w:ascii="Times New Roman" w:eastAsia="Times New Roman" w:hAnsi="Times New Roman" w:cs="Times New Roman"/>
                <w:bCs/>
                <w:iCs/>
                <w:sz w:val="24"/>
                <w:szCs w:val="24"/>
                <w:lang w:eastAsia="zh-CN"/>
              </w:rPr>
              <w:t xml:space="preserve">2027 г. </w:t>
            </w:r>
            <w:r w:rsidR="001B1FC1">
              <w:rPr>
                <w:rFonts w:ascii="Times New Roman" w:eastAsia="Times New Roman" w:hAnsi="Times New Roman" w:cs="Times New Roman"/>
                <w:bCs/>
                <w:iCs/>
                <w:sz w:val="24"/>
                <w:szCs w:val="24"/>
                <w:lang w:eastAsia="zh-CN"/>
              </w:rPr>
              <w:t>се</w:t>
            </w:r>
            <w:r w:rsidR="00796DB3" w:rsidRPr="00796DB3">
              <w:rPr>
                <w:rFonts w:ascii="Times New Roman" w:eastAsia="Times New Roman" w:hAnsi="Times New Roman" w:cs="Times New Roman"/>
                <w:bCs/>
                <w:iCs/>
                <w:sz w:val="24"/>
                <w:szCs w:val="24"/>
                <w:lang w:eastAsia="zh-CN"/>
              </w:rPr>
              <w:t xml:space="preserve"> предостав</w:t>
            </w:r>
            <w:r w:rsidR="001B1FC1">
              <w:rPr>
                <w:rFonts w:ascii="Times New Roman" w:eastAsia="Times New Roman" w:hAnsi="Times New Roman" w:cs="Times New Roman"/>
                <w:bCs/>
                <w:iCs/>
                <w:sz w:val="24"/>
                <w:szCs w:val="24"/>
                <w:lang w:eastAsia="zh-CN"/>
              </w:rPr>
              <w:t>я</w:t>
            </w:r>
            <w:r w:rsidR="00796DB3" w:rsidRPr="00796DB3">
              <w:rPr>
                <w:rFonts w:ascii="Times New Roman" w:eastAsia="Times New Roman" w:hAnsi="Times New Roman" w:cs="Times New Roman"/>
                <w:bCs/>
                <w:iCs/>
                <w:sz w:val="24"/>
                <w:szCs w:val="24"/>
                <w:lang w:eastAsia="zh-CN"/>
              </w:rPr>
              <w:t xml:space="preserve"> подкрепа за мерки за </w:t>
            </w:r>
            <w:r w:rsidR="00796DB3" w:rsidRPr="00CD1A42">
              <w:rPr>
                <w:rFonts w:ascii="Times New Roman" w:eastAsia="Times New Roman" w:hAnsi="Times New Roman" w:cs="Times New Roman"/>
                <w:bCs/>
                <w:iCs/>
                <w:sz w:val="24"/>
                <w:szCs w:val="24"/>
                <w:lang w:eastAsia="zh-CN"/>
              </w:rPr>
              <w:t>видове и местообитания в Натура 2000</w:t>
            </w:r>
            <w:r w:rsidR="00F65DD9">
              <w:rPr>
                <w:rFonts w:ascii="Times New Roman" w:eastAsia="Times New Roman" w:hAnsi="Times New Roman" w:cs="Times New Roman"/>
                <w:bCs/>
                <w:iCs/>
                <w:sz w:val="24"/>
                <w:szCs w:val="24"/>
                <w:lang w:eastAsia="zh-CN"/>
              </w:rPr>
              <w:t xml:space="preserve"> за постигане на </w:t>
            </w:r>
            <w:r w:rsidR="00F65DD9" w:rsidRPr="00171DED">
              <w:rPr>
                <w:rFonts w:ascii="Times New Roman" w:eastAsia="Times New Roman" w:hAnsi="Times New Roman" w:cs="Times New Roman"/>
                <w:bCs/>
                <w:iCs/>
                <w:sz w:val="24"/>
                <w:szCs w:val="24"/>
                <w:lang w:eastAsia="zh-CN"/>
              </w:rPr>
              <w:t xml:space="preserve">съответствие с изискванията на Директивата за </w:t>
            </w:r>
            <w:proofErr w:type="spellStart"/>
            <w:r w:rsidR="00F65DD9" w:rsidRPr="00171DED">
              <w:rPr>
                <w:rFonts w:ascii="Times New Roman" w:eastAsia="Times New Roman" w:hAnsi="Times New Roman" w:cs="Times New Roman"/>
                <w:bCs/>
                <w:iCs/>
                <w:sz w:val="24"/>
                <w:szCs w:val="24"/>
                <w:lang w:eastAsia="zh-CN"/>
              </w:rPr>
              <w:t>хабитатите</w:t>
            </w:r>
            <w:proofErr w:type="spellEnd"/>
            <w:r w:rsidR="00F65DD9" w:rsidRPr="00171DED">
              <w:rPr>
                <w:rFonts w:ascii="Times New Roman" w:eastAsia="Times New Roman" w:hAnsi="Times New Roman" w:cs="Times New Roman"/>
                <w:bCs/>
                <w:iCs/>
                <w:sz w:val="24"/>
                <w:szCs w:val="24"/>
                <w:lang w:eastAsia="zh-CN"/>
              </w:rPr>
              <w:t xml:space="preserve"> и Директивата за птиците</w:t>
            </w:r>
            <w:r w:rsidR="00F65DD9">
              <w:rPr>
                <w:rFonts w:ascii="Times New Roman" w:eastAsia="Times New Roman" w:hAnsi="Times New Roman" w:cs="Times New Roman"/>
                <w:bCs/>
                <w:iCs/>
                <w:sz w:val="24"/>
                <w:szCs w:val="24"/>
                <w:lang w:eastAsia="zh-CN"/>
              </w:rPr>
              <w:t xml:space="preserve">. Планирана е и подкрепа </w:t>
            </w:r>
            <w:r w:rsidR="00796DB3" w:rsidRPr="00CD1A42">
              <w:rPr>
                <w:rFonts w:ascii="Times New Roman" w:eastAsia="Times New Roman" w:hAnsi="Times New Roman" w:cs="Times New Roman"/>
                <w:bCs/>
                <w:iCs/>
                <w:sz w:val="24"/>
                <w:szCs w:val="24"/>
                <w:lang w:eastAsia="zh-CN"/>
              </w:rPr>
              <w:t>извън мрежата</w:t>
            </w:r>
            <w:r w:rsidR="00F65DD9">
              <w:rPr>
                <w:rFonts w:ascii="Times New Roman" w:eastAsia="Times New Roman" w:hAnsi="Times New Roman" w:cs="Times New Roman"/>
                <w:bCs/>
                <w:iCs/>
                <w:sz w:val="24"/>
                <w:szCs w:val="24"/>
                <w:lang w:eastAsia="zh-CN"/>
              </w:rPr>
              <w:t xml:space="preserve">, като мерките </w:t>
            </w:r>
            <w:r w:rsidR="00796DB3" w:rsidRPr="00CD1A42">
              <w:rPr>
                <w:rFonts w:ascii="Times New Roman" w:eastAsia="Times New Roman" w:hAnsi="Times New Roman" w:cs="Times New Roman"/>
                <w:bCs/>
                <w:iCs/>
                <w:sz w:val="24"/>
                <w:szCs w:val="24"/>
                <w:lang w:eastAsia="zh-CN"/>
              </w:rPr>
              <w:t>съответстват на Националната</w:t>
            </w:r>
            <w:r w:rsidR="00796DB3" w:rsidRPr="00796DB3">
              <w:rPr>
                <w:rFonts w:ascii="Times New Roman" w:eastAsia="Times New Roman" w:hAnsi="Times New Roman" w:cs="Times New Roman"/>
                <w:bCs/>
                <w:iCs/>
                <w:sz w:val="24"/>
                <w:szCs w:val="24"/>
                <w:lang w:eastAsia="zh-CN"/>
              </w:rPr>
              <w:t xml:space="preserve"> стратегия за биологично разнообразие до 2030 г.</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 xml:space="preserve">и </w:t>
            </w:r>
            <w:r w:rsidR="00796DB3">
              <w:rPr>
                <w:rFonts w:ascii="Times New Roman" w:eastAsia="Times New Roman" w:hAnsi="Times New Roman" w:cs="Times New Roman"/>
                <w:bCs/>
                <w:iCs/>
                <w:sz w:val="24"/>
                <w:szCs w:val="24"/>
                <w:lang w:eastAsia="zh-CN"/>
              </w:rPr>
              <w:t>на</w:t>
            </w:r>
            <w:r w:rsidR="00796DB3" w:rsidRPr="00796DB3">
              <w:rPr>
                <w:rFonts w:ascii="Times New Roman" w:eastAsia="Times New Roman" w:hAnsi="Times New Roman" w:cs="Times New Roman"/>
                <w:bCs/>
                <w:iCs/>
                <w:sz w:val="24"/>
                <w:szCs w:val="24"/>
                <w:lang w:eastAsia="zh-CN"/>
              </w:rPr>
              <w:t xml:space="preserve"> други документи на национално </w:t>
            </w:r>
            <w:r w:rsidR="00796DB3">
              <w:rPr>
                <w:rFonts w:ascii="Times New Roman" w:eastAsia="Times New Roman" w:hAnsi="Times New Roman" w:cs="Times New Roman"/>
                <w:bCs/>
                <w:iCs/>
                <w:sz w:val="24"/>
                <w:szCs w:val="24"/>
                <w:lang w:eastAsia="zh-CN"/>
              </w:rPr>
              <w:t>ниво.</w:t>
            </w:r>
          </w:p>
          <w:p w14:paraId="5B3F750A" w14:textId="0B69EC8B" w:rsidR="002D3E66" w:rsidRPr="00171DED" w:rsidRDefault="004F4AB5"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4A45D100" w:rsidR="002D3E66" w:rsidRPr="00171DED" w:rsidRDefault="004F4AB5"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Планираните инвестиции </w:t>
            </w:r>
            <w:r w:rsidR="00EF103D" w:rsidRPr="00171DED">
              <w:rPr>
                <w:rFonts w:ascii="Times New Roman" w:eastAsia="Times New Roman" w:hAnsi="Times New Roman" w:cs="Times New Roman"/>
                <w:bCs/>
                <w:sz w:val="24"/>
                <w:szCs w:val="24"/>
                <w:lang w:eastAsia="zh-CN"/>
              </w:rPr>
              <w:t>се базират на</w:t>
            </w:r>
            <w:r w:rsidR="001E1C9F">
              <w:rPr>
                <w:rFonts w:ascii="Times New Roman" w:eastAsia="Times New Roman" w:hAnsi="Times New Roman" w:cs="Times New Roman"/>
                <w:bCs/>
                <w:sz w:val="24"/>
                <w:szCs w:val="24"/>
                <w:lang w:eastAsia="zh-CN"/>
              </w:rPr>
              <w:t xml:space="preserve"> анализите, изводите и</w:t>
            </w:r>
            <w:r w:rsidRPr="00171DED">
              <w:rPr>
                <w:rFonts w:ascii="Times New Roman" w:eastAsia="Times New Roman" w:hAnsi="Times New Roman" w:cs="Times New Roman"/>
                <w:bCs/>
                <w:sz w:val="24"/>
                <w:szCs w:val="24"/>
                <w:lang w:eastAsia="zh-CN"/>
              </w:rPr>
              <w:t xml:space="preserve"> определените в НР</w:t>
            </w:r>
            <w:r w:rsidR="009047BC" w:rsidRPr="00171DED">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 xml:space="preserve">Д мерки за периода 2021-2027 г. </w:t>
            </w:r>
            <w:r w:rsidR="00EF103D" w:rsidRPr="008A139F">
              <w:rPr>
                <w:rFonts w:ascii="Times New Roman" w:eastAsia="Times New Roman" w:hAnsi="Times New Roman" w:cs="Times New Roman"/>
                <w:bCs/>
                <w:sz w:val="24"/>
                <w:szCs w:val="24"/>
                <w:lang w:eastAsia="zh-CN"/>
              </w:rPr>
              <w:t>Същите са в съответствие със Стратегията за биоразнообразие на ЕС 2030</w:t>
            </w:r>
            <w:r w:rsidR="00E118CB" w:rsidRPr="008A139F">
              <w:rPr>
                <w:rFonts w:ascii="Times New Roman" w:eastAsia="Times New Roman" w:hAnsi="Times New Roman" w:cs="Times New Roman"/>
                <w:bCs/>
                <w:sz w:val="24"/>
                <w:szCs w:val="24"/>
                <w:lang w:eastAsia="zh-CN"/>
              </w:rPr>
              <w:t>, на</w:t>
            </w:r>
            <w:r w:rsidR="00EF103D" w:rsidRPr="008A139F">
              <w:rPr>
                <w:rFonts w:ascii="Times New Roman" w:eastAsia="Times New Roman" w:hAnsi="Times New Roman" w:cs="Times New Roman"/>
                <w:bCs/>
                <w:sz w:val="24"/>
                <w:szCs w:val="24"/>
                <w:lang w:eastAsia="zh-CN"/>
              </w:rPr>
              <w:t>ционалната Стратегия за биоразнообразие 2030</w:t>
            </w:r>
            <w:r w:rsidR="00E118CB" w:rsidRPr="008A139F">
              <w:rPr>
                <w:rFonts w:ascii="Times New Roman" w:eastAsia="Times New Roman" w:hAnsi="Times New Roman" w:cs="Times New Roman"/>
                <w:bCs/>
                <w:sz w:val="24"/>
                <w:szCs w:val="24"/>
                <w:lang w:eastAsia="zh-CN"/>
              </w:rPr>
              <w:t>, плановете за управление на защитени територии и зони и планове за действие.</w:t>
            </w:r>
            <w:r w:rsidR="00E118CB">
              <w:rPr>
                <w:rFonts w:ascii="Times New Roman" w:eastAsia="Times New Roman" w:hAnsi="Times New Roman" w:cs="Times New Roman"/>
                <w:bCs/>
                <w:sz w:val="24"/>
                <w:szCs w:val="24"/>
                <w:lang w:eastAsia="zh-CN"/>
              </w:rPr>
              <w:t xml:space="preserve"> </w:t>
            </w:r>
            <w:r w:rsidR="00EF103D" w:rsidRPr="00171DED">
              <w:rPr>
                <w:rFonts w:ascii="Times New Roman" w:eastAsia="Times New Roman" w:hAnsi="Times New Roman" w:cs="Times New Roman"/>
                <w:bCs/>
                <w:sz w:val="24"/>
                <w:szCs w:val="24"/>
                <w:lang w:eastAsia="zh-CN"/>
              </w:rPr>
              <w:t xml:space="preserve">Те </w:t>
            </w:r>
            <w:r w:rsidRPr="00171DED">
              <w:rPr>
                <w:rFonts w:ascii="Times New Roman" w:eastAsia="Times New Roman" w:hAnsi="Times New Roman" w:cs="Times New Roman"/>
                <w:bCs/>
                <w:sz w:val="24"/>
                <w:szCs w:val="24"/>
                <w:lang w:eastAsia="zh-CN"/>
              </w:rPr>
              <w:t xml:space="preserve">се основават на </w:t>
            </w:r>
            <w:r w:rsidR="00032AAA" w:rsidRPr="00171DED">
              <w:rPr>
                <w:rFonts w:ascii="Times New Roman" w:eastAsia="Times New Roman" w:hAnsi="Times New Roman" w:cs="Times New Roman"/>
                <w:bCs/>
                <w:sz w:val="24"/>
                <w:szCs w:val="24"/>
                <w:lang w:eastAsia="zh-CN"/>
              </w:rPr>
              <w:t>научен анализ и приоритизиране с цел запазване или значително подобрение на състоянието на природни местообитания и видове.</w:t>
            </w:r>
            <w:r w:rsidRPr="00171DED">
              <w:rPr>
                <w:rFonts w:ascii="Times New Roman" w:eastAsia="Times New Roman" w:hAnsi="Times New Roman" w:cs="Times New Roman"/>
                <w:bCs/>
                <w:sz w:val="24"/>
                <w:szCs w:val="24"/>
                <w:lang w:eastAsia="zh-CN"/>
              </w:rPr>
              <w:t xml:space="preserve"> Изпълнението на мерките допринася за постигането на целите на </w:t>
            </w:r>
            <w:r w:rsidR="00C3025D" w:rsidRPr="00171DED">
              <w:rPr>
                <w:rFonts w:ascii="Times New Roman" w:eastAsia="Times New Roman" w:hAnsi="Times New Roman" w:cs="Times New Roman"/>
                <w:bCs/>
                <w:sz w:val="24"/>
                <w:szCs w:val="24"/>
                <w:lang w:eastAsia="zh-CN"/>
              </w:rPr>
              <w:t xml:space="preserve">ос </w:t>
            </w:r>
            <w:r w:rsidRPr="00171DED">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171DED">
              <w:rPr>
                <w:rFonts w:ascii="Times New Roman" w:eastAsia="Times New Roman" w:hAnsi="Times New Roman" w:cs="Times New Roman"/>
                <w:bCs/>
                <w:sz w:val="24"/>
                <w:szCs w:val="24"/>
                <w:lang w:eastAsia="zh-CN"/>
              </w:rPr>
              <w:t xml:space="preserve"> </w:t>
            </w:r>
          </w:p>
          <w:p w14:paraId="551EC311" w14:textId="77777777" w:rsidR="002D3E66" w:rsidRPr="00171DED" w:rsidRDefault="00302DB8"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171DED" w:rsidRDefault="0071546A"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122BA07F" w:rsidR="002D3E66" w:rsidRPr="00171DED" w:rsidRDefault="0071546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Що се отнася до </w:t>
            </w:r>
            <w:r w:rsidRPr="00171DED">
              <w:rPr>
                <w:rFonts w:ascii="Times New Roman" w:eastAsia="Times New Roman" w:hAnsi="Times New Roman" w:cs="Times New Roman"/>
                <w:b/>
                <w:sz w:val="24"/>
                <w:szCs w:val="24"/>
                <w:lang w:eastAsia="zh-CN"/>
              </w:rPr>
              <w:t>риска и адаптацията към изменението на климата</w:t>
            </w:r>
            <w:r w:rsidR="00B16CAC">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Cs/>
                <w:sz w:val="24"/>
                <w:szCs w:val="24"/>
                <w:lang w:eastAsia="zh-CN"/>
              </w:rPr>
              <w:t xml:space="preserve"> наводненията остават най-значимото природно бедствие за България</w:t>
            </w:r>
            <w:r w:rsidR="008702D5" w:rsidRPr="00171DED">
              <w:rPr>
                <w:rFonts w:ascii="Times New Roman" w:eastAsia="Times New Roman" w:hAnsi="Times New Roman" w:cs="Times New Roman"/>
                <w:bCs/>
                <w:sz w:val="24"/>
                <w:szCs w:val="24"/>
                <w:lang w:eastAsia="zh-CN"/>
              </w:rPr>
              <w:t xml:space="preserve">, </w:t>
            </w:r>
            <w:r w:rsidR="008702D5" w:rsidRPr="005C4877">
              <w:rPr>
                <w:rFonts w:ascii="Times New Roman" w:eastAsia="Times New Roman" w:hAnsi="Times New Roman" w:cs="Times New Roman"/>
                <w:bCs/>
                <w:sz w:val="24"/>
                <w:szCs w:val="24"/>
                <w:lang w:eastAsia="zh-CN"/>
              </w:rPr>
              <w:t>като последица от климатичните промени</w:t>
            </w:r>
            <w:r w:rsidRPr="00171DED">
              <w:rPr>
                <w:rFonts w:ascii="Times New Roman" w:eastAsia="Times New Roman" w:hAnsi="Times New Roman" w:cs="Times New Roman"/>
                <w:bCs/>
                <w:sz w:val="24"/>
                <w:szCs w:val="24"/>
                <w:lang w:eastAsia="zh-CN"/>
              </w:rPr>
              <w:t>. Отчетено е, че те са нанесли най-големи щети, следвани от свлачища, засушавания и пожари, бури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вихрушки, земетресения (НСИ, 2018). Нанесените щети са показател, че обществото все още не е достатъчно защитено и подготвено да се противопостави на подобни рискове</w:t>
            </w:r>
            <w:r w:rsidR="005B348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 този смисъл</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вкл. и съгласно</w:t>
            </w:r>
            <w:r w:rsidR="001E0C07" w:rsidRPr="00171DED">
              <w:rPr>
                <w:rFonts w:ascii="Times New Roman" w:eastAsia="Times New Roman" w:hAnsi="Times New Roman" w:cs="Times New Roman"/>
                <w:bCs/>
                <w:sz w:val="24"/>
                <w:szCs w:val="24"/>
                <w:lang w:eastAsia="zh-CN"/>
              </w:rPr>
              <w:t xml:space="preserve"> </w:t>
            </w:r>
            <w:r w:rsidR="00CD78CF" w:rsidRPr="00171DED">
              <w:rPr>
                <w:rFonts w:ascii="Times New Roman" w:eastAsia="Times New Roman" w:hAnsi="Times New Roman" w:cs="Times New Roman"/>
                <w:bCs/>
                <w:sz w:val="24"/>
                <w:szCs w:val="24"/>
                <w:lang w:eastAsia="zh-CN"/>
              </w:rPr>
              <w:t>Доклад за България за 2019 г.</w:t>
            </w:r>
            <w:r w:rsidR="001E0C07"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фокусът е</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 xml:space="preserve">върху </w:t>
            </w:r>
            <w:r w:rsidRPr="00171DED">
              <w:rPr>
                <w:rFonts w:ascii="Times New Roman" w:eastAsia="Times New Roman" w:hAnsi="Times New Roman" w:cs="Times New Roman"/>
                <w:bCs/>
                <w:sz w:val="24"/>
                <w:szCs w:val="24"/>
                <w:lang w:eastAsia="zh-CN"/>
              </w:rPr>
              <w:t>изграждането на цялостна система за справяне с риска от бедствия, ориентирана по-скоро към превенцията и предотвратяването на т</w:t>
            </w:r>
            <w:r w:rsidR="001E0C07" w:rsidRPr="00171DED">
              <w:rPr>
                <w:rFonts w:ascii="Times New Roman" w:eastAsia="Times New Roman" w:hAnsi="Times New Roman" w:cs="Times New Roman"/>
                <w:bCs/>
                <w:sz w:val="24"/>
                <w:szCs w:val="24"/>
                <w:lang w:eastAsia="zh-CN"/>
              </w:rPr>
              <w:t>ези</w:t>
            </w:r>
            <w:r w:rsidRPr="00171DED">
              <w:rPr>
                <w:rFonts w:ascii="Times New Roman" w:eastAsia="Times New Roman" w:hAnsi="Times New Roman" w:cs="Times New Roman"/>
                <w:bCs/>
                <w:sz w:val="24"/>
                <w:szCs w:val="24"/>
                <w:lang w:eastAsia="zh-CN"/>
              </w:rPr>
              <w:t xml:space="preserve"> риск</w:t>
            </w:r>
            <w:r w:rsidR="001E0C07" w:rsidRPr="00171DED">
              <w:rPr>
                <w:rFonts w:ascii="Times New Roman" w:eastAsia="Times New Roman" w:hAnsi="Times New Roman" w:cs="Times New Roman"/>
                <w:bCs/>
                <w:sz w:val="24"/>
                <w:szCs w:val="24"/>
                <w:lang w:eastAsia="zh-CN"/>
              </w:rPr>
              <w:t>ове</w:t>
            </w:r>
            <w:r w:rsidRPr="00171DED">
              <w:rPr>
                <w:rFonts w:ascii="Times New Roman" w:eastAsia="Times New Roman" w:hAnsi="Times New Roman" w:cs="Times New Roman"/>
                <w:bCs/>
                <w:sz w:val="24"/>
                <w:szCs w:val="24"/>
                <w:lang w:eastAsia="zh-CN"/>
              </w:rPr>
              <w:t xml:space="preserve">. </w:t>
            </w:r>
            <w:r w:rsidR="005B3480" w:rsidRPr="00171DED">
              <w:rPr>
                <w:rFonts w:ascii="Times New Roman" w:eastAsia="Times New Roman" w:hAnsi="Times New Roman" w:cs="Times New Roman"/>
                <w:bCs/>
                <w:sz w:val="24"/>
                <w:szCs w:val="24"/>
                <w:lang w:eastAsia="zh-CN"/>
              </w:rPr>
              <w:t xml:space="preserve">Повишената честота на екстремните климатични </w:t>
            </w:r>
            <w:r w:rsidR="005B3480" w:rsidRPr="00171DED">
              <w:rPr>
                <w:rFonts w:ascii="Times New Roman" w:eastAsia="Times New Roman" w:hAnsi="Times New Roman" w:cs="Times New Roman"/>
                <w:bCs/>
                <w:sz w:val="24"/>
                <w:szCs w:val="24"/>
                <w:lang w:eastAsia="zh-CN"/>
              </w:rPr>
              <w:lastRenderedPageBreak/>
              <w:t>явления засяга социално-икономическите и природните системи.</w:t>
            </w:r>
            <w:r w:rsidR="005B3480">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Оценяването на икономическите разходи от изменението на климата е предизвикател</w:t>
            </w:r>
            <w:r w:rsidR="005B3480">
              <w:rPr>
                <w:rFonts w:ascii="Times New Roman" w:eastAsia="Times New Roman" w:hAnsi="Times New Roman" w:cs="Times New Roman"/>
                <w:bCs/>
                <w:sz w:val="24"/>
                <w:szCs w:val="24"/>
                <w:lang w:eastAsia="zh-CN"/>
              </w:rPr>
              <w:t>ство</w:t>
            </w:r>
            <w:r w:rsidR="003E4672">
              <w:rPr>
                <w:rFonts w:ascii="Times New Roman" w:eastAsia="Times New Roman" w:hAnsi="Times New Roman" w:cs="Times New Roman"/>
                <w:bCs/>
                <w:sz w:val="24"/>
                <w:szCs w:val="24"/>
                <w:lang w:eastAsia="zh-CN"/>
              </w:rPr>
              <w:t xml:space="preserve"> за отделните сектори</w:t>
            </w:r>
            <w:r w:rsidR="001E0C07" w:rsidRPr="00171DED">
              <w:rPr>
                <w:rFonts w:ascii="Times New Roman" w:eastAsia="Times New Roman" w:hAnsi="Times New Roman" w:cs="Times New Roman"/>
                <w:bCs/>
                <w:sz w:val="24"/>
                <w:szCs w:val="24"/>
                <w:lang w:eastAsia="zh-CN"/>
              </w:rPr>
              <w:t xml:space="preserve">, </w:t>
            </w:r>
            <w:r w:rsidR="006D4409">
              <w:rPr>
                <w:rFonts w:ascii="Times New Roman" w:eastAsia="Times New Roman" w:hAnsi="Times New Roman" w:cs="Times New Roman"/>
                <w:bCs/>
                <w:sz w:val="24"/>
                <w:szCs w:val="24"/>
                <w:lang w:eastAsia="zh-CN"/>
              </w:rPr>
              <w:t xml:space="preserve">като </w:t>
            </w:r>
            <w:r w:rsidR="001E0C07" w:rsidRPr="00171DED">
              <w:rPr>
                <w:rFonts w:ascii="Times New Roman" w:eastAsia="Times New Roman" w:hAnsi="Times New Roman" w:cs="Times New Roman"/>
                <w:bCs/>
                <w:sz w:val="24"/>
                <w:szCs w:val="24"/>
                <w:lang w:eastAsia="zh-CN"/>
              </w:rPr>
              <w:t>проучвания</w:t>
            </w:r>
            <w:r w:rsidR="003E4672">
              <w:rPr>
                <w:rFonts w:ascii="Times New Roman" w:eastAsia="Times New Roman" w:hAnsi="Times New Roman" w:cs="Times New Roman"/>
                <w:bCs/>
                <w:sz w:val="24"/>
                <w:szCs w:val="24"/>
                <w:lang w:eastAsia="zh-CN"/>
              </w:rPr>
              <w:t>та</w:t>
            </w:r>
            <w:r w:rsidR="001E0C07" w:rsidRPr="00171DED">
              <w:rPr>
                <w:rFonts w:ascii="Times New Roman" w:eastAsia="Times New Roman" w:hAnsi="Times New Roman" w:cs="Times New Roman"/>
                <w:bCs/>
                <w:sz w:val="24"/>
                <w:szCs w:val="24"/>
                <w:lang w:eastAsia="zh-CN"/>
              </w:rPr>
              <w:t xml:space="preserve"> показват, че тези разходи могат да бъдат високи дори при незначителни </w:t>
            </w:r>
            <w:r w:rsidR="006D4409">
              <w:rPr>
                <w:rFonts w:ascii="Times New Roman" w:eastAsia="Times New Roman" w:hAnsi="Times New Roman" w:cs="Times New Roman"/>
                <w:bCs/>
                <w:sz w:val="24"/>
                <w:szCs w:val="24"/>
                <w:lang w:eastAsia="zh-CN"/>
              </w:rPr>
              <w:t>изменения</w:t>
            </w:r>
            <w:r w:rsidR="001E0C07" w:rsidRPr="00171DED">
              <w:rPr>
                <w:rFonts w:ascii="Times New Roman" w:eastAsia="Times New Roman" w:hAnsi="Times New Roman" w:cs="Times New Roman"/>
                <w:bCs/>
                <w:sz w:val="24"/>
                <w:szCs w:val="24"/>
                <w:lang w:eastAsia="zh-CN"/>
              </w:rPr>
              <w:t>. Ключов хоризонтален проблем за всички сектори е уязвимостта към екстремни метеорологични явления и необходимостта от развиване на устойчивост и готовност чрез цялостно управление и предотвратяване на риска от бедствия.</w:t>
            </w:r>
          </w:p>
          <w:p w14:paraId="494553D2" w14:textId="03E1FC5C" w:rsidR="002D3E66" w:rsidRPr="00171DED" w:rsidRDefault="001E0C07"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В</w:t>
            </w:r>
            <w:r w:rsidR="0071546A" w:rsidRPr="00171DED">
              <w:rPr>
                <w:rFonts w:ascii="Times New Roman" w:eastAsia="Times New Roman" w:hAnsi="Times New Roman" w:cs="Times New Roman"/>
                <w:bCs/>
                <w:sz w:val="24"/>
                <w:szCs w:val="24"/>
                <w:lang w:eastAsia="zh-CN"/>
              </w:rPr>
              <w:t xml:space="preserve"> изпълнение на ангажиментите по </w:t>
            </w:r>
            <w:r w:rsidR="003E4672">
              <w:rPr>
                <w:rFonts w:ascii="Times New Roman" w:eastAsia="Times New Roman" w:hAnsi="Times New Roman" w:cs="Times New Roman"/>
                <w:bCs/>
                <w:sz w:val="24"/>
                <w:szCs w:val="24"/>
                <w:lang w:eastAsia="zh-CN"/>
              </w:rPr>
              <w:t>РДВ</w:t>
            </w:r>
            <w:r w:rsidR="0071546A" w:rsidRPr="00171DED">
              <w:rPr>
                <w:rFonts w:ascii="Times New Roman" w:eastAsia="Times New Roman" w:hAnsi="Times New Roman" w:cs="Times New Roman"/>
                <w:bCs/>
                <w:sz w:val="24"/>
                <w:szCs w:val="24"/>
                <w:lang w:eastAsia="zh-CN"/>
              </w:rPr>
              <w:t xml:space="preserve"> и Директива 2007/60/ЕО, България прилага дългосрочно планиране за намаляване на риска от наводнения</w:t>
            </w:r>
            <w:r w:rsidR="003E4672">
              <w:rPr>
                <w:rFonts w:ascii="Times New Roman" w:eastAsia="Times New Roman" w:hAnsi="Times New Roman" w:cs="Times New Roman"/>
                <w:bCs/>
                <w:sz w:val="24"/>
                <w:szCs w:val="24"/>
                <w:lang w:eastAsia="zh-CN"/>
              </w:rPr>
              <w:t>, като</w:t>
            </w:r>
            <w:r w:rsidRPr="00171DED">
              <w:rPr>
                <w:rFonts w:ascii="Times New Roman" w:eastAsia="Times New Roman" w:hAnsi="Times New Roman" w:cs="Times New Roman"/>
                <w:bCs/>
                <w:sz w:val="24"/>
                <w:szCs w:val="24"/>
                <w:lang w:eastAsia="zh-CN"/>
              </w:rPr>
              <w:t xml:space="preserve"> е</w:t>
            </w:r>
            <w:r w:rsidR="0071546A" w:rsidRPr="00171DED">
              <w:rPr>
                <w:rFonts w:ascii="Times New Roman" w:eastAsia="Times New Roman" w:hAnsi="Times New Roman" w:cs="Times New Roman"/>
                <w:bCs/>
                <w:sz w:val="24"/>
                <w:szCs w:val="24"/>
                <w:lang w:eastAsia="zh-CN"/>
              </w:rPr>
              <w:t xml:space="preserve"> разработ</w:t>
            </w:r>
            <w:r w:rsidRPr="00171DED">
              <w:rPr>
                <w:rFonts w:ascii="Times New Roman" w:eastAsia="Times New Roman" w:hAnsi="Times New Roman" w:cs="Times New Roman"/>
                <w:bCs/>
                <w:sz w:val="24"/>
                <w:szCs w:val="24"/>
                <w:lang w:eastAsia="zh-CN"/>
              </w:rPr>
              <w:t xml:space="preserve">ила </w:t>
            </w:r>
            <w:r w:rsidR="0071546A" w:rsidRPr="00171DED">
              <w:rPr>
                <w:rFonts w:ascii="Times New Roman" w:eastAsia="Times New Roman" w:hAnsi="Times New Roman" w:cs="Times New Roman"/>
                <w:bCs/>
                <w:sz w:val="24"/>
                <w:szCs w:val="24"/>
                <w:lang w:eastAsia="zh-CN"/>
              </w:rPr>
              <w:t>ПУРН</w:t>
            </w:r>
            <w:r w:rsidR="001E1C9F">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Cs/>
                <w:sz w:val="24"/>
                <w:szCs w:val="24"/>
                <w:lang w:eastAsia="zh-CN"/>
              </w:rPr>
              <w:t xml:space="preserve">за четирите района на басейново управление. </w:t>
            </w:r>
            <w:r w:rsidRPr="00171DED">
              <w:rPr>
                <w:rFonts w:ascii="Times New Roman" w:eastAsia="Times New Roman" w:hAnsi="Times New Roman" w:cs="Times New Roman"/>
                <w:bCs/>
                <w:sz w:val="24"/>
                <w:szCs w:val="24"/>
                <w:lang w:eastAsia="zh-CN"/>
              </w:rPr>
              <w:t xml:space="preserve">За 2014-2020 г. финансов ресурс е насочен към изпълнение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Програмите от мерки към ПУРН. Със средства по ОПОС 2014-2020 (</w:t>
            </w:r>
            <w:r w:rsidRPr="00171DED">
              <w:rPr>
                <w:rFonts w:ascii="Times New Roman" w:hAnsi="Times New Roman"/>
                <w:sz w:val="24"/>
              </w:rPr>
              <w:t>над 55 млн. евро)</w:t>
            </w:r>
            <w:r w:rsidRPr="00171DED">
              <w:rPr>
                <w:rFonts w:ascii="Times New Roman" w:eastAsia="Times New Roman" w:hAnsi="Times New Roman" w:cs="Times New Roman"/>
                <w:bCs/>
                <w:sz w:val="24"/>
                <w:szCs w:val="24"/>
                <w:lang w:eastAsia="zh-CN"/>
              </w:rPr>
              <w:t xml:space="preserve"> са подкрепени мерки за превенция, подготвеност, защита и реакция на населението, </w:t>
            </w:r>
            <w:r w:rsidR="001E1C9F">
              <w:rPr>
                <w:rFonts w:ascii="Times New Roman" w:eastAsia="Times New Roman" w:hAnsi="Times New Roman" w:cs="Times New Roman"/>
                <w:bCs/>
                <w:sz w:val="24"/>
                <w:szCs w:val="24"/>
                <w:lang w:eastAsia="zh-CN"/>
              </w:rPr>
              <w:t xml:space="preserve">като е </w:t>
            </w:r>
            <w:r w:rsidRPr="00171DED">
              <w:rPr>
                <w:rFonts w:ascii="Times New Roman" w:eastAsia="Times New Roman" w:hAnsi="Times New Roman" w:cs="Times New Roman"/>
                <w:bCs/>
                <w:sz w:val="24"/>
                <w:szCs w:val="24"/>
                <w:lang w:eastAsia="zh-CN"/>
              </w:rPr>
              <w:t xml:space="preserve">предоставена </w:t>
            </w:r>
            <w:r w:rsidR="003E4672">
              <w:rPr>
                <w:rFonts w:ascii="Times New Roman" w:eastAsia="Times New Roman" w:hAnsi="Times New Roman" w:cs="Times New Roman"/>
                <w:bCs/>
                <w:sz w:val="24"/>
                <w:szCs w:val="24"/>
                <w:lang w:eastAsia="zh-CN"/>
              </w:rPr>
              <w:t>финансиране</w:t>
            </w:r>
            <w:r w:rsidRPr="00171DED">
              <w:rPr>
                <w:rFonts w:ascii="Times New Roman" w:eastAsia="Times New Roman" w:hAnsi="Times New Roman" w:cs="Times New Roman"/>
                <w:bCs/>
                <w:sz w:val="24"/>
                <w:szCs w:val="24"/>
                <w:lang w:eastAsia="zh-CN"/>
              </w:rPr>
              <w:t xml:space="preserve"> за изграждането на 6 регионални центъра за повишаване на готовността на населението за адекватна реакция при наводнения</w:t>
            </w:r>
            <w:r w:rsidR="001E1C9F">
              <w:rPr>
                <w:rFonts w:ascii="Times New Roman" w:eastAsia="Times New Roman" w:hAnsi="Times New Roman" w:cs="Times New Roman"/>
                <w:bCs/>
                <w:sz w:val="24"/>
                <w:szCs w:val="24"/>
                <w:lang w:eastAsia="zh-CN"/>
              </w:rPr>
              <w:t>. Подкрепено е</w:t>
            </w:r>
            <w:r w:rsidR="003E4672">
              <w:rPr>
                <w:rFonts w:ascii="Times New Roman" w:eastAsia="Times New Roman" w:hAnsi="Times New Roman" w:cs="Times New Roman"/>
                <w:bCs/>
                <w:sz w:val="24"/>
                <w:szCs w:val="24"/>
                <w:lang w:eastAsia="zh-CN"/>
              </w:rPr>
              <w:t>:</w:t>
            </w:r>
            <w:r w:rsidR="001E1C9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развитието на единен модел за изграждане на капацитет за действия при възникването на наводнения и последващи кризи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w:t>
            </w:r>
            <w:r w:rsidR="003E4672">
              <w:rPr>
                <w:rFonts w:ascii="Times New Roman" w:eastAsia="Times New Roman" w:hAnsi="Times New Roman" w:cs="Times New Roman"/>
                <w:bCs/>
                <w:sz w:val="24"/>
                <w:szCs w:val="24"/>
                <w:lang w:eastAsia="zh-CN"/>
              </w:rPr>
              <w:t>нето</w:t>
            </w:r>
            <w:r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Национална система за управление на водите в реално време – пилотно за р. Искър, чиято функционалност се допълва от система, интегрираща локални системи, подпомагащи ранното предупреждение и оповестяване</w:t>
            </w:r>
            <w:r w:rsidR="003E4672">
              <w:rPr>
                <w:rFonts w:ascii="Times New Roman" w:hAnsi="Times New Roman"/>
                <w:sz w:val="24"/>
              </w:rPr>
              <w:t>;</w:t>
            </w:r>
            <w:r w:rsidRPr="00171DED">
              <w:rPr>
                <w:rFonts w:ascii="Times New Roman" w:eastAsia="Times New Roman" w:hAnsi="Times New Roman" w:cs="Times New Roman"/>
                <w:bCs/>
                <w:sz w:val="24"/>
                <w:szCs w:val="24"/>
                <w:lang w:eastAsia="zh-CN"/>
              </w:rPr>
              <w:t xml:space="preserve"> укрепва</w:t>
            </w:r>
            <w:r w:rsidR="003E4672">
              <w:rPr>
                <w:rFonts w:ascii="Times New Roman" w:eastAsia="Times New Roman" w:hAnsi="Times New Roman" w:cs="Times New Roman"/>
                <w:bCs/>
                <w:sz w:val="24"/>
                <w:szCs w:val="24"/>
                <w:lang w:eastAsia="zh-CN"/>
              </w:rPr>
              <w:t>не на</w:t>
            </w:r>
            <w:r w:rsidR="00B16CAC">
              <w:rPr>
                <w:rFonts w:ascii="Times New Roman" w:eastAsia="Times New Roman" w:hAnsi="Times New Roman" w:cs="Times New Roman"/>
                <w:bCs/>
                <w:sz w:val="24"/>
                <w:szCs w:val="24"/>
                <w:lang w:eastAsia="zh-CN"/>
              </w:rPr>
              <w:t xml:space="preserve"> </w:t>
            </w:r>
            <w:r w:rsidRPr="00171DED">
              <w:rPr>
                <w:rFonts w:ascii="Times New Roman" w:hAnsi="Times New Roman"/>
                <w:sz w:val="24"/>
              </w:rPr>
              <w:t>13 бр. свлачища.</w:t>
            </w:r>
          </w:p>
          <w:p w14:paraId="5CC663F3" w14:textId="70D2AA77" w:rsidR="00813DEE" w:rsidRPr="00171DED" w:rsidRDefault="009C282F" w:rsidP="001E3E7F">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За периода 2021-2027 г. </w:t>
            </w:r>
            <w:r w:rsidR="006C70E0" w:rsidRPr="00171DED">
              <w:rPr>
                <w:rFonts w:ascii="Times New Roman" w:eastAsia="Times New Roman" w:hAnsi="Times New Roman" w:cs="Times New Roman"/>
                <w:bCs/>
                <w:sz w:val="24"/>
                <w:szCs w:val="24"/>
              </w:rPr>
              <w:t xml:space="preserve">продължават </w:t>
            </w:r>
            <w:r w:rsidR="006D4409">
              <w:rPr>
                <w:rFonts w:ascii="Times New Roman" w:eastAsia="Times New Roman" w:hAnsi="Times New Roman" w:cs="Times New Roman"/>
                <w:bCs/>
                <w:sz w:val="24"/>
                <w:szCs w:val="24"/>
              </w:rPr>
              <w:t xml:space="preserve">инвестициите за </w:t>
            </w:r>
            <w:r w:rsidR="006C70E0" w:rsidRPr="00171DED">
              <w:rPr>
                <w:rFonts w:ascii="Times New Roman" w:eastAsia="Times New Roman" w:hAnsi="Times New Roman" w:cs="Times New Roman"/>
                <w:bCs/>
                <w:sz w:val="24"/>
                <w:szCs w:val="24"/>
              </w:rPr>
              <w:t>изпълнение на мерки от ПУРН поради нужди</w:t>
            </w:r>
            <w:r w:rsidR="006D4409">
              <w:rPr>
                <w:rFonts w:ascii="Times New Roman" w:eastAsia="Times New Roman" w:hAnsi="Times New Roman" w:cs="Times New Roman"/>
                <w:bCs/>
                <w:sz w:val="24"/>
                <w:szCs w:val="24"/>
              </w:rPr>
              <w:t>те</w:t>
            </w:r>
            <w:r w:rsidR="006C70E0" w:rsidRPr="00171DED">
              <w:rPr>
                <w:rFonts w:ascii="Times New Roman" w:eastAsia="Times New Roman" w:hAnsi="Times New Roman" w:cs="Times New Roman"/>
                <w:bCs/>
                <w:sz w:val="24"/>
                <w:szCs w:val="24"/>
              </w:rPr>
              <w:t xml:space="preserve"> по отношение риска от наводнения и необходимостта от превантивни мерки. </w:t>
            </w:r>
            <w:r w:rsidR="006D4409" w:rsidRPr="00171DED">
              <w:rPr>
                <w:rFonts w:ascii="Times New Roman" w:eastAsia="Times New Roman" w:hAnsi="Times New Roman" w:cs="Times New Roman"/>
                <w:bCs/>
                <w:sz w:val="24"/>
                <w:szCs w:val="24"/>
              </w:rPr>
              <w:t xml:space="preserve">Обхватът </w:t>
            </w:r>
            <w:r w:rsidR="006C70E0" w:rsidRPr="00171DED">
              <w:rPr>
                <w:rFonts w:ascii="Times New Roman" w:eastAsia="Times New Roman" w:hAnsi="Times New Roman" w:cs="Times New Roman"/>
                <w:bCs/>
                <w:sz w:val="24"/>
                <w:szCs w:val="24"/>
              </w:rPr>
              <w:t xml:space="preserve">на подкрепяните мерки </w:t>
            </w:r>
            <w:r w:rsidR="003E4672">
              <w:rPr>
                <w:rFonts w:ascii="Times New Roman" w:eastAsia="Times New Roman" w:hAnsi="Times New Roman" w:cs="Times New Roman"/>
                <w:bCs/>
                <w:sz w:val="24"/>
                <w:szCs w:val="24"/>
              </w:rPr>
              <w:t>се</w:t>
            </w:r>
            <w:r w:rsidR="006C70E0" w:rsidRPr="00171DED">
              <w:rPr>
                <w:rFonts w:ascii="Times New Roman" w:eastAsia="Times New Roman" w:hAnsi="Times New Roman" w:cs="Times New Roman"/>
                <w:bCs/>
                <w:sz w:val="24"/>
                <w:szCs w:val="24"/>
              </w:rPr>
              <w:t xml:space="preserve"> разшир</w:t>
            </w:r>
            <w:r w:rsidR="003E4672">
              <w:rPr>
                <w:rFonts w:ascii="Times New Roman" w:eastAsia="Times New Roman" w:hAnsi="Times New Roman" w:cs="Times New Roman"/>
                <w:bCs/>
                <w:sz w:val="24"/>
                <w:szCs w:val="24"/>
              </w:rPr>
              <w:t xml:space="preserve">ява с </w:t>
            </w:r>
            <w:r w:rsidR="003E4672" w:rsidRPr="00171DED">
              <w:rPr>
                <w:rFonts w:ascii="Times New Roman" w:eastAsia="Times New Roman" w:hAnsi="Times New Roman" w:cs="Times New Roman"/>
                <w:bCs/>
                <w:sz w:val="24"/>
                <w:szCs w:val="24"/>
              </w:rPr>
              <w:t xml:space="preserve">приоритет </w:t>
            </w:r>
            <w:r w:rsidR="006C70E0" w:rsidRPr="00171DED">
              <w:rPr>
                <w:rFonts w:ascii="Times New Roman" w:eastAsia="Times New Roman" w:hAnsi="Times New Roman" w:cs="Times New Roman"/>
                <w:bCs/>
                <w:sz w:val="24"/>
                <w:szCs w:val="24"/>
              </w:rPr>
              <w:t xml:space="preserve">на изпълнението на зелени инфраструктурни мерки </w:t>
            </w:r>
            <w:r w:rsidR="003E4672">
              <w:rPr>
                <w:rFonts w:ascii="Times New Roman" w:eastAsia="Times New Roman" w:hAnsi="Times New Roman" w:cs="Times New Roman"/>
                <w:bCs/>
                <w:sz w:val="24"/>
                <w:szCs w:val="24"/>
              </w:rPr>
              <w:t>–</w:t>
            </w:r>
            <w:r w:rsidR="006C70E0" w:rsidRPr="00171DED">
              <w:rPr>
                <w:rFonts w:ascii="Times New Roman" w:eastAsia="Times New Roman" w:hAnsi="Times New Roman" w:cs="Times New Roman"/>
                <w:bCs/>
                <w:sz w:val="24"/>
                <w:szCs w:val="24"/>
              </w:rPr>
              <w:t xml:space="preserve"> повишаване защитата на населението чрез насърчаването на екологосъобразни дейности като алтернатива на стандартните „сиви“ решения. Където е възможно и приемливо се подкрепя прилагането на </w:t>
            </w:r>
            <w:proofErr w:type="spellStart"/>
            <w:r w:rsidR="006C70E0" w:rsidRPr="00171DED">
              <w:rPr>
                <w:rFonts w:ascii="Times New Roman" w:eastAsia="Times New Roman" w:hAnsi="Times New Roman" w:cs="Times New Roman"/>
                <w:bCs/>
                <w:sz w:val="24"/>
                <w:szCs w:val="24"/>
              </w:rPr>
              <w:t>холистичен</w:t>
            </w:r>
            <w:proofErr w:type="spellEnd"/>
            <w:r w:rsidR="006C70E0" w:rsidRPr="00171DED">
              <w:rPr>
                <w:rFonts w:ascii="Times New Roman" w:eastAsia="Times New Roman" w:hAnsi="Times New Roman" w:cs="Times New Roman"/>
                <w:bCs/>
                <w:sz w:val="24"/>
                <w:szCs w:val="24"/>
              </w:rPr>
              <w:t xml:space="preserve"> подход чрез инвестиции в щадящи околната среда решения съвместно с</w:t>
            </w:r>
            <w:r w:rsidR="006F35C5" w:rsidRPr="00171DED">
              <w:rPr>
                <w:rFonts w:ascii="Times New Roman" w:eastAsia="Times New Roman" w:hAnsi="Times New Roman" w:cs="Times New Roman"/>
                <w:bCs/>
                <w:sz w:val="24"/>
                <w:szCs w:val="24"/>
              </w:rPr>
              <w:t xml:space="preserve">ъс „сива“ инфраструктура, като усилията са насочени към районите със значителен потенциален риск от наводнения, </w:t>
            </w:r>
            <w:r w:rsidR="003E4672">
              <w:rPr>
                <w:rFonts w:ascii="Times New Roman" w:eastAsia="Times New Roman" w:hAnsi="Times New Roman" w:cs="Times New Roman"/>
                <w:bCs/>
                <w:sz w:val="24"/>
                <w:szCs w:val="24"/>
              </w:rPr>
              <w:t>съобразно</w:t>
            </w:r>
            <w:r w:rsidR="003E4672"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националните документи (ПУРН).</w:t>
            </w:r>
            <w:r w:rsidR="006C70E0" w:rsidRPr="00171DED">
              <w:rPr>
                <w:rFonts w:ascii="Times New Roman" w:eastAsia="Times New Roman" w:hAnsi="Times New Roman" w:cs="Times New Roman"/>
                <w:bCs/>
                <w:sz w:val="24"/>
                <w:szCs w:val="24"/>
              </w:rPr>
              <w:t xml:space="preserve"> </w:t>
            </w:r>
          </w:p>
          <w:p w14:paraId="7775163C" w14:textId="659CDEC9" w:rsidR="002D3E66" w:rsidRPr="00171DED" w:rsidRDefault="003E4672" w:rsidP="001E3E7F">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Движени</w:t>
            </w:r>
            <w:r>
              <w:rPr>
                <w:rFonts w:ascii="Times New Roman" w:eastAsia="Times New Roman" w:hAnsi="Times New Roman" w:cs="Times New Roman"/>
                <w:bCs/>
                <w:sz w:val="24"/>
                <w:szCs w:val="24"/>
              </w:rPr>
              <w:t>е</w:t>
            </w:r>
            <w:r w:rsidRPr="00171DED">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w:t>
            </w:r>
            <w:r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на земни маси </w:t>
            </w:r>
            <w:r w:rsidR="006D4409">
              <w:rPr>
                <w:rFonts w:ascii="Times New Roman" w:eastAsia="Times New Roman" w:hAnsi="Times New Roman" w:cs="Times New Roman"/>
                <w:bCs/>
                <w:sz w:val="24"/>
                <w:szCs w:val="24"/>
              </w:rPr>
              <w:t>остава</w:t>
            </w:r>
            <w:r w:rsidR="006F35C5" w:rsidRPr="00171DED">
              <w:rPr>
                <w:rFonts w:ascii="Times New Roman" w:eastAsia="Times New Roman" w:hAnsi="Times New Roman" w:cs="Times New Roman"/>
                <w:bCs/>
                <w:sz w:val="24"/>
                <w:szCs w:val="24"/>
              </w:rPr>
              <w:t xml:space="preserve"> предизвикателство и </w:t>
            </w:r>
            <w:r>
              <w:rPr>
                <w:rFonts w:ascii="Times New Roman" w:eastAsia="Times New Roman" w:hAnsi="Times New Roman" w:cs="Times New Roman"/>
                <w:bCs/>
                <w:sz w:val="24"/>
                <w:szCs w:val="24"/>
              </w:rPr>
              <w:t>адресирането му</w:t>
            </w:r>
            <w:r w:rsidR="006F35C5" w:rsidRPr="00171DED">
              <w:rPr>
                <w:rFonts w:ascii="Times New Roman" w:eastAsia="Times New Roman" w:hAnsi="Times New Roman" w:cs="Times New Roman"/>
                <w:bCs/>
                <w:sz w:val="24"/>
                <w:szCs w:val="24"/>
              </w:rPr>
              <w:t xml:space="preserve"> </w:t>
            </w:r>
            <w:r w:rsidR="006D4409">
              <w:rPr>
                <w:rFonts w:ascii="Times New Roman" w:eastAsia="Times New Roman" w:hAnsi="Times New Roman" w:cs="Times New Roman"/>
                <w:bCs/>
                <w:sz w:val="24"/>
                <w:szCs w:val="24"/>
              </w:rPr>
              <w:t>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цел през 2021-2027 г. В сравнение с </w:t>
            </w:r>
            <w:r w:rsidR="006D4409">
              <w:rPr>
                <w:rFonts w:ascii="Times New Roman" w:eastAsia="Times New Roman" w:hAnsi="Times New Roman" w:cs="Times New Roman"/>
                <w:bCs/>
                <w:sz w:val="24"/>
                <w:szCs w:val="24"/>
              </w:rPr>
              <w:t xml:space="preserve">фокуса </w:t>
            </w:r>
            <w:r w:rsidR="006F35C5" w:rsidRPr="00171DED">
              <w:rPr>
                <w:rFonts w:ascii="Times New Roman" w:eastAsia="Times New Roman" w:hAnsi="Times New Roman" w:cs="Times New Roman"/>
                <w:bCs/>
                <w:sz w:val="24"/>
                <w:szCs w:val="24"/>
              </w:rPr>
              <w:t xml:space="preserve">през 2014-2020 г. върху укрепването на свлачища на общинска територия, дейностите през 2021-2027 г. са насочени към </w:t>
            </w:r>
            <w:r>
              <w:rPr>
                <w:rFonts w:ascii="Times New Roman" w:eastAsia="Times New Roman" w:hAnsi="Times New Roman" w:cs="Times New Roman"/>
                <w:bCs/>
                <w:sz w:val="24"/>
                <w:szCs w:val="24"/>
              </w:rPr>
              <w:t>различни</w:t>
            </w:r>
            <w:r w:rsidRPr="00171DED">
              <w:rPr>
                <w:rFonts w:ascii="Times New Roman" w:eastAsia="Times New Roman" w:hAnsi="Times New Roman" w:cs="Times New Roman"/>
                <w:bCs/>
                <w:sz w:val="24"/>
                <w:szCs w:val="24"/>
              </w:rPr>
              <w:t xml:space="preserve"> </w:t>
            </w:r>
            <w:r w:rsidR="006D4409">
              <w:rPr>
                <w:rFonts w:ascii="Times New Roman" w:eastAsia="Times New Roman" w:hAnsi="Times New Roman" w:cs="Times New Roman"/>
                <w:bCs/>
                <w:sz w:val="24"/>
                <w:szCs w:val="24"/>
              </w:rPr>
              <w:t>типове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движени</w:t>
            </w:r>
            <w:r w:rsidR="006817EF">
              <w:rPr>
                <w:rFonts w:ascii="Times New Roman" w:eastAsia="Times New Roman" w:hAnsi="Times New Roman" w:cs="Times New Roman"/>
                <w:bCs/>
                <w:sz w:val="24"/>
                <w:szCs w:val="24"/>
              </w:rPr>
              <w:t>е</w:t>
            </w:r>
            <w:r w:rsidR="006F35C5" w:rsidRPr="00171DED">
              <w:rPr>
                <w:rFonts w:ascii="Times New Roman" w:eastAsia="Times New Roman" w:hAnsi="Times New Roman" w:cs="Times New Roman"/>
                <w:bCs/>
                <w:sz w:val="24"/>
                <w:szCs w:val="24"/>
              </w:rPr>
              <w:t xml:space="preserve"> на земни маси. </w:t>
            </w:r>
            <w:r w:rsidR="006D4409">
              <w:rPr>
                <w:rFonts w:ascii="Times New Roman" w:eastAsia="Times New Roman" w:hAnsi="Times New Roman" w:cs="Times New Roman"/>
                <w:bCs/>
                <w:sz w:val="24"/>
                <w:szCs w:val="24"/>
              </w:rPr>
              <w:t>Сред о</w:t>
            </w:r>
            <w:r w:rsidR="006F35C5" w:rsidRPr="00171DED">
              <w:rPr>
                <w:rFonts w:ascii="Times New Roman" w:eastAsia="Times New Roman" w:hAnsi="Times New Roman" w:cs="Times New Roman"/>
                <w:bCs/>
                <w:sz w:val="24"/>
                <w:szCs w:val="24"/>
              </w:rPr>
              <w:t>сновните цели</w:t>
            </w:r>
            <w:r w:rsidR="006D4409">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са осигуряването на отдалечен мониторинг на тези процеси и изпълнението на последващи действия на място, вкл. по продължение на пътната мрежа, </w:t>
            </w:r>
            <w:r w:rsidR="006D1DB4">
              <w:rPr>
                <w:rFonts w:ascii="Times New Roman" w:eastAsia="Times New Roman" w:hAnsi="Times New Roman" w:cs="Times New Roman"/>
                <w:bCs/>
                <w:sz w:val="24"/>
                <w:szCs w:val="24"/>
              </w:rPr>
              <w:t>където такива рискове представляват заплаха за населението (</w:t>
            </w:r>
            <w:r w:rsidR="00CC0D7F">
              <w:rPr>
                <w:rFonts w:ascii="Times New Roman" w:eastAsia="Times New Roman" w:hAnsi="Times New Roman" w:cs="Times New Roman"/>
                <w:bCs/>
                <w:sz w:val="24"/>
                <w:szCs w:val="24"/>
              </w:rPr>
              <w:t>вкл. от гледна точка безопасност на движението по пътищата</w:t>
            </w:r>
            <w:r w:rsidR="006D1DB4">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като това ще допринесе за </w:t>
            </w:r>
            <w:r w:rsidR="002179E8" w:rsidRPr="005C4877">
              <w:rPr>
                <w:rFonts w:ascii="Times New Roman" w:eastAsia="Times New Roman" w:hAnsi="Times New Roman" w:cs="Times New Roman"/>
                <w:bCs/>
                <w:sz w:val="24"/>
                <w:szCs w:val="24"/>
              </w:rPr>
              <w:t>защитата на живота и здравето на населението</w:t>
            </w:r>
            <w:r w:rsidR="00CC0D7F">
              <w:rPr>
                <w:rFonts w:ascii="Times New Roman" w:eastAsia="Times New Roman" w:hAnsi="Times New Roman" w:cs="Times New Roman"/>
                <w:bCs/>
                <w:sz w:val="24"/>
                <w:szCs w:val="24"/>
              </w:rPr>
              <w:t>,</w:t>
            </w:r>
            <w:r w:rsidR="002179E8" w:rsidRPr="005C4877">
              <w:rPr>
                <w:rFonts w:ascii="Times New Roman" w:eastAsia="Times New Roman" w:hAnsi="Times New Roman" w:cs="Times New Roman"/>
                <w:bCs/>
                <w:sz w:val="24"/>
                <w:szCs w:val="24"/>
              </w:rPr>
              <w:t xml:space="preserve"> както и </w:t>
            </w:r>
            <w:r w:rsidR="00CC0D7F">
              <w:rPr>
                <w:rFonts w:ascii="Times New Roman" w:eastAsia="Times New Roman" w:hAnsi="Times New Roman" w:cs="Times New Roman"/>
                <w:bCs/>
                <w:sz w:val="24"/>
                <w:szCs w:val="24"/>
              </w:rPr>
              <w:t>на</w:t>
            </w:r>
            <w:r w:rsidR="002179E8" w:rsidRPr="005C4877">
              <w:rPr>
                <w:rFonts w:ascii="Times New Roman" w:eastAsia="Times New Roman" w:hAnsi="Times New Roman" w:cs="Times New Roman"/>
                <w:bCs/>
                <w:sz w:val="24"/>
                <w:szCs w:val="24"/>
              </w:rPr>
              <w:t xml:space="preserve"> околната среда по отношение на защитата на биоразнообразието</w:t>
            </w:r>
            <w:r w:rsidR="006F35C5" w:rsidRPr="005C4877">
              <w:rPr>
                <w:rFonts w:ascii="Times New Roman" w:eastAsia="Times New Roman" w:hAnsi="Times New Roman" w:cs="Times New Roman"/>
                <w:bCs/>
                <w:sz w:val="24"/>
                <w:szCs w:val="24"/>
              </w:rPr>
              <w:t>.</w:t>
            </w:r>
          </w:p>
          <w:p w14:paraId="0A01D723" w14:textId="0A905A93" w:rsidR="002D3E66" w:rsidRPr="00171DED" w:rsidRDefault="006D4409"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Разширеният </w:t>
            </w:r>
            <w:r w:rsidR="001B7CFA" w:rsidRPr="00171DED">
              <w:rPr>
                <w:rFonts w:ascii="Times New Roman" w:eastAsia="Times New Roman" w:hAnsi="Times New Roman" w:cs="Times New Roman"/>
                <w:bCs/>
                <w:sz w:val="24"/>
                <w:szCs w:val="24"/>
              </w:rPr>
              <w:t>спектър природни бедствия</w:t>
            </w:r>
            <w:r w:rsidR="00F002B6" w:rsidRPr="00171DED">
              <w:rPr>
                <w:rFonts w:ascii="Times New Roman" w:eastAsia="Times New Roman" w:hAnsi="Times New Roman" w:cs="Times New Roman"/>
                <w:bCs/>
                <w:sz w:val="24"/>
                <w:szCs w:val="24"/>
              </w:rPr>
              <w:t xml:space="preserve"> </w:t>
            </w:r>
            <w:r w:rsidR="003E4672">
              <w:rPr>
                <w:rFonts w:ascii="Times New Roman" w:eastAsia="Times New Roman" w:hAnsi="Times New Roman" w:cs="Times New Roman"/>
                <w:bCs/>
                <w:sz w:val="24"/>
                <w:szCs w:val="24"/>
              </w:rPr>
              <w:t>в</w:t>
            </w:r>
            <w:r w:rsidR="00F002B6" w:rsidRPr="00171DED">
              <w:rPr>
                <w:rFonts w:ascii="Times New Roman" w:eastAsia="Times New Roman" w:hAnsi="Times New Roman" w:cs="Times New Roman"/>
                <w:bCs/>
                <w:sz w:val="24"/>
                <w:szCs w:val="24"/>
              </w:rPr>
              <w:t xml:space="preserve"> страната </w:t>
            </w:r>
            <w:r>
              <w:rPr>
                <w:rFonts w:ascii="Times New Roman" w:eastAsia="Times New Roman" w:hAnsi="Times New Roman" w:cs="Times New Roman"/>
                <w:bCs/>
                <w:sz w:val="24"/>
                <w:szCs w:val="24"/>
              </w:rPr>
              <w:t>предпоставя</w:t>
            </w:r>
            <w:r w:rsidR="00F002B6" w:rsidRPr="00171DED">
              <w:rPr>
                <w:rFonts w:ascii="Times New Roman" w:eastAsia="Times New Roman" w:hAnsi="Times New Roman" w:cs="Times New Roman"/>
                <w:bCs/>
                <w:sz w:val="24"/>
                <w:szCs w:val="24"/>
              </w:rPr>
              <w:t xml:space="preserve"> осигуряването на подкрепа за мерки, насочени към ранно предупреждение и наблюдение, допълнително укрепване на капацитета за прогнозиране и подготовка за реакция (вкл. </w:t>
            </w:r>
            <w:r w:rsidR="003E4672">
              <w:rPr>
                <w:rFonts w:ascii="Times New Roman" w:eastAsia="Times New Roman" w:hAnsi="Times New Roman" w:cs="Times New Roman"/>
                <w:bCs/>
                <w:sz w:val="24"/>
                <w:szCs w:val="24"/>
              </w:rPr>
              <w:t xml:space="preserve">при </w:t>
            </w:r>
            <w:r w:rsidR="00F002B6" w:rsidRPr="00171DED">
              <w:rPr>
                <w:rFonts w:ascii="Times New Roman" w:eastAsia="Times New Roman" w:hAnsi="Times New Roman" w:cs="Times New Roman"/>
                <w:bCs/>
                <w:sz w:val="24"/>
                <w:szCs w:val="24"/>
              </w:rPr>
              <w:t>земетресения)</w:t>
            </w:r>
            <w:r>
              <w:rPr>
                <w:rFonts w:ascii="Times New Roman" w:eastAsia="Times New Roman" w:hAnsi="Times New Roman" w:cs="Times New Roman"/>
                <w:bCs/>
                <w:sz w:val="24"/>
                <w:szCs w:val="24"/>
              </w:rPr>
              <w:t xml:space="preserve"> чрез</w:t>
            </w:r>
            <w:r w:rsidR="00F002B6" w:rsidRPr="00171DED">
              <w:rPr>
                <w:rFonts w:ascii="Times New Roman" w:eastAsia="Times New Roman" w:hAnsi="Times New Roman" w:cs="Times New Roman"/>
                <w:bCs/>
                <w:sz w:val="24"/>
                <w:szCs w:val="24"/>
              </w:rPr>
              <w:t xml:space="preserve"> </w:t>
            </w:r>
            <w:r w:rsidRPr="00171DED">
              <w:rPr>
                <w:rFonts w:ascii="Times New Roman" w:eastAsia="Times New Roman" w:hAnsi="Times New Roman" w:cs="Times New Roman"/>
                <w:bCs/>
                <w:sz w:val="24"/>
                <w:szCs w:val="24"/>
              </w:rPr>
              <w:t xml:space="preserve">инвестиции </w:t>
            </w:r>
            <w:r w:rsidR="00F002B6" w:rsidRPr="00171DED">
              <w:rPr>
                <w:rFonts w:ascii="Times New Roman" w:eastAsia="Times New Roman" w:hAnsi="Times New Roman" w:cs="Times New Roman"/>
                <w:bCs/>
                <w:sz w:val="24"/>
                <w:szCs w:val="24"/>
              </w:rPr>
              <w:t xml:space="preserve">за </w:t>
            </w:r>
            <w:r>
              <w:rPr>
                <w:rFonts w:ascii="Times New Roman" w:eastAsia="Times New Roman" w:hAnsi="Times New Roman" w:cs="Times New Roman"/>
                <w:bCs/>
                <w:sz w:val="24"/>
                <w:szCs w:val="24"/>
              </w:rPr>
              <w:t>осигуряване</w:t>
            </w:r>
            <w:r w:rsidR="00F002B6" w:rsidRPr="00171DED">
              <w:rPr>
                <w:rFonts w:ascii="Times New Roman" w:eastAsia="Times New Roman" w:hAnsi="Times New Roman" w:cs="Times New Roman"/>
                <w:bCs/>
                <w:sz w:val="24"/>
                <w:szCs w:val="24"/>
              </w:rPr>
              <w:t xml:space="preserve"> на Единната спасителна система (ЕСС) и разширяване обхвата на </w:t>
            </w:r>
            <w:r w:rsidR="002179E8" w:rsidRPr="00171DED">
              <w:rPr>
                <w:rFonts w:ascii="Times New Roman" w:eastAsia="Times New Roman" w:hAnsi="Times New Roman" w:cs="Times New Roman"/>
                <w:bCs/>
                <w:sz w:val="24"/>
                <w:szCs w:val="24"/>
              </w:rPr>
              <w:t>С</w:t>
            </w:r>
            <w:r w:rsidR="00F002B6" w:rsidRPr="00171DED">
              <w:rPr>
                <w:rFonts w:ascii="Times New Roman" w:eastAsia="Times New Roman" w:hAnsi="Times New Roman" w:cs="Times New Roman"/>
                <w:bCs/>
                <w:sz w:val="24"/>
                <w:szCs w:val="24"/>
              </w:rPr>
              <w:t>истема</w:t>
            </w:r>
            <w:r w:rsidR="002179E8" w:rsidRPr="00171DED">
              <w:rPr>
                <w:rFonts w:ascii="Times New Roman" w:eastAsia="Times New Roman" w:hAnsi="Times New Roman" w:cs="Times New Roman"/>
                <w:bCs/>
                <w:sz w:val="24"/>
                <w:szCs w:val="24"/>
              </w:rPr>
              <w:t>та</w:t>
            </w:r>
            <w:r w:rsidR="00F002B6" w:rsidRPr="00171DED">
              <w:rPr>
                <w:rFonts w:ascii="Times New Roman" w:eastAsia="Times New Roman" w:hAnsi="Times New Roman" w:cs="Times New Roman"/>
                <w:bCs/>
                <w:sz w:val="24"/>
                <w:szCs w:val="24"/>
              </w:rPr>
              <w:t xml:space="preserve"> за ранно предупреждение и оповестяване</w:t>
            </w:r>
            <w:r w:rsidR="002179E8" w:rsidRPr="00171DED">
              <w:rPr>
                <w:rFonts w:ascii="Times New Roman" w:eastAsia="Times New Roman" w:hAnsi="Times New Roman" w:cs="Times New Roman"/>
                <w:bCs/>
                <w:sz w:val="24"/>
                <w:szCs w:val="24"/>
              </w:rPr>
              <w:t xml:space="preserve"> на населението</w:t>
            </w:r>
            <w:r w:rsidR="00F002B6" w:rsidRPr="00171DED">
              <w:rPr>
                <w:rFonts w:ascii="Times New Roman" w:eastAsia="Times New Roman" w:hAnsi="Times New Roman" w:cs="Times New Roman"/>
                <w:bCs/>
                <w:sz w:val="24"/>
                <w:szCs w:val="24"/>
              </w:rPr>
              <w:t xml:space="preserve">. ЕСС включва всички институции, власти и организации (министерства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w:t>
            </w:r>
            <w:r w:rsidR="00F002B6" w:rsidRPr="00171DED">
              <w:rPr>
                <w:rFonts w:ascii="Times New Roman" w:eastAsia="Times New Roman" w:hAnsi="Times New Roman" w:cs="Times New Roman"/>
                <w:bCs/>
                <w:sz w:val="24"/>
                <w:szCs w:val="24"/>
              </w:rPr>
              <w:lastRenderedPageBreak/>
              <w:t xml:space="preserve">природни бедствия, както и за защитата на човешкия живот и здраве. </w:t>
            </w:r>
            <w:r w:rsidRPr="00171DED">
              <w:rPr>
                <w:rFonts w:ascii="Times New Roman" w:eastAsia="Times New Roman" w:hAnsi="Times New Roman" w:cs="Times New Roman"/>
                <w:bCs/>
                <w:sz w:val="24"/>
                <w:szCs w:val="24"/>
              </w:rPr>
              <w:t>Мерки</w:t>
            </w:r>
            <w:r>
              <w:rPr>
                <w:rFonts w:ascii="Times New Roman" w:eastAsia="Times New Roman" w:hAnsi="Times New Roman" w:cs="Times New Roman"/>
                <w:bCs/>
                <w:sz w:val="24"/>
                <w:szCs w:val="24"/>
              </w:rPr>
              <w:t xml:space="preserve"> за</w:t>
            </w:r>
            <w:r w:rsidR="00136A15" w:rsidRPr="00171DED">
              <w:rPr>
                <w:rFonts w:ascii="Times New Roman" w:eastAsia="Times New Roman" w:hAnsi="Times New Roman" w:cs="Times New Roman"/>
                <w:bCs/>
                <w:sz w:val="24"/>
                <w:szCs w:val="24"/>
              </w:rPr>
              <w:t xml:space="preserve"> повишаване на обществената информираност</w:t>
            </w:r>
            <w:r>
              <w:rPr>
                <w:rFonts w:ascii="Times New Roman" w:eastAsia="Times New Roman" w:hAnsi="Times New Roman" w:cs="Times New Roman"/>
                <w:bCs/>
                <w:sz w:val="24"/>
                <w:szCs w:val="24"/>
              </w:rPr>
              <w:t xml:space="preserve"> и</w:t>
            </w:r>
            <w:r w:rsidR="00136A15" w:rsidRPr="00171DED">
              <w:rPr>
                <w:rFonts w:ascii="Times New Roman" w:eastAsia="Times New Roman" w:hAnsi="Times New Roman" w:cs="Times New Roman"/>
                <w:bCs/>
                <w:sz w:val="24"/>
                <w:szCs w:val="24"/>
              </w:rPr>
              <w:t xml:space="preserve"> осигуряването на тренировъчни обучения за населението са приоритетни за подкрепа по програмата. </w:t>
            </w:r>
          </w:p>
          <w:p w14:paraId="5B9A5312" w14:textId="77777777" w:rsidR="002D3E66" w:rsidRPr="00171DED" w:rsidRDefault="00E94B0D"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1A2C0192" w14:textId="5F3E7E11" w:rsidR="00103BED" w:rsidRPr="00171DED" w:rsidRDefault="00E94B0D"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171DED">
              <w:t xml:space="preserve"> </w:t>
            </w:r>
            <w:r w:rsidRPr="00171DED">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 и Националната стратегия за намаляване на риска от бедствия 2018-2030 г. Отчетени са и отправените препоръки по други стратегически за страната документи (Националния доклад 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Националната програма за развитие България 2030.</w:t>
            </w:r>
            <w:r w:rsidR="002309D9" w:rsidRPr="00171DED">
              <w:rPr>
                <w:rFonts w:ascii="Times New Roman" w:eastAsia="Times New Roman" w:hAnsi="Times New Roman" w:cs="Times New Roman"/>
                <w:bCs/>
                <w:sz w:val="24"/>
                <w:szCs w:val="24"/>
                <w:lang w:eastAsia="zh-CN"/>
              </w:rPr>
              <w:t xml:space="preserve"> </w:t>
            </w:r>
            <w:r w:rsidR="002309D9" w:rsidRPr="00171DED">
              <w:rPr>
                <w:rFonts w:ascii="Times New Roman" w:hAnsi="Times New Roman"/>
                <w:sz w:val="24"/>
              </w:rPr>
              <w:t>Планираните за подкрепа дейности  допринасят за постигане целите на Приоритетна област 5 – Екологични рискове от Стратегията на ЕС за Дунавския регион.</w:t>
            </w:r>
          </w:p>
          <w:p w14:paraId="7F44B8B6" w14:textId="77777777" w:rsidR="00103BED" w:rsidRPr="00171DED" w:rsidRDefault="001E504E"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VI. Въздух</w:t>
            </w:r>
          </w:p>
          <w:p w14:paraId="031AE425" w14:textId="77777777" w:rsidR="00103BED" w:rsidRPr="00171DED" w:rsidRDefault="001E504E"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75DA547D" w:rsidR="00103BED"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качеството на </w:t>
            </w:r>
            <w:r w:rsidRPr="00584F2A">
              <w:rPr>
                <w:rFonts w:ascii="Times New Roman" w:eastAsia="Times New Roman" w:hAnsi="Times New Roman" w:cs="Times New Roman"/>
                <w:b/>
                <w:sz w:val="24"/>
                <w:szCs w:val="24"/>
                <w:lang w:eastAsia="zh-CN"/>
              </w:rPr>
              <w:t>въздух</w:t>
            </w:r>
            <w:r w:rsidR="007E5478" w:rsidRPr="00584F2A">
              <w:rPr>
                <w:rFonts w:ascii="Times New Roman" w:eastAsia="Times New Roman" w:hAnsi="Times New Roman" w:cs="Times New Roman"/>
                <w:b/>
                <w:sz w:val="24"/>
                <w:szCs w:val="24"/>
                <w:lang w:eastAsia="zh-CN"/>
              </w:rPr>
              <w:t>а</w:t>
            </w:r>
            <w:r w:rsidRPr="00171DED">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с фини прахови частици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и ФПЧ</w:t>
            </w:r>
            <w:r w:rsidRPr="00171DED">
              <w:rPr>
                <w:rFonts w:ascii="Times New Roman" w:eastAsia="Times New Roman" w:hAnsi="Times New Roman" w:cs="Times New Roman"/>
                <w:bCs/>
                <w:sz w:val="24"/>
                <w:szCs w:val="24"/>
                <w:vertAlign w:val="subscript"/>
                <w:lang w:eastAsia="zh-CN"/>
              </w:rPr>
              <w:t>2.5</w:t>
            </w:r>
            <w:r w:rsidRPr="00171DED">
              <w:rPr>
                <w:rFonts w:ascii="Times New Roman" w:eastAsia="Times New Roman" w:hAnsi="Times New Roman" w:cs="Times New Roman"/>
                <w:bCs/>
                <w:sz w:val="24"/>
                <w:szCs w:val="24"/>
                <w:lang w:eastAsia="zh-CN"/>
              </w:rPr>
              <w:t>)</w:t>
            </w:r>
            <w:r w:rsidR="007E5478">
              <w:rPr>
                <w:rFonts w:ascii="Times New Roman" w:eastAsia="Times New Roman" w:hAnsi="Times New Roman" w:cs="Times New Roman"/>
                <w:bCs/>
                <w:sz w:val="24"/>
                <w:szCs w:val="24"/>
                <w:lang w:eastAsia="zh-CN"/>
              </w:rPr>
              <w:t>, които</w:t>
            </w:r>
            <w:r w:rsidRPr="00171DED">
              <w:rPr>
                <w:rFonts w:ascii="Times New Roman" w:eastAsia="Times New Roman" w:hAnsi="Times New Roman" w:cs="Times New Roman"/>
                <w:bCs/>
                <w:sz w:val="24"/>
                <w:szCs w:val="24"/>
                <w:lang w:eastAsia="zh-CN"/>
              </w:rPr>
              <w:t xml:space="preserve"> са най-проблемните замърсители, засягащи човешкото здраве. </w:t>
            </w:r>
            <w:r w:rsidR="000D1E7B" w:rsidRPr="00171DED">
              <w:rPr>
                <w:rFonts w:ascii="Times New Roman" w:eastAsia="Times New Roman" w:hAnsi="Times New Roman" w:cs="Times New Roman"/>
                <w:bCs/>
                <w:sz w:val="24"/>
                <w:szCs w:val="24"/>
                <w:lang w:eastAsia="zh-CN"/>
              </w:rPr>
              <w:t>Въпреки значителните инвестиции</w:t>
            </w:r>
            <w:r w:rsidR="006D4409">
              <w:rPr>
                <w:rFonts w:ascii="Times New Roman" w:eastAsia="Times New Roman" w:hAnsi="Times New Roman" w:cs="Times New Roman"/>
                <w:bCs/>
                <w:sz w:val="24"/>
                <w:szCs w:val="24"/>
                <w:lang w:eastAsia="zh-CN"/>
              </w:rPr>
              <w:t>,</w:t>
            </w:r>
            <w:r w:rsidR="000D1E7B" w:rsidRPr="00171DED">
              <w:rPr>
                <w:rFonts w:ascii="Times New Roman" w:eastAsia="Times New Roman" w:hAnsi="Times New Roman" w:cs="Times New Roman"/>
                <w:bCs/>
                <w:sz w:val="24"/>
                <w:szCs w:val="24"/>
                <w:lang w:eastAsia="zh-CN"/>
              </w:rPr>
              <w:t xml:space="preserve"> направени през програмен период 2014-2020 г. (над 300 млн. евро), е </w:t>
            </w:r>
            <w:r w:rsidR="001E1C9F" w:rsidRPr="00171DED">
              <w:rPr>
                <w:rFonts w:ascii="Times New Roman" w:eastAsia="Times New Roman" w:hAnsi="Times New Roman" w:cs="Times New Roman"/>
                <w:bCs/>
                <w:sz w:val="24"/>
                <w:szCs w:val="24"/>
                <w:lang w:eastAsia="zh-CN"/>
              </w:rPr>
              <w:t xml:space="preserve">необходимо </w:t>
            </w:r>
            <w:r w:rsidR="000D1E7B" w:rsidRPr="00171DED">
              <w:rPr>
                <w:rFonts w:ascii="Times New Roman" w:eastAsia="Times New Roman" w:hAnsi="Times New Roman" w:cs="Times New Roman"/>
                <w:bCs/>
                <w:sz w:val="24"/>
                <w:szCs w:val="24"/>
                <w:lang w:eastAsia="zh-CN"/>
              </w:rPr>
              <w:t>надграждане на постигнатото, за да се преодолеят проблемите със заниженото качество на атмосферния въздух, като се отчитат също така относително ниския стандарт на живот, традиционното поведение на обществото по отношение на отоплението и личния транспорт и др.</w:t>
            </w:r>
          </w:p>
          <w:p w14:paraId="59740AD7" w14:textId="31F9F451" w:rsidR="00103BED" w:rsidRPr="00171DED" w:rsidRDefault="000D1E7B"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Основната цел на </w:t>
            </w:r>
            <w:r w:rsidR="001E504E" w:rsidRPr="00171DED">
              <w:rPr>
                <w:rFonts w:ascii="Times New Roman" w:eastAsia="Times New Roman" w:hAnsi="Times New Roman" w:cs="Times New Roman"/>
                <w:bCs/>
                <w:sz w:val="24"/>
                <w:szCs w:val="24"/>
                <w:lang w:eastAsia="zh-CN"/>
              </w:rPr>
              <w:t>Национална програма за контрол на замърсяването на въздуха (</w:t>
            </w:r>
            <w:r w:rsidR="00252048" w:rsidRPr="00171DED">
              <w:rPr>
                <w:rFonts w:ascii="Times New Roman" w:eastAsia="Times New Roman" w:hAnsi="Times New Roman" w:cs="Times New Roman"/>
                <w:bCs/>
                <w:sz w:val="24"/>
                <w:szCs w:val="24"/>
                <w:lang w:eastAsia="zh-CN"/>
              </w:rPr>
              <w:t>НПК</w:t>
            </w:r>
            <w:r w:rsidR="0021665F" w:rsidRPr="00171DED">
              <w:rPr>
                <w:rFonts w:ascii="Times New Roman" w:eastAsia="Times New Roman" w:hAnsi="Times New Roman" w:cs="Times New Roman"/>
                <w:bCs/>
                <w:sz w:val="24"/>
                <w:szCs w:val="24"/>
                <w:lang w:eastAsia="zh-CN"/>
              </w:rPr>
              <w:t>З</w:t>
            </w:r>
            <w:r w:rsidR="00252048" w:rsidRPr="00171DED">
              <w:rPr>
                <w:rFonts w:ascii="Times New Roman" w:eastAsia="Times New Roman" w:hAnsi="Times New Roman" w:cs="Times New Roman"/>
                <w:bCs/>
                <w:sz w:val="24"/>
                <w:szCs w:val="24"/>
                <w:lang w:eastAsia="zh-CN"/>
              </w:rPr>
              <w:t xml:space="preserve">В </w:t>
            </w:r>
            <w:r w:rsidR="001E504E" w:rsidRPr="00171DED">
              <w:rPr>
                <w:rFonts w:ascii="Times New Roman" w:eastAsia="Times New Roman" w:hAnsi="Times New Roman" w:cs="Times New Roman"/>
                <w:bCs/>
                <w:sz w:val="24"/>
                <w:szCs w:val="24"/>
                <w:lang w:eastAsia="zh-CN"/>
              </w:rPr>
              <w:t xml:space="preserve">2020 – 2030), </w:t>
            </w:r>
            <w:r w:rsidRPr="00171DED">
              <w:rPr>
                <w:rFonts w:ascii="Times New Roman" w:eastAsia="Times New Roman" w:hAnsi="Times New Roman" w:cs="Times New Roman"/>
                <w:bCs/>
                <w:sz w:val="24"/>
                <w:szCs w:val="24"/>
                <w:lang w:eastAsia="zh-CN"/>
              </w:rPr>
              <w:t xml:space="preserve">разработена </w:t>
            </w:r>
            <w:r w:rsidR="002D1B2F">
              <w:rPr>
                <w:rFonts w:ascii="Times New Roman" w:eastAsia="Times New Roman" w:hAnsi="Times New Roman" w:cs="Times New Roman"/>
                <w:bCs/>
                <w:sz w:val="24"/>
                <w:szCs w:val="24"/>
                <w:lang w:eastAsia="zh-CN"/>
              </w:rPr>
              <w:t>чрез</w:t>
            </w:r>
            <w:r w:rsidRPr="00171DED">
              <w:rPr>
                <w:rFonts w:ascii="Times New Roman" w:eastAsia="Times New Roman" w:hAnsi="Times New Roman" w:cs="Times New Roman"/>
                <w:bCs/>
                <w:sz w:val="24"/>
                <w:szCs w:val="24"/>
                <w:lang w:eastAsia="zh-CN"/>
              </w:rPr>
              <w:t xml:space="preserve"> ОПОС 2014-2020 г., </w:t>
            </w:r>
            <w:r w:rsidR="001E504E" w:rsidRPr="00171DED">
              <w:rPr>
                <w:rFonts w:ascii="Times New Roman" w:eastAsia="Times New Roman" w:hAnsi="Times New Roman" w:cs="Times New Roman"/>
                <w:bCs/>
                <w:sz w:val="24"/>
                <w:szCs w:val="24"/>
                <w:lang w:eastAsia="zh-CN"/>
              </w:rPr>
              <w:t xml:space="preserve">е да </w:t>
            </w:r>
            <w:r w:rsidR="00005318" w:rsidRPr="00171DED">
              <w:rPr>
                <w:rFonts w:ascii="Times New Roman" w:eastAsia="Times New Roman" w:hAnsi="Times New Roman" w:cs="Times New Roman"/>
                <w:bCs/>
                <w:sz w:val="24"/>
                <w:szCs w:val="24"/>
                <w:lang w:eastAsia="zh-CN"/>
              </w:rPr>
              <w:t xml:space="preserve">очертае политиките и мерките, които осигуряват възможност за постигане </w:t>
            </w:r>
            <w:r w:rsidR="001E504E" w:rsidRPr="00171DED">
              <w:rPr>
                <w:rFonts w:ascii="Times New Roman" w:eastAsia="Times New Roman" w:hAnsi="Times New Roman" w:cs="Times New Roman"/>
                <w:bCs/>
                <w:sz w:val="24"/>
                <w:szCs w:val="24"/>
                <w:lang w:eastAsia="zh-CN"/>
              </w:rPr>
              <w:t>задълженията</w:t>
            </w:r>
            <w:r w:rsidR="00005318" w:rsidRPr="00171DED">
              <w:rPr>
                <w:rFonts w:ascii="Times New Roman" w:eastAsia="Times New Roman" w:hAnsi="Times New Roman" w:cs="Times New Roman"/>
                <w:bCs/>
                <w:sz w:val="24"/>
                <w:szCs w:val="24"/>
                <w:lang w:eastAsia="zh-CN"/>
              </w:rPr>
              <w:t xml:space="preserve"> на страната</w:t>
            </w:r>
            <w:r w:rsidR="001E504E" w:rsidRPr="00171DED">
              <w:rPr>
                <w:rFonts w:ascii="Times New Roman" w:eastAsia="Times New Roman" w:hAnsi="Times New Roman" w:cs="Times New Roman"/>
                <w:bCs/>
                <w:sz w:val="24"/>
                <w:szCs w:val="24"/>
                <w:lang w:eastAsia="zh-CN"/>
              </w:rPr>
              <w:t xml:space="preserve"> за намаляване на емисиите за 2020</w:t>
            </w:r>
            <w:r w:rsidR="00005318" w:rsidRPr="00171DED">
              <w:rPr>
                <w:rFonts w:ascii="Times New Roman" w:eastAsia="Times New Roman" w:hAnsi="Times New Roman" w:cs="Times New Roman"/>
                <w:bCs/>
                <w:sz w:val="24"/>
                <w:szCs w:val="24"/>
                <w:lang w:eastAsia="zh-CN"/>
              </w:rPr>
              <w:t>-2029</w:t>
            </w:r>
            <w:r w:rsidR="001E504E" w:rsidRPr="00171DED">
              <w:rPr>
                <w:rFonts w:ascii="Times New Roman" w:eastAsia="Times New Roman" w:hAnsi="Times New Roman" w:cs="Times New Roman"/>
                <w:bCs/>
                <w:sz w:val="24"/>
                <w:szCs w:val="24"/>
                <w:lang w:eastAsia="zh-CN"/>
              </w:rPr>
              <w:t xml:space="preserve"> г. и 2030 г.</w:t>
            </w:r>
            <w:r w:rsidR="00005318" w:rsidRPr="00171DED">
              <w:rPr>
                <w:rFonts w:ascii="Times New Roman" w:eastAsia="Times New Roman" w:hAnsi="Times New Roman" w:cs="Times New Roman"/>
                <w:bCs/>
                <w:sz w:val="24"/>
                <w:szCs w:val="24"/>
                <w:lang w:eastAsia="zh-CN"/>
              </w:rPr>
              <w:t xml:space="preserve"> Тези ангажименти са свързани с </w:t>
            </w:r>
            <w:r w:rsidR="001E504E" w:rsidRPr="00171DED">
              <w:rPr>
                <w:rFonts w:ascii="Times New Roman" w:eastAsia="Times New Roman" w:hAnsi="Times New Roman" w:cs="Times New Roman"/>
                <w:bCs/>
                <w:sz w:val="24"/>
                <w:szCs w:val="24"/>
                <w:lang w:eastAsia="zh-CN"/>
              </w:rPr>
              <w:t>общите годишни антропогенни емисии на: серен диоксид (SO</w:t>
            </w:r>
            <w:r w:rsidR="001E504E" w:rsidRPr="00171DED">
              <w:rPr>
                <w:rFonts w:ascii="Times New Roman" w:eastAsia="Times New Roman" w:hAnsi="Times New Roman" w:cs="Times New Roman"/>
                <w:bCs/>
                <w:sz w:val="24"/>
                <w:szCs w:val="24"/>
                <w:vertAlign w:val="subscript"/>
                <w:lang w:eastAsia="zh-CN"/>
              </w:rPr>
              <w:t>2</w:t>
            </w:r>
            <w:r w:rsidR="001E504E" w:rsidRPr="00171DED">
              <w:rPr>
                <w:rFonts w:ascii="Times New Roman" w:eastAsia="Times New Roman" w:hAnsi="Times New Roman" w:cs="Times New Roman"/>
                <w:bCs/>
                <w:sz w:val="24"/>
                <w:szCs w:val="24"/>
                <w:lang w:eastAsia="zh-CN"/>
              </w:rPr>
              <w:t>), азотни оксиди (</w:t>
            </w:r>
            <w:proofErr w:type="spellStart"/>
            <w:r w:rsidR="001E504E" w:rsidRPr="00171DED">
              <w:rPr>
                <w:rFonts w:ascii="Times New Roman" w:eastAsia="Times New Roman" w:hAnsi="Times New Roman" w:cs="Times New Roman"/>
                <w:bCs/>
                <w:sz w:val="24"/>
                <w:szCs w:val="24"/>
                <w:lang w:eastAsia="zh-CN"/>
              </w:rPr>
              <w:t>NOx</w:t>
            </w:r>
            <w:proofErr w:type="spellEnd"/>
            <w:r w:rsidR="001E504E" w:rsidRPr="00171DED">
              <w:rPr>
                <w:rFonts w:ascii="Times New Roman" w:eastAsia="Times New Roman" w:hAnsi="Times New Roman" w:cs="Times New Roman"/>
                <w:bCs/>
                <w:sz w:val="24"/>
                <w:szCs w:val="24"/>
                <w:lang w:eastAsia="zh-CN"/>
              </w:rPr>
              <w:t>), неметанови летливи органични съединения, амоняк (NH</w:t>
            </w:r>
            <w:r w:rsidR="001E504E" w:rsidRPr="00171DED">
              <w:rPr>
                <w:rFonts w:ascii="Times New Roman" w:eastAsia="Times New Roman" w:hAnsi="Times New Roman" w:cs="Times New Roman"/>
                <w:bCs/>
                <w:sz w:val="24"/>
                <w:szCs w:val="24"/>
                <w:vertAlign w:val="subscript"/>
                <w:lang w:eastAsia="zh-CN"/>
              </w:rPr>
              <w:t>3</w:t>
            </w:r>
            <w:r w:rsidR="001E504E" w:rsidRPr="00171DED">
              <w:rPr>
                <w:rFonts w:ascii="Times New Roman" w:eastAsia="Times New Roman" w:hAnsi="Times New Roman" w:cs="Times New Roman"/>
                <w:bCs/>
                <w:sz w:val="24"/>
                <w:szCs w:val="24"/>
                <w:lang w:eastAsia="zh-CN"/>
              </w:rPr>
              <w:t>) и фини прахови частици (ФПЧ</w:t>
            </w:r>
            <w:r w:rsidR="001E504E" w:rsidRPr="00171DED">
              <w:rPr>
                <w:rFonts w:ascii="Times New Roman" w:eastAsia="Times New Roman" w:hAnsi="Times New Roman" w:cs="Times New Roman"/>
                <w:bCs/>
                <w:sz w:val="24"/>
                <w:szCs w:val="24"/>
                <w:vertAlign w:val="subscript"/>
                <w:lang w:eastAsia="zh-CN"/>
              </w:rPr>
              <w:t>2.5</w:t>
            </w:r>
            <w:r w:rsidR="001E504E" w:rsidRPr="00171DED">
              <w:rPr>
                <w:rFonts w:ascii="Times New Roman" w:eastAsia="Times New Roman" w:hAnsi="Times New Roman" w:cs="Times New Roman"/>
                <w:bCs/>
                <w:sz w:val="24"/>
                <w:szCs w:val="24"/>
                <w:lang w:eastAsia="zh-CN"/>
              </w:rPr>
              <w:t xml:space="preserve">), спрямо емисиите за определената за базова 2005 г., съгласно изискванията на Директива (ЕС) 2016/2284. </w:t>
            </w:r>
          </w:p>
          <w:p w14:paraId="336157B0" w14:textId="74659C55" w:rsidR="008C79B3"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Национална</w:t>
            </w:r>
            <w:r w:rsidR="00AA500F"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програма за подобряване качеството на атмосферния въздух (</w:t>
            </w:r>
            <w:r w:rsidR="0021665F" w:rsidRPr="00171DED">
              <w:rPr>
                <w:rFonts w:ascii="Times New Roman" w:eastAsia="Times New Roman" w:hAnsi="Times New Roman" w:cs="Times New Roman"/>
                <w:bCs/>
                <w:sz w:val="24"/>
                <w:szCs w:val="24"/>
                <w:lang w:eastAsia="zh-CN"/>
              </w:rPr>
              <w:t xml:space="preserve">НПКАВ </w:t>
            </w:r>
            <w:r w:rsidRPr="00171DED">
              <w:rPr>
                <w:rFonts w:ascii="Times New Roman" w:eastAsia="Times New Roman" w:hAnsi="Times New Roman" w:cs="Times New Roman"/>
                <w:bCs/>
                <w:sz w:val="24"/>
                <w:szCs w:val="24"/>
                <w:lang w:eastAsia="zh-CN"/>
              </w:rPr>
              <w:t xml:space="preserve">2018-2024), </w:t>
            </w:r>
            <w:r w:rsidR="00E9729F" w:rsidRPr="00171DED">
              <w:rPr>
                <w:rFonts w:ascii="Times New Roman" w:eastAsia="Times New Roman" w:hAnsi="Times New Roman" w:cs="Times New Roman"/>
                <w:bCs/>
                <w:sz w:val="24"/>
                <w:szCs w:val="24"/>
                <w:lang w:eastAsia="zh-CN"/>
              </w:rPr>
              <w:t xml:space="preserve">разработена от Световна банка </w:t>
            </w:r>
            <w:r w:rsidR="002D1B2F">
              <w:rPr>
                <w:rFonts w:ascii="Times New Roman" w:eastAsia="Times New Roman" w:hAnsi="Times New Roman" w:cs="Times New Roman"/>
                <w:bCs/>
                <w:sz w:val="24"/>
                <w:szCs w:val="24"/>
                <w:lang w:eastAsia="zh-CN"/>
              </w:rPr>
              <w:t>чрез</w:t>
            </w:r>
            <w:r w:rsidRPr="00171DED">
              <w:rPr>
                <w:rFonts w:ascii="Times New Roman" w:eastAsia="Times New Roman" w:hAnsi="Times New Roman" w:cs="Times New Roman"/>
                <w:bCs/>
                <w:sz w:val="24"/>
                <w:szCs w:val="24"/>
                <w:lang w:eastAsia="zh-CN"/>
              </w:rPr>
              <w:t xml:space="preserve"> ОПОС 2014-2020 г.</w:t>
            </w:r>
            <w:r w:rsidR="002D1B2F">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определя комплекс от мерки, чието приложение да доведе до постигане на съответствие с нормите за ФПЧ съгласно изискванията на законодателство</w:t>
            </w:r>
            <w:r w:rsidR="001E1C9F">
              <w:rPr>
                <w:rFonts w:ascii="Times New Roman" w:eastAsia="Times New Roman" w:hAnsi="Times New Roman" w:cs="Times New Roman"/>
                <w:bCs/>
                <w:sz w:val="24"/>
                <w:szCs w:val="24"/>
                <w:lang w:eastAsia="zh-CN"/>
              </w:rPr>
              <w:t>то</w:t>
            </w:r>
            <w:r w:rsidRPr="00171DED">
              <w:rPr>
                <w:rFonts w:ascii="Times New Roman" w:eastAsia="Times New Roman" w:hAnsi="Times New Roman" w:cs="Times New Roman"/>
                <w:bCs/>
                <w:sz w:val="24"/>
                <w:szCs w:val="24"/>
                <w:lang w:eastAsia="zh-CN"/>
              </w:rPr>
              <w:t xml:space="preserve"> не по-късно от 2024 г. Предлаганите мерки за достигане на целта са свързани с намаляване на емисиите на първични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от определените източници</w:t>
            </w:r>
            <w:r w:rsidR="001E1C9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AA500F" w:rsidRPr="00171DED">
              <w:rPr>
                <w:rFonts w:ascii="Times New Roman" w:eastAsia="Times New Roman" w:hAnsi="Times New Roman" w:cs="Times New Roman"/>
                <w:bCs/>
                <w:sz w:val="24"/>
                <w:szCs w:val="24"/>
                <w:lang w:eastAsia="zh-CN"/>
              </w:rPr>
              <w:t>с основен фокус върху</w:t>
            </w:r>
            <w:r w:rsidRPr="00171DED">
              <w:rPr>
                <w:rFonts w:ascii="Times New Roman" w:eastAsia="Times New Roman" w:hAnsi="Times New Roman" w:cs="Times New Roman"/>
                <w:bCs/>
                <w:sz w:val="24"/>
                <w:szCs w:val="24"/>
                <w:lang w:eastAsia="zh-CN"/>
              </w:rPr>
              <w:t xml:space="preserve"> битово отопление на твърди горива</w:t>
            </w:r>
            <w:r w:rsidR="00AA500F" w:rsidRPr="00171DED">
              <w:rPr>
                <w:rFonts w:ascii="Times New Roman" w:eastAsia="Times New Roman" w:hAnsi="Times New Roman" w:cs="Times New Roman"/>
                <w:bCs/>
                <w:sz w:val="24"/>
                <w:szCs w:val="24"/>
                <w:lang w:eastAsia="zh-CN"/>
              </w:rPr>
              <w:t>. Замяната на печки/котли на твърдо гориво с алтернативни източници на отопление допринася за намаляването на вредните емисии и оттам до подобряване на качеството на въздух</w:t>
            </w:r>
            <w:r w:rsidR="006D4409">
              <w:rPr>
                <w:rFonts w:ascii="Times New Roman" w:eastAsia="Times New Roman" w:hAnsi="Times New Roman" w:cs="Times New Roman"/>
                <w:bCs/>
                <w:sz w:val="24"/>
                <w:szCs w:val="24"/>
                <w:lang w:eastAsia="zh-CN"/>
              </w:rPr>
              <w:t>а</w:t>
            </w:r>
            <w:r w:rsidR="00AA500F" w:rsidRPr="00171DED">
              <w:rPr>
                <w:rFonts w:ascii="Times New Roman" w:eastAsia="Times New Roman" w:hAnsi="Times New Roman" w:cs="Times New Roman"/>
                <w:bCs/>
                <w:sz w:val="24"/>
                <w:szCs w:val="24"/>
                <w:lang w:eastAsia="zh-CN"/>
              </w:rPr>
              <w:t>, което ще доведе до значителен положителен ефект върху човешкото здраве.</w:t>
            </w:r>
            <w:r w:rsidR="00C40C27"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При избора на алтернативи ще се отчита принципа за н</w:t>
            </w:r>
            <w:r w:rsidR="001E3242" w:rsidRPr="00171DED">
              <w:rPr>
                <w:rFonts w:ascii="Times New Roman" w:eastAsia="Times New Roman" w:hAnsi="Times New Roman" w:cs="Times New Roman"/>
                <w:bCs/>
                <w:sz w:val="24"/>
                <w:szCs w:val="24"/>
                <w:lang w:eastAsia="zh-CN"/>
              </w:rPr>
              <w:t>e</w:t>
            </w:r>
            <w:r w:rsidR="008C79B3" w:rsidRPr="00171DED">
              <w:rPr>
                <w:rFonts w:ascii="Times New Roman" w:eastAsia="Times New Roman" w:hAnsi="Times New Roman" w:cs="Times New Roman"/>
                <w:bCs/>
                <w:sz w:val="24"/>
                <w:szCs w:val="24"/>
                <w:lang w:eastAsia="zh-CN"/>
              </w:rPr>
              <w:t>на</w:t>
            </w:r>
            <w:r w:rsidR="001E3242" w:rsidRPr="00171DED">
              <w:rPr>
                <w:rFonts w:ascii="Times New Roman" w:eastAsia="Times New Roman" w:hAnsi="Times New Roman" w:cs="Times New Roman"/>
                <w:bCs/>
                <w:sz w:val="24"/>
                <w:szCs w:val="24"/>
                <w:lang w:eastAsia="zh-CN"/>
              </w:rPr>
              <w:t>на</w:t>
            </w:r>
            <w:r w:rsidR="008C79B3" w:rsidRPr="00171DED">
              <w:rPr>
                <w:rFonts w:ascii="Times New Roman" w:eastAsia="Times New Roman" w:hAnsi="Times New Roman" w:cs="Times New Roman"/>
                <w:bCs/>
                <w:sz w:val="24"/>
                <w:szCs w:val="24"/>
                <w:lang w:eastAsia="zh-CN"/>
              </w:rPr>
              <w:t>сяне на вреди съгласно Европейск</w:t>
            </w:r>
            <w:r w:rsidR="006D4409">
              <w:rPr>
                <w:rFonts w:ascii="Times New Roman" w:eastAsia="Times New Roman" w:hAnsi="Times New Roman" w:cs="Times New Roman"/>
                <w:bCs/>
                <w:sz w:val="24"/>
                <w:szCs w:val="24"/>
                <w:lang w:eastAsia="zh-CN"/>
              </w:rPr>
              <w:t>ата</w:t>
            </w:r>
            <w:r w:rsidR="008C79B3" w:rsidRPr="00171DED">
              <w:rPr>
                <w:rFonts w:ascii="Times New Roman" w:eastAsia="Times New Roman" w:hAnsi="Times New Roman" w:cs="Times New Roman"/>
                <w:bCs/>
                <w:sz w:val="24"/>
                <w:szCs w:val="24"/>
                <w:lang w:eastAsia="zh-CN"/>
              </w:rPr>
              <w:t xml:space="preserve"> зелен</w:t>
            </w:r>
            <w:r w:rsidR="006D4409">
              <w:rPr>
                <w:rFonts w:ascii="Times New Roman" w:eastAsia="Times New Roman" w:hAnsi="Times New Roman" w:cs="Times New Roman"/>
                <w:bCs/>
                <w:sz w:val="24"/>
                <w:szCs w:val="24"/>
                <w:lang w:eastAsia="zh-CN"/>
              </w:rPr>
              <w:t>а</w:t>
            </w:r>
            <w:r w:rsidR="008C79B3" w:rsidRPr="00171DED">
              <w:rPr>
                <w:rFonts w:ascii="Times New Roman" w:eastAsia="Times New Roman" w:hAnsi="Times New Roman" w:cs="Times New Roman"/>
                <w:bCs/>
                <w:sz w:val="24"/>
                <w:szCs w:val="24"/>
                <w:lang w:eastAsia="zh-CN"/>
              </w:rPr>
              <w:t xml:space="preserve"> </w:t>
            </w:r>
            <w:r w:rsidR="006D4409">
              <w:rPr>
                <w:rFonts w:ascii="Times New Roman" w:eastAsia="Times New Roman" w:hAnsi="Times New Roman" w:cs="Times New Roman"/>
                <w:bCs/>
                <w:sz w:val="24"/>
                <w:szCs w:val="24"/>
                <w:lang w:eastAsia="zh-CN"/>
              </w:rPr>
              <w:t>сделка</w:t>
            </w:r>
            <w:r w:rsidR="008C79B3" w:rsidRPr="00171DED">
              <w:rPr>
                <w:rFonts w:ascii="Times New Roman" w:eastAsia="Times New Roman" w:hAnsi="Times New Roman" w:cs="Times New Roman"/>
                <w:bCs/>
                <w:sz w:val="24"/>
                <w:szCs w:val="24"/>
                <w:lang w:eastAsia="zh-CN"/>
              </w:rPr>
              <w:t xml:space="preserve">. </w:t>
            </w:r>
            <w:r w:rsidR="005F68FC" w:rsidRPr="00171DED">
              <w:rPr>
                <w:rFonts w:ascii="Times New Roman" w:eastAsia="Times New Roman" w:hAnsi="Times New Roman" w:cs="Times New Roman"/>
                <w:bCs/>
                <w:sz w:val="24"/>
                <w:szCs w:val="24"/>
                <w:lang w:eastAsia="zh-CN"/>
              </w:rPr>
              <w:t xml:space="preserve">Положителен </w:t>
            </w:r>
            <w:r w:rsidR="00C40C27" w:rsidRPr="00171DED">
              <w:rPr>
                <w:rFonts w:ascii="Times New Roman" w:eastAsia="Times New Roman" w:hAnsi="Times New Roman" w:cs="Times New Roman"/>
                <w:bCs/>
                <w:sz w:val="24"/>
                <w:szCs w:val="24"/>
                <w:lang w:eastAsia="zh-CN"/>
              </w:rPr>
              <w:t xml:space="preserve">ефект ще </w:t>
            </w:r>
            <w:r w:rsidR="00966363">
              <w:rPr>
                <w:rFonts w:ascii="Times New Roman" w:eastAsia="Times New Roman" w:hAnsi="Times New Roman" w:cs="Times New Roman"/>
                <w:bCs/>
                <w:sz w:val="24"/>
                <w:szCs w:val="24"/>
                <w:lang w:eastAsia="zh-CN"/>
              </w:rPr>
              <w:t>има</w:t>
            </w:r>
            <w:r w:rsidR="00966363" w:rsidRPr="00171DED">
              <w:rPr>
                <w:rFonts w:ascii="Times New Roman" w:eastAsia="Times New Roman" w:hAnsi="Times New Roman" w:cs="Times New Roman"/>
                <w:bCs/>
                <w:sz w:val="24"/>
                <w:szCs w:val="24"/>
                <w:lang w:eastAsia="zh-CN"/>
              </w:rPr>
              <w:t xml:space="preserve"> </w:t>
            </w:r>
            <w:r w:rsidR="00C40C27" w:rsidRPr="00171DED">
              <w:rPr>
                <w:rFonts w:ascii="Times New Roman" w:eastAsia="Times New Roman" w:hAnsi="Times New Roman" w:cs="Times New Roman"/>
                <w:bCs/>
                <w:sz w:val="24"/>
                <w:szCs w:val="24"/>
                <w:lang w:eastAsia="zh-CN"/>
              </w:rPr>
              <w:t xml:space="preserve">и приносът </w:t>
            </w:r>
            <w:r w:rsidR="00C40C27" w:rsidRPr="00171DED">
              <w:rPr>
                <w:rFonts w:ascii="Times New Roman" w:eastAsia="Times New Roman" w:hAnsi="Times New Roman" w:cs="Times New Roman"/>
                <w:bCs/>
                <w:sz w:val="24"/>
                <w:szCs w:val="24"/>
                <w:lang w:eastAsia="zh-CN"/>
              </w:rPr>
              <w:lastRenderedPageBreak/>
              <w:t xml:space="preserve">на мерките към ресурсната и енергийната ефективност на домакинствата. </w:t>
            </w:r>
            <w:r w:rsidR="008C79B3" w:rsidRPr="00171DED">
              <w:rPr>
                <w:rFonts w:ascii="Times New Roman" w:eastAsia="Times New Roman" w:hAnsi="Times New Roman" w:cs="Times New Roman"/>
                <w:bCs/>
                <w:sz w:val="24"/>
                <w:szCs w:val="24"/>
                <w:lang w:eastAsia="zh-CN"/>
              </w:rPr>
              <w:t xml:space="preserve">Един от научените уроци </w:t>
            </w:r>
            <w:r w:rsidR="00966363">
              <w:rPr>
                <w:rFonts w:ascii="Times New Roman" w:eastAsia="Times New Roman" w:hAnsi="Times New Roman" w:cs="Times New Roman"/>
                <w:bCs/>
                <w:sz w:val="24"/>
                <w:szCs w:val="24"/>
                <w:lang w:eastAsia="zh-CN"/>
              </w:rPr>
              <w:t>при подмяната на отоплителните уреди</w:t>
            </w:r>
            <w:r w:rsidR="008C79B3" w:rsidRPr="00171DED">
              <w:rPr>
                <w:rFonts w:ascii="Times New Roman" w:eastAsia="Times New Roman" w:hAnsi="Times New Roman" w:cs="Times New Roman"/>
                <w:bCs/>
                <w:sz w:val="24"/>
                <w:szCs w:val="24"/>
                <w:lang w:eastAsia="zh-CN"/>
              </w:rPr>
              <w:t xml:space="preserve"> </w:t>
            </w:r>
            <w:r w:rsidR="00966363">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2014-2020 г. показва, че </w:t>
            </w:r>
            <w:proofErr w:type="spellStart"/>
            <w:r w:rsidR="008C79B3" w:rsidRPr="00171DED">
              <w:rPr>
                <w:rFonts w:ascii="Times New Roman" w:eastAsia="Times New Roman" w:hAnsi="Times New Roman" w:cs="Times New Roman"/>
                <w:bCs/>
                <w:sz w:val="24"/>
                <w:szCs w:val="24"/>
                <w:lang w:eastAsia="zh-CN"/>
              </w:rPr>
              <w:t>двуетапността</w:t>
            </w:r>
            <w:proofErr w:type="spellEnd"/>
            <w:r w:rsidR="008C79B3" w:rsidRPr="00171DED">
              <w:rPr>
                <w:rFonts w:ascii="Times New Roman" w:eastAsia="Times New Roman" w:hAnsi="Times New Roman" w:cs="Times New Roman"/>
                <w:bCs/>
                <w:sz w:val="24"/>
                <w:szCs w:val="24"/>
                <w:lang w:eastAsia="zh-CN"/>
              </w:rPr>
              <w:t xml:space="preserve"> на проектите води до </w:t>
            </w:r>
            <w:r w:rsidR="001E3242" w:rsidRPr="00171DED">
              <w:rPr>
                <w:rFonts w:ascii="Times New Roman" w:eastAsia="Times New Roman" w:hAnsi="Times New Roman" w:cs="Times New Roman"/>
                <w:bCs/>
                <w:sz w:val="24"/>
                <w:szCs w:val="24"/>
                <w:lang w:eastAsia="zh-CN"/>
              </w:rPr>
              <w:t xml:space="preserve">прекомерно </w:t>
            </w:r>
            <w:r w:rsidR="008C79B3" w:rsidRPr="00171DED">
              <w:rPr>
                <w:rFonts w:ascii="Times New Roman" w:eastAsia="Times New Roman" w:hAnsi="Times New Roman" w:cs="Times New Roman"/>
                <w:bCs/>
                <w:sz w:val="24"/>
                <w:szCs w:val="24"/>
                <w:lang w:eastAsia="zh-CN"/>
              </w:rPr>
              <w:t xml:space="preserve">забавяне </w:t>
            </w:r>
            <w:r w:rsidR="001E3242" w:rsidRPr="00171DED">
              <w:rPr>
                <w:rFonts w:ascii="Times New Roman" w:eastAsia="Times New Roman" w:hAnsi="Times New Roman" w:cs="Times New Roman"/>
                <w:bCs/>
                <w:sz w:val="24"/>
                <w:szCs w:val="24"/>
                <w:lang w:eastAsia="zh-CN"/>
              </w:rPr>
              <w:t xml:space="preserve">в </w:t>
            </w:r>
            <w:r w:rsidR="008C79B3" w:rsidRPr="00171DED">
              <w:rPr>
                <w:rFonts w:ascii="Times New Roman" w:eastAsia="Times New Roman" w:hAnsi="Times New Roman" w:cs="Times New Roman"/>
                <w:bCs/>
                <w:sz w:val="24"/>
                <w:szCs w:val="24"/>
                <w:lang w:eastAsia="zh-CN"/>
              </w:rPr>
              <w:t xml:space="preserve">реалната подмяна на топлоуредите с екологични алтернативи. Подготвителният </w:t>
            </w:r>
            <w:r w:rsidR="001E1C9F">
              <w:rPr>
                <w:rFonts w:ascii="Times New Roman" w:eastAsia="Times New Roman" w:hAnsi="Times New Roman" w:cs="Times New Roman"/>
                <w:bCs/>
                <w:sz w:val="24"/>
                <w:szCs w:val="24"/>
                <w:lang w:eastAsia="zh-CN"/>
              </w:rPr>
              <w:t xml:space="preserve">първи </w:t>
            </w:r>
            <w:r w:rsidR="008C79B3" w:rsidRPr="00171DED">
              <w:rPr>
                <w:rFonts w:ascii="Times New Roman" w:eastAsia="Times New Roman" w:hAnsi="Times New Roman" w:cs="Times New Roman"/>
                <w:bCs/>
                <w:sz w:val="24"/>
                <w:szCs w:val="24"/>
                <w:lang w:eastAsia="zh-CN"/>
              </w:rPr>
              <w:t xml:space="preserve">етап бе обоснован от липсата на опит и необходимостта да </w:t>
            </w:r>
            <w:r w:rsidR="002D1B2F">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подготв</w:t>
            </w:r>
            <w:r w:rsidR="002D1B2F">
              <w:rPr>
                <w:rFonts w:ascii="Times New Roman" w:eastAsia="Times New Roman" w:hAnsi="Times New Roman" w:cs="Times New Roman"/>
                <w:bCs/>
                <w:sz w:val="24"/>
                <w:szCs w:val="24"/>
                <w:lang w:eastAsia="zh-CN"/>
              </w:rPr>
              <w:t>и</w:t>
            </w:r>
            <w:r w:rsidR="008C79B3" w:rsidRPr="00171DED">
              <w:rPr>
                <w:rFonts w:ascii="Times New Roman" w:eastAsia="Times New Roman" w:hAnsi="Times New Roman" w:cs="Times New Roman"/>
                <w:bCs/>
                <w:sz w:val="24"/>
                <w:szCs w:val="24"/>
                <w:lang w:eastAsia="zh-CN"/>
              </w:rPr>
              <w:t xml:space="preserve"> качествено основната дейност. </w:t>
            </w:r>
            <w:r w:rsidR="00966363" w:rsidRPr="00171DED">
              <w:rPr>
                <w:rFonts w:ascii="Times New Roman" w:eastAsia="Times New Roman" w:hAnsi="Times New Roman" w:cs="Times New Roman"/>
                <w:bCs/>
                <w:sz w:val="24"/>
                <w:szCs w:val="24"/>
                <w:lang w:eastAsia="zh-CN"/>
              </w:rPr>
              <w:t xml:space="preserve">Срещнаха </w:t>
            </w:r>
            <w:r w:rsidR="00966363">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затруднения при набирането на заявления от страна на гражданите</w:t>
            </w:r>
            <w:r w:rsidR="002D1B2F">
              <w:rPr>
                <w:rFonts w:ascii="Times New Roman" w:eastAsia="Times New Roman" w:hAnsi="Times New Roman" w:cs="Times New Roman"/>
                <w:bCs/>
                <w:sz w:val="24"/>
                <w:szCs w:val="24"/>
                <w:lang w:eastAsia="zh-CN"/>
              </w:rPr>
              <w:t xml:space="preserve">, поради </w:t>
            </w:r>
            <w:r w:rsidR="008C79B3" w:rsidRPr="00171DED">
              <w:rPr>
                <w:rFonts w:ascii="Times New Roman" w:eastAsia="Times New Roman" w:hAnsi="Times New Roman" w:cs="Times New Roman"/>
                <w:bCs/>
                <w:sz w:val="24"/>
                <w:szCs w:val="24"/>
                <w:lang w:eastAsia="zh-CN"/>
              </w:rPr>
              <w:t>недостатъчното осъзнаване от страна на целевата група, че инвестициите в чист въздух са инвестиции в здравето на техните семейства и общество</w:t>
            </w:r>
            <w:r w:rsidR="001E3242" w:rsidRPr="00171DED">
              <w:rPr>
                <w:rFonts w:ascii="Times New Roman" w:eastAsia="Times New Roman" w:hAnsi="Times New Roman" w:cs="Times New Roman"/>
                <w:bCs/>
                <w:sz w:val="24"/>
                <w:szCs w:val="24"/>
                <w:lang w:eastAsia="zh-CN"/>
              </w:rPr>
              <w:t>то като цяло</w:t>
            </w:r>
            <w:r w:rsidR="008C79B3" w:rsidRPr="00171DED">
              <w:rPr>
                <w:rFonts w:ascii="Times New Roman" w:eastAsia="Times New Roman" w:hAnsi="Times New Roman" w:cs="Times New Roman"/>
                <w:bCs/>
                <w:sz w:val="24"/>
                <w:szCs w:val="24"/>
                <w:lang w:eastAsia="zh-CN"/>
              </w:rPr>
              <w:t>. Необходимостта от по</w:t>
            </w:r>
            <w:r w:rsidR="001E3242" w:rsidRPr="00171DED">
              <w:rPr>
                <w:rFonts w:ascii="Times New Roman" w:eastAsia="Times New Roman" w:hAnsi="Times New Roman" w:cs="Times New Roman"/>
                <w:bCs/>
                <w:sz w:val="24"/>
                <w:szCs w:val="24"/>
                <w:lang w:eastAsia="zh-CN"/>
              </w:rPr>
              <w:t>даване</w:t>
            </w:r>
            <w:r w:rsidR="008C79B3" w:rsidRPr="00171DED">
              <w:rPr>
                <w:rFonts w:ascii="Times New Roman" w:eastAsia="Times New Roman" w:hAnsi="Times New Roman" w:cs="Times New Roman"/>
                <w:bCs/>
                <w:sz w:val="24"/>
                <w:szCs w:val="24"/>
                <w:lang w:eastAsia="zh-CN"/>
              </w:rPr>
              <w:t xml:space="preserve"> на заявления за участие изисква от крайния </w:t>
            </w:r>
            <w:r w:rsidR="002D1B2F">
              <w:rPr>
                <w:rFonts w:ascii="Times New Roman" w:eastAsia="Times New Roman" w:hAnsi="Times New Roman" w:cs="Times New Roman"/>
                <w:bCs/>
                <w:sz w:val="24"/>
                <w:szCs w:val="24"/>
                <w:lang w:eastAsia="zh-CN"/>
              </w:rPr>
              <w:t>получател</w:t>
            </w:r>
            <w:r w:rsidR="008C79B3" w:rsidRPr="00171DED">
              <w:rPr>
                <w:rFonts w:ascii="Times New Roman" w:eastAsia="Times New Roman" w:hAnsi="Times New Roman" w:cs="Times New Roman"/>
                <w:bCs/>
                <w:sz w:val="24"/>
                <w:szCs w:val="24"/>
                <w:lang w:eastAsia="zh-CN"/>
              </w:rPr>
              <w:t xml:space="preserve"> информиран избор за най-подходящата алтернатива за отопление, </w:t>
            </w:r>
            <w:r w:rsidR="00780A3E" w:rsidRPr="00171DED">
              <w:rPr>
                <w:rFonts w:ascii="Times New Roman" w:eastAsia="Times New Roman" w:hAnsi="Times New Roman" w:cs="Times New Roman"/>
                <w:bCs/>
                <w:sz w:val="24"/>
                <w:szCs w:val="24"/>
                <w:lang w:eastAsia="zh-CN"/>
              </w:rPr>
              <w:t>което допълнително</w:t>
            </w:r>
            <w:r w:rsidR="008C79B3" w:rsidRPr="00171DED">
              <w:rPr>
                <w:rFonts w:ascii="Times New Roman" w:eastAsia="Times New Roman" w:hAnsi="Times New Roman" w:cs="Times New Roman"/>
                <w:bCs/>
                <w:sz w:val="24"/>
                <w:szCs w:val="24"/>
                <w:lang w:eastAsia="zh-CN"/>
              </w:rPr>
              <w:t xml:space="preserve"> забав</w:t>
            </w:r>
            <w:r w:rsidR="00780A3E" w:rsidRPr="00171DED">
              <w:rPr>
                <w:rFonts w:ascii="Times New Roman" w:eastAsia="Times New Roman" w:hAnsi="Times New Roman" w:cs="Times New Roman"/>
                <w:bCs/>
                <w:sz w:val="24"/>
                <w:szCs w:val="24"/>
                <w:lang w:eastAsia="zh-CN"/>
              </w:rPr>
              <w:t>я</w:t>
            </w:r>
            <w:r w:rsidR="008C79B3" w:rsidRPr="00171DED">
              <w:rPr>
                <w:rFonts w:ascii="Times New Roman" w:eastAsia="Times New Roman" w:hAnsi="Times New Roman" w:cs="Times New Roman"/>
                <w:bCs/>
                <w:sz w:val="24"/>
                <w:szCs w:val="24"/>
                <w:lang w:eastAsia="zh-CN"/>
              </w:rPr>
              <w:t xml:space="preserve"> процеса. За да се адресират тези </w:t>
            </w:r>
            <w:r w:rsidR="00780A3E" w:rsidRPr="00171DED">
              <w:rPr>
                <w:rFonts w:ascii="Times New Roman" w:eastAsia="Times New Roman" w:hAnsi="Times New Roman" w:cs="Times New Roman"/>
                <w:bCs/>
                <w:sz w:val="24"/>
                <w:szCs w:val="24"/>
                <w:lang w:eastAsia="zh-CN"/>
              </w:rPr>
              <w:t>затруднения,</w:t>
            </w:r>
            <w:r w:rsidR="008C79B3" w:rsidRPr="00171DED">
              <w:rPr>
                <w:rFonts w:ascii="Times New Roman" w:eastAsia="Times New Roman" w:hAnsi="Times New Roman" w:cs="Times New Roman"/>
                <w:bCs/>
                <w:sz w:val="24"/>
                <w:szCs w:val="24"/>
                <w:lang w:eastAsia="zh-CN"/>
              </w:rPr>
              <w:t xml:space="preserve"> </w:t>
            </w:r>
            <w:r w:rsidR="00084E76">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2021-2027 г. ще се предоставя техническа подкрепа за сформиране на екипи, които да консултират гражданите и да съдействат </w:t>
            </w:r>
            <w:r w:rsidR="00780A3E" w:rsidRPr="00171DED">
              <w:rPr>
                <w:rFonts w:ascii="Times New Roman" w:eastAsia="Times New Roman" w:hAnsi="Times New Roman" w:cs="Times New Roman"/>
                <w:bCs/>
                <w:sz w:val="24"/>
                <w:szCs w:val="24"/>
                <w:lang w:eastAsia="zh-CN"/>
              </w:rPr>
              <w:t>в избора и последващите административни стъпки</w:t>
            </w:r>
            <w:r w:rsidR="008C79B3" w:rsidRPr="00171DED">
              <w:rPr>
                <w:rFonts w:ascii="Times New Roman" w:eastAsia="Times New Roman" w:hAnsi="Times New Roman" w:cs="Times New Roman"/>
                <w:bCs/>
                <w:sz w:val="24"/>
                <w:szCs w:val="24"/>
                <w:lang w:eastAsia="zh-CN"/>
              </w:rPr>
              <w:t xml:space="preserve">. Натрупаният опит показва, че </w:t>
            </w:r>
            <w:r w:rsidR="00072501">
              <w:rPr>
                <w:rFonts w:ascii="Times New Roman" w:eastAsia="Times New Roman" w:hAnsi="Times New Roman" w:cs="Times New Roman"/>
                <w:bCs/>
                <w:sz w:val="24"/>
                <w:szCs w:val="24"/>
                <w:lang w:eastAsia="zh-CN"/>
              </w:rPr>
              <w:t xml:space="preserve">навременната, </w:t>
            </w:r>
            <w:r w:rsidR="00072501" w:rsidRPr="00072501">
              <w:rPr>
                <w:rFonts w:ascii="Times New Roman" w:eastAsia="Times New Roman" w:hAnsi="Times New Roman" w:cs="Times New Roman"/>
                <w:bCs/>
                <w:sz w:val="24"/>
                <w:szCs w:val="24"/>
                <w:lang w:eastAsia="zh-CN"/>
              </w:rPr>
              <w:t>проактивна</w:t>
            </w:r>
            <w:r w:rsidR="00072501">
              <w:rPr>
                <w:rFonts w:ascii="Times New Roman" w:eastAsia="Times New Roman" w:hAnsi="Times New Roman" w:cs="Times New Roman"/>
                <w:bCs/>
                <w:sz w:val="24"/>
                <w:szCs w:val="24"/>
                <w:lang w:eastAsia="zh-CN"/>
              </w:rPr>
              <w:t>,</w:t>
            </w:r>
            <w:r w:rsidR="00072501" w:rsidRPr="00072501">
              <w:rPr>
                <w:rFonts w:ascii="Times New Roman" w:eastAsia="Times New Roman" w:hAnsi="Times New Roman" w:cs="Times New Roman"/>
                <w:bCs/>
                <w:sz w:val="24"/>
                <w:szCs w:val="24"/>
                <w:lang w:eastAsia="zh-CN"/>
              </w:rPr>
              <w:t xml:space="preserve"> пряка комуникация с крайните получатели</w:t>
            </w:r>
            <w:r w:rsidR="00084E76">
              <w:rPr>
                <w:rFonts w:ascii="Times New Roman" w:eastAsia="Times New Roman" w:hAnsi="Times New Roman" w:cs="Times New Roman"/>
                <w:bCs/>
                <w:sz w:val="24"/>
                <w:szCs w:val="24"/>
                <w:lang w:eastAsia="zh-CN"/>
              </w:rPr>
              <w:t xml:space="preserve"> </w:t>
            </w:r>
            <w:r w:rsidR="00072501">
              <w:rPr>
                <w:rFonts w:ascii="Times New Roman" w:eastAsia="Times New Roman" w:hAnsi="Times New Roman" w:cs="Times New Roman"/>
                <w:bCs/>
                <w:sz w:val="24"/>
                <w:szCs w:val="24"/>
                <w:lang w:eastAsia="zh-CN"/>
              </w:rPr>
              <w:t>– гражданите,</w:t>
            </w:r>
            <w:r w:rsidR="008C79B3" w:rsidRPr="00171DED">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ще бъде осигурено и за таргетирани регионални информационни кампании, отчитащи регионалните специфики</w:t>
            </w:r>
            <w:r w:rsidR="00084E76">
              <w:rPr>
                <w:rFonts w:ascii="Times New Roman" w:eastAsia="Times New Roman" w:hAnsi="Times New Roman" w:cs="Times New Roman"/>
                <w:bCs/>
                <w:sz w:val="24"/>
                <w:szCs w:val="24"/>
                <w:lang w:eastAsia="zh-CN"/>
              </w:rPr>
              <w:t xml:space="preserve">, както и за </w:t>
            </w:r>
            <w:r w:rsidR="008C79B3" w:rsidRPr="00171DED">
              <w:rPr>
                <w:rFonts w:ascii="Times New Roman" w:eastAsia="Times New Roman" w:hAnsi="Times New Roman" w:cs="Times New Roman"/>
                <w:bCs/>
                <w:sz w:val="24"/>
                <w:szCs w:val="24"/>
                <w:lang w:eastAsia="zh-CN"/>
              </w:rPr>
              <w:t xml:space="preserve"> широка национална кампания </w:t>
            </w:r>
            <w:r w:rsidR="005F68FC">
              <w:rPr>
                <w:rFonts w:ascii="Times New Roman" w:eastAsia="Times New Roman" w:hAnsi="Times New Roman" w:cs="Times New Roman"/>
                <w:bCs/>
                <w:sz w:val="24"/>
                <w:szCs w:val="24"/>
                <w:lang w:eastAsia="zh-CN"/>
              </w:rPr>
              <w:t>с а</w:t>
            </w:r>
            <w:r w:rsidR="008C79B3" w:rsidRPr="00171DED">
              <w:rPr>
                <w:rFonts w:ascii="Times New Roman" w:eastAsia="Times New Roman" w:hAnsi="Times New Roman" w:cs="Times New Roman"/>
                <w:bCs/>
                <w:sz w:val="24"/>
                <w:szCs w:val="24"/>
                <w:lang w:eastAsia="zh-CN"/>
              </w:rPr>
              <w:t>кцент анонсиране на възможностите за безвъзмездна подмяна</w:t>
            </w:r>
            <w:r w:rsidR="005F68FC">
              <w:rPr>
                <w:rFonts w:ascii="Times New Roman" w:eastAsia="Times New Roman" w:hAnsi="Times New Roman" w:cs="Times New Roman"/>
                <w:bCs/>
                <w:sz w:val="24"/>
                <w:szCs w:val="24"/>
                <w:lang w:eastAsia="zh-CN"/>
              </w:rPr>
              <w:t xml:space="preserve"> на топлоуредите</w:t>
            </w:r>
            <w:r w:rsidR="008C79B3" w:rsidRPr="00171DED">
              <w:rPr>
                <w:rFonts w:ascii="Times New Roman" w:eastAsia="Times New Roman" w:hAnsi="Times New Roman" w:cs="Times New Roman"/>
                <w:bCs/>
                <w:sz w:val="24"/>
                <w:szCs w:val="24"/>
                <w:lang w:eastAsia="zh-CN"/>
              </w:rPr>
              <w:t>, включително представяне на домакинства</w:t>
            </w:r>
            <w:r w:rsidR="00780A3E" w:rsidRPr="00171DED">
              <w:rPr>
                <w:rFonts w:ascii="Times New Roman" w:eastAsia="Times New Roman" w:hAnsi="Times New Roman" w:cs="Times New Roman"/>
                <w:bCs/>
                <w:sz w:val="24"/>
                <w:szCs w:val="24"/>
                <w:lang w:eastAsia="zh-CN"/>
              </w:rPr>
              <w:t>,</w:t>
            </w:r>
            <w:r w:rsidR="008C79B3" w:rsidRPr="00171DED">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Pr>
                <w:rFonts w:ascii="Times New Roman" w:eastAsia="Times New Roman" w:hAnsi="Times New Roman" w:cs="Times New Roman"/>
                <w:bCs/>
                <w:sz w:val="24"/>
                <w:szCs w:val="24"/>
                <w:lang w:eastAsia="zh-CN"/>
              </w:rPr>
              <w:t xml:space="preserve"> от фондовете на ЕС</w:t>
            </w:r>
            <w:r w:rsidR="008C79B3" w:rsidRPr="00171DED">
              <w:rPr>
                <w:rFonts w:ascii="Times New Roman" w:eastAsia="Times New Roman" w:hAnsi="Times New Roman" w:cs="Times New Roman"/>
                <w:bCs/>
                <w:sz w:val="24"/>
                <w:szCs w:val="24"/>
                <w:lang w:eastAsia="zh-CN"/>
              </w:rPr>
              <w:t xml:space="preserve">.  </w:t>
            </w:r>
          </w:p>
          <w:p w14:paraId="3048715F" w14:textId="0D4F3386" w:rsidR="008C79B3" w:rsidRPr="00171DED" w:rsidRDefault="00C40C2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По отношение на транспорта, личните автомобили са идентифицирани като сериозен замърсител, имайки предвид остарелия автомобилен парк (преобладаващо дизелови автомобили</w:t>
            </w:r>
            <w:r w:rsidR="008C79B3" w:rsidRPr="00171DED">
              <w:rPr>
                <w:rFonts w:ascii="Times New Roman" w:eastAsia="Times New Roman" w:hAnsi="Times New Roman" w:cs="Times New Roman"/>
                <w:bCs/>
                <w:sz w:val="24"/>
                <w:szCs w:val="24"/>
                <w:lang w:eastAsia="zh-CN"/>
              </w:rPr>
              <w:t xml:space="preserve"> над 15 г.</w:t>
            </w:r>
            <w:r w:rsidRPr="00171DED">
              <w:rPr>
                <w:rFonts w:ascii="Times New Roman" w:eastAsia="Times New Roman" w:hAnsi="Times New Roman" w:cs="Times New Roman"/>
                <w:bCs/>
                <w:sz w:val="24"/>
                <w:szCs w:val="24"/>
                <w:lang w:eastAsia="zh-CN"/>
              </w:rPr>
              <w:t xml:space="preserve">). Насърчаването на постепенното изтегляне от употреба на </w:t>
            </w:r>
            <w:r w:rsidR="00A44408">
              <w:rPr>
                <w:rFonts w:ascii="Times New Roman" w:eastAsia="Times New Roman" w:hAnsi="Times New Roman" w:cs="Times New Roman"/>
                <w:bCs/>
                <w:sz w:val="24"/>
                <w:szCs w:val="24"/>
                <w:lang w:eastAsia="zh-CN"/>
              </w:rPr>
              <w:t xml:space="preserve">високоемисионни </w:t>
            </w:r>
            <w:r w:rsidRPr="00171DED">
              <w:rPr>
                <w:rFonts w:ascii="Times New Roman" w:eastAsia="Times New Roman" w:hAnsi="Times New Roman" w:cs="Times New Roman"/>
                <w:bCs/>
                <w:sz w:val="24"/>
                <w:szCs w:val="24"/>
                <w:lang w:eastAsia="zh-CN"/>
              </w:rPr>
              <w:t>дизелови автомобили цели да намали превишените нива на ФПЧ и азотни оксиди.</w:t>
            </w:r>
            <w:r w:rsidR="00697076" w:rsidRPr="00171DED">
              <w:rPr>
                <w:rFonts w:ascii="Times New Roman" w:eastAsia="Times New Roman" w:hAnsi="Times New Roman" w:cs="Times New Roman"/>
                <w:bCs/>
                <w:sz w:val="24"/>
                <w:szCs w:val="24"/>
                <w:lang w:eastAsia="zh-CN"/>
              </w:rPr>
              <w:t xml:space="preserve"> Електромобилите са доказани не само като нискоемисионни, но и разходоефективни – ползите за човешкото здраве са допълнени и от ниски разходи за поддръжка.</w:t>
            </w:r>
            <w:r w:rsidR="00330A37" w:rsidRPr="00171DED">
              <w:rPr>
                <w:rFonts w:ascii="Times New Roman" w:eastAsia="Times New Roman" w:hAnsi="Times New Roman" w:cs="Times New Roman"/>
                <w:bCs/>
                <w:sz w:val="24"/>
                <w:szCs w:val="24"/>
                <w:lang w:eastAsia="zh-CN"/>
              </w:rPr>
              <w:t xml:space="preserve"> </w:t>
            </w:r>
            <w:r w:rsidR="00E145A8" w:rsidRPr="00171DED">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r w:rsidR="005F68FC">
              <w:rPr>
                <w:rFonts w:ascii="Times New Roman" w:eastAsia="Times New Roman" w:hAnsi="Times New Roman" w:cs="Times New Roman"/>
                <w:bCs/>
                <w:sz w:val="24"/>
                <w:szCs w:val="24"/>
                <w:lang w:eastAsia="zh-CN"/>
              </w:rPr>
              <w:t>,</w:t>
            </w:r>
            <w:r w:rsidR="00E145A8" w:rsidRPr="00171DED">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повечето страни-членки на ЕС е предлагането на финансови инструменти за подкрепа на електромобилност срещу предаване за рециклиране на високоемисионни стари автомобили. Интервенцията по ПОС 2021-2027 г. ще бъде концентрирана на територията на общините с нарушено КАВ.</w:t>
            </w:r>
          </w:p>
          <w:p w14:paraId="7A71AFA5" w14:textId="77777777" w:rsidR="00103BED" w:rsidRPr="00171DED" w:rsidRDefault="00B53F19"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37CDBF30" w:rsidR="00E145A8" w:rsidRPr="00171DED" w:rsidRDefault="00B53F19"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171DED">
              <w:rPr>
                <w:rFonts w:ascii="Times New Roman" w:eastAsia="Times New Roman" w:hAnsi="Times New Roman" w:cs="Times New Roman"/>
                <w:bCs/>
                <w:sz w:val="24"/>
                <w:szCs w:val="24"/>
                <w:lang w:eastAsia="zh-CN"/>
              </w:rPr>
              <w:t xml:space="preserve"> Директива 2008/50/ЕО и Директива (ЕС) 2016</w:t>
            </w:r>
            <w:r w:rsidRPr="00171DED">
              <w:rPr>
                <w:rFonts w:ascii="Times New Roman" w:eastAsia="Times New Roman" w:hAnsi="Times New Roman" w:cs="Times New Roman"/>
                <w:bCs/>
                <w:iCs/>
                <w:sz w:val="24"/>
                <w:szCs w:val="24"/>
                <w:lang w:eastAsia="zh-CN"/>
              </w:rPr>
              <w:t xml:space="preserve">/2284. </w:t>
            </w:r>
            <w:r w:rsidR="00E145A8" w:rsidRPr="00171DED">
              <w:rPr>
                <w:rFonts w:ascii="Times New Roman" w:eastAsia="Times New Roman" w:hAnsi="Times New Roman" w:cs="Times New Roman"/>
                <w:bCs/>
                <w:iCs/>
                <w:sz w:val="24"/>
                <w:szCs w:val="24"/>
                <w:lang w:eastAsia="zh-CN"/>
              </w:rPr>
              <w:t xml:space="preserve">България е в нарушение поради прекомерно замърсяване с </w:t>
            </w:r>
            <w:r w:rsidR="00780A3E" w:rsidRPr="00171DED">
              <w:rPr>
                <w:rFonts w:ascii="Times New Roman" w:eastAsia="Times New Roman" w:hAnsi="Times New Roman" w:cs="Times New Roman"/>
                <w:bCs/>
                <w:iCs/>
                <w:sz w:val="24"/>
                <w:szCs w:val="24"/>
                <w:lang w:eastAsia="zh-CN"/>
              </w:rPr>
              <w:t>ФПЧ</w:t>
            </w:r>
            <w:r w:rsidR="00E145A8" w:rsidRPr="00786DE5">
              <w:rPr>
                <w:rFonts w:ascii="Times New Roman" w:eastAsia="Times New Roman" w:hAnsi="Times New Roman" w:cs="Times New Roman"/>
                <w:bCs/>
                <w:iCs/>
                <w:sz w:val="24"/>
                <w:szCs w:val="24"/>
                <w:vertAlign w:val="subscript"/>
                <w:lang w:eastAsia="zh-CN"/>
              </w:rPr>
              <w:t>10</w:t>
            </w:r>
            <w:r w:rsidR="00E145A8" w:rsidRPr="00171DED">
              <w:rPr>
                <w:rFonts w:ascii="Times New Roman" w:eastAsia="Times New Roman" w:hAnsi="Times New Roman" w:cs="Times New Roman"/>
                <w:bCs/>
                <w:iCs/>
                <w:sz w:val="24"/>
                <w:szCs w:val="24"/>
                <w:lang w:eastAsia="zh-CN"/>
              </w:rPr>
              <w:t xml:space="preserve"> (</w:t>
            </w:r>
            <w:r w:rsidR="00780A3E" w:rsidRPr="00171DED">
              <w:rPr>
                <w:rFonts w:ascii="Times New Roman" w:eastAsia="Times New Roman" w:hAnsi="Times New Roman" w:cs="Times New Roman"/>
                <w:bCs/>
                <w:iCs/>
                <w:sz w:val="24"/>
                <w:szCs w:val="24"/>
                <w:lang w:eastAsia="zh-CN"/>
              </w:rPr>
              <w:t xml:space="preserve">Решение </w:t>
            </w:r>
            <w:r w:rsidR="00E145A8" w:rsidRPr="00171DED">
              <w:rPr>
                <w:rFonts w:ascii="Times New Roman" w:eastAsia="Times New Roman" w:hAnsi="Times New Roman" w:cs="Times New Roman"/>
                <w:bCs/>
                <w:iCs/>
                <w:sz w:val="24"/>
                <w:szCs w:val="24"/>
                <w:lang w:eastAsia="zh-CN"/>
              </w:rPr>
              <w:t xml:space="preserve">на Съда на ЕС по дело C 488/15), същевременно Комисията предяви през декември 2020 г. иск пред Съда на ЕС срещу България за неизпълнение на неговото предходно решение. </w:t>
            </w:r>
            <w:r w:rsidR="00C21D5C">
              <w:rPr>
                <w:rFonts w:ascii="Times New Roman" w:eastAsia="Times New Roman" w:hAnsi="Times New Roman" w:cs="Times New Roman"/>
                <w:bCs/>
                <w:iCs/>
                <w:sz w:val="24"/>
                <w:szCs w:val="24"/>
                <w:lang w:eastAsia="zh-CN"/>
              </w:rPr>
              <w:t xml:space="preserve">Регистрирани са и превишения на нормите за ФПЧ2,5 и </w:t>
            </w:r>
            <w:proofErr w:type="spellStart"/>
            <w:r w:rsidR="00C21D5C">
              <w:rPr>
                <w:rFonts w:ascii="Times New Roman" w:eastAsia="Times New Roman" w:hAnsi="Times New Roman" w:cs="Times New Roman"/>
                <w:bCs/>
                <w:iCs/>
                <w:sz w:val="24"/>
                <w:szCs w:val="24"/>
                <w:lang w:eastAsia="zh-CN"/>
              </w:rPr>
              <w:t>полициклични</w:t>
            </w:r>
            <w:proofErr w:type="spellEnd"/>
            <w:r w:rsidR="00C21D5C">
              <w:rPr>
                <w:rFonts w:ascii="Times New Roman" w:eastAsia="Times New Roman" w:hAnsi="Times New Roman" w:cs="Times New Roman"/>
                <w:bCs/>
                <w:iCs/>
                <w:sz w:val="24"/>
                <w:szCs w:val="24"/>
                <w:lang w:eastAsia="zh-CN"/>
              </w:rPr>
              <w:t xml:space="preserve"> ароматни въглеводороди, определени като </w:t>
            </w:r>
            <w:proofErr w:type="spellStart"/>
            <w:r w:rsidR="00C21D5C">
              <w:rPr>
                <w:rFonts w:ascii="Times New Roman" w:eastAsia="Times New Roman" w:hAnsi="Times New Roman" w:cs="Times New Roman"/>
                <w:bCs/>
                <w:iCs/>
                <w:sz w:val="24"/>
                <w:szCs w:val="24"/>
                <w:lang w:eastAsia="zh-CN"/>
              </w:rPr>
              <w:t>бензо</w:t>
            </w:r>
            <w:proofErr w:type="spellEnd"/>
            <w:r w:rsidR="00C21D5C">
              <w:rPr>
                <w:rFonts w:ascii="Times New Roman" w:eastAsia="Times New Roman" w:hAnsi="Times New Roman" w:cs="Times New Roman"/>
                <w:bCs/>
                <w:iCs/>
                <w:sz w:val="24"/>
                <w:szCs w:val="24"/>
                <w:lang w:eastAsia="zh-CN"/>
              </w:rPr>
              <w:t>(а)пирен</w:t>
            </w:r>
            <w:r w:rsidR="00A44408">
              <w:rPr>
                <w:rFonts w:ascii="Times New Roman" w:eastAsia="Times New Roman" w:hAnsi="Times New Roman" w:cs="Times New Roman"/>
                <w:bCs/>
                <w:iCs/>
                <w:sz w:val="24"/>
                <w:szCs w:val="24"/>
                <w:lang w:eastAsia="zh-CN"/>
              </w:rPr>
              <w:t>.</w:t>
            </w:r>
          </w:p>
          <w:p w14:paraId="043218D2" w14:textId="2E7A4CE5" w:rsidR="00103BED" w:rsidRPr="00171DED" w:rsidRDefault="00B53F19"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iCs/>
                <w:sz w:val="24"/>
                <w:szCs w:val="24"/>
                <w:lang w:eastAsia="zh-CN"/>
              </w:rPr>
              <w:t xml:space="preserve">Предвидените инвестиции адресират основните предизвикателства изведени в </w:t>
            </w:r>
            <w:r w:rsidR="00E377BE" w:rsidRPr="00171DED">
              <w:rPr>
                <w:rFonts w:ascii="Times New Roman" w:eastAsia="Times New Roman" w:hAnsi="Times New Roman" w:cs="Times New Roman"/>
                <w:bCs/>
                <w:iCs/>
                <w:sz w:val="24"/>
                <w:szCs w:val="24"/>
                <w:lang w:eastAsia="zh-CN"/>
              </w:rPr>
              <w:t xml:space="preserve">НПКАВ </w:t>
            </w:r>
            <w:r w:rsidRPr="00171DED">
              <w:rPr>
                <w:rFonts w:ascii="Times New Roman" w:eastAsia="Times New Roman" w:hAnsi="Times New Roman" w:cs="Times New Roman"/>
                <w:bCs/>
                <w:iCs/>
                <w:sz w:val="24"/>
                <w:szCs w:val="24"/>
                <w:lang w:eastAsia="zh-CN"/>
              </w:rPr>
              <w:t xml:space="preserve">2018-2024 г. и </w:t>
            </w:r>
            <w:r w:rsidR="00E377BE" w:rsidRPr="00171DED">
              <w:rPr>
                <w:rFonts w:ascii="Times New Roman" w:eastAsia="Times New Roman" w:hAnsi="Times New Roman" w:cs="Times New Roman"/>
                <w:bCs/>
                <w:iCs/>
                <w:sz w:val="24"/>
                <w:szCs w:val="24"/>
                <w:lang w:eastAsia="zh-CN"/>
              </w:rPr>
              <w:t xml:space="preserve">НПКЗВ </w:t>
            </w:r>
            <w:r w:rsidRPr="00171DED">
              <w:rPr>
                <w:rFonts w:ascii="Times New Roman" w:eastAsia="Times New Roman" w:hAnsi="Times New Roman" w:cs="Times New Roman"/>
                <w:bCs/>
                <w:iCs/>
                <w:sz w:val="24"/>
                <w:szCs w:val="24"/>
                <w:lang w:eastAsia="zh-CN"/>
              </w:rPr>
              <w:t>2020</w:t>
            </w:r>
            <w:r w:rsidR="00E377BE"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2030</w:t>
            </w:r>
            <w:r w:rsidR="00E377BE" w:rsidRPr="00171DED">
              <w:rPr>
                <w:rFonts w:ascii="Times New Roman" w:eastAsia="Times New Roman" w:hAnsi="Times New Roman" w:cs="Times New Roman"/>
                <w:bCs/>
                <w:iCs/>
                <w:sz w:val="24"/>
                <w:szCs w:val="24"/>
                <w:lang w:eastAsia="zh-CN"/>
              </w:rPr>
              <w:t xml:space="preserve"> г.</w:t>
            </w:r>
            <w:r w:rsidRPr="00171DED">
              <w:rPr>
                <w:rFonts w:ascii="Times New Roman" w:eastAsia="Times New Roman" w:hAnsi="Times New Roman" w:cs="Times New Roman"/>
                <w:bCs/>
                <w:iCs/>
                <w:sz w:val="24"/>
                <w:szCs w:val="24"/>
                <w:lang w:eastAsia="zh-CN"/>
              </w:rPr>
              <w:t xml:space="preserve"> и допринасят за постигането на основните им цели</w:t>
            </w:r>
            <w:r w:rsidR="00E145A8" w:rsidRPr="00171DED">
              <w:rPr>
                <w:rFonts w:ascii="Times New Roman" w:eastAsia="Times New Roman" w:hAnsi="Times New Roman" w:cs="Times New Roman"/>
                <w:bCs/>
                <w:iCs/>
                <w:sz w:val="24"/>
                <w:szCs w:val="24"/>
                <w:lang w:eastAsia="zh-CN"/>
              </w:rPr>
              <w:t xml:space="preserve"> и за съответствието със законодателството на ЕС за качеството на въздуха</w:t>
            </w:r>
            <w:r w:rsidRPr="00171DED">
              <w:rPr>
                <w:rFonts w:ascii="Times New Roman" w:eastAsia="Times New Roman" w:hAnsi="Times New Roman" w:cs="Times New Roman"/>
                <w:bCs/>
                <w:iCs/>
                <w:sz w:val="24"/>
                <w:szCs w:val="24"/>
                <w:lang w:eastAsia="zh-CN"/>
              </w:rPr>
              <w:t xml:space="preserve">. </w:t>
            </w:r>
            <w:r w:rsidR="00DB71D7" w:rsidRPr="00171DED">
              <w:rPr>
                <w:rFonts w:ascii="Times New Roman" w:eastAsia="Times New Roman" w:hAnsi="Times New Roman" w:cs="Times New Roman"/>
                <w:bCs/>
                <w:iCs/>
                <w:sz w:val="24"/>
                <w:szCs w:val="24"/>
                <w:lang w:eastAsia="zh-CN"/>
              </w:rPr>
              <w:t xml:space="preserve">Предвидените средства по програмата ще допринесат за постигането на целите за </w:t>
            </w:r>
            <w:r w:rsidR="00DB71D7" w:rsidRPr="00171DED">
              <w:rPr>
                <w:rFonts w:ascii="Times New Roman" w:eastAsia="Times New Roman" w:hAnsi="Times New Roman" w:cs="Times New Roman"/>
                <w:bCs/>
                <w:iCs/>
                <w:sz w:val="24"/>
                <w:szCs w:val="24"/>
                <w:lang w:eastAsia="zh-CN"/>
              </w:rPr>
              <w:lastRenderedPageBreak/>
              <w:t xml:space="preserve">подобряване на качеството на атмосферния въздух, заложени в Приоритет 5 Чист въздух и биоразнообразие от </w:t>
            </w:r>
            <w:r w:rsidRPr="00171DED">
              <w:rPr>
                <w:rFonts w:ascii="Times New Roman" w:eastAsia="Times New Roman" w:hAnsi="Times New Roman" w:cs="Times New Roman"/>
                <w:bCs/>
                <w:iCs/>
                <w:sz w:val="24"/>
                <w:szCs w:val="24"/>
                <w:lang w:eastAsia="zh-CN"/>
              </w:rPr>
              <w:t xml:space="preserve">Националната програма за развитие България 2030 </w:t>
            </w:r>
            <w:r w:rsidR="00DB71D7" w:rsidRPr="00171DED">
              <w:rPr>
                <w:rFonts w:ascii="Times New Roman" w:eastAsia="Times New Roman" w:hAnsi="Times New Roman" w:cs="Times New Roman"/>
                <w:bCs/>
                <w:iCs/>
                <w:sz w:val="24"/>
                <w:szCs w:val="24"/>
                <w:lang w:eastAsia="zh-CN"/>
              </w:rPr>
              <w:t>г.</w:t>
            </w:r>
          </w:p>
          <w:p w14:paraId="7202F1AF" w14:textId="21E90A73" w:rsidR="00103BED" w:rsidRPr="00171DED" w:rsidRDefault="00356CA8" w:rsidP="001E3E7F">
            <w:pPr>
              <w:spacing w:before="36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Принос на ПОС 2021 – 2027 </w:t>
            </w:r>
            <w:r w:rsidR="004877D7">
              <w:rPr>
                <w:rFonts w:ascii="Times New Roman" w:eastAsia="Times New Roman" w:hAnsi="Times New Roman" w:cs="Times New Roman"/>
                <w:b/>
                <w:sz w:val="24"/>
                <w:szCs w:val="24"/>
                <w:lang w:eastAsia="zh-CN"/>
              </w:rPr>
              <w:t xml:space="preserve">г. </w:t>
            </w:r>
            <w:r w:rsidR="00FC360A">
              <w:rPr>
                <w:rFonts w:ascii="Times New Roman" w:eastAsia="Times New Roman" w:hAnsi="Times New Roman" w:cs="Times New Roman"/>
                <w:b/>
                <w:sz w:val="24"/>
                <w:szCs w:val="24"/>
                <w:lang w:eastAsia="zh-CN"/>
              </w:rPr>
              <w:t xml:space="preserve">към адресирането на социално-икономическото възстановяване от пандемията от </w:t>
            </w:r>
            <w:r w:rsidR="000A798B" w:rsidRPr="00171DED">
              <w:rPr>
                <w:rFonts w:ascii="Times New Roman" w:eastAsia="Times New Roman" w:hAnsi="Times New Roman" w:cs="Times New Roman"/>
                <w:b/>
                <w:sz w:val="24"/>
                <w:szCs w:val="24"/>
                <w:lang w:eastAsia="zh-CN"/>
              </w:rPr>
              <w:t>COVID-19</w:t>
            </w:r>
          </w:p>
          <w:p w14:paraId="22A3BE05" w14:textId="483F34A4" w:rsidR="00E145A8" w:rsidRPr="00171DED" w:rsidRDefault="001E0A49" w:rsidP="00786DE5">
            <w:pPr>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iCs/>
                <w:sz w:val="24"/>
                <w:szCs w:val="24"/>
                <w:lang w:eastAsia="zh-CN"/>
              </w:rPr>
              <w:t>Обявената пандемия нанесе тежък удар върху европейската и световната икономика като цяло. Кризата представлява предизвикателство</w:t>
            </w:r>
            <w:r w:rsidR="00E377BE" w:rsidRPr="00171DED">
              <w:rPr>
                <w:rFonts w:ascii="Times New Roman" w:eastAsia="Times New Roman" w:hAnsi="Times New Roman" w:cs="Times New Roman"/>
                <w:bCs/>
                <w:iCs/>
                <w:sz w:val="24"/>
                <w:szCs w:val="24"/>
                <w:lang w:eastAsia="zh-CN"/>
              </w:rPr>
              <w:t xml:space="preserve"> както</w:t>
            </w:r>
            <w:r w:rsidRPr="00171DED">
              <w:rPr>
                <w:rFonts w:ascii="Times New Roman" w:eastAsia="Times New Roman" w:hAnsi="Times New Roman" w:cs="Times New Roman"/>
                <w:bCs/>
                <w:iCs/>
                <w:sz w:val="24"/>
                <w:szCs w:val="24"/>
                <w:lang w:eastAsia="zh-CN"/>
              </w:rPr>
              <w:t xml:space="preserve"> за държавните икономики</w:t>
            </w:r>
            <w:r w:rsidR="00E377BE" w:rsidRPr="00171DED">
              <w:rPr>
                <w:rFonts w:ascii="Times New Roman" w:eastAsia="Times New Roman" w:hAnsi="Times New Roman" w:cs="Times New Roman"/>
                <w:bCs/>
                <w:iCs/>
                <w:sz w:val="24"/>
                <w:szCs w:val="24"/>
                <w:lang w:eastAsia="zh-CN"/>
              </w:rPr>
              <w:t>, така</w:t>
            </w:r>
            <w:r w:rsidRPr="00171DED">
              <w:rPr>
                <w:rFonts w:ascii="Times New Roman" w:eastAsia="Times New Roman" w:hAnsi="Times New Roman" w:cs="Times New Roman"/>
                <w:bCs/>
                <w:iCs/>
                <w:sz w:val="24"/>
                <w:szCs w:val="24"/>
                <w:lang w:eastAsia="zh-CN"/>
              </w:rPr>
              <w:t xml:space="preserve"> и</w:t>
            </w:r>
            <w:r w:rsidR="00E377BE" w:rsidRPr="00171DED">
              <w:rPr>
                <w:rFonts w:ascii="Times New Roman" w:eastAsia="Times New Roman" w:hAnsi="Times New Roman" w:cs="Times New Roman"/>
                <w:bCs/>
                <w:iCs/>
                <w:sz w:val="24"/>
                <w:szCs w:val="24"/>
                <w:lang w:eastAsia="zh-CN"/>
              </w:rPr>
              <w:t xml:space="preserve"> за</w:t>
            </w:r>
            <w:r w:rsidRPr="00171DED">
              <w:rPr>
                <w:rFonts w:ascii="Times New Roman" w:eastAsia="Times New Roman" w:hAnsi="Times New Roman" w:cs="Times New Roman"/>
                <w:bCs/>
                <w:iCs/>
                <w:sz w:val="24"/>
                <w:szCs w:val="24"/>
                <w:lang w:eastAsia="zh-CN"/>
              </w:rPr>
              <w:t xml:space="preserve"> живота на обществото. По време на здравни кризи е </w:t>
            </w:r>
            <w:r w:rsidR="00E377BE" w:rsidRPr="00171DED">
              <w:rPr>
                <w:rFonts w:ascii="Times New Roman" w:eastAsia="Times New Roman" w:hAnsi="Times New Roman" w:cs="Times New Roman"/>
                <w:bCs/>
                <w:iCs/>
                <w:sz w:val="24"/>
                <w:szCs w:val="24"/>
                <w:lang w:eastAsia="zh-CN"/>
              </w:rPr>
              <w:t xml:space="preserve">важно </w:t>
            </w:r>
            <w:r w:rsidRPr="00171DED">
              <w:rPr>
                <w:rFonts w:ascii="Times New Roman" w:eastAsia="Times New Roman" w:hAnsi="Times New Roman" w:cs="Times New Roman"/>
                <w:bCs/>
                <w:iCs/>
                <w:sz w:val="24"/>
                <w:szCs w:val="24"/>
                <w:lang w:eastAsia="zh-CN"/>
              </w:rPr>
              <w:t>да бъдат защитени критични сектори чрез осигуряване на нови възможности за работа</w:t>
            </w:r>
            <w:r w:rsidR="00B0133C"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 xml:space="preserve"> </w:t>
            </w:r>
            <w:r w:rsidR="00B0133C" w:rsidRPr="00171DED">
              <w:rPr>
                <w:rFonts w:ascii="Times New Roman" w:eastAsia="Times New Roman" w:hAnsi="Times New Roman" w:cs="Times New Roman"/>
                <w:bCs/>
                <w:iCs/>
                <w:sz w:val="24"/>
                <w:szCs w:val="24"/>
                <w:lang w:eastAsia="zh-CN"/>
              </w:rPr>
              <w:t>сигурност</w:t>
            </w:r>
            <w:r w:rsidRPr="00171DED">
              <w:rPr>
                <w:rFonts w:ascii="Times New Roman" w:eastAsia="Times New Roman" w:hAnsi="Times New Roman" w:cs="Times New Roman"/>
                <w:bCs/>
                <w:iCs/>
                <w:sz w:val="24"/>
                <w:szCs w:val="24"/>
                <w:lang w:eastAsia="zh-CN"/>
              </w:rPr>
              <w:t xml:space="preserve"> за работещите, инвест</w:t>
            </w:r>
            <w:r w:rsidR="00B0133C" w:rsidRPr="00171DED">
              <w:rPr>
                <w:rFonts w:ascii="Times New Roman" w:eastAsia="Times New Roman" w:hAnsi="Times New Roman" w:cs="Times New Roman"/>
                <w:bCs/>
                <w:iCs/>
                <w:sz w:val="24"/>
                <w:szCs w:val="24"/>
                <w:lang w:eastAsia="zh-CN"/>
              </w:rPr>
              <w:t>иции</w:t>
            </w:r>
            <w:r w:rsidRPr="00171DED">
              <w:rPr>
                <w:rFonts w:ascii="Times New Roman" w:eastAsia="Times New Roman" w:hAnsi="Times New Roman" w:cs="Times New Roman"/>
                <w:bCs/>
                <w:iCs/>
                <w:sz w:val="24"/>
                <w:szCs w:val="24"/>
                <w:lang w:eastAsia="zh-CN"/>
              </w:rPr>
              <w:t xml:space="preserve"> в мерки, които </w:t>
            </w:r>
            <w:r w:rsidR="00B0133C" w:rsidRPr="00171DED">
              <w:rPr>
                <w:rFonts w:ascii="Times New Roman" w:eastAsia="Times New Roman" w:hAnsi="Times New Roman" w:cs="Times New Roman"/>
                <w:bCs/>
                <w:iCs/>
                <w:sz w:val="24"/>
                <w:szCs w:val="24"/>
                <w:lang w:eastAsia="zh-CN"/>
              </w:rPr>
              <w:t xml:space="preserve">да </w:t>
            </w:r>
            <w:r w:rsidRPr="00171DED">
              <w:rPr>
                <w:rFonts w:ascii="Times New Roman" w:eastAsia="Times New Roman" w:hAnsi="Times New Roman" w:cs="Times New Roman"/>
                <w:bCs/>
                <w:iCs/>
                <w:sz w:val="24"/>
                <w:szCs w:val="24"/>
                <w:lang w:eastAsia="zh-CN"/>
              </w:rPr>
              <w:t xml:space="preserve">подобрят </w:t>
            </w:r>
            <w:r w:rsidR="009047BC" w:rsidRPr="00171DED">
              <w:rPr>
                <w:rFonts w:ascii="Times New Roman" w:eastAsia="Times New Roman" w:hAnsi="Times New Roman" w:cs="Times New Roman"/>
                <w:bCs/>
                <w:iCs/>
                <w:sz w:val="24"/>
                <w:szCs w:val="24"/>
                <w:lang w:eastAsia="zh-CN"/>
              </w:rPr>
              <w:t xml:space="preserve">екосистемите и </w:t>
            </w:r>
            <w:r w:rsidRPr="00171DED">
              <w:rPr>
                <w:rFonts w:ascii="Times New Roman" w:eastAsia="Times New Roman" w:hAnsi="Times New Roman" w:cs="Times New Roman"/>
                <w:bCs/>
                <w:iCs/>
                <w:sz w:val="24"/>
                <w:szCs w:val="24"/>
                <w:lang w:eastAsia="zh-CN"/>
              </w:rPr>
              <w:t>екологичните условия и като послед</w:t>
            </w:r>
            <w:r w:rsidR="00B0133C" w:rsidRPr="00171DED">
              <w:rPr>
                <w:rFonts w:ascii="Times New Roman" w:eastAsia="Times New Roman" w:hAnsi="Times New Roman" w:cs="Times New Roman"/>
                <w:bCs/>
                <w:iCs/>
                <w:sz w:val="24"/>
                <w:szCs w:val="24"/>
                <w:lang w:eastAsia="zh-CN"/>
              </w:rPr>
              <w:t>ствие</w:t>
            </w:r>
            <w:r w:rsidRPr="00171DED">
              <w:rPr>
                <w:rFonts w:ascii="Times New Roman" w:eastAsia="Times New Roman" w:hAnsi="Times New Roman" w:cs="Times New Roman"/>
                <w:bCs/>
                <w:iCs/>
                <w:sz w:val="24"/>
                <w:szCs w:val="24"/>
                <w:lang w:eastAsia="zh-CN"/>
              </w:rPr>
              <w:t xml:space="preserve"> </w:t>
            </w:r>
            <w:r w:rsidR="00B0133C" w:rsidRPr="00171DED">
              <w:rPr>
                <w:rFonts w:ascii="Times New Roman" w:eastAsia="Times New Roman" w:hAnsi="Times New Roman" w:cs="Times New Roman"/>
                <w:bCs/>
                <w:iCs/>
                <w:sz w:val="24"/>
                <w:szCs w:val="24"/>
                <w:lang w:eastAsia="zh-CN"/>
              </w:rPr>
              <w:t>да</w:t>
            </w:r>
            <w:r w:rsidRPr="00171DED">
              <w:rPr>
                <w:rFonts w:ascii="Times New Roman" w:eastAsia="Times New Roman" w:hAnsi="Times New Roman" w:cs="Times New Roman"/>
                <w:bCs/>
                <w:iCs/>
                <w:sz w:val="24"/>
                <w:szCs w:val="24"/>
                <w:lang w:eastAsia="zh-CN"/>
              </w:rPr>
              <w:t xml:space="preserve"> предотвратят по-нататъшното разпространение на вируса. </w:t>
            </w:r>
            <w:r w:rsidR="00AB2291" w:rsidRPr="00171DED">
              <w:rPr>
                <w:rFonts w:ascii="Times New Roman" w:eastAsia="Times New Roman" w:hAnsi="Times New Roman" w:cs="Times New Roman"/>
                <w:bCs/>
                <w:iCs/>
                <w:sz w:val="24"/>
                <w:szCs w:val="24"/>
                <w:lang w:eastAsia="zh-CN"/>
              </w:rPr>
              <w:t xml:space="preserve">Затварянията по време на </w:t>
            </w:r>
            <w:r w:rsidR="00AB2291" w:rsidRPr="00171DED">
              <w:rPr>
                <w:rFonts w:ascii="Times New Roman" w:eastAsia="Times New Roman" w:hAnsi="Times New Roman" w:cs="Times New Roman"/>
                <w:bCs/>
                <w:sz w:val="24"/>
                <w:szCs w:val="24"/>
                <w:lang w:eastAsia="zh-CN"/>
              </w:rPr>
              <w:t xml:space="preserve">COVID-19 пандемията имат директно, краткосрочно 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386A34E" w14:textId="14E00172" w:rsidR="00EA53FC" w:rsidRPr="00171DED" w:rsidRDefault="00EA53FC"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sz w:val="24"/>
                <w:szCs w:val="24"/>
                <w:lang w:eastAsia="zh-CN"/>
              </w:rPr>
              <w:t>Учени</w:t>
            </w:r>
            <w:r>
              <w:rPr>
                <w:rFonts w:ascii="Times New Roman" w:eastAsia="Times New Roman" w:hAnsi="Times New Roman" w:cs="Times New Roman"/>
                <w:bCs/>
                <w:sz w:val="24"/>
                <w:szCs w:val="24"/>
                <w:lang w:eastAsia="zh-CN"/>
              </w:rPr>
              <w:t>те</w:t>
            </w:r>
            <w:r w:rsidRPr="00171DED">
              <w:rPr>
                <w:rFonts w:ascii="Times New Roman" w:eastAsia="Times New Roman" w:hAnsi="Times New Roman" w:cs="Times New Roman"/>
                <w:bCs/>
                <w:sz w:val="24"/>
                <w:szCs w:val="24"/>
                <w:lang w:eastAsia="zh-CN"/>
              </w:rPr>
              <w:t xml:space="preserve"> </w:t>
            </w:r>
            <w:r w:rsidR="00AB2291" w:rsidRPr="00171DED">
              <w:rPr>
                <w:rFonts w:ascii="Times New Roman" w:eastAsia="Times New Roman" w:hAnsi="Times New Roman" w:cs="Times New Roman"/>
                <w:bCs/>
                <w:sz w:val="24"/>
                <w:szCs w:val="24"/>
                <w:lang w:eastAsia="zh-CN"/>
              </w:rPr>
              <w:t xml:space="preserve">изследват влиянието, което замърсяването на въздуха може да има върху тежестта на </w:t>
            </w:r>
            <w:proofErr w:type="spellStart"/>
            <w:r w:rsidR="00AB2291" w:rsidRPr="00171DED">
              <w:rPr>
                <w:rFonts w:ascii="Times New Roman" w:eastAsia="Times New Roman" w:hAnsi="Times New Roman" w:cs="Times New Roman"/>
                <w:bCs/>
                <w:sz w:val="24"/>
                <w:szCs w:val="24"/>
                <w:lang w:eastAsia="zh-CN"/>
              </w:rPr>
              <w:t>преболедуване</w:t>
            </w:r>
            <w:proofErr w:type="spellEnd"/>
            <w:r w:rsidR="00AB2291" w:rsidRPr="00171DED">
              <w:rPr>
                <w:rFonts w:ascii="Times New Roman" w:eastAsia="Times New Roman" w:hAnsi="Times New Roman" w:cs="Times New Roman"/>
                <w:bCs/>
                <w:sz w:val="24"/>
                <w:szCs w:val="24"/>
                <w:lang w:eastAsia="zh-CN"/>
              </w:rPr>
              <w:t xml:space="preserve">.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Връзката между замърсяването на въздуха и коронавируса засилва необходимостта от мерки за намаляване на замърсяването при последващите действия за възстановяване. </w:t>
            </w:r>
          </w:p>
          <w:p w14:paraId="79987EA3" w14:textId="22968379" w:rsidR="009D5D56" w:rsidRPr="00171DED" w:rsidRDefault="000617E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ООН отбелязва, че пандемията демонстрира критичното значение на канализацията и адекватния достъп до вода за предотвратяване и ограничаване на заболеваемостта. Достъп</w:t>
            </w:r>
            <w:r w:rsidR="00B16CAC">
              <w:rPr>
                <w:rFonts w:ascii="Times New Roman" w:eastAsia="Times New Roman" w:hAnsi="Times New Roman" w:cs="Times New Roman"/>
                <w:bCs/>
                <w:sz w:val="24"/>
                <w:szCs w:val="24"/>
                <w:lang w:eastAsia="zh-CN"/>
              </w:rPr>
              <w:t>ът</w:t>
            </w:r>
            <w:r w:rsidRPr="00171DED">
              <w:rPr>
                <w:rFonts w:ascii="Times New Roman" w:eastAsia="Times New Roman" w:hAnsi="Times New Roman" w:cs="Times New Roman"/>
                <w:bCs/>
                <w:sz w:val="24"/>
                <w:szCs w:val="24"/>
                <w:lang w:eastAsia="zh-CN"/>
              </w:rPr>
              <w:t xml:space="preserve"> до питейна вода и канализация е изключително важен в това отношение най-вече с цел опазване на човешкия живот и здраве. </w:t>
            </w:r>
            <w:r w:rsidR="009D5D56" w:rsidRPr="00171DED">
              <w:rPr>
                <w:rFonts w:ascii="Times New Roman" w:eastAsia="Times New Roman" w:hAnsi="Times New Roman" w:cs="Times New Roman"/>
                <w:bCs/>
                <w:sz w:val="24"/>
                <w:szCs w:val="24"/>
                <w:lang w:eastAsia="zh-CN"/>
              </w:rPr>
              <w:t xml:space="preserve">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w:t>
            </w:r>
            <w:r w:rsidR="001A24B6" w:rsidRPr="00171DED">
              <w:rPr>
                <w:rFonts w:ascii="Times New Roman" w:eastAsia="Times New Roman" w:hAnsi="Times New Roman" w:cs="Times New Roman"/>
                <w:bCs/>
                <w:sz w:val="24"/>
                <w:szCs w:val="24"/>
                <w:lang w:eastAsia="zh-CN"/>
              </w:rPr>
              <w:t xml:space="preserve">като допълнително допринася за </w:t>
            </w:r>
            <w:r w:rsidR="009D5D56" w:rsidRPr="00171DED">
              <w:rPr>
                <w:rFonts w:ascii="Times New Roman" w:eastAsia="Times New Roman" w:hAnsi="Times New Roman" w:cs="Times New Roman"/>
                <w:bCs/>
                <w:sz w:val="24"/>
                <w:szCs w:val="24"/>
                <w:lang w:eastAsia="zh-CN"/>
              </w:rPr>
              <w:t>подобряване на качеството на живот и защитата на човешкото здраве.</w:t>
            </w:r>
          </w:p>
          <w:p w14:paraId="2D9C6935" w14:textId="042B850C" w:rsidR="00027C38" w:rsidRPr="00171DED" w:rsidRDefault="00027C38"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p>
          <w:p w14:paraId="2B3DEBF5" w14:textId="033E70C8" w:rsidR="00103BED" w:rsidRPr="00171DED" w:rsidRDefault="000A798B"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ПРОГРАМАТА ЗА ОКОЛНА СРЕДА В СВЕТЛИНАТА НА </w:t>
            </w:r>
            <w:r w:rsidR="00E145A8" w:rsidRPr="00171DED">
              <w:rPr>
                <w:rFonts w:ascii="Times New Roman" w:eastAsia="Times New Roman" w:hAnsi="Times New Roman" w:cs="Times New Roman"/>
                <w:b/>
                <w:sz w:val="24"/>
                <w:szCs w:val="24"/>
                <w:lang w:eastAsia="zh-CN"/>
              </w:rPr>
              <w:t xml:space="preserve">ЕВРОПЕЙСКАТА </w:t>
            </w:r>
            <w:r w:rsidRPr="00171DED">
              <w:rPr>
                <w:rFonts w:ascii="Times New Roman" w:eastAsia="Times New Roman" w:hAnsi="Times New Roman" w:cs="Times New Roman"/>
                <w:b/>
                <w:sz w:val="24"/>
                <w:szCs w:val="24"/>
                <w:lang w:eastAsia="zh-CN"/>
              </w:rPr>
              <w:t>ЗЕЛЕНА СДЕЛКА</w:t>
            </w:r>
          </w:p>
          <w:p w14:paraId="79E28FAE" w14:textId="1FC9F2A3" w:rsidR="00103BED" w:rsidRPr="00171DED" w:rsidRDefault="00A51F29"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w:t>
            </w:r>
            <w:r w:rsidR="00E145A8" w:rsidRPr="00171DED">
              <w:rPr>
                <w:rFonts w:ascii="Times New Roman" w:eastAsia="Times New Roman" w:hAnsi="Times New Roman" w:cs="Times New Roman"/>
                <w:bCs/>
                <w:iCs/>
                <w:sz w:val="24"/>
                <w:szCs w:val="24"/>
                <w:lang w:eastAsia="zh-CN"/>
              </w:rPr>
              <w:t>Европейската з</w:t>
            </w:r>
            <w:r w:rsidRPr="00171DED">
              <w:rPr>
                <w:rFonts w:ascii="Times New Roman" w:eastAsia="Times New Roman" w:hAnsi="Times New Roman" w:cs="Times New Roman"/>
                <w:bCs/>
                <w:iCs/>
                <w:sz w:val="24"/>
                <w:szCs w:val="24"/>
                <w:lang w:eastAsia="zh-CN"/>
              </w:rPr>
              <w:t xml:space="preserve">елена сделка и прехода към </w:t>
            </w:r>
            <w:r w:rsidR="00483CB5" w:rsidRPr="00171DED">
              <w:rPr>
                <w:rFonts w:ascii="Times New Roman" w:eastAsia="Times New Roman" w:hAnsi="Times New Roman" w:cs="Times New Roman"/>
                <w:bCs/>
                <w:iCs/>
                <w:sz w:val="24"/>
                <w:szCs w:val="24"/>
                <w:lang w:eastAsia="zh-CN"/>
              </w:rPr>
              <w:t xml:space="preserve">климатична </w:t>
            </w:r>
            <w:r w:rsidRPr="00171DED">
              <w:rPr>
                <w:rFonts w:ascii="Times New Roman" w:eastAsia="Times New Roman" w:hAnsi="Times New Roman" w:cs="Times New Roman"/>
                <w:bCs/>
                <w:iCs/>
                <w:sz w:val="24"/>
                <w:szCs w:val="24"/>
                <w:lang w:eastAsia="zh-CN"/>
              </w:rPr>
              <w:t xml:space="preserve">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w:t>
            </w:r>
            <w:r w:rsidR="009047BC" w:rsidRPr="00171DED">
              <w:rPr>
                <w:rFonts w:ascii="Times New Roman" w:eastAsia="Times New Roman" w:hAnsi="Times New Roman" w:cs="Times New Roman"/>
                <w:bCs/>
                <w:iCs/>
                <w:sz w:val="24"/>
                <w:szCs w:val="24"/>
                <w:lang w:eastAsia="zh-CN"/>
              </w:rPr>
              <w:t xml:space="preserve">екосистемите и </w:t>
            </w:r>
            <w:r w:rsidRPr="00171DED">
              <w:rPr>
                <w:rFonts w:ascii="Times New Roman" w:eastAsia="Times New Roman" w:hAnsi="Times New Roman" w:cs="Times New Roman"/>
                <w:bCs/>
                <w:iCs/>
                <w:sz w:val="24"/>
                <w:szCs w:val="24"/>
                <w:lang w:eastAsia="zh-CN"/>
              </w:rPr>
              <w:t xml:space="preserve">биоразнообразието, намаляване на </w:t>
            </w:r>
            <w:r w:rsidRPr="00171DED">
              <w:rPr>
                <w:rFonts w:ascii="Times New Roman" w:eastAsia="Times New Roman" w:hAnsi="Times New Roman" w:cs="Times New Roman"/>
                <w:bCs/>
                <w:iCs/>
                <w:sz w:val="24"/>
                <w:szCs w:val="24"/>
                <w:lang w:eastAsia="zh-CN"/>
              </w:rPr>
              <w:lastRenderedPageBreak/>
              <w:t>замърсяването, най-вече по отношение на водния сектор и въздуха.</w:t>
            </w:r>
            <w:r w:rsidR="006877D8" w:rsidRPr="00171DED">
              <w:rPr>
                <w:rFonts w:ascii="Times New Roman" w:eastAsia="Times New Roman" w:hAnsi="Times New Roman" w:cs="Times New Roman"/>
                <w:bCs/>
                <w:iCs/>
                <w:sz w:val="24"/>
                <w:szCs w:val="24"/>
                <w:lang w:eastAsia="zh-CN"/>
              </w:rPr>
              <w:t xml:space="preserve"> В този смисъл основният принос на ПО</w:t>
            </w:r>
            <w:r w:rsidR="00F33DA4" w:rsidRPr="00EF18B3">
              <w:rPr>
                <w:rFonts w:ascii="Times New Roman" w:eastAsia="Times New Roman" w:hAnsi="Times New Roman" w:cs="Times New Roman"/>
                <w:bCs/>
                <w:iCs/>
                <w:sz w:val="24"/>
                <w:szCs w:val="24"/>
                <w:lang w:eastAsia="zh-CN"/>
              </w:rPr>
              <w:t>С</w:t>
            </w:r>
            <w:r w:rsidR="006877D8" w:rsidRPr="00171DED">
              <w:rPr>
                <w:rFonts w:ascii="Times New Roman" w:eastAsia="Times New Roman" w:hAnsi="Times New Roman" w:cs="Times New Roman"/>
                <w:bCs/>
                <w:iCs/>
                <w:sz w:val="24"/>
                <w:szCs w:val="24"/>
                <w:lang w:eastAsia="zh-CN"/>
              </w:rPr>
              <w:t xml:space="preserve"> чрез планираните процедури към политиките на Зелената 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w:t>
            </w:r>
            <w:r w:rsidR="00966363">
              <w:rPr>
                <w:rFonts w:ascii="Times New Roman" w:eastAsia="Times New Roman" w:hAnsi="Times New Roman" w:cs="Times New Roman"/>
                <w:bCs/>
                <w:iCs/>
                <w:sz w:val="24"/>
                <w:szCs w:val="24"/>
                <w:lang w:eastAsia="zh-CN"/>
              </w:rPr>
              <w:t xml:space="preserve"> При инвестициите ще се съблюдава принципа за „</w:t>
            </w:r>
            <w:r w:rsidR="00966363" w:rsidRPr="00F95F96">
              <w:rPr>
                <w:rFonts w:ascii="Times New Roman" w:eastAsia="Times New Roman" w:hAnsi="Times New Roman" w:cs="Times New Roman"/>
                <w:bCs/>
                <w:sz w:val="24"/>
                <w:szCs w:val="24"/>
                <w:lang w:eastAsia="zh-CN"/>
              </w:rPr>
              <w:t>нeнанасяне на вреди</w:t>
            </w:r>
            <w:r w:rsidR="00966363">
              <w:rPr>
                <w:rFonts w:ascii="Times New Roman" w:eastAsia="Times New Roman" w:hAnsi="Times New Roman" w:cs="Times New Roman"/>
                <w:bCs/>
                <w:sz w:val="24"/>
                <w:szCs w:val="24"/>
                <w:lang w:eastAsia="zh-CN"/>
              </w:rPr>
              <w:t>“.</w:t>
            </w:r>
          </w:p>
          <w:p w14:paraId="7E93CF46" w14:textId="63787191" w:rsidR="00103BED" w:rsidRPr="00171DED" w:rsidRDefault="000A798B"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ПРЕДИЗВИКАТЕЛСТВА ПО ОТНОШЕНИЕ НА АДМИНИСТРАТИВНИЯ КАПАЦИТЕТ И УПРАВЛЕНИЕТО</w:t>
            </w:r>
          </w:p>
          <w:p w14:paraId="244C3F1F" w14:textId="1A2430D3" w:rsidR="005D560E" w:rsidRPr="00171DED" w:rsidRDefault="005D560E" w:rsidP="005D560E">
            <w:pPr>
              <w:spacing w:beforeLines="30" w:before="72"/>
              <w:jc w:val="both"/>
              <w:rPr>
                <w:rFonts w:ascii="Times New Roman" w:eastAsia="Calibri" w:hAnsi="Times New Roman" w:cs="Times New Roman"/>
                <w:bCs/>
                <w:sz w:val="24"/>
                <w:szCs w:val="20"/>
                <w:lang w:eastAsia="en-GB"/>
              </w:rPr>
            </w:pPr>
            <w:r w:rsidRPr="00171DED">
              <w:rPr>
                <w:rFonts w:ascii="Times New Roman" w:eastAsia="Times New Roman" w:hAnsi="Times New Roman" w:cs="Times New Roman"/>
                <w:bCs/>
                <w:iCs/>
                <w:sz w:val="24"/>
                <w:szCs w:val="24"/>
                <w:lang w:eastAsia="zh-CN"/>
              </w:rPr>
              <w:t xml:space="preserve">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 </w:t>
            </w:r>
            <w:r w:rsidR="000E3914" w:rsidRPr="00171DED">
              <w:rPr>
                <w:rFonts w:ascii="Times New Roman" w:eastAsia="Times New Roman" w:hAnsi="Times New Roman" w:cs="Times New Roman"/>
                <w:bCs/>
                <w:iCs/>
                <w:sz w:val="24"/>
                <w:szCs w:val="24"/>
                <w:lang w:eastAsia="zh-CN"/>
              </w:rPr>
              <w:t xml:space="preserve">Планира </w:t>
            </w:r>
            <w:r w:rsidR="000E3914">
              <w:rPr>
                <w:rFonts w:ascii="Times New Roman" w:eastAsia="Times New Roman" w:hAnsi="Times New Roman" w:cs="Times New Roman"/>
                <w:bCs/>
                <w:iCs/>
                <w:sz w:val="24"/>
                <w:szCs w:val="24"/>
                <w:lang w:eastAsia="zh-CN"/>
              </w:rPr>
              <w:t xml:space="preserve">се </w:t>
            </w:r>
            <w:r w:rsidR="003C3715">
              <w:rPr>
                <w:rFonts w:ascii="Times New Roman" w:eastAsia="Times New Roman" w:hAnsi="Times New Roman" w:cs="Times New Roman"/>
                <w:bCs/>
                <w:iCs/>
                <w:sz w:val="24"/>
                <w:szCs w:val="24"/>
                <w:lang w:eastAsia="zh-CN"/>
              </w:rPr>
              <w:t>надграждане на</w:t>
            </w:r>
            <w:r w:rsidRPr="00171DED">
              <w:rPr>
                <w:rFonts w:ascii="Times New Roman" w:eastAsia="Times New Roman" w:hAnsi="Times New Roman" w:cs="Times New Roman"/>
                <w:bCs/>
                <w:iCs/>
                <w:sz w:val="24"/>
                <w:szCs w:val="24"/>
                <w:lang w:eastAsia="zh-CN"/>
              </w:rPr>
              <w:t xml:space="preserve"> добр</w:t>
            </w:r>
            <w:r w:rsidR="003C3715">
              <w:rPr>
                <w:rFonts w:ascii="Times New Roman" w:eastAsia="Times New Roman" w:hAnsi="Times New Roman" w:cs="Times New Roman"/>
                <w:bCs/>
                <w:iCs/>
                <w:sz w:val="24"/>
                <w:szCs w:val="24"/>
                <w:lang w:eastAsia="zh-CN"/>
              </w:rPr>
              <w:t>и</w:t>
            </w:r>
            <w:r w:rsidRPr="00171DED">
              <w:rPr>
                <w:rFonts w:ascii="Times New Roman" w:eastAsia="Times New Roman" w:hAnsi="Times New Roman" w:cs="Times New Roman"/>
                <w:bCs/>
                <w:iCs/>
                <w:sz w:val="24"/>
                <w:szCs w:val="24"/>
                <w:lang w:eastAsia="zh-CN"/>
              </w:rPr>
              <w:t>т</w:t>
            </w:r>
            <w:r w:rsidR="003C3715">
              <w:rPr>
                <w:rFonts w:ascii="Times New Roman" w:eastAsia="Times New Roman" w:hAnsi="Times New Roman" w:cs="Times New Roman"/>
                <w:bCs/>
                <w:iCs/>
                <w:sz w:val="24"/>
                <w:szCs w:val="24"/>
                <w:lang w:eastAsia="zh-CN"/>
              </w:rPr>
              <w:t>е</w:t>
            </w:r>
            <w:r w:rsidRPr="00171DED">
              <w:rPr>
                <w:rFonts w:ascii="Times New Roman" w:eastAsia="Times New Roman" w:hAnsi="Times New Roman" w:cs="Times New Roman"/>
                <w:bCs/>
                <w:iCs/>
                <w:sz w:val="24"/>
                <w:szCs w:val="24"/>
                <w:lang w:eastAsia="zh-CN"/>
              </w:rPr>
              <w:t xml:space="preserve"> практик</w:t>
            </w:r>
            <w:r w:rsidR="003C3715">
              <w:rPr>
                <w:rFonts w:ascii="Times New Roman" w:eastAsia="Times New Roman" w:hAnsi="Times New Roman" w:cs="Times New Roman"/>
                <w:bCs/>
                <w:iCs/>
                <w:sz w:val="24"/>
                <w:szCs w:val="24"/>
                <w:lang w:eastAsia="zh-CN"/>
              </w:rPr>
              <w:t>и</w:t>
            </w:r>
            <w:r w:rsidRPr="00171DED">
              <w:rPr>
                <w:rFonts w:ascii="Times New Roman" w:eastAsia="Times New Roman" w:hAnsi="Times New Roman" w:cs="Times New Roman"/>
                <w:bCs/>
                <w:iCs/>
                <w:sz w:val="24"/>
                <w:szCs w:val="24"/>
                <w:lang w:eastAsia="zh-CN"/>
              </w:rPr>
              <w:t xml:space="preserve"> с организиране на обучения, провеждането на разяснителни кампании и на въвеждащи обучения след сключване на договорите </w:t>
            </w:r>
            <w:r w:rsidR="00966363">
              <w:rPr>
                <w:rFonts w:ascii="Times New Roman" w:eastAsia="Times New Roman" w:hAnsi="Times New Roman" w:cs="Times New Roman"/>
                <w:bCs/>
                <w:iCs/>
                <w:sz w:val="24"/>
                <w:szCs w:val="24"/>
                <w:lang w:eastAsia="zh-CN"/>
              </w:rPr>
              <w:t>с бенефициенти</w:t>
            </w:r>
            <w:r w:rsidRPr="00171DED">
              <w:rPr>
                <w:rFonts w:ascii="Times New Roman" w:eastAsia="Times New Roman" w:hAnsi="Times New Roman" w:cs="Times New Roman"/>
                <w:bCs/>
                <w:iCs/>
                <w:sz w:val="24"/>
                <w:szCs w:val="24"/>
                <w:lang w:eastAsia="zh-CN"/>
              </w:rPr>
              <w:t xml:space="preserve">. В тази насока ще се </w:t>
            </w:r>
            <w:r w:rsidRPr="00171DED">
              <w:rPr>
                <w:rFonts w:ascii="Times New Roman" w:eastAsia="Calibri" w:hAnsi="Times New Roman" w:cs="Times New Roman"/>
                <w:bCs/>
                <w:sz w:val="24"/>
                <w:szCs w:val="20"/>
                <w:lang w:eastAsia="en-GB"/>
              </w:rPr>
              <w:t>използват приложими инструменти, вкл. сред препоръчаните в документ “Пътни карти за изграждане на административен капацитет. Практически набор от инструменти”, изработен от ОИСР</w:t>
            </w:r>
            <w:r w:rsidR="000E3914">
              <w:rPr>
                <w:rFonts w:ascii="Times New Roman" w:eastAsia="Calibri" w:hAnsi="Times New Roman" w:cs="Times New Roman"/>
                <w:bCs/>
                <w:sz w:val="24"/>
                <w:szCs w:val="20"/>
                <w:lang w:eastAsia="en-GB"/>
              </w:rPr>
              <w:t xml:space="preserve"> и включващ </w:t>
            </w:r>
            <w:r w:rsidRPr="00171DED">
              <w:rPr>
                <w:rFonts w:ascii="Times New Roman" w:eastAsia="Calibri" w:hAnsi="Times New Roman" w:cs="Times New Roman"/>
                <w:bCs/>
                <w:sz w:val="24"/>
                <w:szCs w:val="20"/>
                <w:lang w:eastAsia="en-GB"/>
              </w:rPr>
              <w:t>набор оперативни разяснения, методическа и практическа подкрепа</w:t>
            </w:r>
            <w:r w:rsidR="000E3914">
              <w:rPr>
                <w:rFonts w:ascii="Times New Roman" w:eastAsia="Calibri" w:hAnsi="Times New Roman" w:cs="Times New Roman"/>
                <w:bCs/>
                <w:sz w:val="24"/>
                <w:szCs w:val="20"/>
                <w:lang w:eastAsia="en-GB"/>
              </w:rPr>
              <w:t xml:space="preserve"> и </w:t>
            </w:r>
            <w:r w:rsidRPr="00171DED">
              <w:rPr>
                <w:rFonts w:ascii="Times New Roman" w:eastAsia="Calibri" w:hAnsi="Times New Roman" w:cs="Times New Roman"/>
                <w:bCs/>
                <w:sz w:val="24"/>
                <w:szCs w:val="20"/>
                <w:lang w:eastAsia="en-GB"/>
              </w:rPr>
              <w:t xml:space="preserve">добри практики и примери. С помощта на разработения инструментариум ще продължи да се развива натрупаният опит и научените уроци при взаимодействието на УО с бенефициентите през целия цикъл </w:t>
            </w:r>
            <w:r w:rsidR="003C3715">
              <w:rPr>
                <w:rFonts w:ascii="Times New Roman" w:eastAsia="Calibri" w:hAnsi="Times New Roman" w:cs="Times New Roman"/>
                <w:bCs/>
                <w:sz w:val="24"/>
                <w:szCs w:val="20"/>
                <w:lang w:eastAsia="en-GB"/>
              </w:rPr>
              <w:t>на подготовка и</w:t>
            </w:r>
            <w:r w:rsidRPr="00171DED">
              <w:rPr>
                <w:rFonts w:ascii="Times New Roman" w:eastAsia="Calibri" w:hAnsi="Times New Roman" w:cs="Times New Roman"/>
                <w:bCs/>
                <w:sz w:val="24"/>
                <w:szCs w:val="20"/>
                <w:lang w:eastAsia="en-GB"/>
              </w:rPr>
              <w:t xml:space="preserve"> изпълнение на проектите. Регулярното взаимодействие на УО с бенефициентите и техните партньори, ще продължи </w:t>
            </w:r>
            <w:r w:rsidR="005F1DA7">
              <w:rPr>
                <w:rFonts w:ascii="Times New Roman" w:eastAsia="Calibri" w:hAnsi="Times New Roman" w:cs="Times New Roman"/>
                <w:bCs/>
                <w:sz w:val="24"/>
                <w:szCs w:val="20"/>
                <w:lang w:eastAsia="en-GB"/>
              </w:rPr>
              <w:t xml:space="preserve">чрез </w:t>
            </w:r>
            <w:r w:rsidRPr="00171DED">
              <w:rPr>
                <w:rFonts w:ascii="Times New Roman" w:eastAsia="Calibri" w:hAnsi="Times New Roman" w:cs="Times New Roman"/>
                <w:bCs/>
                <w:sz w:val="24"/>
                <w:szCs w:val="20"/>
                <w:lang w:eastAsia="en-GB"/>
              </w:rPr>
              <w:t xml:space="preserve">консултации, работни срещи (вкл. онлайн), проверки на място, публикуване на стандартни документи, подробни писмени насоки, указания и др. </w:t>
            </w:r>
            <w:r w:rsidR="000E3914" w:rsidRPr="00171DED">
              <w:rPr>
                <w:rFonts w:ascii="Times New Roman" w:eastAsia="Calibri" w:hAnsi="Times New Roman" w:cs="Times New Roman"/>
                <w:bCs/>
                <w:sz w:val="24"/>
                <w:szCs w:val="20"/>
                <w:lang w:eastAsia="en-GB"/>
              </w:rPr>
              <w:t xml:space="preserve">Предвиждат </w:t>
            </w:r>
            <w:r w:rsidR="000E3914">
              <w:rPr>
                <w:rFonts w:ascii="Times New Roman" w:eastAsia="Calibri" w:hAnsi="Times New Roman" w:cs="Times New Roman"/>
                <w:bCs/>
                <w:sz w:val="24"/>
                <w:szCs w:val="20"/>
                <w:lang w:eastAsia="en-GB"/>
              </w:rPr>
              <w:t xml:space="preserve">се </w:t>
            </w:r>
            <w:r w:rsidRPr="00171DED">
              <w:rPr>
                <w:rFonts w:ascii="Times New Roman" w:eastAsia="Calibri" w:hAnsi="Times New Roman" w:cs="Times New Roman"/>
                <w:bCs/>
                <w:sz w:val="24"/>
                <w:szCs w:val="20"/>
                <w:lang w:eastAsia="en-GB"/>
              </w:rPr>
              <w:t>и обучения на звена и структури на МОСВ, подпомагащи работата със специфична експертиза по сектори, и на КН на ПОС 2021-2027 г. като партньори в мониторинга и изпълнението на програмата. Планира се подкрепа</w:t>
            </w:r>
            <w:r w:rsidR="005F1DA7">
              <w:rPr>
                <w:rFonts w:ascii="Times New Roman" w:eastAsia="Calibri" w:hAnsi="Times New Roman" w:cs="Times New Roman"/>
                <w:bCs/>
                <w:sz w:val="24"/>
                <w:szCs w:val="20"/>
                <w:lang w:eastAsia="en-GB"/>
              </w:rPr>
              <w:t xml:space="preserve"> по</w:t>
            </w:r>
            <w:r w:rsidRPr="00171DED">
              <w:rPr>
                <w:rFonts w:ascii="Times New Roman" w:eastAsia="Calibri" w:hAnsi="Times New Roman" w:cs="Times New Roman"/>
                <w:bCs/>
                <w:sz w:val="24"/>
                <w:szCs w:val="20"/>
                <w:lang w:eastAsia="en-GB"/>
              </w:rPr>
              <w:t xml:space="preserve"> теми, идентифицирани на база анализ на </w:t>
            </w:r>
            <w:r w:rsidRPr="00171DED">
              <w:rPr>
                <w:rFonts w:ascii="Times New Roman" w:eastAsia="Times New Roman" w:hAnsi="Times New Roman" w:cs="Times New Roman"/>
                <w:noProof/>
                <w:sz w:val="24"/>
                <w:szCs w:val="24"/>
              </w:rPr>
              <w:t xml:space="preserve">потребностите с подкрепа чрез Техническа помощ. По този начин се осигурява и надграждане на резултатите </w:t>
            </w:r>
            <w:r w:rsidR="00966363">
              <w:rPr>
                <w:rFonts w:ascii="Times New Roman" w:eastAsia="Times New Roman" w:hAnsi="Times New Roman" w:cs="Times New Roman"/>
                <w:noProof/>
                <w:sz w:val="24"/>
                <w:szCs w:val="24"/>
              </w:rPr>
              <w:t xml:space="preserve">от </w:t>
            </w:r>
            <w:r w:rsidRPr="00171DED">
              <w:rPr>
                <w:rFonts w:ascii="Times New Roman" w:eastAsia="Times New Roman" w:hAnsi="Times New Roman" w:cs="Times New Roman"/>
                <w:noProof/>
                <w:sz w:val="24"/>
                <w:szCs w:val="24"/>
              </w:rPr>
              <w:t xml:space="preserve">2014-2020 г. </w:t>
            </w:r>
            <w:r w:rsidR="000E3914">
              <w:rPr>
                <w:rFonts w:ascii="Times New Roman" w:eastAsia="Times New Roman" w:hAnsi="Times New Roman" w:cs="Times New Roman"/>
                <w:noProof/>
                <w:sz w:val="24"/>
                <w:szCs w:val="24"/>
              </w:rPr>
              <w:t>по проект „</w:t>
            </w:r>
            <w:r w:rsidRPr="00171DED">
              <w:rPr>
                <w:rFonts w:ascii="Times New Roman" w:eastAsia="Times New Roman" w:hAnsi="Times New Roman" w:cs="Times New Roman"/>
                <w:noProof/>
                <w:sz w:val="24"/>
                <w:szCs w:val="24"/>
              </w:rPr>
              <w:t>Анализ и мерки за подобряване капацитета на структури в рамките на МОСВ за изпълнение на проекти по ОПОС 2014-2020 г.</w:t>
            </w:r>
            <w:r w:rsidR="000E3914">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с нуждите на отделните типове (потенциални) бенефициенти за 2021-2027 г.</w:t>
            </w:r>
            <w:r w:rsidR="00794942" w:rsidRPr="00171DED">
              <w:rPr>
                <w:rFonts w:ascii="Times New Roman" w:eastAsia="Times New Roman" w:hAnsi="Times New Roman" w:cs="Times New Roman"/>
                <w:noProof/>
                <w:sz w:val="24"/>
                <w:szCs w:val="24"/>
              </w:rPr>
              <w:t xml:space="preserve"> </w:t>
            </w:r>
          </w:p>
          <w:p w14:paraId="5603A1C9" w14:textId="4F7E197C" w:rsidR="00722757" w:rsidRPr="00171DED" w:rsidRDefault="005D51BB" w:rsidP="00794942">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bCs/>
                <w:iCs/>
                <w:sz w:val="24"/>
                <w:szCs w:val="24"/>
                <w:lang w:eastAsia="zh-CN"/>
              </w:rPr>
              <w:t xml:space="preserve">Идентифицирани са нужди </w:t>
            </w:r>
            <w:r w:rsidR="00966363">
              <w:rPr>
                <w:rFonts w:ascii="Times New Roman" w:eastAsia="Times New Roman" w:hAnsi="Times New Roman" w:cs="Times New Roman"/>
                <w:bCs/>
                <w:iCs/>
                <w:sz w:val="24"/>
                <w:szCs w:val="24"/>
                <w:lang w:eastAsia="zh-CN"/>
              </w:rPr>
              <w:t xml:space="preserve">и </w:t>
            </w:r>
            <w:r w:rsidRPr="00171DED">
              <w:rPr>
                <w:rFonts w:ascii="Times New Roman" w:eastAsia="Times New Roman" w:hAnsi="Times New Roman" w:cs="Times New Roman"/>
                <w:bCs/>
                <w:iCs/>
                <w:sz w:val="24"/>
                <w:szCs w:val="24"/>
                <w:lang w:eastAsia="zh-CN"/>
              </w:rPr>
              <w:t xml:space="preserve">от </w:t>
            </w:r>
            <w:r w:rsidR="00667F35" w:rsidRPr="00171DED">
              <w:rPr>
                <w:rFonts w:ascii="Times New Roman" w:eastAsia="Times New Roman" w:hAnsi="Times New Roman" w:cs="Times New Roman"/>
                <w:bCs/>
                <w:iCs/>
                <w:sz w:val="24"/>
                <w:szCs w:val="24"/>
                <w:lang w:eastAsia="zh-CN"/>
              </w:rPr>
              <w:t xml:space="preserve">надграждане </w:t>
            </w:r>
            <w:r w:rsidRPr="00171DED">
              <w:rPr>
                <w:rFonts w:ascii="Times New Roman" w:eastAsia="Times New Roman" w:hAnsi="Times New Roman" w:cs="Times New Roman"/>
                <w:bCs/>
                <w:iCs/>
                <w:sz w:val="24"/>
                <w:szCs w:val="24"/>
                <w:lang w:eastAsia="zh-CN"/>
              </w:rPr>
              <w:t>на капацитет</w:t>
            </w:r>
            <w:r w:rsidR="000E3914">
              <w:rPr>
                <w:rFonts w:ascii="Times New Roman" w:eastAsia="Times New Roman" w:hAnsi="Times New Roman" w:cs="Times New Roman"/>
                <w:bCs/>
                <w:iCs/>
                <w:sz w:val="24"/>
                <w:szCs w:val="24"/>
                <w:lang w:eastAsia="zh-CN"/>
              </w:rPr>
              <w:t>а</w:t>
            </w:r>
            <w:r w:rsidRPr="00171DED">
              <w:rPr>
                <w:rFonts w:ascii="Times New Roman" w:eastAsia="Times New Roman" w:hAnsi="Times New Roman" w:cs="Times New Roman"/>
                <w:bCs/>
                <w:iCs/>
                <w:sz w:val="24"/>
                <w:szCs w:val="24"/>
                <w:lang w:eastAsia="zh-CN"/>
              </w:rPr>
              <w:t xml:space="preserve"> на </w:t>
            </w:r>
            <w:r w:rsidR="000E3914">
              <w:rPr>
                <w:rFonts w:ascii="Times New Roman" w:eastAsia="Times New Roman" w:hAnsi="Times New Roman" w:cs="Times New Roman"/>
                <w:bCs/>
                <w:iCs/>
                <w:sz w:val="24"/>
                <w:szCs w:val="24"/>
                <w:lang w:eastAsia="zh-CN"/>
              </w:rPr>
              <w:t>УО</w:t>
            </w:r>
            <w:r w:rsidRPr="00171DED">
              <w:rPr>
                <w:rFonts w:ascii="Times New Roman" w:eastAsia="Times New Roman" w:hAnsi="Times New Roman" w:cs="Times New Roman"/>
                <w:bCs/>
                <w:iCs/>
                <w:sz w:val="24"/>
                <w:szCs w:val="24"/>
                <w:lang w:eastAsia="zh-CN"/>
              </w:rPr>
              <w:t xml:space="preserve"> </w:t>
            </w:r>
            <w:r w:rsidR="00B77B86" w:rsidRPr="00171DED">
              <w:rPr>
                <w:rFonts w:ascii="Times New Roman" w:eastAsia="Times New Roman" w:hAnsi="Times New Roman" w:cs="Times New Roman"/>
                <w:bCs/>
                <w:iCs/>
                <w:sz w:val="24"/>
                <w:szCs w:val="24"/>
                <w:lang w:eastAsia="zh-CN"/>
              </w:rPr>
              <w:t>с фокус върху опростените разходи</w:t>
            </w:r>
            <w:r w:rsidR="000E3914">
              <w:rPr>
                <w:rFonts w:ascii="Times New Roman" w:eastAsia="Times New Roman" w:hAnsi="Times New Roman" w:cs="Times New Roman"/>
                <w:bCs/>
                <w:iCs/>
                <w:sz w:val="24"/>
                <w:szCs w:val="24"/>
                <w:lang w:eastAsia="zh-CN"/>
              </w:rPr>
              <w:t xml:space="preserve">, </w:t>
            </w:r>
            <w:r w:rsidRPr="00171DED">
              <w:rPr>
                <w:rFonts w:ascii="Times New Roman" w:eastAsia="Times New Roman" w:hAnsi="Times New Roman" w:cs="Times New Roman"/>
                <w:bCs/>
                <w:iCs/>
                <w:sz w:val="24"/>
                <w:szCs w:val="24"/>
                <w:lang w:eastAsia="zh-CN"/>
              </w:rPr>
              <w:t>финансови</w:t>
            </w:r>
            <w:r w:rsidR="000E3914">
              <w:rPr>
                <w:rFonts w:ascii="Times New Roman" w:eastAsia="Times New Roman" w:hAnsi="Times New Roman" w:cs="Times New Roman"/>
                <w:bCs/>
                <w:iCs/>
                <w:sz w:val="24"/>
                <w:szCs w:val="24"/>
                <w:lang w:eastAsia="zh-CN"/>
              </w:rPr>
              <w:t>те</w:t>
            </w:r>
            <w:r w:rsidRPr="00171DED">
              <w:rPr>
                <w:rFonts w:ascii="Times New Roman" w:eastAsia="Times New Roman" w:hAnsi="Times New Roman" w:cs="Times New Roman"/>
                <w:bCs/>
                <w:iCs/>
                <w:sz w:val="24"/>
                <w:szCs w:val="24"/>
                <w:lang w:eastAsia="zh-CN"/>
              </w:rPr>
              <w:t xml:space="preserve"> инструменти</w:t>
            </w:r>
            <w:r w:rsidR="00B77B86" w:rsidRPr="00171DED">
              <w:rPr>
                <w:rFonts w:ascii="Times New Roman" w:eastAsia="Times New Roman" w:hAnsi="Times New Roman" w:cs="Times New Roman"/>
                <w:bCs/>
                <w:iCs/>
                <w:sz w:val="24"/>
                <w:szCs w:val="24"/>
                <w:lang w:eastAsia="zh-CN"/>
              </w:rPr>
              <w:t xml:space="preserve"> и</w:t>
            </w:r>
            <w:r w:rsidRPr="00171DED">
              <w:rPr>
                <w:rFonts w:ascii="Times New Roman" w:eastAsia="Times New Roman" w:hAnsi="Times New Roman" w:cs="Times New Roman"/>
                <w:bCs/>
                <w:iCs/>
                <w:sz w:val="24"/>
                <w:szCs w:val="24"/>
                <w:lang w:eastAsia="zh-CN"/>
              </w:rPr>
              <w:t xml:space="preserve"> държавни</w:t>
            </w:r>
            <w:r w:rsidR="000E3914">
              <w:rPr>
                <w:rFonts w:ascii="Times New Roman" w:eastAsia="Times New Roman" w:hAnsi="Times New Roman" w:cs="Times New Roman"/>
                <w:bCs/>
                <w:iCs/>
                <w:sz w:val="24"/>
                <w:szCs w:val="24"/>
                <w:lang w:eastAsia="zh-CN"/>
              </w:rPr>
              <w:t>те</w:t>
            </w:r>
            <w:r w:rsidRPr="00171DED">
              <w:rPr>
                <w:rFonts w:ascii="Times New Roman" w:eastAsia="Times New Roman" w:hAnsi="Times New Roman" w:cs="Times New Roman"/>
                <w:bCs/>
                <w:iCs/>
                <w:sz w:val="24"/>
                <w:szCs w:val="24"/>
                <w:lang w:eastAsia="zh-CN"/>
              </w:rPr>
              <w:t xml:space="preserve"> помощи. Предизвикателство </w:t>
            </w:r>
            <w:r w:rsidR="005D560E" w:rsidRPr="00171DED">
              <w:rPr>
                <w:rFonts w:ascii="Times New Roman" w:eastAsia="Times New Roman" w:hAnsi="Times New Roman" w:cs="Times New Roman"/>
                <w:bCs/>
                <w:iCs/>
                <w:sz w:val="24"/>
                <w:szCs w:val="24"/>
                <w:lang w:eastAsia="zh-CN"/>
              </w:rPr>
              <w:t xml:space="preserve">остава </w:t>
            </w:r>
            <w:r w:rsidRPr="00171DED">
              <w:rPr>
                <w:rFonts w:ascii="Times New Roman" w:eastAsia="Times New Roman" w:hAnsi="Times New Roman" w:cs="Times New Roman"/>
                <w:bCs/>
                <w:iCs/>
                <w:sz w:val="24"/>
                <w:szCs w:val="24"/>
                <w:lang w:eastAsia="zh-CN"/>
              </w:rPr>
              <w:t xml:space="preserve">задържането на квалифицирани и ефективни служители, предвид осезаемия недостиг на работна ръка и ръста на възнагражденията в частния сектор. </w:t>
            </w:r>
            <w:r w:rsidR="00794942" w:rsidRPr="00171DED">
              <w:rPr>
                <w:rFonts w:ascii="Times New Roman" w:eastAsia="Times New Roman" w:hAnsi="Times New Roman" w:cs="Times New Roman"/>
                <w:bCs/>
                <w:iCs/>
                <w:sz w:val="24"/>
                <w:szCs w:val="24"/>
                <w:lang w:eastAsia="zh-CN"/>
              </w:rPr>
              <w:t xml:space="preserve"> </w:t>
            </w:r>
            <w:r w:rsidR="00794942" w:rsidRPr="0020608F">
              <w:rPr>
                <w:rFonts w:ascii="Times New Roman" w:eastAsia="Times New Roman" w:hAnsi="Times New Roman" w:cs="Times New Roman"/>
                <w:bCs/>
                <w:iCs/>
                <w:sz w:val="24"/>
                <w:szCs w:val="24"/>
                <w:lang w:eastAsia="zh-CN"/>
              </w:rPr>
              <w:t xml:space="preserve">В допълнение, в изпълнение на чл. 68 (1) в) от РОР приоритет е укрепването на капацитета за откриване, докладване и проследяване на нередности и измами, включително чрез: - докладване в Системата за управление на нередности, включително </w:t>
            </w:r>
            <w:r w:rsidR="005F1DA7">
              <w:rPr>
                <w:rFonts w:ascii="Times New Roman" w:eastAsia="Times New Roman" w:hAnsi="Times New Roman" w:cs="Times New Roman"/>
                <w:bCs/>
                <w:iCs/>
                <w:sz w:val="24"/>
                <w:szCs w:val="24"/>
                <w:lang w:eastAsia="zh-CN"/>
              </w:rPr>
              <w:t>на нередности/измами</w:t>
            </w:r>
            <w:r w:rsidR="00794942" w:rsidRPr="0020608F">
              <w:rPr>
                <w:rFonts w:ascii="Times New Roman" w:eastAsia="Times New Roman" w:hAnsi="Times New Roman" w:cs="Times New Roman"/>
                <w:bCs/>
                <w:iCs/>
                <w:sz w:val="24"/>
                <w:szCs w:val="24"/>
                <w:lang w:eastAsia="zh-CN"/>
              </w:rPr>
              <w:t>, произтичащи от случаи/препоръки на OLAF, и редовно актуализиране на всички уведомления; - разработване на политика</w:t>
            </w:r>
            <w:r w:rsidR="005F1DA7">
              <w:rPr>
                <w:rFonts w:ascii="Times New Roman" w:eastAsia="Times New Roman" w:hAnsi="Times New Roman" w:cs="Times New Roman"/>
                <w:bCs/>
                <w:iCs/>
                <w:sz w:val="24"/>
                <w:szCs w:val="24"/>
                <w:lang w:eastAsia="zh-CN"/>
              </w:rPr>
              <w:t>/</w:t>
            </w:r>
            <w:r w:rsidR="00794942" w:rsidRPr="0020608F">
              <w:rPr>
                <w:rFonts w:ascii="Times New Roman" w:eastAsia="Times New Roman" w:hAnsi="Times New Roman" w:cs="Times New Roman"/>
                <w:bCs/>
                <w:iCs/>
                <w:sz w:val="24"/>
                <w:szCs w:val="24"/>
                <w:lang w:eastAsia="zh-CN"/>
              </w:rPr>
              <w:t>позиция за борба с измамите на програмно ниво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p>
        </w:tc>
      </w:tr>
    </w:tbl>
    <w:p w14:paraId="2FD1D049" w14:textId="02EDD789" w:rsidR="00722757" w:rsidRPr="00171DED"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79724B15" w14:textId="30B74AD4"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2BE7013" w14:textId="5EDE4033"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F51C052" w14:textId="77777777"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1F304F6C" w14:textId="77777777" w:rsidR="00722757" w:rsidRPr="00171DED"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За целта, свързана с растежа и заетостта</w:t>
      </w:r>
    </w:p>
    <w:tbl>
      <w:tblPr>
        <w:tblStyle w:val="TableGrid"/>
        <w:tblW w:w="5000" w:type="pct"/>
        <w:tblLook w:val="04A0" w:firstRow="1" w:lastRow="0" w:firstColumn="1" w:lastColumn="0" w:noHBand="0" w:noVBand="1"/>
      </w:tblPr>
      <w:tblGrid>
        <w:gridCol w:w="1287"/>
        <w:gridCol w:w="1734"/>
        <w:gridCol w:w="6041"/>
      </w:tblGrid>
      <w:tr w:rsidR="00722757" w:rsidRPr="00171DED" w14:paraId="57FD0712" w14:textId="77777777" w:rsidTr="00921261">
        <w:tc>
          <w:tcPr>
            <w:tcW w:w="5000" w:type="pct"/>
            <w:gridSpan w:val="3"/>
          </w:tcPr>
          <w:p w14:paraId="1B639FFA"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1</w:t>
            </w:r>
          </w:p>
        </w:tc>
      </w:tr>
      <w:tr w:rsidR="00722757" w:rsidRPr="00171DED" w14:paraId="10ED04AF" w14:textId="77777777" w:rsidTr="0008367C">
        <w:tc>
          <w:tcPr>
            <w:tcW w:w="710" w:type="pct"/>
          </w:tcPr>
          <w:p w14:paraId="210521CC"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Цел на политиката </w:t>
            </w:r>
          </w:p>
        </w:tc>
        <w:tc>
          <w:tcPr>
            <w:tcW w:w="957" w:type="pct"/>
          </w:tcPr>
          <w:p w14:paraId="5CEE43EF"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Специфична цел или специален приоритет * </w:t>
            </w:r>
          </w:p>
        </w:tc>
        <w:tc>
          <w:tcPr>
            <w:tcW w:w="3333" w:type="pct"/>
          </w:tcPr>
          <w:p w14:paraId="3BB103D6"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Обосновка (резюме)</w:t>
            </w:r>
          </w:p>
        </w:tc>
      </w:tr>
      <w:tr w:rsidR="00722757" w:rsidRPr="0010575B" w14:paraId="06688BAF" w14:textId="77777777" w:rsidTr="0008367C">
        <w:tc>
          <w:tcPr>
            <w:tcW w:w="710" w:type="pct"/>
            <w:vAlign w:val="center"/>
          </w:tcPr>
          <w:p w14:paraId="6FD95C2D" w14:textId="77777777" w:rsidR="00722757" w:rsidRPr="00171DED" w:rsidRDefault="00722757" w:rsidP="007B564B">
            <w:pPr>
              <w:spacing w:before="120" w:after="120"/>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00B229CE" w14:textId="77777777" w:rsidR="00722757" w:rsidRPr="00171DED" w:rsidRDefault="00722757" w:rsidP="007B564B">
            <w:pPr>
              <w:spacing w:before="120" w:after="120"/>
              <w:rPr>
                <w:rFonts w:ascii="Times New Roman" w:eastAsia="Times New Roman" w:hAnsi="Times New Roman" w:cs="Times New Roman"/>
                <w:i/>
                <w:iCs/>
                <w:noProof/>
                <w:sz w:val="20"/>
                <w:szCs w:val="20"/>
              </w:rPr>
            </w:pPr>
            <w:r w:rsidRPr="00171DED">
              <w:rPr>
                <w:rFonts w:ascii="Times New Roman" w:hAnsi="Times New Roman"/>
                <w:sz w:val="18"/>
                <w:szCs w:val="10"/>
              </w:rPr>
              <w:t>Насърчаване на устойчивото управление на водите</w:t>
            </w:r>
          </w:p>
        </w:tc>
        <w:tc>
          <w:tcPr>
            <w:tcW w:w="3333" w:type="pct"/>
          </w:tcPr>
          <w:p w14:paraId="4DFA7643" w14:textId="77777777" w:rsidR="00722757" w:rsidRPr="00171DED" w:rsidRDefault="00722757"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 [2 000 за всяка специфична цел или специален приоритет]</w:t>
            </w:r>
          </w:p>
          <w:p w14:paraId="1EEAC90C" w14:textId="54DF6562" w:rsidR="00722757" w:rsidRPr="00171DED" w:rsidRDefault="00A32E52"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w:t>
            </w:r>
            <w:r w:rsidR="00722757" w:rsidRPr="00171DED">
              <w:rPr>
                <w:rFonts w:ascii="Times New Roman" w:hAnsi="Times New Roman"/>
                <w:sz w:val="18"/>
                <w:szCs w:val="10"/>
              </w:rPr>
              <w:t xml:space="preserve">3 на Съвета от 05.06.19 г. относно Националната програма за реформи на България за 2019 г. и съдържаща становище относно </w:t>
            </w:r>
            <w:proofErr w:type="spellStart"/>
            <w:r w:rsidR="00722757" w:rsidRPr="00171DED">
              <w:rPr>
                <w:rFonts w:ascii="Times New Roman" w:hAnsi="Times New Roman"/>
                <w:sz w:val="18"/>
                <w:szCs w:val="10"/>
              </w:rPr>
              <w:t>Конвергентната</w:t>
            </w:r>
            <w:proofErr w:type="spellEnd"/>
            <w:r w:rsidR="00722757" w:rsidRPr="00171DED">
              <w:rPr>
                <w:rFonts w:ascii="Times New Roman" w:hAnsi="Times New Roman"/>
                <w:sz w:val="18"/>
                <w:szCs w:val="10"/>
              </w:rPr>
              <w:t xml:space="preserve"> програма на България за 2019 г. и продължаване на усилията за постигане на съответствие с изискванията на </w:t>
            </w:r>
            <w:r w:rsidR="00290B5A">
              <w:rPr>
                <w:rFonts w:ascii="Times New Roman" w:hAnsi="Times New Roman"/>
                <w:sz w:val="18"/>
                <w:szCs w:val="10"/>
              </w:rPr>
              <w:t>РДВ</w:t>
            </w:r>
            <w:r w:rsidR="00722757" w:rsidRPr="00171DED">
              <w:rPr>
                <w:rFonts w:ascii="Times New Roman" w:hAnsi="Times New Roman"/>
                <w:sz w:val="18"/>
                <w:szCs w:val="10"/>
              </w:rPr>
              <w:t xml:space="preserve"> и Директивата за пречистване на градските отпадъчни води.</w:t>
            </w:r>
            <w:r w:rsidR="0020470D" w:rsidRPr="00171DED">
              <w:rPr>
                <w:rFonts w:ascii="Times New Roman" w:hAnsi="Times New Roman"/>
                <w:sz w:val="18"/>
                <w:szCs w:val="10"/>
              </w:rPr>
              <w:t xml:space="preserve"> Изпълнение на препоръките в Националния доклад за България за 2019 г</w:t>
            </w:r>
            <w:r w:rsidR="00722757" w:rsidRPr="00171DED">
              <w:rPr>
                <w:rFonts w:ascii="Times New Roman" w:hAnsi="Times New Roman"/>
                <w:sz w:val="18"/>
                <w:szCs w:val="10"/>
              </w:rPr>
              <w:t>.</w:t>
            </w:r>
            <w:r w:rsidR="0020470D" w:rsidRPr="00171DED">
              <w:rPr>
                <w:rFonts w:ascii="Times New Roman" w:hAnsi="Times New Roman"/>
                <w:sz w:val="18"/>
                <w:szCs w:val="10"/>
              </w:rPr>
              <w:t>, съгласно</w:t>
            </w:r>
            <w:r w:rsidR="00722757" w:rsidRPr="00171DED">
              <w:rPr>
                <w:rFonts w:ascii="Times New Roman" w:hAnsi="Times New Roman"/>
                <w:sz w:val="18"/>
                <w:szCs w:val="10"/>
              </w:rPr>
              <w:t xml:space="preserve"> който нивата на свързаност и пречистване на градските отпадъчни води са</w:t>
            </w:r>
            <w:r w:rsidR="006E309D" w:rsidRPr="00171DED">
              <w:rPr>
                <w:rFonts w:ascii="Times New Roman" w:hAnsi="Times New Roman"/>
                <w:sz w:val="18"/>
                <w:szCs w:val="10"/>
              </w:rPr>
              <w:t xml:space="preserve"> </w:t>
            </w:r>
            <w:r w:rsidR="002C114D" w:rsidRPr="00097982">
              <w:rPr>
                <w:rFonts w:ascii="Times New Roman" w:hAnsi="Times New Roman"/>
                <w:sz w:val="18"/>
                <w:szCs w:val="10"/>
              </w:rPr>
              <w:t>сравнително</w:t>
            </w:r>
            <w:r w:rsidR="002C114D" w:rsidRPr="00171DED">
              <w:rPr>
                <w:rFonts w:ascii="Times New Roman" w:hAnsi="Times New Roman"/>
                <w:sz w:val="18"/>
                <w:szCs w:val="10"/>
              </w:rPr>
              <w:t xml:space="preserve"> </w:t>
            </w:r>
            <w:r w:rsidR="00722757" w:rsidRPr="00171DED">
              <w:rPr>
                <w:rFonts w:ascii="Times New Roman" w:hAnsi="Times New Roman"/>
                <w:sz w:val="18"/>
                <w:szCs w:val="10"/>
              </w:rPr>
              <w:t xml:space="preserve">ниски. </w:t>
            </w:r>
            <w:r w:rsidR="0020470D" w:rsidRPr="00171DED">
              <w:rPr>
                <w:rFonts w:ascii="Times New Roman" w:hAnsi="Times New Roman"/>
                <w:sz w:val="18"/>
                <w:szCs w:val="10"/>
              </w:rPr>
              <w:t xml:space="preserve">Направените анализи показват, че инвестициите </w:t>
            </w:r>
            <w:r w:rsidR="00722757" w:rsidRPr="00171DED">
              <w:rPr>
                <w:rFonts w:ascii="Times New Roman" w:hAnsi="Times New Roman"/>
                <w:sz w:val="18"/>
                <w:szCs w:val="10"/>
              </w:rPr>
              <w:t xml:space="preserve">за водоснабдяване и канализация са се увеличили значително през последното десетилетие, финансирани главно от фондове на ЕС. </w:t>
            </w:r>
            <w:r w:rsidR="00684AC5" w:rsidRPr="00171DED">
              <w:rPr>
                <w:rFonts w:ascii="Times New Roman" w:hAnsi="Times New Roman"/>
                <w:sz w:val="18"/>
                <w:szCs w:val="10"/>
              </w:rPr>
              <w:t>Идентифицирани са обаче някои</w:t>
            </w:r>
            <w:r w:rsidR="00722757" w:rsidRPr="00171DED">
              <w:rPr>
                <w:rFonts w:ascii="Times New Roman" w:hAnsi="Times New Roman"/>
                <w:sz w:val="18"/>
                <w:szCs w:val="10"/>
              </w:rPr>
              <w:t xml:space="preserve"> слабости в планирането и управлението на тези проекти.</w:t>
            </w:r>
            <w:r w:rsidR="00852434" w:rsidRPr="00171DED">
              <w:rPr>
                <w:rFonts w:ascii="Times New Roman" w:hAnsi="Times New Roman"/>
                <w:sz w:val="18"/>
                <w:szCs w:val="10"/>
              </w:rPr>
              <w:t xml:space="preserve"> </w:t>
            </w:r>
            <w:r w:rsidR="0020470D" w:rsidRPr="00171DED">
              <w:rPr>
                <w:rFonts w:ascii="Times New Roman" w:hAnsi="Times New Roman"/>
                <w:sz w:val="18"/>
                <w:szCs w:val="10"/>
              </w:rPr>
              <w:t>Специфичната цел адресира</w:t>
            </w:r>
            <w:r w:rsidRPr="00171DED">
              <w:rPr>
                <w:rFonts w:ascii="Times New Roman" w:hAnsi="Times New Roman"/>
                <w:sz w:val="18"/>
                <w:szCs w:val="10"/>
              </w:rPr>
              <w:t xml:space="preserve"> </w:t>
            </w:r>
            <w:r w:rsidR="00852434" w:rsidRPr="00171DED">
              <w:rPr>
                <w:rFonts w:ascii="Times New Roman" w:hAnsi="Times New Roman"/>
                <w:sz w:val="18"/>
                <w:szCs w:val="10"/>
              </w:rPr>
              <w:t>нужди</w:t>
            </w:r>
            <w:r w:rsidR="00303E24" w:rsidRPr="00171DED">
              <w:rPr>
                <w:rFonts w:ascii="Times New Roman" w:hAnsi="Times New Roman"/>
                <w:sz w:val="18"/>
                <w:szCs w:val="10"/>
              </w:rPr>
              <w:t>те</w:t>
            </w:r>
            <w:r w:rsidR="00852434" w:rsidRPr="00171DED">
              <w:rPr>
                <w:rFonts w:ascii="Times New Roman" w:hAnsi="Times New Roman"/>
                <w:sz w:val="18"/>
                <w:szCs w:val="10"/>
              </w:rPr>
              <w:t xml:space="preserve"> от инвестиции с висок приоритет</w:t>
            </w:r>
            <w:r w:rsidR="00303E24" w:rsidRPr="00171DED">
              <w:rPr>
                <w:rFonts w:ascii="Times New Roman" w:hAnsi="Times New Roman"/>
                <w:sz w:val="18"/>
                <w:szCs w:val="10"/>
              </w:rPr>
              <w:t>, определени</w:t>
            </w:r>
            <w:r w:rsidR="00852434" w:rsidRPr="00171DED">
              <w:rPr>
                <w:rFonts w:ascii="Times New Roman" w:hAnsi="Times New Roman"/>
                <w:sz w:val="18"/>
                <w:szCs w:val="10"/>
              </w:rPr>
              <w:t xml:space="preserve"> в Националн</w:t>
            </w:r>
            <w:r w:rsidR="00684AC5" w:rsidRPr="00171DED">
              <w:rPr>
                <w:rFonts w:ascii="Times New Roman" w:hAnsi="Times New Roman"/>
                <w:sz w:val="18"/>
                <w:szCs w:val="10"/>
              </w:rPr>
              <w:t>ия</w:t>
            </w:r>
            <w:r w:rsidR="00852434" w:rsidRPr="00171DED">
              <w:rPr>
                <w:rFonts w:ascii="Times New Roman" w:hAnsi="Times New Roman"/>
                <w:sz w:val="18"/>
                <w:szCs w:val="10"/>
              </w:rPr>
              <w:t xml:space="preserve"> доклад </w:t>
            </w:r>
            <w:r w:rsidR="0020470D" w:rsidRPr="00171DED">
              <w:rPr>
                <w:rFonts w:ascii="Times New Roman" w:hAnsi="Times New Roman"/>
                <w:sz w:val="18"/>
                <w:szCs w:val="10"/>
              </w:rPr>
              <w:t xml:space="preserve">за България 2019 г. </w:t>
            </w:r>
            <w:r w:rsidRPr="00171DED">
              <w:rPr>
                <w:rFonts w:ascii="Times New Roman" w:hAnsi="Times New Roman"/>
                <w:sz w:val="18"/>
                <w:szCs w:val="10"/>
              </w:rPr>
              <w:t>за</w:t>
            </w:r>
            <w:r w:rsidR="00852434" w:rsidRPr="00171DED">
              <w:rPr>
                <w:rFonts w:ascii="Times New Roman" w:hAnsi="Times New Roman"/>
                <w:sz w:val="18"/>
                <w:szCs w:val="10"/>
              </w:rPr>
              <w:t xml:space="preserve"> повишаване равнището на свързаност и пречистване на градските отпадъчни води </w:t>
            </w:r>
            <w:r w:rsidRPr="00171DED">
              <w:rPr>
                <w:rFonts w:ascii="Times New Roman" w:hAnsi="Times New Roman"/>
                <w:sz w:val="18"/>
                <w:szCs w:val="10"/>
              </w:rPr>
              <w:t>с цел</w:t>
            </w:r>
            <w:r w:rsidR="00852434" w:rsidRPr="00171DED">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171DED">
              <w:rPr>
                <w:rFonts w:ascii="Times New Roman" w:hAnsi="Times New Roman"/>
                <w:sz w:val="18"/>
                <w:szCs w:val="10"/>
              </w:rPr>
              <w:t xml:space="preserve"> приоритет в</w:t>
            </w:r>
            <w:r w:rsidR="00852434" w:rsidRPr="00171DED">
              <w:rPr>
                <w:rFonts w:ascii="Times New Roman" w:hAnsi="Times New Roman"/>
                <w:sz w:val="18"/>
                <w:szCs w:val="10"/>
              </w:rPr>
              <w:t xml:space="preserve"> агломерациите с ЕЖ над 10</w:t>
            </w:r>
            <w:r w:rsidR="00A31091" w:rsidRPr="00171DED">
              <w:rPr>
                <w:rFonts w:ascii="Times New Roman" w:hAnsi="Times New Roman"/>
                <w:sz w:val="18"/>
                <w:szCs w:val="10"/>
              </w:rPr>
              <w:t> </w:t>
            </w:r>
            <w:r w:rsidR="00852434" w:rsidRPr="00171DED">
              <w:rPr>
                <w:rFonts w:ascii="Times New Roman" w:hAnsi="Times New Roman"/>
                <w:sz w:val="18"/>
                <w:szCs w:val="10"/>
              </w:rPr>
              <w:t>000</w:t>
            </w:r>
            <w:r w:rsidR="00A31091" w:rsidRPr="00171DED">
              <w:rPr>
                <w:rFonts w:ascii="Times New Roman" w:hAnsi="Times New Roman"/>
                <w:sz w:val="18"/>
                <w:szCs w:val="10"/>
              </w:rPr>
              <w:t xml:space="preserve"> </w:t>
            </w:r>
            <w:proofErr w:type="spellStart"/>
            <w:r w:rsidR="00A31091" w:rsidRPr="00171DED">
              <w:rPr>
                <w:rFonts w:ascii="Times New Roman" w:hAnsi="Times New Roman"/>
                <w:sz w:val="18"/>
                <w:szCs w:val="10"/>
              </w:rPr>
              <w:t>е</w:t>
            </w:r>
            <w:r w:rsidR="00F03B2B">
              <w:rPr>
                <w:rFonts w:ascii="Times New Roman" w:hAnsi="Times New Roman"/>
                <w:sz w:val="18"/>
                <w:szCs w:val="10"/>
              </w:rPr>
              <w:t>кв</w:t>
            </w:r>
            <w:r w:rsidR="00A31091" w:rsidRPr="00171DED">
              <w:rPr>
                <w:rFonts w:ascii="Times New Roman" w:hAnsi="Times New Roman"/>
                <w:sz w:val="18"/>
                <w:szCs w:val="10"/>
              </w:rPr>
              <w:t>.ж</w:t>
            </w:r>
            <w:proofErr w:type="spellEnd"/>
            <w:r w:rsidR="00A31091" w:rsidRPr="00171DED">
              <w:rPr>
                <w:rFonts w:ascii="Times New Roman" w:hAnsi="Times New Roman"/>
                <w:sz w:val="18"/>
                <w:szCs w:val="10"/>
              </w:rPr>
              <w:t>.</w:t>
            </w:r>
            <w:r w:rsidR="00684AC5" w:rsidRPr="00171DED">
              <w:rPr>
                <w:rFonts w:ascii="Times New Roman" w:hAnsi="Times New Roman"/>
                <w:sz w:val="18"/>
                <w:szCs w:val="10"/>
              </w:rPr>
              <w:t>, и намаляване на загубите на вода</w:t>
            </w:r>
            <w:r w:rsidR="00852434" w:rsidRPr="00171DED">
              <w:rPr>
                <w:rFonts w:ascii="Times New Roman" w:hAnsi="Times New Roman"/>
                <w:sz w:val="18"/>
                <w:szCs w:val="10"/>
              </w:rPr>
              <w:t xml:space="preserve">. При </w:t>
            </w:r>
            <w:r w:rsidR="00D30235" w:rsidRPr="00171DED">
              <w:rPr>
                <w:rFonts w:ascii="Times New Roman" w:hAnsi="Times New Roman"/>
                <w:sz w:val="18"/>
                <w:szCs w:val="10"/>
              </w:rPr>
              <w:t xml:space="preserve">наличие на остатъчен финансов ресурс </w:t>
            </w:r>
            <w:r w:rsidR="00684AC5" w:rsidRPr="00171DED">
              <w:rPr>
                <w:rFonts w:ascii="Times New Roman" w:hAnsi="Times New Roman"/>
                <w:sz w:val="18"/>
                <w:szCs w:val="10"/>
              </w:rPr>
              <w:t xml:space="preserve">се планират </w:t>
            </w:r>
            <w:r w:rsidR="00852434" w:rsidRPr="00171DED">
              <w:rPr>
                <w:rFonts w:ascii="Times New Roman" w:hAnsi="Times New Roman"/>
                <w:sz w:val="18"/>
                <w:szCs w:val="10"/>
              </w:rPr>
              <w:t xml:space="preserve">инвестиции </w:t>
            </w:r>
            <w:r w:rsidR="00684AC5" w:rsidRPr="00171DED">
              <w:rPr>
                <w:rFonts w:ascii="Times New Roman" w:hAnsi="Times New Roman"/>
                <w:sz w:val="18"/>
                <w:szCs w:val="10"/>
              </w:rPr>
              <w:t xml:space="preserve">и </w:t>
            </w:r>
            <w:r w:rsidR="00290B5A">
              <w:rPr>
                <w:rFonts w:ascii="Times New Roman" w:hAnsi="Times New Roman"/>
                <w:sz w:val="18"/>
                <w:szCs w:val="10"/>
              </w:rPr>
              <w:t>з</w:t>
            </w:r>
            <w:r w:rsidR="00303E24" w:rsidRPr="00171DED">
              <w:rPr>
                <w:rFonts w:ascii="Times New Roman" w:hAnsi="Times New Roman"/>
                <w:sz w:val="18"/>
                <w:szCs w:val="10"/>
              </w:rPr>
              <w:t xml:space="preserve">а </w:t>
            </w:r>
            <w:r w:rsidR="00D30235" w:rsidRPr="00171DED">
              <w:rPr>
                <w:rFonts w:ascii="Times New Roman" w:hAnsi="Times New Roman"/>
                <w:sz w:val="18"/>
                <w:szCs w:val="10"/>
              </w:rPr>
              <w:t xml:space="preserve">агломерации между 2 000 и 10 000 </w:t>
            </w:r>
            <w:proofErr w:type="spellStart"/>
            <w:r w:rsidR="00D30235" w:rsidRPr="00171DED">
              <w:rPr>
                <w:rFonts w:ascii="Times New Roman" w:hAnsi="Times New Roman"/>
                <w:sz w:val="18"/>
                <w:szCs w:val="10"/>
              </w:rPr>
              <w:t>е</w:t>
            </w:r>
            <w:r w:rsidR="00F03B2B">
              <w:rPr>
                <w:rFonts w:ascii="Times New Roman" w:hAnsi="Times New Roman"/>
                <w:sz w:val="18"/>
                <w:szCs w:val="10"/>
              </w:rPr>
              <w:t>кв</w:t>
            </w:r>
            <w:r w:rsidR="00D30235" w:rsidRPr="00171DED">
              <w:rPr>
                <w:rFonts w:ascii="Times New Roman" w:hAnsi="Times New Roman"/>
                <w:sz w:val="18"/>
                <w:szCs w:val="10"/>
              </w:rPr>
              <w:t>.ж</w:t>
            </w:r>
            <w:proofErr w:type="spellEnd"/>
            <w:r w:rsidR="00722757" w:rsidRPr="00171DED">
              <w:rPr>
                <w:rFonts w:ascii="Times New Roman" w:hAnsi="Times New Roman"/>
                <w:sz w:val="18"/>
                <w:szCs w:val="10"/>
              </w:rPr>
              <w:t>.</w:t>
            </w:r>
            <w:r w:rsidRPr="00171DED">
              <w:rPr>
                <w:rFonts w:ascii="Times New Roman" w:hAnsi="Times New Roman"/>
                <w:sz w:val="18"/>
                <w:szCs w:val="10"/>
              </w:rPr>
              <w:t xml:space="preserve"> </w:t>
            </w:r>
            <w:r w:rsidR="00684AC5" w:rsidRPr="00171DED">
              <w:rPr>
                <w:rFonts w:ascii="Times New Roman" w:hAnsi="Times New Roman"/>
                <w:sz w:val="18"/>
                <w:szCs w:val="10"/>
              </w:rPr>
              <w:t xml:space="preserve">Предвижда се подкрепа за разработване </w:t>
            </w:r>
            <w:r w:rsidR="00722757" w:rsidRPr="00171DED">
              <w:rPr>
                <w:rFonts w:ascii="Times New Roman" w:hAnsi="Times New Roman"/>
                <w:sz w:val="18"/>
                <w:szCs w:val="10"/>
              </w:rPr>
              <w:t xml:space="preserve">на </w:t>
            </w:r>
            <w:r w:rsidR="00A31091" w:rsidRPr="00171DED">
              <w:rPr>
                <w:rFonts w:ascii="Times New Roman" w:hAnsi="Times New Roman"/>
                <w:sz w:val="18"/>
                <w:szCs w:val="10"/>
              </w:rPr>
              <w:t>ПУРБ</w:t>
            </w:r>
            <w:r w:rsidR="00722757" w:rsidRPr="00171DED">
              <w:rPr>
                <w:rFonts w:ascii="Times New Roman" w:hAnsi="Times New Roman"/>
                <w:sz w:val="18"/>
                <w:szCs w:val="10"/>
              </w:rPr>
              <w:t xml:space="preserve"> за периода 2028-2033 г.</w:t>
            </w:r>
            <w:r w:rsidR="00303E24" w:rsidRPr="00171DED">
              <w:rPr>
                <w:rFonts w:ascii="Times New Roman" w:hAnsi="Times New Roman"/>
                <w:sz w:val="18"/>
                <w:szCs w:val="10"/>
              </w:rPr>
              <w:t xml:space="preserve"> с цел изпълнение на ангажиментите по чл. 13 от Рамковата директива за водите 2000/60/ЕС, чрез</w:t>
            </w:r>
            <w:r w:rsidR="00722757" w:rsidRPr="00171DED">
              <w:rPr>
                <w:rFonts w:ascii="Times New Roman" w:hAnsi="Times New Roman"/>
                <w:sz w:val="18"/>
                <w:szCs w:val="10"/>
              </w:rPr>
              <w:t xml:space="preserve"> адресиране</w:t>
            </w:r>
            <w:r w:rsidR="00693FF4" w:rsidRPr="00171DED">
              <w:rPr>
                <w:rFonts w:ascii="Times New Roman" w:hAnsi="Times New Roman"/>
                <w:sz w:val="18"/>
                <w:szCs w:val="10"/>
              </w:rPr>
              <w:t xml:space="preserve"> на мерки</w:t>
            </w:r>
            <w:r w:rsidR="004E13AE" w:rsidRPr="00171DED">
              <w:rPr>
                <w:rFonts w:ascii="Times New Roman" w:hAnsi="Times New Roman"/>
                <w:sz w:val="18"/>
                <w:szCs w:val="10"/>
              </w:rPr>
              <w:t xml:space="preserve"> от</w:t>
            </w:r>
            <w:r w:rsidR="00693FF4" w:rsidRPr="00171DED">
              <w:rPr>
                <w:rFonts w:ascii="Times New Roman" w:hAnsi="Times New Roman"/>
                <w:sz w:val="18"/>
                <w:szCs w:val="10"/>
              </w:rPr>
              <w:t xml:space="preserve"> Плановете </w:t>
            </w:r>
            <w:r w:rsidRPr="00171DED">
              <w:rPr>
                <w:rFonts w:ascii="Times New Roman" w:hAnsi="Times New Roman"/>
                <w:sz w:val="18"/>
                <w:szCs w:val="10"/>
              </w:rPr>
              <w:t>за изпълнение</w:t>
            </w:r>
            <w:r w:rsidR="004E13AE" w:rsidRPr="00171DED">
              <w:rPr>
                <w:rFonts w:ascii="Times New Roman" w:hAnsi="Times New Roman"/>
                <w:sz w:val="18"/>
                <w:szCs w:val="10"/>
              </w:rPr>
              <w:t>. Инвестициите допринасят за изпълнението на реформата във водния сектор на Стратегията за развитие и управление на сектора за водоснабдяването и канализацията в Република България 2014-2023 г. и на Националната програма за развитие България 2030, отразяваща потребностите, идентифицирани в Националния инвестиционен план в секторите води и отпадъчни води.</w:t>
            </w:r>
          </w:p>
          <w:p w14:paraId="1C97CB8C" w14:textId="7848FD40" w:rsidR="00792ADE" w:rsidRPr="00171DED" w:rsidRDefault="00792ADE" w:rsidP="00584F2A">
            <w:pPr>
              <w:spacing w:before="120" w:after="120"/>
              <w:jc w:val="both"/>
              <w:rPr>
                <w:rFonts w:ascii="Times New Roman" w:hAnsi="Times New Roman"/>
                <w:sz w:val="18"/>
                <w:szCs w:val="10"/>
              </w:rPr>
            </w:pPr>
            <w:r w:rsidRPr="00171DED">
              <w:rPr>
                <w:rFonts w:ascii="Times New Roman" w:hAnsi="Times New Roman"/>
                <w:sz w:val="18"/>
                <w:szCs w:val="10"/>
              </w:rPr>
              <w:t xml:space="preserve">Предвидените интервенции ще допринесат за изпълнение и на приоритетните действия в </w:t>
            </w:r>
            <w:r w:rsidR="00EE049F" w:rsidRPr="00171DED">
              <w:rPr>
                <w:rFonts w:ascii="Times New Roman" w:hAnsi="Times New Roman"/>
                <w:sz w:val="18"/>
                <w:szCs w:val="10"/>
              </w:rPr>
              <w:t>ПИПООС от 2019 г.- Доклад за България</w:t>
            </w:r>
            <w:r w:rsidR="004E13AE" w:rsidRPr="00171DED">
              <w:rPr>
                <w:rFonts w:ascii="Times New Roman" w:hAnsi="Times New Roman"/>
                <w:sz w:val="18"/>
                <w:szCs w:val="10"/>
              </w:rPr>
              <w:t>, както следва:</w:t>
            </w:r>
            <w:r w:rsidR="004653AF">
              <w:rPr>
                <w:rFonts w:ascii="Times New Roman" w:hAnsi="Times New Roman"/>
                <w:sz w:val="18"/>
                <w:szCs w:val="10"/>
              </w:rPr>
              <w:t xml:space="preserve"> </w:t>
            </w:r>
            <w:r w:rsidRPr="00171DED">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171DED">
              <w:rPr>
                <w:rFonts w:ascii="Times New Roman" w:hAnsi="Times New Roman"/>
                <w:sz w:val="18"/>
                <w:szCs w:val="10"/>
              </w:rPr>
              <w:t>/потенциал</w:t>
            </w:r>
            <w:r w:rsidRPr="00171DED">
              <w:rPr>
                <w:rFonts w:ascii="Times New Roman" w:hAnsi="Times New Roman"/>
                <w:sz w:val="18"/>
                <w:szCs w:val="10"/>
              </w:rPr>
              <w:t xml:space="preserve"> на  водните  обекти  в съответствие с Рамковата директива за водите; 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10575B" w14:paraId="41CDA418" w14:textId="77777777" w:rsidTr="0008367C">
        <w:tc>
          <w:tcPr>
            <w:tcW w:w="710" w:type="pct"/>
            <w:vAlign w:val="center"/>
          </w:tcPr>
          <w:p w14:paraId="73C37989" w14:textId="77777777"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2D1A691E" w14:textId="7DF45E21"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Насърчаване на прехода към кръгова </w:t>
            </w:r>
            <w:r w:rsidR="002856AF" w:rsidRPr="00171DED">
              <w:rPr>
                <w:rFonts w:ascii="Times New Roman" w:hAnsi="Times New Roman"/>
                <w:sz w:val="18"/>
                <w:szCs w:val="10"/>
              </w:rPr>
              <w:t xml:space="preserve">и ресурсно ефективна </w:t>
            </w:r>
            <w:r w:rsidRPr="00171DED">
              <w:rPr>
                <w:rFonts w:ascii="Times New Roman" w:hAnsi="Times New Roman"/>
                <w:sz w:val="18"/>
                <w:szCs w:val="10"/>
              </w:rPr>
              <w:t>икономика</w:t>
            </w:r>
          </w:p>
        </w:tc>
        <w:tc>
          <w:tcPr>
            <w:tcW w:w="3333" w:type="pct"/>
          </w:tcPr>
          <w:p w14:paraId="64E969BD" w14:textId="5350EA33" w:rsidR="0009789B" w:rsidRPr="00171DED" w:rsidRDefault="002047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3 на Съвета от 05.06.19 г. относно </w:t>
            </w:r>
            <w:r w:rsidR="009C05E5">
              <w:rPr>
                <w:rFonts w:ascii="Times New Roman" w:hAnsi="Times New Roman"/>
                <w:sz w:val="18"/>
                <w:szCs w:val="10"/>
              </w:rPr>
              <w:t>Нац. програма за реформи</w:t>
            </w:r>
            <w:r w:rsidRPr="00171DED">
              <w:rPr>
                <w:rFonts w:ascii="Times New Roman" w:hAnsi="Times New Roman"/>
                <w:sz w:val="18"/>
                <w:szCs w:val="10"/>
              </w:rPr>
              <w:t xml:space="preserve"> на България за 2019 г. и съдържаща становище относно  </w:t>
            </w:r>
            <w:proofErr w:type="spellStart"/>
            <w:r w:rsidRPr="00171DED">
              <w:rPr>
                <w:rFonts w:ascii="Times New Roman" w:hAnsi="Times New Roman"/>
                <w:sz w:val="18"/>
                <w:szCs w:val="10"/>
              </w:rPr>
              <w:t>Конвергентната</w:t>
            </w:r>
            <w:proofErr w:type="spellEnd"/>
            <w:r w:rsidRPr="00171DED">
              <w:rPr>
                <w:rFonts w:ascii="Times New Roman" w:hAnsi="Times New Roman"/>
                <w:sz w:val="18"/>
                <w:szCs w:val="10"/>
              </w:rPr>
              <w:t xml:space="preserve"> програма на България за 2019 г. </w:t>
            </w:r>
            <w:r w:rsidR="004E13AE" w:rsidRPr="00171DED">
              <w:rPr>
                <w:rFonts w:ascii="Times New Roman" w:hAnsi="Times New Roman"/>
                <w:sz w:val="18"/>
                <w:szCs w:val="10"/>
              </w:rPr>
              <w:t xml:space="preserve">за </w:t>
            </w:r>
            <w:r w:rsidRPr="00171DED">
              <w:rPr>
                <w:rFonts w:ascii="Times New Roman" w:hAnsi="Times New Roman"/>
                <w:sz w:val="18"/>
                <w:szCs w:val="10"/>
              </w:rPr>
              <w:t>продължаване на усилията за постигане на съответствие с изискванията на Директива 2008/98/ЕО</w:t>
            </w:r>
            <w:r w:rsidR="006E309D" w:rsidRPr="00171DED">
              <w:rPr>
                <w:rFonts w:ascii="Times New Roman" w:hAnsi="Times New Roman"/>
                <w:sz w:val="18"/>
                <w:szCs w:val="10"/>
              </w:rPr>
              <w:t xml:space="preserve"> </w:t>
            </w:r>
            <w:r w:rsidRPr="00171DED">
              <w:rPr>
                <w:rFonts w:ascii="Times New Roman" w:hAnsi="Times New Roman"/>
                <w:sz w:val="18"/>
                <w:szCs w:val="10"/>
              </w:rPr>
              <w:t xml:space="preserve">относно отпадъците. Изпълнение на препоръките в Националния доклад за България за 2019 г., съгласно който </w:t>
            </w:r>
            <w:r w:rsidR="0009789B" w:rsidRPr="00171DED">
              <w:rPr>
                <w:rFonts w:ascii="Times New Roman" w:hAnsi="Times New Roman"/>
                <w:sz w:val="18"/>
                <w:szCs w:val="10"/>
              </w:rPr>
              <w:t xml:space="preserve">управлението на отпадъците продължава да бъде предизвикателство, въпреки че генерирането на битови отпадъци е под средната стойност за ЕС. Процентите </w:t>
            </w:r>
            <w:r w:rsidR="004E13AE" w:rsidRPr="00171DED">
              <w:rPr>
                <w:rFonts w:ascii="Times New Roman" w:hAnsi="Times New Roman"/>
                <w:sz w:val="18"/>
                <w:szCs w:val="10"/>
              </w:rPr>
              <w:t xml:space="preserve">депонирани </w:t>
            </w:r>
            <w:r w:rsidR="0009789B" w:rsidRPr="00171DED">
              <w:rPr>
                <w:rFonts w:ascii="Times New Roman" w:hAnsi="Times New Roman"/>
                <w:sz w:val="18"/>
                <w:szCs w:val="10"/>
              </w:rPr>
              <w:t>битови отпадъци са сред най-високите в ЕС, а разделното събиране на отпадъци все още не функционира по най-оптималния начин, като това се наблюдава и при свързаната с него инфраструктура</w:t>
            </w:r>
            <w:r w:rsidR="008E35E2">
              <w:rPr>
                <w:rFonts w:ascii="Times New Roman" w:hAnsi="Times New Roman"/>
                <w:sz w:val="18"/>
                <w:szCs w:val="10"/>
              </w:rPr>
              <w:t xml:space="preserve"> и</w:t>
            </w:r>
            <w:r w:rsidR="0009789B" w:rsidRPr="00171DED">
              <w:rPr>
                <w:rFonts w:ascii="Times New Roman" w:hAnsi="Times New Roman"/>
                <w:sz w:val="18"/>
                <w:szCs w:val="10"/>
              </w:rPr>
              <w:t xml:space="preserve"> повишаването на обществената осведоменост; капацитет</w:t>
            </w:r>
            <w:r w:rsidR="008E35E2">
              <w:rPr>
                <w:rFonts w:ascii="Times New Roman" w:hAnsi="Times New Roman"/>
                <w:sz w:val="18"/>
                <w:szCs w:val="10"/>
              </w:rPr>
              <w:t>ът</w:t>
            </w:r>
            <w:r w:rsidR="0009789B" w:rsidRPr="00171DED">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171DED">
              <w:rPr>
                <w:rFonts w:ascii="Times New Roman" w:hAnsi="Times New Roman"/>
                <w:sz w:val="18"/>
                <w:szCs w:val="10"/>
              </w:rPr>
              <w:t>.</w:t>
            </w:r>
            <w:r w:rsidR="00B16DFA" w:rsidRPr="00171DED">
              <w:rPr>
                <w:rFonts w:ascii="Times New Roman" w:hAnsi="Times New Roman"/>
                <w:sz w:val="18"/>
                <w:szCs w:val="10"/>
              </w:rPr>
              <w:t xml:space="preserve"> </w:t>
            </w:r>
            <w:r w:rsidR="004E13AE" w:rsidRPr="00171DED">
              <w:rPr>
                <w:rFonts w:ascii="Times New Roman" w:hAnsi="Times New Roman"/>
                <w:sz w:val="18"/>
                <w:szCs w:val="10"/>
              </w:rPr>
              <w:t xml:space="preserve">Приоритетна цел </w:t>
            </w:r>
            <w:r w:rsidR="004E13AE" w:rsidRPr="00171DED">
              <w:rPr>
                <w:rFonts w:ascii="Times New Roman" w:hAnsi="Times New Roman"/>
                <w:sz w:val="18"/>
                <w:szCs w:val="10"/>
              </w:rPr>
              <w:lastRenderedPageBreak/>
              <w:t xml:space="preserve">са </w:t>
            </w:r>
            <w:r w:rsidR="00A1210E" w:rsidRPr="00171DED">
              <w:rPr>
                <w:rFonts w:ascii="Times New Roman" w:hAnsi="Times New Roman"/>
                <w:sz w:val="18"/>
                <w:szCs w:val="10"/>
              </w:rPr>
              <w:t>битови</w:t>
            </w:r>
            <w:r w:rsidR="004E13AE" w:rsidRPr="00171DED">
              <w:rPr>
                <w:rFonts w:ascii="Times New Roman" w:hAnsi="Times New Roman"/>
                <w:sz w:val="18"/>
                <w:szCs w:val="10"/>
              </w:rPr>
              <w:t>те</w:t>
            </w:r>
            <w:r w:rsidR="00A1210E" w:rsidRPr="00171DED">
              <w:rPr>
                <w:rFonts w:ascii="Times New Roman" w:hAnsi="Times New Roman"/>
                <w:sz w:val="18"/>
                <w:szCs w:val="10"/>
              </w:rPr>
              <w:t xml:space="preserve"> отпадъци</w:t>
            </w:r>
            <w:r w:rsidR="004E13AE" w:rsidRPr="00171DED">
              <w:rPr>
                <w:rFonts w:ascii="Times New Roman" w:hAnsi="Times New Roman"/>
                <w:sz w:val="18"/>
                <w:szCs w:val="10"/>
              </w:rPr>
              <w:t xml:space="preserve"> </w:t>
            </w:r>
            <w:r w:rsidR="006E309D" w:rsidRPr="00171DED">
              <w:rPr>
                <w:rFonts w:ascii="Times New Roman" w:hAnsi="Times New Roman"/>
                <w:sz w:val="18"/>
                <w:szCs w:val="10"/>
              </w:rPr>
              <w:t>(</w:t>
            </w:r>
            <w:r w:rsidR="00352BD6" w:rsidRPr="00171DED">
              <w:rPr>
                <w:rFonts w:ascii="Times New Roman" w:hAnsi="Times New Roman"/>
                <w:sz w:val="18"/>
                <w:szCs w:val="10"/>
              </w:rPr>
              <w:t xml:space="preserve">съгласно определението по чл. 3, </w:t>
            </w:r>
            <w:proofErr w:type="spellStart"/>
            <w:r w:rsidR="008E35E2" w:rsidRPr="00171DED">
              <w:rPr>
                <w:rFonts w:ascii="Times New Roman" w:hAnsi="Times New Roman"/>
                <w:sz w:val="18"/>
                <w:szCs w:val="10"/>
              </w:rPr>
              <w:t>пар</w:t>
            </w:r>
            <w:proofErr w:type="spellEnd"/>
            <w:r w:rsidR="008E35E2">
              <w:rPr>
                <w:rFonts w:ascii="Times New Roman" w:hAnsi="Times New Roman"/>
                <w:sz w:val="18"/>
                <w:szCs w:val="10"/>
              </w:rPr>
              <w:t>.</w:t>
            </w:r>
            <w:r w:rsidR="008E35E2" w:rsidRPr="00171DED">
              <w:rPr>
                <w:rFonts w:ascii="Times New Roman" w:hAnsi="Times New Roman"/>
                <w:sz w:val="18"/>
                <w:szCs w:val="10"/>
              </w:rPr>
              <w:t xml:space="preserve"> </w:t>
            </w:r>
            <w:r w:rsidR="00352BD6" w:rsidRPr="00171DED">
              <w:rPr>
                <w:rFonts w:ascii="Times New Roman" w:hAnsi="Times New Roman"/>
                <w:sz w:val="18"/>
                <w:szCs w:val="10"/>
              </w:rPr>
              <w:t>2б от Директива 2008/98/ЕО, изменена с Директива</w:t>
            </w:r>
            <w:r w:rsidR="00DF5919" w:rsidRPr="00171DED">
              <w:rPr>
                <w:rFonts w:ascii="Times New Roman" w:hAnsi="Times New Roman"/>
                <w:sz w:val="18"/>
                <w:szCs w:val="10"/>
              </w:rPr>
              <w:t xml:space="preserve"> (ЕС)</w:t>
            </w:r>
            <w:r w:rsidR="00352BD6" w:rsidRPr="00171DED">
              <w:rPr>
                <w:rFonts w:ascii="Times New Roman" w:hAnsi="Times New Roman"/>
                <w:sz w:val="18"/>
                <w:szCs w:val="10"/>
              </w:rPr>
              <w:t xml:space="preserve"> 2018/851)</w:t>
            </w:r>
            <w:r w:rsidR="006E309D" w:rsidRPr="00171DED">
              <w:rPr>
                <w:rFonts w:ascii="Times New Roman" w:hAnsi="Times New Roman"/>
                <w:sz w:val="18"/>
                <w:szCs w:val="10"/>
              </w:rPr>
              <w:t>)</w:t>
            </w:r>
            <w:r w:rsidR="00A1210E" w:rsidRPr="00171DED">
              <w:rPr>
                <w:rFonts w:ascii="Times New Roman" w:hAnsi="Times New Roman"/>
                <w:sz w:val="18"/>
                <w:szCs w:val="10"/>
              </w:rPr>
              <w:t xml:space="preserve">, </w:t>
            </w:r>
            <w:r w:rsidR="004E13AE" w:rsidRPr="00171DED">
              <w:rPr>
                <w:rFonts w:ascii="Times New Roman" w:hAnsi="Times New Roman"/>
                <w:sz w:val="18"/>
                <w:szCs w:val="10"/>
              </w:rPr>
              <w:t>и</w:t>
            </w:r>
            <w:r w:rsidR="00A1210E" w:rsidRPr="00171DED">
              <w:rPr>
                <w:rFonts w:ascii="Times New Roman" w:hAnsi="Times New Roman"/>
                <w:sz w:val="18"/>
                <w:szCs w:val="10"/>
              </w:rPr>
              <w:t xml:space="preserve"> строителни отпадъци и отпадъци от разрушаване</w:t>
            </w:r>
            <w:r w:rsidR="00E70DA1" w:rsidRPr="00171DED">
              <w:rPr>
                <w:rFonts w:ascii="Times New Roman" w:hAnsi="Times New Roman"/>
                <w:sz w:val="18"/>
                <w:szCs w:val="10"/>
              </w:rPr>
              <w:t xml:space="preserve"> чрез инвестици</w:t>
            </w:r>
            <w:r w:rsidR="004E13AE" w:rsidRPr="00171DED">
              <w:rPr>
                <w:rFonts w:ascii="Times New Roman" w:hAnsi="Times New Roman"/>
                <w:sz w:val="18"/>
                <w:szCs w:val="10"/>
              </w:rPr>
              <w:t>онни</w:t>
            </w:r>
            <w:r w:rsidR="00D21984" w:rsidRPr="00171DED">
              <w:rPr>
                <w:rFonts w:ascii="Times New Roman" w:hAnsi="Times New Roman"/>
                <w:sz w:val="18"/>
                <w:szCs w:val="10"/>
              </w:rPr>
              <w:t xml:space="preserve"> </w:t>
            </w:r>
            <w:r w:rsidR="00E70DA1" w:rsidRPr="00171DED">
              <w:rPr>
                <w:rFonts w:ascii="Times New Roman" w:hAnsi="Times New Roman"/>
                <w:sz w:val="18"/>
                <w:szCs w:val="10"/>
              </w:rPr>
              <w:t>мерки</w:t>
            </w:r>
            <w:r w:rsidR="004E13AE" w:rsidRPr="00171DED">
              <w:rPr>
                <w:rFonts w:ascii="Times New Roman" w:hAnsi="Times New Roman"/>
                <w:sz w:val="18"/>
                <w:szCs w:val="10"/>
              </w:rPr>
              <w:t>,</w:t>
            </w:r>
            <w:r w:rsidR="00E70DA1" w:rsidRPr="00171DED">
              <w:rPr>
                <w:rFonts w:ascii="Times New Roman" w:hAnsi="Times New Roman"/>
                <w:sz w:val="18"/>
                <w:szCs w:val="10"/>
              </w:rPr>
              <w:t xml:space="preserve"> </w:t>
            </w:r>
            <w:r w:rsidR="004E13AE" w:rsidRPr="00171DED">
              <w:rPr>
                <w:rFonts w:ascii="Times New Roman" w:hAnsi="Times New Roman"/>
                <w:sz w:val="18"/>
                <w:szCs w:val="10"/>
              </w:rPr>
              <w:t xml:space="preserve">постигащи целите за рециклиране и </w:t>
            </w:r>
            <w:r w:rsidR="003A72D8" w:rsidRPr="00171DED">
              <w:rPr>
                <w:rFonts w:ascii="Times New Roman" w:hAnsi="Times New Roman"/>
                <w:sz w:val="18"/>
                <w:szCs w:val="10"/>
              </w:rPr>
              <w:t xml:space="preserve">намаляване на депонирането </w:t>
            </w:r>
            <w:r w:rsidR="004E13AE" w:rsidRPr="00171DED">
              <w:rPr>
                <w:rFonts w:ascii="Times New Roman" w:hAnsi="Times New Roman"/>
                <w:sz w:val="18"/>
                <w:szCs w:val="10"/>
              </w:rPr>
              <w:t>до 2030 г., с фокус върху</w:t>
            </w:r>
            <w:r w:rsidR="0033049F" w:rsidRPr="00171DED">
              <w:rPr>
                <w:rFonts w:ascii="Times New Roman" w:hAnsi="Times New Roman"/>
                <w:sz w:val="18"/>
                <w:szCs w:val="10"/>
              </w:rPr>
              <w:t xml:space="preserve"> </w:t>
            </w:r>
            <w:r w:rsidR="00E70DA1" w:rsidRPr="00171DED">
              <w:rPr>
                <w:rFonts w:ascii="Times New Roman" w:hAnsi="Times New Roman"/>
                <w:sz w:val="18"/>
                <w:szCs w:val="10"/>
              </w:rPr>
              <w:t>разделно</w:t>
            </w:r>
            <w:r w:rsidR="00D21984" w:rsidRPr="00171DED">
              <w:rPr>
                <w:rFonts w:ascii="Times New Roman" w:hAnsi="Times New Roman"/>
                <w:sz w:val="18"/>
                <w:szCs w:val="10"/>
              </w:rPr>
              <w:t>то</w:t>
            </w:r>
            <w:r w:rsidR="00E70DA1" w:rsidRPr="00171DED">
              <w:rPr>
                <w:rFonts w:ascii="Times New Roman" w:hAnsi="Times New Roman"/>
                <w:sz w:val="18"/>
                <w:szCs w:val="10"/>
              </w:rPr>
              <w:t xml:space="preserve"> събиране </w:t>
            </w:r>
            <w:r w:rsidR="00D21984" w:rsidRPr="00171DED">
              <w:rPr>
                <w:rFonts w:ascii="Times New Roman" w:hAnsi="Times New Roman"/>
                <w:sz w:val="18"/>
                <w:szCs w:val="10"/>
              </w:rPr>
              <w:t xml:space="preserve">и </w:t>
            </w:r>
            <w:r w:rsidR="00B96E09" w:rsidRPr="00171DED">
              <w:rPr>
                <w:rFonts w:ascii="Times New Roman" w:hAnsi="Times New Roman"/>
                <w:sz w:val="18"/>
                <w:szCs w:val="10"/>
              </w:rPr>
              <w:t>рециклиране</w:t>
            </w:r>
            <w:r w:rsidR="0009789B" w:rsidRPr="00171DED">
              <w:rPr>
                <w:rFonts w:ascii="Times New Roman" w:hAnsi="Times New Roman"/>
                <w:sz w:val="18"/>
                <w:szCs w:val="10"/>
              </w:rPr>
              <w:t xml:space="preserve">. </w:t>
            </w:r>
            <w:r w:rsidR="00D21984" w:rsidRPr="00171DED">
              <w:rPr>
                <w:rFonts w:ascii="Times New Roman" w:hAnsi="Times New Roman"/>
                <w:sz w:val="18"/>
                <w:szCs w:val="10"/>
              </w:rPr>
              <w:t xml:space="preserve"> </w:t>
            </w:r>
          </w:p>
          <w:p w14:paraId="693F708C" w14:textId="2E36A06A" w:rsidR="00792ADE" w:rsidRPr="00171DED" w:rsidRDefault="00792ADE">
            <w:pPr>
              <w:spacing w:before="120" w:after="120"/>
              <w:jc w:val="both"/>
              <w:rPr>
                <w:rFonts w:ascii="Times New Roman" w:hAnsi="Times New Roman"/>
                <w:sz w:val="18"/>
                <w:szCs w:val="10"/>
              </w:rPr>
            </w:pPr>
            <w:r w:rsidRPr="00171DED">
              <w:rPr>
                <w:rFonts w:ascii="Times New Roman" w:hAnsi="Times New Roman"/>
                <w:sz w:val="18"/>
                <w:szCs w:val="10"/>
              </w:rPr>
              <w:t xml:space="preserve">Предвидените интервенции ще допринесат за изпълнение на приоритетни действия в </w:t>
            </w:r>
            <w:r w:rsidR="008A4B4B" w:rsidRPr="00171DED">
              <w:rPr>
                <w:rFonts w:ascii="Times New Roman" w:hAnsi="Times New Roman"/>
                <w:sz w:val="18"/>
                <w:szCs w:val="10"/>
              </w:rPr>
              <w:t>ПИПООС</w:t>
            </w:r>
            <w:r w:rsidR="00EE049F" w:rsidRPr="00171DED">
              <w:rPr>
                <w:rFonts w:ascii="Times New Roman" w:hAnsi="Times New Roman"/>
                <w:sz w:val="18"/>
                <w:szCs w:val="10"/>
              </w:rPr>
              <w:t xml:space="preserve"> от 2019 г.</w:t>
            </w:r>
            <w:r w:rsidR="008A4B4B" w:rsidRPr="00171DED">
              <w:rPr>
                <w:rFonts w:ascii="Times New Roman" w:hAnsi="Times New Roman"/>
                <w:sz w:val="18"/>
                <w:szCs w:val="10"/>
              </w:rPr>
              <w:t>- Доклад за България</w:t>
            </w:r>
            <w:r w:rsidR="006E309D" w:rsidRPr="00171DED">
              <w:rPr>
                <w:rFonts w:ascii="Times New Roman" w:hAnsi="Times New Roman"/>
                <w:sz w:val="18"/>
                <w:szCs w:val="10"/>
              </w:rPr>
              <w:t>:</w:t>
            </w:r>
            <w:r w:rsidRPr="00171DED">
              <w:rPr>
                <w:rFonts w:ascii="Times New Roman" w:hAnsi="Times New Roman"/>
                <w:sz w:val="18"/>
                <w:szCs w:val="10"/>
              </w:rPr>
              <w:t xml:space="preserve"> </w:t>
            </w:r>
            <w:r w:rsidR="00C33DED" w:rsidRPr="00171DED">
              <w:rPr>
                <w:rFonts w:ascii="Times New Roman" w:hAnsi="Times New Roman"/>
                <w:sz w:val="18"/>
                <w:szCs w:val="10"/>
              </w:rPr>
              <w:t>„</w:t>
            </w:r>
            <w:r w:rsidRPr="00171DED">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171DED">
              <w:rPr>
                <w:rFonts w:ascii="Times New Roman" w:hAnsi="Times New Roman"/>
                <w:sz w:val="18"/>
                <w:szCs w:val="10"/>
              </w:rPr>
              <w:t>“</w:t>
            </w:r>
            <w:r w:rsidR="00D21984" w:rsidRPr="00171DED">
              <w:rPr>
                <w:rFonts w:ascii="Times New Roman" w:hAnsi="Times New Roman"/>
                <w:sz w:val="18"/>
                <w:szCs w:val="10"/>
              </w:rPr>
              <w:t xml:space="preserve"> и са в съответствие с Приоритет 4. Кръгова и нисковъглеродна икономика от Националната програма за развитие България 2030. Фокусът е „върху </w:t>
            </w:r>
            <w:r w:rsidR="005F3E62" w:rsidRPr="00D9767D">
              <w:rPr>
                <w:rFonts w:ascii="Times New Roman" w:hAnsi="Times New Roman"/>
                <w:sz w:val="18"/>
                <w:szCs w:val="10"/>
              </w:rPr>
              <w:t xml:space="preserve">преминаването </w:t>
            </w:r>
            <w:r w:rsidR="00D21984" w:rsidRPr="00D9767D">
              <w:rPr>
                <w:rFonts w:ascii="Times New Roman" w:hAnsi="Times New Roman"/>
                <w:sz w:val="18"/>
                <w:szCs w:val="10"/>
              </w:rPr>
              <w:t xml:space="preserve">от депониране към </w:t>
            </w:r>
            <w:r w:rsidR="005F3E62" w:rsidRPr="00D9767D">
              <w:rPr>
                <w:rFonts w:ascii="Times New Roman" w:hAnsi="Times New Roman"/>
                <w:sz w:val="18"/>
                <w:szCs w:val="10"/>
              </w:rPr>
              <w:t>предотвратяване</w:t>
            </w:r>
            <w:r w:rsidR="00D21984" w:rsidRPr="00D9767D">
              <w:rPr>
                <w:rFonts w:ascii="Times New Roman" w:hAnsi="Times New Roman"/>
                <w:sz w:val="18"/>
                <w:szCs w:val="10"/>
              </w:rPr>
              <w:t xml:space="preserve">, повторна употреба, рециклиране и оползотворяване на голямата част от </w:t>
            </w:r>
            <w:r w:rsidR="005F3E62" w:rsidRPr="00D9767D">
              <w:rPr>
                <w:rFonts w:ascii="Times New Roman" w:hAnsi="Times New Roman"/>
                <w:sz w:val="18"/>
                <w:szCs w:val="10"/>
              </w:rPr>
              <w:t xml:space="preserve">формираните </w:t>
            </w:r>
            <w:r w:rsidR="00D21984" w:rsidRPr="00D9767D">
              <w:rPr>
                <w:rFonts w:ascii="Times New Roman" w:hAnsi="Times New Roman"/>
                <w:sz w:val="18"/>
                <w:szCs w:val="10"/>
              </w:rPr>
              <w:t xml:space="preserve">отпадъци в </w:t>
            </w:r>
            <w:r w:rsidR="005F3E62" w:rsidRPr="00D9767D">
              <w:rPr>
                <w:rFonts w:ascii="Times New Roman" w:hAnsi="Times New Roman"/>
                <w:sz w:val="18"/>
                <w:szCs w:val="10"/>
              </w:rPr>
              <w:t xml:space="preserve">индустриалните </w:t>
            </w:r>
            <w:r w:rsidR="00D21984" w:rsidRPr="00D9767D">
              <w:rPr>
                <w:rFonts w:ascii="Times New Roman" w:hAnsi="Times New Roman"/>
                <w:sz w:val="18"/>
                <w:szCs w:val="10"/>
              </w:rPr>
              <w:t xml:space="preserve">процеси и </w:t>
            </w:r>
            <w:r w:rsidR="005F3E62" w:rsidRPr="00D9767D">
              <w:rPr>
                <w:rFonts w:ascii="Times New Roman" w:hAnsi="Times New Roman"/>
                <w:sz w:val="18"/>
                <w:szCs w:val="10"/>
              </w:rPr>
              <w:t>бита</w:t>
            </w:r>
            <w:r w:rsidR="00D21984" w:rsidRPr="00D9767D">
              <w:rPr>
                <w:rFonts w:ascii="Times New Roman" w:hAnsi="Times New Roman"/>
                <w:sz w:val="18"/>
                <w:szCs w:val="10"/>
              </w:rPr>
              <w:t>“</w:t>
            </w:r>
            <w:r w:rsidR="00D21984" w:rsidRPr="00171DED">
              <w:rPr>
                <w:rFonts w:ascii="Times New Roman" w:hAnsi="Times New Roman"/>
                <w:sz w:val="18"/>
                <w:szCs w:val="10"/>
              </w:rPr>
              <w:t>. Интервенциите отговарят и на Анализа на социално-икономическото развитие на България 2007-2017 г.,</w:t>
            </w:r>
            <w:r w:rsidR="00523E6D">
              <w:t xml:space="preserve"> </w:t>
            </w:r>
            <w:r w:rsidR="00523E6D" w:rsidRPr="00523E6D">
              <w:rPr>
                <w:rFonts w:ascii="Times New Roman" w:hAnsi="Times New Roman"/>
                <w:sz w:val="18"/>
                <w:szCs w:val="10"/>
              </w:rPr>
              <w:t>определяне на националните приоритети за периода 2021-2027 г.</w:t>
            </w:r>
            <w:r w:rsidR="00523E6D">
              <w:rPr>
                <w:rFonts w:ascii="Times New Roman" w:hAnsi="Times New Roman"/>
                <w:sz w:val="18"/>
                <w:szCs w:val="10"/>
              </w:rPr>
              <w:t>,</w:t>
            </w:r>
            <w:r w:rsidR="00D21984" w:rsidRPr="00171DED">
              <w:rPr>
                <w:rFonts w:ascii="Times New Roman" w:hAnsi="Times New Roman"/>
                <w:sz w:val="18"/>
                <w:szCs w:val="10"/>
              </w:rPr>
              <w:t xml:space="preserve"> по-специално „Интервенциите, ориентирани към управлението на отпадъците ще продължат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идентифицираните нужди в рамките на </w:t>
            </w:r>
            <w:r w:rsidR="008E35E2">
              <w:rPr>
                <w:rFonts w:ascii="Times New Roman" w:hAnsi="Times New Roman"/>
                <w:sz w:val="18"/>
                <w:szCs w:val="10"/>
              </w:rPr>
              <w:t>НПУО</w:t>
            </w:r>
            <w:r w:rsidR="00D21984" w:rsidRPr="00171DED">
              <w:rPr>
                <w:rFonts w:ascii="Times New Roman" w:hAnsi="Times New Roman"/>
                <w:sz w:val="18"/>
                <w:szCs w:val="10"/>
              </w:rPr>
              <w:t xml:space="preserve"> 2021-2028</w:t>
            </w:r>
            <w:r w:rsidRPr="00171DED">
              <w:rPr>
                <w:rFonts w:ascii="Times New Roman" w:hAnsi="Times New Roman"/>
                <w:sz w:val="18"/>
                <w:szCs w:val="10"/>
              </w:rPr>
              <w:t>.</w:t>
            </w:r>
          </w:p>
        </w:tc>
      </w:tr>
      <w:tr w:rsidR="00CB32CC" w:rsidRPr="0010575B" w14:paraId="1AA22972" w14:textId="77777777" w:rsidTr="0008367C">
        <w:tc>
          <w:tcPr>
            <w:tcW w:w="710" w:type="pct"/>
            <w:vAlign w:val="center"/>
          </w:tcPr>
          <w:p w14:paraId="091D0284"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2</w:t>
            </w:r>
          </w:p>
        </w:tc>
        <w:tc>
          <w:tcPr>
            <w:tcW w:w="957" w:type="pct"/>
            <w:vAlign w:val="center"/>
          </w:tcPr>
          <w:p w14:paraId="38F6349B"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t>Засилване на биоразнообразието, “зелената” инфраструктура в градската среда, както и намаляване на замърсяването</w:t>
            </w:r>
          </w:p>
        </w:tc>
        <w:tc>
          <w:tcPr>
            <w:tcW w:w="3333" w:type="pct"/>
          </w:tcPr>
          <w:p w14:paraId="094F6D48" w14:textId="5460FEF2" w:rsidR="0047224F" w:rsidRPr="00171DED" w:rsidRDefault="00CC723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w:t>
            </w:r>
            <w:r w:rsidR="009747F3">
              <w:rPr>
                <w:rFonts w:ascii="Times New Roman" w:hAnsi="Times New Roman"/>
                <w:sz w:val="18"/>
                <w:szCs w:val="10"/>
              </w:rPr>
              <w:t>-</w:t>
            </w:r>
            <w:r w:rsidRPr="00171DED">
              <w:rPr>
                <w:rFonts w:ascii="Times New Roman" w:hAnsi="Times New Roman"/>
                <w:sz w:val="18"/>
                <w:szCs w:val="10"/>
              </w:rPr>
              <w:t xml:space="preserve">усилията </w:t>
            </w:r>
            <w:r w:rsidR="00EC207B" w:rsidRPr="00171DED">
              <w:rPr>
                <w:rFonts w:ascii="Times New Roman" w:hAnsi="Times New Roman"/>
                <w:sz w:val="18"/>
                <w:szCs w:val="10"/>
              </w:rPr>
              <w:t xml:space="preserve">следва да се фокусират върху </w:t>
            </w:r>
            <w:r w:rsidRPr="00171DED">
              <w:rPr>
                <w:rFonts w:ascii="Times New Roman" w:hAnsi="Times New Roman"/>
                <w:sz w:val="18"/>
                <w:szCs w:val="10"/>
              </w:rPr>
              <w:t xml:space="preserve">изграждане на ефективна структура за управление на мрежата Натура 2000. </w:t>
            </w:r>
            <w:r w:rsidR="00EC207B" w:rsidRPr="00171DED">
              <w:rPr>
                <w:rFonts w:ascii="Times New Roman" w:hAnsi="Times New Roman"/>
                <w:sz w:val="18"/>
                <w:szCs w:val="10"/>
              </w:rPr>
              <w:t xml:space="preserve">Фокусът е насочен </w:t>
            </w:r>
            <w:r w:rsidR="00FF3129" w:rsidRPr="00171DED">
              <w:rPr>
                <w:rFonts w:ascii="Times New Roman" w:hAnsi="Times New Roman"/>
                <w:sz w:val="18"/>
                <w:szCs w:val="10"/>
              </w:rPr>
              <w:t>към поддържане</w:t>
            </w:r>
            <w:r w:rsidR="0009593D" w:rsidRPr="00171DED">
              <w:rPr>
                <w:rFonts w:ascii="Times New Roman" w:hAnsi="Times New Roman"/>
                <w:sz w:val="18"/>
                <w:szCs w:val="10"/>
              </w:rPr>
              <w:t xml:space="preserve"> и възстановяване на екосистемите и присъщото им биологично разнообразие</w:t>
            </w:r>
            <w:r w:rsidR="009747F3">
              <w:rPr>
                <w:rFonts w:ascii="Times New Roman" w:hAnsi="Times New Roman"/>
                <w:sz w:val="18"/>
                <w:szCs w:val="10"/>
              </w:rPr>
              <w:t xml:space="preserve"> – в и извън Натура 2000</w:t>
            </w:r>
            <w:r w:rsidR="00FF3129" w:rsidRPr="00171DED">
              <w:rPr>
                <w:rFonts w:ascii="Times New Roman" w:hAnsi="Times New Roman"/>
                <w:sz w:val="18"/>
                <w:szCs w:val="10"/>
              </w:rPr>
              <w:t xml:space="preserve">. </w:t>
            </w:r>
            <w:r w:rsidR="009747F3">
              <w:rPr>
                <w:rFonts w:ascii="Times New Roman" w:hAnsi="Times New Roman"/>
                <w:sz w:val="18"/>
                <w:szCs w:val="10"/>
              </w:rPr>
              <w:t>Продължават</w:t>
            </w:r>
            <w:r w:rsidR="00FF3129" w:rsidRPr="00171DED">
              <w:rPr>
                <w:rFonts w:ascii="Times New Roman" w:hAnsi="Times New Roman"/>
                <w:sz w:val="18"/>
                <w:szCs w:val="10"/>
              </w:rPr>
              <w:t xml:space="preserve"> интервенции</w:t>
            </w:r>
            <w:r w:rsidR="009747F3">
              <w:rPr>
                <w:rFonts w:ascii="Times New Roman" w:hAnsi="Times New Roman"/>
                <w:sz w:val="18"/>
                <w:szCs w:val="10"/>
              </w:rPr>
              <w:t>те</w:t>
            </w:r>
            <w:r w:rsidR="00FF3129" w:rsidRPr="00171DED">
              <w:rPr>
                <w:rFonts w:ascii="Times New Roman" w:hAnsi="Times New Roman"/>
                <w:sz w:val="18"/>
                <w:szCs w:val="10"/>
              </w:rPr>
              <w:t xml:space="preserve">, целящи подобряване на </w:t>
            </w:r>
            <w:r w:rsidR="009047BC" w:rsidRPr="00171DED">
              <w:rPr>
                <w:rFonts w:ascii="Times New Roman" w:hAnsi="Times New Roman"/>
                <w:sz w:val="18"/>
                <w:szCs w:val="10"/>
              </w:rPr>
              <w:t xml:space="preserve">състоянието </w:t>
            </w:r>
            <w:r w:rsidR="00FF3129" w:rsidRPr="00171DED">
              <w:rPr>
                <w:rFonts w:ascii="Times New Roman" w:hAnsi="Times New Roman"/>
                <w:sz w:val="18"/>
                <w:szCs w:val="10"/>
              </w:rPr>
              <w:t>на видове и местообитания</w:t>
            </w:r>
            <w:r w:rsidR="0009593D" w:rsidRPr="00171DED">
              <w:rPr>
                <w:rFonts w:ascii="Times New Roman" w:hAnsi="Times New Roman"/>
                <w:sz w:val="18"/>
                <w:szCs w:val="10"/>
              </w:rPr>
              <w:t xml:space="preserve">, предмет на опазване в </w:t>
            </w:r>
            <w:r w:rsidR="002072D9" w:rsidRPr="00171DED">
              <w:rPr>
                <w:rFonts w:ascii="Times New Roman" w:hAnsi="Times New Roman"/>
                <w:sz w:val="18"/>
                <w:szCs w:val="10"/>
              </w:rPr>
              <w:t>ЗЗ</w:t>
            </w:r>
            <w:r w:rsidR="00FF3129" w:rsidRPr="00171DED">
              <w:rPr>
                <w:rFonts w:ascii="Times New Roman" w:hAnsi="Times New Roman"/>
                <w:sz w:val="18"/>
                <w:szCs w:val="10"/>
              </w:rPr>
              <w:t>,</w:t>
            </w:r>
            <w:r w:rsidR="006914F2" w:rsidRPr="00171DED">
              <w:rPr>
                <w:rFonts w:ascii="Times New Roman" w:hAnsi="Times New Roman"/>
                <w:sz w:val="18"/>
                <w:szCs w:val="10"/>
              </w:rPr>
              <w:t xml:space="preserve"> </w:t>
            </w:r>
            <w:r w:rsidR="00FF3129" w:rsidRPr="00171DED">
              <w:rPr>
                <w:rFonts w:ascii="Times New Roman" w:hAnsi="Times New Roman"/>
                <w:sz w:val="18"/>
                <w:szCs w:val="10"/>
              </w:rPr>
              <w:t xml:space="preserve">ще </w:t>
            </w:r>
            <w:r w:rsidR="00F54813" w:rsidRPr="00171DED">
              <w:rPr>
                <w:rFonts w:ascii="Times New Roman" w:hAnsi="Times New Roman"/>
                <w:sz w:val="18"/>
                <w:szCs w:val="10"/>
              </w:rPr>
              <w:t>се надграждат</w:t>
            </w:r>
            <w:r w:rsidR="00FF3129" w:rsidRPr="00171DED">
              <w:rPr>
                <w:rFonts w:ascii="Times New Roman" w:hAnsi="Times New Roman"/>
                <w:sz w:val="18"/>
                <w:szCs w:val="10"/>
              </w:rPr>
              <w:t xml:space="preserve"> дейности</w:t>
            </w:r>
            <w:r w:rsidR="00F54813" w:rsidRPr="00171DED">
              <w:rPr>
                <w:rFonts w:ascii="Times New Roman" w:hAnsi="Times New Roman"/>
                <w:sz w:val="18"/>
                <w:szCs w:val="10"/>
              </w:rPr>
              <w:t>те</w:t>
            </w:r>
            <w:r w:rsidR="00FF3129" w:rsidRPr="00171DED">
              <w:rPr>
                <w:rFonts w:ascii="Times New Roman" w:hAnsi="Times New Roman"/>
                <w:sz w:val="18"/>
                <w:szCs w:val="10"/>
              </w:rPr>
              <w:t xml:space="preserve">, свързани с </w:t>
            </w:r>
            <w:r w:rsidR="0009593D" w:rsidRPr="00171DED">
              <w:rPr>
                <w:rFonts w:ascii="Times New Roman" w:hAnsi="Times New Roman"/>
                <w:sz w:val="18"/>
                <w:szCs w:val="10"/>
              </w:rPr>
              <w:t>изграждане на капацитет на заинтересованите страни за ефективно участие в процеса на управление на Натура 2000 и осигуряване на подкрепата на общността за мрежата</w:t>
            </w:r>
            <w:r w:rsidR="00EC207B" w:rsidRPr="00171DED">
              <w:rPr>
                <w:rFonts w:ascii="Times New Roman" w:hAnsi="Times New Roman"/>
                <w:sz w:val="18"/>
                <w:szCs w:val="10"/>
              </w:rPr>
              <w:t>.</w:t>
            </w:r>
            <w:r w:rsidR="00F54813" w:rsidRPr="00171DED">
              <w:rPr>
                <w:rFonts w:ascii="Times New Roman" w:hAnsi="Times New Roman"/>
                <w:sz w:val="18"/>
                <w:szCs w:val="10"/>
              </w:rPr>
              <w:t xml:space="preserve"> </w:t>
            </w:r>
            <w:r w:rsidR="001B26A1" w:rsidRPr="00171DED">
              <w:rPr>
                <w:rFonts w:ascii="Times New Roman" w:hAnsi="Times New Roman"/>
                <w:sz w:val="18"/>
                <w:szCs w:val="10"/>
              </w:rPr>
              <w:t xml:space="preserve">Планира се подкрепа и за </w:t>
            </w:r>
            <w:r w:rsidR="00F54813" w:rsidRPr="00171DED">
              <w:rPr>
                <w:rFonts w:ascii="Times New Roman" w:hAnsi="Times New Roman"/>
                <w:sz w:val="18"/>
                <w:szCs w:val="10"/>
              </w:rPr>
              <w:t>защитени територии</w:t>
            </w:r>
            <w:r w:rsidR="009747F3">
              <w:rPr>
                <w:rFonts w:ascii="Times New Roman" w:hAnsi="Times New Roman"/>
                <w:sz w:val="18"/>
                <w:szCs w:val="10"/>
              </w:rPr>
              <w:t>,</w:t>
            </w:r>
            <w:r w:rsidR="00022769" w:rsidRPr="00171DED">
              <w:rPr>
                <w:rFonts w:ascii="Times New Roman" w:hAnsi="Times New Roman"/>
                <w:sz w:val="18"/>
                <w:szCs w:val="10"/>
              </w:rPr>
              <w:t xml:space="preserve"> приоритетно там, където същите се припокриват със </w:t>
            </w:r>
            <w:r w:rsidR="009747F3">
              <w:rPr>
                <w:rFonts w:ascii="Times New Roman" w:hAnsi="Times New Roman"/>
                <w:sz w:val="18"/>
                <w:szCs w:val="10"/>
              </w:rPr>
              <w:t>ЗЗ</w:t>
            </w:r>
            <w:r w:rsidR="00F54813" w:rsidRPr="00171DED">
              <w:rPr>
                <w:rFonts w:ascii="Times New Roman" w:hAnsi="Times New Roman"/>
                <w:sz w:val="18"/>
                <w:szCs w:val="10"/>
              </w:rPr>
              <w:t>.</w:t>
            </w:r>
          </w:p>
          <w:p w14:paraId="1EEDA30A" w14:textId="3313F23E" w:rsidR="00792ADE" w:rsidRPr="00171DED" w:rsidRDefault="002072D9" w:rsidP="00584F2A">
            <w:pPr>
              <w:jc w:val="both"/>
              <w:rPr>
                <w:rFonts w:ascii="Times New Roman" w:hAnsi="Times New Roman"/>
                <w:sz w:val="18"/>
                <w:szCs w:val="10"/>
              </w:rPr>
            </w:pPr>
            <w:r w:rsidRPr="00171DED">
              <w:rPr>
                <w:rFonts w:ascii="Times New Roman" w:hAnsi="Times New Roman"/>
                <w:sz w:val="18"/>
                <w:szCs w:val="10"/>
              </w:rPr>
              <w:t>Очакван принос за изпълнението на приоритетн</w:t>
            </w:r>
            <w:r w:rsidR="0083406C" w:rsidRPr="00171DED">
              <w:rPr>
                <w:rFonts w:ascii="Times New Roman" w:hAnsi="Times New Roman"/>
                <w:sz w:val="18"/>
                <w:szCs w:val="10"/>
              </w:rPr>
              <w:t>о</w:t>
            </w:r>
            <w:r w:rsidRPr="00171DED">
              <w:rPr>
                <w:rFonts w:ascii="Times New Roman" w:hAnsi="Times New Roman"/>
                <w:sz w:val="18"/>
                <w:szCs w:val="10"/>
              </w:rPr>
              <w:t xml:space="preserve"> действи</w:t>
            </w:r>
            <w:r w:rsidR="0083406C" w:rsidRPr="00171DED">
              <w:rPr>
                <w:rFonts w:ascii="Times New Roman" w:hAnsi="Times New Roman"/>
                <w:sz w:val="18"/>
                <w:szCs w:val="10"/>
              </w:rPr>
              <w:t>е</w:t>
            </w:r>
            <w:r w:rsidRPr="00171DED">
              <w:rPr>
                <w:rFonts w:ascii="Times New Roman" w:hAnsi="Times New Roman"/>
                <w:sz w:val="18"/>
                <w:szCs w:val="10"/>
              </w:rPr>
              <w:t xml:space="preserve"> в ПИПООС от 2019 г. Доклад за България</w:t>
            </w:r>
            <w:r w:rsidR="00792ADE" w:rsidRPr="00171DED">
              <w:rPr>
                <w:rFonts w:ascii="Times New Roman" w:hAnsi="Times New Roman"/>
                <w:sz w:val="18"/>
                <w:szCs w:val="10"/>
              </w:rPr>
              <w:t>: да  се  изградят  ефективни  структури  за управление  на  Натура 2000  с  подходящ административен и финансов капацитет.</w:t>
            </w:r>
          </w:p>
          <w:p w14:paraId="1C54D940" w14:textId="597B8C88" w:rsidR="00EC207B" w:rsidRPr="00171DED" w:rsidRDefault="00EC207B" w:rsidP="007B564B">
            <w:pPr>
              <w:tabs>
                <w:tab w:val="left" w:pos="168"/>
              </w:tabs>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препоръките от Доклада за България за 2019 г. и продължаване на усилията за спазване на изискванията на Директива 2008/50/ЕО, чрез надграждане на инвестициите </w:t>
            </w:r>
            <w:r w:rsidR="009747F3">
              <w:rPr>
                <w:rFonts w:ascii="Times New Roman" w:hAnsi="Times New Roman"/>
                <w:sz w:val="18"/>
                <w:szCs w:val="10"/>
              </w:rPr>
              <w:t>от</w:t>
            </w:r>
            <w:r w:rsidRPr="00171DED">
              <w:rPr>
                <w:rFonts w:ascii="Times New Roman" w:hAnsi="Times New Roman"/>
                <w:sz w:val="18"/>
                <w:szCs w:val="10"/>
              </w:rPr>
              <w:t xml:space="preserve"> 2014-2020</w:t>
            </w:r>
            <w:r w:rsidR="002072D9" w:rsidRPr="00171DED">
              <w:rPr>
                <w:rFonts w:ascii="Times New Roman" w:hAnsi="Times New Roman"/>
                <w:sz w:val="18"/>
                <w:szCs w:val="10"/>
              </w:rPr>
              <w:t>,</w:t>
            </w:r>
            <w:r w:rsidRPr="00171DED">
              <w:rPr>
                <w:rFonts w:ascii="Times New Roman" w:hAnsi="Times New Roman"/>
                <w:sz w:val="18"/>
                <w:szCs w:val="10"/>
              </w:rPr>
              <w:t xml:space="preserve"> адресиращи битовото отопление и транспорта като основни замърсители на въздуха. Инвестиции в съответствие с </w:t>
            </w:r>
            <w:r w:rsidR="002072D9" w:rsidRPr="00171DED">
              <w:rPr>
                <w:rFonts w:ascii="Times New Roman" w:hAnsi="Times New Roman"/>
                <w:sz w:val="18"/>
                <w:szCs w:val="10"/>
              </w:rPr>
              <w:t>НПКАВ</w:t>
            </w:r>
            <w:r w:rsidRPr="00171DED">
              <w:rPr>
                <w:rFonts w:ascii="Times New Roman" w:hAnsi="Times New Roman"/>
                <w:sz w:val="18"/>
                <w:szCs w:val="10"/>
              </w:rPr>
              <w:t xml:space="preserve"> 2018</w:t>
            </w:r>
            <w:r w:rsidR="009747F3">
              <w:rPr>
                <w:rFonts w:ascii="Times New Roman" w:hAnsi="Times New Roman"/>
                <w:sz w:val="18"/>
                <w:szCs w:val="10"/>
              </w:rPr>
              <w:t>-</w:t>
            </w:r>
            <w:r w:rsidRPr="00171DED">
              <w:rPr>
                <w:rFonts w:ascii="Times New Roman" w:hAnsi="Times New Roman"/>
                <w:sz w:val="18"/>
                <w:szCs w:val="10"/>
              </w:rPr>
              <w:t xml:space="preserve">2024 ще допринесат </w:t>
            </w:r>
            <w:r w:rsidR="002072D9" w:rsidRPr="00171DED">
              <w:rPr>
                <w:rFonts w:ascii="Times New Roman" w:hAnsi="Times New Roman"/>
                <w:sz w:val="18"/>
                <w:szCs w:val="10"/>
              </w:rPr>
              <w:t xml:space="preserve">и </w:t>
            </w:r>
            <w:r w:rsidRPr="00171DED">
              <w:rPr>
                <w:rFonts w:ascii="Times New Roman" w:hAnsi="Times New Roman"/>
                <w:sz w:val="18"/>
                <w:szCs w:val="10"/>
              </w:rPr>
              <w:t xml:space="preserve">за целите на </w:t>
            </w:r>
            <w:r w:rsidR="002072D9" w:rsidRPr="00171DED">
              <w:rPr>
                <w:rFonts w:ascii="Times New Roman" w:hAnsi="Times New Roman"/>
                <w:sz w:val="18"/>
                <w:szCs w:val="10"/>
              </w:rPr>
              <w:t xml:space="preserve">НПКЗВ </w:t>
            </w:r>
            <w:r w:rsidRPr="00171DED">
              <w:rPr>
                <w:rFonts w:ascii="Times New Roman" w:hAnsi="Times New Roman"/>
                <w:sz w:val="18"/>
                <w:szCs w:val="10"/>
              </w:rPr>
              <w:t xml:space="preserve">2020-2030. Предвижда се подкрепа за инвестиции за постигане на стандартите за </w:t>
            </w:r>
            <w:r w:rsidR="009747F3">
              <w:rPr>
                <w:rFonts w:ascii="Times New Roman" w:hAnsi="Times New Roman"/>
                <w:sz w:val="18"/>
                <w:szCs w:val="10"/>
              </w:rPr>
              <w:t>КАВ</w:t>
            </w:r>
            <w:r w:rsidRPr="00171DED">
              <w:rPr>
                <w:rFonts w:ascii="Times New Roman" w:hAnsi="Times New Roman"/>
                <w:sz w:val="18"/>
                <w:szCs w:val="10"/>
              </w:rPr>
              <w:t xml:space="preserve"> и, където е приложимо, </w:t>
            </w:r>
            <w:r w:rsidR="002072D9" w:rsidRPr="00171DED">
              <w:rPr>
                <w:rFonts w:ascii="Times New Roman" w:hAnsi="Times New Roman"/>
                <w:sz w:val="18"/>
                <w:szCs w:val="10"/>
              </w:rPr>
              <w:t>за</w:t>
            </w:r>
            <w:r w:rsidRPr="00171DED">
              <w:rPr>
                <w:rFonts w:ascii="Times New Roman" w:hAnsi="Times New Roman"/>
                <w:sz w:val="18"/>
                <w:szCs w:val="10"/>
              </w:rPr>
              <w:t>пазване съответствие</w:t>
            </w:r>
            <w:r w:rsidR="002072D9" w:rsidRPr="00171DED">
              <w:rPr>
                <w:rFonts w:ascii="Times New Roman" w:hAnsi="Times New Roman"/>
                <w:sz w:val="18"/>
                <w:szCs w:val="10"/>
              </w:rPr>
              <w:t>то</w:t>
            </w:r>
            <w:r w:rsidRPr="00171DED">
              <w:rPr>
                <w:rFonts w:ascii="Times New Roman" w:hAnsi="Times New Roman"/>
                <w:sz w:val="18"/>
                <w:szCs w:val="10"/>
              </w:rPr>
              <w:t xml:space="preserve"> с </w:t>
            </w:r>
            <w:r w:rsidR="002072D9" w:rsidRPr="00171DED">
              <w:rPr>
                <w:rFonts w:ascii="Times New Roman" w:hAnsi="Times New Roman"/>
                <w:sz w:val="18"/>
                <w:szCs w:val="10"/>
              </w:rPr>
              <w:t xml:space="preserve">нормите, </w:t>
            </w:r>
            <w:r w:rsidRPr="00171DED">
              <w:rPr>
                <w:rFonts w:ascii="Times New Roman" w:hAnsi="Times New Roman"/>
                <w:sz w:val="18"/>
                <w:szCs w:val="10"/>
              </w:rPr>
              <w:t xml:space="preserve">съгласно </w:t>
            </w:r>
            <w:r w:rsidR="002072D9" w:rsidRPr="00171DED">
              <w:rPr>
                <w:rFonts w:ascii="Times New Roman" w:hAnsi="Times New Roman"/>
                <w:sz w:val="18"/>
                <w:szCs w:val="10"/>
              </w:rPr>
              <w:t xml:space="preserve">Директивата </w:t>
            </w:r>
            <w:r w:rsidRPr="00171DED">
              <w:rPr>
                <w:rFonts w:ascii="Times New Roman" w:hAnsi="Times New Roman"/>
                <w:sz w:val="18"/>
                <w:szCs w:val="10"/>
              </w:rPr>
              <w:t>и националното законодателство. Изпълнението на мерките ще доведе до намаляване на емисиите</w:t>
            </w:r>
            <w:r w:rsidR="002072D9" w:rsidRPr="00171DED">
              <w:rPr>
                <w:rFonts w:ascii="Times New Roman" w:hAnsi="Times New Roman"/>
                <w:sz w:val="18"/>
                <w:szCs w:val="10"/>
              </w:rPr>
              <w:t xml:space="preserve"> и</w:t>
            </w:r>
            <w:r w:rsidRPr="00171DED">
              <w:rPr>
                <w:rFonts w:ascii="Times New Roman" w:hAnsi="Times New Roman"/>
                <w:sz w:val="18"/>
                <w:szCs w:val="10"/>
              </w:rPr>
              <w:t xml:space="preserve"> на </w:t>
            </w:r>
            <w:proofErr w:type="spellStart"/>
            <w:r w:rsidRPr="00171DED">
              <w:rPr>
                <w:rFonts w:ascii="Times New Roman" w:hAnsi="Times New Roman"/>
                <w:sz w:val="18"/>
                <w:szCs w:val="10"/>
              </w:rPr>
              <w:t>полициклични</w:t>
            </w:r>
            <w:proofErr w:type="spellEnd"/>
            <w:r w:rsidRPr="00171DED">
              <w:rPr>
                <w:rFonts w:ascii="Times New Roman" w:hAnsi="Times New Roman"/>
                <w:sz w:val="18"/>
                <w:szCs w:val="10"/>
              </w:rPr>
              <w:t xml:space="preserve"> ароматни въглеводороди и ще допринесе за изпълнение на ангажиментите </w:t>
            </w:r>
            <w:r w:rsidR="009747F3">
              <w:rPr>
                <w:rFonts w:ascii="Times New Roman" w:hAnsi="Times New Roman"/>
                <w:sz w:val="18"/>
                <w:szCs w:val="10"/>
              </w:rPr>
              <w:t>по</w:t>
            </w:r>
            <w:r w:rsidR="009747F3" w:rsidRPr="00171DED">
              <w:rPr>
                <w:rFonts w:ascii="Times New Roman" w:hAnsi="Times New Roman"/>
                <w:sz w:val="18"/>
                <w:szCs w:val="10"/>
              </w:rPr>
              <w:t xml:space="preserve"> </w:t>
            </w:r>
            <w:r w:rsidRPr="00171DED">
              <w:rPr>
                <w:rFonts w:ascii="Times New Roman" w:hAnsi="Times New Roman"/>
                <w:sz w:val="18"/>
                <w:szCs w:val="10"/>
              </w:rPr>
              <w:t xml:space="preserve">Директива (ЕС) 2016/2284. </w:t>
            </w:r>
            <w:r w:rsidR="002072D9" w:rsidRPr="00171DED">
              <w:rPr>
                <w:rFonts w:ascii="Times New Roman" w:hAnsi="Times New Roman"/>
                <w:sz w:val="18"/>
                <w:szCs w:val="10"/>
              </w:rPr>
              <w:t xml:space="preserve">Намесата </w:t>
            </w:r>
            <w:r w:rsidRPr="00171DED">
              <w:rPr>
                <w:rFonts w:ascii="Times New Roman" w:hAnsi="Times New Roman"/>
                <w:sz w:val="18"/>
                <w:szCs w:val="10"/>
              </w:rPr>
              <w:t>ще бъде приоритетно в подмяната на отоплителните уреди на твърдо гориво</w:t>
            </w:r>
            <w:r w:rsidR="002072D9" w:rsidRPr="00171DED">
              <w:rPr>
                <w:rFonts w:ascii="Times New Roman" w:hAnsi="Times New Roman"/>
                <w:sz w:val="18"/>
                <w:szCs w:val="10"/>
              </w:rPr>
              <w:t xml:space="preserve">, но също и насочена към замърсяването от </w:t>
            </w:r>
            <w:r w:rsidR="009747F3">
              <w:rPr>
                <w:rFonts w:ascii="Times New Roman" w:hAnsi="Times New Roman"/>
                <w:sz w:val="18"/>
                <w:szCs w:val="10"/>
              </w:rPr>
              <w:t>личните автомобили</w:t>
            </w:r>
            <w:r w:rsidR="002072D9" w:rsidRPr="00171DED">
              <w:rPr>
                <w:rFonts w:ascii="Times New Roman" w:hAnsi="Times New Roman"/>
                <w:sz w:val="18"/>
                <w:szCs w:val="10"/>
              </w:rPr>
              <w:t>, тъй като с</w:t>
            </w:r>
            <w:r w:rsidRPr="00171DED">
              <w:rPr>
                <w:rFonts w:ascii="Times New Roman" w:hAnsi="Times New Roman"/>
                <w:sz w:val="18"/>
                <w:szCs w:val="10"/>
              </w:rPr>
              <w:t>ъгл</w:t>
            </w:r>
            <w:r w:rsidR="002072D9" w:rsidRPr="00171DED">
              <w:rPr>
                <w:rFonts w:ascii="Times New Roman" w:hAnsi="Times New Roman"/>
                <w:sz w:val="18"/>
                <w:szCs w:val="10"/>
              </w:rPr>
              <w:t>.</w:t>
            </w:r>
            <w:r w:rsidRPr="00171DED">
              <w:rPr>
                <w:rFonts w:ascii="Times New Roman" w:hAnsi="Times New Roman"/>
                <w:sz w:val="18"/>
                <w:szCs w:val="10"/>
              </w:rPr>
              <w:t xml:space="preserve"> </w:t>
            </w:r>
            <w:r w:rsidR="002072D9" w:rsidRPr="00171DED">
              <w:rPr>
                <w:rFonts w:ascii="Times New Roman" w:hAnsi="Times New Roman"/>
                <w:sz w:val="18"/>
                <w:szCs w:val="10"/>
              </w:rPr>
              <w:t>НПКАВ</w:t>
            </w:r>
            <w:r w:rsidRPr="00171DED">
              <w:rPr>
                <w:rFonts w:ascii="Times New Roman" w:hAnsi="Times New Roman"/>
                <w:sz w:val="18"/>
                <w:szCs w:val="10"/>
              </w:rPr>
              <w:t xml:space="preserve"> до 2024 г. е необходимо „да се насърчи по-бързото използване на по-модерни, по-чисти превозни средства“.</w:t>
            </w:r>
          </w:p>
          <w:p w14:paraId="584CF00E" w14:textId="48FC5D9E" w:rsidR="00EC207B" w:rsidRPr="00171DED" w:rsidRDefault="002072D9" w:rsidP="00584F2A">
            <w:pPr>
              <w:spacing w:before="120" w:after="120"/>
              <w:jc w:val="both"/>
              <w:rPr>
                <w:rFonts w:ascii="Times New Roman" w:hAnsi="Times New Roman"/>
                <w:sz w:val="18"/>
                <w:szCs w:val="10"/>
              </w:rPr>
            </w:pPr>
            <w:r w:rsidRPr="00171DED">
              <w:rPr>
                <w:rFonts w:ascii="Times New Roman" w:hAnsi="Times New Roman"/>
                <w:sz w:val="18"/>
                <w:szCs w:val="10"/>
              </w:rPr>
              <w:t xml:space="preserve">Очакван принос за </w:t>
            </w:r>
            <w:r w:rsidR="00EC207B" w:rsidRPr="00171DED">
              <w:rPr>
                <w:rFonts w:ascii="Times New Roman" w:hAnsi="Times New Roman"/>
                <w:sz w:val="18"/>
                <w:szCs w:val="10"/>
              </w:rPr>
              <w:t>изпълнението на приоритетни действия в ПИПООС</w:t>
            </w:r>
            <w:r w:rsidR="00EE049F" w:rsidRPr="00171DED">
              <w:rPr>
                <w:rFonts w:ascii="Times New Roman" w:hAnsi="Times New Roman"/>
                <w:sz w:val="18"/>
                <w:szCs w:val="10"/>
              </w:rPr>
              <w:t xml:space="preserve"> от</w:t>
            </w:r>
            <w:r w:rsidR="00EC207B" w:rsidRPr="00171DED">
              <w:rPr>
                <w:rFonts w:ascii="Times New Roman" w:hAnsi="Times New Roman"/>
                <w:sz w:val="18"/>
                <w:szCs w:val="10"/>
              </w:rPr>
              <w:t xml:space="preserve"> 2019 г. </w:t>
            </w:r>
            <w:r w:rsidR="00EE049F" w:rsidRPr="00171DED">
              <w:rPr>
                <w:rFonts w:ascii="Times New Roman" w:hAnsi="Times New Roman"/>
                <w:sz w:val="18"/>
                <w:szCs w:val="10"/>
              </w:rPr>
              <w:t xml:space="preserve">Доклад </w:t>
            </w:r>
            <w:r w:rsidR="00EC207B" w:rsidRPr="00171DED">
              <w:rPr>
                <w:rFonts w:ascii="Times New Roman" w:hAnsi="Times New Roman"/>
                <w:sz w:val="18"/>
                <w:szCs w:val="10"/>
              </w:rPr>
              <w:t xml:space="preserve">за България: ускоряване на намалението на емисиите на </w:t>
            </w:r>
            <w:proofErr w:type="spellStart"/>
            <w:r w:rsidR="00EC207B" w:rsidRPr="00171DED">
              <w:rPr>
                <w:rFonts w:ascii="Times New Roman" w:hAnsi="Times New Roman"/>
                <w:sz w:val="18"/>
                <w:szCs w:val="10"/>
              </w:rPr>
              <w:t>NOx</w:t>
            </w:r>
            <w:proofErr w:type="spellEnd"/>
            <w:r w:rsidR="00EC207B" w:rsidRPr="00171DED">
              <w:rPr>
                <w:rFonts w:ascii="Times New Roman" w:hAnsi="Times New Roman"/>
                <w:sz w:val="18"/>
                <w:szCs w:val="10"/>
              </w:rPr>
              <w:t xml:space="preserve"> и концентрациите на NO2;</w:t>
            </w:r>
            <w:r w:rsidR="009747F3">
              <w:rPr>
                <w:rFonts w:ascii="Times New Roman" w:hAnsi="Times New Roman"/>
                <w:sz w:val="18"/>
                <w:szCs w:val="10"/>
              </w:rPr>
              <w:t xml:space="preserve"> </w:t>
            </w:r>
            <w:r w:rsidR="00EC207B" w:rsidRPr="00171DED">
              <w:rPr>
                <w:rFonts w:ascii="Times New Roman" w:hAnsi="Times New Roman"/>
                <w:sz w:val="18"/>
                <w:szCs w:val="10"/>
              </w:rPr>
              <w:t>ускоряване на намалението на емисиите и концентрацията на ФПЧ2.5 и ФПЧ10.</w:t>
            </w:r>
          </w:p>
        </w:tc>
      </w:tr>
      <w:tr w:rsidR="0044100D" w:rsidRPr="0010575B" w14:paraId="67895E49" w14:textId="77777777" w:rsidTr="0008367C">
        <w:tc>
          <w:tcPr>
            <w:tcW w:w="710" w:type="pct"/>
            <w:vAlign w:val="center"/>
          </w:tcPr>
          <w:p w14:paraId="5A1CC484" w14:textId="77777777"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57" w:type="pct"/>
          </w:tcPr>
          <w:p w14:paraId="1CABEE72" w14:textId="2A3B0F28"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Насърчаване на адаптирането към изменението на климата, на </w:t>
            </w:r>
            <w:r w:rsidRPr="00171DED">
              <w:rPr>
                <w:rFonts w:ascii="Times New Roman" w:hAnsi="Times New Roman"/>
                <w:sz w:val="18"/>
                <w:szCs w:val="10"/>
              </w:rPr>
              <w:lastRenderedPageBreak/>
              <w:t>предотвратяването и управлението на риска.</w:t>
            </w:r>
          </w:p>
        </w:tc>
        <w:tc>
          <w:tcPr>
            <w:tcW w:w="3333" w:type="pct"/>
          </w:tcPr>
          <w:p w14:paraId="0AE753E0" w14:textId="4B4CE6E8" w:rsidR="00792ADE"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w:t>
            </w:r>
            <w:r w:rsidRPr="00171DED">
              <w:rPr>
                <w:rFonts w:ascii="Times New Roman" w:hAnsi="Times New Roman"/>
                <w:sz w:val="18"/>
                <w:szCs w:val="10"/>
              </w:rPr>
              <w:lastRenderedPageBreak/>
              <w:t xml:space="preserve">климата. </w:t>
            </w:r>
            <w:r w:rsidR="00D83183" w:rsidRPr="00171DED">
              <w:rPr>
                <w:rFonts w:ascii="Times New Roman" w:hAnsi="Times New Roman"/>
                <w:sz w:val="18"/>
                <w:szCs w:val="10"/>
              </w:rPr>
              <w:t>И</w:t>
            </w:r>
            <w:r w:rsidRPr="00171DED">
              <w:rPr>
                <w:rFonts w:ascii="Times New Roman" w:hAnsi="Times New Roman"/>
                <w:sz w:val="18"/>
                <w:szCs w:val="10"/>
              </w:rPr>
              <w:t>зпълнение на мерки за превенция и управление на риска от наводнения, свлачища и надграждане на мерките от 2014-2020 г. с инвестиции, адресиращи засушавания, горски пожари, земетресения и други бедствия с природен характер</w:t>
            </w:r>
            <w:r w:rsidR="00D83183" w:rsidRPr="00171DED">
              <w:rPr>
                <w:rFonts w:ascii="Times New Roman" w:hAnsi="Times New Roman"/>
                <w:sz w:val="18"/>
                <w:szCs w:val="10"/>
              </w:rPr>
              <w:t xml:space="preserve"> съобразно разработените стратегически документи на национално ниво (Плана за управление на риска от бедствия – благоприятстващо условие за периода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Pr="00171DED">
              <w:rPr>
                <w:rFonts w:ascii="Times New Roman" w:hAnsi="Times New Roman"/>
                <w:sz w:val="18"/>
                <w:szCs w:val="10"/>
              </w:rPr>
              <w:t xml:space="preserve">. Планира се финансиране </w:t>
            </w:r>
            <w:r w:rsidR="00364B75" w:rsidRPr="00171DED">
              <w:rPr>
                <w:rFonts w:ascii="Times New Roman" w:hAnsi="Times New Roman"/>
                <w:sz w:val="18"/>
                <w:szCs w:val="10"/>
              </w:rPr>
              <w:t xml:space="preserve">изпълнението </w:t>
            </w:r>
            <w:r w:rsidRPr="00171DED">
              <w:rPr>
                <w:rFonts w:ascii="Times New Roman" w:hAnsi="Times New Roman"/>
                <w:sz w:val="18"/>
                <w:szCs w:val="10"/>
              </w:rPr>
              <w:t xml:space="preserve">на мерки от </w:t>
            </w:r>
            <w:r w:rsidR="00364B75" w:rsidRPr="00171DED">
              <w:rPr>
                <w:rFonts w:ascii="Times New Roman" w:hAnsi="Times New Roman"/>
                <w:sz w:val="18"/>
                <w:szCs w:val="10"/>
              </w:rPr>
              <w:t xml:space="preserve">ПУРН </w:t>
            </w:r>
            <w:r w:rsidRPr="00171DED">
              <w:rPr>
                <w:rFonts w:ascii="Times New Roman" w:hAnsi="Times New Roman"/>
                <w:sz w:val="18"/>
                <w:szCs w:val="10"/>
              </w:rPr>
              <w:t xml:space="preserve">с цел изпълнение на ангажиментите по Директивата за наводненията 2007/60/ЕО. Фокусът е върху превенция на риска за живота и здравето на населението; </w:t>
            </w:r>
            <w:r w:rsidR="00EC207B" w:rsidRPr="00171DED">
              <w:rPr>
                <w:rFonts w:ascii="Times New Roman" w:hAnsi="Times New Roman"/>
                <w:sz w:val="18"/>
                <w:szCs w:val="10"/>
              </w:rPr>
              <w:t xml:space="preserve">разширяване </w:t>
            </w:r>
            <w:r w:rsidRPr="00171DED">
              <w:rPr>
                <w:rFonts w:ascii="Times New Roman" w:hAnsi="Times New Roman"/>
                <w:sz w:val="18"/>
                <w:szCs w:val="10"/>
              </w:rPr>
              <w:t xml:space="preserve">на </w:t>
            </w:r>
            <w:r w:rsidR="00EC207B" w:rsidRPr="00171DED">
              <w:rPr>
                <w:rFonts w:ascii="Times New Roman" w:hAnsi="Times New Roman"/>
                <w:sz w:val="18"/>
                <w:szCs w:val="10"/>
              </w:rPr>
              <w:t xml:space="preserve">обхвата на пилотния проект за река Искър чрез разработването на националната </w:t>
            </w:r>
            <w:r w:rsidR="002071E4" w:rsidRPr="00171DED">
              <w:rPr>
                <w:rFonts w:ascii="Times New Roman" w:hAnsi="Times New Roman"/>
                <w:sz w:val="18"/>
                <w:szCs w:val="10"/>
              </w:rPr>
              <w:t xml:space="preserve">система за управление на водите в реално време </w:t>
            </w:r>
            <w:r w:rsidR="00EC207B" w:rsidRPr="00171DED">
              <w:rPr>
                <w:rFonts w:ascii="Times New Roman" w:hAnsi="Times New Roman"/>
                <w:sz w:val="18"/>
                <w:szCs w:val="10"/>
              </w:rPr>
              <w:t xml:space="preserve">и разширяване на обхвата на водните обекти, обхванати от системата, по-нататъшно развитие </w:t>
            </w:r>
            <w:r w:rsidR="002071E4" w:rsidRPr="00171DED">
              <w:rPr>
                <w:rFonts w:ascii="Times New Roman" w:hAnsi="Times New Roman"/>
                <w:sz w:val="18"/>
                <w:szCs w:val="10"/>
              </w:rPr>
              <w:t xml:space="preserve">на </w:t>
            </w:r>
            <w:r w:rsidRPr="00171DED">
              <w:rPr>
                <w:rFonts w:ascii="Times New Roman" w:hAnsi="Times New Roman"/>
                <w:sz w:val="18"/>
                <w:szCs w:val="10"/>
              </w:rPr>
              <w:t>съществуващи системи за управление на риска</w:t>
            </w:r>
            <w:r w:rsidR="002071E4" w:rsidRPr="00171DED">
              <w:rPr>
                <w:rFonts w:ascii="Times New Roman" w:hAnsi="Times New Roman"/>
                <w:sz w:val="18"/>
                <w:szCs w:val="10"/>
              </w:rPr>
              <w:t xml:space="preserve"> и за </w:t>
            </w:r>
            <w:r w:rsidR="00EC207B" w:rsidRPr="00171DED">
              <w:rPr>
                <w:rFonts w:ascii="Times New Roman" w:hAnsi="Times New Roman"/>
                <w:sz w:val="18"/>
                <w:szCs w:val="10"/>
              </w:rPr>
              <w:t xml:space="preserve">ранно </w:t>
            </w:r>
            <w:r w:rsidRPr="00171DED">
              <w:rPr>
                <w:rFonts w:ascii="Times New Roman" w:hAnsi="Times New Roman"/>
                <w:sz w:val="18"/>
                <w:szCs w:val="10"/>
              </w:rPr>
              <w:t>оповестяване</w:t>
            </w:r>
            <w:r w:rsidR="00EC207B" w:rsidRPr="00171DED">
              <w:rPr>
                <w:rFonts w:ascii="Times New Roman" w:hAnsi="Times New Roman"/>
                <w:sz w:val="18"/>
                <w:szCs w:val="10"/>
              </w:rPr>
              <w:t>,</w:t>
            </w:r>
            <w:r w:rsidRPr="00171DED">
              <w:rPr>
                <w:rFonts w:ascii="Times New Roman" w:hAnsi="Times New Roman"/>
                <w:sz w:val="18"/>
                <w:szCs w:val="10"/>
              </w:rPr>
              <w:t xml:space="preserve"> разширяване на техния обхват по отношение горски пожари, земетресения и други природни бедствия</w:t>
            </w:r>
            <w:r w:rsidR="002071E4" w:rsidRPr="00171DED">
              <w:rPr>
                <w:rFonts w:ascii="Times New Roman" w:hAnsi="Times New Roman"/>
                <w:sz w:val="18"/>
                <w:szCs w:val="10"/>
              </w:rPr>
              <w:t xml:space="preserve">; </w:t>
            </w:r>
            <w:r w:rsidRPr="00171DED">
              <w:rPr>
                <w:rFonts w:ascii="Times New Roman" w:hAnsi="Times New Roman"/>
                <w:sz w:val="18"/>
                <w:szCs w:val="10"/>
              </w:rPr>
              <w:t xml:space="preserve">продължаване инвестициите </w:t>
            </w:r>
            <w:r w:rsidR="00EC207B" w:rsidRPr="00171DED">
              <w:rPr>
                <w:rFonts w:ascii="Times New Roman" w:hAnsi="Times New Roman"/>
                <w:sz w:val="18"/>
                <w:szCs w:val="10"/>
              </w:rPr>
              <w:t>за</w:t>
            </w:r>
            <w:r w:rsidRPr="00171DED">
              <w:rPr>
                <w:rFonts w:ascii="Times New Roman" w:hAnsi="Times New Roman"/>
                <w:sz w:val="18"/>
                <w:szCs w:val="10"/>
              </w:rPr>
              <w:t xml:space="preserve"> подготовката на населението за реакция с цел намаляване риска от действия под афект. Подкрепа за мерки за преминаване от</w:t>
            </w:r>
            <w:r w:rsidR="00EC207B" w:rsidRPr="00171DED">
              <w:rPr>
                <w:rFonts w:ascii="Times New Roman" w:hAnsi="Times New Roman"/>
                <w:sz w:val="18"/>
                <w:szCs w:val="10"/>
              </w:rPr>
              <w:t xml:space="preserve"> ориентирана към реакция</w:t>
            </w:r>
            <w:r w:rsidRPr="00171DED">
              <w:rPr>
                <w:rFonts w:ascii="Times New Roman" w:hAnsi="Times New Roman"/>
                <w:sz w:val="18"/>
                <w:szCs w:val="10"/>
              </w:rPr>
              <w:t xml:space="preserve"> система за управление,  към по-цялостна система за предотвратяване и управление на риска от бедствия с цел насърчаване на адаптирането към изменението на климата</w:t>
            </w:r>
            <w:r w:rsidR="002071E4" w:rsidRPr="00171DED">
              <w:rPr>
                <w:rFonts w:ascii="Times New Roman" w:hAnsi="Times New Roman"/>
                <w:sz w:val="18"/>
                <w:szCs w:val="10"/>
              </w:rPr>
              <w:t>.</w:t>
            </w:r>
            <w:r w:rsidRPr="00171DED">
              <w:rPr>
                <w:rFonts w:ascii="Times New Roman" w:hAnsi="Times New Roman"/>
                <w:sz w:val="18"/>
                <w:szCs w:val="10"/>
              </w:rPr>
              <w:t xml:space="preserve"> Ще се подпомага изпълнението на мерки за готовност, като фокусът е в контекста на активите за реагиране на Европейския резерв за гражданска защита.</w:t>
            </w:r>
            <w:r w:rsidR="008D59EC" w:rsidRPr="00171DED">
              <w:t xml:space="preserve"> </w:t>
            </w:r>
            <w:r w:rsidR="008D59EC" w:rsidRPr="00171DED">
              <w:rPr>
                <w:rFonts w:ascii="Times New Roman" w:hAnsi="Times New Roman"/>
                <w:sz w:val="18"/>
                <w:szCs w:val="10"/>
              </w:rPr>
              <w:t xml:space="preserve">Във връзка с намаляване на въздействията от засушаване върху водните ресурси се </w:t>
            </w:r>
            <w:r w:rsidR="00EA3D1F" w:rsidRPr="00171DED">
              <w:rPr>
                <w:rFonts w:ascii="Times New Roman" w:hAnsi="Times New Roman"/>
                <w:sz w:val="18"/>
                <w:szCs w:val="10"/>
              </w:rPr>
              <w:t>п</w:t>
            </w:r>
            <w:r w:rsidR="00364B75" w:rsidRPr="00171DED">
              <w:rPr>
                <w:rFonts w:ascii="Times New Roman" w:hAnsi="Times New Roman"/>
                <w:sz w:val="18"/>
                <w:szCs w:val="10"/>
              </w:rPr>
              <w:t>редвижда подкрепа за извършването на</w:t>
            </w:r>
            <w:r w:rsidR="008D59EC" w:rsidRPr="00171DED">
              <w:rPr>
                <w:rFonts w:ascii="Times New Roman" w:hAnsi="Times New Roman"/>
                <w:sz w:val="18"/>
                <w:szCs w:val="10"/>
              </w:rPr>
              <w:t xml:space="preserve"> </w:t>
            </w:r>
            <w:r w:rsidR="00364B75" w:rsidRPr="00171DED">
              <w:rPr>
                <w:rFonts w:ascii="Times New Roman" w:hAnsi="Times New Roman"/>
                <w:sz w:val="18"/>
                <w:szCs w:val="10"/>
              </w:rPr>
              <w:t xml:space="preserve">проучвания, </w:t>
            </w:r>
            <w:r w:rsidR="008D59EC" w:rsidRPr="00171DED">
              <w:rPr>
                <w:rFonts w:ascii="Times New Roman" w:hAnsi="Times New Roman"/>
                <w:sz w:val="18"/>
                <w:szCs w:val="10"/>
              </w:rPr>
              <w:t xml:space="preserve">оценки и анализи </w:t>
            </w:r>
            <w:r w:rsidR="00364B75" w:rsidRPr="00171DED">
              <w:rPr>
                <w:rFonts w:ascii="Times New Roman" w:hAnsi="Times New Roman"/>
                <w:sz w:val="18"/>
                <w:szCs w:val="10"/>
              </w:rPr>
              <w:t xml:space="preserve">вкл. и във връзка с изготвяне на ПУРН за периода 2028-2033 г. </w:t>
            </w:r>
          </w:p>
        </w:tc>
      </w:tr>
    </w:tbl>
    <w:p w14:paraId="16F98AD0" w14:textId="3D0BDB92"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lastRenderedPageBreak/>
        <w:t>* Специалн</w:t>
      </w:r>
      <w:r w:rsidR="00E84599" w:rsidRPr="00171DED">
        <w:rPr>
          <w:rFonts w:ascii="Times New Roman" w:eastAsia="Calibri" w:hAnsi="Times New Roman" w:cs="Times New Roman"/>
          <w:i/>
          <w:noProof/>
          <w:sz w:val="18"/>
          <w:szCs w:val="20"/>
          <w:lang w:val="bg-BG" w:eastAsia="bg-BG" w:bidi="bg-BG"/>
        </w:rPr>
        <w:t>и</w:t>
      </w:r>
      <w:r w:rsidRPr="00171DED">
        <w:rPr>
          <w:rFonts w:ascii="Times New Roman" w:eastAsia="Calibri" w:hAnsi="Times New Roman" w:cs="Times New Roman"/>
          <w:i/>
          <w:noProof/>
          <w:sz w:val="18"/>
          <w:szCs w:val="20"/>
          <w:lang w:val="bg-BG" w:eastAsia="bg-BG" w:bidi="bg-BG"/>
        </w:rPr>
        <w:t xml:space="preserve"> приоритети според ЕСФ + регламент</w:t>
      </w:r>
    </w:p>
    <w:p w14:paraId="7E4F0CF3" w14:textId="77777777" w:rsidR="00722757" w:rsidRPr="00171DED" w:rsidRDefault="00722757" w:rsidP="00722757">
      <w:pPr>
        <w:spacing w:before="120" w:after="0" w:line="240" w:lineRule="auto"/>
        <w:jc w:val="both"/>
        <w:rPr>
          <w:rFonts w:ascii="Times New Roman" w:eastAsia="Times New Roman" w:hAnsi="Times New Roman" w:cs="Times New Roman"/>
          <w:i/>
          <w:noProof/>
          <w:sz w:val="16"/>
          <w:szCs w:val="16"/>
          <w:lang w:val="bg-BG" w:eastAsia="bg-BG" w:bidi="bg-BG"/>
        </w:rPr>
      </w:pPr>
    </w:p>
    <w:p w14:paraId="39B0B9BE" w14:textId="77777777" w:rsidR="00722757" w:rsidRPr="00171DED"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За ЕФМДР:</w:t>
      </w:r>
    </w:p>
    <w:tbl>
      <w:tblPr>
        <w:tblStyle w:val="TableGrid"/>
        <w:tblW w:w="5000" w:type="pct"/>
        <w:tblLook w:val="04A0" w:firstRow="1" w:lastRow="0" w:firstColumn="1" w:lastColumn="0" w:noHBand="0" w:noVBand="1"/>
      </w:tblPr>
      <w:tblGrid>
        <w:gridCol w:w="1286"/>
        <w:gridCol w:w="1210"/>
        <w:gridCol w:w="3059"/>
        <w:gridCol w:w="3507"/>
      </w:tblGrid>
      <w:tr w:rsidR="0002412D" w:rsidRPr="00171DED" w14:paraId="662EC0E7" w14:textId="77777777" w:rsidTr="00921261">
        <w:tc>
          <w:tcPr>
            <w:tcW w:w="5000" w:type="pct"/>
            <w:gridSpan w:val="4"/>
          </w:tcPr>
          <w:p w14:paraId="4BD2846A"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Таблица 1 A</w:t>
            </w:r>
          </w:p>
        </w:tc>
      </w:tr>
      <w:tr w:rsidR="0002412D" w:rsidRPr="00171DED" w14:paraId="60D17312" w14:textId="77777777" w:rsidTr="00921261">
        <w:tc>
          <w:tcPr>
            <w:tcW w:w="530" w:type="pct"/>
          </w:tcPr>
          <w:p w14:paraId="2AAB5B6D"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 xml:space="preserve">Цел на политиката </w:t>
            </w:r>
          </w:p>
        </w:tc>
        <w:tc>
          <w:tcPr>
            <w:tcW w:w="481" w:type="pct"/>
          </w:tcPr>
          <w:p w14:paraId="0ADF2198"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Приоритет</w:t>
            </w:r>
          </w:p>
        </w:tc>
        <w:tc>
          <w:tcPr>
            <w:tcW w:w="1871" w:type="pct"/>
          </w:tcPr>
          <w:p w14:paraId="2D187227"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SWOT анализ (за всеки приоритет)</w:t>
            </w:r>
          </w:p>
          <w:p w14:paraId="1DE002E9"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2118" w:type="pct"/>
          </w:tcPr>
          <w:p w14:paraId="35DC55B9"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Обосновка (резюме)</w:t>
            </w:r>
          </w:p>
        </w:tc>
      </w:tr>
      <w:tr w:rsidR="0002412D" w:rsidRPr="00171DED" w14:paraId="68BF5B68" w14:textId="77777777" w:rsidTr="00921261">
        <w:trPr>
          <w:trHeight w:val="42"/>
        </w:trPr>
        <w:tc>
          <w:tcPr>
            <w:tcW w:w="530" w:type="pct"/>
            <w:vMerge w:val="restart"/>
          </w:tcPr>
          <w:p w14:paraId="5E3863B6"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481" w:type="pct"/>
            <w:vMerge w:val="restart"/>
          </w:tcPr>
          <w:p w14:paraId="345625B8" w14:textId="77777777" w:rsidR="00722757" w:rsidRPr="00171DED" w:rsidRDefault="00722757" w:rsidP="007B564B">
            <w:pPr>
              <w:spacing w:before="120" w:after="120"/>
              <w:jc w:val="both"/>
              <w:rPr>
                <w:rFonts w:ascii="Times New Roman" w:eastAsia="Times New Roman" w:hAnsi="Times New Roman" w:cs="Times New Roman"/>
                <w:i/>
                <w:iCs/>
                <w:noProof/>
                <w:color w:val="A6A6A6" w:themeColor="background1" w:themeShade="A6"/>
                <w:sz w:val="20"/>
                <w:szCs w:val="20"/>
              </w:rPr>
            </w:pPr>
          </w:p>
        </w:tc>
        <w:tc>
          <w:tcPr>
            <w:tcW w:w="1871" w:type="pct"/>
          </w:tcPr>
          <w:p w14:paraId="67F1CD32"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Силни страни</w:t>
            </w:r>
          </w:p>
          <w:p w14:paraId="4259F0B3"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 xml:space="preserve"> [10 000 за всеки приоритет]</w:t>
            </w:r>
            <w:r w:rsidRPr="00171DED">
              <w:rPr>
                <w:rFonts w:ascii="Times New Roman" w:eastAsia="Calibri" w:hAnsi="Times New Roman" w:cs="Times New Roman"/>
                <w:noProof/>
                <w:color w:val="A6A6A6" w:themeColor="background1" w:themeShade="A6"/>
                <w:sz w:val="24"/>
                <w:szCs w:val="20"/>
              </w:rPr>
              <w:tab/>
            </w:r>
          </w:p>
        </w:tc>
        <w:tc>
          <w:tcPr>
            <w:tcW w:w="2118" w:type="pct"/>
            <w:vMerge w:val="restart"/>
          </w:tcPr>
          <w:p w14:paraId="0F73CE55"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[20 000 за всеки приоритет]</w:t>
            </w:r>
          </w:p>
        </w:tc>
      </w:tr>
      <w:tr w:rsidR="00722757" w:rsidRPr="0010575B" w14:paraId="7AB8C288" w14:textId="77777777" w:rsidTr="00921261">
        <w:trPr>
          <w:trHeight w:val="39"/>
        </w:trPr>
        <w:tc>
          <w:tcPr>
            <w:tcW w:w="530" w:type="pct"/>
            <w:vMerge/>
          </w:tcPr>
          <w:p w14:paraId="10229E65"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1B23349A"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30A5BC5B"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Слаби страни</w:t>
            </w:r>
          </w:p>
          <w:p w14:paraId="6137C2A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33345BF6"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761A8338" w14:textId="77777777" w:rsidTr="00921261">
        <w:trPr>
          <w:trHeight w:val="39"/>
        </w:trPr>
        <w:tc>
          <w:tcPr>
            <w:tcW w:w="530" w:type="pct"/>
            <w:vMerge/>
          </w:tcPr>
          <w:p w14:paraId="1D0BD744"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6A4E08EB"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4EB90892"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Възможности</w:t>
            </w:r>
          </w:p>
          <w:p w14:paraId="2B8AA3C7"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00B9E1D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4D4AB088" w14:textId="77777777" w:rsidTr="00921261">
        <w:trPr>
          <w:trHeight w:val="39"/>
        </w:trPr>
        <w:tc>
          <w:tcPr>
            <w:tcW w:w="530" w:type="pct"/>
            <w:vMerge/>
          </w:tcPr>
          <w:p w14:paraId="7228F46D"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2835F35C"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38C5CA58"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Заплахи</w:t>
            </w:r>
          </w:p>
          <w:p w14:paraId="16F0551B"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1CFDBD0F"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6C383CDD" w14:textId="77777777" w:rsidTr="00921261">
        <w:trPr>
          <w:trHeight w:val="39"/>
        </w:trPr>
        <w:tc>
          <w:tcPr>
            <w:tcW w:w="530" w:type="pct"/>
            <w:vMerge/>
          </w:tcPr>
          <w:p w14:paraId="45632134"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06FDB2E4"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4DC496F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9E150AA"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23E03AB0"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Приоритети, различни от техническа помощ</w:t>
      </w:r>
    </w:p>
    <w:p w14:paraId="11B6A6F5" w14:textId="77777777"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2 и член 17, параграф 3, буква в)</w:t>
      </w:r>
    </w:p>
    <w:p w14:paraId="272FB602" w14:textId="77777777" w:rsidR="00722757" w:rsidRPr="00171DED" w:rsidRDefault="00722757" w:rsidP="00722757">
      <w:pPr>
        <w:spacing w:before="240" w:after="240" w:line="240" w:lineRule="auto"/>
        <w:jc w:val="both"/>
        <w:rPr>
          <w:rFonts w:ascii="Times New Roman" w:eastAsia="Times New Roman"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722757" w:rsidRPr="00171DED" w14:paraId="3A7EF274" w14:textId="77777777" w:rsidTr="00921261">
        <w:trPr>
          <w:trHeight w:val="600"/>
        </w:trPr>
        <w:tc>
          <w:tcPr>
            <w:tcW w:w="835" w:type="dxa"/>
            <w:shd w:val="clear" w:color="auto" w:fill="auto"/>
            <w:hideMark/>
          </w:tcPr>
          <w:p w14:paraId="6C663C9F"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Идентификационен код</w:t>
            </w:r>
          </w:p>
        </w:tc>
        <w:tc>
          <w:tcPr>
            <w:tcW w:w="1680" w:type="dxa"/>
            <w:shd w:val="clear" w:color="auto" w:fill="auto"/>
            <w:hideMark/>
          </w:tcPr>
          <w:p w14:paraId="29308E0F"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Наименование[300]</w:t>
            </w:r>
          </w:p>
        </w:tc>
        <w:tc>
          <w:tcPr>
            <w:tcW w:w="960" w:type="dxa"/>
            <w:shd w:val="clear" w:color="auto" w:fill="auto"/>
            <w:hideMark/>
          </w:tcPr>
          <w:p w14:paraId="46C69750"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Техническа помощ</w:t>
            </w:r>
          </w:p>
        </w:tc>
        <w:tc>
          <w:tcPr>
            <w:tcW w:w="1800" w:type="dxa"/>
            <w:shd w:val="clear" w:color="auto" w:fill="auto"/>
          </w:tcPr>
          <w:p w14:paraId="4BA7A4F0"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Основа за изчисление</w:t>
            </w:r>
          </w:p>
        </w:tc>
        <w:tc>
          <w:tcPr>
            <w:tcW w:w="1200" w:type="dxa"/>
            <w:shd w:val="clear" w:color="auto" w:fill="auto"/>
            <w:hideMark/>
          </w:tcPr>
          <w:p w14:paraId="796F72F6"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Фонд</w:t>
            </w:r>
          </w:p>
        </w:tc>
        <w:tc>
          <w:tcPr>
            <w:tcW w:w="1680" w:type="dxa"/>
            <w:shd w:val="clear" w:color="auto" w:fill="auto"/>
            <w:hideMark/>
          </w:tcPr>
          <w:p w14:paraId="439A3729"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Категория на подпомагания регион</w:t>
            </w:r>
          </w:p>
        </w:tc>
        <w:tc>
          <w:tcPr>
            <w:tcW w:w="1920" w:type="dxa"/>
          </w:tcPr>
          <w:p w14:paraId="0E42FA09" w14:textId="77777777" w:rsidR="00722757" w:rsidRPr="00171DED" w:rsidRDefault="00722757" w:rsidP="007B564B">
            <w:pPr>
              <w:spacing w:before="120" w:after="0" w:line="240" w:lineRule="auto"/>
              <w:ind w:right="191"/>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 xml:space="preserve">Избрана специфична цел </w:t>
            </w:r>
          </w:p>
        </w:tc>
      </w:tr>
      <w:tr w:rsidR="00563F63" w:rsidRPr="0010575B" w14:paraId="5C9D175F" w14:textId="77777777" w:rsidTr="00921261">
        <w:trPr>
          <w:trHeight w:val="528"/>
        </w:trPr>
        <w:tc>
          <w:tcPr>
            <w:tcW w:w="835" w:type="dxa"/>
            <w:vMerge w:val="restart"/>
            <w:shd w:val="clear" w:color="auto" w:fill="auto"/>
            <w:noWrap/>
            <w:hideMark/>
          </w:tcPr>
          <w:p w14:paraId="3328150C"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1</w:t>
            </w:r>
          </w:p>
        </w:tc>
        <w:tc>
          <w:tcPr>
            <w:tcW w:w="1680" w:type="dxa"/>
            <w:vMerge w:val="restart"/>
            <w:shd w:val="clear" w:color="auto" w:fill="auto"/>
            <w:noWrap/>
            <w:hideMark/>
          </w:tcPr>
          <w:p w14:paraId="23BC3D16"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1 „Води“</w:t>
            </w:r>
          </w:p>
        </w:tc>
        <w:tc>
          <w:tcPr>
            <w:tcW w:w="960" w:type="dxa"/>
            <w:vMerge w:val="restart"/>
            <w:shd w:val="clear" w:color="auto" w:fill="auto"/>
            <w:noWrap/>
            <w:hideMark/>
          </w:tcPr>
          <w:p w14:paraId="078032A9"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5C2443AD"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hideMark/>
          </w:tcPr>
          <w:p w14:paraId="76452C38"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ЕФРР</w:t>
            </w:r>
          </w:p>
        </w:tc>
        <w:tc>
          <w:tcPr>
            <w:tcW w:w="1680" w:type="dxa"/>
            <w:shd w:val="clear" w:color="auto" w:fill="auto"/>
            <w:noWrap/>
            <w:vAlign w:val="center"/>
            <w:hideMark/>
          </w:tcPr>
          <w:p w14:paraId="56BE6185"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1920" w:type="dxa"/>
            <w:vMerge w:val="restart"/>
          </w:tcPr>
          <w:p w14:paraId="60B00AD9" w14:textId="57337B96" w:rsidR="00563F63" w:rsidRPr="00171DED" w:rsidRDefault="00043D39" w:rsidP="007B564B">
            <w:pPr>
              <w:spacing w:before="120" w:after="0" w:line="240" w:lineRule="auto"/>
              <w:ind w:right="191"/>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w:t>
            </w:r>
            <w:r w:rsidR="00563F63" w:rsidRPr="00171DED">
              <w:rPr>
                <w:rFonts w:ascii="Times New Roman" w:eastAsia="Calibri" w:hAnsi="Times New Roman" w:cs="Times New Roman"/>
                <w:noProof/>
                <w:sz w:val="20"/>
                <w:szCs w:val="20"/>
                <w:lang w:val="bg-BG" w:eastAsia="bg-BG" w:bidi="bg-BG"/>
              </w:rPr>
              <w:t>1</w:t>
            </w:r>
            <w:r w:rsidR="00563F63" w:rsidRPr="00171DED">
              <w:rPr>
                <w:rFonts w:ascii="Calibri" w:eastAsia="Calibri" w:hAnsi="Calibri" w:cs="Times New Roman"/>
                <w:lang w:val="bg-BG" w:eastAsia="zh-CN"/>
              </w:rPr>
              <w:t xml:space="preserve"> </w:t>
            </w:r>
            <w:r w:rsidR="00D36DBE" w:rsidRPr="00171DED">
              <w:rPr>
                <w:rFonts w:ascii="Times New Roman" w:eastAsia="Calibri" w:hAnsi="Times New Roman" w:cs="Times New Roman"/>
                <w:noProof/>
                <w:sz w:val="20"/>
                <w:szCs w:val="20"/>
                <w:lang w:val="bg-BG" w:eastAsia="bg-BG" w:bidi="bg-BG"/>
              </w:rPr>
              <w:t>“</w:t>
            </w:r>
            <w:r w:rsidR="00563F63" w:rsidRPr="00171DED">
              <w:rPr>
                <w:rFonts w:ascii="Times New Roman" w:eastAsia="Calibri" w:hAnsi="Times New Roman" w:cs="Times New Roman"/>
                <w:noProof/>
                <w:sz w:val="20"/>
                <w:szCs w:val="20"/>
                <w:lang w:val="bg-BG" w:eastAsia="bg-BG" w:bidi="bg-BG"/>
              </w:rPr>
              <w:t>Насърчаване на устойчивото управление на водите“</w:t>
            </w:r>
          </w:p>
        </w:tc>
      </w:tr>
      <w:tr w:rsidR="00563F63" w:rsidRPr="00171DED" w14:paraId="0B194D58" w14:textId="77777777" w:rsidTr="00921261">
        <w:trPr>
          <w:trHeight w:val="564"/>
        </w:trPr>
        <w:tc>
          <w:tcPr>
            <w:tcW w:w="835" w:type="dxa"/>
            <w:vMerge/>
          </w:tcPr>
          <w:p w14:paraId="119690F9"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584464CA"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52DB8C66"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4BA5F7ED"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392514E4"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vAlign w:val="center"/>
          </w:tcPr>
          <w:p w14:paraId="5E9F47D7" w14:textId="77777777" w:rsidR="00563F63" w:rsidRPr="00171DED" w:rsidRDefault="00563F63"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1F93FB38" w14:textId="77777777" w:rsidR="00563F63" w:rsidRPr="00171DED" w:rsidRDefault="00563F63" w:rsidP="007B564B">
            <w:pPr>
              <w:spacing w:before="120" w:after="0" w:line="240" w:lineRule="auto"/>
              <w:ind w:right="1492"/>
              <w:jc w:val="center"/>
              <w:rPr>
                <w:rFonts w:ascii="Times New Roman" w:eastAsia="Times New Roman" w:hAnsi="Times New Roman" w:cs="Times New Roman"/>
                <w:noProof/>
                <w:sz w:val="20"/>
                <w:szCs w:val="20"/>
                <w:lang w:val="bg-BG" w:eastAsia="bg-BG" w:bidi="bg-BG"/>
              </w:rPr>
            </w:pPr>
          </w:p>
        </w:tc>
      </w:tr>
      <w:tr w:rsidR="00043D39" w:rsidRPr="00171DED" w14:paraId="114596E9" w14:textId="77777777" w:rsidTr="00921261">
        <w:trPr>
          <w:trHeight w:val="827"/>
        </w:trPr>
        <w:tc>
          <w:tcPr>
            <w:tcW w:w="835" w:type="dxa"/>
            <w:vMerge/>
          </w:tcPr>
          <w:p w14:paraId="64B8CCB5"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20922E3F"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2304EF58"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0F5ECF40"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43417A47"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tcPr>
          <w:p w14:paraId="41FCE031"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Най-отдалечени и слабо населени региони</w:t>
            </w:r>
          </w:p>
        </w:tc>
        <w:tc>
          <w:tcPr>
            <w:tcW w:w="1920" w:type="dxa"/>
          </w:tcPr>
          <w:p w14:paraId="1D318EF2" w14:textId="77777777" w:rsidR="00043D39" w:rsidRPr="00171DED" w:rsidRDefault="00043D39" w:rsidP="007B564B">
            <w:pPr>
              <w:spacing w:before="120" w:after="0" w:line="240" w:lineRule="auto"/>
              <w:ind w:right="191"/>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2</w:t>
            </w:r>
          </w:p>
        </w:tc>
      </w:tr>
      <w:tr w:rsidR="00055821" w:rsidRPr="0010575B" w14:paraId="08A3861A" w14:textId="77777777" w:rsidTr="00ED4BB8">
        <w:trPr>
          <w:trHeight w:val="1740"/>
        </w:trPr>
        <w:tc>
          <w:tcPr>
            <w:tcW w:w="835" w:type="dxa"/>
            <w:shd w:val="clear" w:color="auto" w:fill="auto"/>
            <w:noWrap/>
          </w:tcPr>
          <w:p w14:paraId="35BB1694"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2</w:t>
            </w:r>
          </w:p>
        </w:tc>
        <w:tc>
          <w:tcPr>
            <w:tcW w:w="1680" w:type="dxa"/>
            <w:shd w:val="clear" w:color="auto" w:fill="auto"/>
            <w:noWrap/>
          </w:tcPr>
          <w:p w14:paraId="655DEC80"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2 „Отпадъци“</w:t>
            </w:r>
          </w:p>
          <w:p w14:paraId="5F46E84E"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shd w:val="clear" w:color="auto" w:fill="auto"/>
            <w:noWrap/>
          </w:tcPr>
          <w:p w14:paraId="3E4AD134"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57487BB3"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12BE6AA1"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Times New Roman" w:hAnsi="Times New Roman" w:cs="Times New Roman"/>
                <w:noProof/>
                <w:sz w:val="20"/>
                <w:szCs w:val="20"/>
                <w:lang w:val="bg-BG" w:eastAsia="bg-BG" w:bidi="bg-BG"/>
              </w:rPr>
              <w:t>КФ</w:t>
            </w:r>
          </w:p>
        </w:tc>
        <w:tc>
          <w:tcPr>
            <w:tcW w:w="1680" w:type="dxa"/>
            <w:shd w:val="clear" w:color="auto" w:fill="auto"/>
            <w:noWrap/>
          </w:tcPr>
          <w:p w14:paraId="2E0D6BD8" w14:textId="05625664" w:rsidR="00055821" w:rsidRPr="00171DED" w:rsidRDefault="0061271E"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Times New Roman" w:hAnsi="Times New Roman" w:cs="Times New Roman"/>
                <w:noProof/>
                <w:sz w:val="20"/>
                <w:szCs w:val="20"/>
                <w:lang w:val="bg-BG" w:eastAsia="bg-BG" w:bidi="bg-BG"/>
              </w:rPr>
              <w:t>НП</w:t>
            </w:r>
          </w:p>
        </w:tc>
        <w:tc>
          <w:tcPr>
            <w:tcW w:w="1920" w:type="dxa"/>
          </w:tcPr>
          <w:p w14:paraId="53EF10A3"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СЦ1</w:t>
            </w:r>
          </w:p>
          <w:p w14:paraId="155E2EE2" w14:textId="74ECE875"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 xml:space="preserve">“Насърчаване на прехода към кръгова </w:t>
            </w:r>
            <w:r w:rsidR="002856AF" w:rsidRPr="00171DED">
              <w:rPr>
                <w:rFonts w:ascii="Times New Roman" w:eastAsia="Calibri" w:hAnsi="Times New Roman" w:cs="Times New Roman"/>
                <w:noProof/>
                <w:sz w:val="20"/>
                <w:szCs w:val="20"/>
                <w:lang w:val="bg-BG" w:eastAsia="bg-BG" w:bidi="bg-BG"/>
              </w:rPr>
              <w:t xml:space="preserve">и ресурсно ефективна </w:t>
            </w:r>
            <w:r w:rsidRPr="00171DED">
              <w:rPr>
                <w:rFonts w:ascii="Times New Roman" w:eastAsia="Calibri" w:hAnsi="Times New Roman" w:cs="Times New Roman"/>
                <w:noProof/>
                <w:sz w:val="20"/>
                <w:szCs w:val="20"/>
                <w:lang w:val="bg-BG" w:eastAsia="bg-BG" w:bidi="bg-BG"/>
              </w:rPr>
              <w:t>икономика”</w:t>
            </w:r>
          </w:p>
          <w:p w14:paraId="59395CA2"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p>
        </w:tc>
      </w:tr>
      <w:tr w:rsidR="00055821" w:rsidRPr="0010575B" w14:paraId="79B77300" w14:textId="77777777" w:rsidTr="00ED4BB8">
        <w:trPr>
          <w:trHeight w:val="2310"/>
        </w:trPr>
        <w:tc>
          <w:tcPr>
            <w:tcW w:w="835" w:type="dxa"/>
            <w:shd w:val="clear" w:color="auto" w:fill="auto"/>
            <w:noWrap/>
          </w:tcPr>
          <w:p w14:paraId="274FD558"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3</w:t>
            </w:r>
          </w:p>
        </w:tc>
        <w:tc>
          <w:tcPr>
            <w:tcW w:w="1680" w:type="dxa"/>
            <w:shd w:val="clear" w:color="auto" w:fill="auto"/>
            <w:noWrap/>
          </w:tcPr>
          <w:p w14:paraId="3CB849C4" w14:textId="77777777" w:rsidR="00055821" w:rsidRPr="00171DED" w:rsidRDefault="00055821" w:rsidP="007B564B">
            <w:pPr>
              <w:spacing w:before="120" w:after="0" w:line="240" w:lineRule="auto"/>
              <w:jc w:val="center"/>
              <w:rPr>
                <w:rFonts w:ascii="Times New Roman" w:eastAsia="Calibri" w:hAnsi="Times New Roman" w:cs="Times New Roman"/>
                <w:bCs/>
                <w:iCs/>
                <w:noProof/>
                <w:sz w:val="20"/>
                <w:szCs w:val="20"/>
                <w:lang w:val="bg-BG" w:eastAsia="bg-BG" w:bidi="bg-BG"/>
              </w:rPr>
            </w:pPr>
            <w:r w:rsidRPr="00171DED">
              <w:rPr>
                <w:rFonts w:ascii="Times New Roman" w:eastAsia="Calibri" w:hAnsi="Times New Roman" w:cs="Times New Roman"/>
                <w:bCs/>
                <w:iCs/>
                <w:noProof/>
                <w:sz w:val="20"/>
                <w:szCs w:val="20"/>
                <w:lang w:val="bg-BG" w:eastAsia="bg-BG" w:bidi="bg-BG"/>
              </w:rPr>
              <w:t xml:space="preserve">Приоритет 3 </w:t>
            </w:r>
            <w:r w:rsidRPr="00171DED">
              <w:rPr>
                <w:rFonts w:ascii="Times New Roman" w:eastAsia="Calibri" w:hAnsi="Times New Roman" w:cs="Times New Roman"/>
                <w:bCs/>
                <w:iCs/>
                <w:noProof/>
                <w:sz w:val="20"/>
                <w:szCs w:val="20"/>
                <w:lang w:eastAsia="bg-BG" w:bidi="bg-BG"/>
              </w:rPr>
              <w:t>„Биологично разнообразие“</w:t>
            </w:r>
          </w:p>
          <w:p w14:paraId="04F2B1E8" w14:textId="77777777" w:rsidR="00055821" w:rsidRPr="00171DED" w:rsidRDefault="00055821" w:rsidP="007B564B">
            <w:pPr>
              <w:spacing w:before="120" w:after="0" w:line="240" w:lineRule="auto"/>
              <w:jc w:val="center"/>
              <w:rPr>
                <w:rFonts w:ascii="Times New Roman" w:eastAsia="Calibri" w:hAnsi="Times New Roman" w:cs="Times New Roman"/>
                <w:bCs/>
                <w:iCs/>
                <w:noProof/>
                <w:sz w:val="20"/>
                <w:szCs w:val="20"/>
                <w:lang w:val="bg-BG" w:eastAsia="bg-BG" w:bidi="bg-BG"/>
              </w:rPr>
            </w:pPr>
          </w:p>
        </w:tc>
        <w:tc>
          <w:tcPr>
            <w:tcW w:w="960" w:type="dxa"/>
            <w:shd w:val="clear" w:color="auto" w:fill="auto"/>
            <w:noWrap/>
          </w:tcPr>
          <w:p w14:paraId="6D9FD29E"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275FE03A"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2429C90B" w14:textId="60433D34" w:rsidR="008122C5" w:rsidRPr="00171DED" w:rsidRDefault="008122C5" w:rsidP="008122C5">
            <w:pPr>
              <w:spacing w:before="120" w:after="0" w:line="240" w:lineRule="auto"/>
              <w:jc w:val="center"/>
              <w:rPr>
                <w:rFonts w:ascii="Times New Roman" w:eastAsia="Calibri" w:hAnsi="Times New Roman" w:cs="Times New Roman"/>
                <w:noProof/>
                <w:sz w:val="20"/>
                <w:szCs w:val="20"/>
                <w:lang w:val="bg-BG" w:eastAsia="bg-BG" w:bidi="bg-BG"/>
              </w:rPr>
            </w:pPr>
            <w:r>
              <w:rPr>
                <w:rFonts w:ascii="Times New Roman" w:eastAsia="Calibri" w:hAnsi="Times New Roman" w:cs="Times New Roman"/>
                <w:noProof/>
                <w:sz w:val="20"/>
                <w:szCs w:val="20"/>
                <w:lang w:val="bg-BG" w:eastAsia="bg-BG" w:bidi="bg-BG"/>
              </w:rPr>
              <w:t>ЕФРР</w:t>
            </w:r>
          </w:p>
        </w:tc>
        <w:tc>
          <w:tcPr>
            <w:tcW w:w="1680" w:type="dxa"/>
            <w:shd w:val="clear" w:color="auto" w:fill="auto"/>
            <w:noWrap/>
          </w:tcPr>
          <w:p w14:paraId="721278C5" w14:textId="1015706C" w:rsidR="00055821" w:rsidRPr="00171DED" w:rsidRDefault="0061271E"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НП</w:t>
            </w:r>
          </w:p>
        </w:tc>
        <w:tc>
          <w:tcPr>
            <w:tcW w:w="1920" w:type="dxa"/>
          </w:tcPr>
          <w:p w14:paraId="49B00C3C"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СЦ1</w:t>
            </w:r>
          </w:p>
          <w:p w14:paraId="01D23E94"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B9472D" w:rsidRPr="0010575B" w14:paraId="596606BA" w14:textId="77777777" w:rsidTr="00C70C5A">
        <w:trPr>
          <w:trHeight w:val="995"/>
        </w:trPr>
        <w:tc>
          <w:tcPr>
            <w:tcW w:w="835" w:type="dxa"/>
            <w:vMerge w:val="restart"/>
            <w:shd w:val="clear" w:color="auto" w:fill="auto"/>
            <w:noWrap/>
            <w:vAlign w:val="center"/>
          </w:tcPr>
          <w:p w14:paraId="380D3093"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4</w:t>
            </w:r>
          </w:p>
        </w:tc>
        <w:tc>
          <w:tcPr>
            <w:tcW w:w="1680" w:type="dxa"/>
            <w:vMerge w:val="restart"/>
            <w:shd w:val="clear" w:color="auto" w:fill="auto"/>
            <w:noWrap/>
            <w:vAlign w:val="center"/>
          </w:tcPr>
          <w:p w14:paraId="6D0D440D" w14:textId="43D7ED12" w:rsidR="00B9472D" w:rsidRPr="00171DED" w:rsidRDefault="00B9472D" w:rsidP="007B564B">
            <w:pPr>
              <w:spacing w:before="120" w:after="0" w:line="240" w:lineRule="auto"/>
              <w:jc w:val="center"/>
              <w:rPr>
                <w:rFonts w:ascii="Times New Roman" w:eastAsia="Calibri" w:hAnsi="Times New Roman" w:cs="Times New Roman"/>
                <w:b/>
                <w:bCs/>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4</w:t>
            </w:r>
            <w:r w:rsidRPr="00171DED">
              <w:rPr>
                <w:rFonts w:ascii="Times New Roman" w:eastAsia="Calibri" w:hAnsi="Times New Roman" w:cs="Times New Roman"/>
                <w:bCs/>
                <w:noProof/>
                <w:sz w:val="20"/>
                <w:szCs w:val="20"/>
                <w:lang w:val="bg-BG" w:eastAsia="bg-BG" w:bidi="bg-BG"/>
              </w:rPr>
              <w:t xml:space="preserve">„Риск </w:t>
            </w:r>
            <w:r w:rsidR="00AC57F7" w:rsidRPr="00171DED">
              <w:rPr>
                <w:rFonts w:ascii="Times New Roman" w:eastAsia="Calibri" w:hAnsi="Times New Roman" w:cs="Times New Roman"/>
                <w:bCs/>
                <w:noProof/>
                <w:sz w:val="20"/>
                <w:szCs w:val="20"/>
                <w:lang w:val="bg-BG" w:eastAsia="bg-BG" w:bidi="bg-BG"/>
              </w:rPr>
              <w:t>и изменение на климата</w:t>
            </w:r>
            <w:r w:rsidRPr="00171DED">
              <w:rPr>
                <w:rFonts w:ascii="Times New Roman" w:eastAsia="Calibri" w:hAnsi="Times New Roman" w:cs="Times New Roman"/>
                <w:bCs/>
                <w:noProof/>
                <w:sz w:val="20"/>
                <w:szCs w:val="20"/>
                <w:lang w:val="bg-BG" w:eastAsia="bg-BG" w:bidi="bg-BG"/>
              </w:rPr>
              <w:t>“</w:t>
            </w:r>
          </w:p>
        </w:tc>
        <w:tc>
          <w:tcPr>
            <w:tcW w:w="960" w:type="dxa"/>
            <w:vMerge w:val="restart"/>
            <w:shd w:val="clear" w:color="auto" w:fill="auto"/>
            <w:noWrap/>
          </w:tcPr>
          <w:p w14:paraId="30F89FF5" w14:textId="3D9E990D" w:rsidR="00B9472D" w:rsidRPr="00171DED" w:rsidRDefault="00A00458"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4D1D4FF2" w14:textId="77777777" w:rsidR="00B9472D" w:rsidRPr="00171DED" w:rsidRDefault="00B9472D"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vAlign w:val="center"/>
          </w:tcPr>
          <w:p w14:paraId="7890DDDD"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ЕФРР</w:t>
            </w:r>
          </w:p>
        </w:tc>
        <w:tc>
          <w:tcPr>
            <w:tcW w:w="1680" w:type="dxa"/>
            <w:shd w:val="clear" w:color="auto" w:fill="auto"/>
            <w:noWrap/>
          </w:tcPr>
          <w:p w14:paraId="689C5727"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1920" w:type="dxa"/>
            <w:vMerge w:val="restart"/>
          </w:tcPr>
          <w:p w14:paraId="50C85459" w14:textId="77777777" w:rsidR="00B9472D" w:rsidRPr="00171DED" w:rsidRDefault="00B9472D"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 1</w:t>
            </w:r>
          </w:p>
          <w:p w14:paraId="3058CABA" w14:textId="320E5141" w:rsidR="00B9472D" w:rsidRPr="00171DED" w:rsidRDefault="004B485C"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„Насърчаване на адаптирането към изменението на климата, на предотвратяването и управлението на риска“</w:t>
            </w:r>
          </w:p>
        </w:tc>
      </w:tr>
      <w:tr w:rsidR="00B9472D" w:rsidRPr="00171DED" w14:paraId="48BBD942" w14:textId="77777777" w:rsidTr="00921261">
        <w:trPr>
          <w:trHeight w:val="300"/>
        </w:trPr>
        <w:tc>
          <w:tcPr>
            <w:tcW w:w="835" w:type="dxa"/>
            <w:vMerge/>
            <w:shd w:val="clear" w:color="auto" w:fill="auto"/>
            <w:noWrap/>
            <w:vAlign w:val="center"/>
          </w:tcPr>
          <w:p w14:paraId="3A1D0083"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680" w:type="dxa"/>
            <w:vMerge/>
            <w:shd w:val="clear" w:color="auto" w:fill="auto"/>
            <w:noWrap/>
            <w:vAlign w:val="center"/>
          </w:tcPr>
          <w:p w14:paraId="05A96D7F"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960" w:type="dxa"/>
            <w:vMerge/>
            <w:shd w:val="clear" w:color="auto" w:fill="auto"/>
            <w:noWrap/>
          </w:tcPr>
          <w:p w14:paraId="4FDA54B0"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800" w:type="dxa"/>
            <w:vMerge/>
            <w:shd w:val="clear" w:color="auto" w:fill="auto"/>
            <w:noWrap/>
          </w:tcPr>
          <w:p w14:paraId="05EFBC95" w14:textId="77777777" w:rsidR="00B9472D" w:rsidRPr="00171DED" w:rsidRDefault="00B9472D"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vAlign w:val="center"/>
          </w:tcPr>
          <w:p w14:paraId="59224F08"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680" w:type="dxa"/>
            <w:shd w:val="clear" w:color="auto" w:fill="auto"/>
            <w:noWrap/>
          </w:tcPr>
          <w:p w14:paraId="143EDADF"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4A5F653E" w14:textId="77777777" w:rsidR="00B9472D" w:rsidRPr="00171DED" w:rsidRDefault="00B9472D" w:rsidP="007B564B">
            <w:pPr>
              <w:spacing w:before="120" w:after="0" w:line="240" w:lineRule="auto"/>
              <w:ind w:right="1492"/>
              <w:jc w:val="center"/>
              <w:rPr>
                <w:rFonts w:ascii="Times New Roman" w:eastAsia="Times New Roman" w:hAnsi="Times New Roman" w:cs="Times New Roman"/>
                <w:noProof/>
                <w:sz w:val="20"/>
                <w:szCs w:val="20"/>
                <w:lang w:val="bg-BG" w:eastAsia="bg-BG" w:bidi="bg-BG"/>
              </w:rPr>
            </w:pPr>
          </w:p>
        </w:tc>
      </w:tr>
      <w:tr w:rsidR="00055821" w:rsidRPr="0010575B" w14:paraId="5BC84E1A" w14:textId="77777777" w:rsidTr="00ED4BB8">
        <w:trPr>
          <w:trHeight w:val="2952"/>
        </w:trPr>
        <w:tc>
          <w:tcPr>
            <w:tcW w:w="835" w:type="dxa"/>
            <w:shd w:val="clear" w:color="auto" w:fill="auto"/>
            <w:noWrap/>
            <w:vAlign w:val="center"/>
          </w:tcPr>
          <w:p w14:paraId="698A9BBB"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lastRenderedPageBreak/>
              <w:t>5</w:t>
            </w:r>
          </w:p>
        </w:tc>
        <w:tc>
          <w:tcPr>
            <w:tcW w:w="1680" w:type="dxa"/>
            <w:shd w:val="clear" w:color="auto" w:fill="auto"/>
            <w:noWrap/>
            <w:vAlign w:val="center"/>
          </w:tcPr>
          <w:p w14:paraId="05853E36"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5</w:t>
            </w:r>
            <w:r w:rsidRPr="00171DED">
              <w:rPr>
                <w:rFonts w:ascii="Times New Roman" w:eastAsia="Calibri" w:hAnsi="Times New Roman" w:cs="Times New Roman"/>
                <w:bCs/>
                <w:noProof/>
                <w:sz w:val="20"/>
                <w:szCs w:val="20"/>
                <w:lang w:eastAsia="bg-BG" w:bidi="bg-BG"/>
              </w:rPr>
              <w:t>„Въздух“</w:t>
            </w:r>
          </w:p>
        </w:tc>
        <w:tc>
          <w:tcPr>
            <w:tcW w:w="960" w:type="dxa"/>
            <w:shd w:val="clear" w:color="auto" w:fill="auto"/>
            <w:noWrap/>
          </w:tcPr>
          <w:p w14:paraId="63B058F5" w14:textId="4156E235"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7F51A9CF"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vAlign w:val="center"/>
          </w:tcPr>
          <w:p w14:paraId="7AEC5F3C"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КФ</w:t>
            </w:r>
          </w:p>
        </w:tc>
        <w:tc>
          <w:tcPr>
            <w:tcW w:w="1680" w:type="dxa"/>
            <w:shd w:val="clear" w:color="auto" w:fill="auto"/>
            <w:noWrap/>
            <w:vAlign w:val="center"/>
          </w:tcPr>
          <w:p w14:paraId="590E7682"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920" w:type="dxa"/>
          </w:tcPr>
          <w:p w14:paraId="1AE540DB"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 1</w:t>
            </w:r>
          </w:p>
          <w:p w14:paraId="67F5CD0D"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A00458" w:rsidRPr="00171DED" w14:paraId="660F5838" w14:textId="77777777" w:rsidTr="00921261">
        <w:trPr>
          <w:trHeight w:val="300"/>
        </w:trPr>
        <w:tc>
          <w:tcPr>
            <w:tcW w:w="835" w:type="dxa"/>
            <w:shd w:val="clear" w:color="auto" w:fill="auto"/>
            <w:noWrap/>
            <w:hideMark/>
          </w:tcPr>
          <w:p w14:paraId="5137467C"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5097DBB0"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на младежката заетост</w:t>
            </w:r>
          </w:p>
        </w:tc>
        <w:tc>
          <w:tcPr>
            <w:tcW w:w="960" w:type="dxa"/>
            <w:shd w:val="clear" w:color="auto" w:fill="auto"/>
            <w:noWrap/>
            <w:hideMark/>
          </w:tcPr>
          <w:p w14:paraId="6CD3C434"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131AF3DB"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0C09E0DE"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720462FC"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2D56628C" w14:textId="77777777" w:rsidR="00A00458" w:rsidRPr="00171DED" w:rsidRDefault="00A00458" w:rsidP="007B564B">
            <w:pPr>
              <w:spacing w:before="120" w:after="0" w:line="240" w:lineRule="auto"/>
              <w:ind w:right="149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171DED" w14:paraId="07F0224D" w14:textId="77777777" w:rsidTr="00921261">
        <w:trPr>
          <w:trHeight w:val="300"/>
        </w:trPr>
        <w:tc>
          <w:tcPr>
            <w:tcW w:w="835" w:type="dxa"/>
            <w:shd w:val="clear" w:color="auto" w:fill="auto"/>
            <w:noWrap/>
            <w:hideMark/>
          </w:tcPr>
          <w:p w14:paraId="75B8417E"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38B5873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 xml:space="preserve"> Специален приоритет относно специфичните за всяка държава препоръки</w:t>
            </w:r>
          </w:p>
        </w:tc>
        <w:tc>
          <w:tcPr>
            <w:tcW w:w="960" w:type="dxa"/>
            <w:shd w:val="clear" w:color="auto" w:fill="auto"/>
            <w:noWrap/>
            <w:hideMark/>
          </w:tcPr>
          <w:p w14:paraId="2711405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5BDE3101"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760AE6AD"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1B40699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111FB1AE" w14:textId="77777777" w:rsidR="00A00458" w:rsidRPr="00171DED" w:rsidRDefault="00A00458" w:rsidP="007B564B">
            <w:pPr>
              <w:spacing w:before="120" w:after="0" w:line="240" w:lineRule="auto"/>
              <w:ind w:right="149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171DED" w14:paraId="3A37880F" w14:textId="77777777" w:rsidTr="00921261">
        <w:trPr>
          <w:trHeight w:val="300"/>
        </w:trPr>
        <w:tc>
          <w:tcPr>
            <w:tcW w:w="835" w:type="dxa"/>
            <w:shd w:val="clear" w:color="auto" w:fill="auto"/>
            <w:noWrap/>
            <w:hideMark/>
          </w:tcPr>
          <w:p w14:paraId="22609F6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tcPr>
          <w:p w14:paraId="6FCF9ABD"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за иновативни действия</w:t>
            </w:r>
          </w:p>
        </w:tc>
        <w:tc>
          <w:tcPr>
            <w:tcW w:w="960" w:type="dxa"/>
            <w:shd w:val="clear" w:color="auto" w:fill="auto"/>
            <w:noWrap/>
          </w:tcPr>
          <w:p w14:paraId="0A70359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0DC43E6B"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3C9B4592"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2BC8BC72"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4EF2230D" w14:textId="77777777" w:rsidR="00A00458" w:rsidRPr="00171DED" w:rsidRDefault="00A00458" w:rsidP="007B564B">
            <w:pPr>
              <w:spacing w:before="120" w:after="0" w:line="240" w:lineRule="auto"/>
              <w:ind w:right="333"/>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8</w:t>
            </w:r>
          </w:p>
        </w:tc>
      </w:tr>
      <w:tr w:rsidR="00A00458" w:rsidRPr="00171DED" w14:paraId="0D3220D7" w14:textId="77777777" w:rsidTr="00921261">
        <w:trPr>
          <w:trHeight w:val="300"/>
        </w:trPr>
        <w:tc>
          <w:tcPr>
            <w:tcW w:w="835" w:type="dxa"/>
            <w:shd w:val="clear" w:color="auto" w:fill="auto"/>
            <w:noWrap/>
          </w:tcPr>
          <w:p w14:paraId="7F6B7539"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680" w:type="dxa"/>
            <w:shd w:val="clear" w:color="auto" w:fill="auto"/>
            <w:noWrap/>
          </w:tcPr>
          <w:p w14:paraId="587CFA60"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„Материални лишения“</w:t>
            </w:r>
          </w:p>
        </w:tc>
        <w:tc>
          <w:tcPr>
            <w:tcW w:w="960" w:type="dxa"/>
            <w:shd w:val="clear" w:color="auto" w:fill="auto"/>
            <w:noWrap/>
          </w:tcPr>
          <w:p w14:paraId="4D9E19A7"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454B014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697C999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6C1D3AC7"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3864C6F9" w14:textId="77777777" w:rsidR="00A00458" w:rsidRPr="00171DED" w:rsidRDefault="00A00458" w:rsidP="007B564B">
            <w:pPr>
              <w:spacing w:before="120" w:after="0" w:line="240" w:lineRule="auto"/>
              <w:ind w:right="333"/>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9</w:t>
            </w:r>
          </w:p>
        </w:tc>
      </w:tr>
    </w:tbl>
    <w:p w14:paraId="57229E89"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6628E414" w14:textId="77777777"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2FE5DBB0" w:rsidR="00F10306" w:rsidRPr="0049273B" w:rsidRDefault="001F4CC9" w:rsidP="00722757">
      <w:pPr>
        <w:spacing w:before="240" w:after="240" w:line="240" w:lineRule="auto"/>
        <w:jc w:val="both"/>
        <w:rPr>
          <w:rFonts w:ascii="Times New Roman" w:hAnsi="Times New Roman"/>
          <w:b/>
          <w:sz w:val="24"/>
        </w:rPr>
      </w:pPr>
      <w:r w:rsidRPr="0049273B">
        <w:rPr>
          <w:rFonts w:ascii="Times New Roman" w:eastAsia="Times New Roman" w:hAnsi="Times New Roman" w:cs="Times New Roman"/>
          <w:b/>
          <w:iCs/>
          <w:noProof/>
          <w:sz w:val="24"/>
          <w:szCs w:val="24"/>
          <w:lang w:val="bg-BG" w:eastAsia="bg-BG" w:bidi="bg-BG"/>
        </w:rPr>
        <w:t>Приоритет</w:t>
      </w:r>
      <w:r w:rsidR="009A0644" w:rsidRPr="0049273B">
        <w:rPr>
          <w:rFonts w:ascii="Times New Roman" w:eastAsia="Times New Roman" w:hAnsi="Times New Roman" w:cs="Times New Roman"/>
          <w:b/>
          <w:iCs/>
          <w:noProof/>
          <w:sz w:val="24"/>
          <w:szCs w:val="24"/>
          <w:lang w:val="bg-BG" w:eastAsia="bg-BG" w:bidi="bg-BG"/>
        </w:rPr>
        <w:t xml:space="preserve"> </w:t>
      </w:r>
      <w:r w:rsidRPr="0049273B">
        <w:rPr>
          <w:rFonts w:ascii="Times New Roman" w:eastAsia="Times New Roman" w:hAnsi="Times New Roman" w:cs="Times New Roman"/>
          <w:b/>
          <w:iCs/>
          <w:noProof/>
          <w:sz w:val="24"/>
          <w:szCs w:val="24"/>
          <w:lang w:val="bg-BG" w:eastAsia="bg-BG" w:bidi="bg-BG"/>
        </w:rPr>
        <w:t xml:space="preserve">1 </w:t>
      </w:r>
      <w:r w:rsidR="001B7C99" w:rsidRPr="0049273B">
        <w:rPr>
          <w:rFonts w:ascii="Times New Roman" w:eastAsia="Times New Roman" w:hAnsi="Times New Roman" w:cs="Times New Roman"/>
          <w:b/>
          <w:iCs/>
          <w:noProof/>
          <w:sz w:val="24"/>
          <w:szCs w:val="24"/>
          <w:lang w:val="bg-BG" w:eastAsia="bg-BG" w:bidi="bg-BG"/>
        </w:rPr>
        <w:t>„</w:t>
      </w:r>
      <w:r w:rsidR="00380438" w:rsidRPr="0049273B">
        <w:rPr>
          <w:rFonts w:ascii="Times New Roman" w:eastAsia="Times New Roman" w:hAnsi="Times New Roman" w:cs="Times New Roman"/>
          <w:b/>
          <w:iCs/>
          <w:noProof/>
          <w:sz w:val="24"/>
          <w:szCs w:val="24"/>
          <w:lang w:val="bg-BG" w:eastAsia="bg-BG" w:bidi="bg-BG"/>
        </w:rPr>
        <w:t>Води</w:t>
      </w:r>
      <w:r w:rsidRPr="0049273B">
        <w:rPr>
          <w:rFonts w:ascii="Times New Roman" w:eastAsia="Times New Roman" w:hAnsi="Times New Roman" w:cs="Times New Roman"/>
          <w:b/>
          <w:iCs/>
          <w:noProof/>
          <w:sz w:val="24"/>
          <w:szCs w:val="24"/>
          <w:lang w:val="bg-B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171DED" w14:paraId="6BC60EB2" w14:textId="77777777" w:rsidTr="00473073">
        <w:tc>
          <w:tcPr>
            <w:tcW w:w="9322" w:type="dxa"/>
          </w:tcPr>
          <w:p w14:paraId="5120A0CF" w14:textId="77777777" w:rsidR="00722757" w:rsidRPr="00171DED" w:rsidRDefault="00722757" w:rsidP="00722757">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722757" w:rsidRPr="00171DED" w14:paraId="2386A0F3" w14:textId="77777777" w:rsidTr="00473073">
        <w:tc>
          <w:tcPr>
            <w:tcW w:w="9322" w:type="dxa"/>
          </w:tcPr>
          <w:p w14:paraId="282EB947" w14:textId="77777777"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722757" w:rsidRPr="00171DED" w14:paraId="746CC9DF" w14:textId="77777777" w:rsidTr="00473073">
        <w:tc>
          <w:tcPr>
            <w:tcW w:w="9322" w:type="dxa"/>
          </w:tcPr>
          <w:p w14:paraId="7ED9610A" w14:textId="77777777"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722757" w:rsidRPr="00171DED" w14:paraId="0C27A7D2" w14:textId="77777777" w:rsidTr="00473073">
        <w:tc>
          <w:tcPr>
            <w:tcW w:w="9322" w:type="dxa"/>
          </w:tcPr>
          <w:p w14:paraId="0C8958FD" w14:textId="23001B32"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w:t>
            </w:r>
            <w:r w:rsidR="00A00458"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A00458" w:rsidRPr="00171DED" w14:paraId="7AEB0F90" w14:textId="77777777" w:rsidTr="00473073">
        <w:tc>
          <w:tcPr>
            <w:tcW w:w="9322" w:type="dxa"/>
          </w:tcPr>
          <w:p w14:paraId="4A6E0CBA" w14:textId="26FE8BA5" w:rsidR="00A00458" w:rsidRPr="00171DED" w:rsidRDefault="007B49B2"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00A00458"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685DE8D2"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75B9AFB4"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6F969069" w14:textId="4E272291"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за приоритетите, различни от техническа помощ</w:t>
      </w:r>
    </w:p>
    <w:p w14:paraId="7E2F0E71" w14:textId="2029D7F0" w:rsidR="00627787" w:rsidRPr="00171DED"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Times New Roman" w:hAnsi="Times New Roman" w:cs="Times New Roman"/>
          <w:bCs/>
          <w:iCs/>
          <w:noProof/>
          <w:sz w:val="24"/>
          <w:szCs w:val="24"/>
          <w:lang w:val="bg-BG" w:eastAsia="bg-BG" w:bidi="bg-BG"/>
        </w:rPr>
        <w:lastRenderedPageBreak/>
        <w:t xml:space="preserve">Специфична цел: </w:t>
      </w:r>
      <w:r w:rsidR="003403BB">
        <w:rPr>
          <w:rFonts w:ascii="Times New Roman" w:eastAsia="Times New Roman" w:hAnsi="Times New Roman" w:cs="Times New Roman"/>
          <w:bCs/>
          <w:iCs/>
          <w:noProof/>
          <w:sz w:val="24"/>
          <w:szCs w:val="24"/>
          <w:lang w:val="bg-BG" w:eastAsia="bg-BG" w:bidi="bg-BG"/>
        </w:rPr>
        <w:t>„</w:t>
      </w:r>
      <w:r w:rsidRPr="00171DED">
        <w:rPr>
          <w:rFonts w:ascii="Times New Roman" w:eastAsia="Times New Roman" w:hAnsi="Times New Roman" w:cs="Times New Roman"/>
          <w:bCs/>
          <w:iCs/>
          <w:noProof/>
          <w:sz w:val="24"/>
          <w:szCs w:val="24"/>
          <w:lang w:val="bg-BG" w:eastAsia="bg-BG" w:bidi="bg-BG"/>
        </w:rPr>
        <w:t>Насърчаване на устойчивото управление на водите”</w:t>
      </w:r>
    </w:p>
    <w:p w14:paraId="6E4A0075"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4E62037E" w14:textId="77777777" w:rsidR="00055821"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171DED">
        <w:rPr>
          <w:rFonts w:ascii="Times New Roman" w:eastAsia="Calibri" w:hAnsi="Times New Roman" w:cs="Times New Roman"/>
          <w:i/>
          <w:noProof/>
          <w:sz w:val="24"/>
          <w:szCs w:val="20"/>
          <w:lang w:val="bg-BG" w:eastAsia="bg-BG" w:bidi="bg-BG"/>
        </w:rPr>
        <w:t>iiia)</w:t>
      </w:r>
      <w:r w:rsidR="00055821"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iv) v) vi);</w:t>
      </w:r>
    </w:p>
    <w:p w14:paraId="32BB10DA" w14:textId="0D09124B"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97834" w:rsidRPr="00171DED">
        <w:rPr>
          <w:rFonts w:ascii="Times New Roman" w:eastAsia="Calibri" w:hAnsi="Times New Roman" w:cs="Times New Roman"/>
          <w:i/>
          <w:noProof/>
          <w:sz w:val="24"/>
          <w:szCs w:val="20"/>
          <w:lang w:val="bg-BG" w:eastAsia="bg-BG" w:bidi="bg-BG"/>
        </w:rPr>
        <w:t xml:space="preserve"> от Общия Регламент</w:t>
      </w:r>
      <w:r w:rsidR="006D3743" w:rsidRPr="00171DED">
        <w:rPr>
          <w:rFonts w:ascii="Times New Roman" w:eastAsia="Calibri" w:hAnsi="Times New Roman" w:cs="Times New Roman"/>
          <w:i/>
          <w:noProof/>
          <w:sz w:val="24"/>
          <w:szCs w:val="20"/>
          <w:lang w:val="bg-BG" w:eastAsia="bg-BG" w:bidi="bg-BG"/>
        </w:rPr>
        <w:t>;</w:t>
      </w:r>
      <w:r w:rsidR="006D3743" w:rsidRPr="00171DED">
        <w:rPr>
          <w:lang w:val="bg-BG"/>
        </w:rPr>
        <w:t xml:space="preserve"> </w:t>
      </w:r>
      <w:r w:rsidR="00250902" w:rsidRPr="00171DED">
        <w:rPr>
          <w:rFonts w:ascii="Times New Roman" w:eastAsia="Calibri" w:hAnsi="Times New Roman" w:cs="Times New Roman"/>
          <w:i/>
          <w:noProof/>
          <w:sz w:val="24"/>
          <w:szCs w:val="20"/>
          <w:lang w:val="bg-BG" w:eastAsia="bg-BG" w:bidi="bg-BG"/>
        </w:rPr>
        <w:t xml:space="preserve">Член 6 ал.(2) от Регламент за </w:t>
      </w:r>
      <w:r w:rsidR="00055821" w:rsidRPr="00171DED">
        <w:rPr>
          <w:rFonts w:ascii="Times New Roman" w:eastAsia="Calibri" w:hAnsi="Times New Roman" w:cs="Times New Roman"/>
          <w:i/>
          <w:noProof/>
          <w:sz w:val="24"/>
          <w:szCs w:val="20"/>
          <w:lang w:val="bg-BG" w:eastAsia="bg-BG" w:bidi="bg-BG"/>
        </w:rPr>
        <w:t>ЕСФ+</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722757" w:rsidRPr="0010575B" w14:paraId="0B65F1B6" w14:textId="77777777" w:rsidTr="004628D7">
        <w:tc>
          <w:tcPr>
            <w:tcW w:w="9062" w:type="dxa"/>
          </w:tcPr>
          <w:p w14:paraId="4D825AA7" w14:textId="4414D2C4" w:rsidR="00722757" w:rsidRPr="00171DED" w:rsidRDefault="00722757" w:rsidP="007B564B">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[8</w:t>
            </w:r>
            <w:r w:rsidR="001D091E"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1FBD0278" w14:textId="2130CEDE" w:rsidR="00473FFF"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събиране, отвеждане и </w:t>
            </w:r>
            <w:r w:rsidR="004628D7" w:rsidRPr="00171DED">
              <w:rPr>
                <w:rFonts w:ascii="Times New Roman" w:eastAsia="Times New Roman" w:hAnsi="Times New Roman" w:cs="Times New Roman"/>
                <w:noProof/>
                <w:sz w:val="24"/>
                <w:szCs w:val="20"/>
              </w:rPr>
              <w:t xml:space="preserve">пречистване на отпадъчни води </w:t>
            </w:r>
            <w:r w:rsidR="00D85622"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за постигане на съответствие с Директива 91/271/ЕИО</w:t>
            </w:r>
            <w:r w:rsidR="00E22A46"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w:t>
            </w:r>
          </w:p>
          <w:p w14:paraId="1CDCA23F" w14:textId="6C70C0D6" w:rsidR="00F10306"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водоснабдяване за постигане на съответствие с Директива 98/83/ЕО с принос към намаляване на загубите на вода по водопреносната мрежа; </w:t>
            </w:r>
          </w:p>
          <w:p w14:paraId="15A5669C" w14:textId="3A73A994" w:rsidR="00473FFF" w:rsidRPr="00584F2A" w:rsidRDefault="00473FFF">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 единствено при финализиране на водната реформа и след консолидиране на последните 6 области в страната;</w:t>
            </w:r>
          </w:p>
          <w:p w14:paraId="5DE65B97" w14:textId="0ADBFEA8" w:rsidR="00D85622" w:rsidRPr="00171DED" w:rsidRDefault="00952916" w:rsidP="00584F2A">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Разработване </w:t>
            </w:r>
            <w:r w:rsidR="00F10306" w:rsidRPr="00171DED">
              <w:rPr>
                <w:rFonts w:ascii="Times New Roman" w:eastAsia="Times New Roman" w:hAnsi="Times New Roman" w:cs="Times New Roman"/>
                <w:noProof/>
                <w:sz w:val="24"/>
                <w:szCs w:val="20"/>
              </w:rPr>
              <w:t>на стратегически</w:t>
            </w:r>
            <w:r w:rsidR="009D5D56" w:rsidRPr="00171DED">
              <w:rPr>
                <w:rFonts w:ascii="Times New Roman" w:eastAsia="Times New Roman" w:hAnsi="Times New Roman" w:cs="Times New Roman"/>
                <w:noProof/>
                <w:sz w:val="24"/>
                <w:szCs w:val="20"/>
              </w:rPr>
              <w:t>, програмни и планови</w:t>
            </w:r>
            <w:r w:rsidR="00F10306" w:rsidRPr="00171DED">
              <w:rPr>
                <w:rFonts w:ascii="Times New Roman" w:eastAsia="Times New Roman" w:hAnsi="Times New Roman" w:cs="Times New Roman"/>
                <w:noProof/>
                <w:sz w:val="24"/>
                <w:szCs w:val="20"/>
              </w:rPr>
              <w:t xml:space="preserve"> документи в сектор „Води“ и </w:t>
            </w:r>
            <w:r w:rsidR="00280E1F" w:rsidRPr="00171DED">
              <w:rPr>
                <w:rFonts w:ascii="Times New Roman" w:eastAsia="Times New Roman" w:hAnsi="Times New Roman" w:cs="Times New Roman"/>
                <w:noProof/>
                <w:sz w:val="24"/>
                <w:szCs w:val="20"/>
              </w:rPr>
              <w:t xml:space="preserve">за </w:t>
            </w:r>
            <w:r w:rsidR="00F10306" w:rsidRPr="00171DED">
              <w:rPr>
                <w:rFonts w:ascii="Times New Roman" w:eastAsia="Times New Roman" w:hAnsi="Times New Roman" w:cs="Times New Roman"/>
                <w:noProof/>
                <w:sz w:val="24"/>
                <w:szCs w:val="20"/>
              </w:rPr>
              <w:t xml:space="preserve">отрасъл „ВиК“, </w:t>
            </w:r>
            <w:r w:rsidR="00D508C8" w:rsidRPr="00171DED">
              <w:rPr>
                <w:rFonts w:ascii="Times New Roman" w:eastAsia="Times New Roman" w:hAnsi="Times New Roman" w:cs="Times New Roman"/>
                <w:noProof/>
                <w:sz w:val="24"/>
                <w:szCs w:val="20"/>
              </w:rPr>
              <w:t>вкл.</w:t>
            </w:r>
            <w:r w:rsidR="00F10306" w:rsidRPr="00171DED">
              <w:rPr>
                <w:rFonts w:ascii="Times New Roman" w:eastAsia="Times New Roman" w:hAnsi="Times New Roman" w:cs="Times New Roman"/>
                <w:noProof/>
                <w:sz w:val="24"/>
                <w:szCs w:val="20"/>
              </w:rPr>
              <w:t xml:space="preserve"> ПУРБ;</w:t>
            </w:r>
          </w:p>
          <w:p w14:paraId="65B29813" w14:textId="09942437" w:rsidR="00B93A82" w:rsidRPr="00171DED" w:rsidRDefault="005159E5" w:rsidP="005360CC">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Засилване </w:t>
            </w:r>
            <w:r w:rsidR="00F10306" w:rsidRPr="00171DED">
              <w:rPr>
                <w:rFonts w:ascii="Times New Roman" w:eastAsia="Times New Roman" w:hAnsi="Times New Roman" w:cs="Times New Roman"/>
                <w:noProof/>
                <w:sz w:val="24"/>
                <w:szCs w:val="20"/>
              </w:rPr>
              <w:t>капацитета за планиране, управление и изпълнение на задълженията в сектор „Води“ и отрасъл ВиК</w:t>
            </w:r>
            <w:r w:rsidR="00BA3936" w:rsidRPr="00171DED">
              <w:rPr>
                <w:rFonts w:ascii="Times New Roman" w:eastAsia="Times New Roman" w:hAnsi="Times New Roman" w:cs="Times New Roman"/>
                <w:noProof/>
                <w:sz w:val="24"/>
                <w:szCs w:val="20"/>
              </w:rPr>
              <w:t>;</w:t>
            </w:r>
          </w:p>
          <w:p w14:paraId="749F87F4" w14:textId="780A4AAA" w:rsidR="00473FFF" w:rsidRPr="00171DED" w:rsidRDefault="00B93A82" w:rsidP="00B93A82">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Други мерки от ПУРБ за подобряване на състоянието на водите и постигане на целите на РДВ</w:t>
            </w:r>
            <w:r w:rsidR="00506D13">
              <w:rPr>
                <w:rFonts w:ascii="Times New Roman" w:eastAsia="Times New Roman" w:hAnsi="Times New Roman" w:cs="Times New Roman"/>
                <w:noProof/>
                <w:sz w:val="24"/>
                <w:szCs w:val="20"/>
              </w:rPr>
              <w:t>; мерки, свързани с качеството на водите за питейно-битово водоснабдяване</w:t>
            </w:r>
            <w:r w:rsidRPr="00171DED">
              <w:rPr>
                <w:rFonts w:ascii="Times New Roman" w:eastAsia="Times New Roman" w:hAnsi="Times New Roman" w:cs="Times New Roman"/>
                <w:noProof/>
                <w:sz w:val="24"/>
                <w:szCs w:val="20"/>
              </w:rPr>
              <w:t>.</w:t>
            </w:r>
          </w:p>
          <w:p w14:paraId="764138C9" w14:textId="48FB76F2" w:rsidR="00473FFF" w:rsidRPr="00171DED"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Инвестициите във ВиК инфраструктурата се определят от финансов план – благоприятстващо условие за водния сектор. Те </w:t>
            </w:r>
            <w:r w:rsidR="00D85622" w:rsidRPr="00171DED">
              <w:rPr>
                <w:rFonts w:ascii="Times New Roman" w:eastAsia="Times New Roman" w:hAnsi="Times New Roman" w:cs="Times New Roman"/>
                <w:noProof/>
                <w:sz w:val="24"/>
                <w:szCs w:val="20"/>
              </w:rPr>
              <w:t>съответстват</w:t>
            </w:r>
            <w:r w:rsidRPr="00171DED">
              <w:rPr>
                <w:rFonts w:ascii="Times New Roman" w:eastAsia="Times New Roman" w:hAnsi="Times New Roman" w:cs="Times New Roman"/>
                <w:noProof/>
                <w:sz w:val="24"/>
                <w:szCs w:val="20"/>
              </w:rPr>
              <w:t xml:space="preserve"> на водната реформа и изпъ</w:t>
            </w:r>
            <w:r w:rsidR="009B725E" w:rsidRPr="00171DED">
              <w:rPr>
                <w:rFonts w:ascii="Times New Roman" w:eastAsia="Times New Roman" w:hAnsi="Times New Roman" w:cs="Times New Roman"/>
                <w:noProof/>
                <w:sz w:val="24"/>
                <w:szCs w:val="20"/>
              </w:rPr>
              <w:t>л</w:t>
            </w:r>
            <w:r w:rsidRPr="00171DED">
              <w:rPr>
                <w:rFonts w:ascii="Times New Roman" w:eastAsia="Times New Roman" w:hAnsi="Times New Roman" w:cs="Times New Roman"/>
                <w:noProof/>
                <w:sz w:val="24"/>
                <w:szCs w:val="20"/>
              </w:rPr>
              <w:t xml:space="preserve">нението им </w:t>
            </w:r>
            <w:r w:rsidR="00D85622" w:rsidRPr="00171DED">
              <w:rPr>
                <w:rFonts w:ascii="Times New Roman" w:eastAsia="Times New Roman" w:hAnsi="Times New Roman" w:cs="Times New Roman"/>
                <w:noProof/>
                <w:sz w:val="24"/>
                <w:szCs w:val="20"/>
              </w:rPr>
              <w:t>е</w:t>
            </w:r>
            <w:r w:rsidRPr="00171DED">
              <w:rPr>
                <w:rFonts w:ascii="Times New Roman" w:eastAsia="Times New Roman" w:hAnsi="Times New Roman" w:cs="Times New Roman"/>
                <w:noProof/>
                <w:sz w:val="24"/>
                <w:szCs w:val="20"/>
              </w:rPr>
              <w:t xml:space="preserve"> на принципа „една обособена ВиК територия – един консолидиран ВиК оператор – едно Регионално прединвестиционно проучване – един проект“. Съгласно изискванията на Директива 91/271/ЕИО като </w:t>
            </w:r>
            <w:r w:rsidR="00D85622" w:rsidRPr="00171DED">
              <w:rPr>
                <w:rFonts w:ascii="Times New Roman" w:eastAsia="Times New Roman" w:hAnsi="Times New Roman" w:cs="Times New Roman"/>
                <w:noProof/>
                <w:sz w:val="24"/>
                <w:szCs w:val="20"/>
              </w:rPr>
              <w:t>основен</w:t>
            </w:r>
            <w:r w:rsidRPr="00171DED">
              <w:rPr>
                <w:rFonts w:ascii="Times New Roman" w:eastAsia="Times New Roman" w:hAnsi="Times New Roman" w:cs="Times New Roman"/>
                <w:noProof/>
                <w:sz w:val="24"/>
                <w:szCs w:val="20"/>
              </w:rPr>
              <w:t xml:space="preserve"> приоритет се подкрепят агломерациите с над 10 000 екв.ж.</w:t>
            </w:r>
            <w:r w:rsidR="00DA7F08">
              <w:rPr>
                <w:rFonts w:ascii="Times New Roman" w:eastAsia="Times New Roman" w:hAnsi="Times New Roman" w:cs="Times New Roman"/>
                <w:noProof/>
                <w:sz w:val="24"/>
                <w:szCs w:val="20"/>
              </w:rPr>
              <w:t xml:space="preserve"> През 2021 – 2027 г. се планира да започнат инвестиции</w:t>
            </w:r>
            <w:r w:rsidR="00DA7F08" w:rsidRPr="00171DED" w:rsidDel="00D85622">
              <w:rPr>
                <w:rFonts w:ascii="Times New Roman" w:eastAsia="Times New Roman" w:hAnsi="Times New Roman" w:cs="Times New Roman"/>
                <w:noProof/>
                <w:sz w:val="24"/>
                <w:szCs w:val="20"/>
              </w:rPr>
              <w:t xml:space="preserve"> </w:t>
            </w:r>
            <w:r w:rsidR="00DA7F08">
              <w:rPr>
                <w:rFonts w:ascii="Times New Roman" w:eastAsia="Times New Roman" w:hAnsi="Times New Roman" w:cs="Times New Roman"/>
                <w:noProof/>
                <w:sz w:val="24"/>
                <w:szCs w:val="20"/>
              </w:rPr>
              <w:t>в консолидирани региони</w:t>
            </w:r>
            <w:r w:rsidRPr="00171DED">
              <w:rPr>
                <w:rFonts w:ascii="Times New Roman" w:eastAsia="Times New Roman" w:hAnsi="Times New Roman" w:cs="Times New Roman"/>
                <w:noProof/>
                <w:sz w:val="24"/>
                <w:szCs w:val="20"/>
              </w:rPr>
              <w:t xml:space="preserve"> В</w:t>
            </w:r>
            <w:r w:rsidR="00DA7F08">
              <w:rPr>
                <w:rFonts w:ascii="Times New Roman" w:eastAsia="Times New Roman" w:hAnsi="Times New Roman" w:cs="Times New Roman"/>
                <w:noProof/>
                <w:sz w:val="24"/>
                <w:szCs w:val="20"/>
              </w:rPr>
              <w:t xml:space="preserve">елико </w:t>
            </w:r>
            <w:r w:rsidRPr="00171DED">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171DED">
              <w:rPr>
                <w:rFonts w:ascii="Times New Roman" w:eastAsia="Times New Roman" w:hAnsi="Times New Roman" w:cs="Times New Roman"/>
                <w:noProof/>
                <w:sz w:val="24"/>
                <w:szCs w:val="20"/>
              </w:rPr>
              <w:t xml:space="preserve"> с разработени РПИП</w:t>
            </w:r>
            <w:r w:rsidRPr="00171DED">
              <w:rPr>
                <w:rFonts w:ascii="Times New Roman" w:eastAsia="Times New Roman" w:hAnsi="Times New Roman" w:cs="Times New Roman"/>
                <w:noProof/>
                <w:sz w:val="24"/>
                <w:szCs w:val="20"/>
              </w:rPr>
              <w:t xml:space="preserve">. </w:t>
            </w:r>
          </w:p>
          <w:p w14:paraId="3F2C7DF7" w14:textId="720EEC04" w:rsidR="00473FFF" w:rsidRPr="00171DED"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Тези дейности допълват както мерките по Националния план за възстановяване и устойчивост (подкрепа за изграждане на ВиК инфраструктура в агломерации между 5 000 </w:t>
            </w:r>
            <w:r w:rsidR="00F829CC">
              <w:rPr>
                <w:rFonts w:ascii="Times New Roman" w:eastAsia="Times New Roman" w:hAnsi="Times New Roman" w:cs="Times New Roman"/>
                <w:noProof/>
                <w:sz w:val="24"/>
                <w:szCs w:val="20"/>
              </w:rPr>
              <w:t>екв.ж.</w:t>
            </w:r>
            <w:r w:rsidRPr="00171DED">
              <w:rPr>
                <w:rFonts w:ascii="Times New Roman" w:eastAsia="Times New Roman" w:hAnsi="Times New Roman" w:cs="Times New Roman"/>
                <w:noProof/>
                <w:sz w:val="24"/>
                <w:szCs w:val="20"/>
              </w:rPr>
              <w:t xml:space="preserve"> и 10 000 екв.ж.), така и тези от Стратегическия план за развитие на земеделието и селските райони за периода 2021 - 2027 г. за агломерации под 2 000 екв.ж. </w:t>
            </w:r>
          </w:p>
          <w:p w14:paraId="28E94BD1" w14:textId="449C5E4F" w:rsidR="00473FFF" w:rsidRPr="00171DED" w:rsidRDefault="00473FFF" w:rsidP="00473FFF">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В допълнение, в консолидирани ВиК райони, в които е постигнато съответствие за агломерациите с над 10 000 екв. ж., е допустимо при наличие на остатъчен ресурс да бъдат подкрепени инфратсруктурни мерки и в агломерации с между 2 000 </w:t>
            </w:r>
            <w:r w:rsidR="00F829CC">
              <w:rPr>
                <w:rFonts w:ascii="Times New Roman" w:eastAsia="Times New Roman" w:hAnsi="Times New Roman" w:cs="Times New Roman"/>
                <w:noProof/>
                <w:sz w:val="24"/>
                <w:szCs w:val="20"/>
              </w:rPr>
              <w:t xml:space="preserve">екв.ж. </w:t>
            </w:r>
            <w:r w:rsidRPr="00171DED">
              <w:rPr>
                <w:rFonts w:ascii="Times New Roman" w:eastAsia="Times New Roman" w:hAnsi="Times New Roman" w:cs="Times New Roman"/>
                <w:noProof/>
                <w:sz w:val="24"/>
                <w:szCs w:val="20"/>
              </w:rPr>
              <w:t>и 10 000 екв.ж.</w:t>
            </w:r>
            <w:r w:rsidR="00307ABA">
              <w:rPr>
                <w:rFonts w:ascii="Times New Roman" w:eastAsia="Times New Roman" w:hAnsi="Times New Roman" w:cs="Times New Roman"/>
                <w:noProof/>
                <w:sz w:val="24"/>
                <w:szCs w:val="20"/>
              </w:rPr>
              <w:t xml:space="preserve"> в демаркация с инвестициите по Националния план за възстановяване и устойчивост.</w:t>
            </w:r>
          </w:p>
          <w:p w14:paraId="208AE452" w14:textId="0FD75210" w:rsidR="004628D7" w:rsidRPr="00171DED" w:rsidRDefault="00473FFF" w:rsidP="007B564B">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noProof/>
                <w:sz w:val="24"/>
                <w:szCs w:val="20"/>
              </w:rPr>
              <w:t xml:space="preserve">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w:t>
            </w:r>
            <w:r w:rsidRPr="00171DED">
              <w:rPr>
                <w:rFonts w:ascii="Times New Roman" w:eastAsia="Times New Roman" w:hAnsi="Times New Roman" w:cs="Times New Roman"/>
                <w:noProof/>
                <w:sz w:val="24"/>
                <w:szCs w:val="20"/>
              </w:rPr>
              <w:lastRenderedPageBreak/>
              <w:t>изпълняваните от тях проекти целенасочено за придобиване на специализирани познания за прилагане на актуалното законодателство в сектор „Води“ и ВиК.</w:t>
            </w:r>
          </w:p>
        </w:tc>
      </w:tr>
    </w:tbl>
    <w:p w14:paraId="74BAAB5B" w14:textId="77777777" w:rsidR="004628D7" w:rsidRPr="00171DED" w:rsidRDefault="004628D7" w:rsidP="004628D7">
      <w:pPr>
        <w:spacing w:before="240" w:line="240" w:lineRule="auto"/>
        <w:rPr>
          <w:rFonts w:ascii="Times New Roman" w:eastAsia="Calibri" w:hAnsi="Times New Roman" w:cs="Times New Roman"/>
          <w:i/>
          <w:sz w:val="24"/>
          <w:szCs w:val="20"/>
          <w:lang w:val="bg-BG" w:eastAsia="bg-BG" w:bidi="bg-BG"/>
        </w:rPr>
      </w:pPr>
      <w:r w:rsidRPr="00171DED">
        <w:rPr>
          <w:rFonts w:ascii="Times New Roman" w:eastAsia="Calibri" w:hAnsi="Times New Roman" w:cs="Times New Roman"/>
          <w:i/>
          <w:sz w:val="24"/>
          <w:szCs w:val="20"/>
          <w:lang w:val="bg-BG" w:eastAsia="bg-BG" w:bidi="bg-BG"/>
        </w:rPr>
        <w:lastRenderedPageBreak/>
        <w:t>Списък на планираните операции от стратегическо значение – Член 17(3)(</w:t>
      </w:r>
      <w:r w:rsidRPr="00171DED">
        <w:rPr>
          <w:rFonts w:ascii="Times New Roman" w:eastAsia="Calibri" w:hAnsi="Times New Roman" w:cs="Times New Roman"/>
          <w:i/>
          <w:sz w:val="24"/>
          <w:szCs w:val="20"/>
          <w:lang w:eastAsia="bg-BG" w:bidi="bg-BG"/>
        </w:rPr>
        <w:t>d</w:t>
      </w:r>
      <w:r w:rsidRPr="00171DED">
        <w:rPr>
          <w:rFonts w:ascii="Times New Roman" w:eastAsia="Calibri" w:hAnsi="Times New Roman" w:cs="Times New Roman"/>
          <w:i/>
          <w:sz w:val="24"/>
          <w:szCs w:val="20"/>
          <w:lang w:val="bg-BG" w:eastAsia="bg-BG" w:bidi="bg-BG"/>
        </w:rPr>
        <w:t>)(</w:t>
      </w:r>
      <w:proofErr w:type="spellStart"/>
      <w:r w:rsidRPr="00171DED">
        <w:rPr>
          <w:rFonts w:ascii="Times New Roman" w:eastAsia="Calibri" w:hAnsi="Times New Roman" w:cs="Times New Roman"/>
          <w:i/>
          <w:sz w:val="24"/>
          <w:szCs w:val="20"/>
          <w:lang w:eastAsia="bg-BG" w:bidi="bg-BG"/>
        </w:rPr>
        <w:t>i</w:t>
      </w:r>
      <w:proofErr w:type="spellEnd"/>
      <w:r w:rsidRPr="00171DED">
        <w:rPr>
          <w:rFonts w:ascii="Times New Roman" w:eastAsia="Calibri" w:hAnsi="Times New Roman" w:cs="Times New Roman"/>
          <w:i/>
          <w:sz w:val="24"/>
          <w:szCs w:val="20"/>
          <w:lang w:val="bg-BG" w:eastAsia="bg-BG" w:bidi="bg-BG"/>
        </w:rPr>
        <w:t>):</w:t>
      </w:r>
    </w:p>
    <w:p w14:paraId="384CAB55" w14:textId="77777777" w:rsidR="004628D7" w:rsidRPr="00171DED" w:rsidRDefault="004628D7" w:rsidP="004628D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val="bg-BG" w:eastAsia="bg-BG" w:bidi="bg-BG"/>
        </w:rPr>
      </w:pPr>
      <w:r w:rsidRPr="00171DED">
        <w:rPr>
          <w:rFonts w:ascii="Times New Roman" w:eastAsia="Calibri" w:hAnsi="Times New Roman" w:cs="Times New Roman"/>
          <w:i/>
          <w:sz w:val="24"/>
          <w:szCs w:val="20"/>
          <w:lang w:val="bg-BG" w:eastAsia="bg-BG" w:bidi="bg-BG"/>
        </w:rPr>
        <w:t>Текстово поле [2</w:t>
      </w:r>
      <w:r w:rsidRPr="00171DED">
        <w:rPr>
          <w:rFonts w:ascii="Times New Roman" w:eastAsia="Calibri" w:hAnsi="Times New Roman" w:cs="Times New Roman"/>
          <w:i/>
          <w:sz w:val="24"/>
          <w:szCs w:val="20"/>
          <w:lang w:eastAsia="bg-BG" w:bidi="bg-BG"/>
        </w:rPr>
        <w:t> </w:t>
      </w:r>
      <w:r w:rsidRPr="00171DED">
        <w:rPr>
          <w:rFonts w:ascii="Times New Roman" w:eastAsia="Calibri" w:hAnsi="Times New Roman" w:cs="Times New Roman"/>
          <w:i/>
          <w:sz w:val="24"/>
          <w:szCs w:val="20"/>
          <w:lang w:val="bg-BG" w:eastAsia="bg-BG" w:bidi="bg-BG"/>
        </w:rPr>
        <w:t>000]</w:t>
      </w:r>
    </w:p>
    <w:p w14:paraId="35054D77" w14:textId="4885F795" w:rsidR="004628D7" w:rsidRPr="00171DED" w:rsidRDefault="00D31242" w:rsidP="00FD0E74">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val="bg-BG" w:eastAsia="bg-BG" w:bidi="bg-BG"/>
        </w:rPr>
      </w:pPr>
      <w:r w:rsidRPr="00171DED">
        <w:rPr>
          <w:rFonts w:ascii="Times New Roman" w:eastAsia="Calibri" w:hAnsi="Times New Roman" w:cs="Times New Roman"/>
          <w:iCs/>
          <w:sz w:val="24"/>
          <w:szCs w:val="20"/>
          <w:lang w:val="bg-BG" w:eastAsia="bg-BG" w:bidi="bg-BG"/>
        </w:rPr>
        <w:t xml:space="preserve">Проектите </w:t>
      </w:r>
      <w:r w:rsidR="003146B0" w:rsidRPr="00171DED">
        <w:rPr>
          <w:rFonts w:ascii="Times New Roman" w:eastAsia="Calibri" w:hAnsi="Times New Roman" w:cs="Times New Roman"/>
          <w:iCs/>
          <w:sz w:val="24"/>
          <w:szCs w:val="20"/>
          <w:lang w:val="bg-BG" w:eastAsia="bg-BG" w:bidi="bg-BG"/>
        </w:rPr>
        <w:t xml:space="preserve">за изграждане </w:t>
      </w:r>
      <w:r w:rsidR="004628D7" w:rsidRPr="00171DED">
        <w:rPr>
          <w:rFonts w:ascii="Times New Roman" w:eastAsia="Calibri" w:hAnsi="Times New Roman" w:cs="Times New Roman"/>
          <w:iCs/>
          <w:sz w:val="24"/>
          <w:szCs w:val="20"/>
          <w:lang w:val="bg-BG" w:eastAsia="bg-BG" w:bidi="bg-BG"/>
        </w:rPr>
        <w:t xml:space="preserve">на ВиК инфраструктура в агломерации над 10 000 </w:t>
      </w:r>
      <w:r w:rsidR="004628D7" w:rsidRPr="00171DED">
        <w:rPr>
          <w:rFonts w:ascii="Times New Roman" w:eastAsia="Times New Roman" w:hAnsi="Times New Roman" w:cs="Times New Roman"/>
          <w:noProof/>
          <w:sz w:val="24"/>
          <w:szCs w:val="20"/>
          <w:lang w:val="bg-BG" w:eastAsia="bg-BG" w:bidi="bg-BG"/>
        </w:rPr>
        <w:t>екв.ж</w:t>
      </w:r>
      <w:r w:rsidR="003146B0" w:rsidRPr="00171DED">
        <w:rPr>
          <w:rFonts w:ascii="Times New Roman" w:eastAsia="Calibri" w:hAnsi="Times New Roman" w:cs="Times New Roman"/>
          <w:iCs/>
          <w:sz w:val="24"/>
          <w:szCs w:val="20"/>
          <w:lang w:val="bg-BG" w:eastAsia="bg-BG" w:bidi="bg-BG"/>
        </w:rPr>
        <w:t xml:space="preserve">. </w:t>
      </w:r>
      <w:r w:rsidR="00B64D28" w:rsidRPr="00171DED">
        <w:rPr>
          <w:rFonts w:ascii="Times New Roman" w:eastAsia="Calibri" w:hAnsi="Times New Roman" w:cs="Times New Roman"/>
          <w:iCs/>
          <w:sz w:val="24"/>
          <w:szCs w:val="20"/>
          <w:lang w:val="bg-BG" w:eastAsia="bg-BG" w:bidi="bg-BG"/>
        </w:rPr>
        <w:t xml:space="preserve">се определят като операции от стратегическо значение. </w:t>
      </w:r>
      <w:r w:rsidR="00755134" w:rsidRPr="00171DED">
        <w:rPr>
          <w:rFonts w:ascii="Times New Roman" w:eastAsia="Calibri" w:hAnsi="Times New Roman" w:cs="Times New Roman"/>
          <w:iCs/>
          <w:sz w:val="24"/>
          <w:szCs w:val="20"/>
          <w:lang w:val="bg-BG" w:eastAsia="bg-BG" w:bidi="bg-BG"/>
        </w:rPr>
        <w:t>Те</w:t>
      </w:r>
      <w:r w:rsidR="003146B0" w:rsidRPr="00171DED">
        <w:rPr>
          <w:rFonts w:ascii="Times New Roman" w:eastAsia="Calibri" w:hAnsi="Times New Roman" w:cs="Times New Roman"/>
          <w:iCs/>
          <w:sz w:val="24"/>
          <w:szCs w:val="20"/>
          <w:lang w:val="bg-BG" w:eastAsia="bg-BG" w:bidi="bg-BG"/>
        </w:rPr>
        <w:t xml:space="preserve"> </w:t>
      </w:r>
      <w:r w:rsidR="00755134" w:rsidRPr="00171DED">
        <w:rPr>
          <w:rFonts w:ascii="Times New Roman" w:eastAsia="Calibri" w:hAnsi="Times New Roman" w:cs="Times New Roman"/>
          <w:iCs/>
          <w:sz w:val="24"/>
          <w:szCs w:val="20"/>
          <w:lang w:val="bg-BG" w:eastAsia="bg-BG" w:bidi="bg-BG"/>
        </w:rPr>
        <w:t xml:space="preserve">ще </w:t>
      </w:r>
      <w:r w:rsidR="003146B0" w:rsidRPr="00171DED">
        <w:rPr>
          <w:rFonts w:ascii="Times New Roman" w:eastAsia="Calibri" w:hAnsi="Times New Roman" w:cs="Times New Roman"/>
          <w:iCs/>
          <w:sz w:val="24"/>
          <w:szCs w:val="20"/>
          <w:lang w:val="bg-BG" w:eastAsia="bg-BG" w:bidi="bg-BG"/>
        </w:rPr>
        <w:t>бъдат конкретно посочени при определяне спецификите на процедурата за предоставяне на безвъзмездна финансова помощ</w:t>
      </w:r>
      <w:r w:rsidR="00755134" w:rsidRPr="00171DED">
        <w:rPr>
          <w:rFonts w:ascii="Times New Roman" w:eastAsia="Calibri" w:hAnsi="Times New Roman" w:cs="Times New Roman"/>
          <w:iCs/>
          <w:sz w:val="24"/>
          <w:szCs w:val="20"/>
          <w:lang w:val="bg-BG" w:eastAsia="bg-BG" w:bidi="bg-BG"/>
        </w:rPr>
        <w:t xml:space="preserve">, като </w:t>
      </w:r>
      <w:r w:rsidR="00964E5E">
        <w:rPr>
          <w:rFonts w:ascii="Times New Roman" w:eastAsia="Calibri" w:hAnsi="Times New Roman" w:cs="Times New Roman"/>
          <w:iCs/>
          <w:sz w:val="24"/>
          <w:szCs w:val="20"/>
          <w:lang w:val="bg-BG" w:eastAsia="bg-BG" w:bidi="bg-BG"/>
        </w:rPr>
        <w:t>в началото на 2021 г.</w:t>
      </w:r>
      <w:r w:rsidR="003146B0" w:rsidRPr="00171DED">
        <w:rPr>
          <w:rFonts w:ascii="Times New Roman" w:eastAsia="Calibri" w:hAnsi="Times New Roman" w:cs="Times New Roman"/>
          <w:iCs/>
          <w:sz w:val="24"/>
          <w:szCs w:val="20"/>
          <w:lang w:val="bg-BG" w:eastAsia="bg-BG" w:bidi="bg-BG"/>
        </w:rPr>
        <w:t xml:space="preserve"> с</w:t>
      </w:r>
      <w:r w:rsidR="00755134" w:rsidRPr="00171DED">
        <w:rPr>
          <w:rFonts w:ascii="Times New Roman" w:eastAsia="Calibri" w:hAnsi="Times New Roman" w:cs="Times New Roman"/>
          <w:iCs/>
          <w:sz w:val="24"/>
          <w:szCs w:val="20"/>
          <w:lang w:val="bg-BG" w:eastAsia="bg-BG" w:bidi="bg-BG"/>
        </w:rPr>
        <w:t>ъщите са</w:t>
      </w:r>
      <w:r w:rsidR="003146B0" w:rsidRPr="00171DED">
        <w:rPr>
          <w:rFonts w:ascii="Times New Roman" w:eastAsia="Calibri" w:hAnsi="Times New Roman" w:cs="Times New Roman"/>
          <w:iCs/>
          <w:sz w:val="24"/>
          <w:szCs w:val="20"/>
          <w:lang w:val="bg-BG" w:eastAsia="bg-BG" w:bidi="bg-BG"/>
        </w:rPr>
        <w:t xml:space="preserve"> 7 – </w:t>
      </w:r>
      <w:r w:rsidR="00473FFF" w:rsidRPr="00171DED">
        <w:rPr>
          <w:rFonts w:ascii="Times New Roman" w:eastAsia="Calibri" w:hAnsi="Times New Roman" w:cs="Times New Roman"/>
          <w:iCs/>
          <w:sz w:val="24"/>
          <w:szCs w:val="20"/>
          <w:lang w:val="bg-BG" w:eastAsia="bg-BG" w:bidi="bg-BG"/>
        </w:rPr>
        <w:t xml:space="preserve">за ВиК обособени територии области </w:t>
      </w:r>
      <w:r w:rsidR="00473FFF" w:rsidRPr="00171DED">
        <w:rPr>
          <w:rFonts w:ascii="Times New Roman" w:eastAsia="Calibri" w:hAnsi="Times New Roman" w:cs="Times New Roman"/>
          <w:i/>
          <w:iCs/>
          <w:sz w:val="24"/>
          <w:szCs w:val="20"/>
          <w:lang w:val="bg-BG" w:eastAsia="bg-BG" w:bidi="bg-BG"/>
        </w:rPr>
        <w:t>В.</w:t>
      </w:r>
      <w:r w:rsidR="00961DF2" w:rsidRPr="00171DED">
        <w:rPr>
          <w:rFonts w:ascii="Times New Roman" w:eastAsia="Calibri" w:hAnsi="Times New Roman" w:cs="Times New Roman"/>
          <w:i/>
          <w:iCs/>
          <w:sz w:val="24"/>
          <w:szCs w:val="20"/>
          <w:lang w:val="bg-BG" w:eastAsia="bg-BG" w:bidi="bg-BG"/>
        </w:rPr>
        <w:t xml:space="preserve"> </w:t>
      </w:r>
      <w:r w:rsidR="00473FFF" w:rsidRPr="00171DED">
        <w:rPr>
          <w:rFonts w:ascii="Times New Roman" w:eastAsia="Calibri" w:hAnsi="Times New Roman" w:cs="Times New Roman"/>
          <w:i/>
          <w:iCs/>
          <w:sz w:val="24"/>
          <w:szCs w:val="20"/>
          <w:lang w:val="bg-BG" w:eastAsia="bg-BG" w:bidi="bg-BG"/>
        </w:rPr>
        <w:t>Търново, Габрово, Плевен, София-град, София-област, Търговище и Хасково</w:t>
      </w:r>
      <w:r w:rsidR="00473FFF" w:rsidRPr="00171DED" w:rsidDel="00F1106A">
        <w:rPr>
          <w:rFonts w:ascii="Times New Roman" w:eastAsia="Calibri" w:hAnsi="Times New Roman" w:cs="Times New Roman"/>
          <w:iCs/>
          <w:sz w:val="24"/>
          <w:szCs w:val="20"/>
          <w:lang w:val="bg-BG" w:eastAsia="bg-BG" w:bidi="bg-BG"/>
        </w:rPr>
        <w:t xml:space="preserve"> </w:t>
      </w:r>
      <w:r w:rsidR="00755134" w:rsidRPr="00171DED">
        <w:rPr>
          <w:rFonts w:ascii="Times New Roman" w:eastAsia="Calibri" w:hAnsi="Times New Roman" w:cs="Times New Roman"/>
          <w:iCs/>
          <w:noProof/>
          <w:sz w:val="24"/>
          <w:szCs w:val="20"/>
          <w:lang w:val="bg-BG"/>
        </w:rPr>
        <w:t>Дейността</w:t>
      </w:r>
      <w:r w:rsidR="00755134" w:rsidRPr="00171DED">
        <w:rPr>
          <w:rFonts w:ascii="Times New Roman" w:eastAsia="Calibri" w:hAnsi="Times New Roman" w:cs="Times New Roman"/>
          <w:iCs/>
          <w:sz w:val="24"/>
          <w:szCs w:val="20"/>
          <w:lang w:val="bg-BG" w:eastAsia="bg-BG" w:bidi="bg-BG"/>
        </w:rPr>
        <w:t xml:space="preserve"> е с</w:t>
      </w:r>
      <w:r w:rsidR="004628D7" w:rsidRPr="00171DED">
        <w:rPr>
          <w:rFonts w:ascii="Times New Roman" w:eastAsia="Calibri" w:hAnsi="Times New Roman" w:cs="Times New Roman"/>
          <w:iCs/>
          <w:sz w:val="24"/>
          <w:szCs w:val="20"/>
          <w:lang w:val="bg-BG" w:eastAsia="bg-BG" w:bidi="bg-BG"/>
        </w:rPr>
        <w:t xml:space="preserve"> ключов принос за постигането на целите на ПОС във ВиК сектора</w:t>
      </w:r>
      <w:r w:rsidR="00755134" w:rsidRPr="00171DED">
        <w:rPr>
          <w:rFonts w:ascii="Times New Roman" w:eastAsia="Calibri" w:hAnsi="Times New Roman" w:cs="Times New Roman"/>
          <w:iCs/>
          <w:sz w:val="24"/>
          <w:szCs w:val="20"/>
          <w:lang w:val="bg-BG" w:eastAsia="bg-BG" w:bidi="bg-BG"/>
        </w:rPr>
        <w:t xml:space="preserve"> по отношение </w:t>
      </w:r>
      <w:r w:rsidR="004628D7" w:rsidRPr="00171DED">
        <w:rPr>
          <w:rFonts w:ascii="Times New Roman" w:eastAsia="Calibri" w:hAnsi="Times New Roman" w:cs="Times New Roman"/>
          <w:iCs/>
          <w:sz w:val="24"/>
          <w:szCs w:val="20"/>
          <w:lang w:val="bg-BG" w:eastAsia="bg-BG" w:bidi="bg-BG"/>
        </w:rPr>
        <w:t>постигане</w:t>
      </w:r>
      <w:r w:rsidR="00755134" w:rsidRPr="00171DED">
        <w:rPr>
          <w:rFonts w:ascii="Times New Roman" w:eastAsia="Calibri" w:hAnsi="Times New Roman" w:cs="Times New Roman"/>
          <w:iCs/>
          <w:sz w:val="24"/>
          <w:szCs w:val="20"/>
          <w:lang w:val="bg-BG" w:eastAsia="bg-BG" w:bidi="bg-BG"/>
        </w:rPr>
        <w:t>то</w:t>
      </w:r>
      <w:r w:rsidR="004628D7" w:rsidRPr="00171DED">
        <w:rPr>
          <w:rFonts w:ascii="Times New Roman" w:eastAsia="Calibri" w:hAnsi="Times New Roman" w:cs="Times New Roman"/>
          <w:iCs/>
          <w:sz w:val="24"/>
          <w:szCs w:val="20"/>
          <w:lang w:val="bg-BG" w:eastAsia="bg-BG" w:bidi="bg-BG"/>
        </w:rPr>
        <w:t xml:space="preserve">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4632CA10" w14:textId="7225F3C2"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297834" w:rsidRPr="00171DED">
        <w:rPr>
          <w:rFonts w:ascii="Times New Roman" w:eastAsia="Calibri" w:hAnsi="Times New Roman" w:cs="Times New Roman"/>
          <w:i/>
          <w:noProof/>
          <w:sz w:val="24"/>
          <w:szCs w:val="20"/>
          <w:lang w:val="bg-BG" w:eastAsia="bg-BG" w:bidi="bg-BG"/>
        </w:rPr>
        <w:t xml:space="preserve"> от Общия </w:t>
      </w:r>
      <w:r w:rsidR="00930154" w:rsidRPr="00171DED">
        <w:rPr>
          <w:rFonts w:ascii="Times New Roman" w:eastAsia="Calibri" w:hAnsi="Times New Roman" w:cs="Times New Roman"/>
          <w:i/>
          <w:noProof/>
          <w:sz w:val="24"/>
          <w:szCs w:val="20"/>
          <w:lang w:val="bg-BG" w:eastAsia="bg-BG" w:bidi="bg-BG"/>
        </w:rPr>
        <w:t>Регламент</w:t>
      </w:r>
      <w:r w:rsidRPr="00171DED">
        <w:rPr>
          <w:rFonts w:ascii="Times New Roman" w:eastAsia="Calibri" w:hAnsi="Times New Roman" w:cs="Times New Roman"/>
          <w:i/>
          <w:noProof/>
          <w:sz w:val="24"/>
          <w:szCs w:val="20"/>
          <w:lang w:val="bg-BG" w:eastAsia="bg-BG" w:bidi="bg-BG"/>
        </w:rPr>
        <w:t>:</w:t>
      </w:r>
    </w:p>
    <w:p w14:paraId="257EAB5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077F24A9" w14:textId="521D27AC" w:rsidR="00F10306" w:rsidRPr="00171DED" w:rsidRDefault="00F10306"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171DED">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eastAsia="Times New Roman" w:hAnsi="Times New Roman" w:cs="Times New Roman"/>
          <w:noProof/>
          <w:sz w:val="24"/>
          <w:szCs w:val="20"/>
          <w:lang w:val="bg-BG" w:eastAsia="bg-BG" w:bidi="bg-BG"/>
        </w:rPr>
        <w:t>населението в агломерации над 10 000 екв.ж</w:t>
      </w:r>
      <w:r w:rsidR="00E1056A">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66EA1" w:rsidRPr="00171DED">
        <w:rPr>
          <w:rFonts w:ascii="Times New Roman" w:eastAsia="Times New Roman" w:hAnsi="Times New Roman" w:cs="Times New Roman"/>
          <w:noProof/>
          <w:sz w:val="24"/>
          <w:szCs w:val="20"/>
          <w:lang w:val="bg-BG" w:eastAsia="bg-BG" w:bidi="bg-BG"/>
        </w:rPr>
        <w:t xml:space="preserve">населението </w:t>
      </w:r>
      <w:r w:rsidR="00473FFF" w:rsidRPr="00171DED">
        <w:rPr>
          <w:rFonts w:ascii="Times New Roman" w:eastAsia="Times New Roman" w:hAnsi="Times New Roman" w:cs="Times New Roman"/>
          <w:noProof/>
          <w:sz w:val="24"/>
          <w:szCs w:val="20"/>
          <w:lang w:val="bg-BG" w:eastAsia="bg-BG" w:bidi="bg-BG"/>
        </w:rPr>
        <w:t xml:space="preserve">и бизнеса </w:t>
      </w:r>
      <w:r w:rsidR="00C66EA1" w:rsidRPr="00171DED">
        <w:rPr>
          <w:rFonts w:ascii="Times New Roman" w:eastAsia="Times New Roman" w:hAnsi="Times New Roman" w:cs="Times New Roman"/>
          <w:noProof/>
          <w:sz w:val="24"/>
          <w:szCs w:val="20"/>
          <w:lang w:val="bg-BG" w:eastAsia="bg-BG" w:bidi="bg-BG"/>
        </w:rPr>
        <w:t>в страната</w:t>
      </w:r>
      <w:r w:rsidRPr="00171DED">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83DD0">
        <w:rPr>
          <w:rFonts w:ascii="Times New Roman" w:eastAsia="Times New Roman" w:hAnsi="Times New Roman" w:cs="Times New Roman"/>
          <w:noProof/>
          <w:sz w:val="24"/>
          <w:szCs w:val="20"/>
          <w:lang w:val="bg-BG" w:eastAsia="bg-BG" w:bidi="bg-BG"/>
        </w:rPr>
        <w:t>П</w:t>
      </w:r>
      <w:r w:rsidR="00473FFF" w:rsidRPr="00171DED">
        <w:rPr>
          <w:rFonts w:ascii="Times New Roman" w:eastAsia="Times New Roman" w:hAnsi="Times New Roman" w:cs="Times New Roman"/>
          <w:noProof/>
          <w:sz w:val="24"/>
          <w:szCs w:val="20"/>
          <w:lang w:val="bg-BG" w:eastAsia="bg-BG" w:bidi="bg-BG"/>
        </w:rPr>
        <w:t xml:space="preserve">одкрепата по програмата ще бъде насочена </w:t>
      </w:r>
      <w:r w:rsidR="00C83DD0">
        <w:rPr>
          <w:rFonts w:ascii="Times New Roman" w:eastAsia="Times New Roman" w:hAnsi="Times New Roman" w:cs="Times New Roman"/>
          <w:noProof/>
          <w:sz w:val="24"/>
          <w:szCs w:val="20"/>
          <w:lang w:val="bg-BG" w:eastAsia="bg-BG" w:bidi="bg-BG"/>
        </w:rPr>
        <w:t xml:space="preserve">основно </w:t>
      </w:r>
      <w:r w:rsidR="00473FFF" w:rsidRPr="00171DED">
        <w:rPr>
          <w:rFonts w:ascii="Times New Roman" w:eastAsia="Times New Roman" w:hAnsi="Times New Roman" w:cs="Times New Roman"/>
          <w:noProof/>
          <w:sz w:val="24"/>
          <w:szCs w:val="20"/>
          <w:lang w:val="bg-BG" w:eastAsia="bg-BG" w:bidi="bg-BG"/>
        </w:rPr>
        <w:t xml:space="preserve">към </w:t>
      </w:r>
      <w:r w:rsidR="00C83DD0">
        <w:rPr>
          <w:rFonts w:ascii="Times New Roman" w:eastAsia="Times New Roman" w:hAnsi="Times New Roman" w:cs="Times New Roman"/>
          <w:noProof/>
          <w:sz w:val="24"/>
          <w:szCs w:val="20"/>
          <w:lang w:val="bg-BG" w:eastAsia="bg-BG" w:bidi="bg-BG"/>
        </w:rPr>
        <w:t>органите, отговорни за прилагане на съответната политика, напр. регионалните</w:t>
      </w:r>
      <w:r w:rsidR="00473FFF" w:rsidRPr="00171DED">
        <w:rPr>
          <w:rFonts w:ascii="Times New Roman" w:eastAsia="Times New Roman" w:hAnsi="Times New Roman" w:cs="Times New Roman"/>
          <w:noProof/>
          <w:sz w:val="24"/>
          <w:szCs w:val="20"/>
          <w:lang w:val="bg-BG" w:eastAsia="bg-BG" w:bidi="bg-BG"/>
        </w:rPr>
        <w:t xml:space="preserve"> ВиК оператори, Български ВиК Холдинг, </w:t>
      </w:r>
      <w:r w:rsidR="00C83DD0" w:rsidRPr="00171DED">
        <w:rPr>
          <w:rFonts w:ascii="Times New Roman" w:hAnsi="Times New Roman"/>
          <w:sz w:val="24"/>
          <w:lang w:val="bg-BG"/>
        </w:rPr>
        <w:t xml:space="preserve">Столична община </w:t>
      </w:r>
      <w:r w:rsidR="00C83DD0" w:rsidRPr="00171DED">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Pr>
          <w:rFonts w:ascii="Times New Roman" w:eastAsia="Times New Roman" w:hAnsi="Times New Roman" w:cs="Times New Roman"/>
          <w:noProof/>
          <w:sz w:val="24"/>
          <w:szCs w:val="20"/>
          <w:lang w:val="bg-BG" w:eastAsia="bg-BG" w:bidi="bg-BG"/>
        </w:rPr>
        <w:t>,</w:t>
      </w:r>
      <w:r w:rsidR="00C83DD0" w:rsidRPr="00171DED">
        <w:rPr>
          <w:rFonts w:ascii="Times New Roman" w:hAnsi="Times New Roman"/>
          <w:sz w:val="24"/>
          <w:lang w:val="bg-BG"/>
        </w:rPr>
        <w:t xml:space="preserve"> </w:t>
      </w:r>
      <w:r w:rsidR="00473FFF" w:rsidRPr="00171DED">
        <w:rPr>
          <w:rFonts w:ascii="Times New Roman" w:hAnsi="Times New Roman"/>
          <w:sz w:val="24"/>
          <w:lang w:val="bg-BG"/>
        </w:rPr>
        <w:t>структури на/в Министерство на здравеопазването</w:t>
      </w:r>
      <w:r w:rsidR="00473FFF"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hAnsi="Times New Roman"/>
          <w:sz w:val="24"/>
          <w:lang w:val="bg-BG"/>
        </w:rPr>
        <w:t>структури на/в Министерство на околната среда и водите.</w:t>
      </w:r>
      <w:r w:rsidR="00C83DD0">
        <w:rPr>
          <w:rFonts w:ascii="Times New Roman" w:hAnsi="Times New Roman"/>
          <w:sz w:val="24"/>
          <w:lang w:val="bg-BG"/>
        </w:rPr>
        <w:t xml:space="preserve"> В допълнение, подкрепата за изпълнение на други мерки от ПУРБ ще бъде насочена към общините и други заинтересовани страни чрез прилагане на подхода </w:t>
      </w:r>
      <w:r w:rsidR="009D2896">
        <w:rPr>
          <w:rFonts w:ascii="Times New Roman" w:hAnsi="Times New Roman"/>
          <w:sz w:val="24"/>
          <w:lang w:val="bg-BG"/>
        </w:rPr>
        <w:t xml:space="preserve">за </w:t>
      </w:r>
      <w:r w:rsidR="009D2896" w:rsidRPr="002E400B">
        <w:rPr>
          <w:rFonts w:ascii="Times New Roman" w:hAnsi="Times New Roman"/>
          <w:sz w:val="24"/>
          <w:lang w:val="bg-BG"/>
        </w:rPr>
        <w:t>интегрирани териториални инвестиции (</w:t>
      </w:r>
      <w:r w:rsidR="00C83DD0" w:rsidRPr="002E400B">
        <w:rPr>
          <w:rFonts w:ascii="Times New Roman" w:hAnsi="Times New Roman"/>
          <w:sz w:val="24"/>
          <w:lang w:val="bg-BG"/>
        </w:rPr>
        <w:t>ИТИ</w:t>
      </w:r>
      <w:r w:rsidR="009D2896" w:rsidRPr="002E400B">
        <w:rPr>
          <w:rFonts w:ascii="Times New Roman" w:hAnsi="Times New Roman"/>
          <w:sz w:val="24"/>
          <w:lang w:val="bg-BG"/>
        </w:rPr>
        <w:t>)</w:t>
      </w:r>
      <w:r w:rsidR="00C83DD0" w:rsidRPr="00041035">
        <w:rPr>
          <w:rFonts w:ascii="Times New Roman" w:hAnsi="Times New Roman"/>
          <w:sz w:val="24"/>
          <w:lang w:val="bg-BG"/>
        </w:rPr>
        <w:t>.</w:t>
      </w:r>
    </w:p>
    <w:p w14:paraId="529D5D74" w14:textId="27DBEDEB" w:rsidR="006D3743" w:rsidRPr="00171DED" w:rsidRDefault="006D3743" w:rsidP="006D3743">
      <w:pPr>
        <w:spacing w:before="120" w:after="0" w:line="240" w:lineRule="auto"/>
        <w:jc w:val="both"/>
        <w:rPr>
          <w:rFonts w:ascii="Times New Roman" w:eastAsia="Calibri" w:hAnsi="Times New Roman" w:cs="Times New Roman"/>
          <w:i/>
          <w:noProof/>
          <w:sz w:val="24"/>
          <w:szCs w:val="20"/>
          <w:lang w:val="bg-BG" w:eastAsia="bg-BG" w:bidi="bg-BG"/>
        </w:rPr>
      </w:pPr>
      <w:bookmarkStart w:id="2" w:name="_Hlk27407915"/>
      <w:r w:rsidRPr="00171DED">
        <w:rPr>
          <w:rFonts w:ascii="Times New Roman" w:eastAsia="Calibri" w:hAnsi="Times New Roman" w:cs="Times New Roman"/>
          <w:i/>
          <w:noProof/>
          <w:sz w:val="24"/>
          <w:szCs w:val="20"/>
          <w:lang w:val="bg-BG" w:eastAsia="bg-BG" w:bidi="bg-BG"/>
        </w:rPr>
        <w:t>Действия гарантиращи равенството, приобщаването и недискриминацията – чл. 17, ал. 3</w:t>
      </w:r>
      <w:r w:rsidR="00930154" w:rsidRPr="00171DED">
        <w:rPr>
          <w:rFonts w:ascii="Times New Roman" w:eastAsia="Calibri" w:hAnsi="Times New Roman" w:cs="Times New Roman"/>
          <w:i/>
          <w:noProof/>
          <w:sz w:val="24"/>
          <w:szCs w:val="20"/>
          <w:lang w:val="bg-BG" w:eastAsia="bg-BG" w:bidi="bg-BG"/>
        </w:rPr>
        <w:t>, (d) (iiia) от проекта на Общ Регламент</w:t>
      </w:r>
    </w:p>
    <w:tbl>
      <w:tblPr>
        <w:tblStyle w:val="TableGrid"/>
        <w:tblW w:w="0" w:type="auto"/>
        <w:tblLook w:val="04A0" w:firstRow="1" w:lastRow="0" w:firstColumn="1" w:lastColumn="0" w:noHBand="0" w:noVBand="1"/>
      </w:tblPr>
      <w:tblGrid>
        <w:gridCol w:w="9062"/>
      </w:tblGrid>
      <w:tr w:rsidR="006D3743" w:rsidRPr="0010575B" w14:paraId="558DF233" w14:textId="77777777" w:rsidTr="006D3743">
        <w:tc>
          <w:tcPr>
            <w:tcW w:w="9062" w:type="dxa"/>
          </w:tcPr>
          <w:p w14:paraId="259F9DAE" w14:textId="77777777" w:rsidR="00930154" w:rsidRPr="00171DED" w:rsidRDefault="006D3743" w:rsidP="007B564B">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0A896FAD" w14:textId="7FD50B06" w:rsidR="007B49B2" w:rsidRPr="00171DED" w:rsidRDefault="007B49B2" w:rsidP="007B564B">
            <w:pPr>
              <w:spacing w:before="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171DED">
              <w:rPr>
                <w:rFonts w:ascii="Times New Roman" w:eastAsia="Calibri" w:hAnsi="Times New Roman" w:cs="Times New Roman"/>
                <w:iCs/>
                <w:noProof/>
                <w:sz w:val="24"/>
                <w:szCs w:val="20"/>
              </w:rPr>
              <w:t xml:space="preserve">При планирането, оценката и изпълнението на </w:t>
            </w:r>
            <w:r w:rsidR="005F6FB3" w:rsidRPr="00171DED">
              <w:rPr>
                <w:rFonts w:ascii="Times New Roman" w:eastAsia="Calibri" w:hAnsi="Times New Roman" w:cs="Times New Roman"/>
                <w:iCs/>
                <w:noProof/>
                <w:sz w:val="24"/>
                <w:szCs w:val="20"/>
              </w:rPr>
              <w:t>мерките</w:t>
            </w:r>
            <w:r w:rsidRPr="00171DED">
              <w:rPr>
                <w:rFonts w:ascii="Times New Roman" w:eastAsia="Calibri" w:hAnsi="Times New Roman" w:cs="Times New Roman"/>
                <w:iCs/>
                <w:noProof/>
                <w:sz w:val="24"/>
                <w:szCs w:val="20"/>
              </w:rPr>
              <w:t>, които ще се подкрепят по този приоритет</w:t>
            </w:r>
            <w:r w:rsidR="005F6FB3" w:rsidRPr="00171DED">
              <w:rPr>
                <w:rFonts w:ascii="Times New Roman" w:eastAsia="Calibri" w:hAnsi="Times New Roman" w:cs="Times New Roman"/>
                <w:iCs/>
                <w:noProof/>
                <w:sz w:val="24"/>
                <w:szCs w:val="20"/>
              </w:rPr>
              <w:t xml:space="preserve">, </w:t>
            </w:r>
            <w:r w:rsidR="008A0ADC" w:rsidRPr="00171DED">
              <w:rPr>
                <w:rFonts w:ascii="Times New Roman" w:eastAsia="Calibri" w:hAnsi="Times New Roman" w:cs="Times New Roman"/>
                <w:iCs/>
                <w:noProof/>
                <w:sz w:val="24"/>
                <w:szCs w:val="20"/>
              </w:rPr>
              <w:t xml:space="preserve">ще се прилагат </w:t>
            </w:r>
            <w:r w:rsidR="005F6FB3" w:rsidRPr="00171DED">
              <w:rPr>
                <w:rFonts w:ascii="Times New Roman" w:eastAsia="Calibri" w:hAnsi="Times New Roman" w:cs="Times New Roman"/>
                <w:iCs/>
                <w:noProof/>
                <w:sz w:val="24"/>
                <w:szCs w:val="20"/>
              </w:rPr>
              <w:t>принципите на</w:t>
            </w:r>
            <w:r w:rsidRPr="00171DED">
              <w:rPr>
                <w:rFonts w:ascii="Times New Roman" w:eastAsia="Calibri" w:hAnsi="Times New Roman" w:cs="Times New Roman"/>
                <w:iCs/>
                <w:noProof/>
                <w:sz w:val="24"/>
                <w:szCs w:val="20"/>
              </w:rPr>
              <w:t xml:space="preserve"> </w:t>
            </w:r>
            <w:r w:rsidR="00473FFF" w:rsidRPr="00171DED">
              <w:rPr>
                <w:rFonts w:ascii="Times New Roman" w:eastAsia="Calibri" w:hAnsi="Times New Roman" w:cs="Times New Roman"/>
                <w:iCs/>
                <w:noProof/>
                <w:sz w:val="24"/>
                <w:szCs w:val="20"/>
              </w:rPr>
              <w:t xml:space="preserve">прозрачност, </w:t>
            </w:r>
            <w:r w:rsidRPr="00171DED">
              <w:rPr>
                <w:rFonts w:ascii="Times New Roman" w:eastAsia="Calibri" w:hAnsi="Times New Roman" w:cs="Times New Roman"/>
                <w:iCs/>
                <w:noProof/>
                <w:sz w:val="24"/>
                <w:szCs w:val="20"/>
              </w:rPr>
              <w:t>равенство, приобщаване и недискриминация</w:t>
            </w:r>
            <w:r w:rsidR="008A0ADC" w:rsidRPr="00171DED">
              <w:rPr>
                <w:rFonts w:ascii="Times New Roman" w:eastAsia="Calibri" w:hAnsi="Times New Roman" w:cs="Times New Roman"/>
                <w:iCs/>
                <w:noProof/>
                <w:sz w:val="24"/>
                <w:szCs w:val="20"/>
              </w:rPr>
              <w:t xml:space="preserve">. Приоритетът подкрепя възможността за </w:t>
            </w:r>
            <w:r w:rsidRPr="00171DED">
              <w:rPr>
                <w:rFonts w:ascii="Times New Roman" w:eastAsia="Calibri" w:hAnsi="Times New Roman" w:cs="Times New Roman"/>
                <w:iCs/>
                <w:noProof/>
                <w:sz w:val="24"/>
                <w:szCs w:val="20"/>
              </w:rPr>
              <w:t xml:space="preserve">достъп до питейни води и </w:t>
            </w:r>
            <w:r w:rsidR="008A0ADC" w:rsidRPr="00171DED">
              <w:rPr>
                <w:rFonts w:ascii="Times New Roman" w:eastAsia="Calibri" w:hAnsi="Times New Roman" w:cs="Times New Roman"/>
                <w:iCs/>
                <w:noProof/>
                <w:sz w:val="24"/>
                <w:szCs w:val="20"/>
              </w:rPr>
              <w:t>за</w:t>
            </w:r>
            <w:r w:rsidRPr="00171DED">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2"/>
    <w:p w14:paraId="33AE1FE4" w14:textId="7770D335" w:rsidR="00722757" w:rsidRPr="00171DED" w:rsidRDefault="006D3743" w:rsidP="00722757">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722757"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72FA0A37" w14:textId="5CD6E66C" w:rsidR="0069723E" w:rsidRPr="00171DED"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r w:rsidR="00D145C3" w:rsidRPr="00171DED">
        <w:rPr>
          <w:rFonts w:ascii="Times New Roman" w:eastAsia="Calibri" w:hAnsi="Times New Roman" w:cs="Times New Roman"/>
          <w:i/>
          <w:noProof/>
          <w:sz w:val="24"/>
          <w:szCs w:val="20"/>
          <w:lang w:val="bg-BG" w:eastAsia="bg-BG" w:bidi="bg-BG"/>
        </w:rPr>
        <w:t xml:space="preserve"> </w:t>
      </w:r>
    </w:p>
    <w:p w14:paraId="3A0A4605" w14:textId="15AC6331" w:rsidR="00722757" w:rsidRPr="00171DED" w:rsidRDefault="00473FFF"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lastRenderedPageBreak/>
        <w:t xml:space="preserve">Цели се подкрепа за изграждане на санитарно охранителни зони на </w:t>
      </w:r>
      <w:r w:rsidR="00307ABA" w:rsidRPr="00307ABA">
        <w:rPr>
          <w:rFonts w:ascii="Times New Roman" w:eastAsia="Calibri" w:hAnsi="Times New Roman" w:cs="Times New Roman"/>
          <w:iCs/>
          <w:noProof/>
          <w:sz w:val="24"/>
          <w:szCs w:val="20"/>
          <w:lang w:val="bg-BG" w:eastAsia="bg-BG" w:bidi="bg-BG"/>
        </w:rPr>
        <w:t xml:space="preserve">водоизточниците за опазване на </w:t>
      </w:r>
      <w:r w:rsidRPr="00171DED">
        <w:rPr>
          <w:rFonts w:ascii="Times New Roman" w:eastAsia="Calibri" w:hAnsi="Times New Roman" w:cs="Times New Roman"/>
          <w:iCs/>
          <w:noProof/>
          <w:sz w:val="24"/>
          <w:szCs w:val="20"/>
          <w:lang w:val="bg-BG" w:eastAsia="bg-BG" w:bidi="bg-BG"/>
        </w:rPr>
        <w:t xml:space="preserve">водите, предназначени за консумация от човека с оглед </w:t>
      </w:r>
      <w:r w:rsidR="00BF0AF5">
        <w:rPr>
          <w:rFonts w:ascii="Times New Roman" w:eastAsia="Calibri" w:hAnsi="Times New Roman" w:cs="Times New Roman"/>
          <w:iCs/>
          <w:noProof/>
          <w:sz w:val="24"/>
          <w:szCs w:val="20"/>
          <w:lang w:val="bg-BG" w:eastAsia="bg-BG" w:bidi="bg-BG"/>
        </w:rPr>
        <w:t>постигане целите</w:t>
      </w:r>
      <w:r w:rsidRPr="00171DED">
        <w:rPr>
          <w:rFonts w:ascii="Times New Roman" w:eastAsia="Calibri" w:hAnsi="Times New Roman" w:cs="Times New Roman"/>
          <w:iCs/>
          <w:noProof/>
          <w:sz w:val="24"/>
          <w:szCs w:val="20"/>
          <w:lang w:val="bg-BG" w:eastAsia="bg-BG" w:bidi="bg-BG"/>
        </w:rPr>
        <w:t xml:space="preserve"> на Директива 2000/60/ЕО Рамка за действията на Общността в областта на политиката на водите. Допустими мерки са също и такива, залегнали в ПУРБ, които са различни от изграждане на ВиК инфраструктура. Мерките трябва да отговарят на предвижданията на </w:t>
      </w:r>
      <w:r w:rsidR="00BF0AF5">
        <w:rPr>
          <w:rFonts w:ascii="Times New Roman" w:eastAsia="Calibri" w:hAnsi="Times New Roman" w:cs="Times New Roman"/>
          <w:iCs/>
          <w:noProof/>
          <w:sz w:val="24"/>
          <w:szCs w:val="20"/>
          <w:lang w:val="bg-BG" w:eastAsia="bg-BG" w:bidi="bg-BG"/>
        </w:rPr>
        <w:t>ПУРБ</w:t>
      </w:r>
      <w:r w:rsidRPr="00171DED">
        <w:rPr>
          <w:rFonts w:ascii="Times New Roman" w:eastAsia="Calibri" w:hAnsi="Times New Roman" w:cs="Times New Roman"/>
          <w:iCs/>
          <w:noProof/>
          <w:sz w:val="24"/>
          <w:szCs w:val="20"/>
          <w:lang w:val="bg-BG" w:eastAsia="bg-BG" w:bidi="bg-BG"/>
        </w:rPr>
        <w:t>, като тяхната</w:t>
      </w:r>
      <w:r w:rsidR="006D3E2D">
        <w:rPr>
          <w:rFonts w:ascii="Times New Roman" w:eastAsia="Calibri" w:hAnsi="Times New Roman" w:cs="Times New Roman"/>
          <w:iCs/>
          <w:noProof/>
          <w:sz w:val="24"/>
          <w:szCs w:val="20"/>
          <w:lang w:val="bg-BG" w:eastAsia="bg-BG" w:bidi="bg-BG"/>
        </w:rPr>
        <w:t xml:space="preserve"> </w:t>
      </w:r>
      <w:r w:rsidR="00A83C74" w:rsidRPr="00171DED">
        <w:rPr>
          <w:rFonts w:ascii="Times New Roman" w:eastAsia="Calibri" w:hAnsi="Times New Roman" w:cs="Times New Roman"/>
          <w:iCs/>
          <w:noProof/>
          <w:sz w:val="24"/>
          <w:szCs w:val="20"/>
          <w:lang w:val="bg-BG" w:eastAsia="bg-BG" w:bidi="bg-BG"/>
        </w:rPr>
        <w:t>н</w:t>
      </w:r>
      <w:r w:rsidR="0069723E" w:rsidRPr="00171DED">
        <w:rPr>
          <w:rFonts w:ascii="Times New Roman" w:eastAsia="Calibri" w:hAnsi="Times New Roman" w:cs="Times New Roman"/>
          <w:iCs/>
          <w:noProof/>
          <w:sz w:val="24"/>
          <w:szCs w:val="20"/>
          <w:lang w:val="bg-BG" w:eastAsia="bg-BG" w:bidi="bg-BG"/>
        </w:rPr>
        <w:t>еобходимост</w:t>
      </w:r>
      <w:r w:rsidR="00A83C74" w:rsidRPr="00171DED">
        <w:rPr>
          <w:rFonts w:ascii="Times New Roman" w:eastAsia="Calibri" w:hAnsi="Times New Roman" w:cs="Times New Roman"/>
          <w:iCs/>
          <w:noProof/>
          <w:sz w:val="24"/>
          <w:szCs w:val="20"/>
          <w:lang w:val="bg-BG" w:eastAsia="bg-BG" w:bidi="bg-BG"/>
        </w:rPr>
        <w:t>/приоритетност</w:t>
      </w:r>
      <w:r w:rsidR="0069723E"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A83C74" w:rsidRPr="00171DED">
        <w:rPr>
          <w:rFonts w:ascii="Times New Roman" w:eastAsia="Calibri" w:hAnsi="Times New Roman" w:cs="Times New Roman"/>
          <w:iCs/>
          <w:noProof/>
          <w:sz w:val="24"/>
          <w:szCs w:val="20"/>
          <w:lang w:val="bg-BG" w:eastAsia="bg-BG" w:bidi="bg-BG"/>
        </w:rPr>
        <w:t>трябва</w:t>
      </w:r>
      <w:r w:rsidR="0069723E"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0069723E"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w:t>
      </w:r>
      <w:r w:rsidR="006879DD">
        <w:rPr>
          <w:rFonts w:ascii="Times New Roman" w:eastAsia="Calibri" w:hAnsi="Times New Roman" w:cs="Times New Roman"/>
          <w:iCs/>
          <w:noProof/>
          <w:sz w:val="24"/>
          <w:szCs w:val="20"/>
          <w:lang w:val="bg-BG" w:eastAsia="bg-BG" w:bidi="bg-BG"/>
        </w:rPr>
        <w:t xml:space="preserve">за </w:t>
      </w:r>
      <w:r w:rsidR="0069723E" w:rsidRPr="00171DED">
        <w:rPr>
          <w:rFonts w:ascii="Times New Roman" w:eastAsia="Calibri" w:hAnsi="Times New Roman" w:cs="Times New Roman"/>
          <w:iCs/>
          <w:noProof/>
          <w:sz w:val="24"/>
          <w:szCs w:val="20"/>
          <w:lang w:val="bg-BG" w:eastAsia="bg-BG" w:bidi="bg-BG"/>
        </w:rPr>
        <w:t>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72CFFA4" w14:textId="623320FD"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6D3743"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171DED">
        <w:rPr>
          <w:rFonts w:ascii="Times New Roman" w:eastAsia="Calibri" w:hAnsi="Times New Roman" w:cs="Times New Roman"/>
          <w:i/>
          <w:noProof/>
          <w:sz w:val="24"/>
          <w:szCs w:val="20"/>
          <w:lang w:val="bg-BG" w:eastAsia="bg-BG" w:bidi="bg-BG"/>
        </w:rPr>
        <w:t xml:space="preserve"> </w:t>
      </w:r>
      <w:r w:rsidR="006D3743" w:rsidRPr="00171DED">
        <w:rPr>
          <w:rFonts w:ascii="Times New Roman" w:eastAsia="Calibri" w:hAnsi="Times New Roman" w:cs="Times New Roman"/>
          <w:i/>
          <w:noProof/>
          <w:sz w:val="24"/>
          <w:szCs w:val="20"/>
          <w:lang w:val="bg-BG" w:eastAsia="bg-BG" w:bidi="bg-BG"/>
        </w:rPr>
        <w:t>от Общия Регламент</w:t>
      </w:r>
      <w:r w:rsidR="00B82B45" w:rsidRPr="00171DED">
        <w:rPr>
          <w:rFonts w:ascii="Times New Roman" w:eastAsia="Calibri" w:hAnsi="Times New Roman" w:cs="Times New Roman"/>
          <w:i/>
          <w:noProof/>
          <w:sz w:val="24"/>
          <w:szCs w:val="20"/>
          <w:lang w:val="bg-BG" w:eastAsia="bg-BG" w:bidi="bg-BG"/>
        </w:rPr>
        <w:t>(ОР)</w:t>
      </w:r>
      <w:r w:rsidRPr="00171DED">
        <w:rPr>
          <w:rFonts w:ascii="Times New Roman" w:eastAsia="Calibri" w:hAnsi="Times New Roman" w:cs="Times New Roman"/>
          <w:i/>
          <w:noProof/>
          <w:sz w:val="24"/>
          <w:szCs w:val="20"/>
          <w:lang w:val="bg-BG" w:eastAsia="bg-BG" w:bidi="bg-BG"/>
        </w:rPr>
        <w:t>:</w:t>
      </w:r>
    </w:p>
    <w:p w14:paraId="5457F78A" w14:textId="3888207C"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A83C74" w:rsidRPr="00171DED">
        <w:rPr>
          <w:rFonts w:ascii="Times New Roman" w:hAnsi="Times New Roman"/>
          <w:sz w:val="24"/>
          <w:lang w:val="bg-BG"/>
        </w:rPr>
        <w:t xml:space="preserve"> Планираните допустими мерки допринасят </w:t>
      </w:r>
      <w:r w:rsidR="00521D06" w:rsidRPr="00171DED">
        <w:rPr>
          <w:rFonts w:ascii="Times New Roman" w:hAnsi="Times New Roman"/>
          <w:sz w:val="24"/>
          <w:lang w:val="bg-BG"/>
        </w:rPr>
        <w:t>за постигане целите на стратегическа цел 2 „Стимулиране на градското развитие“, стълб 2 „Защита на околната среда“, приоритетна област 4 „Качество на водите“ от проекта на преработен план за действие към Дунавската стратегия (съгласно работен документ на ЕК от 06.04.2020 г.), чрез инвестициите в инфраструктура за събиране, отвеждане и пречистване на отпадъчни води, опазване на водните ресурси и гарантиране на водоснабдяването. В допълнение</w:t>
      </w:r>
      <w:r w:rsidR="00A83C74" w:rsidRPr="00171DED">
        <w:rPr>
          <w:rFonts w:ascii="Times New Roman" w:hAnsi="Times New Roman"/>
          <w:sz w:val="24"/>
          <w:lang w:val="bg-BG"/>
        </w:rPr>
        <w:t>,</w:t>
      </w:r>
      <w:r w:rsidR="00521D06" w:rsidRPr="00171DED">
        <w:rPr>
          <w:rFonts w:ascii="Times New Roman" w:hAnsi="Times New Roman"/>
          <w:sz w:val="24"/>
          <w:lang w:val="bg-BG"/>
        </w:rPr>
        <w:t xml:space="preserve"> подкрепата по </w:t>
      </w:r>
      <w:r w:rsidR="00D60BEE" w:rsidRPr="00171DED">
        <w:rPr>
          <w:rFonts w:ascii="Times New Roman" w:hAnsi="Times New Roman"/>
          <w:sz w:val="24"/>
          <w:lang w:val="bg-BG"/>
        </w:rPr>
        <w:t>приоритета</w:t>
      </w:r>
      <w:r w:rsidR="00521D06" w:rsidRPr="00171DED">
        <w:rPr>
          <w:rFonts w:ascii="Times New Roman" w:hAnsi="Times New Roman"/>
          <w:sz w:val="24"/>
          <w:lang w:val="bg-BG"/>
        </w:rPr>
        <w:t xml:space="preserve"> има</w:t>
      </w:r>
      <w:r w:rsidR="00A90FCC" w:rsidRPr="00171DED">
        <w:rPr>
          <w:rFonts w:ascii="Times New Roman" w:hAnsi="Times New Roman"/>
          <w:sz w:val="24"/>
          <w:lang w:val="bg-BG"/>
        </w:rPr>
        <w:t xml:space="preserve"> </w:t>
      </w:r>
      <w:r w:rsidR="00521D06" w:rsidRPr="00171DED">
        <w:rPr>
          <w:rFonts w:ascii="Times New Roman" w:hAnsi="Times New Roman"/>
          <w:sz w:val="24"/>
          <w:lang w:val="bg-BG"/>
        </w:rPr>
        <w:t>принос и</w:t>
      </w:r>
      <w:r w:rsidR="00A83C74" w:rsidRPr="00171DED">
        <w:rPr>
          <w:rFonts w:ascii="Times New Roman" w:hAnsi="Times New Roman"/>
          <w:sz w:val="24"/>
          <w:lang w:val="bg-BG"/>
        </w:rPr>
        <w:t xml:space="preserve"> </w:t>
      </w:r>
      <w:r w:rsidR="00521D06" w:rsidRPr="00171DED">
        <w:rPr>
          <w:rFonts w:ascii="Times New Roman" w:hAnsi="Times New Roman"/>
          <w:sz w:val="24"/>
          <w:lang w:val="bg-BG"/>
        </w:rPr>
        <w:t xml:space="preserve">по отношение </w:t>
      </w:r>
      <w:r w:rsidR="00A83C74" w:rsidRPr="00171DED">
        <w:rPr>
          <w:rFonts w:ascii="Times New Roman" w:hAnsi="Times New Roman"/>
          <w:sz w:val="24"/>
          <w:lang w:val="bg-BG"/>
        </w:rPr>
        <w:t>мерки</w:t>
      </w:r>
      <w:r w:rsidR="00521D06" w:rsidRPr="00171DED">
        <w:rPr>
          <w:rFonts w:ascii="Times New Roman" w:hAnsi="Times New Roman"/>
          <w:sz w:val="24"/>
          <w:lang w:val="bg-BG"/>
        </w:rPr>
        <w:t>те</w:t>
      </w:r>
      <w:r w:rsidR="00A83C74" w:rsidRPr="00171DED">
        <w:rPr>
          <w:rFonts w:ascii="Times New Roman" w:hAnsi="Times New Roman"/>
          <w:sz w:val="24"/>
          <w:lang w:val="bg-BG"/>
        </w:rPr>
        <w:t xml:space="preserve"> от действащата Морска стратегия на Република България и за опазване и възстановяване на Черно море </w:t>
      </w:r>
      <w:r w:rsidR="00520692">
        <w:rPr>
          <w:rFonts w:ascii="Times New Roman" w:hAnsi="Times New Roman"/>
          <w:sz w:val="24"/>
          <w:lang w:val="bg-BG"/>
        </w:rPr>
        <w:t>за</w:t>
      </w:r>
      <w:r w:rsidR="00A83C74" w:rsidRPr="00171DED">
        <w:rPr>
          <w:rFonts w:ascii="Times New Roman" w:hAnsi="Times New Roman"/>
          <w:sz w:val="24"/>
          <w:lang w:val="bg-BG"/>
        </w:rPr>
        <w:t xml:space="preserve"> постигане на „добро състояние“ на </w:t>
      </w:r>
      <w:r w:rsidR="00520692">
        <w:rPr>
          <w:rFonts w:ascii="Times New Roman" w:hAnsi="Times New Roman"/>
          <w:sz w:val="24"/>
          <w:lang w:val="bg-BG"/>
        </w:rPr>
        <w:t>крайбрежните</w:t>
      </w:r>
      <w:r w:rsidR="00A83C74" w:rsidRPr="00171DED">
        <w:rPr>
          <w:rFonts w:ascii="Times New Roman" w:hAnsi="Times New Roman"/>
          <w:sz w:val="24"/>
          <w:lang w:val="bg-BG"/>
        </w:rPr>
        <w:t xml:space="preserve"> води </w:t>
      </w:r>
      <w:r w:rsidR="00520692">
        <w:rPr>
          <w:rFonts w:ascii="Times New Roman" w:hAnsi="Times New Roman"/>
          <w:sz w:val="24"/>
          <w:lang w:val="bg-BG"/>
        </w:rPr>
        <w:t xml:space="preserve">като част от ПУРБ </w:t>
      </w:r>
      <w:r w:rsidR="00A83C74" w:rsidRPr="00171DED">
        <w:rPr>
          <w:rFonts w:ascii="Times New Roman" w:hAnsi="Times New Roman"/>
          <w:sz w:val="24"/>
          <w:lang w:val="bg-BG"/>
        </w:rPr>
        <w:t>и установяване на политика за постигане или поддържане на добро състояние на околната среда в морската среда</w:t>
      </w:r>
      <w:r w:rsidR="00520692">
        <w:rPr>
          <w:rFonts w:ascii="Times New Roman" w:hAnsi="Times New Roman"/>
          <w:sz w:val="24"/>
          <w:lang w:val="bg-BG"/>
        </w:rPr>
        <w:t xml:space="preserve"> като част от Морската стратегия</w:t>
      </w:r>
      <w:r w:rsidR="00A83C74" w:rsidRPr="00171DED">
        <w:rPr>
          <w:rFonts w:ascii="Times New Roman" w:hAnsi="Times New Roman"/>
          <w:sz w:val="24"/>
          <w:lang w:val="bg-BG"/>
        </w:rPr>
        <w:t>.</w:t>
      </w:r>
      <w:r w:rsidR="00521D06" w:rsidRPr="00171DED">
        <w:rPr>
          <w:rFonts w:ascii="Times New Roman" w:hAnsi="Times New Roman"/>
          <w:sz w:val="24"/>
          <w:lang w:val="bg-BG"/>
        </w:rPr>
        <w:t xml:space="preserve"> Едновременно с това разработването на документи от стратегическо значение, което се подпомага чрез ПОС 2021-2027 (напр. ПУРБ), предполагат междурегионално, но често и тран</w:t>
      </w:r>
      <w:r w:rsidR="001D4D6D">
        <w:rPr>
          <w:rFonts w:ascii="Times New Roman" w:hAnsi="Times New Roman"/>
          <w:sz w:val="24"/>
          <w:lang w:val="bg-BG"/>
        </w:rPr>
        <w:t>с</w:t>
      </w:r>
      <w:r w:rsidR="00521D06" w:rsidRPr="00171DED">
        <w:rPr>
          <w:rFonts w:ascii="Times New Roman" w:hAnsi="Times New Roman"/>
          <w:sz w:val="24"/>
          <w:lang w:val="bg-BG"/>
        </w:rPr>
        <w:t>гранично сътрудничество.</w:t>
      </w:r>
    </w:p>
    <w:p w14:paraId="4DC0557B" w14:textId="0F8BDC9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6D3743" w:rsidRPr="00171DED">
        <w:rPr>
          <w:rFonts w:ascii="Times New Roman" w:eastAsia="Calibri" w:hAnsi="Times New Roman" w:cs="Times New Roman"/>
          <w:i/>
          <w:noProof/>
          <w:sz w:val="24"/>
          <w:szCs w:val="20"/>
          <w:lang w:val="bg-BG" w:eastAsia="bg-BG" w:bidi="bg-BG"/>
        </w:rPr>
        <w:t xml:space="preserve"> от ОР</w:t>
      </w:r>
    </w:p>
    <w:p w14:paraId="669C1C2F" w14:textId="5953193A"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7423BA" w:rsidRPr="00171DED">
        <w:rPr>
          <w:rFonts w:ascii="Times New Roman" w:eastAsia="Calibri" w:hAnsi="Times New Roman" w:cs="Times New Roman"/>
          <w:i/>
          <w:noProof/>
          <w:sz w:val="24"/>
          <w:szCs w:val="20"/>
          <w:lang w:val="bg-BG" w:eastAsia="bg-BG" w:bidi="bg-BG"/>
        </w:rPr>
        <w:t xml:space="preserve"> </w:t>
      </w:r>
      <w:r w:rsidR="00744282" w:rsidRPr="00171DED">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подкрепа на </w:t>
      </w:r>
      <w:r w:rsidR="00342E03" w:rsidRPr="00342E03">
        <w:rPr>
          <w:rFonts w:ascii="Times New Roman" w:eastAsia="Calibri" w:hAnsi="Times New Roman" w:cs="Times New Roman"/>
          <w:iCs/>
          <w:noProof/>
          <w:sz w:val="24"/>
          <w:szCs w:val="20"/>
          <w:lang w:val="bg-BG" w:eastAsia="bg-BG" w:bidi="bg-BG"/>
        </w:rPr>
        <w:t>финансово жизнеспособни инвестиции</w:t>
      </w:r>
      <w:r w:rsidR="00342E03">
        <w:rPr>
          <w:rFonts w:ascii="Times New Roman" w:eastAsia="Calibri" w:hAnsi="Times New Roman" w:cs="Times New Roman"/>
          <w:iCs/>
          <w:noProof/>
          <w:sz w:val="24"/>
          <w:szCs w:val="20"/>
          <w:lang w:val="bg-BG" w:eastAsia="bg-BG" w:bidi="bg-BG"/>
        </w:rPr>
        <w:t>, по-конкретно на</w:t>
      </w:r>
      <w:r w:rsidR="00342E03" w:rsidRPr="00342E03">
        <w:rPr>
          <w:rFonts w:ascii="Times New Roman" w:eastAsia="Calibri" w:hAnsi="Times New Roman" w:cs="Times New Roman"/>
          <w:iCs/>
          <w:noProof/>
          <w:sz w:val="24"/>
          <w:szCs w:val="20"/>
          <w:lang w:val="bg-BG" w:eastAsia="bg-BG" w:bidi="bg-BG"/>
        </w:rPr>
        <w:t xml:space="preserve"> </w:t>
      </w:r>
      <w:r w:rsidR="00744282" w:rsidRPr="00171DED">
        <w:rPr>
          <w:rFonts w:ascii="Times New Roman" w:eastAsia="Calibri" w:hAnsi="Times New Roman" w:cs="Times New Roman"/>
          <w:iCs/>
          <w:noProof/>
          <w:sz w:val="24"/>
          <w:szCs w:val="20"/>
          <w:lang w:val="bg-BG" w:eastAsia="bg-BG" w:bidi="bg-BG"/>
        </w:rPr>
        <w:t xml:space="preserve">дейности, свързани с изграждане на ВиК инфраструктура при отчитане научените уроци от програмен период 2014-2020. Видът и </w:t>
      </w:r>
      <w:r w:rsidR="00A83C74" w:rsidRPr="00171DED">
        <w:rPr>
          <w:rFonts w:ascii="Times New Roman" w:eastAsia="Calibri" w:hAnsi="Times New Roman" w:cs="Times New Roman"/>
          <w:iCs/>
          <w:noProof/>
          <w:sz w:val="24"/>
          <w:szCs w:val="20"/>
          <w:lang w:val="bg-BG" w:eastAsia="bg-BG" w:bidi="bg-BG"/>
        </w:rPr>
        <w:t xml:space="preserve">размерът </w:t>
      </w:r>
      <w:r w:rsidR="00744282" w:rsidRPr="00171DED">
        <w:rPr>
          <w:rFonts w:ascii="Times New Roman" w:eastAsia="Calibri" w:hAnsi="Times New Roman" w:cs="Times New Roman"/>
          <w:iCs/>
          <w:noProof/>
          <w:sz w:val="24"/>
          <w:szCs w:val="20"/>
          <w:lang w:val="bg-BG" w:eastAsia="bg-BG" w:bidi="bg-BG"/>
        </w:rPr>
        <w:t xml:space="preserve">на финансовия инструмент ще бъдат определени </w:t>
      </w:r>
      <w:r w:rsidR="00744282" w:rsidRPr="00171DED">
        <w:rPr>
          <w:rFonts w:ascii="Times New Roman" w:eastAsia="Calibri" w:hAnsi="Times New Roman" w:cs="Times New Roman"/>
          <w:noProof/>
          <w:sz w:val="24"/>
          <w:szCs w:val="20"/>
          <w:lang w:val="bg-BG" w:eastAsia="bg-BG" w:bidi="bg-BG"/>
        </w:rPr>
        <w:t xml:space="preserve">въз </w:t>
      </w:r>
      <w:r w:rsidR="0071686E" w:rsidRPr="00171DED">
        <w:rPr>
          <w:rFonts w:ascii="Times New Roman" w:eastAsia="Calibri" w:hAnsi="Times New Roman" w:cs="Times New Roman"/>
          <w:noProof/>
          <w:sz w:val="24"/>
          <w:szCs w:val="20"/>
          <w:lang w:val="bg-BG" w:eastAsia="bg-BG" w:bidi="bg-BG"/>
        </w:rPr>
        <w:t>основа на</w:t>
      </w:r>
      <w:r w:rsidR="007423BA" w:rsidRPr="00171DED">
        <w:rPr>
          <w:rFonts w:ascii="Times New Roman" w:eastAsia="Calibri" w:hAnsi="Times New Roman" w:cs="Times New Roman"/>
          <w:noProof/>
          <w:sz w:val="24"/>
          <w:szCs w:val="20"/>
          <w:lang w:val="bg-BG" w:eastAsia="bg-BG" w:bidi="bg-BG"/>
        </w:rPr>
        <w:t xml:space="preserve"> Предварителна</w:t>
      </w:r>
      <w:r w:rsidR="00744282" w:rsidRPr="00171DED">
        <w:rPr>
          <w:rFonts w:ascii="Times New Roman" w:eastAsia="Calibri" w:hAnsi="Times New Roman" w:cs="Times New Roman"/>
          <w:noProof/>
          <w:sz w:val="24"/>
          <w:szCs w:val="20"/>
          <w:lang w:val="bg-BG" w:eastAsia="bg-BG" w:bidi="bg-BG"/>
        </w:rPr>
        <w:t>та</w:t>
      </w:r>
      <w:r w:rsidR="007423BA" w:rsidRPr="00171DED">
        <w:rPr>
          <w:rFonts w:ascii="Times New Roman" w:eastAsia="Calibri" w:hAnsi="Times New Roman" w:cs="Times New Roman"/>
          <w:noProof/>
          <w:sz w:val="24"/>
          <w:szCs w:val="20"/>
          <w:lang w:val="bg-BG" w:eastAsia="bg-BG" w:bidi="bg-BG"/>
        </w:rPr>
        <w:t xml:space="preserve"> оценка на ФИ за периода 2021-2027 г.</w:t>
      </w:r>
      <w:r w:rsidR="00A83C74" w:rsidRPr="00171DED">
        <w:rPr>
          <w:rFonts w:ascii="Times New Roman" w:eastAsia="Calibri" w:hAnsi="Times New Roman" w:cs="Times New Roman"/>
          <w:noProof/>
          <w:sz w:val="24"/>
          <w:szCs w:val="20"/>
          <w:lang w:val="bg-BG" w:eastAsia="bg-BG" w:bidi="bg-BG"/>
        </w:rPr>
        <w:t>,</w:t>
      </w:r>
      <w:r w:rsidR="007423BA" w:rsidRPr="00171DED">
        <w:rPr>
          <w:rFonts w:ascii="Times New Roman" w:eastAsia="Calibri" w:hAnsi="Times New Roman" w:cs="Times New Roman"/>
          <w:i/>
          <w:noProof/>
          <w:sz w:val="24"/>
          <w:szCs w:val="20"/>
          <w:lang w:val="bg-BG" w:eastAsia="bg-BG" w:bidi="bg-BG"/>
        </w:rPr>
        <w:t xml:space="preserve"> </w:t>
      </w:r>
      <w:r w:rsidR="00A83C74" w:rsidRPr="00171DED">
        <w:rPr>
          <w:rFonts w:ascii="Times New Roman" w:eastAsia="Calibri" w:hAnsi="Times New Roman" w:cs="Times New Roman"/>
          <w:noProof/>
          <w:sz w:val="24"/>
          <w:szCs w:val="20"/>
          <w:lang w:val="bg-BG" w:eastAsia="bg-BG" w:bidi="bg-BG"/>
        </w:rPr>
        <w:t>като предварителните анализи идентифицират предпоставки за продължаване подхода на подкрепа от програмен период 2014-2020 г.</w:t>
      </w:r>
    </w:p>
    <w:p w14:paraId="0DF22260" w14:textId="5D1B2DF3" w:rsidR="00226299" w:rsidRPr="00171DED" w:rsidRDefault="00226299" w:rsidP="00226299">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r w:rsidR="00681536">
        <w:rPr>
          <w:rStyle w:val="FootnoteReference"/>
          <w:rFonts w:ascii="Times New Roman" w:eastAsia="Calibri" w:hAnsi="Times New Roman" w:cs="Times New Roman"/>
          <w:b/>
          <w:noProof/>
          <w:sz w:val="24"/>
          <w:szCs w:val="20"/>
          <w:lang w:val="bg-BG" w:eastAsia="bg-BG" w:bidi="bg-BG"/>
        </w:rPr>
        <w:footnoteReference w:id="5"/>
      </w:r>
    </w:p>
    <w:p w14:paraId="1D1D748D" w14:textId="77777777" w:rsidR="0022545E" w:rsidRPr="00171DED" w:rsidRDefault="00226299" w:rsidP="00226299">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310"/>
        <w:gridCol w:w="720"/>
        <w:gridCol w:w="983"/>
        <w:gridCol w:w="629"/>
        <w:gridCol w:w="1838"/>
        <w:gridCol w:w="817"/>
        <w:gridCol w:w="747"/>
        <w:gridCol w:w="962"/>
      </w:tblGrid>
      <w:tr w:rsidR="0022545E" w:rsidRPr="0010575B" w14:paraId="22715F6B" w14:textId="77777777" w:rsidTr="003F61C3">
        <w:trPr>
          <w:trHeight w:val="425"/>
        </w:trPr>
        <w:tc>
          <w:tcPr>
            <w:tcW w:w="5000" w:type="pct"/>
            <w:gridSpan w:val="9"/>
          </w:tcPr>
          <w:p w14:paraId="0E0CF721" w14:textId="77777777" w:rsidR="0022545E" w:rsidRPr="00171DED" w:rsidRDefault="0022545E" w:rsidP="007B564B">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BE032C" w:rsidRPr="00171DED" w14:paraId="4A21E159" w14:textId="77777777" w:rsidTr="0099214A">
        <w:trPr>
          <w:trHeight w:val="1504"/>
        </w:trPr>
        <w:tc>
          <w:tcPr>
            <w:tcW w:w="583" w:type="pct"/>
          </w:tcPr>
          <w:p w14:paraId="726648B6"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lastRenderedPageBreak/>
              <w:t xml:space="preserve">Приоритет </w:t>
            </w:r>
          </w:p>
        </w:tc>
        <w:tc>
          <w:tcPr>
            <w:tcW w:w="723" w:type="pct"/>
          </w:tcPr>
          <w:p w14:paraId="59005AD6" w14:textId="50A7F29D" w:rsidR="0022545E" w:rsidRPr="00171DED" w:rsidRDefault="0022545E" w:rsidP="007B564B">
            <w:pPr>
              <w:spacing w:before="60" w:after="6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97" w:type="pct"/>
          </w:tcPr>
          <w:p w14:paraId="7DA9B328"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2" w:type="pct"/>
          </w:tcPr>
          <w:p w14:paraId="724B098D"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47" w:type="pct"/>
          </w:tcPr>
          <w:p w14:paraId="43BA6886"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1014" w:type="pct"/>
            <w:shd w:val="clear" w:color="auto" w:fill="auto"/>
          </w:tcPr>
          <w:p w14:paraId="6148B1B9"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1" w:type="pct"/>
          </w:tcPr>
          <w:p w14:paraId="3CD6E644"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2" w:type="pct"/>
            <w:shd w:val="clear" w:color="auto" w:fill="auto"/>
          </w:tcPr>
          <w:p w14:paraId="1B4C934D"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63BBA738"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p>
        </w:tc>
        <w:tc>
          <w:tcPr>
            <w:tcW w:w="531" w:type="pct"/>
            <w:shd w:val="clear" w:color="auto" w:fill="auto"/>
          </w:tcPr>
          <w:p w14:paraId="310AFCAA"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0D8BE020"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p>
        </w:tc>
      </w:tr>
      <w:tr w:rsidR="0099214A" w:rsidRPr="00171DED" w14:paraId="142FF79B" w14:textId="77777777" w:rsidTr="00E84B64">
        <w:trPr>
          <w:trHeight w:val="539"/>
        </w:trPr>
        <w:tc>
          <w:tcPr>
            <w:tcW w:w="583" w:type="pct"/>
            <w:vMerge w:val="restart"/>
            <w:tcBorders>
              <w:bottom w:val="single" w:sz="4" w:space="0" w:color="auto"/>
            </w:tcBorders>
            <w:vAlign w:val="center"/>
          </w:tcPr>
          <w:p w14:paraId="10CEF63E" w14:textId="45762196" w:rsidR="0099214A" w:rsidRPr="00171DED" w:rsidRDefault="0099214A" w:rsidP="007B564B">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723" w:type="pct"/>
            <w:vMerge w:val="restart"/>
            <w:tcBorders>
              <w:bottom w:val="single" w:sz="4" w:space="0" w:color="auto"/>
            </w:tcBorders>
            <w:vAlign w:val="center"/>
          </w:tcPr>
          <w:p w14:paraId="6EC95301" w14:textId="56134EB2" w:rsidR="0099214A" w:rsidRPr="00171DED" w:rsidRDefault="0099214A" w:rsidP="00E84B64">
            <w:pPr>
              <w:spacing w:before="120" w:after="120" w:line="240" w:lineRule="auto"/>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Насърчаване на устойчивото управление на водите</w:t>
            </w:r>
          </w:p>
        </w:tc>
        <w:tc>
          <w:tcPr>
            <w:tcW w:w="397" w:type="pct"/>
            <w:vMerge w:val="restart"/>
            <w:tcBorders>
              <w:bottom w:val="single" w:sz="4" w:space="0" w:color="auto"/>
            </w:tcBorders>
            <w:vAlign w:val="center"/>
          </w:tcPr>
          <w:p w14:paraId="3C824D31" w14:textId="77777777" w:rsidR="0099214A" w:rsidRPr="00171DED" w:rsidRDefault="0099214A" w:rsidP="007B564B">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542" w:type="pct"/>
            <w:tcBorders>
              <w:bottom w:val="single" w:sz="4" w:space="0" w:color="auto"/>
            </w:tcBorders>
            <w:vAlign w:val="center"/>
          </w:tcPr>
          <w:p w14:paraId="6DD82624" w14:textId="7155D368" w:rsidR="0099214A" w:rsidRPr="00171DED" w:rsidRDefault="0099214A"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347" w:type="pct"/>
            <w:vMerge w:val="restart"/>
            <w:tcBorders>
              <w:bottom w:val="single" w:sz="4" w:space="0" w:color="auto"/>
            </w:tcBorders>
            <w:vAlign w:val="center"/>
          </w:tcPr>
          <w:p w14:paraId="183C2F03" w14:textId="64452955" w:rsidR="0099214A" w:rsidRPr="00171DED" w:rsidRDefault="0099214A" w:rsidP="007B564B">
            <w:pPr>
              <w:spacing w:before="120" w:after="120" w:line="240" w:lineRule="auto"/>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32</w:t>
            </w:r>
          </w:p>
        </w:tc>
        <w:tc>
          <w:tcPr>
            <w:tcW w:w="1014" w:type="pct"/>
            <w:vMerge w:val="restart"/>
            <w:tcBorders>
              <w:bottom w:val="single" w:sz="4" w:space="0" w:color="auto"/>
            </w:tcBorders>
            <w:shd w:val="clear" w:color="auto" w:fill="auto"/>
            <w:vAlign w:val="center"/>
          </w:tcPr>
          <w:p w14:paraId="57E44A59" w14:textId="4EC6C489" w:rsidR="0099214A" w:rsidRPr="00171DED" w:rsidRDefault="0099214A" w:rsidP="007B564B">
            <w:pPr>
              <w:spacing w:before="60" w:after="120" w:line="240" w:lineRule="auto"/>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51" w:type="pct"/>
            <w:vMerge w:val="restart"/>
            <w:tcBorders>
              <w:bottom w:val="single" w:sz="4" w:space="0" w:color="auto"/>
            </w:tcBorders>
            <w:vAlign w:val="center"/>
          </w:tcPr>
          <w:p w14:paraId="6C052460" w14:textId="32B0142C" w:rsidR="0099214A" w:rsidRPr="00171DED" w:rsidRDefault="0099214A" w:rsidP="007B564B">
            <w:pPr>
              <w:spacing w:before="120" w:after="120" w:line="240" w:lineRule="auto"/>
              <w:jc w:val="center"/>
              <w:rPr>
                <w:rFonts w:ascii="Times New Roman" w:hAnsi="Times New Roman"/>
                <w:bCs/>
                <w:noProof/>
                <w:sz w:val="16"/>
                <w:szCs w:val="16"/>
                <w:lang w:val="bg-BG" w:eastAsia="bg-BG" w:bidi="bg-BG"/>
              </w:rPr>
            </w:pPr>
            <w:r w:rsidRPr="00171DED">
              <w:rPr>
                <w:rFonts w:ascii="Times New Roman" w:hAnsi="Times New Roman"/>
                <w:bCs/>
                <w:iCs/>
                <w:noProof/>
                <w:sz w:val="16"/>
                <w:szCs w:val="16"/>
                <w:lang w:val="bg-BG" w:eastAsia="bg-BG" w:bidi="bg-BG"/>
              </w:rPr>
              <w:t>екв. ж.</w:t>
            </w:r>
          </w:p>
        </w:tc>
        <w:tc>
          <w:tcPr>
            <w:tcW w:w="412" w:type="pct"/>
            <w:vMerge w:val="restart"/>
            <w:tcBorders>
              <w:bottom w:val="single" w:sz="4" w:space="0" w:color="auto"/>
            </w:tcBorders>
            <w:shd w:val="clear" w:color="auto" w:fill="auto"/>
            <w:vAlign w:val="center"/>
          </w:tcPr>
          <w:p w14:paraId="38DEBC99" w14:textId="6955EAE7" w:rsidR="0099214A" w:rsidRPr="00171DED" w:rsidRDefault="00164805" w:rsidP="007B564B">
            <w:pPr>
              <w:spacing w:before="120" w:after="120" w:line="240" w:lineRule="auto"/>
              <w:jc w:val="both"/>
              <w:rPr>
                <w:rFonts w:ascii="Times New Roman" w:hAnsi="Times New Roman"/>
                <w:b/>
                <w:iCs/>
                <w:noProof/>
                <w:sz w:val="16"/>
                <w:szCs w:val="16"/>
                <w:lang w:val="bg-BG" w:eastAsia="bg-BG" w:bidi="bg-BG"/>
              </w:rPr>
            </w:pPr>
            <w:r w:rsidRPr="00171DED">
              <w:rPr>
                <w:rFonts w:ascii="Times New Roman" w:hAnsi="Times New Roman"/>
                <w:b/>
                <w:iCs/>
                <w:noProof/>
                <w:sz w:val="16"/>
                <w:szCs w:val="16"/>
                <w:lang w:eastAsia="bg-BG" w:bidi="bg-BG"/>
              </w:rPr>
              <w:t>0</w:t>
            </w:r>
          </w:p>
        </w:tc>
        <w:tc>
          <w:tcPr>
            <w:tcW w:w="531" w:type="pct"/>
            <w:vMerge w:val="restart"/>
            <w:tcBorders>
              <w:bottom w:val="single" w:sz="4" w:space="0" w:color="auto"/>
            </w:tcBorders>
            <w:shd w:val="clear" w:color="auto" w:fill="auto"/>
            <w:vAlign w:val="center"/>
          </w:tcPr>
          <w:p w14:paraId="7BE4D0EC" w14:textId="7E477AFA" w:rsidR="0099214A" w:rsidRPr="00171DED" w:rsidRDefault="007F2DC2" w:rsidP="007B564B">
            <w:pPr>
              <w:spacing w:before="120" w:after="120" w:line="240" w:lineRule="auto"/>
              <w:jc w:val="both"/>
              <w:rPr>
                <w:rFonts w:ascii="Times New Roman" w:hAnsi="Times New Roman"/>
                <w:b/>
                <w:sz w:val="16"/>
                <w:lang w:val="bg-BG"/>
              </w:rPr>
            </w:pPr>
            <w:r w:rsidRPr="00171DED">
              <w:rPr>
                <w:rFonts w:ascii="Times New Roman" w:hAnsi="Times New Roman"/>
                <w:b/>
                <w:sz w:val="16"/>
                <w:lang w:val="bg-BG"/>
              </w:rPr>
              <w:t>336 000</w:t>
            </w:r>
          </w:p>
        </w:tc>
      </w:tr>
      <w:tr w:rsidR="0099214A" w:rsidRPr="00171DED" w14:paraId="137B141F" w14:textId="77777777" w:rsidTr="0099214A">
        <w:trPr>
          <w:trHeight w:val="332"/>
        </w:trPr>
        <w:tc>
          <w:tcPr>
            <w:tcW w:w="583" w:type="pct"/>
            <w:vMerge/>
          </w:tcPr>
          <w:p w14:paraId="1EF57B22"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723" w:type="pct"/>
            <w:vMerge/>
          </w:tcPr>
          <w:p w14:paraId="4A817DC0"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397" w:type="pct"/>
            <w:vMerge/>
          </w:tcPr>
          <w:p w14:paraId="64C203A4"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542" w:type="pct"/>
            <w:vAlign w:val="center"/>
          </w:tcPr>
          <w:p w14:paraId="0212A311" w14:textId="77777777" w:rsidR="0099214A" w:rsidRPr="00171DED" w:rsidRDefault="0099214A"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347" w:type="pct"/>
            <w:vMerge/>
          </w:tcPr>
          <w:p w14:paraId="200679A7" w14:textId="77777777" w:rsidR="0099214A" w:rsidRPr="00171DED" w:rsidRDefault="0099214A" w:rsidP="007B564B">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1014" w:type="pct"/>
            <w:vMerge/>
            <w:shd w:val="clear" w:color="auto" w:fill="auto"/>
          </w:tcPr>
          <w:p w14:paraId="3375B12C" w14:textId="77777777" w:rsidR="0099214A" w:rsidRPr="00171DED" w:rsidRDefault="0099214A" w:rsidP="007B564B">
            <w:pPr>
              <w:spacing w:before="60" w:after="120" w:line="240" w:lineRule="auto"/>
              <w:jc w:val="both"/>
              <w:rPr>
                <w:rFonts w:ascii="Times New Roman" w:hAnsi="Times New Roman" w:cs="Times New Roman"/>
                <w:noProof/>
                <w:sz w:val="20"/>
                <w:szCs w:val="20"/>
                <w:lang w:val="bg-BG" w:eastAsia="bg-BG" w:bidi="bg-BG"/>
              </w:rPr>
            </w:pPr>
          </w:p>
        </w:tc>
        <w:tc>
          <w:tcPr>
            <w:tcW w:w="451" w:type="pct"/>
            <w:vMerge/>
            <w:vAlign w:val="center"/>
          </w:tcPr>
          <w:p w14:paraId="451AA3A0" w14:textId="77777777" w:rsidR="0099214A" w:rsidRPr="00171DED" w:rsidRDefault="0099214A" w:rsidP="007B564B">
            <w:pPr>
              <w:spacing w:before="120" w:after="120" w:line="240" w:lineRule="auto"/>
              <w:rPr>
                <w:rFonts w:ascii="Times New Roman" w:hAnsi="Times New Roman"/>
                <w:b/>
                <w:i/>
                <w:noProof/>
                <w:sz w:val="16"/>
                <w:szCs w:val="16"/>
                <w:lang w:val="bg-BG" w:eastAsia="bg-BG" w:bidi="bg-BG"/>
              </w:rPr>
            </w:pPr>
          </w:p>
        </w:tc>
        <w:tc>
          <w:tcPr>
            <w:tcW w:w="412" w:type="pct"/>
            <w:vMerge/>
            <w:shd w:val="clear" w:color="auto" w:fill="auto"/>
          </w:tcPr>
          <w:p w14:paraId="2A040545" w14:textId="77777777" w:rsidR="0099214A" w:rsidRPr="00171DED" w:rsidRDefault="0099214A" w:rsidP="007B564B">
            <w:pPr>
              <w:spacing w:before="120" w:after="120" w:line="240" w:lineRule="auto"/>
              <w:jc w:val="both"/>
              <w:rPr>
                <w:rFonts w:ascii="Times New Roman" w:hAnsi="Times New Roman"/>
                <w:b/>
                <w:noProof/>
                <w:sz w:val="16"/>
                <w:szCs w:val="16"/>
                <w:lang w:val="bg-BG" w:eastAsia="bg-BG" w:bidi="bg-BG"/>
              </w:rPr>
            </w:pPr>
          </w:p>
        </w:tc>
        <w:tc>
          <w:tcPr>
            <w:tcW w:w="531" w:type="pct"/>
            <w:vMerge/>
            <w:shd w:val="clear" w:color="auto" w:fill="auto"/>
          </w:tcPr>
          <w:p w14:paraId="774B013A" w14:textId="77777777" w:rsidR="0099214A" w:rsidRPr="00171DED" w:rsidRDefault="0099214A" w:rsidP="007B564B">
            <w:pPr>
              <w:spacing w:before="120" w:after="120" w:line="240" w:lineRule="auto"/>
              <w:jc w:val="both"/>
              <w:rPr>
                <w:rFonts w:ascii="Times New Roman" w:hAnsi="Times New Roman"/>
                <w:b/>
                <w:noProof/>
                <w:sz w:val="16"/>
                <w:szCs w:val="16"/>
                <w:lang w:val="bg-BG" w:eastAsia="bg-BG" w:bidi="bg-BG"/>
              </w:rPr>
            </w:pPr>
          </w:p>
        </w:tc>
      </w:tr>
    </w:tbl>
    <w:p w14:paraId="73BF9B16" w14:textId="77777777" w:rsidR="00310263" w:rsidRPr="00171DED" w:rsidRDefault="00310263"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968"/>
        <w:gridCol w:w="562"/>
        <w:gridCol w:w="743"/>
        <w:gridCol w:w="492"/>
        <w:gridCol w:w="944"/>
        <w:gridCol w:w="629"/>
        <w:gridCol w:w="797"/>
        <w:gridCol w:w="803"/>
        <w:gridCol w:w="659"/>
        <w:gridCol w:w="933"/>
        <w:gridCol w:w="771"/>
      </w:tblGrid>
      <w:tr w:rsidR="0022545E" w:rsidRPr="00171DED" w14:paraId="0E970ED6" w14:textId="77777777" w:rsidTr="00B91C8C">
        <w:trPr>
          <w:trHeight w:val="480"/>
        </w:trPr>
        <w:tc>
          <w:tcPr>
            <w:tcW w:w="5000" w:type="pct"/>
            <w:gridSpan w:val="12"/>
          </w:tcPr>
          <w:p w14:paraId="55F40CAC"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BE032C" w:rsidRPr="00171DED" w14:paraId="01726FE9" w14:textId="77777777" w:rsidTr="00B8130F">
        <w:trPr>
          <w:trHeight w:val="1768"/>
        </w:trPr>
        <w:tc>
          <w:tcPr>
            <w:tcW w:w="428" w:type="pct"/>
          </w:tcPr>
          <w:p w14:paraId="5420CDE1"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43" w:type="pct"/>
          </w:tcPr>
          <w:p w14:paraId="09871C0A" w14:textId="25648508"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15" w:type="pct"/>
          </w:tcPr>
          <w:p w14:paraId="1F4B634F"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17" w:type="pct"/>
          </w:tcPr>
          <w:p w14:paraId="2A2D7F9A"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75" w:type="pct"/>
          </w:tcPr>
          <w:p w14:paraId="2E850FBD"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530" w:type="pct"/>
            <w:shd w:val="clear" w:color="auto" w:fill="auto"/>
          </w:tcPr>
          <w:p w14:paraId="41B98281"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52" w:type="pct"/>
          </w:tcPr>
          <w:p w14:paraId="04D0553A"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47" w:type="pct"/>
          </w:tcPr>
          <w:p w14:paraId="476234B0"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50" w:type="pct"/>
          </w:tcPr>
          <w:p w14:paraId="1D8C1AA2"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69" w:type="pct"/>
            <w:shd w:val="clear" w:color="auto" w:fill="auto"/>
          </w:tcPr>
          <w:p w14:paraId="22E67266"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7DBF79B5"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p>
        </w:tc>
        <w:tc>
          <w:tcPr>
            <w:tcW w:w="443" w:type="pct"/>
            <w:shd w:val="clear" w:color="auto" w:fill="auto"/>
          </w:tcPr>
          <w:p w14:paraId="35AD1FF9" w14:textId="77777777" w:rsidR="0022545E" w:rsidRPr="00171DED" w:rsidRDefault="0022545E" w:rsidP="007B564B">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33" w:type="pct"/>
          </w:tcPr>
          <w:p w14:paraId="4DB059D0" w14:textId="77777777" w:rsidR="0022545E" w:rsidRPr="00171DED" w:rsidRDefault="0022545E" w:rsidP="007B564B">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B8130F" w:rsidRPr="00171DED" w14:paraId="53469D98" w14:textId="77777777" w:rsidTr="00E84B64">
        <w:trPr>
          <w:trHeight w:val="860"/>
        </w:trPr>
        <w:tc>
          <w:tcPr>
            <w:tcW w:w="428" w:type="pct"/>
            <w:vMerge w:val="restart"/>
            <w:vAlign w:val="center"/>
          </w:tcPr>
          <w:p w14:paraId="1E3BEDFA" w14:textId="7AE99D35" w:rsidR="00B8130F" w:rsidRPr="00171DED" w:rsidRDefault="00B8130F" w:rsidP="007B564B">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543" w:type="pct"/>
            <w:vMerge w:val="restart"/>
            <w:vAlign w:val="center"/>
          </w:tcPr>
          <w:p w14:paraId="7C25495D" w14:textId="1C5047DE" w:rsidR="00B8130F" w:rsidRPr="00171DED" w:rsidRDefault="00B8130F" w:rsidP="005D00DF">
            <w:pPr>
              <w:spacing w:before="120" w:after="120" w:line="240" w:lineRule="auto"/>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Насърчаване на устойчивото управление на водите</w:t>
            </w:r>
          </w:p>
        </w:tc>
        <w:tc>
          <w:tcPr>
            <w:tcW w:w="315" w:type="pct"/>
            <w:vMerge w:val="restart"/>
            <w:vAlign w:val="center"/>
          </w:tcPr>
          <w:p w14:paraId="3D7C6D4F" w14:textId="77777777" w:rsidR="00B8130F" w:rsidRPr="00171DED" w:rsidRDefault="00B8130F" w:rsidP="007B564B">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417" w:type="pct"/>
            <w:vAlign w:val="center"/>
          </w:tcPr>
          <w:p w14:paraId="697A3CF3"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11811A89" w14:textId="77777777" w:rsidR="00B8130F" w:rsidRPr="00171DED" w:rsidRDefault="00B8130F" w:rsidP="007B564B">
            <w:pPr>
              <w:spacing w:before="120" w:after="120" w:line="240" w:lineRule="auto"/>
              <w:rPr>
                <w:rFonts w:ascii="Times New Roman" w:hAnsi="Times New Roman"/>
                <w:b/>
                <w:noProof/>
                <w:sz w:val="16"/>
                <w:lang w:val="bg-BG" w:eastAsia="bg-BG" w:bidi="bg-BG"/>
              </w:rPr>
            </w:pPr>
            <w:r w:rsidRPr="00171DED">
              <w:rPr>
                <w:rFonts w:ascii="Times New Roman" w:eastAsia="Calibri" w:hAnsi="Times New Roman" w:cs="Times New Roman"/>
                <w:noProof/>
                <w:sz w:val="20"/>
                <w:szCs w:val="20"/>
                <w:lang w:val="bg-BG" w:eastAsia="bg-BG" w:bidi="bg-BG"/>
              </w:rPr>
              <w:t>RCR 41</w:t>
            </w:r>
          </w:p>
        </w:tc>
        <w:tc>
          <w:tcPr>
            <w:tcW w:w="530" w:type="pct"/>
            <w:vMerge w:val="restart"/>
            <w:shd w:val="clear" w:color="auto" w:fill="auto"/>
            <w:vAlign w:val="center"/>
          </w:tcPr>
          <w:p w14:paraId="20E3AE99" w14:textId="0E43E2A3" w:rsidR="00B8130F" w:rsidRPr="00171DED" w:rsidRDefault="00B8130F" w:rsidP="005D00DF">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свързани към подобрени системи за снабдяване с вода</w:t>
            </w:r>
          </w:p>
        </w:tc>
        <w:tc>
          <w:tcPr>
            <w:tcW w:w="352" w:type="pct"/>
            <w:vMerge w:val="restart"/>
            <w:vAlign w:val="center"/>
          </w:tcPr>
          <w:p w14:paraId="59ADD93B" w14:textId="5CA9A0CC" w:rsidR="00B8130F" w:rsidRPr="00171DED" w:rsidRDefault="00B8130F" w:rsidP="007B564B">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 xml:space="preserve"> Лица</w:t>
            </w:r>
          </w:p>
        </w:tc>
        <w:tc>
          <w:tcPr>
            <w:tcW w:w="447" w:type="pct"/>
          </w:tcPr>
          <w:p w14:paraId="7D73885E" w14:textId="4240785E" w:rsidR="00B8130F" w:rsidRPr="00171DED" w:rsidRDefault="00B8130F" w:rsidP="007B564B">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450" w:type="pct"/>
            <w:vMerge w:val="restart"/>
          </w:tcPr>
          <w:p w14:paraId="5443797B" w14:textId="465AE904" w:rsidR="00B8130F" w:rsidRPr="00171DED" w:rsidRDefault="007F2DC2" w:rsidP="007B564B">
            <w:pPr>
              <w:spacing w:before="120" w:after="120" w:line="240" w:lineRule="auto"/>
              <w:jc w:val="both"/>
              <w:rPr>
                <w:rFonts w:ascii="Times New Roman" w:hAnsi="Times New Roman"/>
                <w:sz w:val="16"/>
                <w:lang w:val="bg-BG"/>
              </w:rPr>
            </w:pPr>
            <w:r w:rsidRPr="00171DED">
              <w:rPr>
                <w:rFonts w:ascii="Times New Roman" w:hAnsi="Times New Roman"/>
                <w:sz w:val="16"/>
              </w:rPr>
              <w:t>20</w:t>
            </w:r>
            <w:r w:rsidRPr="00171DED">
              <w:rPr>
                <w:rFonts w:ascii="Times New Roman" w:hAnsi="Times New Roman"/>
                <w:sz w:val="16"/>
                <w:lang w:val="bg-BG"/>
              </w:rPr>
              <w:t>2</w:t>
            </w:r>
            <w:r w:rsidR="000F7A8A" w:rsidRPr="00171DED">
              <w:rPr>
                <w:rFonts w:ascii="Times New Roman" w:hAnsi="Times New Roman"/>
                <w:sz w:val="16"/>
                <w:lang w:val="bg-BG"/>
              </w:rPr>
              <w:t>1</w:t>
            </w:r>
          </w:p>
        </w:tc>
        <w:tc>
          <w:tcPr>
            <w:tcW w:w="369" w:type="pct"/>
            <w:shd w:val="clear" w:color="auto" w:fill="auto"/>
          </w:tcPr>
          <w:p w14:paraId="3B983CEC" w14:textId="5699823F" w:rsidR="00B8130F" w:rsidRPr="00171DED" w:rsidRDefault="00B8130F" w:rsidP="007B564B">
            <w:pPr>
              <w:spacing w:before="120" w:after="120" w:line="240" w:lineRule="auto"/>
              <w:jc w:val="both"/>
              <w:rPr>
                <w:rFonts w:ascii="Times New Roman" w:hAnsi="Times New Roman"/>
                <w:sz w:val="16"/>
              </w:rPr>
            </w:pPr>
            <w:r w:rsidRPr="00171DED">
              <w:rPr>
                <w:rFonts w:ascii="Times New Roman" w:hAnsi="Times New Roman"/>
                <w:bCs/>
                <w:noProof/>
                <w:sz w:val="16"/>
                <w:lang w:val="bg-BG" w:eastAsia="bg-BG" w:bidi="bg-BG"/>
              </w:rPr>
              <w:t>1</w:t>
            </w:r>
            <w:r w:rsidR="00DE0F47">
              <w:rPr>
                <w:rFonts w:ascii="Times New Roman" w:hAnsi="Times New Roman"/>
                <w:bCs/>
                <w:noProof/>
                <w:sz w:val="16"/>
                <w:lang w:eastAsia="bg-BG" w:bidi="bg-BG"/>
              </w:rPr>
              <w:t> </w:t>
            </w:r>
            <w:r w:rsidR="007F2DC2" w:rsidRPr="00171DED">
              <w:rPr>
                <w:rFonts w:ascii="Times New Roman" w:hAnsi="Times New Roman"/>
                <w:bCs/>
                <w:noProof/>
                <w:sz w:val="16"/>
                <w:lang w:val="bg-BG" w:eastAsia="bg-BG" w:bidi="bg-BG"/>
              </w:rPr>
              <w:t>400</w:t>
            </w:r>
            <w:r w:rsidR="00DE0F47">
              <w:rPr>
                <w:rFonts w:ascii="Times New Roman" w:hAnsi="Times New Roman"/>
                <w:sz w:val="16"/>
              </w:rPr>
              <w:t xml:space="preserve"> </w:t>
            </w:r>
            <w:r w:rsidR="007F2DC2" w:rsidRPr="00171DED">
              <w:rPr>
                <w:rFonts w:ascii="Times New Roman" w:hAnsi="Times New Roman"/>
                <w:sz w:val="16"/>
                <w:lang w:val="bg-BG"/>
              </w:rPr>
              <w:t>000</w:t>
            </w:r>
          </w:p>
        </w:tc>
        <w:tc>
          <w:tcPr>
            <w:tcW w:w="443" w:type="pct"/>
            <w:vMerge w:val="restart"/>
            <w:shd w:val="clear" w:color="auto" w:fill="auto"/>
          </w:tcPr>
          <w:p w14:paraId="5A661063" w14:textId="124BAA6B" w:rsidR="00B8130F" w:rsidRPr="00171DED" w:rsidRDefault="00B8130F" w:rsidP="007B564B">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Подкрепени проекти,</w:t>
            </w:r>
            <w:r w:rsidR="007F2DC2" w:rsidRPr="00171DED">
              <w:rPr>
                <w:rFonts w:ascii="Times New Roman" w:hAnsi="Times New Roman"/>
                <w:bCs/>
                <w:noProof/>
                <w:sz w:val="16"/>
                <w:lang w:val="bg-BG" w:eastAsia="bg-BG" w:bidi="bg-BG"/>
              </w:rPr>
              <w:t xml:space="preserve">МРРБ, </w:t>
            </w:r>
            <w:r w:rsidRPr="00171DED">
              <w:rPr>
                <w:rFonts w:ascii="Times New Roman" w:hAnsi="Times New Roman"/>
                <w:bCs/>
                <w:noProof/>
                <w:sz w:val="16"/>
                <w:lang w:val="bg-BG" w:eastAsia="bg-BG" w:bidi="bg-BG"/>
              </w:rPr>
              <w:t>УО на ОПОС</w:t>
            </w:r>
          </w:p>
        </w:tc>
        <w:tc>
          <w:tcPr>
            <w:tcW w:w="433" w:type="pct"/>
          </w:tcPr>
          <w:p w14:paraId="188F79F6"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4A2CCB49" w14:textId="77777777" w:rsidTr="00B8130F">
        <w:trPr>
          <w:trHeight w:val="1342"/>
        </w:trPr>
        <w:tc>
          <w:tcPr>
            <w:tcW w:w="428" w:type="pct"/>
            <w:vMerge/>
            <w:vAlign w:val="center"/>
          </w:tcPr>
          <w:p w14:paraId="5718B825" w14:textId="77777777" w:rsidR="00B8130F" w:rsidRPr="00171DED" w:rsidRDefault="00B8130F" w:rsidP="007B564B">
            <w:pPr>
              <w:spacing w:before="120" w:after="120" w:line="240" w:lineRule="auto"/>
              <w:jc w:val="center"/>
              <w:rPr>
                <w:rFonts w:ascii="Times New Roman" w:hAnsi="Times New Roman" w:cs="Times New Roman"/>
                <w:noProof/>
                <w:sz w:val="20"/>
                <w:szCs w:val="20"/>
                <w:lang w:val="bg-BG" w:eastAsia="bg-BG" w:bidi="bg-BG"/>
              </w:rPr>
            </w:pPr>
          </w:p>
        </w:tc>
        <w:tc>
          <w:tcPr>
            <w:tcW w:w="543" w:type="pct"/>
            <w:vMerge/>
            <w:vAlign w:val="center"/>
          </w:tcPr>
          <w:p w14:paraId="6A5D3ACE" w14:textId="77777777" w:rsidR="00B8130F" w:rsidRPr="00171DED" w:rsidRDefault="00B8130F" w:rsidP="007B564B">
            <w:pPr>
              <w:spacing w:before="120" w:after="120" w:line="240" w:lineRule="auto"/>
              <w:jc w:val="center"/>
              <w:rPr>
                <w:rFonts w:ascii="Times New Roman" w:hAnsi="Times New Roman"/>
                <w:noProof/>
                <w:sz w:val="16"/>
                <w:szCs w:val="16"/>
                <w:lang w:val="bg-BG" w:eastAsia="bg-BG" w:bidi="bg-BG"/>
              </w:rPr>
            </w:pPr>
          </w:p>
        </w:tc>
        <w:tc>
          <w:tcPr>
            <w:tcW w:w="315" w:type="pct"/>
            <w:vMerge/>
            <w:vAlign w:val="center"/>
          </w:tcPr>
          <w:p w14:paraId="15A5E919" w14:textId="77777777" w:rsidR="00B8130F" w:rsidRPr="00171DED" w:rsidRDefault="00B8130F" w:rsidP="007B564B">
            <w:pPr>
              <w:spacing w:before="120" w:after="120" w:line="240" w:lineRule="auto"/>
              <w:jc w:val="center"/>
              <w:rPr>
                <w:rFonts w:ascii="Times New Roman" w:hAnsi="Times New Roman"/>
                <w:noProof/>
                <w:sz w:val="16"/>
                <w:szCs w:val="16"/>
                <w:lang w:val="bg-BG" w:eastAsia="bg-BG" w:bidi="bg-BG"/>
              </w:rPr>
            </w:pPr>
          </w:p>
        </w:tc>
        <w:tc>
          <w:tcPr>
            <w:tcW w:w="417" w:type="pct"/>
            <w:vAlign w:val="center"/>
          </w:tcPr>
          <w:p w14:paraId="18EC2C04"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37615751"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530" w:type="pct"/>
            <w:vMerge/>
            <w:shd w:val="clear" w:color="auto" w:fill="auto"/>
          </w:tcPr>
          <w:p w14:paraId="2C5F8B4E"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352" w:type="pct"/>
            <w:vMerge/>
          </w:tcPr>
          <w:p w14:paraId="686FF0BF"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47" w:type="pct"/>
          </w:tcPr>
          <w:p w14:paraId="2973BF2E"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50" w:type="pct"/>
            <w:vMerge/>
          </w:tcPr>
          <w:p w14:paraId="587A21D9"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369" w:type="pct"/>
            <w:shd w:val="clear" w:color="auto" w:fill="auto"/>
          </w:tcPr>
          <w:p w14:paraId="60716F60"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43" w:type="pct"/>
            <w:vMerge/>
            <w:shd w:val="clear" w:color="auto" w:fill="auto"/>
          </w:tcPr>
          <w:p w14:paraId="7ACAA524"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c>
          <w:tcPr>
            <w:tcW w:w="433" w:type="pct"/>
          </w:tcPr>
          <w:p w14:paraId="4B2E4C2A"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766586DE" w14:textId="77777777" w:rsidTr="00584F2A">
        <w:trPr>
          <w:trHeight w:val="557"/>
        </w:trPr>
        <w:tc>
          <w:tcPr>
            <w:tcW w:w="428" w:type="pct"/>
            <w:vMerge/>
          </w:tcPr>
          <w:p w14:paraId="337F9C2B" w14:textId="77777777" w:rsidR="00B8130F" w:rsidRPr="00171DED" w:rsidRDefault="00B8130F" w:rsidP="00584F2A">
            <w:pPr>
              <w:spacing w:before="120" w:after="120" w:line="240" w:lineRule="auto"/>
              <w:jc w:val="both"/>
              <w:rPr>
                <w:rFonts w:ascii="Times New Roman" w:hAnsi="Times New Roman"/>
                <w:b/>
                <w:noProof/>
                <w:sz w:val="16"/>
                <w:lang w:val="bg-BG" w:eastAsia="bg-BG" w:bidi="bg-BG"/>
              </w:rPr>
            </w:pPr>
          </w:p>
        </w:tc>
        <w:tc>
          <w:tcPr>
            <w:tcW w:w="543" w:type="pct"/>
            <w:vMerge/>
          </w:tcPr>
          <w:p w14:paraId="4196DFA2" w14:textId="77777777" w:rsidR="00B8130F" w:rsidRPr="00171DED" w:rsidRDefault="00B8130F" w:rsidP="00584F2A">
            <w:pPr>
              <w:spacing w:before="120" w:after="120" w:line="240" w:lineRule="auto"/>
              <w:jc w:val="both"/>
              <w:rPr>
                <w:rFonts w:ascii="Times New Roman" w:hAnsi="Times New Roman"/>
                <w:b/>
                <w:noProof/>
                <w:sz w:val="16"/>
                <w:lang w:val="bg-BG" w:eastAsia="bg-BG" w:bidi="bg-BG"/>
              </w:rPr>
            </w:pPr>
          </w:p>
        </w:tc>
        <w:tc>
          <w:tcPr>
            <w:tcW w:w="315" w:type="pct"/>
            <w:vMerge/>
          </w:tcPr>
          <w:p w14:paraId="540E24AA" w14:textId="77777777" w:rsidR="00B8130F" w:rsidRPr="00171DED" w:rsidRDefault="00B8130F" w:rsidP="00584F2A">
            <w:pPr>
              <w:spacing w:before="120" w:after="120" w:line="240" w:lineRule="auto"/>
              <w:jc w:val="both"/>
              <w:rPr>
                <w:rFonts w:ascii="Times New Roman" w:hAnsi="Times New Roman"/>
                <w:b/>
                <w:noProof/>
                <w:sz w:val="16"/>
                <w:lang w:val="bg-BG" w:eastAsia="bg-BG" w:bidi="bg-BG"/>
              </w:rPr>
            </w:pPr>
          </w:p>
        </w:tc>
        <w:tc>
          <w:tcPr>
            <w:tcW w:w="417" w:type="pct"/>
            <w:vAlign w:val="center"/>
          </w:tcPr>
          <w:p w14:paraId="3DA16D4B"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74EAA06C" w14:textId="77777777" w:rsidR="00B8130F" w:rsidRPr="00171DED" w:rsidRDefault="00B8130F" w:rsidP="007B564B">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42</w:t>
            </w:r>
          </w:p>
        </w:tc>
        <w:tc>
          <w:tcPr>
            <w:tcW w:w="530" w:type="pct"/>
            <w:vMerge w:val="restart"/>
            <w:shd w:val="clear" w:color="auto" w:fill="auto"/>
            <w:vAlign w:val="center"/>
          </w:tcPr>
          <w:p w14:paraId="681948B1" w14:textId="77777777" w:rsidR="00B8130F" w:rsidRPr="00171DED" w:rsidRDefault="00B8130F" w:rsidP="005D00DF">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свързани поне към системи за вторично пречистване на отпадъчни води</w:t>
            </w:r>
          </w:p>
        </w:tc>
        <w:tc>
          <w:tcPr>
            <w:tcW w:w="352" w:type="pct"/>
            <w:vMerge w:val="restart"/>
            <w:vAlign w:val="center"/>
          </w:tcPr>
          <w:p w14:paraId="2D069913" w14:textId="728A9EFA" w:rsidR="00B8130F" w:rsidRPr="00171DED" w:rsidRDefault="00B8130F" w:rsidP="007B564B">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Лица</w:t>
            </w:r>
          </w:p>
        </w:tc>
        <w:tc>
          <w:tcPr>
            <w:tcW w:w="447" w:type="pct"/>
          </w:tcPr>
          <w:p w14:paraId="712B4185" w14:textId="0629C137" w:rsidR="00B8130F" w:rsidRPr="00171DED" w:rsidRDefault="00B8130F" w:rsidP="007B564B">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450" w:type="pct"/>
            <w:vMerge w:val="restart"/>
          </w:tcPr>
          <w:p w14:paraId="237D806E" w14:textId="7BD58948" w:rsidR="00B8130F" w:rsidRPr="00171DED" w:rsidRDefault="007F2DC2" w:rsidP="007B564B">
            <w:pPr>
              <w:spacing w:before="120" w:after="120" w:line="240" w:lineRule="auto"/>
              <w:jc w:val="both"/>
              <w:rPr>
                <w:rFonts w:ascii="Times New Roman" w:hAnsi="Times New Roman"/>
                <w:sz w:val="16"/>
                <w:lang w:val="bg-BG"/>
              </w:rPr>
            </w:pPr>
            <w:r w:rsidRPr="00171DED">
              <w:rPr>
                <w:rFonts w:ascii="Times New Roman" w:hAnsi="Times New Roman"/>
                <w:sz w:val="16"/>
              </w:rPr>
              <w:t>20</w:t>
            </w:r>
            <w:r w:rsidRPr="00171DED">
              <w:rPr>
                <w:rFonts w:ascii="Times New Roman" w:hAnsi="Times New Roman"/>
                <w:sz w:val="16"/>
                <w:lang w:val="bg-BG"/>
              </w:rPr>
              <w:t>2</w:t>
            </w:r>
            <w:r w:rsidR="000F7A8A" w:rsidRPr="00171DED">
              <w:rPr>
                <w:rFonts w:ascii="Times New Roman" w:hAnsi="Times New Roman"/>
                <w:sz w:val="16"/>
                <w:lang w:val="bg-BG"/>
              </w:rPr>
              <w:t>1</w:t>
            </w:r>
          </w:p>
        </w:tc>
        <w:tc>
          <w:tcPr>
            <w:tcW w:w="369" w:type="pct"/>
            <w:shd w:val="clear" w:color="auto" w:fill="auto"/>
          </w:tcPr>
          <w:p w14:paraId="20B4D235" w14:textId="7407D7E3" w:rsidR="00B8130F" w:rsidRPr="00171DED" w:rsidRDefault="007F2DC2" w:rsidP="007B564B">
            <w:pPr>
              <w:spacing w:before="120" w:after="120" w:line="240" w:lineRule="auto"/>
              <w:jc w:val="both"/>
              <w:rPr>
                <w:rFonts w:ascii="Times New Roman" w:hAnsi="Times New Roman"/>
                <w:sz w:val="16"/>
              </w:rPr>
            </w:pPr>
            <w:r w:rsidRPr="00171DED">
              <w:rPr>
                <w:rFonts w:ascii="Times New Roman" w:hAnsi="Times New Roman"/>
                <w:sz w:val="16"/>
                <w:lang w:val="bg-BG"/>
              </w:rPr>
              <w:t>169 000</w:t>
            </w:r>
          </w:p>
        </w:tc>
        <w:tc>
          <w:tcPr>
            <w:tcW w:w="443" w:type="pct"/>
            <w:vMerge w:val="restart"/>
            <w:shd w:val="clear" w:color="auto" w:fill="auto"/>
          </w:tcPr>
          <w:p w14:paraId="29CCAF0C" w14:textId="4A009B1F" w:rsidR="00617F1E" w:rsidRDefault="00B8130F" w:rsidP="00617F1E">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 xml:space="preserve">Подкрепени проекти, </w:t>
            </w:r>
          </w:p>
          <w:p w14:paraId="53F0F15A" w14:textId="745CDE65" w:rsidR="00B8130F" w:rsidRPr="00171DED" w:rsidRDefault="00B8130F" w:rsidP="00617F1E">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УО на ОПОС</w:t>
            </w:r>
          </w:p>
        </w:tc>
        <w:tc>
          <w:tcPr>
            <w:tcW w:w="433" w:type="pct"/>
          </w:tcPr>
          <w:p w14:paraId="5D67E914"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03993592" w14:textId="77777777" w:rsidTr="00B8130F">
        <w:trPr>
          <w:trHeight w:val="434"/>
        </w:trPr>
        <w:tc>
          <w:tcPr>
            <w:tcW w:w="428" w:type="pct"/>
            <w:vMerge/>
          </w:tcPr>
          <w:p w14:paraId="2FF3F45A"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543" w:type="pct"/>
            <w:vMerge/>
          </w:tcPr>
          <w:p w14:paraId="3CF1E45B"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315" w:type="pct"/>
            <w:vMerge/>
          </w:tcPr>
          <w:p w14:paraId="26D251B9"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417" w:type="pct"/>
            <w:vAlign w:val="center"/>
          </w:tcPr>
          <w:p w14:paraId="6D95F7CD"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2D506C42" w14:textId="77777777" w:rsidR="00B8130F" w:rsidRPr="00171DED" w:rsidRDefault="00B8130F" w:rsidP="00584F2A">
            <w:pPr>
              <w:spacing w:before="120" w:after="120" w:line="240" w:lineRule="auto"/>
              <w:jc w:val="both"/>
              <w:rPr>
                <w:rFonts w:ascii="Times New Roman" w:hAnsi="Times New Roman"/>
                <w:i/>
                <w:noProof/>
                <w:sz w:val="20"/>
                <w:szCs w:val="14"/>
                <w:lang w:val="bg-BG" w:eastAsia="bg-BG" w:bidi="bg-BG"/>
              </w:rPr>
            </w:pPr>
          </w:p>
        </w:tc>
        <w:tc>
          <w:tcPr>
            <w:tcW w:w="530" w:type="pct"/>
            <w:vMerge/>
            <w:shd w:val="clear" w:color="auto" w:fill="auto"/>
          </w:tcPr>
          <w:p w14:paraId="0155F254" w14:textId="77777777" w:rsidR="00B8130F" w:rsidRPr="00171DED" w:rsidRDefault="00B8130F" w:rsidP="00584F2A">
            <w:pPr>
              <w:spacing w:before="120" w:after="120" w:line="240" w:lineRule="auto"/>
              <w:jc w:val="both"/>
              <w:rPr>
                <w:rFonts w:ascii="Times New Roman" w:hAnsi="Times New Roman"/>
                <w:noProof/>
                <w:sz w:val="20"/>
                <w:szCs w:val="20"/>
                <w:lang w:val="bg-BG" w:eastAsia="bg-BG" w:bidi="bg-BG"/>
              </w:rPr>
            </w:pPr>
          </w:p>
        </w:tc>
        <w:tc>
          <w:tcPr>
            <w:tcW w:w="352" w:type="pct"/>
            <w:vMerge/>
          </w:tcPr>
          <w:p w14:paraId="593E2587"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447" w:type="pct"/>
          </w:tcPr>
          <w:p w14:paraId="4032A1E8"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450" w:type="pct"/>
            <w:vMerge/>
          </w:tcPr>
          <w:p w14:paraId="717A1BDE" w14:textId="77777777" w:rsidR="00B8130F" w:rsidRPr="00171DED" w:rsidRDefault="00B8130F" w:rsidP="00584F2A">
            <w:pPr>
              <w:spacing w:before="120" w:after="120" w:line="240" w:lineRule="auto"/>
              <w:jc w:val="both"/>
              <w:rPr>
                <w:rFonts w:ascii="Times New Roman" w:hAnsi="Times New Roman"/>
                <w:b/>
                <w:noProof/>
                <w:sz w:val="14"/>
                <w:szCs w:val="14"/>
                <w:lang w:val="bg-BG" w:eastAsia="bg-BG" w:bidi="bg-BG"/>
              </w:rPr>
            </w:pPr>
          </w:p>
        </w:tc>
        <w:tc>
          <w:tcPr>
            <w:tcW w:w="369" w:type="pct"/>
            <w:shd w:val="clear" w:color="auto" w:fill="auto"/>
          </w:tcPr>
          <w:p w14:paraId="748C04A3" w14:textId="77777777" w:rsidR="00B8130F" w:rsidRPr="00171DED" w:rsidRDefault="00B8130F" w:rsidP="00584F2A">
            <w:pPr>
              <w:spacing w:before="120" w:after="120" w:line="240" w:lineRule="auto"/>
              <w:jc w:val="center"/>
              <w:rPr>
                <w:rFonts w:ascii="Times New Roman" w:hAnsi="Times New Roman"/>
                <w:b/>
                <w:noProof/>
                <w:sz w:val="14"/>
                <w:szCs w:val="14"/>
                <w:lang w:val="bg-BG" w:eastAsia="bg-BG" w:bidi="bg-BG"/>
              </w:rPr>
            </w:pPr>
          </w:p>
        </w:tc>
        <w:tc>
          <w:tcPr>
            <w:tcW w:w="443" w:type="pct"/>
            <w:vMerge/>
            <w:shd w:val="clear" w:color="auto" w:fill="auto"/>
          </w:tcPr>
          <w:p w14:paraId="3A9ADE1F" w14:textId="77777777" w:rsidR="00B8130F" w:rsidRPr="00171DED" w:rsidRDefault="00B8130F" w:rsidP="00584F2A">
            <w:pPr>
              <w:spacing w:before="120" w:after="120" w:line="480" w:lineRule="auto"/>
              <w:jc w:val="both"/>
              <w:rPr>
                <w:rFonts w:ascii="Times New Roman" w:hAnsi="Times New Roman"/>
                <w:i/>
                <w:noProof/>
                <w:sz w:val="14"/>
                <w:szCs w:val="14"/>
                <w:lang w:val="bg-BG" w:eastAsia="bg-BG" w:bidi="bg-BG"/>
              </w:rPr>
            </w:pPr>
          </w:p>
        </w:tc>
        <w:tc>
          <w:tcPr>
            <w:tcW w:w="433" w:type="pct"/>
          </w:tcPr>
          <w:p w14:paraId="62481D4E" w14:textId="77777777" w:rsidR="00B8130F" w:rsidRPr="00171DED" w:rsidRDefault="00B8130F" w:rsidP="00584F2A">
            <w:pPr>
              <w:spacing w:before="120" w:after="120" w:line="240" w:lineRule="auto"/>
              <w:jc w:val="both"/>
              <w:rPr>
                <w:rFonts w:ascii="Times New Roman" w:eastAsia="Calibri" w:hAnsi="Times New Roman" w:cs="Times New Roman"/>
                <w:i/>
                <w:noProof/>
                <w:sz w:val="14"/>
                <w:szCs w:val="14"/>
                <w:lang w:val="bg-BG" w:eastAsia="bg-BG" w:bidi="bg-BG"/>
              </w:rPr>
            </w:pPr>
          </w:p>
        </w:tc>
      </w:tr>
    </w:tbl>
    <w:p w14:paraId="25AC3626" w14:textId="66E26327"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00681536">
        <w:rPr>
          <w:rStyle w:val="FootnoteReference"/>
          <w:rFonts w:ascii="Times New Roman" w:eastAsia="Calibri" w:hAnsi="Times New Roman" w:cs="Times New Roman"/>
          <w:b/>
          <w:noProof/>
          <w:sz w:val="24"/>
          <w:szCs w:val="20"/>
          <w:lang w:val="bg-BG" w:eastAsia="bg-BG" w:bidi="bg-BG"/>
        </w:rPr>
        <w:footnoteReference w:id="6"/>
      </w:r>
      <w:r w:rsidRPr="00171DED">
        <w:rPr>
          <w:rFonts w:ascii="Times New Roman" w:eastAsia="Calibri" w:hAnsi="Times New Roman" w:cs="Times New Roman"/>
          <w:noProof/>
          <w:sz w:val="24"/>
          <w:szCs w:val="20"/>
          <w:lang w:val="bg-BG" w:eastAsia="bg-BG" w:bidi="bg-BG"/>
        </w:rPr>
        <w:t xml:space="preserve"> (не се прилага за ЕФМДР)</w:t>
      </w:r>
    </w:p>
    <w:p w14:paraId="5AA60EBE"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2"/>
        <w:tblW w:w="0" w:type="auto"/>
        <w:jc w:val="center"/>
        <w:tblLook w:val="04A0" w:firstRow="1" w:lastRow="0" w:firstColumn="1" w:lastColumn="0" w:noHBand="0" w:noVBand="1"/>
      </w:tblPr>
      <w:tblGrid>
        <w:gridCol w:w="1435"/>
        <w:gridCol w:w="1101"/>
        <w:gridCol w:w="1322"/>
        <w:gridCol w:w="1539"/>
        <w:gridCol w:w="2087"/>
        <w:gridCol w:w="1578"/>
      </w:tblGrid>
      <w:tr w:rsidR="0022545E" w:rsidRPr="0061399E" w14:paraId="556691AD" w14:textId="77777777" w:rsidTr="005D00DF">
        <w:trPr>
          <w:jc w:val="center"/>
        </w:trPr>
        <w:tc>
          <w:tcPr>
            <w:tcW w:w="9062" w:type="dxa"/>
            <w:gridSpan w:val="6"/>
          </w:tcPr>
          <w:p w14:paraId="2F907F0B"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lastRenderedPageBreak/>
              <w:t>Таблица 4: Измерение 1 – Област на интервенция</w:t>
            </w:r>
          </w:p>
        </w:tc>
      </w:tr>
      <w:tr w:rsidR="0022545E" w:rsidRPr="0061399E" w14:paraId="7022B759" w14:textId="77777777" w:rsidTr="005D00DF">
        <w:trPr>
          <w:jc w:val="center"/>
        </w:trPr>
        <w:tc>
          <w:tcPr>
            <w:tcW w:w="1435" w:type="dxa"/>
          </w:tcPr>
          <w:p w14:paraId="5AEF7B07"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Приоритет №</w:t>
            </w:r>
          </w:p>
        </w:tc>
        <w:tc>
          <w:tcPr>
            <w:tcW w:w="1101" w:type="dxa"/>
          </w:tcPr>
          <w:p w14:paraId="304FABF0"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Фонд</w:t>
            </w:r>
          </w:p>
        </w:tc>
        <w:tc>
          <w:tcPr>
            <w:tcW w:w="1322" w:type="dxa"/>
          </w:tcPr>
          <w:p w14:paraId="7B83DB58"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Категория региони</w:t>
            </w:r>
          </w:p>
        </w:tc>
        <w:tc>
          <w:tcPr>
            <w:tcW w:w="1539" w:type="dxa"/>
          </w:tcPr>
          <w:p w14:paraId="0C82B1EA"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Специфична цел</w:t>
            </w:r>
          </w:p>
        </w:tc>
        <w:tc>
          <w:tcPr>
            <w:tcW w:w="2087" w:type="dxa"/>
          </w:tcPr>
          <w:p w14:paraId="0CF003B3"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 xml:space="preserve">Код </w:t>
            </w:r>
          </w:p>
        </w:tc>
        <w:tc>
          <w:tcPr>
            <w:tcW w:w="1578" w:type="dxa"/>
          </w:tcPr>
          <w:p w14:paraId="6ECAAB83"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Сума (EUR)</w:t>
            </w:r>
          </w:p>
        </w:tc>
      </w:tr>
      <w:tr w:rsidR="00635419" w:rsidRPr="0061399E" w14:paraId="13AFC828" w14:textId="77777777" w:rsidTr="00710983">
        <w:trPr>
          <w:trHeight w:val="1569"/>
          <w:jc w:val="center"/>
        </w:trPr>
        <w:tc>
          <w:tcPr>
            <w:tcW w:w="1435" w:type="dxa"/>
            <w:vMerge w:val="restart"/>
            <w:vAlign w:val="center"/>
          </w:tcPr>
          <w:p w14:paraId="0F925FD0" w14:textId="6F7B223B" w:rsidR="00635419" w:rsidRPr="0061399E" w:rsidRDefault="00635419" w:rsidP="00635419">
            <w:pPr>
              <w:spacing w:before="120" w:after="120"/>
              <w:jc w:val="center"/>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1 „Води“</w:t>
            </w:r>
          </w:p>
        </w:tc>
        <w:tc>
          <w:tcPr>
            <w:tcW w:w="1101" w:type="dxa"/>
            <w:vMerge w:val="restart"/>
            <w:vAlign w:val="center"/>
          </w:tcPr>
          <w:p w14:paraId="7D725C0A" w14:textId="572221FC" w:rsidR="00635419" w:rsidRPr="0061399E" w:rsidRDefault="00635419" w:rsidP="00635419">
            <w:pPr>
              <w:spacing w:before="120" w:after="120"/>
              <w:jc w:val="both"/>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ЕФРР</w:t>
            </w:r>
          </w:p>
        </w:tc>
        <w:tc>
          <w:tcPr>
            <w:tcW w:w="1322" w:type="dxa"/>
            <w:vAlign w:val="center"/>
          </w:tcPr>
          <w:p w14:paraId="2741F5A7" w14:textId="05E90459" w:rsidR="00635419" w:rsidRPr="0061399E" w:rsidRDefault="00635419" w:rsidP="007D1C5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Преход</w:t>
            </w:r>
          </w:p>
        </w:tc>
        <w:tc>
          <w:tcPr>
            <w:tcW w:w="1539" w:type="dxa"/>
            <w:vMerge w:val="restart"/>
            <w:vAlign w:val="center"/>
          </w:tcPr>
          <w:p w14:paraId="54EF12AF" w14:textId="77777777" w:rsidR="00635419" w:rsidRPr="0061399E" w:rsidRDefault="00635419" w:rsidP="00635419">
            <w:pPr>
              <w:spacing w:before="120" w:after="120"/>
              <w:rPr>
                <w:rFonts w:ascii="Times New Roman" w:eastAsia="Times New Roman" w:hAnsi="Times New Roman" w:cs="Times New Roman"/>
                <w:bCs/>
                <w:iCs/>
                <w:noProof/>
                <w:sz w:val="20"/>
                <w:szCs w:val="20"/>
              </w:rPr>
            </w:pPr>
          </w:p>
          <w:p w14:paraId="15B03769" w14:textId="30BBA97C" w:rsidR="00635419" w:rsidRPr="0061399E" w:rsidRDefault="00635419" w:rsidP="00635419">
            <w:pPr>
              <w:spacing w:before="120" w:after="120"/>
              <w:rPr>
                <w:rFonts w:ascii="Times New Roman" w:eastAsia="Times New Roman" w:hAnsi="Times New Roman" w:cs="Times New Roman"/>
                <w:bCs/>
                <w:iCs/>
                <w:noProof/>
                <w:sz w:val="20"/>
                <w:szCs w:val="20"/>
              </w:rPr>
            </w:pPr>
            <w:r w:rsidRPr="0061399E">
              <w:rPr>
                <w:rFonts w:ascii="Times New Roman" w:eastAsia="Times New Roman" w:hAnsi="Times New Roman" w:cs="Times New Roman"/>
                <w:bCs/>
                <w:iCs/>
                <w:noProof/>
                <w:sz w:val="20"/>
                <w:szCs w:val="20"/>
              </w:rPr>
              <w:t xml:space="preserve">„Насърчаване на устойчивото управление на водите” </w:t>
            </w:r>
          </w:p>
          <w:p w14:paraId="2879D1A0"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646BA550" w14:textId="75206A70" w:rsidR="0061399E" w:rsidRPr="0061399E" w:rsidRDefault="00635419" w:rsidP="005D00DF">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039 Осигуряване на вода за населението (</w:t>
            </w:r>
            <w:r w:rsidR="0061399E">
              <w:rPr>
                <w:rFonts w:ascii="Times New Roman" w:eastAsia="Times New Roman" w:hAnsi="Times New Roman" w:cs="Times New Roman"/>
                <w:iCs/>
                <w:noProof/>
                <w:sz w:val="20"/>
                <w:szCs w:val="20"/>
              </w:rPr>
              <w:t xml:space="preserve">инфраструктура за </w:t>
            </w:r>
            <w:r w:rsidRPr="0061399E">
              <w:rPr>
                <w:rFonts w:ascii="Times New Roman" w:eastAsia="Times New Roman" w:hAnsi="Times New Roman" w:cs="Times New Roman"/>
                <w:iCs/>
                <w:noProof/>
                <w:sz w:val="20"/>
                <w:szCs w:val="20"/>
              </w:rPr>
              <w:t xml:space="preserve">добиване, третиране, съхраняване и разпространение, мерки за енергийна ефективност и водоснабдяване) </w:t>
            </w:r>
          </w:p>
        </w:tc>
        <w:tc>
          <w:tcPr>
            <w:tcW w:w="1578" w:type="dxa"/>
            <w:vAlign w:val="center"/>
          </w:tcPr>
          <w:p w14:paraId="10B1E520" w14:textId="138A6B23"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144 858 838,00</w:t>
            </w:r>
          </w:p>
        </w:tc>
      </w:tr>
      <w:tr w:rsidR="00635419" w:rsidRPr="0061399E" w14:paraId="43019723" w14:textId="77777777" w:rsidTr="00584F2A">
        <w:trPr>
          <w:trHeight w:val="1569"/>
          <w:jc w:val="center"/>
        </w:trPr>
        <w:tc>
          <w:tcPr>
            <w:tcW w:w="1435" w:type="dxa"/>
            <w:vMerge/>
            <w:vAlign w:val="center"/>
          </w:tcPr>
          <w:p w14:paraId="56A53642" w14:textId="77777777" w:rsidR="00635419" w:rsidRPr="0061399E" w:rsidRDefault="00635419" w:rsidP="00635419">
            <w:pPr>
              <w:spacing w:before="120" w:after="120"/>
              <w:jc w:val="center"/>
              <w:rPr>
                <w:rFonts w:ascii="Times New Roman" w:eastAsia="Times New Roman" w:hAnsi="Times New Roman" w:cs="Times New Roman"/>
                <w:iCs/>
                <w:noProof/>
                <w:sz w:val="20"/>
                <w:szCs w:val="20"/>
              </w:rPr>
            </w:pPr>
          </w:p>
        </w:tc>
        <w:tc>
          <w:tcPr>
            <w:tcW w:w="1101" w:type="dxa"/>
            <w:vMerge/>
            <w:vAlign w:val="center"/>
          </w:tcPr>
          <w:p w14:paraId="1B1F6509"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322" w:type="dxa"/>
            <w:vAlign w:val="center"/>
          </w:tcPr>
          <w:p w14:paraId="1E73C2B1" w14:textId="16C69E40" w:rsidR="00635419" w:rsidRPr="0061399E" w:rsidRDefault="00635419" w:rsidP="007D1C5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По-слабо развити региони</w:t>
            </w:r>
          </w:p>
        </w:tc>
        <w:tc>
          <w:tcPr>
            <w:tcW w:w="1539" w:type="dxa"/>
            <w:vMerge/>
            <w:vAlign w:val="center"/>
          </w:tcPr>
          <w:p w14:paraId="5A00D186" w14:textId="77777777" w:rsidR="00635419" w:rsidRPr="0061399E" w:rsidRDefault="00635419" w:rsidP="00635419">
            <w:pPr>
              <w:spacing w:before="120" w:after="120"/>
              <w:rPr>
                <w:rFonts w:ascii="Times New Roman" w:eastAsia="Times New Roman" w:hAnsi="Times New Roman" w:cs="Times New Roman"/>
                <w:bCs/>
                <w:iCs/>
                <w:noProof/>
                <w:sz w:val="20"/>
                <w:szCs w:val="20"/>
              </w:rPr>
            </w:pPr>
          </w:p>
        </w:tc>
        <w:tc>
          <w:tcPr>
            <w:tcW w:w="2087" w:type="dxa"/>
            <w:vMerge/>
            <w:vAlign w:val="center"/>
          </w:tcPr>
          <w:p w14:paraId="6C72D79F"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578" w:type="dxa"/>
            <w:vAlign w:val="center"/>
          </w:tcPr>
          <w:p w14:paraId="0CC6D5B7" w14:textId="403CCE6B"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116 540 698,00</w:t>
            </w:r>
          </w:p>
        </w:tc>
      </w:tr>
      <w:tr w:rsidR="00635419" w:rsidRPr="0061399E" w14:paraId="65BD766A" w14:textId="77777777" w:rsidTr="00584F2A">
        <w:trPr>
          <w:trHeight w:val="1075"/>
          <w:jc w:val="center"/>
        </w:trPr>
        <w:tc>
          <w:tcPr>
            <w:tcW w:w="1435" w:type="dxa"/>
            <w:vMerge/>
            <w:vAlign w:val="center"/>
          </w:tcPr>
          <w:p w14:paraId="3F857546" w14:textId="2AA20D8D" w:rsidR="00635419" w:rsidRPr="0061399E" w:rsidRDefault="00635419" w:rsidP="00635419">
            <w:pPr>
              <w:spacing w:before="120" w:after="120"/>
              <w:jc w:val="center"/>
              <w:rPr>
                <w:rFonts w:ascii="Times New Roman" w:eastAsia="Calibri" w:hAnsi="Times New Roman" w:cs="Times New Roman"/>
                <w:bCs/>
                <w:noProof/>
                <w:sz w:val="20"/>
                <w:szCs w:val="20"/>
              </w:rPr>
            </w:pPr>
          </w:p>
        </w:tc>
        <w:tc>
          <w:tcPr>
            <w:tcW w:w="1101" w:type="dxa"/>
            <w:vMerge/>
            <w:vAlign w:val="center"/>
          </w:tcPr>
          <w:p w14:paraId="7DF0CBD4" w14:textId="2AEE05C9"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19C87636" w14:textId="427800E9" w:rsidR="00635419" w:rsidRPr="0061399E" w:rsidRDefault="00635419" w:rsidP="007D1C5B">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Преход</w:t>
            </w:r>
          </w:p>
        </w:tc>
        <w:tc>
          <w:tcPr>
            <w:tcW w:w="1539" w:type="dxa"/>
            <w:vMerge/>
            <w:vAlign w:val="center"/>
          </w:tcPr>
          <w:p w14:paraId="3A6BA233"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4E3A5B4A" w14:textId="63D6AF78" w:rsidR="00635419" w:rsidRPr="0061399E" w:rsidRDefault="00635419" w:rsidP="005D00DF">
            <w:pPr>
              <w:spacing w:before="120" w:after="120"/>
              <w:rPr>
                <w:rFonts w:ascii="Times New Roman" w:hAnsi="Times New Roman"/>
                <w:sz w:val="16"/>
              </w:rPr>
            </w:pPr>
            <w:r w:rsidRPr="0061399E">
              <w:rPr>
                <w:rFonts w:ascii="Times New Roman" w:eastAsia="Times New Roman" w:hAnsi="Times New Roman" w:cs="Times New Roman"/>
                <w:iCs/>
                <w:noProof/>
                <w:sz w:val="20"/>
                <w:szCs w:val="20"/>
              </w:rPr>
              <w:t>040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t>
            </w:r>
          </w:p>
        </w:tc>
        <w:tc>
          <w:tcPr>
            <w:tcW w:w="1578" w:type="dxa"/>
            <w:vAlign w:val="center"/>
          </w:tcPr>
          <w:p w14:paraId="2FCCFAC7" w14:textId="7EB5D547"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8 098 566,00</w:t>
            </w:r>
          </w:p>
        </w:tc>
      </w:tr>
      <w:tr w:rsidR="00635419" w:rsidRPr="0061399E" w14:paraId="4BF95C8D" w14:textId="77777777" w:rsidTr="00584F2A">
        <w:trPr>
          <w:trHeight w:val="1074"/>
          <w:jc w:val="center"/>
        </w:trPr>
        <w:tc>
          <w:tcPr>
            <w:tcW w:w="1435" w:type="dxa"/>
            <w:vMerge/>
            <w:vAlign w:val="center"/>
          </w:tcPr>
          <w:p w14:paraId="00B444A7" w14:textId="77777777" w:rsidR="00635419" w:rsidRPr="0061399E" w:rsidRDefault="00635419" w:rsidP="00635419">
            <w:pPr>
              <w:spacing w:before="120" w:after="120"/>
              <w:jc w:val="center"/>
              <w:rPr>
                <w:rFonts w:ascii="Times New Roman" w:eastAsia="Calibri" w:hAnsi="Times New Roman" w:cs="Times New Roman"/>
                <w:bCs/>
                <w:noProof/>
                <w:sz w:val="20"/>
                <w:szCs w:val="20"/>
              </w:rPr>
            </w:pPr>
          </w:p>
        </w:tc>
        <w:tc>
          <w:tcPr>
            <w:tcW w:w="1101" w:type="dxa"/>
            <w:vMerge/>
            <w:vAlign w:val="center"/>
          </w:tcPr>
          <w:p w14:paraId="1EBA6F92"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7156F0A8" w14:textId="3E417DD8" w:rsidR="00635419" w:rsidRPr="0061399E" w:rsidRDefault="00635419" w:rsidP="007D1C5B">
            <w:pPr>
              <w:spacing w:before="120" w:after="120"/>
              <w:rPr>
                <w:rFonts w:ascii="Times New Roman" w:eastAsia="Times New Roman" w:hAnsi="Times New Roman" w:cs="Times New Roman"/>
                <w:iCs/>
                <w:noProof/>
                <w:sz w:val="20"/>
                <w:szCs w:val="20"/>
              </w:rPr>
            </w:pPr>
            <w:r w:rsidRPr="0061399E">
              <w:rPr>
                <w:rFonts w:ascii="Times New Roman" w:eastAsia="Calibri" w:hAnsi="Times New Roman" w:cs="Times New Roman"/>
                <w:bCs/>
                <w:noProof/>
                <w:sz w:val="20"/>
                <w:szCs w:val="20"/>
              </w:rPr>
              <w:t>По-слабо развити региони</w:t>
            </w:r>
          </w:p>
        </w:tc>
        <w:tc>
          <w:tcPr>
            <w:tcW w:w="1539" w:type="dxa"/>
            <w:vMerge/>
            <w:vAlign w:val="center"/>
          </w:tcPr>
          <w:p w14:paraId="2F5B405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ign w:val="center"/>
          </w:tcPr>
          <w:p w14:paraId="5AC07A5C"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578" w:type="dxa"/>
            <w:vAlign w:val="center"/>
          </w:tcPr>
          <w:p w14:paraId="25230812" w14:textId="20C3EDFF"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22 185 000,00</w:t>
            </w:r>
          </w:p>
        </w:tc>
      </w:tr>
      <w:tr w:rsidR="00635419" w:rsidRPr="0061399E" w14:paraId="42F365B2" w14:textId="77777777" w:rsidTr="00584F2A">
        <w:trPr>
          <w:trHeight w:val="333"/>
          <w:jc w:val="center"/>
        </w:trPr>
        <w:tc>
          <w:tcPr>
            <w:tcW w:w="1435" w:type="dxa"/>
            <w:vMerge/>
            <w:vAlign w:val="center"/>
          </w:tcPr>
          <w:p w14:paraId="4518470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101" w:type="dxa"/>
            <w:vMerge/>
            <w:vAlign w:val="center"/>
          </w:tcPr>
          <w:p w14:paraId="4F6A3568"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388FAA67" w14:textId="0C06F355" w:rsidR="00635419" w:rsidRPr="0061399E" w:rsidRDefault="00635419" w:rsidP="007D1C5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noProof/>
                <w:sz w:val="20"/>
                <w:szCs w:val="20"/>
              </w:rPr>
              <w:t>Преход</w:t>
            </w:r>
          </w:p>
        </w:tc>
        <w:tc>
          <w:tcPr>
            <w:tcW w:w="1539" w:type="dxa"/>
            <w:vMerge/>
            <w:vAlign w:val="center"/>
          </w:tcPr>
          <w:p w14:paraId="7A89002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74D847C9" w14:textId="2B45A094" w:rsidR="00635419" w:rsidRPr="0061399E" w:rsidRDefault="00635419" w:rsidP="005D00DF">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041 Събиране и пречистване на отпадъчни води</w:t>
            </w:r>
          </w:p>
        </w:tc>
        <w:tc>
          <w:tcPr>
            <w:tcW w:w="1578" w:type="dxa"/>
            <w:vAlign w:val="center"/>
          </w:tcPr>
          <w:p w14:paraId="2846E607" w14:textId="73FE97E4"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144 858 839,00</w:t>
            </w:r>
          </w:p>
        </w:tc>
      </w:tr>
      <w:tr w:rsidR="00635419" w:rsidRPr="00E66844" w14:paraId="408D1A35" w14:textId="77777777" w:rsidTr="00584F2A">
        <w:trPr>
          <w:trHeight w:val="333"/>
          <w:jc w:val="center"/>
        </w:trPr>
        <w:tc>
          <w:tcPr>
            <w:tcW w:w="1435" w:type="dxa"/>
            <w:vMerge/>
            <w:vAlign w:val="center"/>
          </w:tcPr>
          <w:p w14:paraId="0F5EF84E"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101" w:type="dxa"/>
            <w:vMerge/>
            <w:vAlign w:val="center"/>
          </w:tcPr>
          <w:p w14:paraId="496880E8"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49262371" w14:textId="04159DF3" w:rsidR="00635419" w:rsidRPr="0061399E" w:rsidRDefault="00635419" w:rsidP="007D1C5B">
            <w:pPr>
              <w:spacing w:before="120" w:after="120"/>
              <w:rPr>
                <w:rFonts w:ascii="Times New Roman" w:eastAsia="Calibri" w:hAnsi="Times New Roman" w:cs="Times New Roman"/>
                <w:noProof/>
                <w:sz w:val="20"/>
                <w:szCs w:val="20"/>
              </w:rPr>
            </w:pPr>
            <w:r w:rsidRPr="0061399E">
              <w:rPr>
                <w:rFonts w:ascii="Times New Roman" w:eastAsia="Calibri" w:hAnsi="Times New Roman" w:cs="Times New Roman"/>
                <w:noProof/>
                <w:sz w:val="20"/>
                <w:szCs w:val="20"/>
              </w:rPr>
              <w:t>По-слабо развити региони</w:t>
            </w:r>
          </w:p>
        </w:tc>
        <w:tc>
          <w:tcPr>
            <w:tcW w:w="1539" w:type="dxa"/>
            <w:vMerge/>
            <w:vAlign w:val="center"/>
          </w:tcPr>
          <w:p w14:paraId="572A73C0"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ign w:val="center"/>
          </w:tcPr>
          <w:p w14:paraId="12A77474"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578" w:type="dxa"/>
            <w:vAlign w:val="center"/>
          </w:tcPr>
          <w:p w14:paraId="3D2B489A" w14:textId="0915FB52" w:rsidR="00635419" w:rsidRPr="005D00DF"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116 540 697,00</w:t>
            </w:r>
          </w:p>
        </w:tc>
      </w:tr>
    </w:tbl>
    <w:p w14:paraId="22830AA8"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452"/>
        <w:gridCol w:w="1130"/>
        <w:gridCol w:w="1336"/>
        <w:gridCol w:w="1545"/>
        <w:gridCol w:w="1952"/>
        <w:gridCol w:w="1647"/>
      </w:tblGrid>
      <w:tr w:rsidR="0022545E" w:rsidRPr="0010575B" w14:paraId="68AEB5A0" w14:textId="77777777" w:rsidTr="00D92EDE">
        <w:tc>
          <w:tcPr>
            <w:tcW w:w="9062" w:type="dxa"/>
            <w:gridSpan w:val="6"/>
          </w:tcPr>
          <w:p w14:paraId="183C9F0F"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19AA8928" w14:textId="77777777" w:rsidTr="00D92EDE">
        <w:trPr>
          <w:trHeight w:val="552"/>
        </w:trPr>
        <w:tc>
          <w:tcPr>
            <w:tcW w:w="1452" w:type="dxa"/>
          </w:tcPr>
          <w:p w14:paraId="117A974A"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30" w:type="dxa"/>
          </w:tcPr>
          <w:p w14:paraId="270AB565"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36" w:type="dxa"/>
          </w:tcPr>
          <w:p w14:paraId="60DDB06B"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45" w:type="dxa"/>
          </w:tcPr>
          <w:p w14:paraId="33C5D2B6"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952" w:type="dxa"/>
          </w:tcPr>
          <w:p w14:paraId="473161CA"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647" w:type="dxa"/>
          </w:tcPr>
          <w:p w14:paraId="4C815BC6"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D92EDE" w:rsidRPr="00171DED" w14:paraId="5D03914D" w14:textId="77777777" w:rsidTr="000C7029">
        <w:trPr>
          <w:trHeight w:val="563"/>
        </w:trPr>
        <w:tc>
          <w:tcPr>
            <w:tcW w:w="1452" w:type="dxa"/>
            <w:vMerge w:val="restart"/>
            <w:vAlign w:val="center"/>
          </w:tcPr>
          <w:p w14:paraId="3E5C8F49" w14:textId="46BB7D32" w:rsidR="00D92EDE" w:rsidRPr="00171DED" w:rsidRDefault="00D92EDE" w:rsidP="00D92EDE">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1130" w:type="dxa"/>
            <w:vMerge w:val="restart"/>
            <w:vAlign w:val="center"/>
          </w:tcPr>
          <w:p w14:paraId="7FF1AF7E"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36" w:type="dxa"/>
            <w:vAlign w:val="center"/>
          </w:tcPr>
          <w:p w14:paraId="75E67C04"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545" w:type="dxa"/>
            <w:vMerge w:val="restart"/>
            <w:vAlign w:val="center"/>
          </w:tcPr>
          <w:p w14:paraId="2630A06A" w14:textId="67D83836" w:rsidR="00D92EDE" w:rsidRPr="00171DED" w:rsidRDefault="00D92EDE" w:rsidP="00D92EDE">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 xml:space="preserve">Насърчаване на устойчивото управление на водите” </w:t>
            </w:r>
          </w:p>
          <w:p w14:paraId="3286B8D5" w14:textId="77777777" w:rsidR="00D92EDE" w:rsidRPr="00171DED" w:rsidRDefault="00D92EDE" w:rsidP="00D92EDE">
            <w:pPr>
              <w:spacing w:before="120" w:after="120"/>
              <w:rPr>
                <w:rFonts w:ascii="Times New Roman" w:eastAsia="Times New Roman" w:hAnsi="Times New Roman" w:cs="Times New Roman"/>
                <w:iCs/>
                <w:noProof/>
                <w:sz w:val="20"/>
                <w:szCs w:val="20"/>
              </w:rPr>
            </w:pPr>
          </w:p>
        </w:tc>
        <w:tc>
          <w:tcPr>
            <w:tcW w:w="1952" w:type="dxa"/>
            <w:vMerge w:val="restart"/>
            <w:vAlign w:val="center"/>
          </w:tcPr>
          <w:p w14:paraId="756D914D" w14:textId="77777777" w:rsidR="00D92EDE" w:rsidRPr="00171DED" w:rsidRDefault="00D92EDE"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647" w:type="dxa"/>
            <w:vAlign w:val="center"/>
          </w:tcPr>
          <w:p w14:paraId="076C3395" w14:textId="5A0F2E4F" w:rsidR="00D92EDE" w:rsidRPr="00FD2BA7" w:rsidRDefault="00D92EDE" w:rsidP="00D92EDE">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294 736 243,00</w:t>
            </w:r>
          </w:p>
        </w:tc>
      </w:tr>
      <w:tr w:rsidR="00D92EDE" w:rsidRPr="00171DED" w14:paraId="4CDE2E00" w14:textId="77777777" w:rsidTr="000C7029">
        <w:tc>
          <w:tcPr>
            <w:tcW w:w="1452" w:type="dxa"/>
            <w:vMerge/>
            <w:vAlign w:val="center"/>
          </w:tcPr>
          <w:p w14:paraId="6CEA1D53"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6C73D7A2"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33246401"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545" w:type="dxa"/>
            <w:vMerge/>
            <w:vAlign w:val="center"/>
          </w:tcPr>
          <w:p w14:paraId="161D4179" w14:textId="77777777" w:rsidR="00D92EDE" w:rsidRPr="00171DED" w:rsidRDefault="00D92EDE" w:rsidP="00D92EDE">
            <w:pPr>
              <w:spacing w:before="120" w:after="120"/>
              <w:jc w:val="both"/>
              <w:rPr>
                <w:rFonts w:ascii="Times New Roman" w:eastAsia="Times New Roman" w:hAnsi="Times New Roman" w:cs="Times New Roman"/>
                <w:bCs/>
                <w:iCs/>
                <w:noProof/>
                <w:sz w:val="20"/>
                <w:szCs w:val="20"/>
              </w:rPr>
            </w:pPr>
          </w:p>
        </w:tc>
        <w:tc>
          <w:tcPr>
            <w:tcW w:w="1952" w:type="dxa"/>
            <w:vMerge/>
            <w:vAlign w:val="center"/>
          </w:tcPr>
          <w:p w14:paraId="7B6580E4" w14:textId="77777777" w:rsidR="00D92EDE" w:rsidRPr="00171DED" w:rsidRDefault="00D92EDE" w:rsidP="00D92EDE">
            <w:pPr>
              <w:spacing w:before="120" w:after="120"/>
              <w:rPr>
                <w:rFonts w:ascii="Times New Roman" w:eastAsia="Times New Roman" w:hAnsi="Times New Roman" w:cs="Times New Roman"/>
                <w:iCs/>
                <w:noProof/>
                <w:sz w:val="20"/>
                <w:szCs w:val="20"/>
              </w:rPr>
            </w:pPr>
          </w:p>
        </w:tc>
        <w:tc>
          <w:tcPr>
            <w:tcW w:w="1647" w:type="dxa"/>
            <w:vAlign w:val="center"/>
          </w:tcPr>
          <w:p w14:paraId="000EA50A" w14:textId="137067BD" w:rsidR="00D92EDE" w:rsidRPr="00FD2BA7" w:rsidRDefault="00D92EDE" w:rsidP="00D92EDE">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242 006 395,00</w:t>
            </w:r>
          </w:p>
        </w:tc>
      </w:tr>
      <w:tr w:rsidR="00D92EDE" w:rsidRPr="0010575B" w14:paraId="1DF8840E" w14:textId="77777777" w:rsidTr="000C7029">
        <w:tc>
          <w:tcPr>
            <w:tcW w:w="1452" w:type="dxa"/>
            <w:vMerge/>
            <w:vAlign w:val="center"/>
          </w:tcPr>
          <w:p w14:paraId="029786C7"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0A1A3A11"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2B325361"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545" w:type="dxa"/>
            <w:vMerge/>
            <w:vAlign w:val="center"/>
          </w:tcPr>
          <w:p w14:paraId="44B5795C" w14:textId="77777777" w:rsidR="00D92EDE" w:rsidRPr="00171DED" w:rsidRDefault="00D92EDE" w:rsidP="00D92EDE">
            <w:pPr>
              <w:spacing w:before="120" w:after="120"/>
              <w:jc w:val="both"/>
              <w:rPr>
                <w:rFonts w:ascii="Times New Roman" w:eastAsia="Times New Roman" w:hAnsi="Times New Roman" w:cs="Times New Roman"/>
                <w:bCs/>
                <w:iCs/>
                <w:noProof/>
                <w:sz w:val="20"/>
                <w:szCs w:val="20"/>
              </w:rPr>
            </w:pPr>
          </w:p>
        </w:tc>
        <w:tc>
          <w:tcPr>
            <w:tcW w:w="1952" w:type="dxa"/>
            <w:vMerge w:val="restart"/>
            <w:vAlign w:val="center"/>
          </w:tcPr>
          <w:p w14:paraId="00FD93CF" w14:textId="1C7BEA8B" w:rsidR="00D92EDE" w:rsidRPr="00171DED" w:rsidRDefault="00D92EDE"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647" w:type="dxa"/>
            <w:vAlign w:val="center"/>
          </w:tcPr>
          <w:p w14:paraId="1B1C0BAC" w14:textId="5A488BBC" w:rsidR="00D92EDE" w:rsidRPr="00FD2BA7" w:rsidRDefault="00D92EDE" w:rsidP="00D92EDE">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3 080 000,00</w:t>
            </w:r>
          </w:p>
        </w:tc>
      </w:tr>
      <w:tr w:rsidR="00D92EDE" w:rsidRPr="00171DED" w14:paraId="12F79F9A" w14:textId="77777777" w:rsidTr="000C7029">
        <w:tc>
          <w:tcPr>
            <w:tcW w:w="1452" w:type="dxa"/>
            <w:vMerge/>
            <w:vAlign w:val="center"/>
          </w:tcPr>
          <w:p w14:paraId="61EEBF66"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1F3197FE"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4CA0A4AB"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545" w:type="dxa"/>
            <w:vMerge/>
            <w:vAlign w:val="center"/>
          </w:tcPr>
          <w:p w14:paraId="49DA1334" w14:textId="77777777" w:rsidR="00D92EDE" w:rsidRPr="00171DED" w:rsidRDefault="00D92EDE" w:rsidP="00584F2A">
            <w:pPr>
              <w:spacing w:before="120" w:after="120"/>
              <w:jc w:val="both"/>
              <w:rPr>
                <w:rFonts w:ascii="Times New Roman" w:eastAsia="Times New Roman" w:hAnsi="Times New Roman" w:cs="Times New Roman"/>
                <w:bCs/>
                <w:iCs/>
                <w:noProof/>
                <w:sz w:val="20"/>
                <w:szCs w:val="20"/>
              </w:rPr>
            </w:pPr>
          </w:p>
        </w:tc>
        <w:tc>
          <w:tcPr>
            <w:tcW w:w="1952" w:type="dxa"/>
            <w:vMerge/>
            <w:vAlign w:val="center"/>
          </w:tcPr>
          <w:p w14:paraId="4E1F9EFC" w14:textId="77777777" w:rsidR="00D92EDE" w:rsidRPr="00171DED" w:rsidRDefault="00D92EDE" w:rsidP="00584F2A">
            <w:pPr>
              <w:spacing w:before="120" w:after="120"/>
              <w:jc w:val="both"/>
              <w:rPr>
                <w:rFonts w:ascii="Times New Roman" w:eastAsia="Times New Roman" w:hAnsi="Times New Roman" w:cs="Times New Roman"/>
                <w:iCs/>
                <w:noProof/>
                <w:sz w:val="20"/>
                <w:szCs w:val="20"/>
              </w:rPr>
            </w:pPr>
          </w:p>
        </w:tc>
        <w:tc>
          <w:tcPr>
            <w:tcW w:w="1647" w:type="dxa"/>
            <w:vAlign w:val="center"/>
          </w:tcPr>
          <w:p w14:paraId="2E23155F" w14:textId="2C258F7A" w:rsidR="00D92EDE" w:rsidRPr="00FD2BA7" w:rsidRDefault="00D92EDE" w:rsidP="000C7029">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13 260 000,00</w:t>
            </w:r>
          </w:p>
        </w:tc>
      </w:tr>
    </w:tbl>
    <w:p w14:paraId="40B2925D"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74"/>
        <w:gridCol w:w="1340"/>
        <w:gridCol w:w="1416"/>
        <w:gridCol w:w="1628"/>
        <w:gridCol w:w="1021"/>
        <w:gridCol w:w="2083"/>
      </w:tblGrid>
      <w:tr w:rsidR="0022545E" w:rsidRPr="0010575B" w14:paraId="7DF0D014" w14:textId="77777777" w:rsidTr="005F7407">
        <w:tc>
          <w:tcPr>
            <w:tcW w:w="9062" w:type="dxa"/>
            <w:gridSpan w:val="6"/>
          </w:tcPr>
          <w:p w14:paraId="1DA5D53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00EF3B9F" w14:textId="77777777" w:rsidTr="005F7407">
        <w:tc>
          <w:tcPr>
            <w:tcW w:w="1574" w:type="dxa"/>
          </w:tcPr>
          <w:p w14:paraId="1A6B853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bookmarkStart w:id="3" w:name="_Hlk62636337"/>
            <w:r w:rsidRPr="00171DED">
              <w:rPr>
                <w:rFonts w:ascii="Times New Roman" w:eastAsia="Calibri" w:hAnsi="Times New Roman" w:cs="Times New Roman"/>
                <w:b/>
                <w:noProof/>
                <w:sz w:val="20"/>
                <w:szCs w:val="20"/>
              </w:rPr>
              <w:t>Приоритет №</w:t>
            </w:r>
          </w:p>
        </w:tc>
        <w:tc>
          <w:tcPr>
            <w:tcW w:w="1340" w:type="dxa"/>
          </w:tcPr>
          <w:p w14:paraId="29E1F22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16" w:type="dxa"/>
          </w:tcPr>
          <w:p w14:paraId="5C12DED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28" w:type="dxa"/>
          </w:tcPr>
          <w:p w14:paraId="5AFAB0F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1" w:type="dxa"/>
          </w:tcPr>
          <w:p w14:paraId="5E63168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083" w:type="dxa"/>
          </w:tcPr>
          <w:p w14:paraId="1A63C7A8"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bookmarkEnd w:id="3"/>
      <w:tr w:rsidR="006F60C9" w:rsidRPr="00171DED" w14:paraId="32E60F4F" w14:textId="3B3757BF" w:rsidTr="007C3C6F">
        <w:trPr>
          <w:trHeight w:val="421"/>
        </w:trPr>
        <w:tc>
          <w:tcPr>
            <w:tcW w:w="1574" w:type="dxa"/>
            <w:vMerge w:val="restart"/>
            <w:vAlign w:val="center"/>
          </w:tcPr>
          <w:p w14:paraId="74CEF017" w14:textId="2F9742AC" w:rsidR="006F60C9" w:rsidRPr="00171DED" w:rsidRDefault="006F60C9" w:rsidP="00527581">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1340" w:type="dxa"/>
            <w:vMerge w:val="restart"/>
            <w:vAlign w:val="center"/>
          </w:tcPr>
          <w:p w14:paraId="41DD9E70"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416" w:type="dxa"/>
            <w:vAlign w:val="center"/>
          </w:tcPr>
          <w:p w14:paraId="6E140C45" w14:textId="5C432DA0" w:rsidR="006F60C9" w:rsidRPr="00171DED" w:rsidRDefault="006F60C9" w:rsidP="00FC60DF">
            <w:pPr>
              <w:spacing w:before="120" w:after="120"/>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Преход</w:t>
            </w:r>
          </w:p>
        </w:tc>
        <w:tc>
          <w:tcPr>
            <w:tcW w:w="1628" w:type="dxa"/>
            <w:vMerge w:val="restart"/>
            <w:vAlign w:val="center"/>
          </w:tcPr>
          <w:p w14:paraId="17549868" w14:textId="3CEEF8F1" w:rsidR="006F60C9" w:rsidRPr="00171DED" w:rsidRDefault="006F60C9" w:rsidP="00456C3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устойчивото управление на водите”</w:t>
            </w:r>
          </w:p>
        </w:tc>
        <w:tc>
          <w:tcPr>
            <w:tcW w:w="1021" w:type="dxa"/>
            <w:vMerge w:val="restart"/>
            <w:vAlign w:val="center"/>
          </w:tcPr>
          <w:p w14:paraId="55E7A65D" w14:textId="31FB7556" w:rsidR="006F60C9" w:rsidRPr="00171DED" w:rsidRDefault="006F60C9"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Times New Roman" w:hAnsi="Times New Roman" w:cs="Times New Roman"/>
                <w:iCs/>
                <w:noProof/>
                <w:sz w:val="20"/>
                <w:szCs w:val="20"/>
              </w:rPr>
              <w:t>17</w:t>
            </w:r>
          </w:p>
        </w:tc>
        <w:tc>
          <w:tcPr>
            <w:tcW w:w="2083" w:type="dxa"/>
            <w:vAlign w:val="center"/>
          </w:tcPr>
          <w:p w14:paraId="552E0623" w14:textId="635F6862" w:rsidR="006F60C9" w:rsidRPr="00FD2BA7" w:rsidRDefault="006F60C9" w:rsidP="00EA429F">
            <w:pPr>
              <w:rPr>
                <w:rFonts w:ascii="Times New Roman" w:hAnsi="Times New Roman" w:cs="Times New Roman"/>
                <w:color w:val="000000"/>
                <w:sz w:val="20"/>
                <w:szCs w:val="20"/>
              </w:rPr>
            </w:pPr>
            <w:r w:rsidRPr="00FD2BA7">
              <w:rPr>
                <w:rFonts w:ascii="Times New Roman" w:hAnsi="Times New Roman" w:cs="Times New Roman"/>
                <w:color w:val="000000"/>
                <w:sz w:val="20"/>
                <w:szCs w:val="20"/>
              </w:rPr>
              <w:t>2 730 000,00</w:t>
            </w:r>
          </w:p>
        </w:tc>
      </w:tr>
      <w:tr w:rsidR="006F60C9" w:rsidRPr="00171DED" w14:paraId="38BBFE81" w14:textId="44A9E4D1" w:rsidTr="00210569">
        <w:trPr>
          <w:trHeight w:val="950"/>
        </w:trPr>
        <w:tc>
          <w:tcPr>
            <w:tcW w:w="1574" w:type="dxa"/>
            <w:vMerge/>
            <w:vAlign w:val="center"/>
          </w:tcPr>
          <w:p w14:paraId="345DE268" w14:textId="77777777" w:rsidR="006F60C9" w:rsidRDefault="006F60C9" w:rsidP="00527581">
            <w:pPr>
              <w:spacing w:before="120" w:after="120"/>
              <w:jc w:val="center"/>
              <w:rPr>
                <w:rFonts w:ascii="Times New Roman" w:eastAsia="Times New Roman" w:hAnsi="Times New Roman" w:cs="Times New Roman"/>
                <w:iCs/>
                <w:noProof/>
                <w:sz w:val="20"/>
                <w:szCs w:val="20"/>
              </w:rPr>
            </w:pPr>
          </w:p>
        </w:tc>
        <w:tc>
          <w:tcPr>
            <w:tcW w:w="1340" w:type="dxa"/>
            <w:vMerge/>
            <w:vAlign w:val="center"/>
          </w:tcPr>
          <w:p w14:paraId="10C36D9A"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vAlign w:val="center"/>
          </w:tcPr>
          <w:p w14:paraId="34505ACD" w14:textId="17B1CCFF" w:rsidR="006F60C9" w:rsidRPr="00171DED" w:rsidRDefault="006F60C9"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628" w:type="dxa"/>
            <w:vMerge/>
            <w:vAlign w:val="center"/>
          </w:tcPr>
          <w:p w14:paraId="09B84A9C" w14:textId="77777777" w:rsidR="006F60C9"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vAlign w:val="center"/>
          </w:tcPr>
          <w:p w14:paraId="7E12F7DE" w14:textId="1799C1F5"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2083" w:type="dxa"/>
            <w:vAlign w:val="center"/>
          </w:tcPr>
          <w:p w14:paraId="44BC0862" w14:textId="304EA98F" w:rsidR="006F60C9" w:rsidRPr="00FD2BA7" w:rsidRDefault="006F60C9" w:rsidP="00210569">
            <w:pPr>
              <w:rPr>
                <w:rFonts w:ascii="Times New Roman" w:eastAsia="Times New Roman" w:hAnsi="Times New Roman" w:cs="Times New Roman"/>
                <w:iCs/>
                <w:noProof/>
                <w:sz w:val="20"/>
                <w:szCs w:val="20"/>
              </w:rPr>
            </w:pPr>
            <w:r w:rsidRPr="00FD2BA7">
              <w:rPr>
                <w:rFonts w:ascii="Times New Roman" w:hAnsi="Times New Roman" w:cs="Times New Roman"/>
                <w:color w:val="000000"/>
                <w:sz w:val="20"/>
                <w:szCs w:val="20"/>
              </w:rPr>
              <w:t>22 185 000,00</w:t>
            </w:r>
          </w:p>
        </w:tc>
      </w:tr>
      <w:tr w:rsidR="006F60C9" w:rsidRPr="00171DED" w14:paraId="3929823E" w14:textId="3063BBB3" w:rsidTr="00584F2A">
        <w:trPr>
          <w:trHeight w:val="258"/>
        </w:trPr>
        <w:tc>
          <w:tcPr>
            <w:tcW w:w="1574" w:type="dxa"/>
            <w:vMerge/>
            <w:vAlign w:val="center"/>
          </w:tcPr>
          <w:p w14:paraId="31593E92"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340" w:type="dxa"/>
            <w:vMerge/>
            <w:vAlign w:val="center"/>
          </w:tcPr>
          <w:p w14:paraId="47C236B0"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vAlign w:val="center"/>
          </w:tcPr>
          <w:p w14:paraId="00B8DB01" w14:textId="6E466FAF" w:rsidR="006F60C9" w:rsidRPr="00171DED" w:rsidRDefault="006F60C9" w:rsidP="00FC60DF">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Преход</w:t>
            </w:r>
          </w:p>
        </w:tc>
        <w:tc>
          <w:tcPr>
            <w:tcW w:w="1628" w:type="dxa"/>
            <w:vMerge/>
            <w:vAlign w:val="center"/>
          </w:tcPr>
          <w:p w14:paraId="4EB65967" w14:textId="77777777" w:rsidR="006F60C9" w:rsidRPr="00171DED"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val="restart"/>
            <w:vAlign w:val="center"/>
          </w:tcPr>
          <w:p w14:paraId="7D336EAB" w14:textId="5639D48B" w:rsidR="006F60C9" w:rsidRPr="00053EB6" w:rsidRDefault="006F60C9" w:rsidP="00456C39">
            <w:pPr>
              <w:spacing w:before="120" w:after="120"/>
              <w:jc w:val="both"/>
              <w:rPr>
                <w:rFonts w:ascii="Times New Roman" w:eastAsia="Times New Roman" w:hAnsi="Times New Roman" w:cs="Times New Roman"/>
                <w:bCs/>
                <w:iCs/>
                <w:noProof/>
                <w:sz w:val="20"/>
                <w:szCs w:val="20"/>
              </w:rPr>
            </w:pPr>
            <w:r w:rsidRPr="00053EB6">
              <w:rPr>
                <w:rFonts w:ascii="Times New Roman" w:eastAsia="Times New Roman" w:hAnsi="Times New Roman" w:cs="Times New Roman"/>
                <w:bCs/>
                <w:iCs/>
                <w:noProof/>
                <w:sz w:val="20"/>
                <w:szCs w:val="20"/>
              </w:rPr>
              <w:t>48</w:t>
            </w:r>
          </w:p>
        </w:tc>
        <w:tc>
          <w:tcPr>
            <w:tcW w:w="2083" w:type="dxa"/>
            <w:vAlign w:val="center"/>
          </w:tcPr>
          <w:p w14:paraId="7D249425" w14:textId="1F37874F" w:rsidR="006F60C9" w:rsidRPr="006F60C9" w:rsidRDefault="006F60C9" w:rsidP="00210569">
            <w:pPr>
              <w:rPr>
                <w:rFonts w:ascii="Times New Roman" w:hAnsi="Times New Roman" w:cs="Times New Roman"/>
                <w:color w:val="000000"/>
                <w:sz w:val="20"/>
                <w:szCs w:val="20"/>
              </w:rPr>
            </w:pPr>
            <w:r w:rsidRPr="00FD2BA7">
              <w:rPr>
                <w:rFonts w:ascii="Times New Roman" w:hAnsi="Times New Roman" w:cs="Times New Roman"/>
                <w:color w:val="000000"/>
                <w:sz w:val="20"/>
                <w:szCs w:val="20"/>
              </w:rPr>
              <w:t>295 086 243,00</w:t>
            </w:r>
          </w:p>
        </w:tc>
      </w:tr>
      <w:tr w:rsidR="006F60C9" w:rsidRPr="00171DED" w14:paraId="176BA51C" w14:textId="3A091869" w:rsidTr="00210569">
        <w:trPr>
          <w:trHeight w:val="542"/>
        </w:trPr>
        <w:tc>
          <w:tcPr>
            <w:tcW w:w="1574" w:type="dxa"/>
            <w:vMerge/>
            <w:tcBorders>
              <w:bottom w:val="single" w:sz="4" w:space="0" w:color="auto"/>
            </w:tcBorders>
            <w:vAlign w:val="center"/>
          </w:tcPr>
          <w:p w14:paraId="36F38A3A"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340" w:type="dxa"/>
            <w:vMerge/>
            <w:tcBorders>
              <w:bottom w:val="single" w:sz="4" w:space="0" w:color="auto"/>
            </w:tcBorders>
            <w:vAlign w:val="center"/>
          </w:tcPr>
          <w:p w14:paraId="380AA2CB"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tcBorders>
              <w:bottom w:val="single" w:sz="4" w:space="0" w:color="auto"/>
            </w:tcBorders>
            <w:vAlign w:val="center"/>
          </w:tcPr>
          <w:p w14:paraId="0B1429C7" w14:textId="098471E8" w:rsidR="006F60C9" w:rsidRPr="00171DED" w:rsidRDefault="006F60C9"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628" w:type="dxa"/>
            <w:vMerge/>
            <w:tcBorders>
              <w:bottom w:val="single" w:sz="4" w:space="0" w:color="auto"/>
            </w:tcBorders>
            <w:vAlign w:val="center"/>
          </w:tcPr>
          <w:p w14:paraId="1F937D94" w14:textId="77777777" w:rsidR="006F60C9" w:rsidRPr="00171DED"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tcBorders>
              <w:bottom w:val="single" w:sz="4" w:space="0" w:color="auto"/>
            </w:tcBorders>
            <w:vAlign w:val="center"/>
          </w:tcPr>
          <w:p w14:paraId="784558C6" w14:textId="65B5F57A" w:rsidR="006F60C9" w:rsidRPr="00053EB6" w:rsidRDefault="006F60C9" w:rsidP="00456C39">
            <w:pPr>
              <w:spacing w:before="120" w:after="120"/>
              <w:jc w:val="both"/>
              <w:rPr>
                <w:rFonts w:ascii="Times New Roman" w:eastAsia="Times New Roman" w:hAnsi="Times New Roman" w:cs="Times New Roman"/>
                <w:bCs/>
                <w:iCs/>
                <w:noProof/>
                <w:sz w:val="20"/>
                <w:szCs w:val="20"/>
              </w:rPr>
            </w:pPr>
          </w:p>
        </w:tc>
        <w:tc>
          <w:tcPr>
            <w:tcW w:w="2083" w:type="dxa"/>
            <w:tcBorders>
              <w:bottom w:val="single" w:sz="4" w:space="0" w:color="auto"/>
            </w:tcBorders>
            <w:vAlign w:val="center"/>
          </w:tcPr>
          <w:p w14:paraId="09FA3855" w14:textId="54CB8DD8" w:rsidR="006F60C9" w:rsidRPr="00FD2BA7" w:rsidRDefault="006F60C9" w:rsidP="00210569">
            <w:pPr>
              <w:rPr>
                <w:rFonts w:ascii="Times New Roman" w:eastAsia="Times New Roman" w:hAnsi="Times New Roman" w:cs="Times New Roman"/>
                <w:b/>
                <w:iCs/>
                <w:noProof/>
                <w:sz w:val="20"/>
                <w:szCs w:val="20"/>
              </w:rPr>
            </w:pPr>
            <w:r w:rsidRPr="00FD2BA7">
              <w:rPr>
                <w:rFonts w:ascii="Times New Roman" w:hAnsi="Times New Roman" w:cs="Times New Roman"/>
                <w:color w:val="000000"/>
                <w:sz w:val="20"/>
                <w:szCs w:val="20"/>
              </w:rPr>
              <w:t>233 081 395,00</w:t>
            </w:r>
          </w:p>
        </w:tc>
      </w:tr>
    </w:tbl>
    <w:p w14:paraId="3EE61527"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01"/>
        <w:gridCol w:w="1435"/>
        <w:gridCol w:w="1435"/>
        <w:gridCol w:w="1520"/>
        <w:gridCol w:w="1435"/>
        <w:gridCol w:w="1736"/>
      </w:tblGrid>
      <w:tr w:rsidR="0022545E" w:rsidRPr="0010575B" w14:paraId="21E9EB38" w14:textId="77777777" w:rsidTr="007E4908">
        <w:tc>
          <w:tcPr>
            <w:tcW w:w="9288" w:type="dxa"/>
            <w:gridSpan w:val="6"/>
          </w:tcPr>
          <w:p w14:paraId="1BC64FA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bookmarkStart w:id="4" w:name="_Hlk62573084"/>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7B758D8A" w14:textId="77777777" w:rsidTr="007E4908">
        <w:tc>
          <w:tcPr>
            <w:tcW w:w="1599" w:type="dxa"/>
          </w:tcPr>
          <w:p w14:paraId="25F1965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40225184"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7F9E05B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6C4E831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1B06FC91"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761414F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10F62" w:rsidRPr="00171DED" w14:paraId="168A9D7C" w14:textId="77777777" w:rsidTr="007E4908">
        <w:tc>
          <w:tcPr>
            <w:tcW w:w="1599" w:type="dxa"/>
          </w:tcPr>
          <w:p w14:paraId="67C3D55A"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384" w:type="dxa"/>
          </w:tcPr>
          <w:p w14:paraId="5EDCBF07"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433" w:type="dxa"/>
          </w:tcPr>
          <w:p w14:paraId="55994782"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644" w:type="dxa"/>
          </w:tcPr>
          <w:p w14:paraId="74592981"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053" w:type="dxa"/>
          </w:tcPr>
          <w:p w14:paraId="1B9A2D8E"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2175" w:type="dxa"/>
          </w:tcPr>
          <w:p w14:paraId="04D26573"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r>
      <w:bookmarkEnd w:id="4"/>
    </w:tbl>
    <w:p w14:paraId="1B797845" w14:textId="790C4E7B" w:rsidR="003931D3" w:rsidRPr="0021276E" w:rsidRDefault="003931D3" w:rsidP="0022545E">
      <w:pPr>
        <w:spacing w:before="240" w:after="240" w:line="240" w:lineRule="auto"/>
        <w:jc w:val="both"/>
        <w:rPr>
          <w:rFonts w:ascii="Times New Roman" w:eastAsia="Calibri" w:hAnsi="Times New Roman" w:cs="Times New Roman"/>
          <w:b/>
          <w:noProof/>
          <w:color w:val="A6A6A6" w:themeColor="background1" w:themeShade="A6"/>
          <w:sz w:val="20"/>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1842"/>
      </w:tblGrid>
      <w:tr w:rsidR="00E40AF9" w:rsidRPr="00E40AF9" w14:paraId="21F80EC0" w14:textId="77777777" w:rsidTr="00DB3C3C">
        <w:trPr>
          <w:trHeight w:val="408"/>
        </w:trPr>
        <w:tc>
          <w:tcPr>
            <w:tcW w:w="9067" w:type="dxa"/>
            <w:gridSpan w:val="6"/>
            <w:vMerge w:val="restart"/>
            <w:shd w:val="clear" w:color="000000" w:fill="FFFFFF"/>
            <w:vAlign w:val="center"/>
          </w:tcPr>
          <w:p w14:paraId="56915F0B" w14:textId="77777777" w:rsidR="00E40AF9" w:rsidRPr="00C1390E" w:rsidRDefault="00E40AF9" w:rsidP="00E9010F">
            <w:pPr>
              <w:spacing w:after="0" w:line="240" w:lineRule="auto"/>
              <w:rPr>
                <w:rFonts w:ascii="Times New Roman" w:eastAsia="Times New Roman" w:hAnsi="Times New Roman" w:cs="Times New Roman"/>
                <w:b/>
                <w:bCs/>
                <w:sz w:val="20"/>
                <w:szCs w:val="20"/>
                <w:lang w:eastAsia="bg-BG"/>
              </w:rPr>
            </w:pPr>
            <w:bookmarkStart w:id="5" w:name="_Hlk62636762"/>
            <w:proofErr w:type="spellStart"/>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p>
        </w:tc>
      </w:tr>
      <w:tr w:rsidR="00E40AF9" w:rsidRPr="00E40AF9" w14:paraId="650C8983" w14:textId="77777777" w:rsidTr="00DB3C3C">
        <w:trPr>
          <w:trHeight w:val="230"/>
        </w:trPr>
        <w:tc>
          <w:tcPr>
            <w:tcW w:w="9067" w:type="dxa"/>
            <w:gridSpan w:val="6"/>
            <w:vMerge/>
            <w:vAlign w:val="center"/>
          </w:tcPr>
          <w:p w14:paraId="445AA8DA" w14:textId="77777777" w:rsidR="00E40AF9" w:rsidRPr="00C1390E" w:rsidRDefault="00E40AF9" w:rsidP="00E9010F">
            <w:pPr>
              <w:spacing w:after="0" w:line="240" w:lineRule="auto"/>
              <w:rPr>
                <w:rFonts w:ascii="Times New Roman" w:eastAsia="Times New Roman" w:hAnsi="Times New Roman" w:cs="Times New Roman"/>
                <w:b/>
                <w:bCs/>
                <w:sz w:val="20"/>
                <w:szCs w:val="20"/>
                <w:lang w:eastAsia="bg-BG"/>
              </w:rPr>
            </w:pPr>
          </w:p>
        </w:tc>
      </w:tr>
      <w:tr w:rsidR="00E40AF9" w:rsidRPr="00E40AF9" w14:paraId="311FA6B5" w14:textId="77777777" w:rsidTr="00DB3C3C">
        <w:trPr>
          <w:trHeight w:val="315"/>
        </w:trPr>
        <w:tc>
          <w:tcPr>
            <w:tcW w:w="1266" w:type="dxa"/>
            <w:vAlign w:val="center"/>
          </w:tcPr>
          <w:p w14:paraId="2D044A05"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851" w:type="dxa"/>
            <w:vAlign w:val="center"/>
          </w:tcPr>
          <w:p w14:paraId="18987D15"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1422" w:type="dxa"/>
            <w:vAlign w:val="center"/>
          </w:tcPr>
          <w:p w14:paraId="2D034B3F"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559" w:type="dxa"/>
            <w:vAlign w:val="center"/>
          </w:tcPr>
          <w:p w14:paraId="726A87B3"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2127" w:type="dxa"/>
            <w:vAlign w:val="center"/>
          </w:tcPr>
          <w:p w14:paraId="7BE4D9BB"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p>
        </w:tc>
        <w:tc>
          <w:tcPr>
            <w:tcW w:w="1842" w:type="dxa"/>
            <w:vAlign w:val="center"/>
          </w:tcPr>
          <w:p w14:paraId="1581D6F1"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E40AF9" w:rsidRPr="00E40AF9" w14:paraId="688385AE" w14:textId="77777777" w:rsidTr="00DB3C3C">
        <w:trPr>
          <w:trHeight w:val="844"/>
        </w:trPr>
        <w:tc>
          <w:tcPr>
            <w:tcW w:w="1266" w:type="dxa"/>
            <w:vMerge w:val="restart"/>
            <w:shd w:val="clear" w:color="000000" w:fill="FFFFFF"/>
            <w:vAlign w:val="center"/>
            <w:hideMark/>
          </w:tcPr>
          <w:p w14:paraId="264B285A"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1 „</w:t>
            </w:r>
            <w:proofErr w:type="spellStart"/>
            <w:r w:rsidRPr="00C1390E">
              <w:rPr>
                <w:rFonts w:ascii="Times New Roman" w:eastAsia="Times New Roman" w:hAnsi="Times New Roman" w:cs="Times New Roman"/>
                <w:color w:val="000000"/>
                <w:sz w:val="20"/>
                <w:szCs w:val="20"/>
                <w:lang w:eastAsia="bg-BG"/>
              </w:rPr>
              <w:t>Води</w:t>
            </w:r>
            <w:proofErr w:type="spellEnd"/>
            <w:r w:rsidRPr="00C1390E">
              <w:rPr>
                <w:rFonts w:ascii="Times New Roman" w:eastAsia="Times New Roman" w:hAnsi="Times New Roman" w:cs="Times New Roman"/>
                <w:color w:val="000000"/>
                <w:sz w:val="20"/>
                <w:szCs w:val="20"/>
                <w:lang w:eastAsia="bg-BG"/>
              </w:rPr>
              <w:t>“</w:t>
            </w:r>
          </w:p>
        </w:tc>
        <w:tc>
          <w:tcPr>
            <w:tcW w:w="851" w:type="dxa"/>
            <w:vMerge w:val="restart"/>
            <w:shd w:val="clear" w:color="auto" w:fill="auto"/>
            <w:vAlign w:val="center"/>
            <w:hideMark/>
          </w:tcPr>
          <w:p w14:paraId="2C57B9D2"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ЕФРР</w:t>
            </w:r>
          </w:p>
        </w:tc>
        <w:tc>
          <w:tcPr>
            <w:tcW w:w="1422" w:type="dxa"/>
            <w:shd w:val="clear" w:color="auto" w:fill="auto"/>
            <w:vAlign w:val="center"/>
            <w:hideMark/>
          </w:tcPr>
          <w:p w14:paraId="3C807ED0"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559" w:type="dxa"/>
            <w:vMerge w:val="restart"/>
            <w:shd w:val="clear" w:color="auto" w:fill="auto"/>
            <w:vAlign w:val="center"/>
            <w:hideMark/>
          </w:tcPr>
          <w:p w14:paraId="288DBD04"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w:t>
            </w:r>
            <w:proofErr w:type="spellStart"/>
            <w:r w:rsidRPr="00C1390E">
              <w:rPr>
                <w:rFonts w:ascii="Times New Roman" w:eastAsia="Times New Roman" w:hAnsi="Times New Roman" w:cs="Times New Roman"/>
                <w:color w:val="000000"/>
                <w:sz w:val="20"/>
                <w:szCs w:val="20"/>
                <w:lang w:eastAsia="bg-BG"/>
              </w:rPr>
              <w:t>Насърчаване</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на</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устойчивото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управление</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на</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водите</w:t>
            </w:r>
            <w:proofErr w:type="spellEnd"/>
            <w:r w:rsidRPr="00C1390E">
              <w:rPr>
                <w:rFonts w:ascii="Times New Roman" w:eastAsia="Times New Roman" w:hAnsi="Times New Roman" w:cs="Times New Roman"/>
                <w:color w:val="000000"/>
                <w:sz w:val="20"/>
                <w:szCs w:val="20"/>
                <w:lang w:eastAsia="bg-BG"/>
              </w:rPr>
              <w:t>”</w:t>
            </w:r>
          </w:p>
        </w:tc>
        <w:tc>
          <w:tcPr>
            <w:tcW w:w="2127" w:type="dxa"/>
            <w:vMerge w:val="restart"/>
            <w:shd w:val="clear" w:color="auto" w:fill="auto"/>
            <w:vAlign w:val="center"/>
            <w:hideMark/>
          </w:tcPr>
          <w:p w14:paraId="609918EB"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842" w:type="dxa"/>
            <w:shd w:val="clear" w:color="auto" w:fill="auto"/>
            <w:vAlign w:val="center"/>
            <w:hideMark/>
          </w:tcPr>
          <w:p w14:paraId="6C5DE0BC" w14:textId="77777777" w:rsidR="00E40AF9" w:rsidRPr="00C1390E" w:rsidRDefault="00E40AF9" w:rsidP="00DB3C3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297 816 243,00</w:t>
            </w:r>
          </w:p>
        </w:tc>
      </w:tr>
      <w:tr w:rsidR="00E40AF9" w:rsidRPr="00E40AF9" w14:paraId="1683BC0E" w14:textId="77777777" w:rsidTr="00DB3C3C">
        <w:trPr>
          <w:trHeight w:val="615"/>
        </w:trPr>
        <w:tc>
          <w:tcPr>
            <w:tcW w:w="1266" w:type="dxa"/>
            <w:vMerge/>
            <w:vAlign w:val="center"/>
            <w:hideMark/>
          </w:tcPr>
          <w:p w14:paraId="18AC47F1"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851" w:type="dxa"/>
            <w:vMerge/>
            <w:vAlign w:val="center"/>
            <w:hideMark/>
          </w:tcPr>
          <w:p w14:paraId="2450B953"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1422" w:type="dxa"/>
            <w:shd w:val="clear" w:color="auto" w:fill="auto"/>
            <w:vAlign w:val="center"/>
            <w:hideMark/>
          </w:tcPr>
          <w:p w14:paraId="47E277A6"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559" w:type="dxa"/>
            <w:vMerge/>
            <w:vAlign w:val="center"/>
            <w:hideMark/>
          </w:tcPr>
          <w:p w14:paraId="5614F49E"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2127" w:type="dxa"/>
            <w:vMerge/>
            <w:vAlign w:val="center"/>
            <w:hideMark/>
          </w:tcPr>
          <w:p w14:paraId="7CF93F04"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1842" w:type="dxa"/>
            <w:shd w:val="clear" w:color="auto" w:fill="auto"/>
            <w:vAlign w:val="center"/>
            <w:hideMark/>
          </w:tcPr>
          <w:p w14:paraId="00F372B2" w14:textId="77777777" w:rsidR="00E40AF9" w:rsidRPr="00C1390E" w:rsidRDefault="00E40AF9" w:rsidP="00DB3C3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255 266 395,00</w:t>
            </w:r>
          </w:p>
        </w:tc>
      </w:tr>
      <w:bookmarkEnd w:id="5"/>
    </w:tbl>
    <w:p w14:paraId="668732DF" w14:textId="77777777" w:rsidR="003931D3" w:rsidRDefault="003931D3"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5EC85412" w14:textId="26AB7A24"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464E0EF4"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3BA08D5E"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195C2A1D"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FC861A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4556B8E1"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AFF6396"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lastRenderedPageBreak/>
        <w:t>Декриптиране на национални или регионални схеми за подпомагане</w:t>
      </w:r>
    </w:p>
    <w:p w14:paraId="229C2EC9"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5CBB9ED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7"/>
      </w:r>
    </w:p>
    <w:p w14:paraId="24C8DB45" w14:textId="77777777" w:rsidR="0022545E" w:rsidRPr="00171DED"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4890BF02" w14:textId="77777777"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73FC7A81" w14:textId="77777777" w:rsidR="00380438" w:rsidRPr="0049273B" w:rsidRDefault="001F4CC9" w:rsidP="00380438">
      <w:pPr>
        <w:spacing w:before="240" w:after="240" w:line="240" w:lineRule="auto"/>
        <w:jc w:val="both"/>
        <w:rPr>
          <w:rFonts w:ascii="Times New Roman" w:eastAsia="Calibri" w:hAnsi="Times New Roman" w:cs="Times New Roman"/>
          <w:b/>
          <w:bCs/>
          <w:noProof/>
          <w:sz w:val="24"/>
          <w:szCs w:val="20"/>
          <w:lang w:val="bg-BG" w:eastAsia="bg-BG" w:bidi="bg-BG"/>
        </w:rPr>
      </w:pPr>
      <w:r w:rsidRPr="0049273B">
        <w:rPr>
          <w:rFonts w:ascii="Times New Roman" w:eastAsia="Calibri" w:hAnsi="Times New Roman" w:cs="Times New Roman"/>
          <w:b/>
          <w:bCs/>
          <w:noProof/>
          <w:sz w:val="24"/>
          <w:szCs w:val="20"/>
          <w:lang w:val="bg-BG" w:eastAsia="bg-BG" w:bidi="bg-BG"/>
        </w:rPr>
        <w:t>Приоритет 2 „</w:t>
      </w:r>
      <w:r w:rsidR="00380438" w:rsidRPr="0049273B">
        <w:rPr>
          <w:rFonts w:ascii="Times New Roman" w:eastAsia="Calibri" w:hAnsi="Times New Roman" w:cs="Times New Roman"/>
          <w:b/>
          <w:bCs/>
          <w:noProof/>
          <w:sz w:val="24"/>
          <w:szCs w:val="20"/>
          <w:lang w:val="bg-BG" w:eastAsia="bg-BG" w:bidi="bg-BG"/>
        </w:rPr>
        <w:t>Отпадъци</w:t>
      </w:r>
      <w:r w:rsidRPr="0049273B">
        <w:rPr>
          <w:rFonts w:ascii="Times New Roman" w:eastAsia="Calibri" w:hAnsi="Times New Roman" w:cs="Times New Roman"/>
          <w:b/>
          <w:bCs/>
          <w:noProof/>
          <w:sz w:val="24"/>
          <w:szCs w:val="20"/>
          <w:lang w:val="bg-B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3B9278C6" w14:textId="77777777" w:rsidTr="00211B9A">
        <w:tc>
          <w:tcPr>
            <w:tcW w:w="9322" w:type="dxa"/>
          </w:tcPr>
          <w:p w14:paraId="37F48B58" w14:textId="77777777"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397745CD" w14:textId="77777777" w:rsidTr="00211B9A">
        <w:tc>
          <w:tcPr>
            <w:tcW w:w="9322" w:type="dxa"/>
          </w:tcPr>
          <w:p w14:paraId="7D301A8B"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16F01F9A" w14:textId="77777777" w:rsidTr="00211B9A">
        <w:tc>
          <w:tcPr>
            <w:tcW w:w="9322" w:type="dxa"/>
          </w:tcPr>
          <w:p w14:paraId="2FBD9454"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33C9439C" w14:textId="77777777" w:rsidTr="00211B9A">
        <w:tc>
          <w:tcPr>
            <w:tcW w:w="9322" w:type="dxa"/>
          </w:tcPr>
          <w:p w14:paraId="14F91C8F" w14:textId="25530CF8"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w:t>
            </w:r>
            <w:r w:rsidR="00250902" w:rsidRPr="00171DED">
              <w:t xml:space="preserve"> </w:t>
            </w:r>
            <w:r w:rsidR="00250902"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171DED" w14:paraId="30B1469C" w14:textId="77777777" w:rsidTr="00211B9A">
        <w:tc>
          <w:tcPr>
            <w:tcW w:w="9322" w:type="dxa"/>
          </w:tcPr>
          <w:p w14:paraId="24D59491" w14:textId="7E25573D" w:rsidR="00250902" w:rsidRPr="00171DED" w:rsidRDefault="007B49B2"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250902" w:rsidRPr="00171DED">
              <w:rPr>
                <w:rFonts w:ascii="Times New Roman" w:eastAsia="Calibri" w:hAnsi="Times New Roman" w:cs="Times New Roman"/>
                <w:noProof/>
                <w:sz w:val="20"/>
                <w:szCs w:val="20"/>
                <w:lang w:val="bg-BG" w:eastAsia="bg-BG" w:bidi="bg-BG"/>
              </w:rPr>
              <w:t>This is a priority dedicated to support to the most deprived under thet specific objective set out in point (x) of Article 4(1) of the ESF+ regulation8</w:t>
            </w:r>
          </w:p>
        </w:tc>
      </w:tr>
    </w:tbl>
    <w:p w14:paraId="4B339136"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1456A0C8"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5A62DC2A" w14:textId="0DDAF754"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8"/>
      </w:r>
      <w:r w:rsidRPr="00171DED">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DA52A5A" w14:textId="353F12CD" w:rsidR="004E0162" w:rsidRPr="00171DED" w:rsidRDefault="004E0162" w:rsidP="004E0162">
      <w:pPr>
        <w:spacing w:before="24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Cs/>
          <w:noProof/>
          <w:sz w:val="24"/>
          <w:szCs w:val="20"/>
          <w:lang w:val="bg-BG" w:eastAsia="bg-BG" w:bidi="bg-BG"/>
        </w:rPr>
        <w:t xml:space="preserve">Специфична цел: </w:t>
      </w:r>
      <w:r w:rsidR="001223DF">
        <w:rPr>
          <w:rFonts w:ascii="Times New Roman" w:eastAsia="Calibri" w:hAnsi="Times New Roman" w:cs="Times New Roman"/>
          <w:bCs/>
          <w:noProof/>
          <w:sz w:val="24"/>
          <w:szCs w:val="20"/>
          <w:lang w:val="bg-BG" w:eastAsia="bg-BG" w:bidi="bg-BG"/>
        </w:rPr>
        <w:t>„</w:t>
      </w:r>
      <w:r w:rsidRPr="00171DED">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171DED">
        <w:rPr>
          <w:rFonts w:ascii="Times New Roman" w:eastAsia="Calibri" w:hAnsi="Times New Roman" w:cs="Times New Roman"/>
          <w:bCs/>
          <w:noProof/>
          <w:sz w:val="24"/>
          <w:szCs w:val="20"/>
          <w:lang w:val="bg-BG" w:eastAsia="bg-BG" w:bidi="bg-BG"/>
        </w:rPr>
        <w:t xml:space="preserve">и ресурсно ефективна </w:t>
      </w:r>
      <w:r w:rsidRPr="00171DED">
        <w:rPr>
          <w:rFonts w:ascii="Times New Roman" w:eastAsia="Calibri" w:hAnsi="Times New Roman" w:cs="Times New Roman"/>
          <w:bCs/>
          <w:noProof/>
          <w:sz w:val="24"/>
          <w:szCs w:val="20"/>
          <w:lang w:val="bg-BG" w:eastAsia="bg-BG" w:bidi="bg-BG"/>
        </w:rPr>
        <w:t>икономика”</w:t>
      </w:r>
    </w:p>
    <w:p w14:paraId="6366D3A8"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1952BAD5" w14:textId="6F994BC6" w:rsidR="00B82B45" w:rsidRPr="00171DED" w:rsidRDefault="00380438" w:rsidP="00380438">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171DED">
        <w:rPr>
          <w:rFonts w:ascii="Times New Roman" w:eastAsia="Calibri" w:hAnsi="Times New Roman" w:cs="Times New Roman"/>
          <w:i/>
          <w:noProof/>
          <w:sz w:val="24"/>
          <w:szCs w:val="20"/>
          <w:lang w:val="bg-BG" w:eastAsia="bg-BG" w:bidi="bg-BG"/>
        </w:rPr>
        <w:t xml:space="preserve">iiia) </w:t>
      </w:r>
      <w:r w:rsidRPr="00171DED">
        <w:rPr>
          <w:rFonts w:ascii="Times New Roman" w:eastAsia="Calibri" w:hAnsi="Times New Roman" w:cs="Times New Roman"/>
          <w:i/>
          <w:noProof/>
          <w:sz w:val="24"/>
          <w:szCs w:val="20"/>
          <w:lang w:val="bg-BG" w:eastAsia="bg-BG" w:bidi="bg-BG"/>
        </w:rPr>
        <w:t>iv) v) vi)</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7F53D675" w14:textId="60CAB700"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B82B45" w:rsidRPr="00171DED">
        <w:rPr>
          <w:lang w:val="bg-BG"/>
        </w:rPr>
        <w:t xml:space="preserve"> </w:t>
      </w:r>
      <w:r w:rsidR="00B82B45" w:rsidRPr="00171DED">
        <w:rPr>
          <w:rFonts w:ascii="Times New Roman" w:eastAsia="Calibri" w:hAnsi="Times New Roman" w:cs="Times New Roman"/>
          <w:i/>
          <w:noProof/>
          <w:sz w:val="24"/>
          <w:szCs w:val="20"/>
          <w:lang w:val="bg-BG" w:eastAsia="bg-BG" w:bidi="bg-BG"/>
        </w:rPr>
        <w:t>от О</w:t>
      </w:r>
      <w:r w:rsidR="0091573A" w:rsidRPr="00171DED">
        <w:rPr>
          <w:rFonts w:ascii="Times New Roman" w:eastAsia="Calibri" w:hAnsi="Times New Roman" w:cs="Times New Roman"/>
          <w:i/>
          <w:noProof/>
          <w:sz w:val="24"/>
          <w:szCs w:val="20"/>
          <w:lang w:val="bg-BG" w:eastAsia="bg-BG" w:bidi="bg-BG"/>
        </w:rPr>
        <w:t>Р</w:t>
      </w:r>
      <w:r w:rsidR="00B82B45" w:rsidRPr="00171DED">
        <w:rPr>
          <w:rFonts w:ascii="Times New Roman" w:eastAsia="Calibri" w:hAnsi="Times New Roman" w:cs="Times New Roman"/>
          <w:i/>
          <w:noProof/>
          <w:sz w:val="24"/>
          <w:szCs w:val="20"/>
          <w:lang w:val="bg-BG" w:eastAsia="bg-BG" w:bidi="bg-BG"/>
        </w:rPr>
        <w:t xml:space="preserve">; </w:t>
      </w:r>
      <w:bookmarkStart w:id="6" w:name="_Hlk27408248"/>
      <w:r w:rsidR="00250902" w:rsidRPr="00171DED">
        <w:rPr>
          <w:rFonts w:ascii="Times New Roman" w:eastAsia="Calibri" w:hAnsi="Times New Roman" w:cs="Times New Roman"/>
          <w:i/>
          <w:noProof/>
          <w:sz w:val="24"/>
          <w:szCs w:val="20"/>
          <w:lang w:val="bg-BG" w:eastAsia="bg-BG" w:bidi="bg-BG"/>
        </w:rPr>
        <w:t>Член</w:t>
      </w:r>
      <w:r w:rsidR="00B82B45" w:rsidRPr="00171DED">
        <w:rPr>
          <w:rFonts w:ascii="Times New Roman" w:eastAsia="Calibri" w:hAnsi="Times New Roman" w:cs="Times New Roman"/>
          <w:i/>
          <w:noProof/>
          <w:sz w:val="24"/>
          <w:szCs w:val="20"/>
          <w:lang w:val="bg-BG" w:eastAsia="bg-BG" w:bidi="bg-BG"/>
        </w:rPr>
        <w:t xml:space="preserve"> 6</w:t>
      </w:r>
      <w:r w:rsidR="00250902" w:rsidRPr="00171DED">
        <w:rPr>
          <w:rFonts w:ascii="Times New Roman" w:eastAsia="Calibri" w:hAnsi="Times New Roman" w:cs="Times New Roman"/>
          <w:i/>
          <w:noProof/>
          <w:sz w:val="24"/>
          <w:szCs w:val="20"/>
          <w:lang w:val="bg-BG" w:eastAsia="bg-BG" w:bidi="bg-BG"/>
        </w:rPr>
        <w:t xml:space="preserve"> ал.</w:t>
      </w:r>
      <w:r w:rsidR="00B82B45" w:rsidRPr="00171DED">
        <w:rPr>
          <w:rFonts w:ascii="Times New Roman" w:eastAsia="Calibri" w:hAnsi="Times New Roman" w:cs="Times New Roman"/>
          <w:i/>
          <w:noProof/>
          <w:sz w:val="24"/>
          <w:szCs w:val="20"/>
          <w:lang w:val="bg-BG" w:eastAsia="bg-BG" w:bidi="bg-BG"/>
        </w:rPr>
        <w:t xml:space="preserve">(2) </w:t>
      </w:r>
      <w:r w:rsidR="00250902" w:rsidRPr="00171DED">
        <w:rPr>
          <w:rFonts w:ascii="Times New Roman" w:eastAsia="Calibri" w:hAnsi="Times New Roman" w:cs="Times New Roman"/>
          <w:i/>
          <w:noProof/>
          <w:sz w:val="24"/>
          <w:szCs w:val="20"/>
          <w:lang w:val="bg-BG" w:eastAsia="bg-BG" w:bidi="bg-BG"/>
        </w:rPr>
        <w:t xml:space="preserve">от Регламент за </w:t>
      </w:r>
      <w:bookmarkEnd w:id="6"/>
      <w:r w:rsidR="0091573A" w:rsidRPr="00171DED">
        <w:rPr>
          <w:rFonts w:ascii="Times New Roman" w:eastAsia="Calibri" w:hAnsi="Times New Roman" w:cs="Times New Roman"/>
          <w:i/>
          <w:noProof/>
          <w:sz w:val="24"/>
          <w:szCs w:val="20"/>
          <w:lang w:val="bg-BG" w:eastAsia="bg-BG" w:bidi="bg-BG"/>
        </w:rPr>
        <w:t>ЕСФ+</w:t>
      </w:r>
      <w:r w:rsidRPr="00171DED">
        <w:rPr>
          <w:rFonts w:ascii="Times New Roman" w:eastAsia="Calibri" w:hAnsi="Times New Roman" w:cs="Times New Roman"/>
          <w:i/>
          <w:noProof/>
          <w:sz w:val="24"/>
          <w:szCs w:val="20"/>
          <w:lang w:val="bg-BG" w:eastAsia="bg-BG" w:bidi="bg-BG"/>
        </w:rPr>
        <w:t>:</w:t>
      </w:r>
    </w:p>
    <w:tbl>
      <w:tblPr>
        <w:tblStyle w:val="TableGrid"/>
        <w:tblW w:w="9209" w:type="dxa"/>
        <w:tblLook w:val="04A0" w:firstRow="1" w:lastRow="0" w:firstColumn="1" w:lastColumn="0" w:noHBand="0" w:noVBand="1"/>
      </w:tblPr>
      <w:tblGrid>
        <w:gridCol w:w="9209"/>
      </w:tblGrid>
      <w:tr w:rsidR="00380438" w:rsidRPr="0010575B" w14:paraId="21A9E7D7" w14:textId="77777777" w:rsidTr="00456C39">
        <w:tc>
          <w:tcPr>
            <w:tcW w:w="9209" w:type="dxa"/>
          </w:tcPr>
          <w:p w14:paraId="4E57389F" w14:textId="77777777" w:rsidR="00380438" w:rsidRPr="00171DED"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4E0162"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33230B41" w14:textId="6285280A" w:rsidR="00A32DBB" w:rsidRPr="00171DED" w:rsidRDefault="00A32DBB" w:rsidP="00456C39">
            <w:pPr>
              <w:spacing w:before="120" w:after="120"/>
              <w:jc w:val="both"/>
              <w:rPr>
                <w:rFonts w:ascii="Times New Roman" w:hAnsi="Times New Roman" w:cs="Times New Roman"/>
                <w:sz w:val="24"/>
                <w:szCs w:val="24"/>
              </w:rPr>
            </w:pPr>
            <w:r w:rsidRPr="00171DED">
              <w:rPr>
                <w:rFonts w:ascii="Times New Roman" w:hAnsi="Times New Roman" w:cs="Times New Roman"/>
                <w:sz w:val="24"/>
                <w:szCs w:val="24"/>
              </w:rPr>
              <w:t xml:space="preserve">Допустимите мерки </w:t>
            </w:r>
            <w:r w:rsidR="003F4B8A" w:rsidRPr="00171DED">
              <w:rPr>
                <w:rFonts w:ascii="Times New Roman" w:hAnsi="Times New Roman" w:cs="Times New Roman"/>
                <w:sz w:val="24"/>
                <w:szCs w:val="24"/>
              </w:rPr>
              <w:t xml:space="preserve">са в съответствие с </w:t>
            </w:r>
            <w:r w:rsidRPr="00171DED">
              <w:rPr>
                <w:rFonts w:ascii="Times New Roman" w:hAnsi="Times New Roman" w:cs="Times New Roman"/>
                <w:sz w:val="24"/>
                <w:szCs w:val="24"/>
              </w:rPr>
              <w:t>идентифицираните нужди в Националния план за управление на отпадъците</w:t>
            </w:r>
            <w:r w:rsidR="002856AF" w:rsidRPr="00171DED">
              <w:rPr>
                <w:rFonts w:ascii="Times New Roman" w:hAnsi="Times New Roman" w:cs="Times New Roman"/>
                <w:sz w:val="24"/>
                <w:szCs w:val="24"/>
              </w:rPr>
              <w:t xml:space="preserve"> </w:t>
            </w:r>
            <w:r w:rsidR="005B4990">
              <w:rPr>
                <w:rFonts w:ascii="Times New Roman" w:hAnsi="Times New Roman" w:cs="Times New Roman"/>
                <w:sz w:val="24"/>
                <w:szCs w:val="24"/>
              </w:rPr>
              <w:t xml:space="preserve">(НПУО) </w:t>
            </w:r>
            <w:r w:rsidR="002856AF" w:rsidRPr="00171DED">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прехода към кръгова икономика 2021-2027 г</w:t>
            </w:r>
            <w:r w:rsidR="006D7F68" w:rsidRPr="00171DED">
              <w:rPr>
                <w:rFonts w:ascii="Times New Roman" w:hAnsi="Times New Roman" w:cs="Times New Roman"/>
                <w:sz w:val="24"/>
                <w:szCs w:val="24"/>
              </w:rPr>
              <w:t>.</w:t>
            </w:r>
            <w:r w:rsidRPr="00171DED">
              <w:rPr>
                <w:rFonts w:ascii="Times New Roman" w:hAnsi="Times New Roman" w:cs="Times New Roman"/>
                <w:sz w:val="24"/>
                <w:szCs w:val="24"/>
              </w:rPr>
              <w:t>:</w:t>
            </w:r>
          </w:p>
          <w:p w14:paraId="1266F811" w14:textId="7C67457C" w:rsidR="00716AE7" w:rsidRPr="00A81F46" w:rsidRDefault="003D0E7E" w:rsidP="00356BE0">
            <w:pPr>
              <w:pStyle w:val="ListParagraph"/>
              <w:numPr>
                <w:ilvl w:val="0"/>
                <w:numId w:val="54"/>
              </w:numPr>
              <w:spacing w:before="120" w:after="120"/>
              <w:jc w:val="both"/>
              <w:rPr>
                <w:rFonts w:ascii="Times New Roman" w:hAnsi="Times New Roman" w:cs="Times New Roman"/>
                <w:sz w:val="24"/>
                <w:szCs w:val="24"/>
              </w:rPr>
            </w:pPr>
            <w:r w:rsidRPr="00A81F46">
              <w:rPr>
                <w:rFonts w:ascii="Times New Roman" w:hAnsi="Times New Roman" w:cs="Times New Roman"/>
                <w:sz w:val="24"/>
                <w:szCs w:val="24"/>
              </w:rPr>
              <w:t>Мерки за</w:t>
            </w:r>
            <w:r w:rsidR="00716AE7" w:rsidRPr="00A81F46">
              <w:rPr>
                <w:rFonts w:ascii="Times New Roman" w:hAnsi="Times New Roman" w:cs="Times New Roman"/>
                <w:sz w:val="24"/>
                <w:szCs w:val="24"/>
              </w:rPr>
              <w:t xml:space="preserve"> развитие</w:t>
            </w:r>
            <w:r w:rsidR="003F4B8A" w:rsidRPr="00A81F46">
              <w:rPr>
                <w:rFonts w:ascii="Times New Roman" w:hAnsi="Times New Roman" w:cs="Times New Roman"/>
                <w:sz w:val="24"/>
                <w:szCs w:val="24"/>
              </w:rPr>
              <w:t xml:space="preserve">/надграждане </w:t>
            </w:r>
            <w:r w:rsidR="00716AE7" w:rsidRPr="00A81F4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A81F46">
              <w:rPr>
                <w:rFonts w:ascii="Times New Roman" w:hAnsi="Times New Roman" w:cs="Times New Roman"/>
                <w:sz w:val="24"/>
                <w:szCs w:val="24"/>
              </w:rPr>
              <w:t xml:space="preserve">на регионално ниво на управление на отпадъците </w:t>
            </w:r>
            <w:r w:rsidR="00716AE7" w:rsidRPr="00A81F46">
              <w:rPr>
                <w:rFonts w:ascii="Times New Roman" w:hAnsi="Times New Roman" w:cs="Times New Roman"/>
                <w:sz w:val="24"/>
                <w:szCs w:val="24"/>
              </w:rPr>
              <w:t>за постигане на целите за 2030 г. за рециклиране на отпадъците и депониран</w:t>
            </w:r>
            <w:r w:rsidR="003F4B8A" w:rsidRPr="00A81F46">
              <w:rPr>
                <w:rFonts w:ascii="Times New Roman" w:hAnsi="Times New Roman" w:cs="Times New Roman"/>
                <w:sz w:val="24"/>
                <w:szCs w:val="24"/>
              </w:rPr>
              <w:t>е</w:t>
            </w:r>
            <w:r w:rsidR="00716AE7" w:rsidRPr="00A81F46">
              <w:rPr>
                <w:rFonts w:ascii="Times New Roman" w:hAnsi="Times New Roman" w:cs="Times New Roman"/>
                <w:sz w:val="24"/>
                <w:szCs w:val="24"/>
              </w:rPr>
              <w:t xml:space="preserve"> </w:t>
            </w:r>
            <w:r w:rsidR="003F4B8A" w:rsidRPr="00A81F46">
              <w:rPr>
                <w:rFonts w:ascii="Times New Roman" w:hAnsi="Times New Roman" w:cs="Times New Roman"/>
                <w:sz w:val="24"/>
                <w:szCs w:val="24"/>
              </w:rPr>
              <w:t xml:space="preserve">на </w:t>
            </w:r>
            <w:r w:rsidR="00716AE7" w:rsidRPr="00A81F46">
              <w:rPr>
                <w:rFonts w:ascii="Times New Roman" w:hAnsi="Times New Roman" w:cs="Times New Roman"/>
                <w:sz w:val="24"/>
                <w:szCs w:val="24"/>
              </w:rPr>
              <w:t>отпадъци</w:t>
            </w:r>
            <w:r w:rsidR="006C2B1A" w:rsidRPr="00A81F46">
              <w:rPr>
                <w:rFonts w:ascii="Times New Roman" w:hAnsi="Times New Roman" w:cs="Times New Roman"/>
                <w:sz w:val="24"/>
                <w:szCs w:val="24"/>
              </w:rPr>
              <w:t>;</w:t>
            </w:r>
          </w:p>
          <w:p w14:paraId="25272A78" w14:textId="5BCE774D" w:rsidR="003327E4" w:rsidRPr="00A81F4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noProof/>
                <w:sz w:val="24"/>
                <w:szCs w:val="20"/>
              </w:rPr>
              <w:lastRenderedPageBreak/>
              <w:t>Мерки за предотвратяване</w:t>
            </w:r>
            <w:r w:rsidRPr="00A81F46">
              <w:rPr>
                <w:rFonts w:ascii="Times New Roman" w:eastAsia="Times New Roman" w:hAnsi="Times New Roman" w:cs="Times New Roman"/>
                <w:bCs/>
                <w:sz w:val="24"/>
                <w:szCs w:val="24"/>
              </w:rPr>
              <w:t xml:space="preserve"> </w:t>
            </w:r>
            <w:r w:rsidR="00352BD6" w:rsidRPr="00A81F46">
              <w:rPr>
                <w:rFonts w:ascii="Times New Roman" w:eastAsia="Times New Roman" w:hAnsi="Times New Roman" w:cs="Times New Roman"/>
                <w:bCs/>
                <w:sz w:val="24"/>
                <w:szCs w:val="24"/>
              </w:rPr>
              <w:t xml:space="preserve">образуването </w:t>
            </w:r>
            <w:r w:rsidR="003327E4" w:rsidRPr="00A81F46">
              <w:rPr>
                <w:rFonts w:ascii="Times New Roman" w:eastAsia="Times New Roman" w:hAnsi="Times New Roman" w:cs="Times New Roman"/>
                <w:bCs/>
                <w:sz w:val="24"/>
                <w:szCs w:val="24"/>
              </w:rPr>
              <w:t xml:space="preserve">на </w:t>
            </w:r>
            <w:r w:rsidR="002856AF" w:rsidRPr="00A81F46">
              <w:rPr>
                <w:rFonts w:ascii="Times New Roman" w:eastAsia="Times New Roman" w:hAnsi="Times New Roman" w:cs="Times New Roman"/>
                <w:bCs/>
                <w:sz w:val="24"/>
                <w:szCs w:val="24"/>
              </w:rPr>
              <w:t xml:space="preserve">битови </w:t>
            </w:r>
            <w:r w:rsidR="003327E4" w:rsidRPr="00A81F46">
              <w:rPr>
                <w:rFonts w:ascii="Times New Roman" w:eastAsia="Times New Roman" w:hAnsi="Times New Roman" w:cs="Times New Roman"/>
                <w:bCs/>
                <w:sz w:val="24"/>
                <w:szCs w:val="24"/>
              </w:rPr>
              <w:t>отпадъци</w:t>
            </w:r>
            <w:r w:rsidR="002856AF" w:rsidRPr="00A81F46">
              <w:rPr>
                <w:rFonts w:ascii="Times New Roman" w:eastAsia="Times New Roman" w:hAnsi="Times New Roman" w:cs="Times New Roman"/>
                <w:bCs/>
                <w:sz w:val="24"/>
                <w:szCs w:val="24"/>
              </w:rPr>
              <w:t xml:space="preserve"> - мерки по отношение образуването на отпадъци и такива, свързани с фазата на потребление и употреба</w:t>
            </w:r>
            <w:r w:rsidR="003327E4" w:rsidRPr="00A81F46">
              <w:rPr>
                <w:rFonts w:ascii="Times New Roman" w:eastAsia="Times New Roman" w:hAnsi="Times New Roman" w:cs="Times New Roman"/>
                <w:bCs/>
                <w:sz w:val="24"/>
                <w:szCs w:val="24"/>
              </w:rPr>
              <w:t>;</w:t>
            </w:r>
          </w:p>
          <w:p w14:paraId="6A950C1E" w14:textId="20E1A07B" w:rsidR="003327E4" w:rsidRPr="00A81F4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bCs/>
                <w:sz w:val="24"/>
                <w:szCs w:val="24"/>
              </w:rPr>
              <w:t>Мерки за</w:t>
            </w:r>
            <w:r w:rsidR="002856AF" w:rsidRPr="00A81F46">
              <w:rPr>
                <w:rFonts w:ascii="Times New Roman" w:eastAsia="Times New Roman" w:hAnsi="Times New Roman" w:cs="Times New Roman"/>
                <w:bCs/>
                <w:sz w:val="24"/>
                <w:szCs w:val="24"/>
              </w:rPr>
              <w:t xml:space="preserve"> изграждане на центрове за</w:t>
            </w:r>
            <w:r w:rsidRPr="00A81F46">
              <w:rPr>
                <w:rFonts w:ascii="Times New Roman" w:eastAsia="Times New Roman" w:hAnsi="Times New Roman" w:cs="Times New Roman"/>
                <w:bCs/>
                <w:sz w:val="24"/>
                <w:szCs w:val="24"/>
              </w:rPr>
              <w:t xml:space="preserve"> подготовка </w:t>
            </w:r>
            <w:r w:rsidR="003327E4" w:rsidRPr="00A81F46">
              <w:rPr>
                <w:rFonts w:ascii="Times New Roman" w:eastAsia="Times New Roman" w:hAnsi="Times New Roman" w:cs="Times New Roman"/>
                <w:bCs/>
                <w:sz w:val="24"/>
                <w:szCs w:val="24"/>
              </w:rPr>
              <w:t>за повторна употреба и поправка;</w:t>
            </w:r>
          </w:p>
          <w:p w14:paraId="72FEC285" w14:textId="5D553B48" w:rsidR="003327E4" w:rsidRPr="00BC67E7" w:rsidRDefault="00536758" w:rsidP="00175299">
            <w:pPr>
              <w:pStyle w:val="ListParagraph"/>
              <w:numPr>
                <w:ilvl w:val="0"/>
                <w:numId w:val="54"/>
              </w:numPr>
              <w:spacing w:before="120" w:after="120"/>
              <w:jc w:val="both"/>
              <w:rPr>
                <w:rFonts w:ascii="Times New Roman" w:eastAsia="Times New Roman" w:hAnsi="Times New Roman" w:cs="Times New Roman"/>
                <w:bCs/>
                <w:sz w:val="24"/>
                <w:szCs w:val="24"/>
              </w:rPr>
            </w:pPr>
            <w:r w:rsidRPr="0021158C">
              <w:rPr>
                <w:rFonts w:ascii="Times New Roman" w:eastAsia="Times New Roman" w:hAnsi="Times New Roman" w:cs="Times New Roman"/>
                <w:bCs/>
                <w:sz w:val="24"/>
                <w:szCs w:val="24"/>
              </w:rPr>
              <w:t xml:space="preserve">Мерки за рециклиране </w:t>
            </w:r>
            <w:r w:rsidR="003327E4" w:rsidRPr="0021158C">
              <w:rPr>
                <w:rFonts w:ascii="Times New Roman" w:eastAsia="Times New Roman" w:hAnsi="Times New Roman" w:cs="Times New Roman"/>
                <w:bCs/>
                <w:sz w:val="24"/>
                <w:szCs w:val="24"/>
              </w:rPr>
              <w:t>на отпадъците</w:t>
            </w:r>
            <w:r w:rsidR="00B819DB" w:rsidRPr="0021158C">
              <w:rPr>
                <w:rFonts w:ascii="Times New Roman" w:eastAsia="Times New Roman" w:hAnsi="Times New Roman" w:cs="Times New Roman"/>
                <w:bCs/>
                <w:sz w:val="24"/>
                <w:szCs w:val="24"/>
                <w:lang w:val="en-US"/>
              </w:rPr>
              <w:t xml:space="preserve"> </w:t>
            </w:r>
            <w:r w:rsidR="00083D7C">
              <w:rPr>
                <w:rFonts w:ascii="Times New Roman" w:eastAsia="Times New Roman" w:hAnsi="Times New Roman" w:cs="Times New Roman"/>
                <w:bCs/>
                <w:sz w:val="24"/>
                <w:szCs w:val="24"/>
              </w:rPr>
              <w:t>–</w:t>
            </w:r>
            <w:r w:rsidR="00041035" w:rsidRPr="00BC67E7">
              <w:rPr>
                <w:rFonts w:ascii="Times New Roman" w:eastAsia="Times New Roman" w:hAnsi="Times New Roman" w:cs="Times New Roman"/>
                <w:bCs/>
                <w:sz w:val="24"/>
                <w:szCs w:val="24"/>
              </w:rPr>
              <w:t xml:space="preserve"> допустими в комбинация и</w:t>
            </w:r>
            <w:r w:rsidR="00175299" w:rsidRPr="00BC67E7">
              <w:rPr>
                <w:rFonts w:ascii="Times New Roman" w:eastAsia="Times New Roman" w:hAnsi="Times New Roman" w:cs="Times New Roman"/>
                <w:bCs/>
                <w:sz w:val="24"/>
                <w:szCs w:val="24"/>
              </w:rPr>
              <w:t xml:space="preserve"> </w:t>
            </w:r>
            <w:r w:rsidR="00B819DB" w:rsidRPr="00584F2A">
              <w:rPr>
                <w:rFonts w:ascii="Times New Roman" w:eastAsia="Times New Roman" w:hAnsi="Times New Roman" w:cs="Times New Roman"/>
                <w:bCs/>
                <w:sz w:val="24"/>
                <w:szCs w:val="24"/>
              </w:rPr>
              <w:t>с разделно събиране и предварително третиране</w:t>
            </w:r>
            <w:r w:rsidR="003327E4" w:rsidRPr="00BC67E7">
              <w:rPr>
                <w:rFonts w:ascii="Times New Roman" w:eastAsia="Times New Roman" w:hAnsi="Times New Roman" w:cs="Times New Roman"/>
                <w:bCs/>
                <w:sz w:val="24"/>
                <w:szCs w:val="24"/>
              </w:rPr>
              <w:t xml:space="preserve">; </w:t>
            </w:r>
          </w:p>
          <w:p w14:paraId="3279708A" w14:textId="29D02F05" w:rsidR="003327E4" w:rsidRPr="008C2D1E" w:rsidRDefault="003327E4"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BC67E7">
              <w:rPr>
                <w:rFonts w:ascii="Times New Roman" w:eastAsia="Times New Roman" w:hAnsi="Times New Roman" w:cs="Times New Roman"/>
                <w:bCs/>
                <w:sz w:val="24"/>
                <w:szCs w:val="24"/>
              </w:rPr>
              <w:t>Изграждане, разширяване и/или надграждане</w:t>
            </w:r>
            <w:r w:rsidRPr="008C2D1E">
              <w:rPr>
                <w:rFonts w:ascii="Times New Roman" w:eastAsia="Times New Roman" w:hAnsi="Times New Roman" w:cs="Times New Roman"/>
                <w:bCs/>
                <w:sz w:val="24"/>
                <w:szCs w:val="24"/>
              </w:rPr>
              <w:t xml:space="preserve"> на </w:t>
            </w:r>
            <w:r w:rsidR="002856AF" w:rsidRPr="002D3707">
              <w:rPr>
                <w:rFonts w:ascii="Times New Roman" w:eastAsia="Times New Roman" w:hAnsi="Times New Roman" w:cs="Times New Roman"/>
                <w:bCs/>
                <w:sz w:val="24"/>
                <w:szCs w:val="24"/>
              </w:rPr>
              <w:t>общински/регионални</w:t>
            </w:r>
            <w:r w:rsidR="002856AF" w:rsidRPr="008C2D1E">
              <w:rPr>
                <w:rFonts w:ascii="Times New Roman" w:eastAsia="Times New Roman" w:hAnsi="Times New Roman" w:cs="Times New Roman"/>
                <w:bCs/>
                <w:sz w:val="24"/>
                <w:szCs w:val="24"/>
              </w:rPr>
              <w:t xml:space="preserve"> </w:t>
            </w:r>
            <w:r w:rsidRPr="008C2D1E">
              <w:rPr>
                <w:rFonts w:ascii="Times New Roman" w:eastAsia="Times New Roman" w:hAnsi="Times New Roman" w:cs="Times New Roman"/>
                <w:bCs/>
                <w:sz w:val="24"/>
                <w:szCs w:val="24"/>
              </w:rPr>
              <w:t>систем</w:t>
            </w:r>
            <w:r w:rsidR="002856AF" w:rsidRPr="008C2D1E">
              <w:rPr>
                <w:rFonts w:ascii="Times New Roman" w:eastAsia="Times New Roman" w:hAnsi="Times New Roman" w:cs="Times New Roman"/>
                <w:bCs/>
                <w:sz w:val="24"/>
                <w:szCs w:val="24"/>
              </w:rPr>
              <w:t>и</w:t>
            </w:r>
            <w:r w:rsidRPr="008C2D1E">
              <w:rPr>
                <w:rFonts w:ascii="Times New Roman" w:eastAsia="Times New Roman" w:hAnsi="Times New Roman" w:cs="Times New Roman"/>
                <w:bCs/>
                <w:sz w:val="24"/>
                <w:szCs w:val="24"/>
              </w:rPr>
              <w:t xml:space="preserve"> за разделно събиране на отпадъци</w:t>
            </w:r>
            <w:r w:rsidR="002856AF" w:rsidRPr="008C2D1E">
              <w:rPr>
                <w:rFonts w:ascii="Times New Roman" w:eastAsia="Times New Roman" w:hAnsi="Times New Roman" w:cs="Times New Roman"/>
                <w:bCs/>
                <w:sz w:val="24"/>
                <w:szCs w:val="24"/>
              </w:rPr>
              <w:t xml:space="preserve"> и/или за рециклиране на разделно събрани отпадъци</w:t>
            </w:r>
            <w:r w:rsidR="002856AF" w:rsidRPr="00DF6E64">
              <w:t xml:space="preserve"> </w:t>
            </w:r>
            <w:r w:rsidR="002856AF" w:rsidRPr="008C2D1E">
              <w:rPr>
                <w:rFonts w:ascii="Times New Roman" w:eastAsia="Times New Roman" w:hAnsi="Times New Roman" w:cs="Times New Roman"/>
                <w:bCs/>
                <w:sz w:val="24"/>
                <w:szCs w:val="24"/>
              </w:rPr>
              <w:t>за постигане на целите за 2030</w:t>
            </w:r>
            <w:r w:rsidR="00CE7C00" w:rsidRPr="002D3707">
              <w:rPr>
                <w:rFonts w:ascii="Times New Roman" w:eastAsia="Times New Roman" w:hAnsi="Times New Roman" w:cs="Times New Roman"/>
                <w:bCs/>
                <w:sz w:val="24"/>
                <w:szCs w:val="24"/>
              </w:rPr>
              <w:t>-2035</w:t>
            </w:r>
            <w:r w:rsidR="002856AF" w:rsidRPr="008C2D1E">
              <w:rPr>
                <w:rFonts w:ascii="Times New Roman" w:eastAsia="Times New Roman" w:hAnsi="Times New Roman" w:cs="Times New Roman"/>
                <w:bCs/>
                <w:sz w:val="24"/>
                <w:szCs w:val="24"/>
              </w:rPr>
              <w:t xml:space="preserve"> г. за рециклиране и намаляване количествата на депонираните битови отпадъци</w:t>
            </w:r>
            <w:r w:rsidRPr="008C2D1E">
              <w:rPr>
                <w:rFonts w:ascii="Times New Roman" w:eastAsia="Times New Roman" w:hAnsi="Times New Roman" w:cs="Times New Roman"/>
                <w:bCs/>
                <w:sz w:val="24"/>
                <w:szCs w:val="24"/>
              </w:rPr>
              <w:t xml:space="preserve">; </w:t>
            </w:r>
          </w:p>
          <w:p w14:paraId="790C45BC" w14:textId="38BDA43B" w:rsidR="009270E8" w:rsidRPr="00171DED" w:rsidRDefault="009270E8"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Модели за оптимизиране на процеса на управление на битовите отпадъци от общините в България и тестването им в три регионални системи за управление на отпадъците;</w:t>
            </w:r>
          </w:p>
          <w:p w14:paraId="08FB5057" w14:textId="0F6474F6" w:rsidR="00CE0207" w:rsidRPr="00171DED" w:rsidRDefault="004F55B6"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Повишаване </w:t>
            </w:r>
            <w:r w:rsidR="004E0162" w:rsidRPr="00171DED">
              <w:rPr>
                <w:rFonts w:ascii="Times New Roman" w:eastAsia="Times New Roman" w:hAnsi="Times New Roman" w:cs="Times New Roman"/>
                <w:bCs/>
                <w:sz w:val="24"/>
                <w:szCs w:val="24"/>
              </w:rPr>
              <w:t>на осведомеността</w:t>
            </w:r>
            <w:r w:rsidR="00EB20BB" w:rsidRPr="00171DED">
              <w:rPr>
                <w:rFonts w:ascii="Times New Roman" w:eastAsia="Times New Roman" w:hAnsi="Times New Roman" w:cs="Times New Roman"/>
                <w:bCs/>
                <w:sz w:val="24"/>
                <w:szCs w:val="24"/>
              </w:rPr>
              <w:t xml:space="preserve"> </w:t>
            </w:r>
            <w:r w:rsidR="004E0162" w:rsidRPr="00171DED">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171DED">
              <w:rPr>
                <w:rFonts w:ascii="Times New Roman" w:eastAsia="Times New Roman" w:hAnsi="Times New Roman" w:cs="Times New Roman"/>
                <w:bCs/>
                <w:sz w:val="24"/>
                <w:szCs w:val="24"/>
              </w:rPr>
              <w:t xml:space="preserve"> кръговата икономика, мониторинга на отпадъците</w:t>
            </w:r>
            <w:r w:rsidR="004E0162" w:rsidRPr="00171DED">
              <w:rPr>
                <w:rFonts w:ascii="Times New Roman" w:eastAsia="Times New Roman" w:hAnsi="Times New Roman" w:cs="Times New Roman"/>
                <w:bCs/>
                <w:sz w:val="24"/>
                <w:szCs w:val="24"/>
              </w:rPr>
              <w:t xml:space="preserve"> както и </w:t>
            </w:r>
            <w:r w:rsidR="0081478D" w:rsidRPr="00171DED">
              <w:rPr>
                <w:rFonts w:ascii="Times New Roman" w:eastAsia="Times New Roman" w:hAnsi="Times New Roman" w:cs="Times New Roman"/>
                <w:bCs/>
                <w:sz w:val="24"/>
                <w:szCs w:val="24"/>
              </w:rPr>
              <w:t xml:space="preserve">информационни и разяснителни кампании за </w:t>
            </w:r>
            <w:r w:rsidR="00CD4A68" w:rsidRPr="00171DED">
              <w:rPr>
                <w:rFonts w:ascii="Times New Roman" w:eastAsia="Times New Roman" w:hAnsi="Times New Roman" w:cs="Times New Roman"/>
                <w:bCs/>
                <w:sz w:val="24"/>
                <w:szCs w:val="24"/>
              </w:rPr>
              <w:t xml:space="preserve">заинтересованите страни </w:t>
            </w:r>
            <w:r w:rsidR="0081478D" w:rsidRPr="00171DED">
              <w:rPr>
                <w:rFonts w:ascii="Times New Roman" w:eastAsia="Times New Roman" w:hAnsi="Times New Roman" w:cs="Times New Roman"/>
                <w:bCs/>
                <w:sz w:val="24"/>
                <w:szCs w:val="24"/>
              </w:rPr>
              <w:t>и населението</w:t>
            </w:r>
            <w:r w:rsidR="002856AF" w:rsidRPr="00171DED">
              <w:rPr>
                <w:rFonts w:ascii="Times New Roman" w:eastAsia="Times New Roman" w:hAnsi="Times New Roman" w:cs="Times New Roman"/>
                <w:bCs/>
                <w:sz w:val="24"/>
                <w:szCs w:val="24"/>
              </w:rPr>
              <w:t>;</w:t>
            </w:r>
          </w:p>
          <w:p w14:paraId="5D80D194" w14:textId="71330DE2" w:rsidR="004E0162" w:rsidRPr="008C2D1E" w:rsidRDefault="00CE0207"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8C2D1E">
              <w:rPr>
                <w:rFonts w:ascii="Times New Roman" w:eastAsia="Times New Roman" w:hAnsi="Times New Roman" w:cs="Times New Roman"/>
                <w:bCs/>
                <w:sz w:val="24"/>
                <w:szCs w:val="24"/>
              </w:rPr>
              <w:t xml:space="preserve">Други мерки, идентифицирани в </w:t>
            </w:r>
            <w:r w:rsidR="009270E8" w:rsidRPr="008C2D1E">
              <w:rPr>
                <w:rFonts w:ascii="Times New Roman" w:eastAsia="Times New Roman" w:hAnsi="Times New Roman" w:cs="Times New Roman"/>
                <w:bCs/>
                <w:sz w:val="24"/>
                <w:szCs w:val="24"/>
              </w:rPr>
              <w:t>Н</w:t>
            </w:r>
            <w:r w:rsidR="005B4990" w:rsidRPr="008C2D1E">
              <w:rPr>
                <w:rFonts w:ascii="Times New Roman" w:eastAsia="Times New Roman" w:hAnsi="Times New Roman" w:cs="Times New Roman"/>
                <w:bCs/>
                <w:sz w:val="24"/>
                <w:szCs w:val="24"/>
              </w:rPr>
              <w:t xml:space="preserve">ПУО </w:t>
            </w:r>
            <w:r w:rsidR="009270E8" w:rsidRPr="008C2D1E">
              <w:rPr>
                <w:rFonts w:ascii="Times New Roman" w:eastAsia="Times New Roman" w:hAnsi="Times New Roman" w:cs="Times New Roman"/>
                <w:noProof/>
                <w:sz w:val="24"/>
                <w:szCs w:val="20"/>
              </w:rPr>
              <w:t>2021-202</w:t>
            </w:r>
            <w:r w:rsidR="00DA4B81" w:rsidRPr="008C2D1E">
              <w:rPr>
                <w:rFonts w:ascii="Times New Roman" w:eastAsia="Times New Roman" w:hAnsi="Times New Roman" w:cs="Times New Roman"/>
                <w:noProof/>
                <w:sz w:val="24"/>
                <w:szCs w:val="20"/>
              </w:rPr>
              <w:t>8</w:t>
            </w:r>
            <w:r w:rsidR="009270E8" w:rsidRPr="008C2D1E">
              <w:rPr>
                <w:rFonts w:ascii="Times New Roman" w:eastAsia="Times New Roman" w:hAnsi="Times New Roman" w:cs="Times New Roman"/>
                <w:noProof/>
                <w:sz w:val="24"/>
                <w:szCs w:val="20"/>
              </w:rPr>
              <w:t xml:space="preserve"> г.</w:t>
            </w:r>
            <w:r w:rsidRPr="008C2D1E">
              <w:rPr>
                <w:rFonts w:ascii="Times New Roman" w:eastAsia="Times New Roman" w:hAnsi="Times New Roman" w:cs="Times New Roman"/>
                <w:bCs/>
                <w:sz w:val="24"/>
                <w:szCs w:val="24"/>
              </w:rPr>
              <w:t xml:space="preserve"> и </w:t>
            </w:r>
            <w:r w:rsidR="009270E8" w:rsidRPr="008C2D1E">
              <w:rPr>
                <w:rFonts w:ascii="Times New Roman" w:eastAsia="Times New Roman" w:hAnsi="Times New Roman" w:cs="Times New Roman"/>
                <w:bCs/>
                <w:sz w:val="24"/>
                <w:szCs w:val="24"/>
              </w:rPr>
              <w:t>в Стратегията и плана за действие за преход към кръговата икономика на Република България за периода 2021 – 2027 г.</w:t>
            </w:r>
            <w:r w:rsidRPr="008C2D1E">
              <w:rPr>
                <w:rFonts w:ascii="Times New Roman" w:eastAsia="Times New Roman" w:hAnsi="Times New Roman" w:cs="Times New Roman"/>
                <w:bCs/>
                <w:sz w:val="24"/>
                <w:szCs w:val="24"/>
              </w:rPr>
              <w:t>, изпълнението на които ще има допълващ принос за постигане целите към 2030</w:t>
            </w:r>
            <w:r w:rsidR="00CE7C00" w:rsidRPr="007F6471">
              <w:rPr>
                <w:rFonts w:ascii="Times New Roman" w:eastAsia="Times New Roman" w:hAnsi="Times New Roman" w:cs="Times New Roman"/>
                <w:bCs/>
                <w:sz w:val="24"/>
                <w:szCs w:val="24"/>
              </w:rPr>
              <w:t>-2035</w:t>
            </w:r>
            <w:r w:rsidRPr="008C2D1E">
              <w:rPr>
                <w:rFonts w:ascii="Times New Roman" w:eastAsia="Times New Roman" w:hAnsi="Times New Roman" w:cs="Times New Roman"/>
                <w:bCs/>
                <w:sz w:val="24"/>
                <w:szCs w:val="24"/>
              </w:rPr>
              <w:t xml:space="preserve"> г</w:t>
            </w:r>
            <w:r w:rsidR="004E0162" w:rsidRPr="008C2D1E">
              <w:rPr>
                <w:rFonts w:ascii="Times New Roman" w:eastAsia="Times New Roman" w:hAnsi="Times New Roman" w:cs="Times New Roman"/>
                <w:bCs/>
                <w:sz w:val="24"/>
                <w:szCs w:val="24"/>
              </w:rPr>
              <w:t>.</w:t>
            </w:r>
          </w:p>
          <w:p w14:paraId="56955A69" w14:textId="6C39E377" w:rsidR="00CA46A5" w:rsidRDefault="00580FC3"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Мерките са насочени</w:t>
            </w:r>
            <w:r w:rsidR="003F4B8A" w:rsidRPr="00171DED">
              <w:rPr>
                <w:rFonts w:ascii="Times New Roman" w:eastAsia="Calibri" w:hAnsi="Times New Roman" w:cs="Times New Roman"/>
                <w:noProof/>
                <w:sz w:val="24"/>
                <w:szCs w:val="20"/>
              </w:rPr>
              <w:t xml:space="preserve"> </w:t>
            </w:r>
            <w:r w:rsidR="00B819DB" w:rsidRPr="007F6471">
              <w:rPr>
                <w:rFonts w:ascii="Times New Roman" w:hAnsi="Times New Roman" w:cs="Times New Roman"/>
                <w:sz w:val="24"/>
                <w:szCs w:val="24"/>
              </w:rPr>
              <w:t>към отпадъците в приложното поле на Закона за управление на отпадъците</w:t>
            </w:r>
            <w:r w:rsidR="00B819DB" w:rsidRPr="007F6471">
              <w:rPr>
                <w:rFonts w:ascii="Times New Roman" w:eastAsia="Calibri" w:hAnsi="Times New Roman" w:cs="Times New Roman"/>
                <w:noProof/>
                <w:sz w:val="24"/>
                <w:szCs w:val="20"/>
              </w:rPr>
              <w:t xml:space="preserve"> (битови, производствени, строителни и опасни) и целят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Приоритет са мерките, насочени</w:t>
            </w:r>
            <w:r w:rsidRPr="007F6471">
              <w:rPr>
                <w:rFonts w:ascii="Times New Roman" w:eastAsia="Calibri" w:hAnsi="Times New Roman" w:cs="Times New Roman"/>
                <w:noProof/>
                <w:sz w:val="24"/>
                <w:szCs w:val="20"/>
              </w:rPr>
              <w:t xml:space="preserve"> към битови</w:t>
            </w:r>
            <w:r w:rsidR="00B819DB" w:rsidRPr="007F6471">
              <w:rPr>
                <w:rFonts w:ascii="Times New Roman" w:eastAsia="Calibri" w:hAnsi="Times New Roman" w:cs="Times New Roman"/>
                <w:noProof/>
                <w:sz w:val="24"/>
                <w:szCs w:val="20"/>
              </w:rPr>
              <w:t>те</w:t>
            </w:r>
            <w:r w:rsidRPr="007F6471">
              <w:rPr>
                <w:rFonts w:ascii="Times New Roman" w:eastAsia="Calibri" w:hAnsi="Times New Roman" w:cs="Times New Roman"/>
                <w:noProof/>
                <w:sz w:val="24"/>
                <w:szCs w:val="20"/>
              </w:rPr>
              <w:t xml:space="preserve"> отпадъци</w:t>
            </w:r>
            <w:r w:rsidR="00AF2C5D">
              <w:rPr>
                <w:rFonts w:ascii="Times New Roman" w:eastAsia="Calibri" w:hAnsi="Times New Roman" w:cs="Times New Roman"/>
                <w:noProof/>
                <w:sz w:val="24"/>
                <w:szCs w:val="20"/>
              </w:rPr>
              <w:t>, тъй като тяхното управление е в задълженията на общините</w:t>
            </w:r>
            <w:r w:rsidR="00352BD6" w:rsidRPr="00171DED">
              <w:rPr>
                <w:rFonts w:ascii="Times New Roman" w:eastAsia="Calibri" w:hAnsi="Times New Roman" w:cs="Times New Roman"/>
                <w:noProof/>
                <w:sz w:val="24"/>
                <w:szCs w:val="20"/>
              </w:rPr>
              <w:t xml:space="preserve"> (</w:t>
            </w:r>
            <w:r w:rsidR="00AF2C5D">
              <w:rPr>
                <w:rFonts w:ascii="Times New Roman" w:eastAsia="Calibri" w:hAnsi="Times New Roman" w:cs="Times New Roman"/>
                <w:noProof/>
                <w:sz w:val="24"/>
                <w:szCs w:val="20"/>
              </w:rPr>
              <w:t xml:space="preserve">„битови отпадъци“ </w:t>
            </w:r>
            <w:r w:rsidR="00352BD6" w:rsidRPr="00171DED">
              <w:rPr>
                <w:rFonts w:ascii="Times New Roman" w:eastAsia="Calibri" w:hAnsi="Times New Roman" w:cs="Times New Roman"/>
                <w:noProof/>
                <w:sz w:val="24"/>
                <w:szCs w:val="20"/>
              </w:rPr>
              <w:t>съгласно определението по чл. 3, параграф 2б от Директива 2008/98/ЕО относно отпадъците и за отмяна на определени директиви, изменена с Директива</w:t>
            </w:r>
            <w:r w:rsidR="00DF5919" w:rsidRPr="00171DED">
              <w:rPr>
                <w:rFonts w:ascii="Times New Roman" w:eastAsia="Calibri" w:hAnsi="Times New Roman" w:cs="Times New Roman"/>
                <w:noProof/>
                <w:sz w:val="24"/>
                <w:szCs w:val="20"/>
              </w:rPr>
              <w:t xml:space="preserve"> (ЕС)</w:t>
            </w:r>
            <w:r w:rsidR="00352BD6" w:rsidRPr="00171DED">
              <w:rPr>
                <w:rFonts w:ascii="Times New Roman" w:eastAsia="Calibri" w:hAnsi="Times New Roman" w:cs="Times New Roman"/>
                <w:noProof/>
                <w:sz w:val="24"/>
                <w:szCs w:val="20"/>
              </w:rPr>
              <w:t xml:space="preserve"> 2018/851</w:t>
            </w:r>
            <w:r w:rsidR="00CE7C00" w:rsidRPr="0010575B">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i/>
                <w:iCs/>
                <w:noProof/>
                <w:sz w:val="24"/>
                <w:szCs w:val="20"/>
              </w:rPr>
              <w:t>с изключение на</w:t>
            </w:r>
            <w:r w:rsidR="00CE7C00" w:rsidRPr="00E83BDA">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i/>
                <w:iCs/>
                <w:noProof/>
                <w:sz w:val="24"/>
                <w:szCs w:val="20"/>
              </w:rPr>
              <w:t>отпадъците от опаковки, от електрическо и електронно оборудване, от батерии и акумулатори, от текстил</w:t>
            </w:r>
            <w:r w:rsidR="00CE7C00" w:rsidRPr="00E83BDA">
              <w:rPr>
                <w:rFonts w:ascii="Times New Roman" w:eastAsia="Calibri" w:hAnsi="Times New Roman" w:cs="Times New Roman"/>
                <w:noProof/>
                <w:sz w:val="24"/>
                <w:szCs w:val="20"/>
              </w:rPr>
              <w:t>)</w:t>
            </w:r>
            <w:r w:rsidR="007F6471">
              <w:rPr>
                <w:rFonts w:ascii="Times New Roman" w:eastAsia="Calibri" w:hAnsi="Times New Roman" w:cs="Times New Roman"/>
                <w:noProof/>
                <w:sz w:val="24"/>
                <w:szCs w:val="20"/>
              </w:rPr>
              <w:t>.</w:t>
            </w:r>
            <w:r w:rsidR="00C01FE7" w:rsidRPr="00171DED">
              <w:rPr>
                <w:rFonts w:ascii="Times New Roman" w:eastAsia="Calibri" w:hAnsi="Times New Roman" w:cs="Times New Roman"/>
                <w:noProof/>
                <w:sz w:val="24"/>
                <w:szCs w:val="20"/>
              </w:rPr>
              <w:t xml:space="preserve"> </w:t>
            </w:r>
          </w:p>
          <w:p w14:paraId="05D3EC52" w14:textId="3ABBE06A" w:rsidR="00B819DB" w:rsidRDefault="003F4B8A"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Мерките за инфраструктура за управление на битови отпадъци се фокусират главно върху региони, които трябва да завършат своите системи за управление на отпадъците, за да постигнат нормативните цели на регионално ниво до 2030</w:t>
            </w:r>
            <w:r w:rsidR="00B819DB" w:rsidRPr="002127B4">
              <w:rPr>
                <w:rFonts w:ascii="Times New Roman" w:eastAsia="Calibri" w:hAnsi="Times New Roman" w:cs="Times New Roman"/>
                <w:noProof/>
                <w:sz w:val="24"/>
                <w:szCs w:val="20"/>
              </w:rPr>
              <w:t>-2035</w:t>
            </w:r>
            <w:r w:rsidRPr="00171DED">
              <w:rPr>
                <w:rFonts w:ascii="Times New Roman" w:eastAsia="Calibri" w:hAnsi="Times New Roman" w:cs="Times New Roman"/>
                <w:noProof/>
                <w:sz w:val="24"/>
                <w:szCs w:val="20"/>
              </w:rPr>
              <w:t xml:space="preserve"> г., вкл. но не само изграждане на съоръжения за рециклиране и разделно събиране на отпадъци; липсващи инсталации за предварителна преработка на смесени битови отпадъци или такива с необходимост от надграждане с допълнителна секция за стабилизиране на органичната фракция</w:t>
            </w:r>
            <w:r w:rsidRPr="002421EB">
              <w:rPr>
                <w:rFonts w:ascii="Times New Roman" w:eastAsia="Calibri" w:hAnsi="Times New Roman" w:cs="Times New Roman"/>
                <w:noProof/>
                <w:sz w:val="24"/>
                <w:szCs w:val="20"/>
              </w:rPr>
              <w:t>.</w:t>
            </w:r>
            <w:r w:rsidR="00CC0996" w:rsidRPr="002421EB">
              <w:rPr>
                <w:rFonts w:ascii="Times New Roman" w:eastAsia="Calibri" w:hAnsi="Times New Roman" w:cs="Times New Roman"/>
                <w:noProof/>
                <w:sz w:val="24"/>
                <w:szCs w:val="20"/>
              </w:rPr>
              <w:t xml:space="preserve"> </w:t>
            </w:r>
            <w:r w:rsidR="00B819DB" w:rsidRPr="001F7885">
              <w:rPr>
                <w:rFonts w:ascii="Times New Roman" w:eastAsia="Calibri" w:hAnsi="Times New Roman" w:cs="Times New Roman"/>
                <w:noProof/>
                <w:sz w:val="24"/>
                <w:szCs w:val="20"/>
              </w:rPr>
              <w:t>П</w:t>
            </w:r>
            <w:r w:rsidR="001F7885" w:rsidRPr="001F7885">
              <w:rPr>
                <w:rFonts w:ascii="Times New Roman" w:eastAsia="Calibri" w:hAnsi="Times New Roman" w:cs="Times New Roman"/>
                <w:noProof/>
                <w:sz w:val="24"/>
                <w:szCs w:val="20"/>
              </w:rPr>
              <w:t>одкрепа</w:t>
            </w:r>
            <w:r w:rsidR="00B819DB" w:rsidRPr="001F7885">
              <w:rPr>
                <w:rFonts w:ascii="Times New Roman" w:eastAsia="Calibri" w:hAnsi="Times New Roman" w:cs="Times New Roman"/>
                <w:noProof/>
                <w:sz w:val="24"/>
                <w:szCs w:val="20"/>
              </w:rPr>
              <w:t xml:space="preserve"> ще се дава на тези региони за управление на отпадъците, чиито потребности за доизграждане/надграждане на инфраструктура е идентифицирана в НПУО 2021-2028 г.</w:t>
            </w:r>
          </w:p>
          <w:p w14:paraId="31247904" w14:textId="54EB3A22" w:rsidR="00B819DB" w:rsidRPr="00B819DB" w:rsidRDefault="00B819DB" w:rsidP="00083D7C">
            <w:pPr>
              <w:spacing w:before="120" w:after="120"/>
              <w:jc w:val="both"/>
              <w:rPr>
                <w:rFonts w:ascii="Times New Roman" w:eastAsia="Calibri" w:hAnsi="Times New Roman" w:cs="Times New Roman"/>
                <w:noProof/>
                <w:sz w:val="24"/>
                <w:szCs w:val="20"/>
                <w:lang w:val="en-US" w:eastAsia="en-US" w:bidi="ar-SA"/>
              </w:rPr>
            </w:pPr>
            <w:r w:rsidRPr="00584F2A">
              <w:rPr>
                <w:rFonts w:ascii="Times New Roman" w:eastAsia="Calibri" w:hAnsi="Times New Roman" w:cs="Times New Roman"/>
                <w:noProof/>
                <w:sz w:val="24"/>
                <w:szCs w:val="20"/>
              </w:rPr>
              <w:t xml:space="preserve">Мерките за рециклиране на отпадъци, извършвани от рециклиращи предприятия, не се отнасят за отпадъци, образувани от собственото производство на тези предприятия. </w:t>
            </w:r>
            <w:r w:rsidRPr="00B819DB">
              <w:rPr>
                <w:rFonts w:ascii="Times New Roman" w:eastAsia="Calibri" w:hAnsi="Times New Roman" w:cs="Times New Roman"/>
                <w:strike/>
                <w:noProof/>
                <w:sz w:val="24"/>
                <w:szCs w:val="20"/>
                <w:highlight w:val="cyan"/>
                <w:lang w:val="en-US" w:eastAsia="en-US" w:bidi="ar-SA"/>
              </w:rPr>
              <w:t xml:space="preserve"> </w:t>
            </w:r>
            <w:r w:rsidRPr="00584F2A">
              <w:rPr>
                <w:rFonts w:ascii="Times New Roman" w:eastAsia="Calibri" w:hAnsi="Times New Roman" w:cs="Times New Roman"/>
                <w:noProof/>
                <w:sz w:val="24"/>
                <w:szCs w:val="20"/>
              </w:rPr>
              <w:t xml:space="preserve">Мерките са допустими и в комбинация с дейности по предварително третиране и/или по разделно събиране на отпадъците, които ще бъдат рециклирани. </w:t>
            </w:r>
            <w:r w:rsidR="0053691C" w:rsidRPr="00584F2A">
              <w:rPr>
                <w:rFonts w:ascii="Times New Roman" w:eastAsia="Calibri" w:hAnsi="Times New Roman" w:cs="Times New Roman"/>
                <w:noProof/>
                <w:sz w:val="24"/>
                <w:szCs w:val="20"/>
              </w:rPr>
              <w:t xml:space="preserve">Ще </w:t>
            </w:r>
            <w:r w:rsidRPr="00584F2A">
              <w:rPr>
                <w:rFonts w:ascii="Times New Roman" w:eastAsia="Calibri" w:hAnsi="Times New Roman" w:cs="Times New Roman"/>
                <w:noProof/>
                <w:sz w:val="24"/>
                <w:szCs w:val="20"/>
              </w:rPr>
              <w:t xml:space="preserve">бъдат подкрепяни мерки за </w:t>
            </w:r>
            <w:r w:rsidR="0053691C" w:rsidRPr="00584F2A">
              <w:rPr>
                <w:rFonts w:ascii="Times New Roman" w:eastAsia="Calibri" w:hAnsi="Times New Roman" w:cs="Times New Roman"/>
                <w:iCs/>
                <w:noProof/>
                <w:sz w:val="24"/>
                <w:szCs w:val="20"/>
              </w:rPr>
              <w:t xml:space="preserve">осигуряване на разделно събиране на отпадъци в индустриални зони в </w:t>
            </w:r>
            <w:r w:rsidR="0053691C" w:rsidRPr="00584F2A">
              <w:rPr>
                <w:rFonts w:ascii="Times New Roman" w:eastAsia="Calibri" w:hAnsi="Times New Roman" w:cs="Times New Roman"/>
                <w:iCs/>
                <w:noProof/>
                <w:sz w:val="24"/>
                <w:szCs w:val="20"/>
              </w:rPr>
              <w:lastRenderedPageBreak/>
              <w:t>комбинация, при необходимост, с рециклиране</w:t>
            </w:r>
            <w:r w:rsidR="002A4A47" w:rsidRPr="00584F2A">
              <w:rPr>
                <w:rFonts w:ascii="Times New Roman" w:eastAsia="Calibri" w:hAnsi="Times New Roman" w:cs="Times New Roman"/>
                <w:noProof/>
                <w:sz w:val="24"/>
                <w:szCs w:val="20"/>
              </w:rPr>
              <w:t xml:space="preserve"> (</w:t>
            </w:r>
            <w:r w:rsidR="0053691C" w:rsidRPr="00584F2A">
              <w:rPr>
                <w:rFonts w:ascii="Times New Roman" w:eastAsia="Calibri" w:hAnsi="Times New Roman" w:cs="Times New Roman"/>
                <w:iCs/>
                <w:noProof/>
                <w:sz w:val="24"/>
                <w:szCs w:val="20"/>
              </w:rPr>
              <w:t xml:space="preserve">с изключение на производствени и опасни отпадъци, отпадъци от опаковки, от електрическо и електронно оборудване, от батерии и акумулатори, от текстил, </w:t>
            </w:r>
            <w:r w:rsidR="002A4A47" w:rsidRPr="00584F2A">
              <w:rPr>
                <w:rFonts w:ascii="Times New Roman" w:eastAsia="Calibri" w:hAnsi="Times New Roman" w:cs="Times New Roman"/>
                <w:noProof/>
                <w:sz w:val="24"/>
                <w:szCs w:val="20"/>
              </w:rPr>
              <w:t xml:space="preserve">които ще се подкрепят от </w:t>
            </w:r>
            <w:r w:rsidR="00D95B8F" w:rsidRPr="00DB6A2E">
              <w:rPr>
                <w:rFonts w:ascii="Times New Roman" w:eastAsia="Times New Roman" w:hAnsi="Times New Roman" w:cs="Times New Roman"/>
                <w:noProof/>
                <w:sz w:val="24"/>
                <w:szCs w:val="20"/>
              </w:rPr>
              <w:t>Програмата за конкурентоспособност и иновации в предприятията (</w:t>
            </w:r>
            <w:r w:rsidR="002A4A47" w:rsidRPr="00DB6A2E">
              <w:rPr>
                <w:rFonts w:ascii="Times New Roman" w:eastAsia="Calibri" w:hAnsi="Times New Roman" w:cs="Times New Roman"/>
                <w:noProof/>
                <w:sz w:val="24"/>
                <w:szCs w:val="20"/>
              </w:rPr>
              <w:t>ПК</w:t>
            </w:r>
            <w:r w:rsidR="00D95B8F" w:rsidRPr="00DB6A2E">
              <w:rPr>
                <w:rFonts w:ascii="Times New Roman" w:eastAsia="Calibri" w:hAnsi="Times New Roman" w:cs="Times New Roman"/>
                <w:noProof/>
                <w:sz w:val="24"/>
                <w:szCs w:val="20"/>
              </w:rPr>
              <w:t>И</w:t>
            </w:r>
            <w:r w:rsidR="002A4A47" w:rsidRPr="00DB6A2E">
              <w:rPr>
                <w:rFonts w:ascii="Times New Roman" w:eastAsia="Calibri" w:hAnsi="Times New Roman" w:cs="Times New Roman"/>
                <w:noProof/>
                <w:sz w:val="24"/>
                <w:szCs w:val="20"/>
              </w:rPr>
              <w:t>П</w:t>
            </w:r>
            <w:r w:rsidR="00D95B8F" w:rsidRPr="00DB6A2E">
              <w:rPr>
                <w:rFonts w:ascii="Times New Roman" w:eastAsia="Calibri" w:hAnsi="Times New Roman" w:cs="Times New Roman"/>
                <w:noProof/>
                <w:sz w:val="24"/>
                <w:szCs w:val="20"/>
              </w:rPr>
              <w:t>)</w:t>
            </w:r>
            <w:r w:rsidR="002A4A47" w:rsidRPr="00DB6A2E">
              <w:rPr>
                <w:rFonts w:ascii="Times New Roman" w:eastAsia="Calibri" w:hAnsi="Times New Roman" w:cs="Times New Roman"/>
                <w:noProof/>
                <w:sz w:val="24"/>
                <w:szCs w:val="20"/>
              </w:rPr>
              <w:t xml:space="preserve"> 2021 – 2027 </w:t>
            </w:r>
            <w:r w:rsidR="00D95B8F" w:rsidRPr="00DB6A2E">
              <w:rPr>
                <w:rFonts w:ascii="Times New Roman" w:eastAsia="Calibri" w:hAnsi="Times New Roman" w:cs="Times New Roman"/>
                <w:noProof/>
                <w:sz w:val="24"/>
                <w:szCs w:val="20"/>
              </w:rPr>
              <w:t xml:space="preserve">г. </w:t>
            </w:r>
            <w:r w:rsidR="002A4A47" w:rsidRPr="00DB6A2E">
              <w:rPr>
                <w:rFonts w:ascii="Times New Roman" w:eastAsia="Calibri" w:hAnsi="Times New Roman" w:cs="Times New Roman"/>
                <w:noProof/>
                <w:sz w:val="24"/>
                <w:szCs w:val="20"/>
              </w:rPr>
              <w:t xml:space="preserve">и от </w:t>
            </w:r>
            <w:r w:rsidR="004C092D" w:rsidRPr="00DB6A2E">
              <w:rPr>
                <w:rFonts w:ascii="Times New Roman" w:eastAsia="Calibri" w:hAnsi="Times New Roman" w:cs="Times New Roman"/>
                <w:noProof/>
                <w:sz w:val="24"/>
                <w:szCs w:val="20"/>
              </w:rPr>
              <w:t>Плана за възстановяване и устойчивост)</w:t>
            </w:r>
            <w:r w:rsidRPr="00DB6A2E">
              <w:rPr>
                <w:rFonts w:ascii="Times New Roman" w:eastAsia="Calibri" w:hAnsi="Times New Roman" w:cs="Times New Roman"/>
                <w:noProof/>
                <w:sz w:val="24"/>
                <w:szCs w:val="20"/>
              </w:rPr>
              <w:t>.</w:t>
            </w:r>
          </w:p>
          <w:p w14:paraId="50F41BE1" w14:textId="63B9803A" w:rsidR="00B819DB" w:rsidRPr="00510A02" w:rsidRDefault="00B819DB" w:rsidP="003471BF">
            <w:pPr>
              <w:spacing w:before="120" w:after="120"/>
              <w:jc w:val="both"/>
              <w:rPr>
                <w:rFonts w:ascii="Times New Roman" w:eastAsia="Calibri" w:hAnsi="Times New Roman" w:cs="Times New Roman"/>
                <w:noProof/>
                <w:sz w:val="24"/>
                <w:szCs w:val="20"/>
                <w:lang w:val="en-US" w:eastAsia="en-US" w:bidi="ar-SA"/>
              </w:rPr>
            </w:pPr>
            <w:r w:rsidRPr="00510A02">
              <w:rPr>
                <w:rFonts w:ascii="Times New Roman" w:eastAsia="Calibri" w:hAnsi="Times New Roman" w:cs="Times New Roman"/>
                <w:noProof/>
                <w:sz w:val="24"/>
                <w:szCs w:val="20"/>
                <w:lang w:val="en-US" w:eastAsia="en-US" w:bidi="ar-SA"/>
              </w:rPr>
              <w:t>Допустимите</w:t>
            </w:r>
            <w:r w:rsidRPr="00510A02">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510A02">
              <w:rPr>
                <w:rFonts w:ascii="Times New Roman" w:eastAsia="Calibri" w:hAnsi="Times New Roman" w:cs="Times New Roman"/>
                <w:noProof/>
                <w:sz w:val="24"/>
                <w:szCs w:val="20"/>
                <w:vertAlign w:val="superscript"/>
              </w:rPr>
              <w:footnoteReference w:id="9"/>
            </w:r>
            <w:r w:rsidRPr="00510A02">
              <w:rPr>
                <w:rFonts w:ascii="Times New Roman" w:eastAsia="Calibri" w:hAnsi="Times New Roman" w:cs="Times New Roman"/>
                <w:noProof/>
                <w:sz w:val="24"/>
                <w:szCs w:val="20"/>
              </w:rPr>
              <w:t xml:space="preserve"> /лицензионни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510A02">
              <w:rPr>
                <w:rFonts w:ascii="Times New Roman" w:eastAsia="Calibri" w:hAnsi="Times New Roman" w:cs="Times New Roman"/>
                <w:noProof/>
                <w:sz w:val="24"/>
                <w:szCs w:val="20"/>
                <w:lang w:val="en-US" w:eastAsia="en-US" w:bidi="ar-SA"/>
              </w:rPr>
              <w:t>Няма да се подкрепя изграждане на инсталации за изгаряне и/или друго оползотворяване на отпадъци с производство на енергия.</w:t>
            </w:r>
          </w:p>
          <w:p w14:paraId="1CE89507" w14:textId="6B3271D4" w:rsidR="004E7C0C" w:rsidRPr="00171DED" w:rsidRDefault="002755CC"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Мерките ще се изпълняват в допълняемост и демаркация съгласно Н</w:t>
            </w:r>
            <w:r w:rsidR="005B4990">
              <w:rPr>
                <w:rFonts w:ascii="Times New Roman" w:eastAsia="Times New Roman" w:hAnsi="Times New Roman" w:cs="Times New Roman"/>
                <w:noProof/>
                <w:sz w:val="24"/>
                <w:szCs w:val="20"/>
              </w:rPr>
              <w:t>ПУО</w:t>
            </w:r>
            <w:r w:rsidRPr="00171DED">
              <w:rPr>
                <w:rFonts w:ascii="Times New Roman" w:eastAsia="Times New Roman" w:hAnsi="Times New Roman" w:cs="Times New Roman"/>
                <w:noProof/>
                <w:sz w:val="24"/>
                <w:szCs w:val="20"/>
              </w:rPr>
              <w:t xml:space="preserve"> за периода 2021-202</w:t>
            </w:r>
            <w:r w:rsidR="00702943" w:rsidRPr="00171DED">
              <w:rPr>
                <w:rFonts w:ascii="Times New Roman" w:eastAsia="Times New Roman" w:hAnsi="Times New Roman" w:cs="Times New Roman"/>
                <w:noProof/>
                <w:sz w:val="24"/>
                <w:szCs w:val="20"/>
              </w:rPr>
              <w:t>8</w:t>
            </w:r>
            <w:r w:rsidRPr="00171DED">
              <w:rPr>
                <w:rFonts w:ascii="Times New Roman" w:eastAsia="Times New Roman" w:hAnsi="Times New Roman" w:cs="Times New Roman"/>
                <w:noProof/>
                <w:sz w:val="24"/>
                <w:szCs w:val="20"/>
              </w:rPr>
              <w:t xml:space="preserve"> г. и Стратегия и план за действие за преход към кръговата икономика на Република България за периода 2021 – 2027 г. Синергичен ефект на мерките в посока насърчаване прехода към кръгова икономика ще се постигне чрез осигуряване на допълняемост </w:t>
            </w:r>
            <w:r w:rsidR="003F4B8A" w:rsidRPr="00171DED">
              <w:rPr>
                <w:rFonts w:ascii="Times New Roman" w:eastAsia="Times New Roman" w:hAnsi="Times New Roman" w:cs="Times New Roman"/>
                <w:noProof/>
                <w:sz w:val="24"/>
                <w:szCs w:val="20"/>
              </w:rPr>
              <w:t xml:space="preserve">между </w:t>
            </w:r>
            <w:r w:rsidRPr="00171DED">
              <w:rPr>
                <w:rFonts w:ascii="Times New Roman" w:eastAsia="Times New Roman" w:hAnsi="Times New Roman" w:cs="Times New Roman"/>
                <w:noProof/>
                <w:sz w:val="24"/>
                <w:szCs w:val="20"/>
              </w:rPr>
              <w:t>подкрепата по ПОС</w:t>
            </w:r>
            <w:r w:rsidR="00505983" w:rsidRPr="00171DED">
              <w:rPr>
                <w:rFonts w:ascii="Times New Roman" w:eastAsia="Times New Roman" w:hAnsi="Times New Roman" w:cs="Times New Roman"/>
                <w:noProof/>
                <w:sz w:val="24"/>
                <w:szCs w:val="20"/>
              </w:rPr>
              <w:t xml:space="preserve"> и </w:t>
            </w:r>
            <w:r w:rsidR="009270E8" w:rsidRPr="00171DED">
              <w:rPr>
                <w:rFonts w:ascii="Times New Roman" w:eastAsia="Times New Roman" w:hAnsi="Times New Roman" w:cs="Times New Roman"/>
                <w:noProof/>
                <w:sz w:val="24"/>
                <w:szCs w:val="20"/>
              </w:rPr>
              <w:t>ПКИП</w:t>
            </w:r>
            <w:r w:rsidR="00D95B8F">
              <w:rPr>
                <w:rFonts w:ascii="Times New Roman" w:eastAsia="Times New Roman" w:hAnsi="Times New Roman" w:cs="Times New Roman"/>
                <w:noProof/>
                <w:sz w:val="24"/>
                <w:szCs w:val="20"/>
              </w:rPr>
              <w:t xml:space="preserve"> </w:t>
            </w:r>
            <w:r w:rsidR="00D95B8F" w:rsidRPr="00171DED">
              <w:rPr>
                <w:rFonts w:ascii="Times New Roman" w:eastAsia="Times New Roman" w:hAnsi="Times New Roman" w:cs="Times New Roman"/>
                <w:noProof/>
                <w:sz w:val="24"/>
                <w:szCs w:val="20"/>
              </w:rPr>
              <w:t>2021-2027</w:t>
            </w:r>
            <w:r w:rsidR="00505983" w:rsidRPr="00171DED">
              <w:rPr>
                <w:rFonts w:ascii="Times New Roman" w:eastAsia="Times New Roman" w:hAnsi="Times New Roman" w:cs="Times New Roman"/>
                <w:noProof/>
                <w:sz w:val="24"/>
                <w:szCs w:val="20"/>
              </w:rPr>
              <w:t xml:space="preserve">, като се гарантира следната </w:t>
            </w:r>
            <w:r w:rsidR="00505983" w:rsidRPr="00270347">
              <w:rPr>
                <w:rFonts w:ascii="Times New Roman" w:eastAsia="Times New Roman" w:hAnsi="Times New Roman" w:cs="Times New Roman"/>
                <w:noProof/>
                <w:sz w:val="24"/>
                <w:szCs w:val="20"/>
              </w:rPr>
              <w:t>демаркация</w:t>
            </w:r>
            <w:r w:rsidR="00CE7C00" w:rsidRPr="00270347">
              <w:rPr>
                <w:rFonts w:ascii="Times New Roman" w:eastAsia="Times New Roman" w:hAnsi="Times New Roman" w:cs="Times New Roman"/>
                <w:noProof/>
                <w:sz w:val="24"/>
                <w:szCs w:val="20"/>
              </w:rPr>
              <w:t xml:space="preserve"> по отношение на предприятията</w:t>
            </w:r>
            <w:r w:rsidR="00505983" w:rsidRPr="00270347">
              <w:rPr>
                <w:rFonts w:ascii="Times New Roman" w:eastAsia="Times New Roman" w:hAnsi="Times New Roman" w:cs="Times New Roman"/>
                <w:noProof/>
                <w:sz w:val="24"/>
                <w:szCs w:val="20"/>
              </w:rPr>
              <w:t>:</w:t>
            </w:r>
            <w:r w:rsidRPr="00270347">
              <w:rPr>
                <w:rFonts w:ascii="Times New Roman" w:eastAsia="Times New Roman" w:hAnsi="Times New Roman" w:cs="Times New Roman"/>
                <w:noProof/>
                <w:sz w:val="24"/>
                <w:szCs w:val="20"/>
              </w:rPr>
              <w:t xml:space="preserve"> </w:t>
            </w:r>
            <w:r w:rsidR="00505983" w:rsidRPr="00270347">
              <w:rPr>
                <w:rFonts w:ascii="Times New Roman" w:eastAsia="Times New Roman" w:hAnsi="Times New Roman" w:cs="Times New Roman"/>
                <w:noProof/>
                <w:sz w:val="24"/>
                <w:szCs w:val="20"/>
              </w:rPr>
              <w:t xml:space="preserve">ПОС </w:t>
            </w:r>
            <w:r w:rsidR="00EA4200" w:rsidRPr="00584F2A">
              <w:rPr>
                <w:rFonts w:ascii="Times New Roman" w:eastAsia="Times New Roman" w:hAnsi="Times New Roman" w:cs="Times New Roman"/>
                <w:noProof/>
                <w:sz w:val="24"/>
                <w:szCs w:val="20"/>
              </w:rPr>
              <w:t xml:space="preserve">ще подкрепя  дейности за рециклиране на отпадъци в приложното поле на Закона за управление на отпадъците, извършвани от рециклиращи предприятия, без отпадъци, образувани от собствено производство; ПКИП и Програмата за икономическа трансформация, предложена от Министерство на икономиката за финансиране </w:t>
            </w:r>
            <w:r w:rsidR="007F0313">
              <w:rPr>
                <w:rFonts w:ascii="Times New Roman" w:eastAsia="Times New Roman" w:hAnsi="Times New Roman" w:cs="Times New Roman"/>
                <w:noProof/>
                <w:sz w:val="24"/>
                <w:szCs w:val="20"/>
              </w:rPr>
              <w:t>в Плана</w:t>
            </w:r>
            <w:r w:rsidR="00EA4200" w:rsidRPr="00584F2A">
              <w:rPr>
                <w:rFonts w:ascii="Times New Roman" w:eastAsia="Times New Roman" w:hAnsi="Times New Roman" w:cs="Times New Roman"/>
                <w:noProof/>
                <w:sz w:val="24"/>
                <w:szCs w:val="20"/>
              </w:rPr>
              <w:t xml:space="preserve"> за възстановяване и устойчивост, ще подкрепят мерки в предприятията в областта на проектирането на продуктите, производствените процеси и управлението на отпадъци. Подобряване управлението на отпадъците включва предотвратяване и намаляване на генерирането на отпадъци, подготовка за повторна употреба и рециклиране, както и промишлена симбиоза, като рециклирането остава в рамките на самото предприятие, т.е. използването на отпадъка обратно в производството. Предвидена е и подкрепа за технологично развитие, иновации и ресурсна ефективност за предприятията за предварително третиране на отпадъци, като част от сектора на рециклирането. </w:t>
            </w:r>
            <w:r w:rsidR="003F4B8A" w:rsidRPr="00171DED">
              <w:rPr>
                <w:rFonts w:ascii="Times New Roman" w:eastAsia="Times New Roman" w:hAnsi="Times New Roman" w:cs="Times New Roman"/>
                <w:noProof/>
                <w:sz w:val="24"/>
                <w:szCs w:val="20"/>
              </w:rPr>
              <w:t>По този начин ще бъде осигурено допълване на инвестициите към кръговата икономика на национално ниво.</w:t>
            </w:r>
          </w:p>
        </w:tc>
      </w:tr>
    </w:tbl>
    <w:p w14:paraId="1A313882" w14:textId="77777777" w:rsidR="002D4480" w:rsidRPr="00171DED" w:rsidRDefault="002D4480" w:rsidP="00380438">
      <w:pPr>
        <w:spacing w:before="120" w:after="120" w:line="240" w:lineRule="auto"/>
        <w:jc w:val="both"/>
        <w:rPr>
          <w:rFonts w:ascii="Times New Roman" w:eastAsia="Calibri" w:hAnsi="Times New Roman" w:cs="Times New Roman"/>
          <w:i/>
          <w:noProof/>
          <w:sz w:val="12"/>
          <w:szCs w:val="8"/>
          <w:lang w:val="bg-BG" w:eastAsia="bg-BG" w:bidi="bg-BG"/>
        </w:rPr>
      </w:pPr>
    </w:p>
    <w:p w14:paraId="158A0B27" w14:textId="77777777"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p>
    <w:p w14:paraId="6BDA955B" w14:textId="0F7C7755"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r w:rsidR="00CC0996" w:rsidRPr="00171DED">
        <w:rPr>
          <w:rFonts w:ascii="Times New Roman" w:eastAsia="Calibri" w:hAnsi="Times New Roman" w:cs="Times New Roman"/>
          <w:iCs/>
          <w:noProof/>
          <w:sz w:val="24"/>
          <w:szCs w:val="20"/>
          <w:lang w:val="bg-BG" w:eastAsia="bg-BG" w:bidi="bg-BG"/>
        </w:rPr>
        <w:t>Основните целеви групи са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AB2600" w:rsidRPr="00171DED">
        <w:rPr>
          <w:rFonts w:ascii="Times New Roman" w:eastAsia="Calibri" w:hAnsi="Times New Roman" w:cs="Times New Roman"/>
          <w:iCs/>
          <w:noProof/>
          <w:sz w:val="24"/>
          <w:szCs w:val="20"/>
          <w:lang w:val="bg-BG" w:eastAsia="bg-BG" w:bidi="bg-BG"/>
        </w:rPr>
        <w:t>, бизнеса, общини</w:t>
      </w:r>
      <w:r w:rsidR="00493F20">
        <w:rPr>
          <w:rFonts w:ascii="Times New Roman" w:eastAsia="Calibri" w:hAnsi="Times New Roman" w:cs="Times New Roman"/>
          <w:iCs/>
          <w:noProof/>
          <w:sz w:val="24"/>
          <w:szCs w:val="20"/>
          <w:lang w:val="bg-BG" w:eastAsia="bg-BG" w:bidi="bg-BG"/>
        </w:rPr>
        <w:t>те</w:t>
      </w:r>
      <w:r w:rsidR="00CC0996" w:rsidRPr="00171DED">
        <w:rPr>
          <w:rFonts w:ascii="Times New Roman" w:eastAsia="Calibri" w:hAnsi="Times New Roman" w:cs="Times New Roman"/>
          <w:iCs/>
          <w:noProof/>
          <w:sz w:val="24"/>
          <w:szCs w:val="20"/>
          <w:lang w:val="bg-BG" w:eastAsia="bg-BG" w:bidi="bg-BG"/>
        </w:rPr>
        <w:t xml:space="preserve">, </w:t>
      </w:r>
      <w:r w:rsidR="00091FBF">
        <w:rPr>
          <w:rFonts w:ascii="Times New Roman" w:eastAsia="Calibri" w:hAnsi="Times New Roman" w:cs="Times New Roman"/>
          <w:iCs/>
          <w:noProof/>
          <w:sz w:val="24"/>
          <w:szCs w:val="20"/>
          <w:lang w:val="bg-BG" w:eastAsia="bg-BG" w:bidi="bg-BG"/>
        </w:rPr>
        <w:t xml:space="preserve">включително </w:t>
      </w:r>
      <w:r w:rsidR="00CC0996" w:rsidRPr="00171DED">
        <w:rPr>
          <w:rFonts w:ascii="Times New Roman" w:eastAsia="Calibri" w:hAnsi="Times New Roman" w:cs="Times New Roman"/>
          <w:iCs/>
          <w:noProof/>
          <w:sz w:val="24"/>
          <w:szCs w:val="20"/>
          <w:lang w:val="bg-BG" w:eastAsia="bg-BG" w:bidi="bg-BG"/>
        </w:rPr>
        <w:t>обединени в региони за управление на отпадъците</w:t>
      </w:r>
      <w:r w:rsidR="00493F20">
        <w:rPr>
          <w:rFonts w:ascii="Times New Roman" w:eastAsia="Calibri" w:hAnsi="Times New Roman" w:cs="Times New Roman"/>
          <w:iCs/>
          <w:noProof/>
          <w:sz w:val="24"/>
          <w:szCs w:val="20"/>
          <w:lang w:val="bg-BG" w:eastAsia="bg-BG" w:bidi="bg-BG"/>
        </w:rPr>
        <w:t>.</w:t>
      </w:r>
      <w:r w:rsidR="00002089">
        <w:rPr>
          <w:rFonts w:ascii="Times New Roman" w:eastAsia="Calibri" w:hAnsi="Times New Roman" w:cs="Times New Roman"/>
          <w:iCs/>
          <w:noProof/>
          <w:sz w:val="24"/>
          <w:szCs w:val="20"/>
          <w:lang w:val="bg-BG" w:eastAsia="bg-BG" w:bidi="bg-BG"/>
        </w:rPr>
        <w:t xml:space="preserve"> </w:t>
      </w:r>
      <w:r w:rsidR="00493F20">
        <w:rPr>
          <w:rFonts w:ascii="Times New Roman" w:eastAsia="Calibri" w:hAnsi="Times New Roman" w:cs="Times New Roman"/>
          <w:iCs/>
          <w:noProof/>
          <w:sz w:val="24"/>
          <w:szCs w:val="20"/>
          <w:lang w:val="bg-BG" w:eastAsia="bg-BG" w:bidi="bg-BG"/>
        </w:rPr>
        <w:t xml:space="preserve">Подкрепата ще бъде насочена </w:t>
      </w:r>
      <w:r w:rsidR="00493F20" w:rsidRPr="00EE7626">
        <w:rPr>
          <w:rFonts w:ascii="Times New Roman" w:eastAsia="Calibri" w:hAnsi="Times New Roman" w:cs="Times New Roman"/>
          <w:iCs/>
          <w:noProof/>
          <w:sz w:val="24"/>
          <w:szCs w:val="20"/>
          <w:lang w:val="bg-BG" w:eastAsia="bg-BG" w:bidi="bg-BG"/>
        </w:rPr>
        <w:t xml:space="preserve">главно към органите, отговорни за прилагане на съответната политика, например общините </w:t>
      </w:r>
      <w:r w:rsidR="007E73A9" w:rsidRPr="00EE7626">
        <w:rPr>
          <w:rFonts w:ascii="Times New Roman" w:eastAsia="Calibri" w:hAnsi="Times New Roman" w:cs="Times New Roman"/>
          <w:iCs/>
          <w:noProof/>
          <w:sz w:val="24"/>
          <w:szCs w:val="20"/>
          <w:lang w:val="bg-BG" w:eastAsia="bg-BG" w:bidi="bg-BG"/>
        </w:rPr>
        <w:t xml:space="preserve">с потребности за подобряване на системите за управление на отпадъците </w:t>
      </w:r>
      <w:r w:rsidR="00493F20" w:rsidRPr="00EE7626">
        <w:rPr>
          <w:rFonts w:ascii="Times New Roman" w:eastAsia="Calibri" w:hAnsi="Times New Roman" w:cs="Times New Roman"/>
          <w:iCs/>
          <w:noProof/>
          <w:sz w:val="24"/>
          <w:szCs w:val="20"/>
          <w:lang w:val="bg-BG" w:eastAsia="bg-BG" w:bidi="bg-BG"/>
        </w:rPr>
        <w:t>и рециклира</w:t>
      </w:r>
      <w:r w:rsidR="0016751B" w:rsidRPr="00EE7626">
        <w:rPr>
          <w:rFonts w:ascii="Times New Roman" w:eastAsia="Calibri" w:hAnsi="Times New Roman" w:cs="Times New Roman"/>
          <w:iCs/>
          <w:noProof/>
          <w:sz w:val="24"/>
          <w:szCs w:val="20"/>
          <w:lang w:val="bg-BG" w:eastAsia="bg-BG" w:bidi="bg-BG"/>
        </w:rPr>
        <w:t>щите пр</w:t>
      </w:r>
      <w:r w:rsidR="00493F20" w:rsidRPr="00EE7626">
        <w:rPr>
          <w:rFonts w:ascii="Times New Roman" w:eastAsia="Calibri" w:hAnsi="Times New Roman" w:cs="Times New Roman"/>
          <w:iCs/>
          <w:noProof/>
          <w:sz w:val="24"/>
          <w:szCs w:val="20"/>
          <w:lang w:val="bg-BG" w:eastAsia="bg-BG" w:bidi="bg-BG"/>
        </w:rPr>
        <w:t>е</w:t>
      </w:r>
      <w:r w:rsidR="0016751B" w:rsidRPr="00EE7626">
        <w:rPr>
          <w:rFonts w:ascii="Times New Roman" w:eastAsia="Calibri" w:hAnsi="Times New Roman" w:cs="Times New Roman"/>
          <w:iCs/>
          <w:noProof/>
          <w:sz w:val="24"/>
          <w:szCs w:val="20"/>
          <w:lang w:val="bg-BG" w:eastAsia="bg-BG" w:bidi="bg-BG"/>
        </w:rPr>
        <w:t>дприятия</w:t>
      </w:r>
      <w:r w:rsidR="00493F20" w:rsidRPr="00EE7626">
        <w:rPr>
          <w:rFonts w:ascii="Times New Roman" w:eastAsia="Calibri" w:hAnsi="Times New Roman" w:cs="Times New Roman"/>
          <w:iCs/>
          <w:noProof/>
          <w:sz w:val="24"/>
          <w:szCs w:val="20"/>
          <w:lang w:val="bg-BG" w:eastAsia="bg-BG" w:bidi="bg-BG"/>
        </w:rPr>
        <w:t>, при спазване на демаркацията и</w:t>
      </w:r>
      <w:r w:rsidR="0016751B"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B50EB0" w:rsidRPr="00EE7626">
        <w:rPr>
          <w:rFonts w:ascii="Times New Roman" w:eastAsia="Calibri" w:hAnsi="Times New Roman" w:cs="Times New Roman"/>
          <w:iCs/>
          <w:noProof/>
          <w:sz w:val="24"/>
          <w:szCs w:val="20"/>
          <w:lang w:val="bg-BG" w:eastAsia="bg-BG" w:bidi="bg-BG"/>
        </w:rPr>
        <w:t xml:space="preserve">Юридическите лица с нестопанска цел може да бъдат подкрепени </w:t>
      </w:r>
      <w:r w:rsidR="00EE7626" w:rsidRPr="00584F2A">
        <w:rPr>
          <w:rFonts w:ascii="Times New Roman" w:eastAsia="Calibri" w:hAnsi="Times New Roman" w:cs="Times New Roman"/>
          <w:iCs/>
          <w:noProof/>
          <w:sz w:val="24"/>
          <w:szCs w:val="20"/>
          <w:lang w:val="bg-BG" w:eastAsia="bg-BG" w:bidi="bg-BG"/>
        </w:rPr>
        <w:t>за</w:t>
      </w:r>
      <w:r w:rsidR="00087217" w:rsidRPr="00584F2A">
        <w:rPr>
          <w:rFonts w:ascii="Times New Roman" w:eastAsia="Calibri" w:hAnsi="Times New Roman" w:cs="Times New Roman"/>
          <w:iCs/>
          <w:noProof/>
          <w:sz w:val="24"/>
          <w:szCs w:val="20"/>
          <w:lang w:val="bg-BG" w:eastAsia="bg-BG" w:bidi="bg-BG"/>
        </w:rPr>
        <w:t xml:space="preserve"> изпълнение на </w:t>
      </w:r>
      <w:r w:rsidR="00B50EB0" w:rsidRPr="00EE7626">
        <w:rPr>
          <w:rFonts w:ascii="Times New Roman" w:eastAsia="Calibri" w:hAnsi="Times New Roman" w:cs="Times New Roman"/>
          <w:iCs/>
          <w:noProof/>
          <w:sz w:val="24"/>
          <w:szCs w:val="20"/>
          <w:lang w:val="bg-BG" w:eastAsia="bg-BG" w:bidi="bg-BG"/>
        </w:rPr>
        <w:t>мерки за</w:t>
      </w:r>
      <w:r w:rsidR="00B50EB0" w:rsidRPr="00584F2A">
        <w:rPr>
          <w:rFonts w:ascii="Times New Roman" w:eastAsia="Times New Roman" w:hAnsi="Times New Roman" w:cs="Times New Roman"/>
          <w:bCs/>
          <w:sz w:val="24"/>
          <w:szCs w:val="24"/>
          <w:lang w:val="bg-BG"/>
        </w:rPr>
        <w:t xml:space="preserve"> информационни и разяснителни кампании</w:t>
      </w:r>
      <w:r w:rsidR="00087217" w:rsidRPr="00EE7626">
        <w:rPr>
          <w:rFonts w:ascii="Times New Roman" w:eastAsia="Times New Roman" w:hAnsi="Times New Roman" w:cs="Times New Roman"/>
          <w:bCs/>
          <w:sz w:val="24"/>
          <w:szCs w:val="24"/>
          <w:lang w:val="bg-BG"/>
        </w:rPr>
        <w:t>.</w:t>
      </w:r>
      <w:r w:rsidR="00B50EB0"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В допълнение, </w:t>
      </w:r>
      <w:r w:rsidR="00002089" w:rsidRPr="00EE7626">
        <w:rPr>
          <w:rFonts w:ascii="Times New Roman" w:eastAsia="Calibri" w:hAnsi="Times New Roman" w:cs="Times New Roman"/>
          <w:iCs/>
          <w:noProof/>
          <w:sz w:val="24"/>
          <w:szCs w:val="20"/>
          <w:lang w:val="bg-BG" w:eastAsia="bg-BG" w:bidi="bg-BG"/>
        </w:rPr>
        <w:t xml:space="preserve">Националното сдружение на общините в </w:t>
      </w:r>
      <w:r w:rsidR="0016751B" w:rsidRPr="00EE7626">
        <w:rPr>
          <w:rFonts w:ascii="Times New Roman" w:eastAsia="Calibri" w:hAnsi="Times New Roman" w:cs="Times New Roman"/>
          <w:iCs/>
          <w:noProof/>
          <w:sz w:val="24"/>
          <w:szCs w:val="20"/>
          <w:lang w:val="bg-BG" w:eastAsia="bg-BG" w:bidi="bg-BG"/>
        </w:rPr>
        <w:t xml:space="preserve">Република </w:t>
      </w:r>
      <w:r w:rsidR="00002089" w:rsidRPr="00EE7626">
        <w:rPr>
          <w:rFonts w:ascii="Times New Roman" w:eastAsia="Calibri" w:hAnsi="Times New Roman" w:cs="Times New Roman"/>
          <w:iCs/>
          <w:noProof/>
          <w:sz w:val="24"/>
          <w:szCs w:val="20"/>
          <w:lang w:val="bg-BG" w:eastAsia="bg-BG" w:bidi="bg-BG"/>
        </w:rPr>
        <w:t>България пряко е ангажирано с подпомагането</w:t>
      </w:r>
      <w:r w:rsidR="00002089" w:rsidRPr="00D85B8B">
        <w:rPr>
          <w:rFonts w:ascii="Times New Roman" w:eastAsia="Calibri" w:hAnsi="Times New Roman" w:cs="Times New Roman"/>
          <w:iCs/>
          <w:noProof/>
          <w:sz w:val="24"/>
          <w:szCs w:val="20"/>
          <w:lang w:val="bg-BG" w:eastAsia="bg-BG" w:bidi="bg-BG"/>
        </w:rPr>
        <w:t xml:space="preserve"> на общините </w:t>
      </w:r>
      <w:r w:rsidR="00493F20" w:rsidRPr="00D85B8B">
        <w:rPr>
          <w:rFonts w:ascii="Times New Roman" w:eastAsia="Calibri" w:hAnsi="Times New Roman" w:cs="Times New Roman"/>
          <w:iCs/>
          <w:noProof/>
          <w:sz w:val="24"/>
          <w:szCs w:val="20"/>
          <w:lang w:val="bg-BG" w:eastAsia="bg-BG" w:bidi="bg-BG"/>
        </w:rPr>
        <w:t>в</w:t>
      </w:r>
      <w:r w:rsidR="00002089" w:rsidRPr="00D85B8B">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w:t>
      </w:r>
      <w:r w:rsidR="00002089" w:rsidRPr="00D85B8B">
        <w:rPr>
          <w:rFonts w:ascii="Times New Roman" w:eastAsia="Calibri" w:hAnsi="Times New Roman" w:cs="Times New Roman"/>
          <w:iCs/>
          <w:noProof/>
          <w:sz w:val="24"/>
          <w:szCs w:val="20"/>
          <w:lang w:val="bg-BG" w:eastAsia="bg-BG" w:bidi="bg-BG"/>
        </w:rPr>
        <w:lastRenderedPageBreak/>
        <w:t>отпадъци в България</w:t>
      </w:r>
      <w:r w:rsidR="00493F20" w:rsidRPr="00D85B8B">
        <w:rPr>
          <w:rFonts w:ascii="Times New Roman" w:eastAsia="Calibri" w:hAnsi="Times New Roman" w:cs="Times New Roman"/>
          <w:iCs/>
          <w:noProof/>
          <w:sz w:val="24"/>
          <w:szCs w:val="20"/>
          <w:lang w:val="bg-BG" w:eastAsia="bg-BG" w:bidi="bg-BG"/>
        </w:rPr>
        <w:t>.</w:t>
      </w:r>
      <w:r w:rsidR="00002089" w:rsidRPr="00D85B8B">
        <w:rPr>
          <w:rFonts w:ascii="Times New Roman" w:eastAsia="Calibri" w:hAnsi="Times New Roman" w:cs="Times New Roman"/>
          <w:iCs/>
          <w:noProof/>
          <w:sz w:val="24"/>
          <w:szCs w:val="20"/>
          <w:lang w:val="bg-BG" w:eastAsia="bg-BG" w:bidi="bg-BG"/>
        </w:rPr>
        <w:t xml:space="preserve"> поради което се предвижда директно предоставяне на средства на сдружението за реализиране на тази мярка.</w:t>
      </w:r>
    </w:p>
    <w:p w14:paraId="593BD273" w14:textId="60E54D0E" w:rsidR="00B82B45" w:rsidRPr="00171DED" w:rsidRDefault="00B82B45" w:rsidP="00B82B45">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Действия гарантиращи равенството, приобщаването и недискриминацията – чл. 17, ал. 3,</w:t>
      </w:r>
      <w:r w:rsidR="00250902" w:rsidRPr="00171DED">
        <w:rPr>
          <w:rFonts w:ascii="Times New Roman" w:eastAsia="Calibri" w:hAnsi="Times New Roman" w:cs="Times New Roman"/>
          <w:i/>
          <w:noProof/>
          <w:sz w:val="24"/>
          <w:szCs w:val="20"/>
          <w:lang w:val="bg-BG" w:eastAsia="bg-BG" w:bidi="bg-BG"/>
        </w:rPr>
        <w:t xml:space="preserve"> т.</w:t>
      </w:r>
      <w:r w:rsidRPr="00171DED">
        <w:rPr>
          <w:rFonts w:ascii="Times New Roman" w:eastAsia="Calibri" w:hAnsi="Times New Roman" w:cs="Times New Roman"/>
          <w:i/>
          <w:noProof/>
          <w:sz w:val="24"/>
          <w:szCs w:val="20"/>
          <w:lang w:val="bg-BG" w:eastAsia="bg-BG" w:bidi="bg-BG"/>
        </w:rPr>
        <w:t xml:space="preserve"> </w:t>
      </w:r>
      <w:r w:rsidR="009347AE" w:rsidRPr="00171DED">
        <w:rPr>
          <w:rFonts w:ascii="Times New Roman" w:eastAsia="Calibri" w:hAnsi="Times New Roman" w:cs="Times New Roman"/>
          <w:i/>
          <w:noProof/>
          <w:sz w:val="24"/>
          <w:szCs w:val="20"/>
          <w:lang w:val="bg-BG" w:eastAsia="bg-BG" w:bidi="bg-BG"/>
        </w:rPr>
        <w:t>d) (iiia) от ОР</w:t>
      </w:r>
    </w:p>
    <w:tbl>
      <w:tblPr>
        <w:tblStyle w:val="TableGrid"/>
        <w:tblW w:w="9356" w:type="dxa"/>
        <w:tblInd w:w="-147" w:type="dxa"/>
        <w:tblLook w:val="04A0" w:firstRow="1" w:lastRow="0" w:firstColumn="1" w:lastColumn="0" w:noHBand="0" w:noVBand="1"/>
      </w:tblPr>
      <w:tblGrid>
        <w:gridCol w:w="9356"/>
      </w:tblGrid>
      <w:tr w:rsidR="00B82B45" w:rsidRPr="0010575B" w14:paraId="296C12BE" w14:textId="77777777" w:rsidTr="00584F2A">
        <w:tc>
          <w:tcPr>
            <w:tcW w:w="9356" w:type="dxa"/>
          </w:tcPr>
          <w:p w14:paraId="7838F718" w14:textId="77777777" w:rsidR="009347AE" w:rsidRPr="00171DED" w:rsidRDefault="00B82B45" w:rsidP="00456C39">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53B387C2" w14:textId="34FAA044" w:rsidR="00B82B45" w:rsidRPr="00171DED" w:rsidRDefault="003A132E" w:rsidP="00456C39">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171DED">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171DED">
              <w:rPr>
                <w:rFonts w:ascii="Times New Roman" w:eastAsia="Calibri" w:hAnsi="Times New Roman" w:cs="Times New Roman"/>
                <w:iCs/>
                <w:noProof/>
                <w:sz w:val="24"/>
                <w:szCs w:val="20"/>
              </w:rPr>
              <w:t xml:space="preserve">генерираните и депонирани </w:t>
            </w:r>
            <w:r w:rsidR="007B49B2" w:rsidRPr="00171DED">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171DED">
              <w:rPr>
                <w:rFonts w:ascii="Times New Roman" w:eastAsia="Calibri" w:hAnsi="Times New Roman" w:cs="Times New Roman"/>
                <w:iCs/>
                <w:noProof/>
                <w:sz w:val="24"/>
                <w:szCs w:val="20"/>
              </w:rPr>
              <w:t xml:space="preserve"> </w:t>
            </w:r>
          </w:p>
        </w:tc>
      </w:tr>
    </w:tbl>
    <w:p w14:paraId="3BA0BB1F" w14:textId="0855599B" w:rsidR="00380438" w:rsidRPr="00171DED" w:rsidRDefault="00B82B45"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00ED4BB8"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от ОР</w:t>
      </w:r>
    </w:p>
    <w:p w14:paraId="00EDD749" w14:textId="77777777" w:rsidR="001013EF" w:rsidRPr="00171DED" w:rsidRDefault="003D0E7E"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32EC6BEE" w14:textId="5E570E81" w:rsidR="0053691C" w:rsidRPr="00DB6A2E" w:rsidRDefault="001013EF"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 xml:space="preserve">за планиране. По предварителна оценка на УО на ПОС като </w:t>
      </w:r>
      <w:r w:rsidR="003F4B8A" w:rsidRPr="00DB6A2E">
        <w:rPr>
          <w:rFonts w:ascii="Times New Roman" w:eastAsia="Calibri" w:hAnsi="Times New Roman" w:cs="Times New Roman"/>
          <w:iCs/>
          <w:noProof/>
          <w:sz w:val="24"/>
          <w:szCs w:val="20"/>
          <w:lang w:val="bg-BG" w:eastAsia="bg-BG" w:bidi="bg-BG"/>
        </w:rPr>
        <w:t>приложими са идентифицирани</w:t>
      </w:r>
      <w:r w:rsidR="0053691C" w:rsidRPr="00DB6A2E">
        <w:rPr>
          <w:rFonts w:ascii="Times New Roman" w:eastAsia="Calibri" w:hAnsi="Times New Roman" w:cs="Times New Roman"/>
          <w:iCs/>
          <w:noProof/>
          <w:sz w:val="24"/>
          <w:szCs w:val="20"/>
          <w:lang w:val="bg-BG" w:eastAsia="bg-BG" w:bidi="bg-BG"/>
        </w:rPr>
        <w:t xml:space="preserve"> следните</w:t>
      </w:r>
      <w:r w:rsidR="003F4B8A" w:rsidRPr="00DB6A2E">
        <w:rPr>
          <w:rFonts w:ascii="Times New Roman" w:eastAsia="Calibri" w:hAnsi="Times New Roman" w:cs="Times New Roman"/>
          <w:iCs/>
          <w:noProof/>
          <w:sz w:val="24"/>
          <w:szCs w:val="20"/>
          <w:lang w:val="bg-BG" w:eastAsia="bg-BG" w:bidi="bg-BG"/>
        </w:rPr>
        <w:t xml:space="preserve"> мерки</w:t>
      </w:r>
      <w:r w:rsidR="0053691C" w:rsidRPr="00DB6A2E">
        <w:rPr>
          <w:rFonts w:ascii="Times New Roman" w:eastAsia="Calibri" w:hAnsi="Times New Roman" w:cs="Times New Roman"/>
          <w:iCs/>
          <w:noProof/>
          <w:sz w:val="24"/>
          <w:szCs w:val="20"/>
          <w:lang w:val="bg-BG" w:eastAsia="bg-BG" w:bidi="bg-BG"/>
        </w:rPr>
        <w:t>:</w:t>
      </w:r>
    </w:p>
    <w:p w14:paraId="7932899A" w14:textId="4CD44E5E" w:rsidR="0053691C" w:rsidRPr="00DB6A2E"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w:t>
      </w:r>
      <w:r w:rsidR="001013EF" w:rsidRPr="00DB6A2E">
        <w:rPr>
          <w:rFonts w:ascii="Times New Roman" w:eastAsia="Calibri" w:hAnsi="Times New Roman" w:cs="Times New Roman"/>
          <w:iCs/>
          <w:noProof/>
          <w:sz w:val="24"/>
          <w:szCs w:val="20"/>
          <w:lang w:val="bg-BG" w:eastAsia="bg-BG" w:bidi="bg-BG"/>
        </w:rPr>
        <w:t xml:space="preserve"> </w:t>
      </w:r>
      <w:r w:rsidR="006C397C" w:rsidRPr="00DB6A2E">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B6A2E">
        <w:rPr>
          <w:rFonts w:ascii="Times New Roman" w:eastAsia="Calibri" w:hAnsi="Times New Roman" w:cs="Times New Roman"/>
          <w:iCs/>
          <w:noProof/>
          <w:sz w:val="24"/>
          <w:szCs w:val="20"/>
          <w:lang w:val="bg-BG" w:eastAsia="bg-BG" w:bidi="bg-BG"/>
        </w:rPr>
        <w:t xml:space="preserve"> и поправка</w:t>
      </w:r>
      <w:r w:rsidRPr="00DB6A2E">
        <w:rPr>
          <w:rFonts w:ascii="Times New Roman" w:eastAsia="Calibri" w:hAnsi="Times New Roman" w:cs="Times New Roman"/>
          <w:iCs/>
          <w:noProof/>
          <w:sz w:val="24"/>
          <w:szCs w:val="20"/>
          <w:lang w:val="bg-BG" w:eastAsia="bg-BG" w:bidi="bg-BG"/>
        </w:rPr>
        <w:t xml:space="preserve">, </w:t>
      </w:r>
    </w:p>
    <w:p w14:paraId="66A9C5D2" w14:textId="679248FD" w:rsidR="001013EF" w:rsidRPr="00171DED"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 xml:space="preserve">- </w:t>
      </w:r>
      <w:r w:rsidR="001013EF" w:rsidRPr="00DB6A2E">
        <w:rPr>
          <w:rFonts w:ascii="Times New Roman" w:eastAsia="Calibri" w:hAnsi="Times New Roman" w:cs="Times New Roman"/>
          <w:iCs/>
          <w:noProof/>
          <w:sz w:val="24"/>
          <w:szCs w:val="20"/>
          <w:lang w:val="bg-BG" w:eastAsia="bg-BG" w:bidi="bg-BG"/>
        </w:rPr>
        <w:t xml:space="preserve">осигуряване на разделно събиране </w:t>
      </w:r>
      <w:r w:rsidRPr="00584F2A">
        <w:rPr>
          <w:rFonts w:ascii="Times New Roman" w:eastAsia="Calibri" w:hAnsi="Times New Roman" w:cs="Times New Roman"/>
          <w:iCs/>
          <w:noProof/>
          <w:sz w:val="24"/>
          <w:szCs w:val="20"/>
          <w:lang w:val="bg-BG" w:eastAsia="bg-BG" w:bidi="bg-BG"/>
        </w:rPr>
        <w:t>на отпадъци (с изключение на производствени и опасни отпадъци, отпадъци от опаковки, от електрическо и електронно оборудване, от батерии и акумулатори, от текстил) в индустриални зони в</w:t>
      </w:r>
      <w:r w:rsidR="007E73A9" w:rsidRPr="00DB6A2E">
        <w:rPr>
          <w:rFonts w:ascii="Times New Roman" w:eastAsia="Calibri" w:hAnsi="Times New Roman" w:cs="Times New Roman"/>
          <w:iCs/>
          <w:noProof/>
          <w:sz w:val="24"/>
          <w:szCs w:val="20"/>
          <w:lang w:val="bg-BG" w:eastAsia="bg-BG" w:bidi="bg-BG"/>
        </w:rPr>
        <w:t xml:space="preserve"> комбин</w:t>
      </w:r>
      <w:r w:rsidRPr="00584F2A">
        <w:rPr>
          <w:rFonts w:ascii="Times New Roman" w:eastAsia="Calibri" w:hAnsi="Times New Roman" w:cs="Times New Roman"/>
          <w:iCs/>
          <w:noProof/>
          <w:sz w:val="24"/>
          <w:szCs w:val="20"/>
          <w:lang w:val="bg-BG" w:eastAsia="bg-BG" w:bidi="bg-BG"/>
        </w:rPr>
        <w:t>ация</w:t>
      </w:r>
      <w:r w:rsidR="007E73A9" w:rsidRPr="00DB6A2E">
        <w:rPr>
          <w:rFonts w:ascii="Times New Roman" w:eastAsia="Calibri" w:hAnsi="Times New Roman" w:cs="Times New Roman"/>
          <w:iCs/>
          <w:noProof/>
          <w:sz w:val="24"/>
          <w:szCs w:val="20"/>
          <w:lang w:val="bg-BG" w:eastAsia="bg-BG" w:bidi="bg-BG"/>
        </w:rPr>
        <w:t>, при необходимост, с</w:t>
      </w:r>
      <w:r w:rsidR="001013EF" w:rsidRPr="00DB6A2E">
        <w:rPr>
          <w:rFonts w:ascii="Times New Roman" w:eastAsia="Calibri" w:hAnsi="Times New Roman" w:cs="Times New Roman"/>
          <w:iCs/>
          <w:noProof/>
          <w:sz w:val="24"/>
          <w:szCs w:val="20"/>
          <w:lang w:val="bg-BG" w:eastAsia="bg-BG" w:bidi="bg-BG"/>
        </w:rPr>
        <w:t xml:space="preserve"> рециклиране</w:t>
      </w:r>
      <w:r w:rsidR="00930EFD" w:rsidRPr="00DB6A2E">
        <w:rPr>
          <w:rFonts w:ascii="Times New Roman" w:eastAsia="Calibri" w:hAnsi="Times New Roman" w:cs="Times New Roman"/>
          <w:iCs/>
          <w:noProof/>
          <w:sz w:val="24"/>
          <w:szCs w:val="20"/>
          <w:lang w:val="bg-BG" w:eastAsia="bg-BG" w:bidi="bg-BG"/>
        </w:rPr>
        <w:t>.</w:t>
      </w:r>
    </w:p>
    <w:p w14:paraId="2409750F" w14:textId="7206F0D7" w:rsidR="001013EF" w:rsidRPr="00171DED" w:rsidRDefault="00930EFD"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Необходимостта от </w:t>
      </w:r>
      <w:r w:rsidR="003F4B8A" w:rsidRPr="00171DED">
        <w:rPr>
          <w:rFonts w:ascii="Times New Roman" w:eastAsia="Calibri" w:hAnsi="Times New Roman" w:cs="Times New Roman"/>
          <w:iCs/>
          <w:noProof/>
          <w:sz w:val="24"/>
          <w:szCs w:val="20"/>
          <w:lang w:val="bg-BG" w:eastAsia="bg-BG" w:bidi="bg-BG"/>
        </w:rPr>
        <w:t>такива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D85B8B">
        <w:rPr>
          <w:rFonts w:ascii="Times New Roman" w:eastAsia="Calibri" w:hAnsi="Times New Roman" w:cs="Times New Roman"/>
          <w:iCs/>
          <w:noProof/>
          <w:sz w:val="24"/>
          <w:szCs w:val="20"/>
          <w:lang w:val="bg-BG" w:eastAsia="bg-BG" w:bidi="bg-BG"/>
        </w:rPr>
        <w:t>трябва</w:t>
      </w:r>
      <w:r w:rsidR="00D85B8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78A48F54" w14:textId="00921B2C" w:rsidR="00255312" w:rsidRPr="00171DED" w:rsidRDefault="00255312"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3F4B8A"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171DED">
        <w:rPr>
          <w:rFonts w:ascii="Times New Roman" w:eastAsia="Calibri" w:hAnsi="Times New Roman" w:cs="Times New Roman"/>
          <w:iCs/>
          <w:noProof/>
          <w:sz w:val="24"/>
          <w:szCs w:val="20"/>
          <w:lang w:val="bg-BG" w:eastAsia="bg-BG" w:bidi="bg-BG"/>
        </w:rPr>
        <w:t>, изпълняван</w:t>
      </w:r>
      <w:r w:rsidR="00507010"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от Р</w:t>
      </w:r>
      <w:r w:rsidR="00EE3315"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3F4B8A"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76585B1" w14:textId="66D9D430"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B82B45"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5CC69A0F" w14:textId="5CB1C943"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8A72C2" w:rsidRPr="00171DED">
        <w:rPr>
          <w:rFonts w:ascii="Times New Roman" w:eastAsia="Calibri" w:hAnsi="Times New Roman" w:cs="Times New Roman"/>
          <w:iCs/>
          <w:noProof/>
          <w:sz w:val="24"/>
          <w:szCs w:val="20"/>
          <w:lang w:val="bg-BG" w:eastAsia="bg-BG" w:bidi="bg-BG"/>
        </w:rPr>
        <w:t xml:space="preserve"> Неприложимо</w:t>
      </w:r>
    </w:p>
    <w:p w14:paraId="4A112B95" w14:textId="43244FE6"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p>
    <w:p w14:paraId="534E3605" w14:textId="41279BCC" w:rsidR="00DD2825"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Текстово поле [1 000]</w:t>
      </w:r>
      <w:r w:rsidR="00656598" w:rsidRPr="00171DE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Планира се използване на финансов инструмент за подкрепа на</w:t>
      </w:r>
      <w:r w:rsidR="00342E03">
        <w:rPr>
          <w:rFonts w:ascii="Times New Roman" w:eastAsia="Calibri" w:hAnsi="Times New Roman" w:cs="Times New Roman"/>
          <w:noProof/>
          <w:sz w:val="24"/>
          <w:szCs w:val="20"/>
          <w:lang w:val="bg-BG" w:eastAsia="bg-BG" w:bidi="bg-BG"/>
        </w:rPr>
        <w:t xml:space="preserve"> </w:t>
      </w:r>
      <w:r w:rsidR="00342E03" w:rsidRPr="00342E03">
        <w:rPr>
          <w:rFonts w:ascii="Times New Roman" w:eastAsia="Calibri" w:hAnsi="Times New Roman" w:cs="Times New Roman"/>
          <w:iCs/>
          <w:noProof/>
          <w:sz w:val="24"/>
          <w:szCs w:val="20"/>
          <w:lang w:val="bg-BG" w:eastAsia="bg-BG" w:bidi="bg-BG"/>
        </w:rPr>
        <w:t>финансово жизнеспособни инвестиции</w:t>
      </w:r>
      <w:r w:rsidR="00342E03">
        <w:rPr>
          <w:rFonts w:ascii="Times New Roman" w:eastAsia="Calibri" w:hAnsi="Times New Roman" w:cs="Times New Roman"/>
          <w:iCs/>
          <w:noProof/>
          <w:sz w:val="24"/>
          <w:szCs w:val="20"/>
          <w:lang w:val="bg-BG" w:eastAsia="bg-BG" w:bidi="bg-BG"/>
        </w:rPr>
        <w:t>, по-конкретно на</w:t>
      </w:r>
      <w:r w:rsidR="007A3317" w:rsidRPr="00171DED">
        <w:rPr>
          <w:rFonts w:ascii="Times New Roman" w:eastAsia="Calibri" w:hAnsi="Times New Roman" w:cs="Times New Roman"/>
          <w:noProof/>
          <w:sz w:val="24"/>
          <w:szCs w:val="20"/>
          <w:lang w:val="bg-BG" w:eastAsia="bg-BG" w:bidi="bg-BG"/>
        </w:rPr>
        <w:t xml:space="preserve"> </w:t>
      </w:r>
      <w:r w:rsidR="0047785D" w:rsidRPr="00171DED">
        <w:rPr>
          <w:rFonts w:ascii="Times New Roman" w:eastAsia="Calibri" w:hAnsi="Times New Roman" w:cs="Times New Roman"/>
          <w:noProof/>
          <w:sz w:val="24"/>
          <w:szCs w:val="20"/>
          <w:lang w:val="bg-BG" w:eastAsia="bg-BG" w:bidi="bg-BG"/>
        </w:rPr>
        <w:t xml:space="preserve">допустимите </w:t>
      </w:r>
      <w:r w:rsidR="007A3317" w:rsidRPr="00171DED">
        <w:rPr>
          <w:rFonts w:ascii="Times New Roman" w:eastAsia="Calibri" w:hAnsi="Times New Roman" w:cs="Times New Roman"/>
          <w:noProof/>
          <w:sz w:val="24"/>
          <w:szCs w:val="20"/>
          <w:lang w:val="bg-BG" w:eastAsia="bg-BG" w:bidi="bg-BG"/>
        </w:rPr>
        <w:t>дейности, свързани с управление на отпадъци</w:t>
      </w:r>
      <w:r w:rsidR="0047785D" w:rsidRPr="00171DED">
        <w:rPr>
          <w:rFonts w:ascii="Times New Roman" w:eastAsia="Calibri" w:hAnsi="Times New Roman" w:cs="Times New Roman"/>
          <w:noProof/>
          <w:sz w:val="24"/>
          <w:szCs w:val="20"/>
          <w:lang w:val="bg-BG" w:eastAsia="bg-BG" w:bidi="bg-BG"/>
        </w:rPr>
        <w:t xml:space="preserve"> по приоритет 2 на програмата,</w:t>
      </w:r>
      <w:r w:rsidR="007A3317" w:rsidRPr="00171DED">
        <w:rPr>
          <w:rFonts w:ascii="Times New Roman" w:eastAsia="Calibri" w:hAnsi="Times New Roman" w:cs="Times New Roman"/>
          <w:noProof/>
          <w:sz w:val="24"/>
          <w:szCs w:val="20"/>
          <w:lang w:val="bg-BG" w:eastAsia="bg-BG" w:bidi="bg-BG"/>
        </w:rPr>
        <w:t xml:space="preserve"> при отчитане научените уроци от програмен период 2014-2020. Видът</w:t>
      </w:r>
      <w:r w:rsidR="00CB23CE" w:rsidRPr="00171DED">
        <w:rPr>
          <w:rFonts w:ascii="Times New Roman" w:eastAsia="Calibri" w:hAnsi="Times New Roman" w:cs="Times New Roman"/>
          <w:noProof/>
          <w:sz w:val="24"/>
          <w:szCs w:val="20"/>
          <w:lang w:val="bg-BG" w:eastAsia="bg-BG" w:bidi="bg-BG"/>
        </w:rPr>
        <w:t>, обхватът</w:t>
      </w:r>
      <w:r w:rsidR="00723990" w:rsidRPr="00DD5A8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и размер</w:t>
      </w:r>
      <w:r w:rsidR="00CB23CE" w:rsidRPr="00171DED">
        <w:rPr>
          <w:rFonts w:ascii="Times New Roman" w:eastAsia="Calibri" w:hAnsi="Times New Roman" w:cs="Times New Roman"/>
          <w:noProof/>
          <w:sz w:val="24"/>
          <w:szCs w:val="20"/>
          <w:lang w:val="bg-BG" w:eastAsia="bg-BG" w:bidi="bg-BG"/>
        </w:rPr>
        <w:t>ът</w:t>
      </w:r>
      <w:r w:rsidR="007A3317" w:rsidRPr="00171DED">
        <w:rPr>
          <w:rFonts w:ascii="Times New Roman" w:eastAsia="Calibri" w:hAnsi="Times New Roman" w:cs="Times New Roman"/>
          <w:noProof/>
          <w:sz w:val="24"/>
          <w:szCs w:val="20"/>
          <w:lang w:val="bg-BG" w:eastAsia="bg-BG" w:bidi="bg-BG"/>
        </w:rPr>
        <w:t xml:space="preserve"> на финансовия инструмент ще бъдат определени въз основа на </w:t>
      </w:r>
      <w:r w:rsidR="006506EF" w:rsidRPr="00171DED">
        <w:rPr>
          <w:rFonts w:ascii="Times New Roman" w:eastAsia="Calibri" w:hAnsi="Times New Roman" w:cs="Times New Roman"/>
          <w:noProof/>
          <w:sz w:val="24"/>
          <w:szCs w:val="20"/>
          <w:lang w:val="bg-BG" w:eastAsia="bg-BG" w:bidi="bg-BG"/>
        </w:rPr>
        <w:t xml:space="preserve"> </w:t>
      </w:r>
      <w:r w:rsidR="00CB23CE" w:rsidRPr="00171DED">
        <w:rPr>
          <w:rFonts w:ascii="Times New Roman" w:eastAsia="Calibri" w:hAnsi="Times New Roman" w:cs="Times New Roman"/>
          <w:noProof/>
          <w:sz w:val="24"/>
          <w:szCs w:val="20"/>
          <w:lang w:val="bg-BG" w:eastAsia="bg-BG" w:bidi="bg-BG"/>
        </w:rPr>
        <w:t xml:space="preserve">анализите и проучванията по подготовката на </w:t>
      </w:r>
      <w:r w:rsidR="00AC7E5D" w:rsidRPr="00171DED">
        <w:rPr>
          <w:rFonts w:ascii="Times New Roman" w:eastAsia="Calibri" w:hAnsi="Times New Roman" w:cs="Times New Roman"/>
          <w:noProof/>
          <w:sz w:val="24"/>
          <w:szCs w:val="20"/>
          <w:lang w:val="bg-BG" w:eastAsia="bg-BG" w:bidi="bg-BG"/>
        </w:rPr>
        <w:t>Предварителна оценка на ФИ за периода 2021-2027 г</w:t>
      </w:r>
      <w:r w:rsidR="00656598" w:rsidRPr="00171DED">
        <w:rPr>
          <w:rFonts w:ascii="Times New Roman" w:eastAsia="Calibri" w:hAnsi="Times New Roman" w:cs="Times New Roman"/>
          <w:noProof/>
          <w:sz w:val="24"/>
          <w:szCs w:val="20"/>
          <w:lang w:val="bg-BG" w:eastAsia="bg-BG" w:bidi="bg-BG"/>
        </w:rPr>
        <w:t>.</w:t>
      </w:r>
      <w:r w:rsidR="00A935B6" w:rsidRPr="00171DED">
        <w:rPr>
          <w:rFonts w:ascii="Times New Roman" w:eastAsia="Calibri" w:hAnsi="Times New Roman" w:cs="Times New Roman"/>
          <w:noProof/>
          <w:sz w:val="24"/>
          <w:szCs w:val="20"/>
          <w:lang w:val="bg-BG" w:eastAsia="bg-BG" w:bidi="bg-BG"/>
        </w:rPr>
        <w:t xml:space="preserve"> и извършени консултации и проучвания за интерес за ползване на финансов инструмент по приоритета. По предварителни проучвания потенциал за предоставяне на финансов инструмент имат мерките за </w:t>
      </w:r>
      <w:r w:rsidR="008B6823" w:rsidRPr="009C2EDE">
        <w:rPr>
          <w:rFonts w:ascii="Times New Roman" w:eastAsia="Calibri" w:hAnsi="Times New Roman" w:cs="Times New Roman"/>
          <w:noProof/>
          <w:sz w:val="24"/>
          <w:szCs w:val="20"/>
          <w:lang w:val="bg-BG" w:eastAsia="bg-BG" w:bidi="bg-BG"/>
        </w:rPr>
        <w:t>комбинирана подкрепа чрез предоставяне на заеми за финансиране на собствено участие на проекти с финансиране с БФП, както и мерки</w:t>
      </w:r>
      <w:r w:rsidR="008B6823" w:rsidRPr="008B6823">
        <w:rPr>
          <w:rFonts w:ascii="Times New Roman" w:eastAsia="Calibri" w:hAnsi="Times New Roman" w:cs="Times New Roman"/>
          <w:noProof/>
          <w:sz w:val="24"/>
          <w:szCs w:val="20"/>
          <w:lang w:val="bg-BG" w:eastAsia="bg-BG" w:bidi="bg-BG"/>
        </w:rPr>
        <w:t xml:space="preserve"> </w:t>
      </w:r>
      <w:r w:rsidR="00A935B6" w:rsidRPr="008B6823">
        <w:rPr>
          <w:rFonts w:ascii="Times New Roman" w:eastAsia="Calibri" w:hAnsi="Times New Roman" w:cs="Times New Roman"/>
          <w:noProof/>
          <w:sz w:val="24"/>
          <w:szCs w:val="20"/>
          <w:lang w:val="bg-BG" w:eastAsia="bg-BG" w:bidi="bg-BG"/>
        </w:rPr>
        <w:t xml:space="preserve">за рециклиране на </w:t>
      </w:r>
      <w:r w:rsidR="006E0CA8" w:rsidRPr="008B6823">
        <w:rPr>
          <w:rFonts w:ascii="Times New Roman" w:eastAsia="Calibri" w:hAnsi="Times New Roman" w:cs="Times New Roman"/>
          <w:noProof/>
          <w:sz w:val="24"/>
          <w:szCs w:val="20"/>
          <w:lang w:val="bg-BG" w:eastAsia="bg-BG" w:bidi="bg-BG"/>
        </w:rPr>
        <w:t xml:space="preserve">отпадъци, </w:t>
      </w:r>
      <w:r w:rsidR="008B6823" w:rsidRPr="009C2EDE">
        <w:rPr>
          <w:rFonts w:ascii="Times New Roman" w:eastAsia="Calibri" w:hAnsi="Times New Roman" w:cs="Times New Roman"/>
          <w:noProof/>
          <w:sz w:val="24"/>
          <w:szCs w:val="20"/>
          <w:lang w:val="bg-BG" w:eastAsia="bg-BG" w:bidi="bg-BG"/>
        </w:rPr>
        <w:t>вкл. в комбинация с разделно събиране на отпадъци</w:t>
      </w:r>
      <w:r w:rsidR="00CB23CE" w:rsidRPr="00171DED">
        <w:rPr>
          <w:rFonts w:ascii="Times New Roman" w:eastAsia="Calibri" w:hAnsi="Times New Roman" w:cs="Times New Roman"/>
          <w:noProof/>
          <w:sz w:val="24"/>
          <w:szCs w:val="20"/>
          <w:lang w:val="bg-BG" w:eastAsia="bg-BG" w:bidi="bg-BG"/>
        </w:rPr>
        <w:t>.</w:t>
      </w:r>
    </w:p>
    <w:p w14:paraId="194E52DB" w14:textId="6319F4CF" w:rsidR="0022545E" w:rsidRPr="00171DED" w:rsidRDefault="0022545E" w:rsidP="0022545E">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2.1.1.2 Показатели</w:t>
      </w:r>
      <w:r w:rsidR="007C2655">
        <w:rPr>
          <w:rStyle w:val="FootnoteReference"/>
          <w:rFonts w:ascii="Times New Roman" w:eastAsia="Calibri" w:hAnsi="Times New Roman" w:cs="Times New Roman"/>
          <w:b/>
          <w:noProof/>
          <w:sz w:val="24"/>
          <w:szCs w:val="20"/>
          <w:lang w:val="bg-BG" w:eastAsia="bg-BG" w:bidi="bg-BG"/>
        </w:rPr>
        <w:footnoteReference w:id="10"/>
      </w:r>
    </w:p>
    <w:p w14:paraId="6CCD4B6F"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607"/>
        <w:gridCol w:w="983"/>
        <w:gridCol w:w="629"/>
        <w:gridCol w:w="1794"/>
        <w:gridCol w:w="817"/>
        <w:gridCol w:w="747"/>
        <w:gridCol w:w="933"/>
      </w:tblGrid>
      <w:tr w:rsidR="0022545E" w:rsidRPr="0010575B" w14:paraId="4DE46556" w14:textId="77777777" w:rsidTr="00DD5A8D">
        <w:trPr>
          <w:trHeight w:val="425"/>
          <w:jc w:val="center"/>
        </w:trPr>
        <w:tc>
          <w:tcPr>
            <w:tcW w:w="5000" w:type="pct"/>
            <w:gridSpan w:val="9"/>
          </w:tcPr>
          <w:p w14:paraId="1AD3E427" w14:textId="77777777" w:rsidR="0022545E" w:rsidRPr="00171DED" w:rsidRDefault="0022545E" w:rsidP="00456C39">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BE032C" w:rsidRPr="00171DED" w14:paraId="4BFDFA85" w14:textId="77777777" w:rsidTr="00DD5A8D">
        <w:trPr>
          <w:trHeight w:val="1647"/>
          <w:jc w:val="center"/>
        </w:trPr>
        <w:tc>
          <w:tcPr>
            <w:tcW w:w="685" w:type="pct"/>
          </w:tcPr>
          <w:p w14:paraId="4E1084C9"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23" w:type="pct"/>
          </w:tcPr>
          <w:p w14:paraId="6AC2E61D" w14:textId="13909D6C"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35" w:type="pct"/>
          </w:tcPr>
          <w:p w14:paraId="5202D13B"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2" w:type="pct"/>
          </w:tcPr>
          <w:p w14:paraId="5121B773"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47" w:type="pct"/>
          </w:tcPr>
          <w:p w14:paraId="158789A7"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990" w:type="pct"/>
            <w:shd w:val="clear" w:color="auto" w:fill="auto"/>
          </w:tcPr>
          <w:p w14:paraId="0BB87B1A"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1" w:type="pct"/>
          </w:tcPr>
          <w:p w14:paraId="3F574719"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2" w:type="pct"/>
            <w:shd w:val="clear" w:color="auto" w:fill="auto"/>
          </w:tcPr>
          <w:p w14:paraId="124F5BD5"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0982B461"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p>
        </w:tc>
        <w:tc>
          <w:tcPr>
            <w:tcW w:w="515" w:type="pct"/>
            <w:shd w:val="clear" w:color="auto" w:fill="auto"/>
          </w:tcPr>
          <w:p w14:paraId="764E90FA"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3F1CB950"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p>
        </w:tc>
      </w:tr>
      <w:tr w:rsidR="00E12E65" w:rsidRPr="00171DED" w14:paraId="60A39231" w14:textId="77777777" w:rsidTr="00DD5A8D">
        <w:trPr>
          <w:trHeight w:val="1160"/>
          <w:jc w:val="center"/>
        </w:trPr>
        <w:tc>
          <w:tcPr>
            <w:tcW w:w="685" w:type="pct"/>
            <w:vMerge w:val="restart"/>
            <w:tcBorders>
              <w:bottom w:val="single" w:sz="4" w:space="0" w:color="auto"/>
            </w:tcBorders>
            <w:vAlign w:val="center"/>
          </w:tcPr>
          <w:p w14:paraId="039E799D" w14:textId="2790C73D" w:rsidR="00E12E65" w:rsidRPr="00171DED" w:rsidRDefault="00E12E65" w:rsidP="00456C39">
            <w:pPr>
              <w:spacing w:before="120" w:after="120" w:line="240" w:lineRule="auto"/>
              <w:rPr>
                <w:rFonts w:ascii="Times New Roman" w:hAnsi="Times New Roman"/>
                <w:noProof/>
                <w:sz w:val="20"/>
                <w:szCs w:val="20"/>
                <w:lang w:val="bg-BG" w:eastAsia="bg-BG" w:bidi="bg-BG"/>
              </w:rPr>
            </w:pPr>
            <w:bookmarkStart w:id="8" w:name="_Hlk26355283"/>
            <w:r w:rsidRPr="00171DED">
              <w:rPr>
                <w:rFonts w:ascii="Times New Roman" w:hAnsi="Times New Roman"/>
                <w:noProof/>
                <w:sz w:val="20"/>
                <w:szCs w:val="20"/>
                <w:lang w:val="bg-BG" w:eastAsia="bg-BG" w:bidi="bg-BG"/>
              </w:rPr>
              <w:t>„Отпадъци“</w:t>
            </w:r>
          </w:p>
        </w:tc>
        <w:tc>
          <w:tcPr>
            <w:tcW w:w="723" w:type="pct"/>
            <w:vMerge w:val="restart"/>
            <w:tcBorders>
              <w:bottom w:val="single" w:sz="4" w:space="0" w:color="auto"/>
            </w:tcBorders>
            <w:vAlign w:val="center"/>
          </w:tcPr>
          <w:p w14:paraId="71AC4011" w14:textId="0BEAAF22" w:rsidR="00E12E65" w:rsidRPr="00171DED" w:rsidRDefault="00E12E65" w:rsidP="001A1722">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Насърчаване на прехода към кръгова</w:t>
            </w:r>
            <w:r w:rsidR="00CC0996" w:rsidRPr="00171DED">
              <w:rPr>
                <w:rFonts w:ascii="Times New Roman" w:hAnsi="Times New Roman"/>
                <w:noProof/>
                <w:sz w:val="20"/>
                <w:szCs w:val="20"/>
                <w:lang w:val="bg-BG" w:eastAsia="bg-BG" w:bidi="bg-BG"/>
              </w:rPr>
              <w:t xml:space="preserve"> и ресурсно ефективна</w:t>
            </w:r>
            <w:r w:rsidRPr="00171DED">
              <w:rPr>
                <w:rFonts w:ascii="Times New Roman" w:hAnsi="Times New Roman"/>
                <w:noProof/>
                <w:sz w:val="20"/>
                <w:szCs w:val="20"/>
                <w:lang w:val="bg-BG" w:eastAsia="bg-BG" w:bidi="bg-BG"/>
              </w:rPr>
              <w:t xml:space="preserve"> икономика</w:t>
            </w:r>
          </w:p>
        </w:tc>
        <w:tc>
          <w:tcPr>
            <w:tcW w:w="335" w:type="pct"/>
            <w:vMerge w:val="restart"/>
            <w:tcBorders>
              <w:bottom w:val="single" w:sz="4" w:space="0" w:color="auto"/>
            </w:tcBorders>
            <w:vAlign w:val="center"/>
          </w:tcPr>
          <w:p w14:paraId="7822C9AD" w14:textId="77777777" w:rsidR="00E12E65" w:rsidRPr="00171DED" w:rsidRDefault="00E12E65" w:rsidP="00456C3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КФ</w:t>
            </w:r>
          </w:p>
        </w:tc>
        <w:tc>
          <w:tcPr>
            <w:tcW w:w="542" w:type="pct"/>
            <w:vMerge w:val="restart"/>
            <w:tcBorders>
              <w:bottom w:val="single" w:sz="4" w:space="0" w:color="auto"/>
            </w:tcBorders>
            <w:vAlign w:val="center"/>
          </w:tcPr>
          <w:p w14:paraId="699FFBA3" w14:textId="140B4741" w:rsidR="00E12E65" w:rsidRPr="00171DED" w:rsidRDefault="00E12E65" w:rsidP="00456C39">
            <w:pPr>
              <w:spacing w:before="120" w:after="0" w:line="240" w:lineRule="auto"/>
              <w:jc w:val="center"/>
              <w:rPr>
                <w:rFonts w:ascii="Times New Roman" w:eastAsia="Calibri" w:hAnsi="Times New Roman" w:cs="Times New Roman"/>
                <w:noProof/>
                <w:sz w:val="20"/>
                <w:szCs w:val="20"/>
                <w:lang w:val="bg-BG" w:eastAsia="bg-BG" w:bidi="bg-BG"/>
              </w:rPr>
            </w:pPr>
          </w:p>
        </w:tc>
        <w:tc>
          <w:tcPr>
            <w:tcW w:w="347" w:type="pct"/>
            <w:tcBorders>
              <w:bottom w:val="single" w:sz="4" w:space="0" w:color="auto"/>
            </w:tcBorders>
            <w:vAlign w:val="center"/>
          </w:tcPr>
          <w:p w14:paraId="39859DEB" w14:textId="77777777" w:rsidR="00E12E65" w:rsidRPr="00171DED" w:rsidRDefault="00E12E65" w:rsidP="00456C39">
            <w:pPr>
              <w:spacing w:before="120" w:after="120" w:line="240" w:lineRule="auto"/>
              <w:jc w:val="both"/>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34</w:t>
            </w:r>
          </w:p>
        </w:tc>
        <w:tc>
          <w:tcPr>
            <w:tcW w:w="990" w:type="pct"/>
            <w:tcBorders>
              <w:bottom w:val="single" w:sz="4" w:space="0" w:color="auto"/>
            </w:tcBorders>
            <w:shd w:val="clear" w:color="auto" w:fill="auto"/>
          </w:tcPr>
          <w:p w14:paraId="560803F5" w14:textId="77777777" w:rsidR="00E12E65" w:rsidRPr="00171DED" w:rsidRDefault="00E12E65" w:rsidP="00AD5647">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Допълнителен капацитет за рециклиране на отпадъци</w:t>
            </w:r>
          </w:p>
        </w:tc>
        <w:tc>
          <w:tcPr>
            <w:tcW w:w="451" w:type="pct"/>
            <w:tcBorders>
              <w:bottom w:val="single" w:sz="4" w:space="0" w:color="auto"/>
            </w:tcBorders>
            <w:vAlign w:val="center"/>
          </w:tcPr>
          <w:p w14:paraId="0C8CA1B4" w14:textId="1D87E99A" w:rsidR="00E12E65" w:rsidRPr="00171DED" w:rsidRDefault="00E12E65" w:rsidP="00456C39">
            <w:pPr>
              <w:spacing w:before="120" w:after="120" w:line="240" w:lineRule="auto"/>
              <w:jc w:val="both"/>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т/година</w:t>
            </w:r>
          </w:p>
        </w:tc>
        <w:tc>
          <w:tcPr>
            <w:tcW w:w="412" w:type="pct"/>
            <w:tcBorders>
              <w:bottom w:val="single" w:sz="4" w:space="0" w:color="auto"/>
            </w:tcBorders>
            <w:shd w:val="clear" w:color="auto" w:fill="auto"/>
            <w:vAlign w:val="center"/>
          </w:tcPr>
          <w:p w14:paraId="0A2425C0" w14:textId="175BA42B" w:rsidR="00E12E65" w:rsidRPr="00171DED" w:rsidRDefault="00E12E65" w:rsidP="00456C39">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cs="Times New Roman"/>
                <w:bCs/>
                <w:iCs/>
                <w:sz w:val="16"/>
                <w:szCs w:val="16"/>
                <w:lang w:eastAsia="bg-BG" w:bidi="bg-BG"/>
              </w:rPr>
              <w:t>0</w:t>
            </w:r>
          </w:p>
        </w:tc>
        <w:tc>
          <w:tcPr>
            <w:tcW w:w="515" w:type="pct"/>
            <w:tcBorders>
              <w:bottom w:val="single" w:sz="4" w:space="0" w:color="auto"/>
            </w:tcBorders>
            <w:shd w:val="clear" w:color="auto" w:fill="auto"/>
            <w:vAlign w:val="center"/>
          </w:tcPr>
          <w:p w14:paraId="27C8E26F" w14:textId="31B5CD1B" w:rsidR="00E12E65" w:rsidRPr="00171DED" w:rsidRDefault="00E12E65" w:rsidP="00456C39">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cs="Times New Roman"/>
                <w:bCs/>
                <w:iCs/>
                <w:sz w:val="16"/>
                <w:szCs w:val="16"/>
                <w:lang w:eastAsia="bg-BG" w:bidi="bg-BG"/>
              </w:rPr>
              <w:t>177 000</w:t>
            </w:r>
          </w:p>
        </w:tc>
      </w:tr>
      <w:tr w:rsidR="00E12E65" w:rsidRPr="00171DED" w14:paraId="75AFBEBE" w14:textId="77777777" w:rsidTr="00DD5A8D">
        <w:trPr>
          <w:trHeight w:val="1390"/>
          <w:jc w:val="center"/>
        </w:trPr>
        <w:tc>
          <w:tcPr>
            <w:tcW w:w="685" w:type="pct"/>
            <w:vMerge/>
            <w:tcBorders>
              <w:bottom w:val="single" w:sz="4" w:space="0" w:color="auto"/>
            </w:tcBorders>
          </w:tcPr>
          <w:p w14:paraId="67195F19" w14:textId="77777777" w:rsidR="00E12E65" w:rsidRPr="00171DED" w:rsidRDefault="00E12E65" w:rsidP="00584F2A">
            <w:pPr>
              <w:spacing w:before="120" w:after="120" w:line="240" w:lineRule="auto"/>
              <w:jc w:val="both"/>
              <w:rPr>
                <w:rFonts w:ascii="Times New Roman" w:hAnsi="Times New Roman"/>
                <w:noProof/>
                <w:sz w:val="20"/>
                <w:szCs w:val="20"/>
                <w:lang w:val="bg-BG" w:eastAsia="bg-BG" w:bidi="bg-BG"/>
              </w:rPr>
            </w:pPr>
          </w:p>
        </w:tc>
        <w:tc>
          <w:tcPr>
            <w:tcW w:w="723" w:type="pct"/>
            <w:vMerge/>
            <w:tcBorders>
              <w:bottom w:val="single" w:sz="4" w:space="0" w:color="auto"/>
            </w:tcBorders>
          </w:tcPr>
          <w:p w14:paraId="53622955" w14:textId="77777777" w:rsidR="00E12E65" w:rsidRPr="00171DED" w:rsidRDefault="00E12E65" w:rsidP="00584F2A">
            <w:pPr>
              <w:spacing w:before="120" w:after="120" w:line="240" w:lineRule="auto"/>
              <w:jc w:val="both"/>
              <w:rPr>
                <w:rFonts w:ascii="Times New Roman" w:hAnsi="Times New Roman"/>
                <w:b/>
                <w:i/>
                <w:noProof/>
                <w:sz w:val="20"/>
                <w:szCs w:val="20"/>
                <w:lang w:val="bg-BG" w:eastAsia="bg-BG" w:bidi="bg-BG"/>
              </w:rPr>
            </w:pPr>
          </w:p>
        </w:tc>
        <w:tc>
          <w:tcPr>
            <w:tcW w:w="335" w:type="pct"/>
            <w:vMerge/>
            <w:tcBorders>
              <w:bottom w:val="single" w:sz="4" w:space="0" w:color="auto"/>
            </w:tcBorders>
          </w:tcPr>
          <w:p w14:paraId="77D88741" w14:textId="77777777" w:rsidR="00E12E65" w:rsidRPr="00171DED" w:rsidRDefault="00E12E65" w:rsidP="00584F2A">
            <w:pPr>
              <w:spacing w:before="120" w:after="120" w:line="240" w:lineRule="auto"/>
              <w:jc w:val="both"/>
              <w:rPr>
                <w:rFonts w:ascii="Times New Roman" w:hAnsi="Times New Roman"/>
                <w:noProof/>
                <w:sz w:val="20"/>
                <w:szCs w:val="20"/>
                <w:lang w:val="bg-BG" w:eastAsia="bg-BG" w:bidi="bg-BG"/>
              </w:rPr>
            </w:pPr>
          </w:p>
        </w:tc>
        <w:tc>
          <w:tcPr>
            <w:tcW w:w="542" w:type="pct"/>
            <w:vMerge/>
            <w:tcBorders>
              <w:bottom w:val="single" w:sz="4" w:space="0" w:color="auto"/>
            </w:tcBorders>
            <w:vAlign w:val="center"/>
          </w:tcPr>
          <w:p w14:paraId="48C9BF99" w14:textId="4F998EA9" w:rsidR="00E12E65" w:rsidRPr="00171DED" w:rsidRDefault="00E12E65" w:rsidP="00584F2A">
            <w:pPr>
              <w:spacing w:before="120" w:after="0" w:line="240" w:lineRule="auto"/>
              <w:jc w:val="center"/>
              <w:rPr>
                <w:rFonts w:ascii="Times New Roman" w:eastAsia="Calibri" w:hAnsi="Times New Roman" w:cs="Times New Roman"/>
                <w:noProof/>
                <w:sz w:val="20"/>
                <w:szCs w:val="20"/>
                <w:lang w:val="bg-BG" w:eastAsia="bg-BG" w:bidi="bg-BG"/>
              </w:rPr>
            </w:pPr>
          </w:p>
        </w:tc>
        <w:tc>
          <w:tcPr>
            <w:tcW w:w="347" w:type="pct"/>
            <w:tcBorders>
              <w:bottom w:val="single" w:sz="4" w:space="0" w:color="auto"/>
            </w:tcBorders>
            <w:vAlign w:val="center"/>
          </w:tcPr>
          <w:p w14:paraId="7EC83B80" w14:textId="77777777" w:rsidR="00E12E65" w:rsidRPr="00AD5647" w:rsidRDefault="00E12E65" w:rsidP="00456C39">
            <w:pPr>
              <w:spacing w:before="120" w:after="120" w:line="240" w:lineRule="auto"/>
              <w:jc w:val="both"/>
              <w:rPr>
                <w:rFonts w:ascii="Times New Roman" w:eastAsia="Times New Roman" w:hAnsi="Times New Roman" w:cs="Times New Roman"/>
                <w:iCs/>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107</w:t>
            </w:r>
          </w:p>
        </w:tc>
        <w:tc>
          <w:tcPr>
            <w:tcW w:w="990" w:type="pct"/>
            <w:tcBorders>
              <w:bottom w:val="single" w:sz="4" w:space="0" w:color="auto"/>
            </w:tcBorders>
            <w:shd w:val="clear" w:color="auto" w:fill="auto"/>
          </w:tcPr>
          <w:p w14:paraId="2199E6E5" w14:textId="3FBB0D77" w:rsidR="00E12E65" w:rsidRPr="00171DED" w:rsidRDefault="00E12E65" w:rsidP="00AD5647">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Инвестиции в съоръжения за разделно събиране на отпадъци</w:t>
            </w:r>
          </w:p>
        </w:tc>
        <w:tc>
          <w:tcPr>
            <w:tcW w:w="451" w:type="pct"/>
            <w:tcBorders>
              <w:bottom w:val="single" w:sz="4" w:space="0" w:color="auto"/>
            </w:tcBorders>
            <w:vAlign w:val="center"/>
          </w:tcPr>
          <w:p w14:paraId="283B9DAF" w14:textId="6462C315" w:rsidR="00E12E65" w:rsidRPr="00171DED" w:rsidRDefault="00E12E65" w:rsidP="00456C39">
            <w:pPr>
              <w:spacing w:before="120" w:after="120" w:line="240" w:lineRule="auto"/>
              <w:jc w:val="both"/>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евро</w:t>
            </w:r>
          </w:p>
        </w:tc>
        <w:tc>
          <w:tcPr>
            <w:tcW w:w="412" w:type="pct"/>
            <w:tcBorders>
              <w:bottom w:val="single" w:sz="4" w:space="0" w:color="auto"/>
            </w:tcBorders>
            <w:shd w:val="clear" w:color="auto" w:fill="auto"/>
            <w:vAlign w:val="center"/>
          </w:tcPr>
          <w:p w14:paraId="121D08C9" w14:textId="268A433A" w:rsidR="00E12E65" w:rsidRPr="00171DED" w:rsidRDefault="00E12E65"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cs="Times New Roman"/>
                <w:bCs/>
                <w:sz w:val="16"/>
                <w:szCs w:val="16"/>
                <w:lang w:eastAsia="bg-BG" w:bidi="bg-BG"/>
              </w:rPr>
              <w:t>0</w:t>
            </w:r>
          </w:p>
        </w:tc>
        <w:tc>
          <w:tcPr>
            <w:tcW w:w="515" w:type="pct"/>
            <w:tcBorders>
              <w:bottom w:val="single" w:sz="4" w:space="0" w:color="auto"/>
            </w:tcBorders>
            <w:shd w:val="clear" w:color="auto" w:fill="auto"/>
            <w:vAlign w:val="center"/>
          </w:tcPr>
          <w:p w14:paraId="7EE6C20F" w14:textId="783838BD" w:rsidR="00E12E65" w:rsidRPr="005224D5" w:rsidRDefault="00044557" w:rsidP="00456C39">
            <w:pPr>
              <w:spacing w:before="120" w:after="120" w:line="240" w:lineRule="auto"/>
              <w:jc w:val="both"/>
              <w:rPr>
                <w:rFonts w:ascii="Times New Roman" w:hAnsi="Times New Roman"/>
                <w:b/>
                <w:noProof/>
                <w:sz w:val="16"/>
                <w:szCs w:val="16"/>
                <w:lang w:val="bg-BG" w:eastAsia="bg-BG" w:bidi="bg-BG"/>
              </w:rPr>
            </w:pPr>
            <w:r w:rsidRPr="00584F2A">
              <w:rPr>
                <w:rFonts w:ascii="Times New Roman" w:hAnsi="Times New Roman" w:cs="Times New Roman"/>
                <w:sz w:val="18"/>
                <w:szCs w:val="18"/>
              </w:rPr>
              <w:t>40 515 532,74</w:t>
            </w:r>
          </w:p>
        </w:tc>
      </w:tr>
      <w:bookmarkEnd w:id="8"/>
    </w:tbl>
    <w:p w14:paraId="42BE9E02" w14:textId="77777777" w:rsidR="0022545E" w:rsidRPr="00171DED" w:rsidRDefault="0022545E"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970"/>
        <w:gridCol w:w="654"/>
        <w:gridCol w:w="576"/>
        <w:gridCol w:w="491"/>
        <w:gridCol w:w="990"/>
        <w:gridCol w:w="631"/>
        <w:gridCol w:w="799"/>
        <w:gridCol w:w="805"/>
        <w:gridCol w:w="660"/>
        <w:gridCol w:w="790"/>
        <w:gridCol w:w="774"/>
      </w:tblGrid>
      <w:tr w:rsidR="0022545E" w:rsidRPr="00171DED" w14:paraId="66E04837" w14:textId="77777777" w:rsidTr="001A1722">
        <w:trPr>
          <w:trHeight w:val="480"/>
        </w:trPr>
        <w:tc>
          <w:tcPr>
            <w:tcW w:w="5000" w:type="pct"/>
            <w:gridSpan w:val="12"/>
          </w:tcPr>
          <w:p w14:paraId="25C08CA4"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A04103" w:rsidRPr="00171DED" w14:paraId="333F4ED1" w14:textId="77777777" w:rsidTr="001A1722">
        <w:trPr>
          <w:trHeight w:val="1768"/>
        </w:trPr>
        <w:tc>
          <w:tcPr>
            <w:tcW w:w="509" w:type="pct"/>
          </w:tcPr>
          <w:p w14:paraId="453F619D"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35" w:type="pct"/>
          </w:tcPr>
          <w:p w14:paraId="2B9092A3" w14:textId="6964D2CB"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61" w:type="pct"/>
          </w:tcPr>
          <w:p w14:paraId="64563F72"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18" w:type="pct"/>
          </w:tcPr>
          <w:p w14:paraId="5BCCD626"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71" w:type="pct"/>
          </w:tcPr>
          <w:p w14:paraId="5C40528F"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546" w:type="pct"/>
            <w:shd w:val="clear" w:color="auto" w:fill="auto"/>
          </w:tcPr>
          <w:p w14:paraId="2AAC213A"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48" w:type="pct"/>
          </w:tcPr>
          <w:p w14:paraId="2883696A"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41" w:type="pct"/>
          </w:tcPr>
          <w:p w14:paraId="546FDBF3"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44" w:type="pct"/>
          </w:tcPr>
          <w:p w14:paraId="6255EE50"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64" w:type="pct"/>
            <w:shd w:val="clear" w:color="auto" w:fill="auto"/>
          </w:tcPr>
          <w:p w14:paraId="15A468A1"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5F4E9BBD"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p>
        </w:tc>
        <w:tc>
          <w:tcPr>
            <w:tcW w:w="436" w:type="pct"/>
            <w:shd w:val="clear" w:color="auto" w:fill="auto"/>
          </w:tcPr>
          <w:p w14:paraId="65B984CA" w14:textId="77777777" w:rsidR="0022545E" w:rsidRPr="00171DED" w:rsidRDefault="0022545E" w:rsidP="00456C39">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27" w:type="pct"/>
          </w:tcPr>
          <w:p w14:paraId="19281F23" w14:textId="77777777" w:rsidR="0022545E" w:rsidRPr="00171DED" w:rsidRDefault="0022545E" w:rsidP="00456C39">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5373BA" w:rsidRPr="0010575B" w14:paraId="52293B2C" w14:textId="77777777" w:rsidTr="001A1722">
        <w:trPr>
          <w:trHeight w:val="1160"/>
        </w:trPr>
        <w:tc>
          <w:tcPr>
            <w:tcW w:w="509" w:type="pct"/>
            <w:vMerge w:val="restart"/>
            <w:vAlign w:val="center"/>
          </w:tcPr>
          <w:p w14:paraId="335AF3F4" w14:textId="1FE592BD"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„Отпадъци“</w:t>
            </w:r>
          </w:p>
        </w:tc>
        <w:tc>
          <w:tcPr>
            <w:tcW w:w="535" w:type="pct"/>
            <w:vMerge w:val="restart"/>
            <w:vAlign w:val="center"/>
          </w:tcPr>
          <w:p w14:paraId="434DB2E7" w14:textId="7AEF4509" w:rsidR="005373BA" w:rsidRPr="001A1722" w:rsidRDefault="005373BA" w:rsidP="001A1722">
            <w:pPr>
              <w:spacing w:before="120" w:after="120" w:line="240" w:lineRule="auto"/>
              <w:rPr>
                <w:rFonts w:ascii="Times New Roman" w:hAnsi="Times New Roman"/>
                <w:i/>
                <w:noProof/>
                <w:sz w:val="18"/>
                <w:szCs w:val="18"/>
                <w:lang w:val="bg-BG" w:eastAsia="bg-BG" w:bidi="bg-BG"/>
              </w:rPr>
            </w:pPr>
            <w:r w:rsidRPr="001A1722">
              <w:rPr>
                <w:rFonts w:ascii="Times New Roman" w:hAnsi="Times New Roman"/>
                <w:noProof/>
                <w:sz w:val="18"/>
                <w:szCs w:val="18"/>
                <w:lang w:val="bg-BG" w:eastAsia="bg-BG" w:bidi="bg-BG"/>
              </w:rPr>
              <w:t xml:space="preserve">Насърчаване на прехода към кръгова и </w:t>
            </w:r>
            <w:r w:rsidRPr="001A1722">
              <w:rPr>
                <w:rFonts w:ascii="Times New Roman" w:hAnsi="Times New Roman"/>
                <w:noProof/>
                <w:sz w:val="18"/>
                <w:szCs w:val="18"/>
                <w:lang w:val="bg-BG" w:eastAsia="bg-BG" w:bidi="bg-BG"/>
              </w:rPr>
              <w:lastRenderedPageBreak/>
              <w:t>ресурсно ефективна икономика</w:t>
            </w:r>
          </w:p>
        </w:tc>
        <w:tc>
          <w:tcPr>
            <w:tcW w:w="361" w:type="pct"/>
            <w:vMerge w:val="restart"/>
            <w:vAlign w:val="center"/>
          </w:tcPr>
          <w:p w14:paraId="16D52AE7" w14:textId="77777777" w:rsidR="005373BA" w:rsidRPr="00171DED" w:rsidRDefault="005373BA" w:rsidP="00456C39">
            <w:pPr>
              <w:spacing w:before="120" w:after="120" w:line="240" w:lineRule="auto"/>
              <w:rPr>
                <w:rFonts w:ascii="Times New Roman" w:hAnsi="Times New Roman"/>
                <w:noProof/>
                <w:sz w:val="20"/>
                <w:szCs w:val="14"/>
                <w:lang w:val="bg-BG" w:eastAsia="bg-BG" w:bidi="bg-BG"/>
              </w:rPr>
            </w:pPr>
            <w:r w:rsidRPr="00171DED">
              <w:rPr>
                <w:rFonts w:ascii="Times New Roman" w:hAnsi="Times New Roman"/>
                <w:noProof/>
                <w:sz w:val="20"/>
                <w:szCs w:val="14"/>
                <w:lang w:val="bg-BG" w:eastAsia="bg-BG" w:bidi="bg-BG"/>
              </w:rPr>
              <w:lastRenderedPageBreak/>
              <w:t>КФ</w:t>
            </w:r>
          </w:p>
          <w:p w14:paraId="0ADB9160" w14:textId="77777777" w:rsidR="005373BA" w:rsidRPr="00171DED" w:rsidRDefault="005373BA" w:rsidP="00456C39">
            <w:pPr>
              <w:spacing w:before="120" w:after="120" w:line="240" w:lineRule="auto"/>
              <w:rPr>
                <w:rFonts w:ascii="Times New Roman" w:hAnsi="Times New Roman"/>
                <w:noProof/>
                <w:sz w:val="20"/>
                <w:szCs w:val="14"/>
                <w:lang w:val="bg-BG" w:eastAsia="bg-BG" w:bidi="bg-BG"/>
              </w:rPr>
            </w:pPr>
          </w:p>
        </w:tc>
        <w:tc>
          <w:tcPr>
            <w:tcW w:w="318" w:type="pct"/>
            <w:vMerge w:val="restart"/>
            <w:vAlign w:val="center"/>
          </w:tcPr>
          <w:p w14:paraId="2464BEDB" w14:textId="218E29F5" w:rsidR="005373BA" w:rsidRPr="00171DED" w:rsidRDefault="005373BA" w:rsidP="00456C39">
            <w:pPr>
              <w:spacing w:before="120" w:after="0" w:line="240" w:lineRule="auto"/>
              <w:jc w:val="center"/>
              <w:rPr>
                <w:rFonts w:ascii="Times New Roman" w:eastAsia="Calibri" w:hAnsi="Times New Roman" w:cs="Times New Roman"/>
                <w:noProof/>
                <w:sz w:val="18"/>
                <w:szCs w:val="20"/>
                <w:lang w:val="bg-BG" w:eastAsia="bg-BG" w:bidi="bg-BG"/>
              </w:rPr>
            </w:pPr>
          </w:p>
        </w:tc>
        <w:tc>
          <w:tcPr>
            <w:tcW w:w="271" w:type="pct"/>
            <w:shd w:val="clear" w:color="auto" w:fill="FFFFFF" w:themeFill="background1"/>
            <w:vAlign w:val="center"/>
          </w:tcPr>
          <w:p w14:paraId="47FAAD20" w14:textId="77777777"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103</w:t>
            </w:r>
          </w:p>
        </w:tc>
        <w:tc>
          <w:tcPr>
            <w:tcW w:w="546" w:type="pct"/>
            <w:shd w:val="clear" w:color="auto" w:fill="FFFFFF" w:themeFill="background1"/>
            <w:vAlign w:val="center"/>
          </w:tcPr>
          <w:p w14:paraId="76D08F18" w14:textId="77777777" w:rsidR="005373BA" w:rsidRPr="001A1722" w:rsidRDefault="005373BA" w:rsidP="00456C39">
            <w:pPr>
              <w:spacing w:before="120" w:after="120" w:line="240" w:lineRule="auto"/>
              <w:rPr>
                <w:rFonts w:ascii="Times New Roman" w:hAnsi="Times New Roman"/>
                <w:noProof/>
                <w:sz w:val="18"/>
                <w:szCs w:val="18"/>
                <w:lang w:val="bg-BG" w:eastAsia="bg-BG" w:bidi="bg-BG"/>
              </w:rPr>
            </w:pPr>
            <w:r w:rsidRPr="001A1722">
              <w:rPr>
                <w:rFonts w:ascii="Times New Roman" w:hAnsi="Times New Roman"/>
                <w:noProof/>
                <w:sz w:val="18"/>
                <w:szCs w:val="18"/>
                <w:lang w:val="bg-BG" w:eastAsia="bg-BG" w:bidi="bg-BG"/>
              </w:rPr>
              <w:t>Разделно събрани отпадъци</w:t>
            </w:r>
          </w:p>
        </w:tc>
        <w:tc>
          <w:tcPr>
            <w:tcW w:w="348" w:type="pct"/>
            <w:shd w:val="clear" w:color="auto" w:fill="FFFFFF" w:themeFill="background1"/>
            <w:vAlign w:val="center"/>
          </w:tcPr>
          <w:p w14:paraId="5C251628" w14:textId="77777777" w:rsidR="005373BA" w:rsidRPr="00171DED" w:rsidRDefault="005373BA" w:rsidP="00456C39">
            <w:pPr>
              <w:spacing w:before="120" w:after="120" w:line="240" w:lineRule="auto"/>
              <w:rPr>
                <w:rFonts w:ascii="Times New Roman" w:hAnsi="Times New Roman"/>
                <w:iCs/>
                <w:noProof/>
                <w:sz w:val="16"/>
                <w:szCs w:val="16"/>
                <w:lang w:val="bg-BG" w:eastAsia="bg-BG" w:bidi="bg-BG"/>
              </w:rPr>
            </w:pPr>
          </w:p>
          <w:p w14:paraId="6476489E" w14:textId="77777777" w:rsidR="005373BA" w:rsidRPr="00171DED" w:rsidRDefault="005373BA" w:rsidP="00456C39">
            <w:pPr>
              <w:spacing w:before="120" w:after="120" w:line="240" w:lineRule="auto"/>
              <w:rPr>
                <w:rFonts w:ascii="Times New Roman" w:hAnsi="Times New Roman"/>
                <w:iCs/>
                <w:noProof/>
                <w:sz w:val="16"/>
                <w:szCs w:val="16"/>
                <w:lang w:val="bg-BG" w:eastAsia="bg-BG" w:bidi="bg-BG"/>
              </w:rPr>
            </w:pPr>
          </w:p>
          <w:p w14:paraId="3A0E9031" w14:textId="1A68176F" w:rsidR="005373BA" w:rsidRPr="00171DED" w:rsidRDefault="005373BA" w:rsidP="00456C39">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т/год.</w:t>
            </w:r>
          </w:p>
        </w:tc>
        <w:tc>
          <w:tcPr>
            <w:tcW w:w="441" w:type="pct"/>
            <w:vAlign w:val="center"/>
          </w:tcPr>
          <w:p w14:paraId="5BBE8709" w14:textId="0738CF7F" w:rsidR="005373BA" w:rsidRPr="00171DED" w:rsidRDefault="005373BA" w:rsidP="00456C39">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cs="Times New Roman"/>
                <w:iCs/>
                <w:sz w:val="14"/>
                <w:szCs w:val="14"/>
                <w:lang w:eastAsia="bg-BG" w:bidi="bg-BG"/>
              </w:rPr>
              <w:t>0</w:t>
            </w:r>
          </w:p>
        </w:tc>
        <w:tc>
          <w:tcPr>
            <w:tcW w:w="444" w:type="pct"/>
            <w:vAlign w:val="center"/>
          </w:tcPr>
          <w:p w14:paraId="374F38F0" w14:textId="297CFA9A" w:rsidR="005373BA" w:rsidRPr="00171DED" w:rsidRDefault="005373BA" w:rsidP="00456C39">
            <w:pPr>
              <w:spacing w:before="120" w:after="120" w:line="240" w:lineRule="auto"/>
              <w:jc w:val="both"/>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2021</w:t>
            </w:r>
          </w:p>
        </w:tc>
        <w:tc>
          <w:tcPr>
            <w:tcW w:w="364" w:type="pct"/>
            <w:shd w:val="clear" w:color="auto" w:fill="auto"/>
            <w:vAlign w:val="center"/>
          </w:tcPr>
          <w:p w14:paraId="754832C4" w14:textId="453B1BAD" w:rsidR="005373BA" w:rsidRPr="00171DED" w:rsidRDefault="005373BA" w:rsidP="00456C39">
            <w:pPr>
              <w:spacing w:before="120" w:after="120" w:line="240" w:lineRule="auto"/>
              <w:jc w:val="center"/>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277 000</w:t>
            </w:r>
          </w:p>
        </w:tc>
        <w:tc>
          <w:tcPr>
            <w:tcW w:w="436" w:type="pct"/>
            <w:shd w:val="clear" w:color="auto" w:fill="auto"/>
            <w:vAlign w:val="center"/>
          </w:tcPr>
          <w:p w14:paraId="6DD07266" w14:textId="2D905AAA" w:rsidR="005373BA" w:rsidRPr="00171DED" w:rsidRDefault="005373BA" w:rsidP="00456C39">
            <w:pPr>
              <w:spacing w:before="120" w:after="120" w:line="480" w:lineRule="auto"/>
              <w:jc w:val="both"/>
              <w:rPr>
                <w:rFonts w:ascii="Times New Roman" w:hAnsi="Times New Roman"/>
                <w:i/>
                <w:noProof/>
                <w:sz w:val="14"/>
                <w:szCs w:val="14"/>
                <w:lang w:val="bg-BG" w:eastAsia="bg-BG" w:bidi="bg-BG"/>
              </w:rPr>
            </w:pPr>
            <w:r w:rsidRPr="00171DED">
              <w:rPr>
                <w:rFonts w:ascii="Times New Roman" w:hAnsi="Times New Roman"/>
                <w:bCs/>
                <w:noProof/>
                <w:sz w:val="16"/>
                <w:lang w:val="bg-BG" w:eastAsia="bg-BG" w:bidi="bg-BG"/>
              </w:rPr>
              <w:t>Подкрепени проекти</w:t>
            </w:r>
            <w:r w:rsidRPr="00171DED">
              <w:rPr>
                <w:rFonts w:ascii="Times New Roman" w:hAnsi="Times New Roman"/>
                <w:bCs/>
                <w:noProof/>
                <w:sz w:val="16"/>
                <w:lang w:val="bg-BG" w:eastAsia="bg-BG" w:bidi="bg-BG"/>
              </w:rPr>
              <w:lastRenderedPageBreak/>
              <w:t>, УО на ОПОС</w:t>
            </w:r>
          </w:p>
        </w:tc>
        <w:tc>
          <w:tcPr>
            <w:tcW w:w="427" w:type="pct"/>
            <w:vAlign w:val="center"/>
          </w:tcPr>
          <w:p w14:paraId="70C1B427" w14:textId="77777777" w:rsidR="005373BA" w:rsidRPr="00171DED" w:rsidRDefault="005373BA" w:rsidP="00456C39">
            <w:pPr>
              <w:spacing w:before="120" w:after="120" w:line="240" w:lineRule="auto"/>
              <w:jc w:val="both"/>
              <w:rPr>
                <w:rFonts w:ascii="Times New Roman" w:eastAsia="Calibri" w:hAnsi="Times New Roman" w:cs="Times New Roman"/>
                <w:i/>
                <w:noProof/>
                <w:sz w:val="14"/>
                <w:szCs w:val="14"/>
                <w:lang w:val="bg-BG" w:eastAsia="bg-BG" w:bidi="bg-BG"/>
              </w:rPr>
            </w:pPr>
          </w:p>
        </w:tc>
      </w:tr>
      <w:tr w:rsidR="005373BA" w:rsidRPr="0010575B" w14:paraId="2C20C6EA" w14:textId="77777777" w:rsidTr="001A1722">
        <w:trPr>
          <w:trHeight w:val="1160"/>
        </w:trPr>
        <w:tc>
          <w:tcPr>
            <w:tcW w:w="509" w:type="pct"/>
            <w:vMerge/>
            <w:vAlign w:val="center"/>
          </w:tcPr>
          <w:p w14:paraId="34A9274F" w14:textId="77777777" w:rsidR="005373BA" w:rsidRPr="00171DED" w:rsidRDefault="005373BA" w:rsidP="00584F2A">
            <w:pPr>
              <w:spacing w:before="120" w:after="120" w:line="240" w:lineRule="auto"/>
              <w:jc w:val="both"/>
              <w:rPr>
                <w:rFonts w:ascii="Times New Roman" w:hAnsi="Times New Roman"/>
                <w:noProof/>
                <w:sz w:val="20"/>
                <w:szCs w:val="20"/>
                <w:lang w:val="bg-BG" w:eastAsia="bg-BG" w:bidi="bg-BG"/>
              </w:rPr>
            </w:pPr>
          </w:p>
        </w:tc>
        <w:tc>
          <w:tcPr>
            <w:tcW w:w="535" w:type="pct"/>
            <w:vMerge/>
            <w:vAlign w:val="center"/>
          </w:tcPr>
          <w:p w14:paraId="5855C50F" w14:textId="77777777" w:rsidR="005373BA" w:rsidRPr="00171DED" w:rsidRDefault="005373BA" w:rsidP="00584F2A">
            <w:pPr>
              <w:spacing w:before="120" w:after="120" w:line="240" w:lineRule="auto"/>
              <w:jc w:val="both"/>
              <w:rPr>
                <w:rFonts w:ascii="Times New Roman" w:hAnsi="Times New Roman"/>
                <w:i/>
                <w:noProof/>
                <w:sz w:val="14"/>
                <w:szCs w:val="14"/>
                <w:lang w:val="bg-BG" w:eastAsia="bg-BG" w:bidi="bg-BG"/>
              </w:rPr>
            </w:pPr>
          </w:p>
        </w:tc>
        <w:tc>
          <w:tcPr>
            <w:tcW w:w="361" w:type="pct"/>
            <w:vMerge/>
            <w:vAlign w:val="center"/>
          </w:tcPr>
          <w:p w14:paraId="6D75B59A" w14:textId="77777777" w:rsidR="005373BA" w:rsidRPr="00171DED" w:rsidRDefault="005373BA" w:rsidP="00584F2A">
            <w:pPr>
              <w:spacing w:before="120" w:after="120" w:line="240" w:lineRule="auto"/>
              <w:jc w:val="both"/>
              <w:rPr>
                <w:rFonts w:ascii="Times New Roman" w:hAnsi="Times New Roman"/>
                <w:noProof/>
                <w:sz w:val="14"/>
                <w:szCs w:val="14"/>
                <w:lang w:val="bg-BG" w:eastAsia="bg-BG" w:bidi="bg-BG"/>
              </w:rPr>
            </w:pPr>
          </w:p>
        </w:tc>
        <w:tc>
          <w:tcPr>
            <w:tcW w:w="318" w:type="pct"/>
            <w:vMerge/>
            <w:vAlign w:val="center"/>
          </w:tcPr>
          <w:p w14:paraId="57C4B706" w14:textId="65EC552C" w:rsidR="005373BA" w:rsidRPr="00171DED" w:rsidRDefault="005373BA" w:rsidP="00456C39">
            <w:pPr>
              <w:spacing w:before="120" w:after="0" w:line="240" w:lineRule="auto"/>
              <w:jc w:val="center"/>
              <w:rPr>
                <w:rFonts w:ascii="Times New Roman" w:eastAsia="Calibri" w:hAnsi="Times New Roman" w:cs="Times New Roman"/>
                <w:noProof/>
                <w:sz w:val="18"/>
                <w:szCs w:val="18"/>
                <w:lang w:val="bg-BG" w:eastAsia="bg-BG" w:bidi="bg-BG"/>
              </w:rPr>
            </w:pPr>
          </w:p>
        </w:tc>
        <w:tc>
          <w:tcPr>
            <w:tcW w:w="271" w:type="pct"/>
            <w:vAlign w:val="center"/>
          </w:tcPr>
          <w:p w14:paraId="30AE588B" w14:textId="77777777"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47</w:t>
            </w:r>
          </w:p>
        </w:tc>
        <w:tc>
          <w:tcPr>
            <w:tcW w:w="546" w:type="pct"/>
            <w:shd w:val="clear" w:color="auto" w:fill="auto"/>
            <w:vAlign w:val="center"/>
          </w:tcPr>
          <w:p w14:paraId="2B878D89" w14:textId="77777777" w:rsidR="005373BA" w:rsidRPr="001A1722" w:rsidRDefault="005373BA" w:rsidP="00456C39">
            <w:pPr>
              <w:spacing w:before="120" w:after="120" w:line="240" w:lineRule="auto"/>
              <w:rPr>
                <w:rFonts w:ascii="Times New Roman" w:hAnsi="Times New Roman"/>
                <w:noProof/>
                <w:sz w:val="18"/>
                <w:szCs w:val="18"/>
                <w:lang w:val="bg-BG" w:eastAsia="bg-BG" w:bidi="bg-BG"/>
              </w:rPr>
            </w:pPr>
            <w:r w:rsidRPr="001A1722">
              <w:rPr>
                <w:rFonts w:ascii="Times New Roman" w:hAnsi="Times New Roman"/>
                <w:noProof/>
                <w:sz w:val="18"/>
                <w:szCs w:val="18"/>
                <w:lang w:val="bg-BG" w:eastAsia="bg-BG" w:bidi="bg-BG"/>
              </w:rPr>
              <w:t>Рециклирани отпадъци</w:t>
            </w:r>
          </w:p>
        </w:tc>
        <w:tc>
          <w:tcPr>
            <w:tcW w:w="348" w:type="pct"/>
            <w:vAlign w:val="center"/>
          </w:tcPr>
          <w:p w14:paraId="0A4D8DB9" w14:textId="53B91EF4" w:rsidR="005373BA" w:rsidRPr="00171DED" w:rsidRDefault="005373BA" w:rsidP="00456C39">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т/год.</w:t>
            </w:r>
          </w:p>
        </w:tc>
        <w:tc>
          <w:tcPr>
            <w:tcW w:w="441" w:type="pct"/>
            <w:vAlign w:val="center"/>
          </w:tcPr>
          <w:p w14:paraId="5C42BA96" w14:textId="5721AD1C" w:rsidR="005373BA" w:rsidRPr="00171DED" w:rsidRDefault="005373BA" w:rsidP="00456C39">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cs="Times New Roman"/>
                <w:iCs/>
                <w:sz w:val="14"/>
                <w:szCs w:val="14"/>
                <w:lang w:eastAsia="bg-BG" w:bidi="bg-BG"/>
              </w:rPr>
              <w:t>0</w:t>
            </w:r>
          </w:p>
        </w:tc>
        <w:tc>
          <w:tcPr>
            <w:tcW w:w="444" w:type="pct"/>
            <w:vAlign w:val="center"/>
          </w:tcPr>
          <w:p w14:paraId="06FCF82B" w14:textId="41FAE2EA" w:rsidR="005373BA" w:rsidRPr="00171DED" w:rsidRDefault="005373BA" w:rsidP="00456C39">
            <w:pPr>
              <w:spacing w:before="120" w:after="120" w:line="240" w:lineRule="auto"/>
              <w:jc w:val="both"/>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2021</w:t>
            </w:r>
          </w:p>
        </w:tc>
        <w:tc>
          <w:tcPr>
            <w:tcW w:w="364" w:type="pct"/>
            <w:shd w:val="clear" w:color="auto" w:fill="auto"/>
            <w:vAlign w:val="center"/>
          </w:tcPr>
          <w:p w14:paraId="31C93DC6" w14:textId="07A18C79" w:rsidR="005373BA" w:rsidRPr="00171DED" w:rsidRDefault="005373BA" w:rsidP="00456C39">
            <w:pPr>
              <w:spacing w:before="120" w:after="120" w:line="240" w:lineRule="auto"/>
              <w:jc w:val="center"/>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177 000</w:t>
            </w:r>
          </w:p>
        </w:tc>
        <w:tc>
          <w:tcPr>
            <w:tcW w:w="436" w:type="pct"/>
            <w:shd w:val="clear" w:color="auto" w:fill="auto"/>
            <w:vAlign w:val="center"/>
          </w:tcPr>
          <w:p w14:paraId="10539898" w14:textId="2444F19F" w:rsidR="005373BA" w:rsidRPr="00171DED" w:rsidRDefault="005373BA" w:rsidP="00456C39">
            <w:pPr>
              <w:spacing w:before="120" w:after="120" w:line="480" w:lineRule="auto"/>
              <w:jc w:val="both"/>
              <w:rPr>
                <w:rFonts w:ascii="Times New Roman" w:hAnsi="Times New Roman"/>
                <w:i/>
                <w:noProof/>
                <w:sz w:val="14"/>
                <w:szCs w:val="14"/>
                <w:lang w:val="bg-BG" w:eastAsia="bg-BG" w:bidi="bg-BG"/>
              </w:rPr>
            </w:pPr>
            <w:r w:rsidRPr="00171DED">
              <w:rPr>
                <w:rFonts w:ascii="Times New Roman" w:hAnsi="Times New Roman"/>
                <w:bCs/>
                <w:noProof/>
                <w:sz w:val="16"/>
                <w:lang w:val="bg-BG" w:eastAsia="bg-BG" w:bidi="bg-BG"/>
              </w:rPr>
              <w:t>Подкрепени проекти, УО на ОПОС</w:t>
            </w:r>
          </w:p>
        </w:tc>
        <w:tc>
          <w:tcPr>
            <w:tcW w:w="427" w:type="pct"/>
            <w:vAlign w:val="center"/>
          </w:tcPr>
          <w:p w14:paraId="7211B384" w14:textId="77777777" w:rsidR="005373BA" w:rsidRPr="00171DED" w:rsidRDefault="005373BA" w:rsidP="00456C39">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72F6172B"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6AB47BFB"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3"/>
        <w:tblW w:w="0" w:type="auto"/>
        <w:tblLook w:val="04A0" w:firstRow="1" w:lastRow="0" w:firstColumn="1" w:lastColumn="0" w:noHBand="0" w:noVBand="1"/>
      </w:tblPr>
      <w:tblGrid>
        <w:gridCol w:w="1479"/>
        <w:gridCol w:w="1175"/>
        <w:gridCol w:w="1353"/>
        <w:gridCol w:w="1593"/>
        <w:gridCol w:w="1719"/>
        <w:gridCol w:w="1743"/>
      </w:tblGrid>
      <w:tr w:rsidR="0022545E" w:rsidRPr="0010575B" w14:paraId="477EEF9B" w14:textId="77777777" w:rsidTr="008060AA">
        <w:tc>
          <w:tcPr>
            <w:tcW w:w="9062" w:type="dxa"/>
            <w:gridSpan w:val="6"/>
          </w:tcPr>
          <w:p w14:paraId="290532E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546FDD84" w14:textId="77777777" w:rsidTr="008060AA">
        <w:tc>
          <w:tcPr>
            <w:tcW w:w="1479" w:type="dxa"/>
          </w:tcPr>
          <w:p w14:paraId="6BBAFAC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5" w:type="dxa"/>
          </w:tcPr>
          <w:p w14:paraId="7F338C9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3" w:type="dxa"/>
          </w:tcPr>
          <w:p w14:paraId="77A5770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93" w:type="dxa"/>
          </w:tcPr>
          <w:p w14:paraId="21D5848B"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19" w:type="dxa"/>
          </w:tcPr>
          <w:p w14:paraId="174A995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3" w:type="dxa"/>
          </w:tcPr>
          <w:p w14:paraId="23E99E6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A2111D" w:rsidRPr="0010575B" w14:paraId="42A219A7" w14:textId="77777777" w:rsidTr="00BF6C02">
        <w:trPr>
          <w:trHeight w:val="566"/>
        </w:trPr>
        <w:tc>
          <w:tcPr>
            <w:tcW w:w="1479" w:type="dxa"/>
            <w:vMerge w:val="restart"/>
            <w:tcBorders>
              <w:bottom w:val="single" w:sz="4" w:space="0" w:color="auto"/>
            </w:tcBorders>
            <w:vAlign w:val="center"/>
          </w:tcPr>
          <w:p w14:paraId="6291FEF2" w14:textId="79D74569" w:rsidR="00A2111D" w:rsidRPr="00171DED" w:rsidRDefault="00A2111D" w:rsidP="00A2111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 „</w:t>
            </w:r>
            <w:r w:rsidRPr="00171DED">
              <w:rPr>
                <w:rFonts w:ascii="Times New Roman" w:eastAsia="Times New Roman" w:hAnsi="Times New Roman" w:cs="Times New Roman"/>
                <w:iCs/>
                <w:noProof/>
                <w:sz w:val="20"/>
                <w:szCs w:val="20"/>
              </w:rPr>
              <w:t>Отпадъци</w:t>
            </w:r>
            <w:r>
              <w:rPr>
                <w:rFonts w:ascii="Times New Roman" w:eastAsia="Times New Roman" w:hAnsi="Times New Roman" w:cs="Times New Roman"/>
                <w:iCs/>
                <w:noProof/>
                <w:sz w:val="20"/>
                <w:szCs w:val="20"/>
              </w:rPr>
              <w:t>“</w:t>
            </w:r>
          </w:p>
        </w:tc>
        <w:tc>
          <w:tcPr>
            <w:tcW w:w="1175" w:type="dxa"/>
            <w:vMerge w:val="restart"/>
            <w:tcBorders>
              <w:bottom w:val="single" w:sz="4" w:space="0" w:color="auto"/>
            </w:tcBorders>
            <w:vAlign w:val="center"/>
          </w:tcPr>
          <w:p w14:paraId="15EE7CA2" w14:textId="77777777" w:rsidR="00A2111D" w:rsidRPr="00171DED" w:rsidRDefault="00A2111D" w:rsidP="00A2111D">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3" w:type="dxa"/>
            <w:vMerge w:val="restart"/>
            <w:tcBorders>
              <w:bottom w:val="single" w:sz="4" w:space="0" w:color="auto"/>
            </w:tcBorders>
            <w:vAlign w:val="center"/>
          </w:tcPr>
          <w:p w14:paraId="793009D9" w14:textId="32EBB06A" w:rsidR="00A2111D" w:rsidRPr="00171DED" w:rsidRDefault="00A2111D" w:rsidP="00A2111D">
            <w:pPr>
              <w:spacing w:before="120" w:after="120"/>
              <w:rPr>
                <w:rFonts w:ascii="Times New Roman" w:eastAsia="Times New Roman" w:hAnsi="Times New Roman" w:cs="Times New Roman"/>
                <w:iCs/>
                <w:noProof/>
                <w:sz w:val="20"/>
                <w:szCs w:val="20"/>
              </w:rPr>
            </w:pPr>
          </w:p>
        </w:tc>
        <w:tc>
          <w:tcPr>
            <w:tcW w:w="1593" w:type="dxa"/>
            <w:vMerge w:val="restart"/>
            <w:tcBorders>
              <w:bottom w:val="single" w:sz="4" w:space="0" w:color="auto"/>
            </w:tcBorders>
            <w:vAlign w:val="center"/>
          </w:tcPr>
          <w:p w14:paraId="42F6B01C" w14:textId="3E0B9340" w:rsidR="00A2111D" w:rsidRPr="00171DED" w:rsidRDefault="00A2111D" w:rsidP="00A2111D">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прехода към кръгова</w:t>
            </w:r>
            <w:r w:rsidRPr="00171DED">
              <w:rPr>
                <w:rFonts w:ascii="Times New Roman" w:hAnsi="Times New Roman"/>
                <w:noProof/>
                <w:sz w:val="20"/>
                <w:szCs w:val="20"/>
              </w:rPr>
              <w:t xml:space="preserve"> и ресурсно ефективна</w:t>
            </w:r>
            <w:r w:rsidRPr="00171DED">
              <w:rPr>
                <w:rFonts w:ascii="Times New Roman" w:eastAsia="Times New Roman" w:hAnsi="Times New Roman" w:cs="Times New Roman"/>
                <w:iCs/>
                <w:noProof/>
                <w:sz w:val="20"/>
                <w:szCs w:val="20"/>
              </w:rPr>
              <w:t xml:space="preserve"> икономика”</w:t>
            </w:r>
          </w:p>
        </w:tc>
        <w:tc>
          <w:tcPr>
            <w:tcW w:w="1719" w:type="dxa"/>
            <w:tcBorders>
              <w:bottom w:val="single" w:sz="4" w:space="0" w:color="auto"/>
            </w:tcBorders>
            <w:vAlign w:val="center"/>
          </w:tcPr>
          <w:p w14:paraId="7B5094A3" w14:textId="6B6D4CC1" w:rsidR="00A2111D" w:rsidRPr="00171DED" w:rsidRDefault="00A2111D" w:rsidP="001A1722">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042 Управление на битови отпадъци</w:t>
            </w:r>
            <w:r w:rsidR="007D3CA8">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 xml:space="preserve"> превантивни мерки, мерки за минимизиране, сортиране</w:t>
            </w:r>
            <w:r w:rsidR="007D3CA8">
              <w:rPr>
                <w:rFonts w:ascii="Times New Roman" w:eastAsia="Times New Roman" w:hAnsi="Times New Roman" w:cs="Times New Roman"/>
                <w:iCs/>
                <w:noProof/>
                <w:sz w:val="20"/>
                <w:szCs w:val="20"/>
              </w:rPr>
              <w:t>, повторна употреба</w:t>
            </w:r>
            <w:r w:rsidRPr="00171DED">
              <w:rPr>
                <w:rFonts w:ascii="Times New Roman" w:eastAsia="Times New Roman" w:hAnsi="Times New Roman" w:cs="Times New Roman"/>
                <w:iCs/>
                <w:noProof/>
                <w:sz w:val="20"/>
                <w:szCs w:val="20"/>
              </w:rPr>
              <w:t xml:space="preserve"> и рециклиране</w:t>
            </w:r>
          </w:p>
        </w:tc>
        <w:tc>
          <w:tcPr>
            <w:tcW w:w="1743" w:type="dxa"/>
            <w:tcBorders>
              <w:bottom w:val="single" w:sz="4" w:space="0" w:color="auto"/>
            </w:tcBorders>
            <w:vAlign w:val="center"/>
          </w:tcPr>
          <w:p w14:paraId="5D633982" w14:textId="75ED9F32" w:rsidR="00A2111D" w:rsidRPr="00B84549" w:rsidRDefault="00A2111D" w:rsidP="007D3CA8">
            <w:pPr>
              <w:spacing w:before="120" w:after="120"/>
              <w:rPr>
                <w:rFonts w:ascii="Times New Roman" w:eastAsia="Times New Roman" w:hAnsi="Times New Roman" w:cs="Times New Roman"/>
                <w:b/>
                <w:iCs/>
                <w:noProof/>
                <w:sz w:val="20"/>
                <w:szCs w:val="20"/>
              </w:rPr>
            </w:pPr>
            <w:r w:rsidRPr="00B84549">
              <w:rPr>
                <w:rFonts w:ascii="Times New Roman" w:hAnsi="Times New Roman" w:cs="Times New Roman"/>
                <w:sz w:val="20"/>
                <w:szCs w:val="20"/>
              </w:rPr>
              <w:t>77 821 737,00</w:t>
            </w:r>
          </w:p>
        </w:tc>
      </w:tr>
      <w:tr w:rsidR="00A2111D" w:rsidRPr="0010575B" w14:paraId="3F30DA3A" w14:textId="77777777" w:rsidTr="00BF6C02">
        <w:trPr>
          <w:trHeight w:val="1317"/>
        </w:trPr>
        <w:tc>
          <w:tcPr>
            <w:tcW w:w="1479" w:type="dxa"/>
            <w:vMerge/>
            <w:tcBorders>
              <w:bottom w:val="single" w:sz="4" w:space="0" w:color="auto"/>
            </w:tcBorders>
          </w:tcPr>
          <w:p w14:paraId="5FBEE4F2" w14:textId="77777777" w:rsidR="00A2111D" w:rsidRPr="00171DED" w:rsidRDefault="00A2111D" w:rsidP="00584F2A">
            <w:pPr>
              <w:spacing w:before="120" w:after="120"/>
              <w:jc w:val="both"/>
              <w:rPr>
                <w:rFonts w:ascii="Times New Roman" w:eastAsia="Times New Roman" w:hAnsi="Times New Roman" w:cs="Times New Roman"/>
                <w:iCs/>
                <w:noProof/>
                <w:sz w:val="20"/>
                <w:szCs w:val="20"/>
              </w:rPr>
            </w:pPr>
          </w:p>
        </w:tc>
        <w:tc>
          <w:tcPr>
            <w:tcW w:w="1175" w:type="dxa"/>
            <w:vMerge/>
            <w:tcBorders>
              <w:bottom w:val="single" w:sz="4" w:space="0" w:color="auto"/>
            </w:tcBorders>
          </w:tcPr>
          <w:p w14:paraId="39620A7B" w14:textId="77777777" w:rsidR="00A2111D" w:rsidRPr="00171DED" w:rsidRDefault="00A2111D" w:rsidP="00584F2A">
            <w:pPr>
              <w:spacing w:before="120" w:after="120"/>
              <w:jc w:val="both"/>
              <w:rPr>
                <w:rFonts w:ascii="Times New Roman" w:eastAsia="Times New Roman" w:hAnsi="Times New Roman" w:cs="Times New Roman"/>
                <w:b/>
                <w:iCs/>
                <w:noProof/>
                <w:sz w:val="20"/>
                <w:szCs w:val="20"/>
              </w:rPr>
            </w:pPr>
          </w:p>
        </w:tc>
        <w:tc>
          <w:tcPr>
            <w:tcW w:w="1353" w:type="dxa"/>
            <w:vMerge/>
            <w:tcBorders>
              <w:bottom w:val="single" w:sz="4" w:space="0" w:color="auto"/>
            </w:tcBorders>
            <w:vAlign w:val="center"/>
          </w:tcPr>
          <w:p w14:paraId="0138E01D" w14:textId="0275BAC5" w:rsidR="00A2111D" w:rsidRPr="00171DED" w:rsidRDefault="00A2111D" w:rsidP="00584F2A">
            <w:pPr>
              <w:spacing w:before="120" w:after="120"/>
              <w:jc w:val="both"/>
              <w:rPr>
                <w:rFonts w:ascii="Times New Roman" w:eastAsia="Times New Roman" w:hAnsi="Times New Roman" w:cs="Times New Roman"/>
                <w:b/>
                <w:iCs/>
                <w:noProof/>
                <w:sz w:val="20"/>
                <w:szCs w:val="20"/>
              </w:rPr>
            </w:pPr>
          </w:p>
        </w:tc>
        <w:tc>
          <w:tcPr>
            <w:tcW w:w="1593" w:type="dxa"/>
            <w:vMerge/>
            <w:tcBorders>
              <w:bottom w:val="single" w:sz="4" w:space="0" w:color="auto"/>
            </w:tcBorders>
          </w:tcPr>
          <w:p w14:paraId="7DFA5A53" w14:textId="77777777" w:rsidR="00A2111D" w:rsidRPr="00171DED" w:rsidRDefault="00A2111D" w:rsidP="00584F2A">
            <w:pPr>
              <w:spacing w:before="120" w:after="120"/>
              <w:jc w:val="both"/>
              <w:rPr>
                <w:rFonts w:ascii="Times New Roman" w:eastAsia="Times New Roman" w:hAnsi="Times New Roman" w:cs="Times New Roman"/>
                <w:b/>
                <w:iCs/>
                <w:noProof/>
                <w:sz w:val="20"/>
                <w:szCs w:val="20"/>
              </w:rPr>
            </w:pPr>
          </w:p>
        </w:tc>
        <w:tc>
          <w:tcPr>
            <w:tcW w:w="1719" w:type="dxa"/>
            <w:tcBorders>
              <w:bottom w:val="single" w:sz="4" w:space="0" w:color="auto"/>
            </w:tcBorders>
            <w:vAlign w:val="center"/>
          </w:tcPr>
          <w:p w14:paraId="1D84FF93" w14:textId="4F2AE043" w:rsidR="00A2111D" w:rsidRPr="005D30BD" w:rsidRDefault="00A2111D" w:rsidP="00C23497">
            <w:pPr>
              <w:spacing w:before="120" w:after="120"/>
              <w:rPr>
                <w:rFonts w:ascii="Times New Roman" w:eastAsia="Times New Roman" w:hAnsi="Times New Roman" w:cs="Times New Roman"/>
                <w:iCs/>
                <w:noProof/>
                <w:sz w:val="20"/>
                <w:szCs w:val="20"/>
                <w:lang w:val="en-US"/>
              </w:rPr>
            </w:pPr>
            <w:r w:rsidRPr="00171DED">
              <w:rPr>
                <w:rFonts w:ascii="Times New Roman" w:hAnsi="Times New Roman"/>
                <w:sz w:val="20"/>
              </w:rPr>
              <w:t>04</w:t>
            </w:r>
            <w:r w:rsidR="005D30BD">
              <w:rPr>
                <w:rFonts w:ascii="Times New Roman" w:hAnsi="Times New Roman"/>
                <w:sz w:val="20"/>
              </w:rPr>
              <w:t>2</w:t>
            </w:r>
            <w:r w:rsidR="005D30BD">
              <w:rPr>
                <w:rFonts w:ascii="Times New Roman" w:hAnsi="Times New Roman"/>
                <w:sz w:val="20"/>
                <w:lang w:val="en-US"/>
              </w:rPr>
              <w:t>bis</w:t>
            </w:r>
            <w:r w:rsidRPr="00171DED">
              <w:rPr>
                <w:rFonts w:ascii="Times New Roman" w:hAnsi="Times New Roman"/>
                <w:sz w:val="20"/>
              </w:rPr>
              <w:t xml:space="preserve"> Управление на битови </w:t>
            </w:r>
            <w:r w:rsidRPr="00117728">
              <w:rPr>
                <w:rFonts w:ascii="Times New Roman" w:hAnsi="Times New Roman"/>
                <w:sz w:val="20"/>
              </w:rPr>
              <w:t>отпадъци</w:t>
            </w:r>
            <w:r w:rsidR="005D30BD" w:rsidRPr="00117728">
              <w:rPr>
                <w:rFonts w:ascii="Times New Roman" w:hAnsi="Times New Roman"/>
                <w:sz w:val="20"/>
              </w:rPr>
              <w:t>:</w:t>
            </w:r>
            <w:r w:rsidRPr="00117728">
              <w:rPr>
                <w:rFonts w:ascii="Times New Roman" w:hAnsi="Times New Roman"/>
                <w:sz w:val="20"/>
              </w:rPr>
              <w:t xml:space="preserve"> </w:t>
            </w:r>
            <w:r w:rsidR="005D30BD" w:rsidRPr="00117728">
              <w:rPr>
                <w:rFonts w:ascii="Times New Roman" w:hAnsi="Times New Roman"/>
                <w:sz w:val="20"/>
              </w:rPr>
              <w:t>третиране на остатъчните отпадъци</w:t>
            </w:r>
          </w:p>
        </w:tc>
        <w:tc>
          <w:tcPr>
            <w:tcW w:w="1743" w:type="dxa"/>
            <w:tcBorders>
              <w:bottom w:val="single" w:sz="4" w:space="0" w:color="auto"/>
            </w:tcBorders>
            <w:vAlign w:val="center"/>
          </w:tcPr>
          <w:p w14:paraId="124D6BE5" w14:textId="38013FCB" w:rsidR="00A2111D" w:rsidRPr="00B84549" w:rsidRDefault="00A2111D" w:rsidP="00C23497">
            <w:pPr>
              <w:spacing w:before="120" w:after="120"/>
              <w:rPr>
                <w:rFonts w:ascii="Times New Roman" w:eastAsia="Times New Roman" w:hAnsi="Times New Roman" w:cs="Times New Roman"/>
                <w:b/>
                <w:iCs/>
                <w:noProof/>
                <w:sz w:val="20"/>
                <w:szCs w:val="20"/>
              </w:rPr>
            </w:pPr>
            <w:r w:rsidRPr="00B84549">
              <w:rPr>
                <w:rFonts w:ascii="Times New Roman" w:hAnsi="Times New Roman" w:cs="Times New Roman"/>
                <w:sz w:val="20"/>
                <w:szCs w:val="20"/>
              </w:rPr>
              <w:t>117 680 063,00</w:t>
            </w:r>
          </w:p>
        </w:tc>
      </w:tr>
    </w:tbl>
    <w:p w14:paraId="1CFA8991"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478"/>
        <w:gridCol w:w="1178"/>
        <w:gridCol w:w="1354"/>
        <w:gridCol w:w="1570"/>
        <w:gridCol w:w="1735"/>
        <w:gridCol w:w="1747"/>
      </w:tblGrid>
      <w:tr w:rsidR="0022545E" w:rsidRPr="0010575B" w14:paraId="03417FA5" w14:textId="77777777" w:rsidTr="00E452D3">
        <w:tc>
          <w:tcPr>
            <w:tcW w:w="9062" w:type="dxa"/>
            <w:gridSpan w:val="6"/>
          </w:tcPr>
          <w:p w14:paraId="527C3D1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506E9D38" w14:textId="77777777" w:rsidTr="005F7407">
        <w:tc>
          <w:tcPr>
            <w:tcW w:w="1478" w:type="dxa"/>
          </w:tcPr>
          <w:p w14:paraId="02CA84F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8" w:type="dxa"/>
          </w:tcPr>
          <w:p w14:paraId="2E5B5E5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4" w:type="dxa"/>
          </w:tcPr>
          <w:p w14:paraId="023EBD9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70" w:type="dxa"/>
          </w:tcPr>
          <w:p w14:paraId="3BFD00F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35" w:type="dxa"/>
          </w:tcPr>
          <w:p w14:paraId="741A977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7" w:type="dxa"/>
          </w:tcPr>
          <w:p w14:paraId="3B308BC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45207" w:rsidRPr="00171DED" w14:paraId="701E1505" w14:textId="77777777" w:rsidTr="00AC3248">
        <w:trPr>
          <w:trHeight w:val="710"/>
        </w:trPr>
        <w:tc>
          <w:tcPr>
            <w:tcW w:w="1478" w:type="dxa"/>
            <w:vMerge w:val="restart"/>
            <w:tcBorders>
              <w:bottom w:val="single" w:sz="4" w:space="0" w:color="auto"/>
            </w:tcBorders>
            <w:vAlign w:val="center"/>
          </w:tcPr>
          <w:p w14:paraId="3E923DF8" w14:textId="49187BB8" w:rsidR="00C45207" w:rsidRPr="00171DED" w:rsidRDefault="00C45207"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 „</w:t>
            </w:r>
            <w:r w:rsidRPr="00171DED">
              <w:rPr>
                <w:rFonts w:ascii="Times New Roman" w:eastAsia="Times New Roman" w:hAnsi="Times New Roman" w:cs="Times New Roman"/>
                <w:iCs/>
                <w:noProof/>
                <w:sz w:val="20"/>
                <w:szCs w:val="20"/>
              </w:rPr>
              <w:t>Отпадъци</w:t>
            </w:r>
            <w:r>
              <w:rPr>
                <w:rFonts w:ascii="Times New Roman" w:eastAsia="Times New Roman" w:hAnsi="Times New Roman" w:cs="Times New Roman"/>
                <w:iCs/>
                <w:noProof/>
                <w:sz w:val="20"/>
                <w:szCs w:val="20"/>
              </w:rPr>
              <w:t>“</w:t>
            </w:r>
          </w:p>
        </w:tc>
        <w:tc>
          <w:tcPr>
            <w:tcW w:w="1178" w:type="dxa"/>
            <w:vMerge w:val="restart"/>
            <w:tcBorders>
              <w:bottom w:val="single" w:sz="4" w:space="0" w:color="auto"/>
            </w:tcBorders>
            <w:vAlign w:val="center"/>
          </w:tcPr>
          <w:p w14:paraId="0B6017A8" w14:textId="77777777" w:rsidR="00C45207" w:rsidRPr="00171DED" w:rsidRDefault="00C45207" w:rsidP="00C4520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4" w:type="dxa"/>
            <w:vMerge w:val="restart"/>
            <w:tcBorders>
              <w:bottom w:val="single" w:sz="4" w:space="0" w:color="auto"/>
            </w:tcBorders>
            <w:vAlign w:val="center"/>
          </w:tcPr>
          <w:p w14:paraId="0078433B" w14:textId="5C00FDA7" w:rsidR="00C45207" w:rsidRPr="00171DED" w:rsidRDefault="00C45207" w:rsidP="00C45207">
            <w:pPr>
              <w:spacing w:before="120"/>
              <w:jc w:val="center"/>
              <w:rPr>
                <w:rFonts w:ascii="Times New Roman" w:eastAsia="Calibri" w:hAnsi="Times New Roman" w:cs="Times New Roman"/>
                <w:noProof/>
                <w:sz w:val="20"/>
                <w:szCs w:val="18"/>
              </w:rPr>
            </w:pPr>
          </w:p>
        </w:tc>
        <w:tc>
          <w:tcPr>
            <w:tcW w:w="1570" w:type="dxa"/>
            <w:vMerge w:val="restart"/>
            <w:tcBorders>
              <w:bottom w:val="single" w:sz="4" w:space="0" w:color="auto"/>
            </w:tcBorders>
            <w:vAlign w:val="center"/>
          </w:tcPr>
          <w:p w14:paraId="20B7CE94" w14:textId="4B5FD75B" w:rsidR="00C45207" w:rsidRPr="00171DED" w:rsidRDefault="00C45207"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 xml:space="preserve">Насърчаване на прехода към </w:t>
            </w:r>
            <w:r w:rsidRPr="00171DED">
              <w:rPr>
                <w:rFonts w:ascii="Times New Roman" w:eastAsia="Times New Roman" w:hAnsi="Times New Roman" w:cs="Times New Roman"/>
                <w:iCs/>
                <w:noProof/>
                <w:sz w:val="20"/>
                <w:szCs w:val="20"/>
              </w:rPr>
              <w:lastRenderedPageBreak/>
              <w:t xml:space="preserve">кръгова </w:t>
            </w:r>
            <w:r w:rsidRPr="00171DED">
              <w:rPr>
                <w:rFonts w:ascii="Times New Roman" w:hAnsi="Times New Roman"/>
                <w:noProof/>
                <w:sz w:val="20"/>
                <w:szCs w:val="20"/>
              </w:rPr>
              <w:t xml:space="preserve">и ресурсно ефективна </w:t>
            </w:r>
            <w:r w:rsidRPr="00171DED">
              <w:rPr>
                <w:rFonts w:ascii="Times New Roman" w:eastAsia="Times New Roman" w:hAnsi="Times New Roman" w:cs="Times New Roman"/>
                <w:iCs/>
                <w:noProof/>
                <w:sz w:val="20"/>
                <w:szCs w:val="20"/>
              </w:rPr>
              <w:t>икономика”</w:t>
            </w:r>
          </w:p>
        </w:tc>
        <w:tc>
          <w:tcPr>
            <w:tcW w:w="1735" w:type="dxa"/>
            <w:tcBorders>
              <w:bottom w:val="single" w:sz="4" w:space="0" w:color="auto"/>
            </w:tcBorders>
            <w:vAlign w:val="center"/>
          </w:tcPr>
          <w:p w14:paraId="467CDAAF" w14:textId="77777777" w:rsidR="00C45207" w:rsidRPr="00171DED" w:rsidRDefault="00C45207"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01 Безвъзмездни средства</w:t>
            </w:r>
          </w:p>
        </w:tc>
        <w:tc>
          <w:tcPr>
            <w:tcW w:w="1747" w:type="dxa"/>
            <w:tcBorders>
              <w:bottom w:val="single" w:sz="4" w:space="0" w:color="auto"/>
            </w:tcBorders>
            <w:vAlign w:val="center"/>
          </w:tcPr>
          <w:p w14:paraId="3EDE4587" w14:textId="5353E1E6" w:rsidR="00C45207" w:rsidRPr="00C45207" w:rsidRDefault="00C45207" w:rsidP="00C45207">
            <w:pPr>
              <w:spacing w:before="120" w:after="120"/>
              <w:rPr>
                <w:rFonts w:ascii="Times New Roman" w:eastAsia="Times New Roman" w:hAnsi="Times New Roman" w:cs="Times New Roman"/>
                <w:b/>
                <w:iCs/>
                <w:noProof/>
                <w:sz w:val="20"/>
                <w:szCs w:val="20"/>
              </w:rPr>
            </w:pPr>
            <w:r w:rsidRPr="00C45207">
              <w:rPr>
                <w:rFonts w:ascii="Times New Roman" w:hAnsi="Times New Roman" w:cs="Times New Roman"/>
                <w:sz w:val="20"/>
                <w:szCs w:val="20"/>
              </w:rPr>
              <w:t>182 463 857,00</w:t>
            </w:r>
          </w:p>
        </w:tc>
      </w:tr>
      <w:tr w:rsidR="00C45207" w:rsidRPr="0010575B" w14:paraId="5271BD14" w14:textId="77777777" w:rsidTr="00AC3248">
        <w:trPr>
          <w:trHeight w:val="1860"/>
        </w:trPr>
        <w:tc>
          <w:tcPr>
            <w:tcW w:w="1478" w:type="dxa"/>
            <w:vMerge/>
            <w:tcBorders>
              <w:bottom w:val="single" w:sz="4" w:space="0" w:color="auto"/>
            </w:tcBorders>
            <w:vAlign w:val="center"/>
          </w:tcPr>
          <w:p w14:paraId="7F445F66"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178" w:type="dxa"/>
            <w:vMerge/>
            <w:tcBorders>
              <w:bottom w:val="single" w:sz="4" w:space="0" w:color="auto"/>
            </w:tcBorders>
            <w:vAlign w:val="center"/>
          </w:tcPr>
          <w:p w14:paraId="7D0CD159"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354" w:type="dxa"/>
            <w:vMerge/>
            <w:tcBorders>
              <w:bottom w:val="single" w:sz="4" w:space="0" w:color="auto"/>
            </w:tcBorders>
            <w:vAlign w:val="center"/>
          </w:tcPr>
          <w:p w14:paraId="6FC848ED" w14:textId="53F13808" w:rsidR="00C45207" w:rsidRPr="00171DED" w:rsidRDefault="00C45207" w:rsidP="00C45207">
            <w:pPr>
              <w:spacing w:before="120"/>
              <w:jc w:val="center"/>
              <w:rPr>
                <w:rFonts w:ascii="Times New Roman" w:eastAsia="Calibri" w:hAnsi="Times New Roman" w:cs="Times New Roman"/>
                <w:noProof/>
                <w:sz w:val="20"/>
                <w:szCs w:val="18"/>
              </w:rPr>
            </w:pPr>
          </w:p>
        </w:tc>
        <w:tc>
          <w:tcPr>
            <w:tcW w:w="1570" w:type="dxa"/>
            <w:vMerge/>
            <w:tcBorders>
              <w:bottom w:val="single" w:sz="4" w:space="0" w:color="auto"/>
            </w:tcBorders>
            <w:vAlign w:val="center"/>
          </w:tcPr>
          <w:p w14:paraId="71A2A734"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735" w:type="dxa"/>
            <w:tcBorders>
              <w:bottom w:val="single" w:sz="4" w:space="0" w:color="auto"/>
            </w:tcBorders>
            <w:vAlign w:val="center"/>
          </w:tcPr>
          <w:p w14:paraId="07F56084" w14:textId="7FF3AF8E" w:rsidR="00C45207" w:rsidRPr="00171DED" w:rsidRDefault="00C45207"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7" w:type="dxa"/>
            <w:tcBorders>
              <w:bottom w:val="single" w:sz="4" w:space="0" w:color="auto"/>
            </w:tcBorders>
            <w:vAlign w:val="center"/>
          </w:tcPr>
          <w:p w14:paraId="6B846DB6" w14:textId="540E197B" w:rsidR="00C45207" w:rsidRPr="00C45207" w:rsidRDefault="00C45207" w:rsidP="00C45207">
            <w:pPr>
              <w:spacing w:before="120" w:after="120"/>
              <w:rPr>
                <w:rFonts w:ascii="Times New Roman" w:eastAsia="Times New Roman" w:hAnsi="Times New Roman" w:cs="Times New Roman"/>
                <w:b/>
                <w:iCs/>
                <w:noProof/>
                <w:sz w:val="20"/>
                <w:szCs w:val="20"/>
              </w:rPr>
            </w:pPr>
            <w:r w:rsidRPr="00C45207">
              <w:rPr>
                <w:rFonts w:ascii="Times New Roman" w:hAnsi="Times New Roman" w:cs="Times New Roman"/>
                <w:sz w:val="20"/>
                <w:szCs w:val="20"/>
              </w:rPr>
              <w:t>13 037 943,00</w:t>
            </w:r>
          </w:p>
        </w:tc>
      </w:tr>
    </w:tbl>
    <w:p w14:paraId="1D4DE46B"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74"/>
        <w:gridCol w:w="1340"/>
        <w:gridCol w:w="1416"/>
        <w:gridCol w:w="1628"/>
        <w:gridCol w:w="1021"/>
        <w:gridCol w:w="2083"/>
      </w:tblGrid>
      <w:tr w:rsidR="0022545E" w:rsidRPr="0010575B" w14:paraId="5944889D" w14:textId="77777777" w:rsidTr="00385A61">
        <w:tc>
          <w:tcPr>
            <w:tcW w:w="9062" w:type="dxa"/>
            <w:gridSpan w:val="6"/>
          </w:tcPr>
          <w:p w14:paraId="5040994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29907657" w14:textId="77777777" w:rsidTr="00385A61">
        <w:tc>
          <w:tcPr>
            <w:tcW w:w="1574" w:type="dxa"/>
          </w:tcPr>
          <w:p w14:paraId="3539D0B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40" w:type="dxa"/>
          </w:tcPr>
          <w:p w14:paraId="0609DD7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16" w:type="dxa"/>
          </w:tcPr>
          <w:p w14:paraId="4382134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28" w:type="dxa"/>
          </w:tcPr>
          <w:p w14:paraId="702A0D4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1" w:type="dxa"/>
          </w:tcPr>
          <w:p w14:paraId="184BC35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083" w:type="dxa"/>
          </w:tcPr>
          <w:p w14:paraId="2D90DD8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B56B5E" w:rsidRPr="00171DED" w14:paraId="1DDCF220" w14:textId="77777777" w:rsidTr="00AC3248">
        <w:trPr>
          <w:trHeight w:val="779"/>
        </w:trPr>
        <w:tc>
          <w:tcPr>
            <w:tcW w:w="1574" w:type="dxa"/>
            <w:vMerge w:val="restart"/>
            <w:vAlign w:val="center"/>
          </w:tcPr>
          <w:p w14:paraId="2618B4B5" w14:textId="2426904B" w:rsidR="00B56B5E" w:rsidRPr="00171DED" w:rsidRDefault="00B56B5E" w:rsidP="00B56B5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Отпадъци</w:t>
            </w:r>
            <w:r>
              <w:rPr>
                <w:rFonts w:ascii="Times New Roman" w:eastAsia="Times New Roman" w:hAnsi="Times New Roman" w:cs="Times New Roman"/>
                <w:iCs/>
                <w:noProof/>
                <w:sz w:val="20"/>
                <w:szCs w:val="20"/>
              </w:rPr>
              <w:t>“</w:t>
            </w:r>
          </w:p>
        </w:tc>
        <w:tc>
          <w:tcPr>
            <w:tcW w:w="1340" w:type="dxa"/>
            <w:vMerge w:val="restart"/>
            <w:vAlign w:val="center"/>
          </w:tcPr>
          <w:p w14:paraId="1CD95A13" w14:textId="77777777" w:rsidR="00B56B5E" w:rsidRPr="00171DED" w:rsidRDefault="00B56B5E" w:rsidP="00B56B5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416" w:type="dxa"/>
            <w:vMerge w:val="restart"/>
            <w:vAlign w:val="center"/>
          </w:tcPr>
          <w:p w14:paraId="596147F8" w14:textId="6BC3B6BF"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628" w:type="dxa"/>
            <w:vMerge w:val="restart"/>
            <w:vAlign w:val="center"/>
          </w:tcPr>
          <w:p w14:paraId="0412D05C" w14:textId="3124A63A" w:rsidR="00B56B5E" w:rsidRPr="00171DED" w:rsidRDefault="00B56B5E" w:rsidP="00B56B5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Насърчаване на прехода към кръгова</w:t>
            </w:r>
            <w:r w:rsidRPr="00171DED">
              <w:rPr>
                <w:rFonts w:ascii="Times New Roman" w:hAnsi="Times New Roman"/>
                <w:noProof/>
                <w:sz w:val="20"/>
                <w:szCs w:val="20"/>
              </w:rPr>
              <w:t xml:space="preserve"> и ресурсно ефективна</w:t>
            </w:r>
            <w:r w:rsidRPr="00171DED">
              <w:rPr>
                <w:rFonts w:ascii="Times New Roman" w:eastAsia="Times New Roman" w:hAnsi="Times New Roman" w:cs="Times New Roman"/>
                <w:iCs/>
                <w:noProof/>
                <w:sz w:val="20"/>
                <w:szCs w:val="20"/>
              </w:rPr>
              <w:t xml:space="preserve"> икономика”</w:t>
            </w:r>
          </w:p>
        </w:tc>
        <w:tc>
          <w:tcPr>
            <w:tcW w:w="1021" w:type="dxa"/>
            <w:vAlign w:val="center"/>
          </w:tcPr>
          <w:p w14:paraId="60D0160A" w14:textId="296B1FE0" w:rsidR="00B56B5E" w:rsidRPr="00171DED" w:rsidRDefault="00B56B5E" w:rsidP="00B56B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17</w:t>
            </w:r>
          </w:p>
        </w:tc>
        <w:tc>
          <w:tcPr>
            <w:tcW w:w="2083" w:type="dxa"/>
            <w:vAlign w:val="center"/>
          </w:tcPr>
          <w:p w14:paraId="29EA5573" w14:textId="3270D89E" w:rsidR="00B56B5E" w:rsidRPr="00B56B5E" w:rsidRDefault="00B56B5E" w:rsidP="00B56B5E">
            <w:pPr>
              <w:spacing w:before="120" w:after="120"/>
              <w:rPr>
                <w:rFonts w:ascii="Times New Roman" w:eastAsia="Times New Roman" w:hAnsi="Times New Roman" w:cs="Times New Roman"/>
                <w:b/>
                <w:iCs/>
                <w:noProof/>
                <w:sz w:val="20"/>
                <w:szCs w:val="20"/>
              </w:rPr>
            </w:pPr>
            <w:r w:rsidRPr="00B56B5E">
              <w:rPr>
                <w:rFonts w:ascii="Times New Roman" w:hAnsi="Times New Roman" w:cs="Times New Roman"/>
                <w:sz w:val="20"/>
                <w:szCs w:val="20"/>
              </w:rPr>
              <w:t>23 496 975,00</w:t>
            </w:r>
          </w:p>
        </w:tc>
      </w:tr>
      <w:tr w:rsidR="00B56B5E" w:rsidRPr="00171DED" w14:paraId="51CAFAF3" w14:textId="77777777" w:rsidTr="00AC3248">
        <w:trPr>
          <w:trHeight w:val="706"/>
        </w:trPr>
        <w:tc>
          <w:tcPr>
            <w:tcW w:w="1574" w:type="dxa"/>
            <w:vMerge/>
            <w:vAlign w:val="center"/>
          </w:tcPr>
          <w:p w14:paraId="174608E5" w14:textId="77777777" w:rsidR="00B56B5E" w:rsidRPr="00171DED" w:rsidRDefault="00B56B5E" w:rsidP="00B56B5E">
            <w:pPr>
              <w:spacing w:before="120" w:after="120"/>
              <w:rPr>
                <w:rFonts w:ascii="Times New Roman" w:eastAsia="Times New Roman" w:hAnsi="Times New Roman" w:cs="Times New Roman"/>
                <w:iCs/>
                <w:noProof/>
                <w:sz w:val="20"/>
                <w:szCs w:val="20"/>
              </w:rPr>
            </w:pPr>
          </w:p>
        </w:tc>
        <w:tc>
          <w:tcPr>
            <w:tcW w:w="1340" w:type="dxa"/>
            <w:vMerge/>
            <w:vAlign w:val="center"/>
          </w:tcPr>
          <w:p w14:paraId="74D0034B" w14:textId="77777777" w:rsidR="00B56B5E" w:rsidRPr="00171DED" w:rsidRDefault="00B56B5E" w:rsidP="00B56B5E">
            <w:pPr>
              <w:spacing w:before="120" w:after="120"/>
              <w:rPr>
                <w:rFonts w:ascii="Times New Roman" w:eastAsia="Times New Roman" w:hAnsi="Times New Roman" w:cs="Times New Roman"/>
                <w:iCs/>
                <w:noProof/>
                <w:sz w:val="20"/>
                <w:szCs w:val="20"/>
              </w:rPr>
            </w:pPr>
          </w:p>
        </w:tc>
        <w:tc>
          <w:tcPr>
            <w:tcW w:w="1416" w:type="dxa"/>
            <w:vMerge/>
            <w:vAlign w:val="center"/>
          </w:tcPr>
          <w:p w14:paraId="6B1B46BC" w14:textId="77777777"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628" w:type="dxa"/>
            <w:vMerge/>
            <w:vAlign w:val="center"/>
          </w:tcPr>
          <w:p w14:paraId="1075891E" w14:textId="77777777"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021" w:type="dxa"/>
            <w:vAlign w:val="center"/>
          </w:tcPr>
          <w:p w14:paraId="081A1041" w14:textId="64A91273" w:rsidR="00B56B5E" w:rsidRPr="00171DED" w:rsidRDefault="00B56B5E" w:rsidP="00B56B5E">
            <w:pPr>
              <w:spacing w:before="120" w:after="120"/>
              <w:jc w:val="both"/>
              <w:rPr>
                <w:rFonts w:ascii="Times New Roman" w:eastAsia="Times New Roman" w:hAnsi="Times New Roman" w:cs="Times New Roman"/>
                <w:iCs/>
                <w:noProof/>
                <w:sz w:val="20"/>
                <w:szCs w:val="20"/>
                <w:lang w:val="en-US"/>
              </w:rPr>
            </w:pPr>
            <w:r w:rsidRPr="00171DED">
              <w:rPr>
                <w:rFonts w:ascii="Times New Roman" w:eastAsia="Times New Roman" w:hAnsi="Times New Roman" w:cs="Times New Roman"/>
                <w:iCs/>
                <w:noProof/>
                <w:sz w:val="20"/>
                <w:szCs w:val="20"/>
              </w:rPr>
              <w:t>48</w:t>
            </w:r>
          </w:p>
        </w:tc>
        <w:tc>
          <w:tcPr>
            <w:tcW w:w="2083" w:type="dxa"/>
            <w:vAlign w:val="center"/>
          </w:tcPr>
          <w:p w14:paraId="6AEE449C" w14:textId="2E32F845" w:rsidR="00B56B5E" w:rsidRPr="00B56B5E" w:rsidRDefault="00B56B5E" w:rsidP="00B56B5E">
            <w:pPr>
              <w:spacing w:before="120" w:after="120"/>
              <w:rPr>
                <w:rFonts w:ascii="Times New Roman" w:eastAsia="Times New Roman" w:hAnsi="Times New Roman" w:cs="Times New Roman"/>
                <w:b/>
                <w:iCs/>
                <w:noProof/>
                <w:sz w:val="20"/>
                <w:szCs w:val="20"/>
              </w:rPr>
            </w:pPr>
            <w:r w:rsidRPr="00B56B5E">
              <w:rPr>
                <w:rFonts w:ascii="Times New Roman" w:hAnsi="Times New Roman" w:cs="Times New Roman"/>
                <w:sz w:val="20"/>
                <w:szCs w:val="20"/>
              </w:rPr>
              <w:t>172 004 825,00</w:t>
            </w:r>
          </w:p>
        </w:tc>
      </w:tr>
    </w:tbl>
    <w:p w14:paraId="528BA220"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01"/>
        <w:gridCol w:w="1435"/>
        <w:gridCol w:w="1435"/>
        <w:gridCol w:w="1520"/>
        <w:gridCol w:w="1435"/>
        <w:gridCol w:w="1736"/>
      </w:tblGrid>
      <w:tr w:rsidR="0022545E" w:rsidRPr="0010575B" w14:paraId="5289D22E" w14:textId="77777777" w:rsidTr="00156B48">
        <w:tc>
          <w:tcPr>
            <w:tcW w:w="9288" w:type="dxa"/>
            <w:gridSpan w:val="6"/>
          </w:tcPr>
          <w:p w14:paraId="51D77AAB"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5C43E334" w14:textId="77777777" w:rsidTr="00156B48">
        <w:tc>
          <w:tcPr>
            <w:tcW w:w="1599" w:type="dxa"/>
          </w:tcPr>
          <w:p w14:paraId="0C51034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1AF8A3F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4FB6683C"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23C9A02A"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091220FC"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1788201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4D12AC8D" w14:textId="77777777" w:rsidTr="00156B48">
        <w:tc>
          <w:tcPr>
            <w:tcW w:w="1599" w:type="dxa"/>
          </w:tcPr>
          <w:p w14:paraId="33701B5B"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384" w:type="dxa"/>
          </w:tcPr>
          <w:p w14:paraId="6ED64740"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3" w:type="dxa"/>
          </w:tcPr>
          <w:p w14:paraId="2D78503F"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644" w:type="dxa"/>
          </w:tcPr>
          <w:p w14:paraId="7BAB4D3C"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053" w:type="dxa"/>
          </w:tcPr>
          <w:p w14:paraId="75BEFA85"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75" w:type="dxa"/>
          </w:tcPr>
          <w:p w14:paraId="3A9DA6BE"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p w14:paraId="05B6F746" w14:textId="2FFFA8CC" w:rsidR="001C76D3" w:rsidRDefault="001C76D3"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1842"/>
      </w:tblGrid>
      <w:tr w:rsidR="001C76D3" w:rsidRPr="00E40AF9" w14:paraId="0B4B4A90" w14:textId="77777777" w:rsidTr="00E9010F">
        <w:trPr>
          <w:trHeight w:val="408"/>
        </w:trPr>
        <w:tc>
          <w:tcPr>
            <w:tcW w:w="9067" w:type="dxa"/>
            <w:gridSpan w:val="6"/>
            <w:vMerge w:val="restart"/>
            <w:shd w:val="clear" w:color="000000" w:fill="FFFFFF"/>
            <w:vAlign w:val="center"/>
          </w:tcPr>
          <w:p w14:paraId="2E68F352" w14:textId="77777777" w:rsidR="001C76D3" w:rsidRPr="00C1390E" w:rsidRDefault="001C76D3"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p>
        </w:tc>
      </w:tr>
      <w:tr w:rsidR="001C76D3" w:rsidRPr="00E40AF9" w14:paraId="372A1915" w14:textId="77777777" w:rsidTr="00E9010F">
        <w:trPr>
          <w:trHeight w:val="230"/>
        </w:trPr>
        <w:tc>
          <w:tcPr>
            <w:tcW w:w="9067" w:type="dxa"/>
            <w:gridSpan w:val="6"/>
            <w:vMerge/>
            <w:vAlign w:val="center"/>
          </w:tcPr>
          <w:p w14:paraId="62782B83" w14:textId="77777777" w:rsidR="001C76D3" w:rsidRPr="00C1390E" w:rsidRDefault="001C76D3" w:rsidP="00E9010F">
            <w:pPr>
              <w:spacing w:after="0" w:line="240" w:lineRule="auto"/>
              <w:rPr>
                <w:rFonts w:ascii="Times New Roman" w:eastAsia="Times New Roman" w:hAnsi="Times New Roman" w:cs="Times New Roman"/>
                <w:b/>
                <w:bCs/>
                <w:sz w:val="20"/>
                <w:szCs w:val="20"/>
                <w:lang w:eastAsia="bg-BG"/>
              </w:rPr>
            </w:pPr>
          </w:p>
        </w:tc>
      </w:tr>
      <w:tr w:rsidR="001C76D3" w:rsidRPr="005224D5" w14:paraId="6C7221D0" w14:textId="77777777" w:rsidTr="00E9010F">
        <w:trPr>
          <w:trHeight w:val="315"/>
        </w:trPr>
        <w:tc>
          <w:tcPr>
            <w:tcW w:w="1266" w:type="dxa"/>
            <w:vAlign w:val="center"/>
          </w:tcPr>
          <w:p w14:paraId="651101F5"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Calibri" w:hAnsi="Times New Roman" w:cs="Times New Roman"/>
                <w:b/>
                <w:noProof/>
                <w:sz w:val="20"/>
                <w:szCs w:val="20"/>
                <w:lang w:val="bg-BG"/>
              </w:rPr>
              <w:t>Приоритет №</w:t>
            </w:r>
          </w:p>
        </w:tc>
        <w:tc>
          <w:tcPr>
            <w:tcW w:w="851" w:type="dxa"/>
            <w:vAlign w:val="center"/>
          </w:tcPr>
          <w:p w14:paraId="58851135"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Фонд</w:t>
            </w:r>
          </w:p>
        </w:tc>
        <w:tc>
          <w:tcPr>
            <w:tcW w:w="1422" w:type="dxa"/>
            <w:vAlign w:val="center"/>
          </w:tcPr>
          <w:p w14:paraId="03F20C1A"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Категория региони</w:t>
            </w:r>
          </w:p>
        </w:tc>
        <w:tc>
          <w:tcPr>
            <w:tcW w:w="1559" w:type="dxa"/>
            <w:vAlign w:val="center"/>
          </w:tcPr>
          <w:p w14:paraId="77C6FFDC"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Специфична цел</w:t>
            </w:r>
          </w:p>
        </w:tc>
        <w:tc>
          <w:tcPr>
            <w:tcW w:w="2127" w:type="dxa"/>
            <w:vAlign w:val="center"/>
          </w:tcPr>
          <w:p w14:paraId="28528087"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Код (02 или 01 или 00)</w:t>
            </w:r>
          </w:p>
        </w:tc>
        <w:tc>
          <w:tcPr>
            <w:tcW w:w="1842" w:type="dxa"/>
            <w:vAlign w:val="center"/>
          </w:tcPr>
          <w:p w14:paraId="00197A36"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Сума (EUR)</w:t>
            </w:r>
          </w:p>
        </w:tc>
      </w:tr>
      <w:tr w:rsidR="00FC002A" w:rsidRPr="005224D5" w14:paraId="1AE011A7" w14:textId="77777777" w:rsidTr="007623BD">
        <w:trPr>
          <w:trHeight w:val="1544"/>
        </w:trPr>
        <w:tc>
          <w:tcPr>
            <w:tcW w:w="1266" w:type="dxa"/>
            <w:shd w:val="clear" w:color="000000" w:fill="FFFFFF"/>
            <w:vAlign w:val="center"/>
            <w:hideMark/>
          </w:tcPr>
          <w:p w14:paraId="71880B3E" w14:textId="4C01F6AE"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2</w:t>
            </w:r>
            <w:r w:rsidRPr="00584F2A">
              <w:rPr>
                <w:rFonts w:ascii="Times New Roman" w:eastAsia="Times New Roman" w:hAnsi="Times New Roman" w:cs="Times New Roman"/>
                <w:color w:val="000000"/>
                <w:sz w:val="20"/>
                <w:szCs w:val="20"/>
                <w:lang w:val="bg-BG" w:eastAsia="bg-BG"/>
              </w:rPr>
              <w:t xml:space="preserve"> „</w:t>
            </w:r>
            <w:r w:rsidRPr="005224D5">
              <w:rPr>
                <w:rFonts w:ascii="Times New Roman" w:eastAsia="Times New Roman" w:hAnsi="Times New Roman" w:cs="Times New Roman"/>
                <w:color w:val="000000"/>
                <w:sz w:val="20"/>
                <w:szCs w:val="20"/>
                <w:lang w:val="bg-BG" w:eastAsia="bg-BG"/>
              </w:rPr>
              <w:t>Отпадъци</w:t>
            </w:r>
            <w:r w:rsidRPr="00584F2A">
              <w:rPr>
                <w:rFonts w:ascii="Times New Roman" w:eastAsia="Times New Roman" w:hAnsi="Times New Roman" w:cs="Times New Roman"/>
                <w:color w:val="000000"/>
                <w:sz w:val="20"/>
                <w:szCs w:val="20"/>
                <w:lang w:val="bg-BG" w:eastAsia="bg-BG"/>
              </w:rPr>
              <w:t>“</w:t>
            </w:r>
          </w:p>
        </w:tc>
        <w:tc>
          <w:tcPr>
            <w:tcW w:w="851" w:type="dxa"/>
            <w:shd w:val="clear" w:color="auto" w:fill="auto"/>
            <w:vAlign w:val="center"/>
            <w:hideMark/>
          </w:tcPr>
          <w:p w14:paraId="0B24398B" w14:textId="73B218E8" w:rsidR="00FC002A" w:rsidRPr="005224D5" w:rsidRDefault="00FC002A" w:rsidP="00E9010F">
            <w:pPr>
              <w:spacing w:after="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КФ</w:t>
            </w:r>
          </w:p>
        </w:tc>
        <w:tc>
          <w:tcPr>
            <w:tcW w:w="1422" w:type="dxa"/>
            <w:shd w:val="clear" w:color="auto" w:fill="auto"/>
            <w:vAlign w:val="center"/>
          </w:tcPr>
          <w:p w14:paraId="07C05241" w14:textId="3EEC7CF5"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p>
        </w:tc>
        <w:tc>
          <w:tcPr>
            <w:tcW w:w="1559" w:type="dxa"/>
            <w:shd w:val="clear" w:color="auto" w:fill="auto"/>
            <w:vAlign w:val="center"/>
            <w:hideMark/>
          </w:tcPr>
          <w:p w14:paraId="78204966" w14:textId="6754218C"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84F2A">
              <w:rPr>
                <w:rFonts w:ascii="Times New Roman" w:eastAsia="Times New Roman" w:hAnsi="Times New Roman" w:cs="Times New Roman"/>
                <w:color w:val="000000"/>
                <w:sz w:val="20"/>
                <w:szCs w:val="20"/>
                <w:lang w:val="bg-BG" w:eastAsia="bg-BG"/>
              </w:rPr>
              <w:t>“Насърчаване на прехода към кръгова и ресурсно ефективна икономика”</w:t>
            </w:r>
          </w:p>
        </w:tc>
        <w:tc>
          <w:tcPr>
            <w:tcW w:w="2127" w:type="dxa"/>
            <w:shd w:val="clear" w:color="auto" w:fill="auto"/>
            <w:vAlign w:val="center"/>
            <w:hideMark/>
          </w:tcPr>
          <w:p w14:paraId="09ACBA54" w14:textId="77777777"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84F2A">
              <w:rPr>
                <w:rFonts w:ascii="Times New Roman" w:eastAsia="Times New Roman" w:hAnsi="Times New Roman" w:cs="Times New Roman"/>
                <w:color w:val="000000"/>
                <w:sz w:val="20"/>
                <w:szCs w:val="20"/>
                <w:lang w:val="bg-BG" w:eastAsia="bg-BG"/>
              </w:rPr>
              <w:t xml:space="preserve">03 </w:t>
            </w:r>
            <w:proofErr w:type="spellStart"/>
            <w:r w:rsidRPr="00584F2A">
              <w:rPr>
                <w:rFonts w:ascii="Times New Roman" w:eastAsia="Times New Roman" w:hAnsi="Times New Roman" w:cs="Times New Roman"/>
                <w:color w:val="000000"/>
                <w:sz w:val="20"/>
                <w:szCs w:val="20"/>
                <w:lang w:val="bg-BG" w:eastAsia="bg-BG"/>
              </w:rPr>
              <w:t>Gender</w:t>
            </w:r>
            <w:proofErr w:type="spellEnd"/>
            <w:r w:rsidRPr="00584F2A">
              <w:rPr>
                <w:rFonts w:ascii="Times New Roman" w:eastAsia="Times New Roman" w:hAnsi="Times New Roman" w:cs="Times New Roman"/>
                <w:color w:val="000000"/>
                <w:sz w:val="20"/>
                <w:szCs w:val="20"/>
                <w:lang w:val="bg-BG" w:eastAsia="bg-BG"/>
              </w:rPr>
              <w:t xml:space="preserve"> </w:t>
            </w:r>
            <w:proofErr w:type="spellStart"/>
            <w:r w:rsidRPr="00584F2A">
              <w:rPr>
                <w:rFonts w:ascii="Times New Roman" w:eastAsia="Times New Roman" w:hAnsi="Times New Roman" w:cs="Times New Roman"/>
                <w:color w:val="000000"/>
                <w:sz w:val="20"/>
                <w:szCs w:val="20"/>
                <w:lang w:val="bg-BG" w:eastAsia="bg-BG"/>
              </w:rPr>
              <w:t>neutral</w:t>
            </w:r>
            <w:proofErr w:type="spellEnd"/>
          </w:p>
        </w:tc>
        <w:tc>
          <w:tcPr>
            <w:tcW w:w="1842" w:type="dxa"/>
            <w:shd w:val="clear" w:color="auto" w:fill="auto"/>
            <w:vAlign w:val="center"/>
          </w:tcPr>
          <w:p w14:paraId="4274EE20" w14:textId="0C42E2FD"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84F2A">
              <w:rPr>
                <w:rFonts w:ascii="Times New Roman" w:eastAsia="Times New Roman" w:hAnsi="Times New Roman" w:cs="Times New Roman"/>
                <w:color w:val="000000"/>
                <w:sz w:val="20"/>
                <w:szCs w:val="20"/>
                <w:lang w:val="bg-BG" w:eastAsia="bg-BG"/>
              </w:rPr>
              <w:t>195 501 800,00</w:t>
            </w:r>
          </w:p>
        </w:tc>
      </w:tr>
    </w:tbl>
    <w:p w14:paraId="7DFB57EC" w14:textId="77777777" w:rsidR="001C76D3" w:rsidRDefault="001C76D3"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60727BC8" w14:textId="50631F5C"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3038A57"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DEE78C"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5765CBB0"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743F301"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lastRenderedPageBreak/>
        <w:t>Основни целеви групи</w:t>
      </w:r>
    </w:p>
    <w:p w14:paraId="04CE65ED"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28F29C"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6F04FBF"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C301CA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1"/>
      </w:r>
    </w:p>
    <w:p w14:paraId="0CC799A5"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05E0F4E" w14:textId="77777777" w:rsidR="0022545E" w:rsidRPr="00171DED"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p>
    <w:p w14:paraId="137DFE4D" w14:textId="77777777"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171DED" w:rsidRDefault="00046144" w:rsidP="00380438">
      <w:pPr>
        <w:spacing w:before="240" w:after="240" w:line="240" w:lineRule="auto"/>
        <w:jc w:val="both"/>
        <w:rPr>
          <w:rFonts w:ascii="Times New Roman" w:eastAsia="Times New Roman" w:hAnsi="Times New Roman" w:cs="Times New Roman"/>
          <w:b/>
          <w:bCs/>
          <w:iCs/>
          <w:noProof/>
          <w:sz w:val="24"/>
          <w:szCs w:val="24"/>
          <w:lang w:val="bg-BG" w:eastAsia="bg-BG" w:bidi="bg-BG"/>
        </w:rPr>
      </w:pPr>
      <w:r w:rsidRPr="00171DED">
        <w:rPr>
          <w:rFonts w:ascii="Times New Roman" w:eastAsia="Times New Roman" w:hAnsi="Times New Roman" w:cs="Times New Roman"/>
          <w:b/>
          <w:bCs/>
          <w:iCs/>
          <w:noProof/>
          <w:sz w:val="24"/>
          <w:szCs w:val="24"/>
          <w:lang w:val="bg-BG" w:eastAsia="bg-BG" w:bidi="bg-BG"/>
        </w:rPr>
        <w:t xml:space="preserve">Приоритет 3 </w:t>
      </w:r>
      <w:r w:rsidRPr="00171DED">
        <w:rPr>
          <w:rFonts w:ascii="Times New Roman" w:eastAsia="Times New Roman" w:hAnsi="Times New Roman" w:cs="Times New Roman"/>
          <w:b/>
          <w:bCs/>
          <w:iCs/>
          <w:noProof/>
          <w:sz w:val="24"/>
          <w:szCs w:val="24"/>
          <w:lang w:eastAsia="bg-BG" w:bidi="bg-BG"/>
        </w:rPr>
        <w:t>„Биологично разнообразие“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1EFE0886" w14:textId="77777777" w:rsidTr="00156B48">
        <w:tc>
          <w:tcPr>
            <w:tcW w:w="9322" w:type="dxa"/>
          </w:tcPr>
          <w:p w14:paraId="635DC290" w14:textId="77777777"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2E804F43" w14:textId="77777777" w:rsidTr="00156B48">
        <w:tc>
          <w:tcPr>
            <w:tcW w:w="9322" w:type="dxa"/>
          </w:tcPr>
          <w:p w14:paraId="1299B9F9"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05D1F6F3" w14:textId="77777777" w:rsidTr="00156B48">
        <w:tc>
          <w:tcPr>
            <w:tcW w:w="9322" w:type="dxa"/>
          </w:tcPr>
          <w:p w14:paraId="0B6D93F6"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6285A6C7" w14:textId="77777777" w:rsidTr="00156B48">
        <w:tc>
          <w:tcPr>
            <w:tcW w:w="9322" w:type="dxa"/>
          </w:tcPr>
          <w:p w14:paraId="62FB6CB1" w14:textId="2264026B"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w:t>
            </w:r>
            <w:r w:rsidR="002E2B64" w:rsidRPr="00171DED">
              <w:rPr>
                <w:rFonts w:ascii="Times New Roman" w:eastAsia="Calibri" w:hAnsi="Times New Roman" w:cs="Times New Roman"/>
                <w:noProof/>
                <w:sz w:val="20"/>
                <w:lang w:val="bg-BG" w:eastAsia="bg-BG" w:bidi="bg-BG"/>
              </w:rPr>
              <w:t xml:space="preserve"> support to the most deprived under the specific objective set out in point (xi) of Article 4(1) of the ESF+ regulation]</w:t>
            </w:r>
          </w:p>
        </w:tc>
      </w:tr>
      <w:tr w:rsidR="00250902" w:rsidRPr="00171DED" w14:paraId="01977649" w14:textId="77777777" w:rsidTr="00156B48">
        <w:tc>
          <w:tcPr>
            <w:tcW w:w="9322" w:type="dxa"/>
          </w:tcPr>
          <w:p w14:paraId="573E06CB" w14:textId="71BD839B" w:rsidR="00250902" w:rsidRPr="00171DED" w:rsidRDefault="00265F59"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250902"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3C5C1063"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32ED759D"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5AC5E518" w14:textId="1BB1514B"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2"/>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74F2BA7C" w14:textId="336AE94D" w:rsidR="00046144" w:rsidRPr="00171DED" w:rsidRDefault="00046144" w:rsidP="003907F4">
      <w:pPr>
        <w:pStyle w:val="Bodytext20"/>
        <w:spacing w:after="0"/>
        <w:jc w:val="both"/>
        <w:rPr>
          <w:b w:val="0"/>
          <w:sz w:val="24"/>
          <w:lang w:val="bg-BG"/>
        </w:rPr>
      </w:pPr>
      <w:r w:rsidRPr="00171DED">
        <w:rPr>
          <w:b w:val="0"/>
          <w:sz w:val="24"/>
          <w:lang w:val="bg-BG"/>
        </w:rPr>
        <w:t xml:space="preserve">Специфична цел: </w:t>
      </w:r>
      <w:r w:rsidR="00D84A63">
        <w:rPr>
          <w:b w:val="0"/>
          <w:sz w:val="24"/>
          <w:lang w:val="bg-BG"/>
        </w:rPr>
        <w:t>„</w:t>
      </w:r>
      <w:r w:rsidRPr="00171DED">
        <w:rPr>
          <w:b w:val="0"/>
          <w:sz w:val="24"/>
          <w:lang w:val="bg-BG"/>
        </w:rPr>
        <w:t>Засилване на биоразнообразието, “зелената” инфраструктура в градската среда, както и намаляване на замърсяването”</w:t>
      </w:r>
    </w:p>
    <w:p w14:paraId="6DF31DB1"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22C70371" w14:textId="73430F80" w:rsidR="00380438" w:rsidRPr="00171DED"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B82B45" w:rsidRPr="00171DED">
        <w:rPr>
          <w:lang w:val="bg-BG"/>
        </w:rPr>
        <w:t xml:space="preserve"> </w:t>
      </w:r>
      <w:r w:rsidR="00B82B45" w:rsidRPr="00171DED">
        <w:rPr>
          <w:rFonts w:ascii="Times New Roman" w:eastAsia="Calibri" w:hAnsi="Times New Roman" w:cs="Times New Roman"/>
          <w:i/>
          <w:noProof/>
          <w:sz w:val="24"/>
          <w:szCs w:val="20"/>
          <w:lang w:val="bg-BG" w:eastAsia="bg-BG" w:bidi="bg-BG"/>
        </w:rPr>
        <w:t>iiia</w:t>
      </w:r>
      <w:r w:rsidR="00485F4B" w:rsidRPr="00171DED">
        <w:rPr>
          <w:rFonts w:ascii="Times New Roman" w:eastAsia="Calibri" w:hAnsi="Times New Roman" w:cs="Times New Roman"/>
          <w:i/>
          <w:noProof/>
          <w:sz w:val="24"/>
          <w:szCs w:val="20"/>
          <w:lang w:val="bg-BG" w:eastAsia="bg-BG" w:bidi="bg-BG"/>
        </w:rPr>
        <w:t>)</w:t>
      </w:r>
      <w:r w:rsidRPr="00171DED">
        <w:rPr>
          <w:rFonts w:ascii="Times New Roman" w:eastAsia="Calibri" w:hAnsi="Times New Roman" w:cs="Times New Roman"/>
          <w:i/>
          <w:noProof/>
          <w:sz w:val="24"/>
          <w:szCs w:val="20"/>
          <w:lang w:val="bg-BG" w:eastAsia="bg-BG" w:bidi="bg-BG"/>
        </w:rPr>
        <w:t xml:space="preserve"> iv) v) vi)</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47DBCE82" w14:textId="57E0280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380438" w:rsidRPr="0010575B" w14:paraId="08DC30F4" w14:textId="77777777" w:rsidTr="00A21E69">
        <w:tc>
          <w:tcPr>
            <w:tcW w:w="9288" w:type="dxa"/>
          </w:tcPr>
          <w:p w14:paraId="568E1D81" w14:textId="77777777" w:rsidR="00380438" w:rsidRPr="00171DED"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0461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250EB442" w14:textId="07FD59B8" w:rsidR="00380438" w:rsidRPr="00171DED" w:rsidRDefault="000B3B67"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Допустими са мерки за</w:t>
            </w:r>
            <w:r w:rsidR="00380438" w:rsidRPr="00171DED">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14:paraId="3FFBEC2B" w14:textId="5B96C284" w:rsidR="003F4B8A" w:rsidRPr="00171DED" w:rsidRDefault="00380438" w:rsidP="00584F2A">
            <w:pPr>
              <w:pStyle w:val="ListParagraph"/>
              <w:numPr>
                <w:ilvl w:val="0"/>
                <w:numId w:val="44"/>
              </w:numPr>
              <w:spacing w:before="120" w:after="120"/>
              <w:ind w:left="596"/>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E86245" w:rsidRPr="00171DE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свързани с развитие на мрежата Натура 2000</w:t>
            </w:r>
            <w:r w:rsidR="003F4B8A" w:rsidRPr="00171DED">
              <w:rPr>
                <w:rFonts w:ascii="Times New Roman" w:eastAsia="Times New Roman" w:hAnsi="Times New Roman" w:cs="Times New Roman"/>
                <w:noProof/>
                <w:sz w:val="24"/>
                <w:szCs w:val="20"/>
              </w:rPr>
              <w:t>:</w:t>
            </w:r>
          </w:p>
          <w:p w14:paraId="21AFCF12" w14:textId="41B12383" w:rsidR="003F4B8A"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584F2A">
              <w:rPr>
                <w:rFonts w:ascii="Times New Roman" w:eastAsia="Times New Roman" w:hAnsi="Times New Roman" w:cs="Times New Roman"/>
                <w:noProof/>
                <w:sz w:val="24"/>
                <w:szCs w:val="20"/>
                <w:lang w:val="en-US" w:eastAsia="en-US" w:bidi="ar-SA"/>
              </w:rPr>
              <w:t xml:space="preserve">Разработване на </w:t>
            </w:r>
            <w:r w:rsidR="00D16224" w:rsidRPr="00584F2A">
              <w:rPr>
                <w:rFonts w:ascii="Times New Roman" w:eastAsia="Times New Roman" w:hAnsi="Times New Roman" w:cs="Times New Roman"/>
                <w:noProof/>
                <w:sz w:val="24"/>
                <w:szCs w:val="20"/>
                <w:lang w:val="en-US" w:eastAsia="en-US" w:bidi="ar-SA"/>
              </w:rPr>
              <w:t xml:space="preserve">териториални </w:t>
            </w:r>
            <w:r w:rsidR="003F4B8A" w:rsidRPr="00584F2A">
              <w:rPr>
                <w:rFonts w:ascii="Times New Roman" w:eastAsia="Times New Roman" w:hAnsi="Times New Roman" w:cs="Times New Roman"/>
                <w:noProof/>
                <w:sz w:val="24"/>
                <w:szCs w:val="20"/>
                <w:lang w:val="en-US" w:eastAsia="en-US" w:bidi="ar-SA"/>
              </w:rPr>
              <w:t xml:space="preserve">планове за управление на защитените зони по Натура 2000 </w:t>
            </w:r>
            <w:r w:rsidR="00C4684C" w:rsidRPr="00584F2A">
              <w:rPr>
                <w:rFonts w:ascii="Times New Roman" w:eastAsia="Times New Roman" w:hAnsi="Times New Roman" w:cs="Times New Roman"/>
                <w:noProof/>
                <w:sz w:val="24"/>
                <w:szCs w:val="20"/>
                <w:lang w:val="en-US" w:eastAsia="en-US" w:bidi="ar-SA"/>
              </w:rPr>
              <w:t>–</w:t>
            </w:r>
            <w:r w:rsidR="003F4B8A" w:rsidRPr="00584F2A">
              <w:rPr>
                <w:rFonts w:ascii="Times New Roman" w:eastAsia="Times New Roman" w:hAnsi="Times New Roman" w:cs="Times New Roman"/>
                <w:noProof/>
                <w:sz w:val="24"/>
                <w:szCs w:val="20"/>
                <w:lang w:val="en-US" w:eastAsia="en-US" w:bidi="ar-SA"/>
              </w:rPr>
              <w:t xml:space="preserve"> разработване на </w:t>
            </w:r>
            <w:r w:rsidR="009B4D4B" w:rsidRPr="00584F2A">
              <w:rPr>
                <w:rFonts w:ascii="Times New Roman" w:eastAsia="Times New Roman" w:hAnsi="Times New Roman" w:cs="Times New Roman"/>
                <w:noProof/>
                <w:sz w:val="24"/>
                <w:szCs w:val="20"/>
                <w:lang w:val="en-US" w:eastAsia="en-US" w:bidi="ar-SA"/>
              </w:rPr>
              <w:t>ръководства</w:t>
            </w:r>
            <w:r w:rsidR="003F4B8A" w:rsidRPr="00584F2A">
              <w:rPr>
                <w:rFonts w:ascii="Times New Roman" w:eastAsia="Times New Roman" w:hAnsi="Times New Roman" w:cs="Times New Roman"/>
                <w:noProof/>
                <w:sz w:val="24"/>
                <w:szCs w:val="20"/>
                <w:lang w:val="en-US" w:eastAsia="en-US" w:bidi="ar-SA"/>
              </w:rPr>
              <w:t xml:space="preserve">; разработване на 15 плана за управление на </w:t>
            </w:r>
            <w:r w:rsidR="003F4B8A" w:rsidRPr="00584F2A">
              <w:rPr>
                <w:rFonts w:ascii="Times New Roman" w:eastAsia="Times New Roman" w:hAnsi="Times New Roman" w:cs="Times New Roman"/>
                <w:noProof/>
                <w:sz w:val="24"/>
                <w:szCs w:val="20"/>
                <w:lang w:val="en-US" w:eastAsia="en-US" w:bidi="ar-SA"/>
              </w:rPr>
              <w:lastRenderedPageBreak/>
              <w:t>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w:t>
            </w:r>
            <w:r w:rsidR="009226BD" w:rsidRPr="00584F2A">
              <w:rPr>
                <w:rFonts w:ascii="Times New Roman" w:eastAsia="Times New Roman" w:hAnsi="Times New Roman" w:cs="Times New Roman"/>
                <w:noProof/>
                <w:sz w:val="24"/>
                <w:szCs w:val="20"/>
                <w:lang w:val="en-US" w:eastAsia="en-US" w:bidi="ar-SA"/>
              </w:rPr>
              <w:t>,</w:t>
            </w:r>
            <w:r w:rsidR="003F4B8A" w:rsidRPr="00584F2A">
              <w:rPr>
                <w:rFonts w:ascii="Times New Roman" w:eastAsia="Times New Roman" w:hAnsi="Times New Roman" w:cs="Times New Roman"/>
                <w:noProof/>
                <w:sz w:val="24"/>
                <w:szCs w:val="20"/>
                <w:lang w:val="en-US" w:eastAsia="en-US" w:bidi="ar-SA"/>
              </w:rPr>
              <w:t xml:space="preserve"> въздействи</w:t>
            </w:r>
            <w:r w:rsidR="009226BD" w:rsidRPr="00584F2A">
              <w:rPr>
                <w:rFonts w:ascii="Times New Roman" w:eastAsia="Times New Roman" w:hAnsi="Times New Roman" w:cs="Times New Roman"/>
                <w:noProof/>
                <w:sz w:val="24"/>
                <w:szCs w:val="20"/>
                <w:lang w:val="en-US" w:eastAsia="en-US" w:bidi="ar-SA"/>
              </w:rPr>
              <w:t>ята</w:t>
            </w:r>
            <w:r w:rsidR="003F4B8A" w:rsidRPr="00584F2A">
              <w:rPr>
                <w:rFonts w:ascii="Times New Roman" w:eastAsia="Times New Roman" w:hAnsi="Times New Roman" w:cs="Times New Roman"/>
                <w:noProof/>
                <w:sz w:val="24"/>
                <w:szCs w:val="20"/>
                <w:lang w:val="en-US" w:eastAsia="en-US" w:bidi="ar-SA"/>
              </w:rPr>
              <w:t xml:space="preserve"> и заплахите за видове и природни местообитания</w:t>
            </w:r>
            <w:r w:rsidR="009047BC" w:rsidRPr="00584F2A">
              <w:rPr>
                <w:rFonts w:ascii="Times New Roman" w:eastAsia="Times New Roman" w:hAnsi="Times New Roman" w:cs="Times New Roman"/>
                <w:noProof/>
                <w:sz w:val="24"/>
                <w:szCs w:val="20"/>
                <w:lang w:val="en-US" w:eastAsia="en-US" w:bidi="ar-SA"/>
              </w:rPr>
              <w:t>, вкл</w:t>
            </w:r>
            <w:r w:rsidR="00FE15A8" w:rsidRPr="00584F2A">
              <w:rPr>
                <w:rFonts w:ascii="Times New Roman" w:eastAsia="Times New Roman" w:hAnsi="Times New Roman" w:cs="Times New Roman"/>
                <w:noProof/>
                <w:sz w:val="24"/>
                <w:szCs w:val="20"/>
                <w:lang w:val="en-US" w:eastAsia="en-US" w:bidi="ar-SA"/>
              </w:rPr>
              <w:t>.</w:t>
            </w:r>
            <w:r w:rsidR="009047BC" w:rsidRPr="00584F2A">
              <w:rPr>
                <w:rFonts w:ascii="Times New Roman" w:eastAsia="Times New Roman" w:hAnsi="Times New Roman" w:cs="Times New Roman"/>
                <w:noProof/>
                <w:sz w:val="24"/>
                <w:szCs w:val="20"/>
                <w:lang w:val="en-US" w:eastAsia="en-US" w:bidi="ar-SA"/>
              </w:rPr>
              <w:t xml:space="preserve"> провеждане на кампании за обществена осведоменост и включване</w:t>
            </w:r>
            <w:r w:rsidR="008D3074" w:rsidRPr="00584F2A">
              <w:rPr>
                <w:rFonts w:ascii="Times New Roman" w:eastAsia="Times New Roman" w:hAnsi="Times New Roman" w:cs="Times New Roman"/>
                <w:noProof/>
                <w:sz w:val="24"/>
                <w:szCs w:val="20"/>
                <w:lang w:val="en-US" w:eastAsia="en-US" w:bidi="ar-SA"/>
              </w:rPr>
              <w:t xml:space="preserve"> на заинтересованите страни</w:t>
            </w:r>
            <w:r w:rsidR="009047BC" w:rsidRPr="00584F2A">
              <w:rPr>
                <w:rFonts w:ascii="Times New Roman" w:eastAsia="Times New Roman" w:hAnsi="Times New Roman" w:cs="Times New Roman"/>
                <w:noProof/>
                <w:sz w:val="24"/>
                <w:szCs w:val="20"/>
                <w:lang w:val="en-US" w:eastAsia="en-US" w:bidi="ar-SA"/>
              </w:rPr>
              <w:t xml:space="preserve"> в процеса по разработване на плановете</w:t>
            </w:r>
            <w:r w:rsidR="003F4B8A" w:rsidRPr="00584F2A">
              <w:rPr>
                <w:rFonts w:ascii="Times New Roman" w:eastAsia="Times New Roman" w:hAnsi="Times New Roman" w:cs="Times New Roman"/>
                <w:noProof/>
                <w:sz w:val="24"/>
                <w:szCs w:val="20"/>
                <w:lang w:val="en-US" w:eastAsia="en-US" w:bidi="ar-SA"/>
              </w:rPr>
              <w:t>;</w:t>
            </w:r>
          </w:p>
          <w:p w14:paraId="70A796EA" w14:textId="5159677A" w:rsidR="003F4B8A" w:rsidRPr="00584F2A" w:rsidRDefault="00DF228E" w:rsidP="00584F2A">
            <w:pPr>
              <w:spacing w:before="120" w:after="120"/>
              <w:jc w:val="both"/>
              <w:rPr>
                <w:rFonts w:ascii="Times New Roman" w:eastAsia="Times New Roman" w:hAnsi="Times New Roman" w:cs="Times New Roman"/>
                <w:noProof/>
                <w:sz w:val="24"/>
                <w:szCs w:val="20"/>
              </w:rPr>
            </w:pPr>
            <w:r w:rsidRPr="00584F2A">
              <w:rPr>
                <w:rFonts w:ascii="Times New Roman" w:eastAsia="Times New Roman" w:hAnsi="Times New Roman" w:cs="Times New Roman"/>
                <w:noProof/>
                <w:sz w:val="24"/>
                <w:szCs w:val="20"/>
                <w:lang w:val="en-US" w:eastAsia="en-US" w:bidi="ar-SA"/>
              </w:rPr>
              <w:t xml:space="preserve">- </w:t>
            </w:r>
            <w:r w:rsidR="003F4B8A" w:rsidRPr="00584F2A">
              <w:rPr>
                <w:rFonts w:ascii="Times New Roman" w:eastAsia="Times New Roman" w:hAnsi="Times New Roman" w:cs="Times New Roman"/>
                <w:noProof/>
                <w:sz w:val="24"/>
                <w:szCs w:val="20"/>
                <w:lang w:val="en-US" w:eastAsia="en-US" w:bidi="ar-SA"/>
              </w:rPr>
              <w:t xml:space="preserve">Прилагане на управленски подход в защитени зони от Натура 2000 </w:t>
            </w:r>
            <w:r w:rsidR="009B4D4B" w:rsidRPr="00584F2A">
              <w:rPr>
                <w:rFonts w:ascii="Times New Roman" w:eastAsia="Times New Roman" w:hAnsi="Times New Roman" w:cs="Times New Roman"/>
                <w:noProof/>
                <w:sz w:val="24"/>
                <w:szCs w:val="20"/>
                <w:lang w:val="en-US" w:eastAsia="en-US" w:bidi="ar-SA"/>
              </w:rPr>
              <w:t>–</w:t>
            </w:r>
            <w:r w:rsidR="003F4B8A" w:rsidRPr="00584F2A">
              <w:rPr>
                <w:rFonts w:ascii="Times New Roman" w:eastAsia="Times New Roman" w:hAnsi="Times New Roman" w:cs="Times New Roman"/>
                <w:noProof/>
                <w:sz w:val="24"/>
                <w:szCs w:val="20"/>
                <w:lang w:val="en-US" w:eastAsia="en-US" w:bidi="ar-SA"/>
              </w:rPr>
              <w:t xml:space="preserve"> осигуряване на подкрепа за  органите за управление  на защитени зони по Натура 2000;</w:t>
            </w:r>
          </w:p>
          <w:p w14:paraId="685583BE" w14:textId="7BD536C3" w:rsidR="003F4B8A"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584F2A">
              <w:rPr>
                <w:rFonts w:ascii="Times New Roman" w:eastAsia="Times New Roman" w:hAnsi="Times New Roman" w:cs="Times New Roman"/>
                <w:noProof/>
                <w:sz w:val="24"/>
                <w:szCs w:val="20"/>
                <w:lang w:val="en-US" w:eastAsia="en-US" w:bidi="ar-SA"/>
              </w:rPr>
              <w:t xml:space="preserve">Подобряване на знанията за видове и природни местообитания чрез теренни проучвания (включително картиране, където е </w:t>
            </w:r>
            <w:r w:rsidR="009047BC" w:rsidRPr="00584F2A">
              <w:rPr>
                <w:rFonts w:ascii="Times New Roman" w:eastAsia="Times New Roman" w:hAnsi="Times New Roman" w:cs="Times New Roman"/>
                <w:noProof/>
                <w:sz w:val="24"/>
                <w:szCs w:val="20"/>
                <w:lang w:val="en-US" w:eastAsia="en-US" w:bidi="ar-SA"/>
              </w:rPr>
              <w:t>определено в НРПД</w:t>
            </w:r>
            <w:r w:rsidR="003F4B8A" w:rsidRPr="00584F2A">
              <w:rPr>
                <w:rFonts w:ascii="Times New Roman" w:eastAsia="Times New Roman" w:hAnsi="Times New Roman" w:cs="Times New Roman"/>
                <w:noProof/>
                <w:sz w:val="24"/>
                <w:szCs w:val="20"/>
                <w:lang w:val="en-US" w:eastAsia="en-US" w:bidi="ar-SA"/>
              </w:rPr>
              <w:t>) и определяне на техния природозащитен статус; проверка на таксономична принадлежност; идентифициране на ефектите от разселването  на неавтохтонни видове</w:t>
            </w:r>
            <w:r w:rsidR="009047BC" w:rsidRPr="00584F2A">
              <w:rPr>
                <w:rFonts w:ascii="Times New Roman" w:eastAsia="Times New Roman" w:hAnsi="Times New Roman" w:cs="Times New Roman"/>
                <w:noProof/>
                <w:sz w:val="24"/>
                <w:szCs w:val="20"/>
                <w:lang w:val="en-US" w:eastAsia="en-US" w:bidi="ar-SA"/>
              </w:rPr>
              <w:t xml:space="preserve"> и др.</w:t>
            </w:r>
            <w:r w:rsidR="003F4B8A" w:rsidRPr="00584F2A">
              <w:rPr>
                <w:rFonts w:ascii="Times New Roman" w:eastAsia="Times New Roman" w:hAnsi="Times New Roman" w:cs="Times New Roman"/>
                <w:noProof/>
                <w:sz w:val="24"/>
                <w:szCs w:val="20"/>
                <w:lang w:val="en-US" w:eastAsia="en-US" w:bidi="ar-SA"/>
              </w:rPr>
              <w:t>;</w:t>
            </w:r>
          </w:p>
          <w:p w14:paraId="6AF752BD" w14:textId="3D31D900" w:rsidR="003F4B8A" w:rsidRPr="00584F2A" w:rsidRDefault="00DF228E" w:rsidP="00584F2A">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584F2A">
              <w:rPr>
                <w:rFonts w:ascii="Times New Roman" w:eastAsia="Times New Roman" w:hAnsi="Times New Roman" w:cs="Times New Roman"/>
                <w:noProof/>
                <w:sz w:val="24"/>
                <w:szCs w:val="20"/>
                <w:lang w:val="en-US" w:eastAsia="en-US" w:bidi="ar-SA"/>
              </w:rPr>
              <w:t>Разработване на планове за действие за видовете;</w:t>
            </w:r>
          </w:p>
          <w:p w14:paraId="677FCA78" w14:textId="3CB3331F" w:rsidR="003F4B8A"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9047BC" w:rsidRPr="00584F2A">
              <w:rPr>
                <w:rFonts w:ascii="Times New Roman" w:eastAsia="Times New Roman" w:hAnsi="Times New Roman" w:cs="Times New Roman"/>
                <w:noProof/>
                <w:sz w:val="24"/>
                <w:szCs w:val="20"/>
                <w:lang w:val="en-US" w:eastAsia="en-US" w:bidi="ar-SA"/>
              </w:rPr>
              <w:t xml:space="preserve">Изграждане на капацитет на  </w:t>
            </w:r>
            <w:r w:rsidR="003F4B8A" w:rsidRPr="00584F2A">
              <w:rPr>
                <w:rFonts w:ascii="Times New Roman" w:eastAsia="Times New Roman" w:hAnsi="Times New Roman" w:cs="Times New Roman"/>
                <w:noProof/>
                <w:sz w:val="24"/>
                <w:szCs w:val="20"/>
                <w:lang w:val="en-US" w:eastAsia="en-US" w:bidi="ar-SA"/>
              </w:rPr>
              <w:t xml:space="preserve">заинтересованите страни за прилагане на </w:t>
            </w:r>
            <w:r w:rsidR="004B0344" w:rsidRPr="00584F2A">
              <w:rPr>
                <w:rFonts w:ascii="Times New Roman" w:eastAsia="Times New Roman" w:hAnsi="Times New Roman" w:cs="Times New Roman"/>
                <w:noProof/>
                <w:sz w:val="24"/>
                <w:szCs w:val="20"/>
                <w:lang w:val="en-US" w:eastAsia="en-US" w:bidi="ar-SA"/>
              </w:rPr>
              <w:t xml:space="preserve">консервационни </w:t>
            </w:r>
            <w:r w:rsidR="003F4B8A" w:rsidRPr="00584F2A">
              <w:rPr>
                <w:rFonts w:ascii="Times New Roman" w:eastAsia="Times New Roman" w:hAnsi="Times New Roman" w:cs="Times New Roman"/>
                <w:noProof/>
                <w:sz w:val="24"/>
                <w:szCs w:val="20"/>
                <w:lang w:val="en-US" w:eastAsia="en-US" w:bidi="ar-SA"/>
              </w:rPr>
              <w:t>мерки</w:t>
            </w:r>
            <w:r w:rsidR="004B0344" w:rsidRPr="00584F2A">
              <w:rPr>
                <w:rFonts w:ascii="Times New Roman" w:eastAsia="Times New Roman" w:hAnsi="Times New Roman" w:cs="Times New Roman"/>
                <w:noProof/>
                <w:sz w:val="24"/>
                <w:szCs w:val="20"/>
                <w:lang w:val="en-US" w:eastAsia="en-US" w:bidi="ar-SA"/>
              </w:rPr>
              <w:t>, вкл. такива</w:t>
            </w:r>
            <w:r w:rsidR="003F4B8A" w:rsidRPr="00584F2A">
              <w:rPr>
                <w:rFonts w:ascii="Times New Roman" w:eastAsia="Times New Roman" w:hAnsi="Times New Roman" w:cs="Times New Roman"/>
                <w:noProof/>
                <w:sz w:val="24"/>
                <w:szCs w:val="20"/>
                <w:lang w:val="en-US" w:eastAsia="en-US" w:bidi="ar-SA"/>
              </w:rPr>
              <w:t xml:space="preserve"> от </w:t>
            </w:r>
            <w:r w:rsidR="009047BC" w:rsidRPr="00584F2A">
              <w:rPr>
                <w:rFonts w:ascii="Times New Roman" w:eastAsia="Times New Roman" w:hAnsi="Times New Roman" w:cs="Times New Roman"/>
                <w:noProof/>
                <w:sz w:val="24"/>
                <w:szCs w:val="20"/>
                <w:lang w:val="en-US" w:eastAsia="en-US" w:bidi="ar-SA"/>
              </w:rPr>
              <w:t xml:space="preserve">НРПД и </w:t>
            </w:r>
            <w:r w:rsidR="003F4B8A" w:rsidRPr="00584F2A">
              <w:rPr>
                <w:rFonts w:ascii="Times New Roman" w:eastAsia="Times New Roman" w:hAnsi="Times New Roman" w:cs="Times New Roman"/>
                <w:noProof/>
                <w:sz w:val="24"/>
                <w:szCs w:val="20"/>
                <w:lang w:val="en-US" w:eastAsia="en-US" w:bidi="ar-SA"/>
              </w:rPr>
              <w:t>плановете за управление на защитените зони.</w:t>
            </w:r>
          </w:p>
          <w:p w14:paraId="4E41850C" w14:textId="39D3FC45" w:rsidR="009B4D4B" w:rsidRPr="00171DED" w:rsidRDefault="009B4D4B" w:rsidP="00584F2A">
            <w:pPr>
              <w:pStyle w:val="ListParagraph"/>
              <w:numPr>
                <w:ilvl w:val="0"/>
                <w:numId w:val="46"/>
              </w:numPr>
              <w:spacing w:before="120" w:after="120"/>
              <w:jc w:val="both"/>
              <w:rPr>
                <w:rFonts w:ascii="Times New Roman" w:eastAsia="Calibri" w:hAnsi="Times New Roman" w:cs="Times New Roman"/>
                <w:iCs/>
                <w:sz w:val="24"/>
                <w:szCs w:val="20"/>
              </w:rPr>
            </w:pPr>
            <w:r w:rsidRPr="00171DED">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171DED">
              <w:rPr>
                <w:rFonts w:ascii="Times New Roman" w:eastAsia="Calibri" w:hAnsi="Times New Roman" w:cs="Times New Roman"/>
                <w:iCs/>
                <w:sz w:val="24"/>
                <w:szCs w:val="20"/>
                <w:lang w:eastAsia="en-US" w:bidi="ar-SA"/>
              </w:rPr>
              <w:t>местообитания</w:t>
            </w:r>
            <w:r w:rsidRPr="00171DED">
              <w:rPr>
                <w:rFonts w:ascii="Times New Roman" w:eastAsia="Calibri" w:hAnsi="Times New Roman" w:cs="Times New Roman"/>
                <w:iCs/>
                <w:sz w:val="24"/>
                <w:szCs w:val="20"/>
              </w:rPr>
              <w:t xml:space="preserve"> и видове (вкл. птици, риби, прилепи, влечуги, </w:t>
            </w:r>
            <w:proofErr w:type="spellStart"/>
            <w:r w:rsidRPr="00171DED">
              <w:rPr>
                <w:rFonts w:ascii="Times New Roman" w:eastAsia="Calibri" w:hAnsi="Times New Roman" w:cs="Times New Roman"/>
                <w:iCs/>
                <w:sz w:val="24"/>
                <w:szCs w:val="20"/>
              </w:rPr>
              <w:t>васкуларни</w:t>
            </w:r>
            <w:proofErr w:type="spellEnd"/>
            <w:r w:rsidRPr="00171DED">
              <w:rPr>
                <w:rFonts w:ascii="Times New Roman" w:eastAsia="Calibri" w:hAnsi="Times New Roman" w:cs="Times New Roman"/>
                <w:iCs/>
                <w:sz w:val="24"/>
                <w:szCs w:val="20"/>
              </w:rPr>
              <w:t xml:space="preserve">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171DED">
              <w:rPr>
                <w:rFonts w:ascii="Times New Roman" w:eastAsia="Calibri" w:hAnsi="Times New Roman" w:cs="Times New Roman"/>
                <w:iCs/>
                <w:sz w:val="24"/>
                <w:szCs w:val="20"/>
              </w:rPr>
              <w:t>като напр.</w:t>
            </w:r>
            <w:r w:rsidRPr="00171DED">
              <w:rPr>
                <w:rFonts w:ascii="Times New Roman" w:eastAsia="Calibri" w:hAnsi="Times New Roman" w:cs="Times New Roman"/>
                <w:iCs/>
                <w:sz w:val="24"/>
                <w:szCs w:val="20"/>
              </w:rPr>
              <w:t>:</w:t>
            </w:r>
          </w:p>
          <w:p w14:paraId="220FBD20" w14:textId="41B29A0C" w:rsidR="00133980" w:rsidRPr="00584F2A" w:rsidRDefault="00DF228E" w:rsidP="00584F2A">
            <w:pPr>
              <w:spacing w:before="120" w:after="120"/>
              <w:jc w:val="both"/>
              <w:rPr>
                <w:rFonts w:ascii="Times New Roman" w:eastAsia="Calibri" w:hAnsi="Times New Roman" w:cs="Times New Roman"/>
                <w:iCs/>
                <w:sz w:val="24"/>
                <w:szCs w:val="20"/>
              </w:rPr>
            </w:pPr>
            <w:r>
              <w:rPr>
                <w:rFonts w:ascii="Times New Roman" w:eastAsia="Times New Roman" w:hAnsi="Times New Roman" w:cs="Times New Roman"/>
                <w:noProof/>
                <w:sz w:val="24"/>
                <w:szCs w:val="20"/>
              </w:rPr>
              <w:t xml:space="preserve">- </w:t>
            </w:r>
            <w:proofErr w:type="spellStart"/>
            <w:r w:rsidR="008A22E9" w:rsidRPr="00584F2A">
              <w:rPr>
                <w:rFonts w:ascii="Times New Roman" w:eastAsia="Calibri" w:hAnsi="Times New Roman" w:cs="Times New Roman"/>
                <w:iCs/>
                <w:sz w:val="24"/>
                <w:szCs w:val="20"/>
                <w:lang w:val="en-US" w:eastAsia="en-US" w:bidi="ar-SA"/>
              </w:rPr>
              <w:t>Подобряване</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природозащитния</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статус</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на</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видове</w:t>
            </w:r>
            <w:proofErr w:type="spellEnd"/>
            <w:r w:rsidR="008A22E9" w:rsidRPr="00584F2A">
              <w:rPr>
                <w:rFonts w:ascii="Times New Roman" w:eastAsia="Calibri" w:hAnsi="Times New Roman" w:cs="Times New Roman"/>
                <w:iCs/>
                <w:sz w:val="24"/>
                <w:szCs w:val="20"/>
                <w:lang w:val="en-US" w:eastAsia="en-US" w:bidi="ar-SA"/>
              </w:rPr>
              <w:t xml:space="preserve"> и </w:t>
            </w:r>
            <w:proofErr w:type="spellStart"/>
            <w:r w:rsidR="008A22E9" w:rsidRPr="00584F2A">
              <w:rPr>
                <w:rFonts w:ascii="Times New Roman" w:eastAsia="Calibri" w:hAnsi="Times New Roman" w:cs="Times New Roman"/>
                <w:iCs/>
                <w:sz w:val="24"/>
                <w:szCs w:val="20"/>
                <w:lang w:val="en-US" w:eastAsia="en-US" w:bidi="ar-SA"/>
              </w:rPr>
              <w:t>природни</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местообитания</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чрез</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възстановяване</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на</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хидрологичния</w:t>
            </w:r>
            <w:proofErr w:type="spellEnd"/>
            <w:r w:rsidR="008A22E9" w:rsidRPr="00584F2A">
              <w:rPr>
                <w:rFonts w:ascii="Times New Roman" w:eastAsia="Calibri" w:hAnsi="Times New Roman" w:cs="Times New Roman"/>
                <w:iCs/>
                <w:sz w:val="24"/>
                <w:szCs w:val="20"/>
                <w:lang w:val="en-US" w:eastAsia="en-US" w:bidi="ar-SA"/>
              </w:rPr>
              <w:t xml:space="preserve"> </w:t>
            </w:r>
            <w:proofErr w:type="spellStart"/>
            <w:r w:rsidR="008A22E9" w:rsidRPr="00584F2A">
              <w:rPr>
                <w:rFonts w:ascii="Times New Roman" w:eastAsia="Calibri" w:hAnsi="Times New Roman" w:cs="Times New Roman"/>
                <w:iCs/>
                <w:sz w:val="24"/>
                <w:szCs w:val="20"/>
                <w:lang w:val="en-US" w:eastAsia="en-US" w:bidi="ar-SA"/>
              </w:rPr>
              <w:t>режим</w:t>
            </w:r>
            <w:proofErr w:type="spellEnd"/>
            <w:r w:rsidR="00133980" w:rsidRPr="00584F2A">
              <w:rPr>
                <w:rFonts w:ascii="Times New Roman" w:eastAsia="Calibri" w:hAnsi="Times New Roman" w:cs="Times New Roman"/>
                <w:iCs/>
                <w:sz w:val="24"/>
                <w:szCs w:val="20"/>
                <w:lang w:val="en-US" w:eastAsia="en-US" w:bidi="ar-SA"/>
              </w:rPr>
              <w:t>;</w:t>
            </w:r>
            <w:r w:rsidR="008A22E9"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разчистване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остатъци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от</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изоставена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антропогенна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инфраструктура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предизвикваща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фрагментация</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изграждане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връзка</w:t>
            </w:r>
            <w:proofErr w:type="spellEnd"/>
            <w:r w:rsidR="00133980" w:rsidRPr="00584F2A">
              <w:rPr>
                <w:rFonts w:ascii="Times New Roman" w:eastAsia="Calibri" w:hAnsi="Times New Roman" w:cs="Times New Roman"/>
                <w:iCs/>
                <w:sz w:val="24"/>
                <w:szCs w:val="20"/>
                <w:lang w:val="en-US" w:eastAsia="en-US" w:bidi="ar-SA"/>
              </w:rPr>
              <w:t xml:space="preserve"> с </w:t>
            </w:r>
            <w:proofErr w:type="spellStart"/>
            <w:r w:rsidR="00133980" w:rsidRPr="00584F2A">
              <w:rPr>
                <w:rFonts w:ascii="Times New Roman" w:eastAsia="Calibri" w:hAnsi="Times New Roman" w:cs="Times New Roman"/>
                <w:iCs/>
                <w:sz w:val="24"/>
                <w:szCs w:val="20"/>
                <w:lang w:val="en-US" w:eastAsia="en-US" w:bidi="ar-SA"/>
              </w:rPr>
              <w:t>морето</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възстановяване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естествения</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воден</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режим</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влажните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зони</w:t>
            </w:r>
            <w:proofErr w:type="spellEnd"/>
            <w:r w:rsidR="00133980" w:rsidRPr="00171DED">
              <w:t xml:space="preserve"> </w:t>
            </w:r>
            <w:r w:rsidR="00133980" w:rsidRPr="00584F2A">
              <w:rPr>
                <w:rFonts w:ascii="Times New Roman" w:eastAsia="Calibri" w:hAnsi="Times New Roman" w:cs="Times New Roman"/>
                <w:iCs/>
                <w:sz w:val="24"/>
                <w:szCs w:val="20"/>
                <w:lang w:val="en-US" w:eastAsia="en-US" w:bidi="ar-SA"/>
              </w:rPr>
              <w:t xml:space="preserve">и </w:t>
            </w:r>
            <w:proofErr w:type="spellStart"/>
            <w:r w:rsidR="00133980" w:rsidRPr="00584F2A">
              <w:rPr>
                <w:rFonts w:ascii="Times New Roman" w:eastAsia="Calibri" w:hAnsi="Times New Roman" w:cs="Times New Roman"/>
                <w:iCs/>
                <w:sz w:val="24"/>
                <w:szCs w:val="20"/>
                <w:lang w:val="en-US" w:eastAsia="en-US" w:bidi="ar-SA"/>
              </w:rPr>
              <w:t>поддържане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подходящ</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воден</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режим</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възстановяване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бивши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гнездовища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вида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частично</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възстановяване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пресушени</w:t>
            </w:r>
            <w:proofErr w:type="spellEnd"/>
            <w:r w:rsidR="00133980" w:rsidRPr="00584F2A">
              <w:rPr>
                <w:rFonts w:ascii="Times New Roman" w:eastAsia="Calibri" w:hAnsi="Times New Roman" w:cs="Times New Roman"/>
                <w:iCs/>
                <w:sz w:val="24"/>
                <w:szCs w:val="20"/>
                <w:lang w:val="en-US" w:eastAsia="en-US" w:bidi="ar-SA"/>
              </w:rPr>
              <w:t xml:space="preserve"> в </w:t>
            </w:r>
            <w:proofErr w:type="spellStart"/>
            <w:r w:rsidR="00133980" w:rsidRPr="00584F2A">
              <w:rPr>
                <w:rFonts w:ascii="Times New Roman" w:eastAsia="Calibri" w:hAnsi="Times New Roman" w:cs="Times New Roman"/>
                <w:iCs/>
                <w:sz w:val="24"/>
                <w:szCs w:val="20"/>
                <w:lang w:val="en-US" w:eastAsia="en-US" w:bidi="ar-SA"/>
              </w:rPr>
              <w:t>миналото</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естествени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водоеми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управление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тръстиковите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масиви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премахване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инвазивни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чужди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видове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действия</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за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ограничаване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паша</w:t>
            </w:r>
            <w:proofErr w:type="spellEnd"/>
            <w:r w:rsidR="00133980" w:rsidRPr="00584F2A">
              <w:rPr>
                <w:rFonts w:ascii="Times New Roman" w:eastAsia="Calibri" w:hAnsi="Times New Roman" w:cs="Times New Roman"/>
                <w:iCs/>
                <w:sz w:val="24"/>
                <w:szCs w:val="20"/>
                <w:lang w:val="en-US" w:eastAsia="en-US" w:bidi="ar-SA"/>
              </w:rPr>
              <w:t xml:space="preserve">; реинтродукция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видове</w:t>
            </w:r>
            <w:proofErr w:type="spellEnd"/>
            <w:r w:rsidR="00133980" w:rsidRPr="00584F2A">
              <w:rPr>
                <w:rFonts w:ascii="Times New Roman" w:eastAsia="Calibri" w:hAnsi="Times New Roman" w:cs="Times New Roman"/>
                <w:iCs/>
                <w:sz w:val="24"/>
                <w:szCs w:val="20"/>
                <w:lang w:val="en-US" w:eastAsia="en-US" w:bidi="ar-SA"/>
              </w:rPr>
              <w:t xml:space="preserve"> в </w:t>
            </w:r>
            <w:proofErr w:type="spellStart"/>
            <w:r w:rsidR="00133980" w:rsidRPr="00584F2A">
              <w:rPr>
                <w:rFonts w:ascii="Times New Roman" w:eastAsia="Calibri" w:hAnsi="Times New Roman" w:cs="Times New Roman"/>
                <w:iCs/>
                <w:sz w:val="24"/>
                <w:szCs w:val="20"/>
                <w:lang w:val="en-US" w:eastAsia="en-US" w:bidi="ar-SA"/>
              </w:rPr>
              <w:t>потенциални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местообитания</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поставяне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електропастири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възстановяване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нарушени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терени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закупуване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земи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обезопасяване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електропроводи</w:t>
            </w:r>
            <w:proofErr w:type="spellEnd"/>
            <w:r w:rsidR="00133980" w:rsidRPr="00584F2A">
              <w:rPr>
                <w:rFonts w:ascii="Times New Roman" w:eastAsia="Calibri" w:hAnsi="Times New Roman" w:cs="Times New Roman"/>
                <w:iCs/>
                <w:sz w:val="24"/>
                <w:szCs w:val="20"/>
                <w:lang w:val="en-US" w:eastAsia="en-US" w:bidi="ar-SA"/>
              </w:rPr>
              <w:t xml:space="preserve"> и </w:t>
            </w:r>
            <w:proofErr w:type="spellStart"/>
            <w:r w:rsidR="00133980" w:rsidRPr="00584F2A">
              <w:rPr>
                <w:rFonts w:ascii="Times New Roman" w:eastAsia="Calibri" w:hAnsi="Times New Roman" w:cs="Times New Roman"/>
                <w:iCs/>
                <w:sz w:val="24"/>
                <w:szCs w:val="20"/>
                <w:lang w:val="en-US" w:eastAsia="en-US" w:bidi="ar-SA"/>
              </w:rPr>
              <w:t>др</w:t>
            </w:r>
            <w:proofErr w:type="spellEnd"/>
            <w:r w:rsidR="00133980" w:rsidRPr="00584F2A">
              <w:rPr>
                <w:rFonts w:ascii="Times New Roman" w:eastAsia="Calibri" w:hAnsi="Times New Roman" w:cs="Times New Roman"/>
                <w:iCs/>
                <w:sz w:val="24"/>
                <w:szCs w:val="20"/>
                <w:lang w:val="en-US" w:eastAsia="en-US" w:bidi="ar-SA"/>
              </w:rPr>
              <w:t>.</w:t>
            </w:r>
          </w:p>
          <w:p w14:paraId="40260C03" w14:textId="7EBD07D4" w:rsidR="00380438"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proofErr w:type="spellStart"/>
            <w:r w:rsidRPr="00584F2A">
              <w:rPr>
                <w:rFonts w:ascii="Times New Roman" w:eastAsia="Calibri" w:hAnsi="Times New Roman" w:cs="Times New Roman"/>
                <w:iCs/>
                <w:sz w:val="24"/>
                <w:szCs w:val="20"/>
                <w:lang w:val="en-US" w:eastAsia="en-US" w:bidi="ar-SA"/>
              </w:rPr>
              <w:t>Пилотно</w:t>
            </w:r>
            <w:proofErr w:type="spellEnd"/>
            <w:r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възстановяване</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съществуващи</w:t>
            </w:r>
            <w:proofErr w:type="spellEnd"/>
            <w:r w:rsidR="00133980" w:rsidRPr="00584F2A">
              <w:rPr>
                <w:rFonts w:ascii="Times New Roman" w:eastAsia="Calibri" w:hAnsi="Times New Roman" w:cs="Times New Roman"/>
                <w:iCs/>
                <w:sz w:val="24"/>
                <w:szCs w:val="20"/>
                <w:lang w:val="en-US" w:eastAsia="en-US" w:bidi="ar-SA"/>
              </w:rPr>
              <w:t>/</w:t>
            </w:r>
            <w:proofErr w:type="spellStart"/>
            <w:r w:rsidR="00133980" w:rsidRPr="00584F2A">
              <w:rPr>
                <w:rFonts w:ascii="Times New Roman" w:eastAsia="Calibri" w:hAnsi="Times New Roman" w:cs="Times New Roman"/>
                <w:iCs/>
                <w:sz w:val="24"/>
                <w:szCs w:val="20"/>
                <w:lang w:val="en-US" w:eastAsia="en-US" w:bidi="ar-SA"/>
              </w:rPr>
              <w:t>потенциални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местообитания</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влажни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зони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меандри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по</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поречието</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Дунав</w:t>
            </w:r>
            <w:proofErr w:type="spellEnd"/>
            <w:r w:rsidR="00133980" w:rsidRPr="00584F2A">
              <w:rPr>
                <w:rFonts w:ascii="Times New Roman" w:eastAsia="Calibri" w:hAnsi="Times New Roman" w:cs="Times New Roman"/>
                <w:iCs/>
                <w:sz w:val="24"/>
                <w:szCs w:val="20"/>
                <w:lang w:val="en-US" w:eastAsia="en-US" w:bidi="ar-SA"/>
              </w:rPr>
              <w:t xml:space="preserve"> и </w:t>
            </w:r>
            <w:proofErr w:type="spellStart"/>
            <w:r w:rsidR="00133980" w:rsidRPr="00584F2A">
              <w:rPr>
                <w:rFonts w:ascii="Times New Roman" w:eastAsia="Calibri" w:hAnsi="Times New Roman" w:cs="Times New Roman"/>
                <w:iCs/>
                <w:sz w:val="24"/>
                <w:szCs w:val="20"/>
                <w:lang w:val="en-US" w:eastAsia="en-US" w:bidi="ar-SA"/>
              </w:rPr>
              <w:t>на</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дунавски</w:t>
            </w:r>
            <w:proofErr w:type="spellEnd"/>
            <w:r w:rsidR="00133980" w:rsidRPr="00584F2A">
              <w:rPr>
                <w:rFonts w:ascii="Times New Roman" w:eastAsia="Calibri" w:hAnsi="Times New Roman" w:cs="Times New Roman"/>
                <w:iCs/>
                <w:sz w:val="24"/>
                <w:szCs w:val="20"/>
                <w:lang w:val="en-US" w:eastAsia="en-US" w:bidi="ar-SA"/>
              </w:rPr>
              <w:t xml:space="preserve"> </w:t>
            </w:r>
            <w:proofErr w:type="spellStart"/>
            <w:r w:rsidR="00133980" w:rsidRPr="00584F2A">
              <w:rPr>
                <w:rFonts w:ascii="Times New Roman" w:eastAsia="Calibri" w:hAnsi="Times New Roman" w:cs="Times New Roman"/>
                <w:iCs/>
                <w:sz w:val="24"/>
                <w:szCs w:val="20"/>
                <w:lang w:val="en-US" w:eastAsia="en-US" w:bidi="ar-SA"/>
              </w:rPr>
              <w:t>притоци</w:t>
            </w:r>
            <w:proofErr w:type="spellEnd"/>
            <w:r w:rsidR="00133980" w:rsidRPr="00584F2A">
              <w:rPr>
                <w:rFonts w:ascii="Times New Roman" w:eastAsia="Calibri" w:hAnsi="Times New Roman" w:cs="Times New Roman"/>
                <w:iCs/>
                <w:sz w:val="24"/>
                <w:szCs w:val="20"/>
                <w:lang w:val="en-US" w:eastAsia="en-US" w:bidi="ar-SA"/>
              </w:rPr>
              <w:t xml:space="preserve"> и </w:t>
            </w:r>
            <w:proofErr w:type="spellStart"/>
            <w:r w:rsidR="00133980" w:rsidRPr="00584F2A">
              <w:rPr>
                <w:rFonts w:ascii="Times New Roman" w:eastAsia="Calibri" w:hAnsi="Times New Roman" w:cs="Times New Roman"/>
                <w:iCs/>
                <w:sz w:val="24"/>
                <w:szCs w:val="20"/>
                <w:lang w:val="en-US" w:eastAsia="en-US" w:bidi="ar-SA"/>
              </w:rPr>
              <w:t>др</w:t>
            </w:r>
            <w:proofErr w:type="spellEnd"/>
            <w:r w:rsidR="00133980" w:rsidRPr="00584F2A">
              <w:rPr>
                <w:rFonts w:ascii="Times New Roman" w:eastAsia="Calibri" w:hAnsi="Times New Roman" w:cs="Times New Roman"/>
                <w:iCs/>
                <w:sz w:val="24"/>
                <w:szCs w:val="20"/>
                <w:lang w:val="en-US" w:eastAsia="en-US" w:bidi="ar-SA"/>
              </w:rPr>
              <w:t>.</w:t>
            </w:r>
          </w:p>
          <w:p w14:paraId="1BE4838B" w14:textId="37BD703F" w:rsidR="002F41B0" w:rsidRPr="00171DED" w:rsidRDefault="00380438" w:rsidP="00584F2A">
            <w:pPr>
              <w:pStyle w:val="ListParagraph"/>
              <w:numPr>
                <w:ilvl w:val="0"/>
                <w:numId w:val="46"/>
              </w:num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Мерки </w:t>
            </w:r>
            <w:r w:rsidRPr="00DD5A8D">
              <w:rPr>
                <w:rFonts w:ascii="Times New Roman" w:eastAsia="Times New Roman" w:hAnsi="Times New Roman" w:cs="Times New Roman"/>
                <w:noProof/>
                <w:sz w:val="24"/>
                <w:szCs w:val="20"/>
              </w:rPr>
              <w:t xml:space="preserve">за опазване/възстановяване на </w:t>
            </w:r>
            <w:r w:rsidR="0009593D" w:rsidRPr="00DD5A8D">
              <w:rPr>
                <w:rFonts w:ascii="Times New Roman" w:eastAsia="Times New Roman" w:hAnsi="Times New Roman" w:cs="Times New Roman"/>
                <w:noProof/>
                <w:sz w:val="24"/>
                <w:szCs w:val="20"/>
              </w:rPr>
              <w:t xml:space="preserve">екосистемите и присъщото им </w:t>
            </w:r>
            <w:r w:rsidRPr="00DD5A8D">
              <w:rPr>
                <w:rFonts w:ascii="Times New Roman" w:eastAsia="Times New Roman" w:hAnsi="Times New Roman" w:cs="Times New Roman"/>
                <w:noProof/>
                <w:sz w:val="24"/>
                <w:szCs w:val="20"/>
              </w:rPr>
              <w:t>биологичното разнообразие</w:t>
            </w:r>
            <w:r w:rsidR="005B3A41" w:rsidRPr="00DD5A8D">
              <w:rPr>
                <w:rFonts w:ascii="Times New Roman" w:eastAsia="Times New Roman" w:hAnsi="Times New Roman" w:cs="Times New Roman"/>
                <w:noProof/>
                <w:sz w:val="24"/>
                <w:szCs w:val="20"/>
              </w:rPr>
              <w:t xml:space="preserve"> </w:t>
            </w:r>
            <w:r w:rsidR="00516FF4" w:rsidRPr="00DD5A8D">
              <w:rPr>
                <w:rFonts w:ascii="Times New Roman" w:eastAsia="Times New Roman" w:hAnsi="Times New Roman" w:cs="Times New Roman"/>
                <w:noProof/>
                <w:sz w:val="24"/>
                <w:szCs w:val="20"/>
              </w:rPr>
              <w:t xml:space="preserve">извън Натура 2000 </w:t>
            </w:r>
            <w:r w:rsidRPr="00DD5A8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 – 2024 г., мерки от планове за управление на защитени територии</w:t>
            </w:r>
            <w:r w:rsidR="00516FF4" w:rsidRPr="00171DED">
              <w:rPr>
                <w:rFonts w:ascii="Times New Roman" w:eastAsia="Times New Roman" w:hAnsi="Times New Roman" w:cs="Times New Roman"/>
                <w:noProof/>
                <w:sz w:val="24"/>
                <w:szCs w:val="20"/>
              </w:rPr>
              <w:t xml:space="preserve"> и планове за действие за видове</w:t>
            </w:r>
            <w:r w:rsidR="006D501D" w:rsidRPr="00E66844">
              <w:rPr>
                <w:rFonts w:ascii="Times New Roman" w:eastAsia="Times New Roman" w:hAnsi="Times New Roman" w:cs="Times New Roman"/>
                <w:noProof/>
                <w:sz w:val="24"/>
                <w:szCs w:val="20"/>
              </w:rPr>
              <w:t>.</w:t>
            </w:r>
            <w:r w:rsidR="0009593D" w:rsidRPr="00171DED">
              <w:t xml:space="preserve"> </w:t>
            </w:r>
          </w:p>
          <w:p w14:paraId="4CDB01AD" w14:textId="48A95C3C" w:rsidR="00AE0F0F" w:rsidRPr="00171DED" w:rsidRDefault="00AE0F0F" w:rsidP="00D80344">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171DED">
              <w:rPr>
                <w:rFonts w:ascii="Times New Roman" w:eastAsia="Times New Roman" w:hAnsi="Times New Roman" w:cs="Times New Roman"/>
                <w:noProof/>
                <w:sz w:val="24"/>
                <w:szCs w:val="20"/>
              </w:rPr>
              <w:t xml:space="preserve">приоритетни </w:t>
            </w:r>
            <w:r w:rsidRPr="00171DED">
              <w:rPr>
                <w:rFonts w:ascii="Times New Roman" w:eastAsia="Times New Roman" w:hAnsi="Times New Roman" w:cs="Times New Roman"/>
                <w:noProof/>
                <w:sz w:val="24"/>
                <w:szCs w:val="20"/>
              </w:rPr>
              <w:t>действи</w:t>
            </w:r>
            <w:r w:rsidR="009047BC" w:rsidRPr="00171DED">
              <w:rPr>
                <w:rFonts w:ascii="Times New Roman" w:eastAsia="Times New Roman" w:hAnsi="Times New Roman" w:cs="Times New Roman"/>
                <w:noProof/>
                <w:sz w:val="24"/>
                <w:szCs w:val="20"/>
              </w:rPr>
              <w:t>я</w:t>
            </w:r>
            <w:r w:rsidRPr="00171DED">
              <w:rPr>
                <w:rFonts w:ascii="Times New Roman" w:eastAsia="Times New Roman" w:hAnsi="Times New Roman" w:cs="Times New Roman"/>
                <w:noProof/>
                <w:sz w:val="24"/>
                <w:szCs w:val="20"/>
              </w:rPr>
              <w:t xml:space="preserve"> за Натура 2000</w:t>
            </w:r>
            <w:r w:rsidR="009176D9" w:rsidRPr="00171DED">
              <w:rPr>
                <w:rFonts w:ascii="Times New Roman" w:eastAsia="Times New Roman" w:hAnsi="Times New Roman" w:cs="Times New Roman"/>
                <w:noProof/>
                <w:sz w:val="24"/>
                <w:szCs w:val="20"/>
              </w:rPr>
              <w:t>, които се подкрепят от други източници на финансиране</w:t>
            </w:r>
            <w:r w:rsidRPr="00171DED">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171DED">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програми</w:t>
            </w:r>
            <w:r w:rsidR="00F812C0" w:rsidRPr="00171DED">
              <w:rPr>
                <w:rFonts w:ascii="Times New Roman" w:eastAsia="Times New Roman" w:hAnsi="Times New Roman" w:cs="Times New Roman"/>
                <w:noProof/>
                <w:sz w:val="24"/>
                <w:szCs w:val="20"/>
              </w:rPr>
              <w:t xml:space="preserve">, съфинансирани от </w:t>
            </w:r>
            <w:r w:rsidR="005224D5">
              <w:rPr>
                <w:rFonts w:ascii="Times New Roman" w:eastAsia="Times New Roman" w:hAnsi="Times New Roman" w:cs="Times New Roman"/>
                <w:noProof/>
                <w:sz w:val="24"/>
                <w:szCs w:val="20"/>
              </w:rPr>
              <w:t>фондовете в рамките на Кохезионната политика</w:t>
            </w:r>
            <w:r w:rsidRPr="00171DED">
              <w:rPr>
                <w:rFonts w:ascii="Times New Roman" w:eastAsia="Times New Roman" w:hAnsi="Times New Roman" w:cs="Times New Roman"/>
                <w:noProof/>
                <w:sz w:val="24"/>
                <w:szCs w:val="20"/>
              </w:rPr>
              <w:t xml:space="preserve">, национален бюджет, </w:t>
            </w:r>
            <w:r w:rsidR="00190BA4" w:rsidRPr="00171DED">
              <w:rPr>
                <w:rFonts w:ascii="Times New Roman" w:eastAsia="Times New Roman" w:hAnsi="Times New Roman" w:cs="Times New Roman"/>
                <w:noProof/>
                <w:sz w:val="24"/>
                <w:szCs w:val="20"/>
              </w:rPr>
              <w:t>ОСП</w:t>
            </w:r>
            <w:r w:rsidRPr="00171DED">
              <w:rPr>
                <w:rFonts w:ascii="Times New Roman" w:eastAsia="Times New Roman" w:hAnsi="Times New Roman" w:cs="Times New Roman"/>
                <w:noProof/>
                <w:sz w:val="24"/>
                <w:szCs w:val="20"/>
              </w:rPr>
              <w:t xml:space="preserve"> др., като по този начин се гарантира както синергичния ефект по отношение подобряване </w:t>
            </w:r>
            <w:r w:rsidRPr="00171DED">
              <w:rPr>
                <w:rFonts w:ascii="Times New Roman" w:eastAsia="Times New Roman" w:hAnsi="Times New Roman" w:cs="Times New Roman"/>
                <w:noProof/>
                <w:sz w:val="24"/>
                <w:szCs w:val="20"/>
              </w:rPr>
              <w:lastRenderedPageBreak/>
              <w:t xml:space="preserve">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171DED">
              <w:rPr>
                <w:rFonts w:ascii="Times New Roman" w:eastAsia="Times New Roman" w:hAnsi="Times New Roman" w:cs="Times New Roman"/>
                <w:noProof/>
                <w:sz w:val="24"/>
                <w:szCs w:val="20"/>
              </w:rPr>
              <w:t>интервенции</w:t>
            </w:r>
            <w:r w:rsidRPr="00171DED">
              <w:rPr>
                <w:rFonts w:ascii="Times New Roman" w:eastAsia="Times New Roman" w:hAnsi="Times New Roman" w:cs="Times New Roman"/>
                <w:noProof/>
                <w:sz w:val="24"/>
                <w:szCs w:val="20"/>
              </w:rPr>
              <w:t>.</w:t>
            </w:r>
            <w:r w:rsidR="00342E03">
              <w:rPr>
                <w:rFonts w:ascii="Times New Roman" w:eastAsia="Times New Roman" w:hAnsi="Times New Roman" w:cs="Times New Roman"/>
                <w:noProof/>
                <w:sz w:val="24"/>
                <w:szCs w:val="20"/>
              </w:rPr>
              <w:t xml:space="preserve"> В допълнение, предвиденото </w:t>
            </w:r>
            <w:r w:rsidR="00342E03" w:rsidRPr="00342E03">
              <w:rPr>
                <w:rFonts w:ascii="Times New Roman" w:eastAsia="Times New Roman" w:hAnsi="Times New Roman" w:cs="Times New Roman"/>
                <w:noProof/>
                <w:sz w:val="24"/>
                <w:szCs w:val="20"/>
              </w:rPr>
              <w:t xml:space="preserve">разработване на специфични цели и мерки за защитени зони </w:t>
            </w:r>
            <w:r w:rsidR="00342E03">
              <w:rPr>
                <w:rFonts w:ascii="Times New Roman" w:eastAsia="Times New Roman" w:hAnsi="Times New Roman" w:cs="Times New Roman"/>
                <w:noProof/>
                <w:sz w:val="24"/>
                <w:szCs w:val="20"/>
              </w:rPr>
              <w:t xml:space="preserve">с подкрепа чрез финансиране от Плана за възстановяване и устойчивост, ще </w:t>
            </w:r>
            <w:r w:rsidR="00342E03" w:rsidRPr="00342E03">
              <w:rPr>
                <w:rFonts w:ascii="Times New Roman" w:eastAsia="Times New Roman" w:hAnsi="Times New Roman" w:cs="Times New Roman"/>
                <w:noProof/>
                <w:sz w:val="24"/>
                <w:szCs w:val="20"/>
              </w:rPr>
              <w:t>послуж</w:t>
            </w:r>
            <w:r w:rsidR="00342E03">
              <w:rPr>
                <w:rFonts w:ascii="Times New Roman" w:eastAsia="Times New Roman" w:hAnsi="Times New Roman" w:cs="Times New Roman"/>
                <w:noProof/>
                <w:sz w:val="24"/>
                <w:szCs w:val="20"/>
              </w:rPr>
              <w:t>и</w:t>
            </w:r>
            <w:r w:rsidR="00342E03" w:rsidRPr="00342E03">
              <w:rPr>
                <w:rFonts w:ascii="Times New Roman" w:eastAsia="Times New Roman" w:hAnsi="Times New Roman" w:cs="Times New Roman"/>
                <w:noProof/>
                <w:sz w:val="24"/>
                <w:szCs w:val="20"/>
              </w:rPr>
              <w:t xml:space="preserve"> като основа за </w:t>
            </w:r>
            <w:r w:rsidR="00342E03">
              <w:rPr>
                <w:rFonts w:ascii="Times New Roman" w:eastAsia="Times New Roman" w:hAnsi="Times New Roman" w:cs="Times New Roman"/>
                <w:noProof/>
                <w:sz w:val="24"/>
                <w:szCs w:val="20"/>
              </w:rPr>
              <w:t xml:space="preserve">последващото </w:t>
            </w:r>
            <w:r w:rsidR="00342E03" w:rsidRPr="00342E03">
              <w:rPr>
                <w:rFonts w:ascii="Times New Roman" w:eastAsia="Times New Roman" w:hAnsi="Times New Roman" w:cs="Times New Roman"/>
                <w:noProof/>
                <w:sz w:val="24"/>
                <w:szCs w:val="20"/>
              </w:rPr>
              <w:t>разработване на планове за управление на защитени зони</w:t>
            </w:r>
            <w:r w:rsidR="00342E03">
              <w:rPr>
                <w:rFonts w:ascii="Times New Roman" w:eastAsia="Times New Roman" w:hAnsi="Times New Roman" w:cs="Times New Roman"/>
                <w:noProof/>
                <w:sz w:val="24"/>
                <w:szCs w:val="20"/>
              </w:rPr>
              <w:t>.</w:t>
            </w:r>
          </w:p>
        </w:tc>
      </w:tr>
    </w:tbl>
    <w:p w14:paraId="519E40B3" w14:textId="354C8424"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17, параграф 3, буква г), подточка iii)</w:t>
      </w:r>
      <w:r w:rsidR="00250902" w:rsidRPr="00171DED">
        <w:rPr>
          <w:rFonts w:ascii="Times New Roman" w:eastAsia="Calibri" w:hAnsi="Times New Roman" w:cs="Times New Roman"/>
          <w:i/>
          <w:noProof/>
          <w:sz w:val="24"/>
          <w:szCs w:val="20"/>
          <w:lang w:val="bg-BG" w:eastAsia="bg-BG" w:bidi="bg-BG"/>
        </w:rPr>
        <w:t>от ОР</w:t>
      </w:r>
      <w:r w:rsidRPr="00171DED">
        <w:rPr>
          <w:rFonts w:ascii="Times New Roman" w:eastAsia="Calibri" w:hAnsi="Times New Roman" w:cs="Times New Roman"/>
          <w:i/>
          <w:noProof/>
          <w:sz w:val="24"/>
          <w:szCs w:val="20"/>
          <w:lang w:val="bg-BG" w:eastAsia="bg-BG" w:bidi="bg-BG"/>
        </w:rPr>
        <w:t>:</w:t>
      </w:r>
    </w:p>
    <w:p w14:paraId="088E3C14" w14:textId="22E7F4F9"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A21E69" w:rsidRPr="00171DED">
        <w:rPr>
          <w:rFonts w:ascii="Times New Roman" w:eastAsia="Calibri" w:hAnsi="Times New Roman" w:cs="Times New Roman"/>
          <w:i/>
          <w:noProof/>
          <w:sz w:val="24"/>
          <w:szCs w:val="20"/>
          <w:lang w:val="bg-BG" w:eastAsia="bg-BG" w:bidi="bg-BG"/>
        </w:rPr>
        <w:t xml:space="preserve"> </w:t>
      </w:r>
      <w:r w:rsidR="0083406C" w:rsidRPr="00171DED">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природни местообитания, но и </w:t>
      </w:r>
      <w:r w:rsidR="00B32F15">
        <w:rPr>
          <w:rFonts w:ascii="Times New Roman" w:eastAsia="Calibri" w:hAnsi="Times New Roman" w:cs="Times New Roman"/>
          <w:iCs/>
          <w:noProof/>
          <w:sz w:val="24"/>
          <w:szCs w:val="20"/>
          <w:lang w:val="bg-BG" w:eastAsia="bg-BG" w:bidi="bg-BG"/>
        </w:rPr>
        <w:t xml:space="preserve">местни власти, </w:t>
      </w:r>
      <w:r w:rsidR="0083406C" w:rsidRPr="00171DED">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 академичната общност, собственици и ползватели на земи. Не на последно място</w:t>
      </w:r>
      <w:r w:rsidR="00B32F15">
        <w:rPr>
          <w:rFonts w:ascii="Times New Roman" w:eastAsia="Calibri" w:hAnsi="Times New Roman" w:cs="Times New Roman"/>
          <w:iCs/>
          <w:noProof/>
          <w:sz w:val="24"/>
          <w:szCs w:val="20"/>
          <w:lang w:val="bg-BG" w:eastAsia="bg-BG" w:bidi="bg-BG"/>
        </w:rPr>
        <w:t>,</w:t>
      </w:r>
      <w:r w:rsidR="0083406C" w:rsidRPr="00171DED">
        <w:rPr>
          <w:rFonts w:ascii="Times New Roman" w:eastAsia="Calibri" w:hAnsi="Times New Roman" w:cs="Times New Roman"/>
          <w:iCs/>
          <w:noProof/>
          <w:sz w:val="24"/>
          <w:szCs w:val="20"/>
          <w:lang w:val="bg-BG" w:eastAsia="bg-BG" w:bidi="bg-BG"/>
        </w:rPr>
        <w:t xml:space="preserve"> като </w:t>
      </w:r>
      <w:r w:rsidR="00B32F15">
        <w:rPr>
          <w:rFonts w:ascii="Times New Roman" w:eastAsia="Calibri" w:hAnsi="Times New Roman" w:cs="Times New Roman"/>
          <w:iCs/>
          <w:noProof/>
          <w:sz w:val="24"/>
          <w:szCs w:val="20"/>
          <w:lang w:val="bg-BG" w:eastAsia="bg-BG" w:bidi="bg-BG"/>
        </w:rPr>
        <w:t xml:space="preserve">основна </w:t>
      </w:r>
      <w:r w:rsidR="0083406C" w:rsidRPr="00171DED">
        <w:rPr>
          <w:rFonts w:ascii="Times New Roman" w:eastAsia="Calibri" w:hAnsi="Times New Roman" w:cs="Times New Roman"/>
          <w:iCs/>
          <w:noProof/>
          <w:sz w:val="24"/>
          <w:szCs w:val="20"/>
          <w:lang w:val="bg-BG" w:eastAsia="bg-BG" w:bidi="bg-BG"/>
        </w:rPr>
        <w:t>целева група трябва да се изведе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83406C" w:rsidRPr="00171DED">
        <w:rPr>
          <w:rFonts w:ascii="Times New Roman" w:eastAsia="Calibri" w:hAnsi="Times New Roman" w:cs="Times New Roman"/>
          <w:iCs/>
          <w:noProof/>
          <w:sz w:val="24"/>
          <w:szCs w:val="20"/>
          <w:lang w:val="bg-BG" w:eastAsia="bg-BG" w:bidi="bg-BG"/>
        </w:rPr>
        <w:t>,</w:t>
      </w:r>
      <w:r w:rsidR="0083406C" w:rsidRPr="00171DED">
        <w:rPr>
          <w:lang w:val="bg-BG"/>
        </w:rPr>
        <w:t xml:space="preserve"> </w:t>
      </w:r>
      <w:r w:rsidR="0083406C" w:rsidRPr="00171DED">
        <w:rPr>
          <w:rFonts w:ascii="Times New Roman" w:eastAsia="Calibri" w:hAnsi="Times New Roman" w:cs="Times New Roman"/>
          <w:iCs/>
          <w:noProof/>
          <w:sz w:val="24"/>
          <w:szCs w:val="20"/>
          <w:lang w:val="bg-BG" w:eastAsia="bg-BG" w:bidi="bg-BG"/>
        </w:rPr>
        <w:t>предвид ползите по отношение подобряване качеството на живот – 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p>
    <w:p w14:paraId="3F79A4E6" w14:textId="2ED83AC2" w:rsidR="00250902" w:rsidRPr="00171DED" w:rsidRDefault="00250902" w:rsidP="00250902">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171DED">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250902" w:rsidRPr="0010575B" w14:paraId="00D151E9" w14:textId="77777777" w:rsidTr="007B49B2">
        <w:tc>
          <w:tcPr>
            <w:tcW w:w="9062" w:type="dxa"/>
          </w:tcPr>
          <w:p w14:paraId="5F05285C" w14:textId="77777777" w:rsidR="00485F4B" w:rsidRPr="00171DED" w:rsidRDefault="00250902" w:rsidP="00D80344">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38B7DE20" w14:textId="47FF89B0" w:rsidR="00250902" w:rsidRPr="00171DED" w:rsidRDefault="00027396" w:rsidP="00D80344">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171DED">
              <w:rPr>
                <w:rFonts w:ascii="Times New Roman" w:eastAsia="Calibri" w:hAnsi="Times New Roman" w:cs="Times New Roman"/>
                <w:iCs/>
                <w:noProof/>
                <w:sz w:val="24"/>
                <w:szCs w:val="20"/>
              </w:rPr>
              <w:t xml:space="preserve">Приоритетът подкрепя мерки, насочени към </w:t>
            </w:r>
            <w:r w:rsidR="00190BA4" w:rsidRPr="00171DED">
              <w:rPr>
                <w:rFonts w:ascii="Times New Roman" w:eastAsia="Calibri" w:hAnsi="Times New Roman" w:cs="Times New Roman"/>
                <w:iCs/>
                <w:noProof/>
                <w:sz w:val="24"/>
                <w:szCs w:val="20"/>
              </w:rPr>
              <w:t>възстановяване и поддържане</w:t>
            </w:r>
            <w:r w:rsidR="006871E1" w:rsidRPr="00171DED">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6020D8ED" w:rsidR="00380438" w:rsidRPr="00171DED" w:rsidRDefault="00250902"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0A55ECE1" w14:textId="77777777" w:rsidR="00D25C1F" w:rsidRPr="00171DED"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2921D785" w14:textId="7AD3F64E" w:rsidR="008D36C7" w:rsidRPr="00171DED"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w:t>
      </w:r>
      <w:r w:rsidR="008D36C7">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подхода за ИТИ на ниво NUTS 2 </w:t>
      </w:r>
      <w:r w:rsidR="008D36C7">
        <w:rPr>
          <w:rFonts w:ascii="Times New Roman" w:eastAsia="Calibri" w:hAnsi="Times New Roman" w:cs="Times New Roman"/>
          <w:iCs/>
          <w:noProof/>
          <w:sz w:val="24"/>
          <w:szCs w:val="20"/>
          <w:lang w:val="bg-BG" w:eastAsia="bg-BG" w:bidi="bg-BG"/>
        </w:rPr>
        <w:t>и подхода ВОМР</w:t>
      </w:r>
      <w:r w:rsidRPr="00171DED">
        <w:rPr>
          <w:rFonts w:ascii="Times New Roman" w:eastAsia="Calibri" w:hAnsi="Times New Roman" w:cs="Times New Roman"/>
          <w:iCs/>
          <w:noProof/>
          <w:sz w:val="24"/>
          <w:szCs w:val="20"/>
          <w:lang w:val="bg-BG" w:eastAsia="bg-BG" w:bidi="bg-BG"/>
        </w:rPr>
        <w:t xml:space="preserve">. </w:t>
      </w:r>
    </w:p>
    <w:p w14:paraId="5C0782BC" w14:textId="7125D50E" w:rsidR="00255312" w:rsidRPr="00171DED"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Проектите по ПОС, допустими в рамките на подхода ИТИ, </w:t>
      </w:r>
      <w:r w:rsidR="00190BA4" w:rsidRPr="00171DED">
        <w:rPr>
          <w:rFonts w:ascii="Times New Roman" w:eastAsia="Calibri" w:hAnsi="Times New Roman" w:cs="Times New Roman"/>
          <w:iCs/>
          <w:noProof/>
          <w:sz w:val="24"/>
          <w:szCs w:val="20"/>
          <w:lang w:val="bg-BG" w:eastAsia="bg-BG" w:bidi="bg-BG"/>
        </w:rPr>
        <w:t xml:space="preserve">следва да са </w:t>
      </w:r>
      <w:r w:rsidR="0083406C" w:rsidRPr="00171DED">
        <w:rPr>
          <w:rFonts w:ascii="Times New Roman" w:eastAsia="Calibri" w:hAnsi="Times New Roman" w:cs="Times New Roman"/>
          <w:iCs/>
          <w:noProof/>
          <w:sz w:val="24"/>
          <w:szCs w:val="20"/>
          <w:lang w:val="bg-BG" w:eastAsia="bg-BG" w:bidi="bg-BG"/>
        </w:rPr>
        <w:t>базирани</w:t>
      </w:r>
      <w:r w:rsidR="00190BA4" w:rsidRPr="00171DED">
        <w:rPr>
          <w:rFonts w:ascii="Times New Roman" w:eastAsia="Calibri" w:hAnsi="Times New Roman" w:cs="Times New Roman"/>
          <w:iCs/>
          <w:noProof/>
          <w:sz w:val="24"/>
          <w:szCs w:val="20"/>
          <w:lang w:val="bg-BG" w:eastAsia="bg-BG" w:bidi="bg-BG"/>
        </w:rPr>
        <w:t xml:space="preserve"> на</w:t>
      </w:r>
      <w:r w:rsidR="0083406C" w:rsidRPr="00171DED">
        <w:rPr>
          <w:rFonts w:ascii="Times New Roman" w:eastAsia="Calibri" w:hAnsi="Times New Roman" w:cs="Times New Roman"/>
          <w:iCs/>
          <w:noProof/>
          <w:sz w:val="24"/>
          <w:szCs w:val="20"/>
          <w:lang w:val="bg-BG" w:eastAsia="bg-BG" w:bidi="bg-BG"/>
        </w:rPr>
        <w:t xml:space="preserve"> анализите и изводите в</w:t>
      </w:r>
      <w:r w:rsidR="00190BA4" w:rsidRPr="00171DED">
        <w:rPr>
          <w:rFonts w:ascii="Times New Roman" w:eastAsia="Calibri" w:hAnsi="Times New Roman" w:cs="Times New Roman"/>
          <w:iCs/>
          <w:noProof/>
          <w:sz w:val="24"/>
          <w:szCs w:val="20"/>
          <w:lang w:val="bg-BG" w:eastAsia="bg-BG" w:bidi="bg-BG"/>
        </w:rPr>
        <w:t xml:space="preserve"> НРПД и </w:t>
      </w:r>
      <w:r w:rsidRPr="00171DED">
        <w:rPr>
          <w:rFonts w:ascii="Times New Roman" w:eastAsia="Calibri" w:hAnsi="Times New Roman" w:cs="Times New Roman"/>
          <w:iCs/>
          <w:noProof/>
          <w:sz w:val="24"/>
          <w:szCs w:val="20"/>
          <w:lang w:val="bg-BG" w:eastAsia="bg-BG" w:bidi="bg-BG"/>
        </w:rPr>
        <w:t>ще се реализират въз основа на интегрирани концепции, разработвани и изпълнявани в партньорство между различни местни заинтересовани страни</w:t>
      </w:r>
      <w:r w:rsidR="00190BA4" w:rsidRPr="00171DED">
        <w:rPr>
          <w:lang w:val="bg-BG"/>
        </w:rPr>
        <w:t xml:space="preserve"> </w:t>
      </w:r>
      <w:r w:rsidR="00190BA4" w:rsidRPr="00171DED">
        <w:rPr>
          <w:rFonts w:ascii="Times New Roman" w:eastAsia="Calibri" w:hAnsi="Times New Roman" w:cs="Times New Roman"/>
          <w:iCs/>
          <w:noProof/>
          <w:sz w:val="24"/>
          <w:szCs w:val="20"/>
          <w:lang w:val="bg-BG" w:eastAsia="bg-BG" w:bidi="bg-BG"/>
        </w:rPr>
        <w:t>с участието на органите за управление на Натура 2000</w:t>
      </w:r>
      <w:r w:rsidR="00414F6B" w:rsidRPr="00171DED">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w:t>
      </w:r>
      <w:r w:rsidR="00255312"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A70FB" w:rsidRPr="00171DED">
        <w:rPr>
          <w:rFonts w:ascii="Times New Roman" w:eastAsia="Calibri" w:hAnsi="Times New Roman" w:cs="Times New Roman"/>
          <w:iCs/>
          <w:noProof/>
          <w:sz w:val="24"/>
          <w:szCs w:val="20"/>
          <w:lang w:val="bg-BG" w:eastAsia="bg-BG" w:bidi="bg-BG"/>
        </w:rPr>
        <w:t>те</w:t>
      </w:r>
      <w:r w:rsidR="00255312"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171DED">
        <w:rPr>
          <w:rFonts w:ascii="Times New Roman" w:eastAsia="Calibri" w:hAnsi="Times New Roman" w:cs="Times New Roman"/>
          <w:iCs/>
          <w:noProof/>
          <w:sz w:val="24"/>
          <w:szCs w:val="20"/>
          <w:lang w:val="bg-BG" w:eastAsia="bg-BG" w:bidi="bg-BG"/>
        </w:rPr>
        <w:t>, изпълняван</w:t>
      </w:r>
      <w:r w:rsidR="00255312" w:rsidRPr="00171DED">
        <w:rPr>
          <w:rFonts w:ascii="Times New Roman" w:eastAsia="Calibri" w:hAnsi="Times New Roman" w:cs="Times New Roman"/>
          <w:iCs/>
          <w:noProof/>
          <w:sz w:val="24"/>
          <w:szCs w:val="20"/>
          <w:lang w:val="bg-BG" w:eastAsia="bg-BG" w:bidi="bg-BG"/>
        </w:rPr>
        <w:t xml:space="preserve"> от Р</w:t>
      </w:r>
      <w:r w:rsidR="00EE3315" w:rsidRPr="00171DED">
        <w:rPr>
          <w:rFonts w:ascii="Times New Roman" w:eastAsia="Calibri" w:hAnsi="Times New Roman" w:cs="Times New Roman"/>
          <w:iCs/>
          <w:noProof/>
          <w:sz w:val="24"/>
          <w:szCs w:val="20"/>
          <w:lang w:val="bg-BG" w:eastAsia="bg-BG" w:bidi="bg-BG"/>
        </w:rPr>
        <w:t>егио</w:t>
      </w:r>
      <w:r w:rsidR="00255312"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w:t>
      </w:r>
      <w:r w:rsidR="00255312" w:rsidRPr="00171DED">
        <w:rPr>
          <w:rFonts w:ascii="Times New Roman" w:eastAsia="Calibri" w:hAnsi="Times New Roman" w:cs="Times New Roman"/>
          <w:iCs/>
          <w:noProof/>
          <w:sz w:val="24"/>
          <w:szCs w:val="20"/>
          <w:lang w:val="bg-BG" w:eastAsia="bg-BG" w:bidi="bg-BG"/>
        </w:rPr>
        <w:lastRenderedPageBreak/>
        <w:t xml:space="preserve">предложения, </w:t>
      </w:r>
      <w:r w:rsidR="00CA70FB" w:rsidRPr="00171DED">
        <w:rPr>
          <w:rFonts w:ascii="Times New Roman" w:eastAsia="Calibri" w:hAnsi="Times New Roman" w:cs="Times New Roman"/>
          <w:iCs/>
          <w:noProof/>
          <w:sz w:val="24"/>
          <w:szCs w:val="20"/>
          <w:lang w:val="bg-BG" w:eastAsia="bg-BG" w:bidi="bg-BG"/>
        </w:rPr>
        <w:t xml:space="preserve">осъществяван </w:t>
      </w:r>
      <w:r w:rsidR="00255312"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302C6305" w14:textId="5308C519" w:rsidR="00C16403" w:rsidRPr="00171DED" w:rsidRDefault="00C52DF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По отношение прилагането на подхода</w:t>
      </w:r>
      <w:r w:rsidR="000C115D" w:rsidRPr="00BB1564">
        <w:rPr>
          <w:rFonts w:ascii="Times New Roman" w:eastAsia="Calibri" w:hAnsi="Times New Roman" w:cs="Times New Roman"/>
          <w:iCs/>
          <w:noProof/>
          <w:sz w:val="24"/>
          <w:szCs w:val="20"/>
          <w:lang w:val="bg-BG" w:eastAsia="bg-BG" w:bidi="bg-BG"/>
        </w:rPr>
        <w:t xml:space="preserve"> </w:t>
      </w:r>
      <w:r w:rsidR="000C115D">
        <w:rPr>
          <w:rFonts w:ascii="Times New Roman" w:eastAsia="Calibri" w:hAnsi="Times New Roman" w:cs="Times New Roman"/>
          <w:iCs/>
          <w:noProof/>
          <w:sz w:val="24"/>
          <w:szCs w:val="20"/>
          <w:lang w:val="bg-BG" w:eastAsia="bg-BG" w:bidi="bg-BG"/>
        </w:rPr>
        <w:t>водено от общностите местно развитите</w:t>
      </w:r>
      <w:r w:rsidRPr="00171DED">
        <w:rPr>
          <w:rFonts w:ascii="Times New Roman" w:eastAsia="Calibri" w:hAnsi="Times New Roman" w:cs="Times New Roman"/>
          <w:iCs/>
          <w:noProof/>
          <w:sz w:val="24"/>
          <w:szCs w:val="20"/>
          <w:lang w:val="bg-BG" w:eastAsia="bg-BG" w:bidi="bg-BG"/>
        </w:rPr>
        <w:t xml:space="preserve"> </w:t>
      </w:r>
      <w:r w:rsidR="00937969">
        <w:rPr>
          <w:rFonts w:ascii="Times New Roman" w:eastAsia="Calibri" w:hAnsi="Times New Roman" w:cs="Times New Roman"/>
          <w:iCs/>
          <w:noProof/>
          <w:sz w:val="24"/>
          <w:szCs w:val="20"/>
          <w:lang w:val="bg-BG" w:eastAsia="bg-BG" w:bidi="bg-BG"/>
        </w:rPr>
        <w:t>(</w:t>
      </w:r>
      <w:r w:rsidR="00700FE5" w:rsidRPr="00171DED">
        <w:rPr>
          <w:rFonts w:ascii="Times New Roman" w:eastAsia="Calibri" w:hAnsi="Times New Roman" w:cs="Times New Roman"/>
          <w:iCs/>
          <w:noProof/>
          <w:sz w:val="24"/>
          <w:szCs w:val="20"/>
          <w:lang w:val="bg-BG" w:eastAsia="bg-BG" w:bidi="bg-BG"/>
        </w:rPr>
        <w:t>ВОМР</w:t>
      </w:r>
      <w:r w:rsidR="00937969">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отчитайки опита от програмен период 2014-2020 г.</w:t>
      </w:r>
      <w:r w:rsidR="00C16403" w:rsidRPr="00BB1564">
        <w:rPr>
          <w:rFonts w:ascii="Times New Roman" w:eastAsia="Calibri" w:hAnsi="Times New Roman" w:cs="Times New Roman"/>
          <w:iCs/>
          <w:noProof/>
          <w:sz w:val="24"/>
          <w:szCs w:val="20"/>
          <w:lang w:val="bg-BG" w:eastAsia="bg-BG" w:bidi="bg-BG"/>
        </w:rPr>
        <w:t>,</w:t>
      </w:r>
      <w:r w:rsidR="008D36C7">
        <w:rPr>
          <w:rFonts w:ascii="Times New Roman" w:eastAsia="Calibri" w:hAnsi="Times New Roman" w:cs="Times New Roman"/>
          <w:iCs/>
          <w:noProof/>
          <w:sz w:val="24"/>
          <w:szCs w:val="20"/>
          <w:lang w:val="bg-BG" w:eastAsia="bg-BG" w:bidi="bg-BG"/>
        </w:rPr>
        <w:t xml:space="preserve"> </w:t>
      </w:r>
      <w:r w:rsidR="00C16403">
        <w:rPr>
          <w:rFonts w:ascii="Times New Roman" w:eastAsia="Calibri" w:hAnsi="Times New Roman" w:cs="Times New Roman"/>
          <w:iCs/>
          <w:noProof/>
          <w:sz w:val="24"/>
          <w:szCs w:val="20"/>
          <w:lang w:val="bg-BG" w:eastAsia="bg-BG" w:bidi="bg-BG"/>
        </w:rPr>
        <w:t>се предвижда изпълнение на „меки“ мерки като регулиране на пашата, борба с инвазивни видове и др.</w:t>
      </w:r>
      <w:r w:rsidR="008D36C7">
        <w:rPr>
          <w:rFonts w:ascii="Times New Roman" w:eastAsia="Calibri" w:hAnsi="Times New Roman" w:cs="Times New Roman"/>
          <w:iCs/>
          <w:noProof/>
          <w:sz w:val="24"/>
          <w:szCs w:val="20"/>
          <w:lang w:val="bg-BG" w:eastAsia="bg-BG" w:bidi="bg-BG"/>
        </w:rPr>
        <w:t xml:space="preserve">, </w:t>
      </w:r>
      <w:r w:rsidR="00AE2D88" w:rsidRPr="00171DED">
        <w:rPr>
          <w:rFonts w:ascii="Times New Roman" w:eastAsia="Calibri" w:hAnsi="Times New Roman" w:cs="Times New Roman"/>
          <w:iCs/>
          <w:noProof/>
          <w:sz w:val="24"/>
          <w:szCs w:val="20"/>
          <w:lang w:val="bg-BG" w:eastAsia="bg-BG" w:bidi="bg-BG"/>
        </w:rPr>
        <w:t>изведени в резултат от анализите в</w:t>
      </w:r>
      <w:r w:rsidR="00E11208" w:rsidRPr="00171DED">
        <w:rPr>
          <w:rFonts w:ascii="Times New Roman" w:eastAsia="Calibri" w:hAnsi="Times New Roman" w:cs="Times New Roman"/>
          <w:iCs/>
          <w:noProof/>
          <w:sz w:val="24"/>
          <w:szCs w:val="20"/>
          <w:lang w:val="bg-BG" w:eastAsia="bg-BG" w:bidi="bg-BG"/>
        </w:rPr>
        <w:t xml:space="preserve"> НРПД</w:t>
      </w:r>
      <w:r w:rsidR="00C16403">
        <w:rPr>
          <w:rFonts w:ascii="Times New Roman" w:eastAsia="Calibri" w:hAnsi="Times New Roman" w:cs="Times New Roman"/>
          <w:iCs/>
          <w:noProof/>
          <w:sz w:val="24"/>
          <w:szCs w:val="20"/>
          <w:lang w:val="bg-BG" w:eastAsia="bg-BG" w:bidi="bg-BG"/>
        </w:rPr>
        <w:t>.</w:t>
      </w:r>
      <w:r w:rsidR="008D36C7">
        <w:rPr>
          <w:rFonts w:ascii="Times New Roman" w:eastAsia="Calibri" w:hAnsi="Times New Roman" w:cs="Times New Roman"/>
          <w:iCs/>
          <w:noProof/>
          <w:sz w:val="24"/>
          <w:szCs w:val="20"/>
          <w:lang w:val="bg-BG" w:eastAsia="bg-BG" w:bidi="bg-BG"/>
        </w:rPr>
        <w:t xml:space="preserve"> </w:t>
      </w:r>
      <w:r w:rsidR="00C16403">
        <w:rPr>
          <w:rFonts w:ascii="Times New Roman" w:eastAsia="Calibri" w:hAnsi="Times New Roman" w:cs="Times New Roman"/>
          <w:iCs/>
          <w:noProof/>
          <w:sz w:val="24"/>
          <w:szCs w:val="20"/>
          <w:lang w:val="bg-BG" w:eastAsia="bg-BG" w:bidi="bg-BG"/>
        </w:rPr>
        <w:t>По подхода ИТИ се планират консервационни мерки</w:t>
      </w:r>
      <w:r w:rsidR="008D36C7">
        <w:rPr>
          <w:rFonts w:ascii="Times New Roman" w:eastAsia="Calibri" w:hAnsi="Times New Roman" w:cs="Times New Roman"/>
          <w:iCs/>
          <w:noProof/>
          <w:sz w:val="24"/>
          <w:szCs w:val="20"/>
          <w:lang w:val="bg-BG" w:eastAsia="bg-BG" w:bidi="bg-BG"/>
        </w:rPr>
        <w:t>,</w:t>
      </w:r>
      <w:r w:rsidR="00C16403">
        <w:rPr>
          <w:rFonts w:ascii="Times New Roman" w:eastAsia="Calibri" w:hAnsi="Times New Roman" w:cs="Times New Roman"/>
          <w:iCs/>
          <w:noProof/>
          <w:sz w:val="24"/>
          <w:szCs w:val="20"/>
          <w:lang w:val="bg-BG" w:eastAsia="bg-BG" w:bidi="bg-BG"/>
        </w:rPr>
        <w:t xml:space="preserve"> изискващи изграждане на инфраструктура и съор</w:t>
      </w:r>
      <w:r w:rsidR="008D36C7">
        <w:rPr>
          <w:rFonts w:ascii="Times New Roman" w:eastAsia="Calibri" w:hAnsi="Times New Roman" w:cs="Times New Roman"/>
          <w:iCs/>
          <w:noProof/>
          <w:sz w:val="24"/>
          <w:szCs w:val="20"/>
          <w:lang w:val="bg-BG" w:eastAsia="bg-BG" w:bidi="bg-BG"/>
        </w:rPr>
        <w:t>ъ</w:t>
      </w:r>
      <w:r w:rsidR="00C16403">
        <w:rPr>
          <w:rFonts w:ascii="Times New Roman" w:eastAsia="Calibri" w:hAnsi="Times New Roman" w:cs="Times New Roman"/>
          <w:iCs/>
          <w:noProof/>
          <w:sz w:val="24"/>
          <w:szCs w:val="20"/>
          <w:lang w:val="bg-BG" w:eastAsia="bg-BG" w:bidi="bg-BG"/>
        </w:rPr>
        <w:t>жения</w:t>
      </w:r>
      <w:r w:rsidR="00442A2A">
        <w:rPr>
          <w:rFonts w:ascii="Times New Roman" w:eastAsia="Calibri" w:hAnsi="Times New Roman" w:cs="Times New Roman"/>
          <w:iCs/>
          <w:noProof/>
          <w:sz w:val="24"/>
          <w:szCs w:val="20"/>
          <w:lang w:val="bg-BG" w:eastAsia="bg-BG" w:bidi="bg-BG"/>
        </w:rPr>
        <w:t xml:space="preserve">, в това число </w:t>
      </w:r>
      <w:r w:rsidR="00442A2A" w:rsidRPr="00442A2A">
        <w:rPr>
          <w:rFonts w:ascii="Times New Roman" w:eastAsia="Calibri" w:hAnsi="Times New Roman" w:cs="Times New Roman"/>
          <w:iCs/>
          <w:noProof/>
          <w:sz w:val="24"/>
          <w:szCs w:val="20"/>
          <w:lang w:val="bg-BG" w:eastAsia="bg-BG" w:bidi="bg-BG"/>
        </w:rPr>
        <w:t>съоръжения за обществен достъп; поставяне на информационни табели</w:t>
      </w:r>
      <w:r w:rsidR="00442A2A">
        <w:rPr>
          <w:rFonts w:ascii="Times New Roman" w:eastAsia="Calibri" w:hAnsi="Times New Roman" w:cs="Times New Roman"/>
          <w:iCs/>
          <w:noProof/>
          <w:sz w:val="24"/>
          <w:szCs w:val="20"/>
          <w:lang w:val="bg-BG" w:eastAsia="bg-BG" w:bidi="bg-BG"/>
        </w:rPr>
        <w:t>,</w:t>
      </w:r>
      <w:r w:rsidR="00442A2A" w:rsidRPr="00BB1564">
        <w:rPr>
          <w:lang w:val="bg-BG"/>
        </w:rPr>
        <w:t xml:space="preserve"> </w:t>
      </w:r>
      <w:r w:rsidR="00442A2A" w:rsidRPr="00442A2A">
        <w:rPr>
          <w:rFonts w:ascii="Times New Roman" w:eastAsia="Calibri" w:hAnsi="Times New Roman" w:cs="Times New Roman"/>
          <w:iCs/>
          <w:noProof/>
          <w:sz w:val="24"/>
          <w:szCs w:val="20"/>
          <w:lang w:val="bg-BG" w:eastAsia="bg-BG" w:bidi="bg-BG"/>
        </w:rPr>
        <w:t>възстановяване на територии (държавна или общинска собственост)</w:t>
      </w:r>
      <w:r w:rsidR="00442A2A" w:rsidRPr="00BB1564">
        <w:rPr>
          <w:lang w:val="bg-BG"/>
        </w:rPr>
        <w:t xml:space="preserve"> </w:t>
      </w:r>
      <w:r w:rsidR="00442A2A" w:rsidRPr="00442A2A">
        <w:rPr>
          <w:rFonts w:ascii="Times New Roman" w:eastAsia="Calibri" w:hAnsi="Times New Roman" w:cs="Times New Roman"/>
          <w:iCs/>
          <w:noProof/>
          <w:sz w:val="24"/>
          <w:szCs w:val="20"/>
          <w:lang w:val="bg-BG" w:eastAsia="bg-BG" w:bidi="bg-BG"/>
        </w:rPr>
        <w:t>например речно дъно</w:t>
      </w:r>
      <w:r w:rsidR="00442A2A">
        <w:rPr>
          <w:rFonts w:ascii="Times New Roman" w:eastAsia="Calibri" w:hAnsi="Times New Roman" w:cs="Times New Roman"/>
          <w:iCs/>
          <w:noProof/>
          <w:sz w:val="24"/>
          <w:szCs w:val="20"/>
          <w:lang w:val="bg-BG" w:eastAsia="bg-BG" w:bidi="bg-BG"/>
        </w:rPr>
        <w:t>,</w:t>
      </w:r>
      <w:r w:rsidR="00442A2A" w:rsidRPr="00442A2A">
        <w:rPr>
          <w:rFonts w:ascii="Times New Roman" w:eastAsia="Calibri" w:hAnsi="Times New Roman" w:cs="Times New Roman"/>
          <w:iCs/>
          <w:noProof/>
          <w:sz w:val="24"/>
          <w:szCs w:val="20"/>
          <w:lang w:val="bg-BG" w:eastAsia="bg-BG" w:bidi="bg-BG"/>
        </w:rPr>
        <w:t xml:space="preserve"> реч</w:t>
      </w:r>
      <w:r w:rsidR="00442A2A">
        <w:rPr>
          <w:rFonts w:ascii="Times New Roman" w:eastAsia="Calibri" w:hAnsi="Times New Roman" w:cs="Times New Roman"/>
          <w:iCs/>
          <w:noProof/>
          <w:sz w:val="24"/>
          <w:szCs w:val="20"/>
          <w:lang w:val="bg-BG" w:eastAsia="bg-BG" w:bidi="bg-BG"/>
        </w:rPr>
        <w:t>е</w:t>
      </w:r>
      <w:r w:rsidR="00442A2A" w:rsidRPr="00442A2A">
        <w:rPr>
          <w:rFonts w:ascii="Times New Roman" w:eastAsia="Calibri" w:hAnsi="Times New Roman" w:cs="Times New Roman"/>
          <w:iCs/>
          <w:noProof/>
          <w:sz w:val="24"/>
          <w:szCs w:val="20"/>
          <w:lang w:val="bg-BG" w:eastAsia="bg-BG" w:bidi="bg-BG"/>
        </w:rPr>
        <w:t xml:space="preserve">н бряг </w:t>
      </w:r>
      <w:r w:rsidR="00442A2A">
        <w:rPr>
          <w:rFonts w:ascii="Times New Roman" w:eastAsia="Calibri" w:hAnsi="Times New Roman" w:cs="Times New Roman"/>
          <w:iCs/>
          <w:noProof/>
          <w:sz w:val="24"/>
          <w:szCs w:val="20"/>
          <w:lang w:val="bg-BG" w:eastAsia="bg-BG" w:bidi="bg-BG"/>
        </w:rPr>
        <w:t>и др.</w:t>
      </w:r>
    </w:p>
    <w:p w14:paraId="05D02566" w14:textId="0BA2855A" w:rsidR="00503C7A" w:rsidRPr="00171DED" w:rsidRDefault="00503C7A"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ИТИ и ВОМР в рамките на приоритета представляват два самостоятелни инструмента за териториално развитие, които са базирани на различни териториални нива, със съотв. разлики, както в мащабите на инвестициите, така и по отношение на тяхното териториално значение и влияние. Двата подхода ще се прилагат допълващо, за да се гарантира комплексност на мерките</w:t>
      </w:r>
      <w:r w:rsidR="00524829" w:rsidRPr="001E3E7E">
        <w:rPr>
          <w:rFonts w:ascii="Times New Roman" w:eastAsia="Calibri" w:hAnsi="Times New Roman" w:cs="Times New Roman"/>
          <w:iCs/>
          <w:noProof/>
          <w:sz w:val="24"/>
          <w:szCs w:val="20"/>
          <w:lang w:val="bg-BG" w:eastAsia="bg-BG" w:bidi="bg-BG"/>
        </w:rPr>
        <w:t>, като демаркацията между тях е на ниво мярка</w:t>
      </w:r>
      <w:r w:rsidR="001A2CA2" w:rsidRPr="00BB1564">
        <w:rPr>
          <w:rFonts w:ascii="Times New Roman" w:eastAsia="Calibri" w:hAnsi="Times New Roman" w:cs="Times New Roman"/>
          <w:iCs/>
          <w:noProof/>
          <w:sz w:val="24"/>
          <w:szCs w:val="20"/>
          <w:lang w:val="bg-BG" w:eastAsia="bg-BG" w:bidi="bg-BG"/>
        </w:rPr>
        <w:t xml:space="preserve"> съгласно НРПД</w:t>
      </w:r>
      <w:r w:rsidRPr="001E3E7E">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В тази връзка</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мерките</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изискващи промяна в поведението на местните общности са отнесени към ВОМР</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а тези за изграждане на съор</w:t>
      </w:r>
      <w:r w:rsidR="00D61F76">
        <w:rPr>
          <w:rFonts w:ascii="Times New Roman" w:eastAsia="Calibri" w:hAnsi="Times New Roman" w:cs="Times New Roman"/>
          <w:iCs/>
          <w:noProof/>
          <w:sz w:val="24"/>
          <w:szCs w:val="20"/>
          <w:lang w:val="bg-BG" w:eastAsia="bg-BG" w:bidi="bg-BG"/>
        </w:rPr>
        <w:t>ъ</w:t>
      </w:r>
      <w:r w:rsidR="002A468C">
        <w:rPr>
          <w:rFonts w:ascii="Times New Roman" w:eastAsia="Calibri" w:hAnsi="Times New Roman" w:cs="Times New Roman"/>
          <w:iCs/>
          <w:noProof/>
          <w:sz w:val="24"/>
          <w:szCs w:val="20"/>
          <w:lang w:val="bg-BG" w:eastAsia="bg-BG" w:bidi="bg-BG"/>
        </w:rPr>
        <w:t>жения и инфраструктура са предвидени чрез подхода ИТИ</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в който участват регионални и местни власти, </w:t>
      </w:r>
      <w:r w:rsidR="00F037B6">
        <w:rPr>
          <w:rFonts w:ascii="Times New Roman" w:eastAsia="Calibri" w:hAnsi="Times New Roman" w:cs="Times New Roman"/>
          <w:iCs/>
          <w:noProof/>
          <w:sz w:val="24"/>
          <w:szCs w:val="20"/>
          <w:lang w:val="bg-BG" w:eastAsia="bg-BG" w:bidi="bg-BG"/>
        </w:rPr>
        <w:t>както и компетентни органи по околна</w:t>
      </w:r>
      <w:r w:rsidR="00D61F76">
        <w:rPr>
          <w:rFonts w:ascii="Times New Roman" w:eastAsia="Calibri" w:hAnsi="Times New Roman" w:cs="Times New Roman"/>
          <w:iCs/>
          <w:noProof/>
          <w:sz w:val="24"/>
          <w:szCs w:val="20"/>
          <w:lang w:val="bg-BG" w:eastAsia="bg-BG" w:bidi="bg-BG"/>
        </w:rPr>
        <w:t>та</w:t>
      </w:r>
      <w:r w:rsidR="00F037B6">
        <w:rPr>
          <w:rFonts w:ascii="Times New Roman" w:eastAsia="Calibri" w:hAnsi="Times New Roman" w:cs="Times New Roman"/>
          <w:iCs/>
          <w:noProof/>
          <w:sz w:val="24"/>
          <w:szCs w:val="20"/>
          <w:lang w:val="bg-BG" w:eastAsia="bg-BG" w:bidi="bg-BG"/>
        </w:rPr>
        <w:t xml:space="preserve"> среда и водите. Това гарантира, че мерките ще бъдат изпълнени </w:t>
      </w:r>
      <w:r w:rsidR="00E076E1">
        <w:rPr>
          <w:rFonts w:ascii="Times New Roman" w:eastAsia="Calibri" w:hAnsi="Times New Roman" w:cs="Times New Roman"/>
          <w:iCs/>
          <w:noProof/>
          <w:sz w:val="24"/>
          <w:szCs w:val="20"/>
          <w:lang w:val="bg-BG" w:eastAsia="bg-BG" w:bidi="bg-BG"/>
        </w:rPr>
        <w:t>при спазване на екологичното законодателство и ще се осигури тяхната устойчивост.</w:t>
      </w:r>
    </w:p>
    <w:p w14:paraId="5797B568" w14:textId="776FAD4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1CEB8AB6" w14:textId="74E2837E" w:rsidR="00EA53FC" w:rsidRPr="00171DED"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Pr="00171DED">
        <w:rPr>
          <w:rFonts w:ascii="Times New Roman" w:eastAsia="Calibri" w:hAnsi="Times New Roman" w:cs="Times New Roman"/>
          <w:iCs/>
          <w:noProof/>
          <w:sz w:val="24"/>
          <w:szCs w:val="20"/>
          <w:lang w:val="bg-BG" w:eastAsia="bg-BG" w:bidi="bg-BG"/>
        </w:rPr>
        <w:t xml:space="preserve"> </w:t>
      </w:r>
      <w:r w:rsidRPr="00171DED">
        <w:rPr>
          <w:rFonts w:ascii="Times New Roman" w:hAnsi="Times New Roman"/>
          <w:sz w:val="24"/>
          <w:lang w:val="bg-BG"/>
        </w:rPr>
        <w:t xml:space="preserve"> 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относно постигане или поддържане на добро състояние на околната среда в морската среда, по-специално по отношение на опазването на видове и местообитания в акваторията на Черно море.</w:t>
      </w:r>
    </w:p>
    <w:p w14:paraId="29EEFCF7" w14:textId="3EBB36AC" w:rsidR="00D60BEE" w:rsidRPr="00171DED" w:rsidRDefault="00D60BEE" w:rsidP="00D60BE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vi)от ОР:</w:t>
      </w:r>
    </w:p>
    <w:p w14:paraId="42FE9F52" w14:textId="77777777" w:rsidR="00DD01C0" w:rsidRDefault="00D60BEE" w:rsidP="00D60BEE">
      <w:pPr>
        <w:pBdr>
          <w:top w:val="single" w:sz="4" w:space="0" w:color="auto"/>
          <w:left w:val="single" w:sz="4" w:space="4" w:color="auto"/>
          <w:bottom w:val="single" w:sz="4" w:space="1" w:color="auto"/>
          <w:right w:val="single" w:sz="4" w:space="4" w:color="auto"/>
        </w:pBdr>
        <w:spacing w:before="120" w:after="120" w:line="240" w:lineRule="auto"/>
        <w:jc w:val="both"/>
        <w:rPr>
          <w:lang w:val="bg-BG"/>
        </w:rPr>
      </w:pPr>
      <w:r w:rsidRPr="00171DED">
        <w:rPr>
          <w:rFonts w:ascii="Times New Roman" w:eastAsia="Calibri" w:hAnsi="Times New Roman" w:cs="Times New Roman"/>
          <w:i/>
          <w:noProof/>
          <w:sz w:val="24"/>
          <w:szCs w:val="20"/>
          <w:lang w:val="bg-BG" w:eastAsia="bg-BG" w:bidi="bg-BG"/>
        </w:rPr>
        <w:t>Текстово поле [1 000]</w:t>
      </w:r>
      <w:r w:rsidRPr="00171DED">
        <w:rPr>
          <w:lang w:val="bg-BG"/>
        </w:rPr>
        <w:t xml:space="preserve"> </w:t>
      </w:r>
    </w:p>
    <w:p w14:paraId="23595922" w14:textId="30DB62A6" w:rsidR="00BB1564" w:rsidRPr="00171DED"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noProof/>
          <w:sz w:val="24"/>
          <w:szCs w:val="20"/>
          <w:lang w:val="bg-BG" w:eastAsia="bg-BG" w:bidi="bg-BG"/>
        </w:rPr>
        <w:t>Не се планира използване на ФИ</w:t>
      </w:r>
      <w:r w:rsidR="00212B72" w:rsidRPr="00280F74">
        <w:rPr>
          <w:rFonts w:ascii="Times New Roman" w:eastAsia="Calibri" w:hAnsi="Times New Roman" w:cs="Times New Roman"/>
          <w:noProof/>
          <w:sz w:val="24"/>
          <w:szCs w:val="20"/>
          <w:lang w:val="bg-BG" w:eastAsia="bg-BG" w:bidi="bg-BG"/>
        </w:rPr>
        <w:t>.</w:t>
      </w:r>
    </w:p>
    <w:p w14:paraId="65BA5123" w14:textId="578D8596"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37C7A71F"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697"/>
        <w:gridCol w:w="609"/>
        <w:gridCol w:w="964"/>
        <w:gridCol w:w="618"/>
        <w:gridCol w:w="1499"/>
        <w:gridCol w:w="802"/>
        <w:gridCol w:w="733"/>
        <w:gridCol w:w="844"/>
      </w:tblGrid>
      <w:tr w:rsidR="0022545E" w:rsidRPr="0010575B" w14:paraId="55418E62" w14:textId="77777777" w:rsidTr="00A21E69">
        <w:trPr>
          <w:trHeight w:val="425"/>
        </w:trPr>
        <w:tc>
          <w:tcPr>
            <w:tcW w:w="5000" w:type="pct"/>
            <w:gridSpan w:val="9"/>
          </w:tcPr>
          <w:p w14:paraId="01633053" w14:textId="77777777" w:rsidR="0022545E" w:rsidRPr="00171DED" w:rsidRDefault="0022545E" w:rsidP="00D80344">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7618CD" w:rsidRPr="00171DED" w14:paraId="2DBE84C5" w14:textId="77777777" w:rsidTr="00BB1564">
        <w:trPr>
          <w:trHeight w:val="1647"/>
        </w:trPr>
        <w:tc>
          <w:tcPr>
            <w:tcW w:w="664" w:type="pct"/>
          </w:tcPr>
          <w:p w14:paraId="4F002237"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lastRenderedPageBreak/>
              <w:t xml:space="preserve">Приоритет </w:t>
            </w:r>
          </w:p>
        </w:tc>
        <w:tc>
          <w:tcPr>
            <w:tcW w:w="867" w:type="pct"/>
          </w:tcPr>
          <w:p w14:paraId="532D6A67" w14:textId="375279C2"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433" w:type="pct"/>
          </w:tcPr>
          <w:p w14:paraId="1057C3C4"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97" w:type="pct"/>
          </w:tcPr>
          <w:p w14:paraId="11FE0196"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22" w:type="pct"/>
          </w:tcPr>
          <w:p w14:paraId="588F80A0"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767" w:type="pct"/>
            <w:shd w:val="clear" w:color="auto" w:fill="auto"/>
          </w:tcPr>
          <w:p w14:paraId="14466F9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15" w:type="pct"/>
          </w:tcPr>
          <w:p w14:paraId="6D34ACA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0" w:type="pct"/>
            <w:shd w:val="clear" w:color="auto" w:fill="auto"/>
          </w:tcPr>
          <w:p w14:paraId="18D17677"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36BA7265"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p>
        </w:tc>
        <w:tc>
          <w:tcPr>
            <w:tcW w:w="654" w:type="pct"/>
            <w:shd w:val="clear" w:color="auto" w:fill="auto"/>
          </w:tcPr>
          <w:p w14:paraId="29C36B41"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48F658E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p>
        </w:tc>
      </w:tr>
      <w:tr w:rsidR="007618CD" w:rsidRPr="00171DED" w14:paraId="3B739975" w14:textId="77777777" w:rsidTr="00DD5A8D">
        <w:trPr>
          <w:trHeight w:val="557"/>
        </w:trPr>
        <w:tc>
          <w:tcPr>
            <w:tcW w:w="664" w:type="pct"/>
            <w:vMerge w:val="restart"/>
            <w:vAlign w:val="center"/>
          </w:tcPr>
          <w:p w14:paraId="00F83909" w14:textId="325CC3F8" w:rsidR="00385A61" w:rsidRPr="00AF7023" w:rsidRDefault="00385A61" w:rsidP="00D80344">
            <w:pPr>
              <w:spacing w:before="120" w:after="120" w:line="240" w:lineRule="auto"/>
              <w:jc w:val="both"/>
              <w:rPr>
                <w:rFonts w:ascii="Times New Roman" w:hAnsi="Times New Roman"/>
                <w:noProof/>
                <w:sz w:val="18"/>
                <w:szCs w:val="18"/>
                <w:lang w:val="bg-BG" w:eastAsia="bg-BG" w:bidi="bg-BG"/>
              </w:rPr>
            </w:pPr>
            <w:r w:rsidRPr="00620FB0">
              <w:rPr>
                <w:rFonts w:ascii="Times New Roman" w:hAnsi="Times New Roman"/>
                <w:noProof/>
                <w:sz w:val="18"/>
                <w:szCs w:val="18"/>
                <w:lang w:val="bg-BG" w:eastAsia="bg-BG" w:bidi="bg-BG"/>
              </w:rPr>
              <w:t>„</w:t>
            </w:r>
            <w:r w:rsidRPr="00AF7023">
              <w:rPr>
                <w:rFonts w:ascii="Times New Roman" w:hAnsi="Times New Roman"/>
                <w:noProof/>
                <w:sz w:val="18"/>
                <w:szCs w:val="18"/>
                <w:lang w:val="bg-BG" w:eastAsia="bg-BG" w:bidi="bg-BG"/>
              </w:rPr>
              <w:t>Биологично</w:t>
            </w:r>
            <w:r w:rsidRPr="00620FB0">
              <w:rPr>
                <w:rFonts w:ascii="Times New Roman" w:hAnsi="Times New Roman"/>
                <w:noProof/>
                <w:sz w:val="18"/>
                <w:szCs w:val="18"/>
                <w:lang w:val="bg-BG" w:eastAsia="bg-BG" w:bidi="bg-BG"/>
              </w:rPr>
              <w:t xml:space="preserve"> разнообразие“</w:t>
            </w:r>
          </w:p>
        </w:tc>
        <w:tc>
          <w:tcPr>
            <w:tcW w:w="867" w:type="pct"/>
            <w:vMerge w:val="restart"/>
            <w:vAlign w:val="center"/>
          </w:tcPr>
          <w:p w14:paraId="4DB0BBFA" w14:textId="77777777" w:rsidR="00385A61" w:rsidRPr="00171DED" w:rsidRDefault="00385A61" w:rsidP="00BB1564">
            <w:pPr>
              <w:spacing w:before="120" w:after="120" w:line="240" w:lineRule="auto"/>
              <w:rPr>
                <w:rFonts w:ascii="Times New Roman" w:hAnsi="Times New Roman"/>
                <w:noProof/>
                <w:sz w:val="16"/>
                <w:szCs w:val="16"/>
                <w:lang w:val="bg-BG" w:eastAsia="bg-BG" w:bidi="bg-BG"/>
              </w:rPr>
            </w:pPr>
            <w:r w:rsidRPr="00171DED">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433" w:type="pct"/>
            <w:vMerge w:val="restart"/>
            <w:vAlign w:val="center"/>
          </w:tcPr>
          <w:p w14:paraId="10283805" w14:textId="6B64471B" w:rsidR="00385A61" w:rsidRPr="00171DED" w:rsidRDefault="007F2DC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sz w:val="16"/>
                <w:lang w:val="bg-BG"/>
              </w:rPr>
              <w:t>ЕФРР</w:t>
            </w:r>
          </w:p>
        </w:tc>
        <w:tc>
          <w:tcPr>
            <w:tcW w:w="497" w:type="pct"/>
            <w:vAlign w:val="center"/>
          </w:tcPr>
          <w:p w14:paraId="71F9E0B8" w14:textId="0DC4631E" w:rsidR="00385A61" w:rsidRPr="00BB1564" w:rsidRDefault="00BB1564" w:rsidP="00620FB0">
            <w:pPr>
              <w:spacing w:before="120" w:after="120" w:line="240" w:lineRule="auto"/>
              <w:rPr>
                <w:rFonts w:ascii="Times New Roman" w:hAnsi="Times New Roman"/>
                <w:bCs/>
                <w:iCs/>
                <w:noProof/>
                <w:sz w:val="16"/>
                <w:szCs w:val="16"/>
                <w:lang w:val="bg-BG" w:eastAsia="bg-BG" w:bidi="bg-BG"/>
              </w:rPr>
            </w:pPr>
            <w:r w:rsidRPr="00BB1564">
              <w:rPr>
                <w:rFonts w:ascii="Times New Roman" w:hAnsi="Times New Roman"/>
                <w:bCs/>
                <w:iCs/>
                <w:noProof/>
                <w:sz w:val="16"/>
                <w:szCs w:val="16"/>
                <w:lang w:val="bg-BG" w:eastAsia="bg-BG" w:bidi="bg-BG"/>
              </w:rPr>
              <w:t xml:space="preserve">Преход </w:t>
            </w:r>
          </w:p>
        </w:tc>
        <w:tc>
          <w:tcPr>
            <w:tcW w:w="322" w:type="pct"/>
            <w:vMerge w:val="restart"/>
            <w:vAlign w:val="center"/>
          </w:tcPr>
          <w:p w14:paraId="1A2EE8EF" w14:textId="77777777" w:rsidR="00385A61" w:rsidRPr="00171DED" w:rsidRDefault="00385A61" w:rsidP="00D80344">
            <w:pPr>
              <w:spacing w:before="120" w:after="120" w:line="240" w:lineRule="auto"/>
              <w:jc w:val="both"/>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en-US"/>
              </w:rPr>
              <w:t xml:space="preserve">RCO </w:t>
            </w:r>
            <w:r w:rsidRPr="00171DED">
              <w:rPr>
                <w:rFonts w:ascii="Times New Roman" w:hAnsi="Times New Roman"/>
                <w:noProof/>
                <w:sz w:val="20"/>
                <w:szCs w:val="20"/>
                <w:lang w:val="bg-BG" w:eastAsia="bg-BG" w:bidi="bg-BG"/>
              </w:rPr>
              <w:t>37</w:t>
            </w:r>
          </w:p>
        </w:tc>
        <w:tc>
          <w:tcPr>
            <w:tcW w:w="767" w:type="pct"/>
            <w:vMerge w:val="restart"/>
            <w:shd w:val="clear" w:color="auto" w:fill="auto"/>
            <w:vAlign w:val="center"/>
          </w:tcPr>
          <w:p w14:paraId="78F3660E" w14:textId="66FB432F" w:rsidR="00385A61" w:rsidRPr="00171DED" w:rsidRDefault="00385A61" w:rsidP="00BB1564">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Площ на защитените зони по „Натура 2000“, обхванати от мерки за опазване и възстановяване</w:t>
            </w:r>
          </w:p>
        </w:tc>
        <w:tc>
          <w:tcPr>
            <w:tcW w:w="415" w:type="pct"/>
            <w:vMerge w:val="restart"/>
            <w:vAlign w:val="center"/>
          </w:tcPr>
          <w:p w14:paraId="2C9F0F76" w14:textId="32730FD0" w:rsidR="00385A61" w:rsidRPr="00171DED" w:rsidRDefault="00385A61" w:rsidP="00D80344">
            <w:pPr>
              <w:spacing w:before="120" w:after="120" w:line="240" w:lineRule="auto"/>
              <w:jc w:val="both"/>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ха</w:t>
            </w:r>
          </w:p>
        </w:tc>
        <w:tc>
          <w:tcPr>
            <w:tcW w:w="380" w:type="pct"/>
            <w:vMerge w:val="restart"/>
            <w:shd w:val="clear" w:color="auto" w:fill="auto"/>
            <w:vAlign w:val="center"/>
          </w:tcPr>
          <w:p w14:paraId="6D20FCC1" w14:textId="0108B79F" w:rsidR="00385A61" w:rsidRPr="00171DED" w:rsidRDefault="007F2DC2" w:rsidP="00D80344">
            <w:pPr>
              <w:spacing w:before="120" w:after="120" w:line="240" w:lineRule="auto"/>
              <w:jc w:val="both"/>
              <w:rPr>
                <w:rFonts w:ascii="Times New Roman" w:hAnsi="Times New Roman"/>
                <w:b/>
                <w:sz w:val="16"/>
                <w:lang w:val="bg-BG"/>
              </w:rPr>
            </w:pPr>
            <w:r w:rsidRPr="00171DED">
              <w:rPr>
                <w:rFonts w:ascii="Times New Roman" w:hAnsi="Times New Roman"/>
                <w:b/>
                <w:iCs/>
                <w:noProof/>
                <w:sz w:val="16"/>
                <w:szCs w:val="16"/>
                <w:lang w:val="bg-BG" w:eastAsia="bg-BG" w:bidi="bg-BG"/>
              </w:rPr>
              <w:t>7 600 000</w:t>
            </w:r>
          </w:p>
        </w:tc>
        <w:tc>
          <w:tcPr>
            <w:tcW w:w="654" w:type="pct"/>
            <w:vMerge w:val="restart"/>
            <w:shd w:val="clear" w:color="auto" w:fill="auto"/>
            <w:vAlign w:val="center"/>
          </w:tcPr>
          <w:p w14:paraId="258D5E9E" w14:textId="4678F5F3" w:rsidR="00385A61" w:rsidRPr="00171DED" w:rsidRDefault="007F2DC2" w:rsidP="00D80344">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noProof/>
                <w:sz w:val="20"/>
                <w:szCs w:val="20"/>
                <w:lang w:val="bg-BG" w:eastAsia="bg-BG" w:bidi="bg-BG"/>
              </w:rPr>
              <w:t>14 000 000</w:t>
            </w:r>
          </w:p>
        </w:tc>
      </w:tr>
      <w:tr w:rsidR="00BB1564" w:rsidRPr="00171DED" w14:paraId="5559AE0E" w14:textId="77777777" w:rsidTr="00620FB0">
        <w:trPr>
          <w:trHeight w:val="799"/>
        </w:trPr>
        <w:tc>
          <w:tcPr>
            <w:tcW w:w="664" w:type="pct"/>
            <w:vMerge/>
            <w:vAlign w:val="center"/>
          </w:tcPr>
          <w:p w14:paraId="06ABB357" w14:textId="77777777" w:rsidR="00BB1564" w:rsidRPr="00171DED" w:rsidRDefault="00BB1564" w:rsidP="00584F2A">
            <w:pPr>
              <w:spacing w:before="120" w:after="120" w:line="240" w:lineRule="auto"/>
              <w:jc w:val="both"/>
              <w:rPr>
                <w:rFonts w:ascii="Times New Roman" w:hAnsi="Times New Roman"/>
                <w:noProof/>
                <w:sz w:val="20"/>
                <w:szCs w:val="16"/>
                <w:lang w:val="bg-BG" w:eastAsia="bg-BG" w:bidi="bg-BG"/>
              </w:rPr>
            </w:pPr>
          </w:p>
        </w:tc>
        <w:tc>
          <w:tcPr>
            <w:tcW w:w="867" w:type="pct"/>
            <w:vMerge/>
            <w:vAlign w:val="center"/>
          </w:tcPr>
          <w:p w14:paraId="040BD7F1" w14:textId="77777777" w:rsidR="00BB1564" w:rsidRPr="00171DED" w:rsidRDefault="00BB1564" w:rsidP="00584F2A">
            <w:pPr>
              <w:spacing w:before="120" w:after="120" w:line="240" w:lineRule="auto"/>
              <w:jc w:val="both"/>
              <w:rPr>
                <w:rFonts w:ascii="Times New Roman" w:hAnsi="Times New Roman"/>
                <w:noProof/>
                <w:sz w:val="18"/>
                <w:szCs w:val="16"/>
                <w:lang w:val="bg-BG" w:eastAsia="bg-BG" w:bidi="bg-BG"/>
              </w:rPr>
            </w:pPr>
          </w:p>
        </w:tc>
        <w:tc>
          <w:tcPr>
            <w:tcW w:w="433" w:type="pct"/>
            <w:vMerge/>
            <w:vAlign w:val="center"/>
          </w:tcPr>
          <w:p w14:paraId="5567E907" w14:textId="77777777" w:rsidR="00BB1564" w:rsidRPr="00171DED" w:rsidRDefault="00BB1564" w:rsidP="00584F2A">
            <w:pPr>
              <w:spacing w:before="120" w:after="120" w:line="240" w:lineRule="auto"/>
              <w:jc w:val="both"/>
              <w:rPr>
                <w:rFonts w:ascii="Times New Roman" w:hAnsi="Times New Roman"/>
                <w:noProof/>
                <w:sz w:val="16"/>
                <w:szCs w:val="16"/>
                <w:lang w:val="bg-BG" w:eastAsia="bg-BG" w:bidi="bg-BG"/>
              </w:rPr>
            </w:pPr>
          </w:p>
        </w:tc>
        <w:tc>
          <w:tcPr>
            <w:tcW w:w="497" w:type="pct"/>
            <w:vAlign w:val="center"/>
          </w:tcPr>
          <w:p w14:paraId="0E639F64" w14:textId="4F20FF66" w:rsidR="00BB1564" w:rsidRPr="00BB1564" w:rsidRDefault="00BB1564" w:rsidP="00BB1564">
            <w:pPr>
              <w:spacing w:before="120" w:after="120" w:line="240" w:lineRule="auto"/>
              <w:rPr>
                <w:rFonts w:ascii="Times New Roman" w:hAnsi="Times New Roman"/>
                <w:bCs/>
                <w:iCs/>
                <w:noProof/>
                <w:sz w:val="16"/>
                <w:szCs w:val="16"/>
                <w:lang w:val="bg-BG" w:eastAsia="bg-BG" w:bidi="bg-BG"/>
              </w:rPr>
            </w:pPr>
            <w:r w:rsidRPr="00BB1564">
              <w:rPr>
                <w:rFonts w:ascii="Times New Roman" w:hAnsi="Times New Roman"/>
                <w:bCs/>
                <w:iCs/>
                <w:noProof/>
                <w:sz w:val="16"/>
                <w:szCs w:val="16"/>
                <w:lang w:val="bg-BG" w:eastAsia="bg-BG" w:bidi="bg-BG"/>
              </w:rPr>
              <w:t>По слабо развити региони</w:t>
            </w:r>
          </w:p>
        </w:tc>
        <w:tc>
          <w:tcPr>
            <w:tcW w:w="322" w:type="pct"/>
            <w:vMerge/>
            <w:vAlign w:val="center"/>
          </w:tcPr>
          <w:p w14:paraId="1EE67DBF" w14:textId="77777777" w:rsidR="00BB1564" w:rsidRPr="00171DED" w:rsidRDefault="00BB1564" w:rsidP="00584F2A">
            <w:pPr>
              <w:spacing w:before="120" w:after="120" w:line="240" w:lineRule="auto"/>
              <w:jc w:val="both"/>
              <w:rPr>
                <w:rFonts w:ascii="Times New Roman" w:hAnsi="Times New Roman"/>
                <w:noProof/>
                <w:sz w:val="20"/>
                <w:szCs w:val="20"/>
                <w:lang w:val="bg-BG" w:eastAsia="bg-BG" w:bidi="en-US"/>
              </w:rPr>
            </w:pPr>
          </w:p>
        </w:tc>
        <w:tc>
          <w:tcPr>
            <w:tcW w:w="767" w:type="pct"/>
            <w:vMerge/>
            <w:shd w:val="clear" w:color="auto" w:fill="auto"/>
            <w:vAlign w:val="center"/>
          </w:tcPr>
          <w:p w14:paraId="0B72C7A1" w14:textId="77777777" w:rsidR="00BB1564" w:rsidRPr="00171DED" w:rsidRDefault="00BB1564" w:rsidP="00584F2A">
            <w:pPr>
              <w:spacing w:before="120" w:after="120" w:line="240" w:lineRule="auto"/>
              <w:jc w:val="both"/>
              <w:rPr>
                <w:rFonts w:ascii="Times New Roman" w:hAnsi="Times New Roman"/>
                <w:noProof/>
                <w:sz w:val="20"/>
                <w:szCs w:val="20"/>
                <w:lang w:val="bg-BG" w:eastAsia="bg-BG" w:bidi="bg-BG"/>
              </w:rPr>
            </w:pPr>
          </w:p>
        </w:tc>
        <w:tc>
          <w:tcPr>
            <w:tcW w:w="415" w:type="pct"/>
            <w:vMerge/>
            <w:vAlign w:val="center"/>
          </w:tcPr>
          <w:p w14:paraId="4D612AA7" w14:textId="77777777" w:rsidR="00BB1564" w:rsidRPr="00171DED" w:rsidRDefault="00BB1564" w:rsidP="00584F2A">
            <w:pPr>
              <w:spacing w:before="120" w:after="120" w:line="240" w:lineRule="auto"/>
              <w:jc w:val="both"/>
              <w:rPr>
                <w:rFonts w:ascii="Times New Roman" w:hAnsi="Times New Roman"/>
                <w:noProof/>
                <w:sz w:val="20"/>
                <w:szCs w:val="20"/>
                <w:lang w:val="bg-BG" w:eastAsia="bg-BG" w:bidi="bg-BG"/>
              </w:rPr>
            </w:pPr>
          </w:p>
        </w:tc>
        <w:tc>
          <w:tcPr>
            <w:tcW w:w="380" w:type="pct"/>
            <w:vMerge/>
            <w:shd w:val="clear" w:color="auto" w:fill="auto"/>
            <w:vAlign w:val="center"/>
          </w:tcPr>
          <w:p w14:paraId="23AE273B" w14:textId="77777777" w:rsidR="00BB1564" w:rsidRPr="00171DED" w:rsidRDefault="00BB1564" w:rsidP="00584F2A">
            <w:pPr>
              <w:spacing w:before="120" w:after="120" w:line="240" w:lineRule="auto"/>
              <w:jc w:val="both"/>
              <w:rPr>
                <w:rFonts w:ascii="Times New Roman" w:hAnsi="Times New Roman"/>
                <w:b/>
                <w:i/>
                <w:noProof/>
                <w:sz w:val="16"/>
                <w:szCs w:val="16"/>
                <w:lang w:val="bg-BG" w:eastAsia="bg-BG" w:bidi="bg-BG"/>
              </w:rPr>
            </w:pPr>
          </w:p>
        </w:tc>
        <w:tc>
          <w:tcPr>
            <w:tcW w:w="654" w:type="pct"/>
            <w:vMerge/>
            <w:shd w:val="clear" w:color="auto" w:fill="auto"/>
            <w:vAlign w:val="center"/>
          </w:tcPr>
          <w:p w14:paraId="6B23BEC0" w14:textId="77777777" w:rsidR="00BB1564" w:rsidRPr="00171DED" w:rsidRDefault="00BB1564" w:rsidP="00584F2A">
            <w:pPr>
              <w:spacing w:before="120" w:after="120" w:line="240" w:lineRule="auto"/>
              <w:jc w:val="both"/>
              <w:rPr>
                <w:rFonts w:ascii="Times New Roman" w:hAnsi="Times New Roman"/>
                <w:b/>
                <w:i/>
                <w:noProof/>
                <w:sz w:val="16"/>
                <w:szCs w:val="16"/>
                <w:lang w:val="bg-BG" w:eastAsia="bg-BG" w:bidi="bg-BG"/>
              </w:rPr>
            </w:pPr>
          </w:p>
        </w:tc>
      </w:tr>
    </w:tbl>
    <w:p w14:paraId="63466435" w14:textId="77777777" w:rsidR="00310263" w:rsidRPr="00171DED" w:rsidRDefault="00310263"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182"/>
        <w:gridCol w:w="472"/>
        <w:gridCol w:w="704"/>
        <w:gridCol w:w="764"/>
        <w:gridCol w:w="728"/>
        <w:gridCol w:w="598"/>
        <w:gridCol w:w="754"/>
        <w:gridCol w:w="759"/>
        <w:gridCol w:w="626"/>
        <w:gridCol w:w="747"/>
        <w:gridCol w:w="730"/>
      </w:tblGrid>
      <w:tr w:rsidR="0022545E" w:rsidRPr="00171DED" w14:paraId="110348ED" w14:textId="77777777" w:rsidTr="00800CCA">
        <w:trPr>
          <w:trHeight w:val="480"/>
        </w:trPr>
        <w:tc>
          <w:tcPr>
            <w:tcW w:w="5000" w:type="pct"/>
            <w:gridSpan w:val="12"/>
          </w:tcPr>
          <w:p w14:paraId="1E7F343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BE032C" w:rsidRPr="00171DED" w14:paraId="10CF9582" w14:textId="77777777" w:rsidTr="009F2C92">
        <w:trPr>
          <w:trHeight w:val="1768"/>
        </w:trPr>
        <w:tc>
          <w:tcPr>
            <w:tcW w:w="548" w:type="pct"/>
          </w:tcPr>
          <w:p w14:paraId="461153E2"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649" w:type="pct"/>
          </w:tcPr>
          <w:p w14:paraId="21CBF040" w14:textId="4D0D66A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255" w:type="pct"/>
          </w:tcPr>
          <w:p w14:paraId="27CC975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87" w:type="pct"/>
          </w:tcPr>
          <w:p w14:paraId="6ED711D6"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20" w:type="pct"/>
          </w:tcPr>
          <w:p w14:paraId="4BD43D25"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415" w:type="pct"/>
            <w:shd w:val="clear" w:color="auto" w:fill="auto"/>
          </w:tcPr>
          <w:p w14:paraId="283A9EC4"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29" w:type="pct"/>
          </w:tcPr>
          <w:p w14:paraId="6BE9956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4" w:type="pct"/>
          </w:tcPr>
          <w:p w14:paraId="7B146B59"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17" w:type="pct"/>
          </w:tcPr>
          <w:p w14:paraId="59672FB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96" w:type="pct"/>
            <w:shd w:val="clear" w:color="auto" w:fill="auto"/>
          </w:tcPr>
          <w:p w14:paraId="669D649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3F2956D7"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2FF5495A" w14:textId="77777777" w:rsidR="0022545E" w:rsidRPr="00171DED" w:rsidRDefault="0022545E" w:rsidP="00D80344">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01" w:type="pct"/>
          </w:tcPr>
          <w:p w14:paraId="700BD3F7" w14:textId="77777777" w:rsidR="0022545E" w:rsidRPr="00171DED" w:rsidRDefault="0022545E" w:rsidP="00D80344">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9F2C92" w:rsidRPr="00171DED" w14:paraId="43299219" w14:textId="77777777" w:rsidTr="00AF7023">
        <w:trPr>
          <w:trHeight w:val="3568"/>
        </w:trPr>
        <w:tc>
          <w:tcPr>
            <w:tcW w:w="548" w:type="pct"/>
            <w:vAlign w:val="center"/>
          </w:tcPr>
          <w:p w14:paraId="06A74990" w14:textId="4550F5DD"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20"/>
                <w:szCs w:val="16"/>
                <w:lang w:val="bg-BG" w:eastAsia="bg-BG" w:bidi="bg-BG"/>
              </w:rPr>
              <w:t>„Биологично разнообразие“</w:t>
            </w:r>
          </w:p>
        </w:tc>
        <w:tc>
          <w:tcPr>
            <w:tcW w:w="649" w:type="pct"/>
            <w:vAlign w:val="center"/>
          </w:tcPr>
          <w:p w14:paraId="5ABDC8AA" w14:textId="1091D821"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5" w:type="pct"/>
            <w:vAlign w:val="center"/>
          </w:tcPr>
          <w:p w14:paraId="3DC81A2B" w14:textId="2980450B" w:rsidR="009F2C92" w:rsidRPr="00171DED" w:rsidRDefault="007F2DC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6"/>
                <w:szCs w:val="16"/>
                <w:lang w:val="bg-BG" w:eastAsia="bg-BG" w:bidi="bg-BG"/>
              </w:rPr>
              <w:t>ЕФРР</w:t>
            </w:r>
          </w:p>
        </w:tc>
        <w:tc>
          <w:tcPr>
            <w:tcW w:w="387" w:type="pct"/>
            <w:vAlign w:val="center"/>
          </w:tcPr>
          <w:p w14:paraId="40A0B97D" w14:textId="283AB207" w:rsidR="009F2C92" w:rsidRPr="002D728D" w:rsidRDefault="009F2C92" w:rsidP="00D80344">
            <w:pPr>
              <w:spacing w:before="120" w:after="120" w:line="240" w:lineRule="auto"/>
              <w:jc w:val="both"/>
              <w:rPr>
                <w:rFonts w:ascii="Times New Roman" w:hAnsi="Times New Roman"/>
                <w:iCs/>
                <w:noProof/>
                <w:sz w:val="14"/>
                <w:szCs w:val="14"/>
                <w:lang w:val="bg-BG" w:eastAsia="bg-BG" w:bidi="bg-BG"/>
              </w:rPr>
            </w:pPr>
            <w:r w:rsidRPr="002D728D">
              <w:rPr>
                <w:rFonts w:ascii="Times New Roman" w:hAnsi="Times New Roman"/>
                <w:iCs/>
                <w:noProof/>
                <w:sz w:val="14"/>
                <w:szCs w:val="14"/>
                <w:lang w:val="bg-BG" w:eastAsia="bg-BG" w:bidi="bg-BG"/>
              </w:rPr>
              <w:t>НП</w:t>
            </w:r>
          </w:p>
        </w:tc>
        <w:tc>
          <w:tcPr>
            <w:tcW w:w="420" w:type="pct"/>
            <w:vAlign w:val="center"/>
          </w:tcPr>
          <w:p w14:paraId="70F8D064" w14:textId="244F1A96"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Специфичен за програмата индикатор</w:t>
            </w:r>
          </w:p>
        </w:tc>
        <w:tc>
          <w:tcPr>
            <w:tcW w:w="415" w:type="pct"/>
            <w:shd w:val="clear" w:color="auto" w:fill="auto"/>
            <w:vAlign w:val="center"/>
          </w:tcPr>
          <w:p w14:paraId="145F8052" w14:textId="2030FE42" w:rsidR="009F2C92" w:rsidRPr="00171DED" w:rsidRDefault="00F0372F" w:rsidP="00D80344">
            <w:pPr>
              <w:spacing w:before="120" w:after="120" w:line="240" w:lineRule="auto"/>
              <w:jc w:val="both"/>
              <w:rPr>
                <w:rFonts w:ascii="Times New Roman" w:hAnsi="Times New Roman"/>
                <w:iCs/>
                <w:color w:val="FF0000"/>
                <w:sz w:val="14"/>
                <w:lang w:val="bg-BG"/>
              </w:rPr>
            </w:pPr>
            <w:r w:rsidRPr="00171DED">
              <w:rPr>
                <w:rFonts w:ascii="Times New Roman" w:hAnsi="Times New Roman"/>
                <w:noProof/>
                <w:sz w:val="16"/>
                <w:szCs w:val="16"/>
                <w:lang w:val="bg-BG" w:eastAsia="bg-BG" w:bidi="bg-BG"/>
              </w:rPr>
              <w:t>Мерки от НРПД, подкрепени по ПОС 2021-2027</w:t>
            </w:r>
          </w:p>
        </w:tc>
        <w:tc>
          <w:tcPr>
            <w:tcW w:w="329" w:type="pct"/>
            <w:vAlign w:val="center"/>
          </w:tcPr>
          <w:p w14:paraId="2ECA8429" w14:textId="682A740A" w:rsidR="009F2C92" w:rsidRPr="00171DED" w:rsidRDefault="009F2C92" w:rsidP="00D80344">
            <w:pPr>
              <w:spacing w:before="120" w:after="120" w:line="240" w:lineRule="auto"/>
              <w:jc w:val="both"/>
              <w:rPr>
                <w:rFonts w:ascii="Times New Roman" w:hAnsi="Times New Roman"/>
                <w:iCs/>
                <w:noProof/>
                <w:sz w:val="14"/>
                <w:szCs w:val="14"/>
                <w:lang w:val="bg-BG" w:eastAsia="bg-BG" w:bidi="bg-BG"/>
              </w:rPr>
            </w:pPr>
            <w:r w:rsidRPr="00171DED">
              <w:rPr>
                <w:rFonts w:ascii="Times New Roman" w:hAnsi="Times New Roman"/>
                <w:iCs/>
                <w:noProof/>
                <w:sz w:val="14"/>
                <w:szCs w:val="14"/>
                <w:lang w:val="bg-BG" w:eastAsia="bg-BG" w:bidi="bg-BG"/>
              </w:rPr>
              <w:t>Бр.</w:t>
            </w:r>
          </w:p>
        </w:tc>
        <w:tc>
          <w:tcPr>
            <w:tcW w:w="414" w:type="pct"/>
            <w:vAlign w:val="center"/>
          </w:tcPr>
          <w:p w14:paraId="2A3CDF7B" w14:textId="2EAC6D59" w:rsidR="009F2C92" w:rsidRPr="002D728D" w:rsidRDefault="009F2C92" w:rsidP="00D80344">
            <w:pPr>
              <w:spacing w:before="120" w:after="120" w:line="240" w:lineRule="auto"/>
              <w:jc w:val="both"/>
              <w:rPr>
                <w:rFonts w:ascii="Times New Roman" w:hAnsi="Times New Roman"/>
                <w:iCs/>
                <w:noProof/>
                <w:sz w:val="14"/>
                <w:szCs w:val="14"/>
                <w:lang w:val="bg-BG" w:eastAsia="bg-BG" w:bidi="bg-BG"/>
              </w:rPr>
            </w:pPr>
            <w:r w:rsidRPr="002D728D">
              <w:rPr>
                <w:rFonts w:ascii="Times New Roman" w:hAnsi="Times New Roman"/>
                <w:iCs/>
                <w:noProof/>
                <w:sz w:val="14"/>
                <w:szCs w:val="14"/>
                <w:lang w:val="bg-BG" w:eastAsia="bg-BG" w:bidi="bg-BG"/>
              </w:rPr>
              <w:t>0</w:t>
            </w:r>
          </w:p>
        </w:tc>
        <w:tc>
          <w:tcPr>
            <w:tcW w:w="417" w:type="pct"/>
            <w:vAlign w:val="center"/>
          </w:tcPr>
          <w:p w14:paraId="7C562934" w14:textId="3012143F" w:rsidR="009F2C92" w:rsidRPr="00171DED" w:rsidRDefault="009F2C92" w:rsidP="00D80344">
            <w:pPr>
              <w:spacing w:before="120" w:after="120" w:line="240" w:lineRule="auto"/>
              <w:jc w:val="both"/>
              <w:rPr>
                <w:rFonts w:ascii="Times New Roman" w:hAnsi="Times New Roman"/>
                <w:bCs/>
                <w:noProof/>
                <w:sz w:val="14"/>
                <w:szCs w:val="14"/>
                <w:lang w:val="bg-BG" w:eastAsia="bg-BG" w:bidi="bg-BG"/>
              </w:rPr>
            </w:pPr>
            <w:r w:rsidRPr="00171DED">
              <w:rPr>
                <w:rFonts w:ascii="Times New Roman" w:hAnsi="Times New Roman"/>
                <w:bCs/>
                <w:noProof/>
                <w:sz w:val="14"/>
                <w:szCs w:val="14"/>
                <w:lang w:val="bg-BG" w:eastAsia="bg-BG" w:bidi="bg-BG"/>
              </w:rPr>
              <w:t>2021</w:t>
            </w:r>
          </w:p>
        </w:tc>
        <w:tc>
          <w:tcPr>
            <w:tcW w:w="396" w:type="pct"/>
            <w:shd w:val="clear" w:color="auto" w:fill="auto"/>
            <w:vAlign w:val="center"/>
          </w:tcPr>
          <w:p w14:paraId="1077A096" w14:textId="1296E5D9" w:rsidR="009F2C92" w:rsidRPr="002D728D" w:rsidRDefault="00F0372F" w:rsidP="00D80344">
            <w:pPr>
              <w:spacing w:before="120" w:after="120" w:line="240" w:lineRule="auto"/>
              <w:jc w:val="both"/>
              <w:rPr>
                <w:rFonts w:ascii="Times New Roman" w:hAnsi="Times New Roman"/>
                <w:noProof/>
                <w:sz w:val="14"/>
                <w:szCs w:val="14"/>
                <w:lang w:val="bg-BG" w:eastAsia="bg-BG" w:bidi="bg-BG"/>
              </w:rPr>
            </w:pPr>
            <w:r w:rsidRPr="002D728D">
              <w:rPr>
                <w:rFonts w:ascii="Times New Roman" w:hAnsi="Times New Roman"/>
                <w:noProof/>
                <w:sz w:val="14"/>
                <w:szCs w:val="14"/>
                <w:lang w:val="bg-BG" w:eastAsia="bg-BG" w:bidi="bg-BG"/>
              </w:rPr>
              <w:t>40</w:t>
            </w:r>
          </w:p>
        </w:tc>
        <w:tc>
          <w:tcPr>
            <w:tcW w:w="369" w:type="pct"/>
            <w:shd w:val="clear" w:color="auto" w:fill="auto"/>
            <w:vAlign w:val="center"/>
          </w:tcPr>
          <w:p w14:paraId="4B2F2706" w14:textId="590D38C4"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Подкрепени проекти, УО на ОПОС</w:t>
            </w:r>
          </w:p>
          <w:p w14:paraId="58585529" w14:textId="77777777" w:rsidR="009F2C92" w:rsidRPr="00171DED" w:rsidRDefault="009F2C92" w:rsidP="00D80344">
            <w:pPr>
              <w:spacing w:before="120" w:after="120" w:line="480" w:lineRule="auto"/>
              <w:jc w:val="both"/>
              <w:rPr>
                <w:rFonts w:ascii="Times New Roman" w:hAnsi="Times New Roman"/>
                <w:noProof/>
                <w:sz w:val="16"/>
                <w:szCs w:val="16"/>
                <w:lang w:val="bg-BG" w:eastAsia="bg-BG" w:bidi="bg-BG"/>
              </w:rPr>
            </w:pPr>
          </w:p>
        </w:tc>
        <w:tc>
          <w:tcPr>
            <w:tcW w:w="401" w:type="pct"/>
            <w:vAlign w:val="center"/>
          </w:tcPr>
          <w:p w14:paraId="4FC7E85A" w14:textId="77777777" w:rsidR="009F2C92" w:rsidRPr="00171DED" w:rsidRDefault="009F2C92" w:rsidP="00D80344">
            <w:pPr>
              <w:spacing w:before="120" w:after="120" w:line="240" w:lineRule="auto"/>
              <w:jc w:val="both"/>
              <w:rPr>
                <w:rFonts w:ascii="Times New Roman" w:eastAsia="Calibri" w:hAnsi="Times New Roman" w:cs="Times New Roman"/>
                <w:i/>
                <w:noProof/>
                <w:sz w:val="14"/>
                <w:szCs w:val="14"/>
                <w:lang w:val="bg-BG" w:eastAsia="bg-BG" w:bidi="bg-BG"/>
              </w:rPr>
            </w:pPr>
          </w:p>
        </w:tc>
      </w:tr>
      <w:tr w:rsidR="009F2C92" w:rsidRPr="00171DED" w14:paraId="13B5E7F8" w14:textId="77777777" w:rsidTr="009F2C92">
        <w:trPr>
          <w:trHeight w:val="286"/>
        </w:trPr>
        <w:tc>
          <w:tcPr>
            <w:tcW w:w="548" w:type="pct"/>
          </w:tcPr>
          <w:p w14:paraId="696FB7D3"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649" w:type="pct"/>
          </w:tcPr>
          <w:p w14:paraId="7DEC0120"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255" w:type="pct"/>
          </w:tcPr>
          <w:p w14:paraId="61F422E8"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387" w:type="pct"/>
          </w:tcPr>
          <w:p w14:paraId="6DEC08E7" w14:textId="41FC6E54"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20" w:type="pct"/>
          </w:tcPr>
          <w:p w14:paraId="131E71F8" w14:textId="0C2164B6"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15" w:type="pct"/>
            <w:shd w:val="clear" w:color="auto" w:fill="auto"/>
          </w:tcPr>
          <w:p w14:paraId="1206E7E0" w14:textId="2F76FFBB"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329" w:type="pct"/>
          </w:tcPr>
          <w:p w14:paraId="2DFA395E" w14:textId="033D6EFF" w:rsidR="009F2C92" w:rsidRPr="00171DED" w:rsidRDefault="009F2C92" w:rsidP="00D80344">
            <w:pPr>
              <w:spacing w:before="120" w:after="120" w:line="240" w:lineRule="auto"/>
              <w:jc w:val="both"/>
              <w:rPr>
                <w:rFonts w:ascii="Times New Roman" w:hAnsi="Times New Roman"/>
                <w:iCs/>
                <w:noProof/>
                <w:sz w:val="14"/>
                <w:szCs w:val="14"/>
                <w:lang w:val="bg-BG" w:eastAsia="bg-BG" w:bidi="bg-BG"/>
              </w:rPr>
            </w:pPr>
          </w:p>
        </w:tc>
        <w:tc>
          <w:tcPr>
            <w:tcW w:w="414" w:type="pct"/>
          </w:tcPr>
          <w:p w14:paraId="73779F71" w14:textId="66D7D9BE"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17" w:type="pct"/>
          </w:tcPr>
          <w:p w14:paraId="4F2C9927" w14:textId="63FB9A4A" w:rsidR="009F2C92" w:rsidRPr="00171DED" w:rsidRDefault="009F2C92" w:rsidP="00D80344">
            <w:pPr>
              <w:spacing w:before="120" w:after="120" w:line="240" w:lineRule="auto"/>
              <w:jc w:val="both"/>
              <w:rPr>
                <w:rFonts w:ascii="Times New Roman" w:hAnsi="Times New Roman"/>
                <w:bCs/>
                <w:noProof/>
                <w:sz w:val="14"/>
                <w:szCs w:val="14"/>
                <w:lang w:val="bg-BG" w:eastAsia="bg-BG" w:bidi="bg-BG"/>
              </w:rPr>
            </w:pPr>
          </w:p>
        </w:tc>
        <w:tc>
          <w:tcPr>
            <w:tcW w:w="396" w:type="pct"/>
            <w:shd w:val="clear" w:color="auto" w:fill="auto"/>
          </w:tcPr>
          <w:p w14:paraId="7CFC449B" w14:textId="6E04FFCE"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p>
        </w:tc>
        <w:tc>
          <w:tcPr>
            <w:tcW w:w="369" w:type="pct"/>
            <w:shd w:val="clear" w:color="auto" w:fill="auto"/>
          </w:tcPr>
          <w:p w14:paraId="74E0ED89" w14:textId="77777777" w:rsidR="009F2C92" w:rsidRPr="00171DED" w:rsidRDefault="009F2C92" w:rsidP="00D80344">
            <w:pPr>
              <w:spacing w:before="120" w:after="120" w:line="480" w:lineRule="auto"/>
              <w:jc w:val="both"/>
              <w:rPr>
                <w:rFonts w:ascii="Times New Roman" w:hAnsi="Times New Roman"/>
                <w:noProof/>
                <w:sz w:val="16"/>
                <w:szCs w:val="16"/>
                <w:lang w:val="bg-BG" w:eastAsia="bg-BG" w:bidi="bg-BG"/>
              </w:rPr>
            </w:pPr>
          </w:p>
        </w:tc>
        <w:tc>
          <w:tcPr>
            <w:tcW w:w="401" w:type="pct"/>
          </w:tcPr>
          <w:p w14:paraId="74058B17" w14:textId="77777777" w:rsidR="009F2C92" w:rsidRPr="00171DED" w:rsidRDefault="009F2C92" w:rsidP="00D80344">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1628E998"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5627719B"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4"/>
        <w:tblW w:w="0" w:type="auto"/>
        <w:tblLook w:val="04A0" w:firstRow="1" w:lastRow="0" w:firstColumn="1" w:lastColumn="0" w:noHBand="0" w:noVBand="1"/>
      </w:tblPr>
      <w:tblGrid>
        <w:gridCol w:w="1527"/>
        <w:gridCol w:w="1064"/>
        <w:gridCol w:w="1311"/>
        <w:gridCol w:w="1903"/>
        <w:gridCol w:w="1742"/>
        <w:gridCol w:w="1515"/>
      </w:tblGrid>
      <w:tr w:rsidR="0022545E" w:rsidRPr="0010575B" w14:paraId="67FFD8A4" w14:textId="77777777" w:rsidTr="00385A61">
        <w:tc>
          <w:tcPr>
            <w:tcW w:w="9062" w:type="dxa"/>
            <w:gridSpan w:val="6"/>
          </w:tcPr>
          <w:p w14:paraId="423E383A"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4F9CFAD6" w14:textId="77777777" w:rsidTr="00385A61">
        <w:tc>
          <w:tcPr>
            <w:tcW w:w="1527" w:type="dxa"/>
          </w:tcPr>
          <w:p w14:paraId="5D270808"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lastRenderedPageBreak/>
              <w:t>Приоритет №</w:t>
            </w:r>
          </w:p>
        </w:tc>
        <w:tc>
          <w:tcPr>
            <w:tcW w:w="1064" w:type="dxa"/>
          </w:tcPr>
          <w:p w14:paraId="3D6C0FCB"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1" w:type="dxa"/>
          </w:tcPr>
          <w:p w14:paraId="75A6C65E"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1A150C5F"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42" w:type="dxa"/>
          </w:tcPr>
          <w:p w14:paraId="348854AE"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15" w:type="dxa"/>
          </w:tcPr>
          <w:p w14:paraId="6D256B94"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6060D4" w:rsidRPr="0010575B" w14:paraId="50379E3E" w14:textId="77777777" w:rsidTr="00B46ECE">
        <w:trPr>
          <w:trHeight w:val="699"/>
        </w:trPr>
        <w:tc>
          <w:tcPr>
            <w:tcW w:w="1527" w:type="dxa"/>
            <w:vMerge w:val="restart"/>
            <w:vAlign w:val="center"/>
          </w:tcPr>
          <w:p w14:paraId="113199ED" w14:textId="5B477B44" w:rsidR="006060D4" w:rsidRPr="00171DED" w:rsidRDefault="006060D4" w:rsidP="00D8034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1064" w:type="dxa"/>
            <w:vMerge w:val="restart"/>
            <w:vAlign w:val="center"/>
          </w:tcPr>
          <w:p w14:paraId="36EAD544" w14:textId="4F955366" w:rsidR="006060D4" w:rsidRPr="00171DED" w:rsidRDefault="006060D4" w:rsidP="00D8034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1" w:type="dxa"/>
            <w:vAlign w:val="center"/>
          </w:tcPr>
          <w:p w14:paraId="6A046612" w14:textId="0EAC1D16" w:rsidR="006060D4"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903" w:type="dxa"/>
            <w:vMerge w:val="restart"/>
            <w:vAlign w:val="center"/>
          </w:tcPr>
          <w:p w14:paraId="45CCAE9C" w14:textId="77777777" w:rsidR="006060D4" w:rsidRPr="00171DED" w:rsidRDefault="006060D4" w:rsidP="00AF70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742" w:type="dxa"/>
            <w:vMerge w:val="restart"/>
          </w:tcPr>
          <w:p w14:paraId="585369FE" w14:textId="2EAD4360" w:rsidR="006060D4" w:rsidRPr="00171DED" w:rsidRDefault="006060D4" w:rsidP="00AF7023">
            <w:pPr>
              <w:spacing w:before="120"/>
              <w:rPr>
                <w:rFonts w:ascii="Times New Roman" w:eastAsia="Times New Roman" w:hAnsi="Times New Roman" w:cs="Times New Roman"/>
                <w:iCs/>
                <w:noProof/>
                <w:sz w:val="20"/>
                <w:szCs w:val="24"/>
              </w:rPr>
            </w:pPr>
            <w:r w:rsidRPr="00171DED">
              <w:rPr>
                <w:rFonts w:ascii="Times New Roman" w:eastAsia="Times New Roman" w:hAnsi="Times New Roman" w:cs="Times New Roman"/>
                <w:iCs/>
                <w:noProof/>
                <w:sz w:val="20"/>
                <w:szCs w:val="24"/>
              </w:rPr>
              <w:t xml:space="preserve">049 Опазване, възстановяване и устойчиво използване на зони по „Натура 2000 </w:t>
            </w:r>
          </w:p>
        </w:tc>
        <w:tc>
          <w:tcPr>
            <w:tcW w:w="1515" w:type="dxa"/>
            <w:vAlign w:val="center"/>
          </w:tcPr>
          <w:p w14:paraId="13160E84" w14:textId="187BA8A0" w:rsidR="006060D4" w:rsidRPr="005E60BE" w:rsidRDefault="006060D4" w:rsidP="006060D4">
            <w:pPr>
              <w:spacing w:before="120" w:after="120"/>
              <w:rPr>
                <w:rFonts w:ascii="Times New Roman" w:eastAsia="Times New Roman" w:hAnsi="Times New Roman" w:cs="Times New Roman"/>
                <w:bCs/>
                <w:iCs/>
                <w:noProof/>
                <w:sz w:val="20"/>
                <w:szCs w:val="20"/>
              </w:rPr>
            </w:pPr>
            <w:r w:rsidRPr="005E60BE">
              <w:rPr>
                <w:rFonts w:ascii="Times New Roman" w:eastAsia="Times New Roman" w:hAnsi="Times New Roman" w:cs="Times New Roman"/>
                <w:bCs/>
                <w:iCs/>
                <w:noProof/>
                <w:sz w:val="20"/>
                <w:szCs w:val="20"/>
              </w:rPr>
              <w:t>11 317 870,00</w:t>
            </w:r>
          </w:p>
        </w:tc>
      </w:tr>
      <w:tr w:rsidR="006060D4" w:rsidRPr="00E66844" w14:paraId="5402FA40" w14:textId="77777777" w:rsidTr="00AF7023">
        <w:trPr>
          <w:trHeight w:val="750"/>
        </w:trPr>
        <w:tc>
          <w:tcPr>
            <w:tcW w:w="1527" w:type="dxa"/>
            <w:vMerge/>
            <w:vAlign w:val="center"/>
          </w:tcPr>
          <w:p w14:paraId="7FB52238" w14:textId="77777777" w:rsidR="006060D4" w:rsidRPr="00171DED" w:rsidRDefault="006060D4" w:rsidP="00584F2A">
            <w:pPr>
              <w:spacing w:before="120" w:after="120"/>
              <w:rPr>
                <w:rFonts w:ascii="Times New Roman" w:eastAsia="Times New Roman" w:hAnsi="Times New Roman" w:cs="Times New Roman"/>
                <w:bCs/>
                <w:iCs/>
                <w:noProof/>
                <w:sz w:val="20"/>
                <w:szCs w:val="20"/>
              </w:rPr>
            </w:pPr>
          </w:p>
        </w:tc>
        <w:tc>
          <w:tcPr>
            <w:tcW w:w="1064" w:type="dxa"/>
            <w:vMerge/>
            <w:vAlign w:val="center"/>
          </w:tcPr>
          <w:p w14:paraId="62EEC98F" w14:textId="77777777" w:rsidR="006060D4" w:rsidRPr="00171DED" w:rsidRDefault="006060D4" w:rsidP="00584F2A">
            <w:pPr>
              <w:spacing w:before="120" w:after="120"/>
              <w:rPr>
                <w:rFonts w:ascii="Times New Roman" w:eastAsia="Times New Roman" w:hAnsi="Times New Roman" w:cs="Times New Roman"/>
                <w:iCs/>
                <w:noProof/>
                <w:sz w:val="20"/>
                <w:szCs w:val="20"/>
              </w:rPr>
            </w:pPr>
          </w:p>
        </w:tc>
        <w:tc>
          <w:tcPr>
            <w:tcW w:w="1311" w:type="dxa"/>
            <w:vAlign w:val="center"/>
          </w:tcPr>
          <w:p w14:paraId="7DB75FAB" w14:textId="5198B13E" w:rsidR="00B46ECE"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903" w:type="dxa"/>
            <w:vMerge/>
            <w:vAlign w:val="center"/>
          </w:tcPr>
          <w:p w14:paraId="7EDE1276" w14:textId="77777777" w:rsidR="006060D4" w:rsidRPr="00171DED" w:rsidRDefault="006060D4" w:rsidP="00584F2A">
            <w:pPr>
              <w:spacing w:before="120" w:after="120"/>
              <w:rPr>
                <w:rFonts w:ascii="Times New Roman" w:eastAsia="Times New Roman" w:hAnsi="Times New Roman" w:cs="Times New Roman"/>
                <w:iCs/>
                <w:noProof/>
                <w:sz w:val="20"/>
                <w:szCs w:val="20"/>
              </w:rPr>
            </w:pPr>
          </w:p>
        </w:tc>
        <w:tc>
          <w:tcPr>
            <w:tcW w:w="1742" w:type="dxa"/>
            <w:vMerge/>
          </w:tcPr>
          <w:p w14:paraId="28773613" w14:textId="77777777" w:rsidR="006060D4" w:rsidRPr="00171DED" w:rsidRDefault="006060D4" w:rsidP="00584F2A">
            <w:pPr>
              <w:spacing w:before="120"/>
              <w:rPr>
                <w:rFonts w:ascii="Times New Roman" w:eastAsia="Times New Roman" w:hAnsi="Times New Roman" w:cs="Times New Roman"/>
                <w:iCs/>
                <w:noProof/>
                <w:sz w:val="20"/>
                <w:szCs w:val="24"/>
              </w:rPr>
            </w:pPr>
          </w:p>
        </w:tc>
        <w:tc>
          <w:tcPr>
            <w:tcW w:w="1515" w:type="dxa"/>
            <w:vAlign w:val="center"/>
          </w:tcPr>
          <w:p w14:paraId="00623E77" w14:textId="320D4D71" w:rsidR="006060D4" w:rsidRPr="005E60BE" w:rsidRDefault="006060D4" w:rsidP="00AF7023">
            <w:pPr>
              <w:spacing w:before="120" w:after="120"/>
              <w:rPr>
                <w:rFonts w:ascii="Times New Roman" w:eastAsia="Times New Roman" w:hAnsi="Times New Roman" w:cs="Times New Roman"/>
                <w:bCs/>
                <w:iCs/>
                <w:noProof/>
                <w:sz w:val="20"/>
                <w:szCs w:val="20"/>
              </w:rPr>
            </w:pPr>
            <w:r w:rsidRPr="005E60BE">
              <w:rPr>
                <w:rFonts w:ascii="Times New Roman" w:eastAsia="Times New Roman" w:hAnsi="Times New Roman" w:cs="Times New Roman"/>
                <w:bCs/>
                <w:iCs/>
                <w:noProof/>
                <w:sz w:val="20"/>
                <w:szCs w:val="20"/>
              </w:rPr>
              <w:t>75 742 670,00</w:t>
            </w:r>
          </w:p>
        </w:tc>
      </w:tr>
      <w:tr w:rsidR="006060D4" w:rsidRPr="0010575B" w14:paraId="646EAD2C" w14:textId="77777777" w:rsidTr="00AF7023">
        <w:trPr>
          <w:trHeight w:val="750"/>
        </w:trPr>
        <w:tc>
          <w:tcPr>
            <w:tcW w:w="1527" w:type="dxa"/>
            <w:vMerge/>
          </w:tcPr>
          <w:p w14:paraId="00BE8486" w14:textId="77777777" w:rsidR="006060D4" w:rsidRPr="00171DED" w:rsidRDefault="006060D4" w:rsidP="00584F2A">
            <w:pPr>
              <w:spacing w:before="120" w:after="120"/>
              <w:jc w:val="both"/>
              <w:rPr>
                <w:rFonts w:ascii="Times New Roman" w:eastAsia="Times New Roman" w:hAnsi="Times New Roman" w:cs="Times New Roman"/>
                <w:iCs/>
                <w:noProof/>
                <w:sz w:val="20"/>
                <w:szCs w:val="20"/>
              </w:rPr>
            </w:pPr>
          </w:p>
        </w:tc>
        <w:tc>
          <w:tcPr>
            <w:tcW w:w="1064" w:type="dxa"/>
            <w:vMerge/>
          </w:tcPr>
          <w:p w14:paraId="27EEAD8C" w14:textId="77777777" w:rsidR="006060D4" w:rsidRPr="00171DED" w:rsidRDefault="006060D4" w:rsidP="00584F2A">
            <w:pPr>
              <w:spacing w:before="120" w:after="120"/>
              <w:jc w:val="both"/>
              <w:rPr>
                <w:rFonts w:ascii="Times New Roman" w:eastAsia="Times New Roman" w:hAnsi="Times New Roman" w:cs="Times New Roman"/>
                <w:b/>
                <w:iCs/>
                <w:noProof/>
                <w:sz w:val="20"/>
                <w:szCs w:val="20"/>
              </w:rPr>
            </w:pPr>
          </w:p>
        </w:tc>
        <w:tc>
          <w:tcPr>
            <w:tcW w:w="1311" w:type="dxa"/>
            <w:vAlign w:val="center"/>
          </w:tcPr>
          <w:p w14:paraId="0A84956D" w14:textId="35652933" w:rsidR="006060D4"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903" w:type="dxa"/>
            <w:vMerge/>
          </w:tcPr>
          <w:p w14:paraId="1B65331B" w14:textId="77777777" w:rsidR="006060D4" w:rsidRPr="00171DED" w:rsidRDefault="006060D4" w:rsidP="00584F2A">
            <w:pPr>
              <w:spacing w:before="120" w:after="120"/>
              <w:rPr>
                <w:rFonts w:ascii="Times New Roman" w:eastAsia="Times New Roman" w:hAnsi="Times New Roman" w:cs="Times New Roman"/>
                <w:b/>
                <w:iCs/>
                <w:noProof/>
                <w:sz w:val="20"/>
                <w:szCs w:val="20"/>
              </w:rPr>
            </w:pPr>
          </w:p>
        </w:tc>
        <w:tc>
          <w:tcPr>
            <w:tcW w:w="1742" w:type="dxa"/>
            <w:vMerge w:val="restart"/>
          </w:tcPr>
          <w:p w14:paraId="33A4749E" w14:textId="6B5ADDA6" w:rsidR="006060D4" w:rsidRPr="00171DED" w:rsidRDefault="006060D4" w:rsidP="00AF7023">
            <w:pPr>
              <w:spacing w:before="120"/>
              <w:rPr>
                <w:rFonts w:ascii="Times New Roman" w:eastAsia="Times New Roman" w:hAnsi="Times New Roman" w:cs="Times New Roman"/>
                <w:iCs/>
                <w:noProof/>
                <w:sz w:val="20"/>
                <w:szCs w:val="24"/>
              </w:rPr>
            </w:pPr>
            <w:r w:rsidRPr="00171DED">
              <w:rPr>
                <w:rFonts w:ascii="Times New Roman" w:eastAsia="Times New Roman" w:hAnsi="Times New Roman" w:cs="Times New Roman"/>
                <w:iCs/>
                <w:noProof/>
                <w:sz w:val="20"/>
                <w:szCs w:val="24"/>
              </w:rPr>
              <w:t>050</w:t>
            </w:r>
            <w:r w:rsidRPr="00171DED">
              <w:rPr>
                <w:rFonts w:ascii="Times New Roman" w:eastAsia="Times New Roman" w:hAnsi="Times New Roman" w:cs="Times New Roman"/>
                <w:iCs/>
                <w:noProof/>
                <w:sz w:val="20"/>
                <w:szCs w:val="24"/>
              </w:rPr>
              <w:tab/>
              <w:t>Опазване на природата и биологичното разнообразие, екологосъобразна инфраструктура</w:t>
            </w:r>
          </w:p>
        </w:tc>
        <w:tc>
          <w:tcPr>
            <w:tcW w:w="1515" w:type="dxa"/>
            <w:vAlign w:val="center"/>
          </w:tcPr>
          <w:p w14:paraId="471AA668" w14:textId="6F4F78E7" w:rsidR="006060D4" w:rsidRPr="005E60BE" w:rsidRDefault="006060D4" w:rsidP="006060D4">
            <w:pPr>
              <w:spacing w:before="120" w:after="120"/>
              <w:rPr>
                <w:rFonts w:ascii="Times New Roman" w:eastAsia="Times New Roman" w:hAnsi="Times New Roman" w:cs="Times New Roman"/>
                <w:b/>
                <w:iCs/>
                <w:noProof/>
                <w:sz w:val="20"/>
                <w:szCs w:val="20"/>
              </w:rPr>
            </w:pPr>
            <w:r w:rsidRPr="005E60BE">
              <w:rPr>
                <w:rFonts w:ascii="Times New Roman" w:hAnsi="Times New Roman" w:cs="Times New Roman"/>
                <w:sz w:val="20"/>
                <w:szCs w:val="20"/>
              </w:rPr>
              <w:t>1 300 000,00</w:t>
            </w:r>
          </w:p>
        </w:tc>
      </w:tr>
      <w:tr w:rsidR="006060D4" w:rsidRPr="00E66844" w14:paraId="12B83ABB" w14:textId="77777777" w:rsidTr="00AF7023">
        <w:trPr>
          <w:trHeight w:val="750"/>
        </w:trPr>
        <w:tc>
          <w:tcPr>
            <w:tcW w:w="1527" w:type="dxa"/>
            <w:vMerge/>
          </w:tcPr>
          <w:p w14:paraId="0C3C997E" w14:textId="77777777" w:rsidR="006060D4" w:rsidRPr="00171DED" w:rsidRDefault="006060D4" w:rsidP="00584F2A">
            <w:pPr>
              <w:spacing w:before="120" w:after="120"/>
              <w:jc w:val="both"/>
              <w:rPr>
                <w:rFonts w:ascii="Times New Roman" w:eastAsia="Times New Roman" w:hAnsi="Times New Roman" w:cs="Times New Roman"/>
                <w:iCs/>
                <w:noProof/>
                <w:sz w:val="20"/>
                <w:szCs w:val="20"/>
              </w:rPr>
            </w:pPr>
          </w:p>
        </w:tc>
        <w:tc>
          <w:tcPr>
            <w:tcW w:w="1064" w:type="dxa"/>
            <w:vMerge/>
          </w:tcPr>
          <w:p w14:paraId="0BD92DC6" w14:textId="77777777" w:rsidR="006060D4" w:rsidRPr="00171DED" w:rsidRDefault="006060D4" w:rsidP="00584F2A">
            <w:pPr>
              <w:spacing w:before="120" w:after="120"/>
              <w:jc w:val="both"/>
              <w:rPr>
                <w:rFonts w:ascii="Times New Roman" w:eastAsia="Times New Roman" w:hAnsi="Times New Roman" w:cs="Times New Roman"/>
                <w:b/>
                <w:iCs/>
                <w:noProof/>
                <w:sz w:val="20"/>
                <w:szCs w:val="20"/>
              </w:rPr>
            </w:pPr>
          </w:p>
        </w:tc>
        <w:tc>
          <w:tcPr>
            <w:tcW w:w="1311" w:type="dxa"/>
            <w:vAlign w:val="center"/>
          </w:tcPr>
          <w:p w14:paraId="25BDC4D8" w14:textId="2C737D16" w:rsidR="006060D4"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903" w:type="dxa"/>
            <w:vMerge/>
          </w:tcPr>
          <w:p w14:paraId="7C3569FB" w14:textId="77777777" w:rsidR="006060D4" w:rsidRPr="00171DED" w:rsidRDefault="006060D4" w:rsidP="00584F2A">
            <w:pPr>
              <w:spacing w:before="120" w:after="120"/>
              <w:jc w:val="both"/>
              <w:rPr>
                <w:rFonts w:ascii="Times New Roman" w:eastAsia="Times New Roman" w:hAnsi="Times New Roman" w:cs="Times New Roman"/>
                <w:b/>
                <w:iCs/>
                <w:noProof/>
                <w:sz w:val="20"/>
                <w:szCs w:val="20"/>
              </w:rPr>
            </w:pPr>
          </w:p>
        </w:tc>
        <w:tc>
          <w:tcPr>
            <w:tcW w:w="1742" w:type="dxa"/>
            <w:vMerge/>
          </w:tcPr>
          <w:p w14:paraId="282FC862" w14:textId="77777777" w:rsidR="006060D4" w:rsidRPr="00171DED" w:rsidRDefault="006060D4" w:rsidP="00584F2A">
            <w:pPr>
              <w:spacing w:before="120"/>
              <w:jc w:val="both"/>
              <w:rPr>
                <w:rFonts w:ascii="Times New Roman" w:eastAsia="Times New Roman" w:hAnsi="Times New Roman" w:cs="Times New Roman"/>
                <w:iCs/>
                <w:noProof/>
                <w:sz w:val="20"/>
                <w:szCs w:val="24"/>
              </w:rPr>
            </w:pPr>
          </w:p>
        </w:tc>
        <w:tc>
          <w:tcPr>
            <w:tcW w:w="1515" w:type="dxa"/>
            <w:vAlign w:val="center"/>
          </w:tcPr>
          <w:p w14:paraId="4C27175D" w14:textId="56DE2855" w:rsidR="006060D4" w:rsidRPr="005E60BE" w:rsidRDefault="006060D4" w:rsidP="00AF7023">
            <w:pPr>
              <w:spacing w:before="120" w:after="120"/>
              <w:rPr>
                <w:rFonts w:ascii="Times New Roman" w:eastAsia="Times New Roman" w:hAnsi="Times New Roman" w:cs="Times New Roman"/>
                <w:b/>
                <w:iCs/>
                <w:noProof/>
                <w:sz w:val="20"/>
                <w:szCs w:val="20"/>
              </w:rPr>
            </w:pPr>
            <w:r w:rsidRPr="005E60BE">
              <w:rPr>
                <w:rFonts w:ascii="Times New Roman" w:hAnsi="Times New Roman" w:cs="Times New Roman"/>
                <w:sz w:val="20"/>
                <w:szCs w:val="20"/>
              </w:rPr>
              <w:t>8 700 000,00</w:t>
            </w:r>
          </w:p>
        </w:tc>
      </w:tr>
    </w:tbl>
    <w:p w14:paraId="04F65AC9" w14:textId="77777777" w:rsidR="005F333C" w:rsidRPr="00171DED" w:rsidRDefault="005F333C" w:rsidP="005F333C">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28"/>
        <w:gridCol w:w="1110"/>
        <w:gridCol w:w="1312"/>
        <w:gridCol w:w="1903"/>
        <w:gridCol w:w="1690"/>
        <w:gridCol w:w="1519"/>
      </w:tblGrid>
      <w:tr w:rsidR="0022545E" w:rsidRPr="0010575B" w14:paraId="43762E41" w14:textId="77777777" w:rsidTr="007D63BF">
        <w:tc>
          <w:tcPr>
            <w:tcW w:w="9062" w:type="dxa"/>
            <w:gridSpan w:val="6"/>
          </w:tcPr>
          <w:p w14:paraId="7A0596C6"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7329C76C" w14:textId="77777777" w:rsidTr="00D87934">
        <w:tc>
          <w:tcPr>
            <w:tcW w:w="1528" w:type="dxa"/>
          </w:tcPr>
          <w:p w14:paraId="27D94510"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10" w:type="dxa"/>
          </w:tcPr>
          <w:p w14:paraId="553B3B4C"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2" w:type="dxa"/>
          </w:tcPr>
          <w:p w14:paraId="5C5EAD32"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37274828"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690" w:type="dxa"/>
          </w:tcPr>
          <w:p w14:paraId="7907FD12"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19" w:type="dxa"/>
          </w:tcPr>
          <w:p w14:paraId="428493E0"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17F3A" w:rsidRPr="00171DED" w14:paraId="24BD9E70" w14:textId="77777777" w:rsidTr="0006474C">
        <w:trPr>
          <w:trHeight w:val="902"/>
        </w:trPr>
        <w:tc>
          <w:tcPr>
            <w:tcW w:w="1528" w:type="dxa"/>
            <w:vMerge w:val="restart"/>
            <w:vAlign w:val="center"/>
          </w:tcPr>
          <w:p w14:paraId="044AA4F5" w14:textId="7630C179" w:rsidR="00C17F3A" w:rsidRPr="00171DED" w:rsidRDefault="00C17F3A" w:rsidP="00C17F3A">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1110" w:type="dxa"/>
            <w:vMerge w:val="restart"/>
            <w:vAlign w:val="center"/>
          </w:tcPr>
          <w:p w14:paraId="3EA6F138" w14:textId="47FE931D" w:rsidR="00C17F3A" w:rsidRPr="00171DED" w:rsidRDefault="00C17F3A" w:rsidP="00C17F3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2" w:type="dxa"/>
            <w:vAlign w:val="center"/>
          </w:tcPr>
          <w:p w14:paraId="2580BD40" w14:textId="64122E14" w:rsidR="00C17F3A" w:rsidRPr="00E9010F" w:rsidRDefault="00C17F3A" w:rsidP="00B46ECE">
            <w:r w:rsidRPr="00E9010F">
              <w:rPr>
                <w:rFonts w:ascii="Times New Roman" w:eastAsia="Times New Roman" w:hAnsi="Times New Roman" w:cs="Times New Roman"/>
                <w:iCs/>
                <w:noProof/>
                <w:sz w:val="20"/>
                <w:szCs w:val="20"/>
              </w:rPr>
              <w:t>Преход</w:t>
            </w:r>
          </w:p>
        </w:tc>
        <w:tc>
          <w:tcPr>
            <w:tcW w:w="1903" w:type="dxa"/>
            <w:vMerge w:val="restart"/>
            <w:vAlign w:val="center"/>
          </w:tcPr>
          <w:p w14:paraId="56E8F3CD"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690" w:type="dxa"/>
            <w:vMerge w:val="restart"/>
            <w:vAlign w:val="center"/>
          </w:tcPr>
          <w:p w14:paraId="4F779393"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p w14:paraId="41DDD81D" w14:textId="261A536F"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76B8A5CD" w14:textId="6B1BAE36" w:rsidR="00C17F3A" w:rsidRPr="00C17F3A" w:rsidRDefault="00C17F3A" w:rsidP="00C17F3A">
            <w:pPr>
              <w:spacing w:before="120" w:after="120"/>
              <w:rPr>
                <w:rFonts w:ascii="Times New Roman" w:eastAsia="Times New Roman" w:hAnsi="Times New Roman" w:cs="Times New Roman"/>
                <w:b/>
                <w:iCs/>
                <w:noProof/>
                <w:sz w:val="20"/>
                <w:szCs w:val="20"/>
              </w:rPr>
            </w:pPr>
            <w:r w:rsidRPr="00C17F3A">
              <w:rPr>
                <w:rFonts w:ascii="Times New Roman" w:hAnsi="Times New Roman" w:cs="Times New Roman"/>
                <w:sz w:val="20"/>
                <w:szCs w:val="20"/>
              </w:rPr>
              <w:t>10 635 172,00</w:t>
            </w:r>
          </w:p>
        </w:tc>
      </w:tr>
      <w:tr w:rsidR="00C17F3A" w:rsidRPr="00171DED" w14:paraId="5F1836D2" w14:textId="77777777" w:rsidTr="0006474C">
        <w:trPr>
          <w:trHeight w:val="1115"/>
        </w:trPr>
        <w:tc>
          <w:tcPr>
            <w:tcW w:w="1528" w:type="dxa"/>
            <w:vMerge/>
            <w:tcBorders>
              <w:bottom w:val="single" w:sz="4" w:space="0" w:color="auto"/>
            </w:tcBorders>
            <w:vAlign w:val="center"/>
          </w:tcPr>
          <w:p w14:paraId="7699DA8B" w14:textId="77777777" w:rsidR="00C17F3A" w:rsidRPr="00171DED" w:rsidRDefault="00C17F3A" w:rsidP="00C17F3A">
            <w:pPr>
              <w:spacing w:before="120" w:after="120"/>
              <w:rPr>
                <w:rFonts w:ascii="Times New Roman" w:eastAsia="Times New Roman" w:hAnsi="Times New Roman" w:cs="Times New Roman"/>
                <w:bCs/>
                <w:iCs/>
                <w:noProof/>
                <w:sz w:val="20"/>
                <w:szCs w:val="20"/>
              </w:rPr>
            </w:pPr>
          </w:p>
        </w:tc>
        <w:tc>
          <w:tcPr>
            <w:tcW w:w="1110" w:type="dxa"/>
            <w:vMerge/>
            <w:tcBorders>
              <w:bottom w:val="single" w:sz="4" w:space="0" w:color="auto"/>
            </w:tcBorders>
            <w:vAlign w:val="center"/>
          </w:tcPr>
          <w:p w14:paraId="07620E6B" w14:textId="77777777" w:rsidR="00C17F3A" w:rsidRPr="00171DED" w:rsidRDefault="00C17F3A" w:rsidP="00C17F3A">
            <w:pPr>
              <w:spacing w:before="120" w:after="120"/>
              <w:rPr>
                <w:rFonts w:ascii="Times New Roman" w:eastAsia="Times New Roman" w:hAnsi="Times New Roman" w:cs="Times New Roman"/>
                <w:iCs/>
                <w:noProof/>
                <w:sz w:val="20"/>
                <w:szCs w:val="20"/>
              </w:rPr>
            </w:pPr>
          </w:p>
        </w:tc>
        <w:tc>
          <w:tcPr>
            <w:tcW w:w="1312" w:type="dxa"/>
            <w:tcBorders>
              <w:bottom w:val="single" w:sz="4" w:space="0" w:color="auto"/>
            </w:tcBorders>
            <w:vAlign w:val="center"/>
          </w:tcPr>
          <w:p w14:paraId="57CFE587" w14:textId="3670802F" w:rsidR="00C17F3A" w:rsidRPr="00E9010F" w:rsidDel="0003429C" w:rsidRDefault="00C17F3A" w:rsidP="00B46ECE">
            <w:pPr>
              <w:rPr>
                <w:rFonts w:ascii="Times New Roman" w:eastAsia="Times New Roman" w:hAnsi="Times New Roman" w:cs="Times New Roman"/>
                <w:iCs/>
                <w:noProof/>
                <w:sz w:val="20"/>
                <w:szCs w:val="20"/>
              </w:rPr>
            </w:pPr>
            <w:r w:rsidRPr="00E9010F">
              <w:rPr>
                <w:rFonts w:ascii="Times New Roman" w:eastAsia="Times New Roman" w:hAnsi="Times New Roman" w:cs="Times New Roman"/>
                <w:iCs/>
                <w:noProof/>
                <w:sz w:val="20"/>
                <w:szCs w:val="20"/>
              </w:rPr>
              <w:t>По-слабо развити региони</w:t>
            </w:r>
          </w:p>
        </w:tc>
        <w:tc>
          <w:tcPr>
            <w:tcW w:w="1903" w:type="dxa"/>
            <w:vMerge/>
            <w:tcBorders>
              <w:bottom w:val="single" w:sz="4" w:space="0" w:color="auto"/>
            </w:tcBorders>
            <w:vAlign w:val="center"/>
          </w:tcPr>
          <w:p w14:paraId="5DA550E5"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690" w:type="dxa"/>
            <w:vMerge/>
            <w:vAlign w:val="center"/>
          </w:tcPr>
          <w:p w14:paraId="2A1D4DC4"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413D133F" w14:textId="1FF731A6" w:rsidR="00C17F3A" w:rsidRPr="00C17F3A" w:rsidRDefault="00C17F3A" w:rsidP="00C17F3A">
            <w:pPr>
              <w:spacing w:before="120" w:after="120"/>
              <w:rPr>
                <w:rFonts w:ascii="Times New Roman" w:eastAsia="Times New Roman" w:hAnsi="Times New Roman" w:cs="Times New Roman"/>
                <w:b/>
                <w:iCs/>
                <w:noProof/>
                <w:sz w:val="20"/>
                <w:szCs w:val="20"/>
              </w:rPr>
            </w:pPr>
            <w:r w:rsidRPr="00C17F3A">
              <w:rPr>
                <w:rFonts w:ascii="Times New Roman" w:hAnsi="Times New Roman" w:cs="Times New Roman"/>
                <w:sz w:val="20"/>
                <w:szCs w:val="20"/>
              </w:rPr>
              <w:t>86 425 368,00</w:t>
            </w:r>
          </w:p>
        </w:tc>
      </w:tr>
    </w:tbl>
    <w:p w14:paraId="0542797A"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pPr w:leftFromText="141" w:rightFromText="141" w:vertAnchor="text" w:tblpXSpec="center" w:tblpY="1"/>
        <w:tblOverlap w:val="never"/>
        <w:tblW w:w="0" w:type="auto"/>
        <w:tblLook w:val="04A0" w:firstRow="1" w:lastRow="0" w:firstColumn="1" w:lastColumn="0" w:noHBand="0" w:noVBand="1"/>
      </w:tblPr>
      <w:tblGrid>
        <w:gridCol w:w="1574"/>
        <w:gridCol w:w="1274"/>
        <w:gridCol w:w="1391"/>
        <w:gridCol w:w="1903"/>
        <w:gridCol w:w="973"/>
        <w:gridCol w:w="1947"/>
      </w:tblGrid>
      <w:tr w:rsidR="0022545E" w:rsidRPr="0010575B" w14:paraId="0C007F18" w14:textId="77777777" w:rsidTr="00AE251C">
        <w:tc>
          <w:tcPr>
            <w:tcW w:w="9062" w:type="dxa"/>
            <w:gridSpan w:val="6"/>
          </w:tcPr>
          <w:p w14:paraId="623AFCC8"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1543F460" w14:textId="77777777" w:rsidTr="00AE251C">
        <w:tc>
          <w:tcPr>
            <w:tcW w:w="1574" w:type="dxa"/>
          </w:tcPr>
          <w:p w14:paraId="0A18678E"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274" w:type="dxa"/>
          </w:tcPr>
          <w:p w14:paraId="65497006"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91" w:type="dxa"/>
          </w:tcPr>
          <w:p w14:paraId="4D5B9449"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4D5482E5"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73" w:type="dxa"/>
          </w:tcPr>
          <w:p w14:paraId="3E2E64E2"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947" w:type="dxa"/>
          </w:tcPr>
          <w:p w14:paraId="14E0F5D7"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B2C99" w:rsidRPr="00171DED" w14:paraId="1650E404" w14:textId="77777777" w:rsidTr="00B46ECE">
        <w:trPr>
          <w:trHeight w:val="360"/>
        </w:trPr>
        <w:tc>
          <w:tcPr>
            <w:tcW w:w="1574" w:type="dxa"/>
            <w:vMerge w:val="restart"/>
            <w:vAlign w:val="center"/>
          </w:tcPr>
          <w:p w14:paraId="6699537D" w14:textId="6D00BBFB" w:rsidR="00FB2C99" w:rsidRPr="00FB2C99" w:rsidRDefault="00FB2C99" w:rsidP="00AE251C">
            <w:pPr>
              <w:spacing w:before="120" w:after="120"/>
              <w:jc w:val="both"/>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1274" w:type="dxa"/>
            <w:vMerge w:val="restart"/>
            <w:vAlign w:val="center"/>
          </w:tcPr>
          <w:p w14:paraId="2324D7AD" w14:textId="5AFF948D" w:rsidR="00FB2C99" w:rsidRPr="00171DED" w:rsidRDefault="00FB2C99" w:rsidP="00AE251C">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91" w:type="dxa"/>
            <w:vAlign w:val="center"/>
          </w:tcPr>
          <w:p w14:paraId="5772C596" w14:textId="062A6F2E" w:rsidR="00FB2C99" w:rsidRPr="00762E89" w:rsidRDefault="00FB2C99" w:rsidP="00B46ECE">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903" w:type="dxa"/>
            <w:vMerge w:val="restart"/>
            <w:vAlign w:val="center"/>
          </w:tcPr>
          <w:p w14:paraId="6912FF1B" w14:textId="77777777" w:rsidR="00FB2C99" w:rsidRPr="00171DED" w:rsidRDefault="00FB2C99" w:rsidP="00B46EC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3" w:type="dxa"/>
            <w:vMerge w:val="restart"/>
            <w:vAlign w:val="center"/>
          </w:tcPr>
          <w:p w14:paraId="18D19311" w14:textId="377B4F8F" w:rsidR="00FB2C99" w:rsidRPr="00171DED" w:rsidRDefault="00FB2C99" w:rsidP="00DD5A8D">
            <w:pPr>
              <w:spacing w:before="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17</w:t>
            </w:r>
          </w:p>
        </w:tc>
        <w:tc>
          <w:tcPr>
            <w:tcW w:w="1947" w:type="dxa"/>
            <w:vAlign w:val="center"/>
          </w:tcPr>
          <w:p w14:paraId="3B03A800" w14:textId="62731D2F"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sz w:val="20"/>
                <w:szCs w:val="20"/>
              </w:rPr>
              <w:t>2 204 930,00</w:t>
            </w:r>
          </w:p>
        </w:tc>
      </w:tr>
      <w:tr w:rsidR="00FB2C99" w:rsidRPr="00171DED" w14:paraId="2A6290EA" w14:textId="77777777" w:rsidTr="00B46ECE">
        <w:trPr>
          <w:trHeight w:val="922"/>
        </w:trPr>
        <w:tc>
          <w:tcPr>
            <w:tcW w:w="1574" w:type="dxa"/>
            <w:vMerge/>
            <w:vAlign w:val="center"/>
          </w:tcPr>
          <w:p w14:paraId="08C5E36E"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2AB29B0D"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20F2FC05" w14:textId="44312557" w:rsidR="00FB2C99" w:rsidRPr="00171DED" w:rsidRDefault="00FB2C99" w:rsidP="00B46ECE">
            <w:pPr>
              <w:spacing w:before="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24BB0B6F"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36B25CF8" w14:textId="6A469C2A" w:rsidR="00FB2C99" w:rsidRPr="00171DED" w:rsidRDefault="00FB2C99" w:rsidP="00584F2A">
            <w:pPr>
              <w:spacing w:before="120" w:after="120"/>
              <w:rPr>
                <w:rFonts w:ascii="Times New Roman" w:eastAsia="Times New Roman" w:hAnsi="Times New Roman" w:cs="Times New Roman"/>
                <w:iCs/>
                <w:noProof/>
                <w:sz w:val="20"/>
                <w:szCs w:val="20"/>
              </w:rPr>
            </w:pPr>
          </w:p>
        </w:tc>
        <w:tc>
          <w:tcPr>
            <w:tcW w:w="1947" w:type="dxa"/>
            <w:vAlign w:val="center"/>
          </w:tcPr>
          <w:p w14:paraId="73A5600C" w14:textId="753390C1"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sz w:val="20"/>
                <w:szCs w:val="20"/>
              </w:rPr>
              <w:t>17 918 085,00</w:t>
            </w:r>
          </w:p>
        </w:tc>
      </w:tr>
      <w:tr w:rsidR="00FB2C99" w:rsidRPr="00171DED" w14:paraId="669FAFF4" w14:textId="77777777" w:rsidTr="00B46ECE">
        <w:trPr>
          <w:trHeight w:val="478"/>
        </w:trPr>
        <w:tc>
          <w:tcPr>
            <w:tcW w:w="1574" w:type="dxa"/>
            <w:vMerge/>
            <w:vAlign w:val="center"/>
          </w:tcPr>
          <w:p w14:paraId="3931710A"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38CA4C19"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43D62F27" w14:textId="60F813E0" w:rsidR="00FB2C99" w:rsidRPr="00760DD9" w:rsidRDefault="00FB2C99" w:rsidP="00B46ECE">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903" w:type="dxa"/>
            <w:vMerge/>
            <w:vAlign w:val="center"/>
          </w:tcPr>
          <w:p w14:paraId="0ADBBD5E"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restart"/>
            <w:vAlign w:val="center"/>
          </w:tcPr>
          <w:p w14:paraId="2AFC7C97" w14:textId="65D1CAF2" w:rsidR="00FB2C99" w:rsidRPr="00171DED" w:rsidRDefault="00FB2C99" w:rsidP="00DD5A8D">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27</w:t>
            </w:r>
          </w:p>
        </w:tc>
        <w:tc>
          <w:tcPr>
            <w:tcW w:w="1947" w:type="dxa"/>
            <w:vAlign w:val="center"/>
          </w:tcPr>
          <w:p w14:paraId="33448499" w14:textId="7698918D"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1 605 240,00</w:t>
            </w:r>
          </w:p>
        </w:tc>
      </w:tr>
      <w:tr w:rsidR="00FB2C99" w:rsidRPr="00171DED" w14:paraId="3F449582" w14:textId="77777777" w:rsidTr="00B46ECE">
        <w:trPr>
          <w:trHeight w:val="922"/>
        </w:trPr>
        <w:tc>
          <w:tcPr>
            <w:tcW w:w="1574" w:type="dxa"/>
            <w:vMerge/>
            <w:vAlign w:val="center"/>
          </w:tcPr>
          <w:p w14:paraId="63DA04E6"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3DFAE96F"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5DDA2728" w14:textId="55669CC9" w:rsidR="00FB2C99" w:rsidRPr="00171DED" w:rsidRDefault="00FB2C99" w:rsidP="00B46ECE">
            <w:pPr>
              <w:spacing w:before="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151D0F96"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16EBB01B" w14:textId="79057E58" w:rsidR="00FB2C99" w:rsidRPr="00171DED" w:rsidRDefault="00FB2C99" w:rsidP="00584F2A">
            <w:pPr>
              <w:spacing w:before="120" w:after="120"/>
              <w:rPr>
                <w:rFonts w:ascii="Times New Roman" w:eastAsia="Times New Roman" w:hAnsi="Times New Roman" w:cs="Times New Roman"/>
                <w:iCs/>
                <w:noProof/>
                <w:sz w:val="20"/>
                <w:szCs w:val="20"/>
              </w:rPr>
            </w:pPr>
          </w:p>
        </w:tc>
        <w:tc>
          <w:tcPr>
            <w:tcW w:w="1947" w:type="dxa"/>
            <w:vAlign w:val="center"/>
          </w:tcPr>
          <w:p w14:paraId="6ACFC1A4" w14:textId="5614CCDA"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13 044 780,00</w:t>
            </w:r>
          </w:p>
        </w:tc>
      </w:tr>
      <w:tr w:rsidR="00FB2C99" w:rsidRPr="00171DED" w14:paraId="6EED9E86" w14:textId="77777777" w:rsidTr="00B46ECE">
        <w:trPr>
          <w:trHeight w:val="468"/>
        </w:trPr>
        <w:tc>
          <w:tcPr>
            <w:tcW w:w="1574" w:type="dxa"/>
            <w:vMerge/>
            <w:vAlign w:val="center"/>
          </w:tcPr>
          <w:p w14:paraId="3BB74266"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007B0D9D" w14:textId="77777777" w:rsidR="00FB2C99" w:rsidRPr="00171DED" w:rsidRDefault="00FB2C99" w:rsidP="00AE251C">
            <w:pPr>
              <w:spacing w:before="120"/>
              <w:jc w:val="center"/>
              <w:rPr>
                <w:rFonts w:ascii="Times New Roman" w:eastAsia="Times New Roman" w:hAnsi="Times New Roman" w:cs="Times New Roman"/>
                <w:iCs/>
                <w:noProof/>
                <w:sz w:val="20"/>
                <w:szCs w:val="20"/>
              </w:rPr>
            </w:pPr>
          </w:p>
        </w:tc>
        <w:tc>
          <w:tcPr>
            <w:tcW w:w="1391" w:type="dxa"/>
            <w:vAlign w:val="center"/>
          </w:tcPr>
          <w:p w14:paraId="0BC5E940" w14:textId="0CDD05CF" w:rsidR="00FB2C99" w:rsidRPr="00760DD9" w:rsidRDefault="00FB2C99" w:rsidP="00B46ECE">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903" w:type="dxa"/>
            <w:vMerge/>
            <w:vAlign w:val="center"/>
          </w:tcPr>
          <w:p w14:paraId="4291EBFB"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restart"/>
            <w:vAlign w:val="center"/>
          </w:tcPr>
          <w:p w14:paraId="7316D635" w14:textId="3EC2EE12" w:rsidR="00FB2C99" w:rsidRPr="00171DED" w:rsidRDefault="00FB2C99" w:rsidP="00DD5A8D">
            <w:pPr>
              <w:spacing w:before="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48</w:t>
            </w:r>
          </w:p>
        </w:tc>
        <w:tc>
          <w:tcPr>
            <w:tcW w:w="1947" w:type="dxa"/>
            <w:vAlign w:val="center"/>
          </w:tcPr>
          <w:p w14:paraId="4E24A57D" w14:textId="2E0F1C4C"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6 825 002,00</w:t>
            </w:r>
          </w:p>
        </w:tc>
      </w:tr>
      <w:tr w:rsidR="00FB2C99" w:rsidRPr="00171DED" w14:paraId="14EA7AD0" w14:textId="77777777" w:rsidTr="00B46ECE">
        <w:trPr>
          <w:trHeight w:val="922"/>
        </w:trPr>
        <w:tc>
          <w:tcPr>
            <w:tcW w:w="1574" w:type="dxa"/>
            <w:vMerge/>
            <w:vAlign w:val="center"/>
          </w:tcPr>
          <w:p w14:paraId="69EB45F4" w14:textId="77777777" w:rsidR="00FB2C99" w:rsidRPr="00171DED" w:rsidRDefault="00FB2C99" w:rsidP="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01E7A0B9" w14:textId="77777777" w:rsidR="00FB2C99" w:rsidRPr="00171DED" w:rsidRDefault="00FB2C99" w:rsidP="00FB2C99">
            <w:pPr>
              <w:spacing w:before="120" w:after="120"/>
              <w:jc w:val="both"/>
              <w:rPr>
                <w:rFonts w:ascii="Times New Roman" w:eastAsia="Times New Roman" w:hAnsi="Times New Roman" w:cs="Times New Roman"/>
                <w:iCs/>
                <w:noProof/>
                <w:sz w:val="20"/>
                <w:szCs w:val="20"/>
              </w:rPr>
            </w:pPr>
          </w:p>
        </w:tc>
        <w:tc>
          <w:tcPr>
            <w:tcW w:w="1391" w:type="dxa"/>
            <w:vAlign w:val="center"/>
          </w:tcPr>
          <w:p w14:paraId="2E0D8F15" w14:textId="6B6252DD" w:rsidR="00FB2C99" w:rsidRPr="00171DED" w:rsidRDefault="00FB2C99" w:rsidP="00B46ECE">
            <w:pPr>
              <w:spacing w:before="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5936E31C" w14:textId="77777777" w:rsidR="00FB2C99" w:rsidRPr="00171DED" w:rsidRDefault="00FB2C99" w:rsidP="00FB2C99">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29B388C8" w14:textId="020CC3DF" w:rsidR="00FB2C99" w:rsidRPr="00171DED" w:rsidRDefault="00FB2C99" w:rsidP="00FB2C99">
            <w:pPr>
              <w:spacing w:before="120" w:after="120"/>
              <w:jc w:val="both"/>
              <w:rPr>
                <w:rFonts w:ascii="Times New Roman" w:eastAsia="Times New Roman" w:hAnsi="Times New Roman" w:cs="Times New Roman"/>
                <w:iCs/>
                <w:noProof/>
                <w:sz w:val="20"/>
                <w:szCs w:val="20"/>
              </w:rPr>
            </w:pPr>
          </w:p>
        </w:tc>
        <w:tc>
          <w:tcPr>
            <w:tcW w:w="1947" w:type="dxa"/>
            <w:vAlign w:val="center"/>
          </w:tcPr>
          <w:p w14:paraId="679331CD" w14:textId="14BD5C44" w:rsidR="00FB2C99" w:rsidRPr="00AE251C" w:rsidRDefault="00FB2C99" w:rsidP="00FB2C99">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55 462 503,00</w:t>
            </w:r>
          </w:p>
        </w:tc>
      </w:tr>
    </w:tbl>
    <w:p w14:paraId="7301A6AA"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01"/>
        <w:gridCol w:w="1435"/>
        <w:gridCol w:w="1435"/>
        <w:gridCol w:w="1520"/>
        <w:gridCol w:w="1435"/>
        <w:gridCol w:w="1736"/>
      </w:tblGrid>
      <w:tr w:rsidR="0022545E" w:rsidRPr="0010575B" w14:paraId="0A4BCD84" w14:textId="77777777" w:rsidTr="008E042E">
        <w:tc>
          <w:tcPr>
            <w:tcW w:w="9288" w:type="dxa"/>
            <w:gridSpan w:val="6"/>
          </w:tcPr>
          <w:p w14:paraId="2163BCB9"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71AA1D62" w14:textId="77777777" w:rsidTr="008E042E">
        <w:tc>
          <w:tcPr>
            <w:tcW w:w="1599" w:type="dxa"/>
          </w:tcPr>
          <w:p w14:paraId="1917FF4C"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48A9BEE1"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330CA763"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077E5F27"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16151B02"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42B9EC46"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36008098" w14:textId="77777777" w:rsidTr="008E042E">
        <w:tc>
          <w:tcPr>
            <w:tcW w:w="1599" w:type="dxa"/>
          </w:tcPr>
          <w:p w14:paraId="26361E48"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384" w:type="dxa"/>
          </w:tcPr>
          <w:p w14:paraId="0534765E"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3" w:type="dxa"/>
          </w:tcPr>
          <w:p w14:paraId="48ADAF31"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644" w:type="dxa"/>
          </w:tcPr>
          <w:p w14:paraId="4A26C9BC"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053" w:type="dxa"/>
          </w:tcPr>
          <w:p w14:paraId="4D161075"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75" w:type="dxa"/>
          </w:tcPr>
          <w:p w14:paraId="62822634"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p w14:paraId="1CF2B614" w14:textId="77777777" w:rsidR="00BA209C" w:rsidRDefault="00BA209C"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BA209C" w:rsidRPr="00E40AF9" w14:paraId="3B52D6CE" w14:textId="77777777" w:rsidTr="00E9010F">
        <w:trPr>
          <w:trHeight w:val="408"/>
        </w:trPr>
        <w:tc>
          <w:tcPr>
            <w:tcW w:w="9067" w:type="dxa"/>
            <w:gridSpan w:val="6"/>
            <w:vMerge w:val="restart"/>
            <w:shd w:val="clear" w:color="000000" w:fill="FFFFFF"/>
            <w:vAlign w:val="center"/>
          </w:tcPr>
          <w:p w14:paraId="16BBBD1E" w14:textId="77777777" w:rsidR="00BA209C" w:rsidRPr="00C1390E" w:rsidRDefault="00BA209C"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p>
        </w:tc>
      </w:tr>
      <w:tr w:rsidR="00BA209C" w:rsidRPr="00E40AF9" w14:paraId="5BB16FEB" w14:textId="77777777" w:rsidTr="00E9010F">
        <w:trPr>
          <w:trHeight w:val="230"/>
        </w:trPr>
        <w:tc>
          <w:tcPr>
            <w:tcW w:w="9067" w:type="dxa"/>
            <w:gridSpan w:val="6"/>
            <w:vMerge/>
            <w:vAlign w:val="center"/>
          </w:tcPr>
          <w:p w14:paraId="74076B6F" w14:textId="77777777" w:rsidR="00BA209C" w:rsidRPr="00C1390E" w:rsidRDefault="00BA209C" w:rsidP="00E9010F">
            <w:pPr>
              <w:spacing w:after="0" w:line="240" w:lineRule="auto"/>
              <w:rPr>
                <w:rFonts w:ascii="Times New Roman" w:eastAsia="Times New Roman" w:hAnsi="Times New Roman" w:cs="Times New Roman"/>
                <w:b/>
                <w:bCs/>
                <w:sz w:val="20"/>
                <w:szCs w:val="20"/>
                <w:lang w:eastAsia="bg-BG"/>
              </w:rPr>
            </w:pPr>
          </w:p>
        </w:tc>
      </w:tr>
      <w:tr w:rsidR="00BA209C" w:rsidRPr="00E40AF9" w14:paraId="24E109D5" w14:textId="77777777" w:rsidTr="00BA209C">
        <w:trPr>
          <w:trHeight w:val="315"/>
        </w:trPr>
        <w:tc>
          <w:tcPr>
            <w:tcW w:w="1781" w:type="dxa"/>
            <w:vAlign w:val="center"/>
          </w:tcPr>
          <w:p w14:paraId="411F681B"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798" w:type="dxa"/>
            <w:vAlign w:val="center"/>
          </w:tcPr>
          <w:p w14:paraId="6CE9B690"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1340" w:type="dxa"/>
            <w:vAlign w:val="center"/>
          </w:tcPr>
          <w:p w14:paraId="5D0D9B96"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827" w:type="dxa"/>
            <w:vAlign w:val="center"/>
          </w:tcPr>
          <w:p w14:paraId="6E16AB45"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1771" w:type="dxa"/>
            <w:vAlign w:val="center"/>
          </w:tcPr>
          <w:p w14:paraId="76B577D7"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p>
        </w:tc>
        <w:tc>
          <w:tcPr>
            <w:tcW w:w="1550" w:type="dxa"/>
            <w:vAlign w:val="center"/>
          </w:tcPr>
          <w:p w14:paraId="2AC36406"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BA209C" w:rsidRPr="00E40AF9" w14:paraId="44C07F46" w14:textId="77777777" w:rsidTr="00BA209C">
        <w:trPr>
          <w:trHeight w:val="844"/>
        </w:trPr>
        <w:tc>
          <w:tcPr>
            <w:tcW w:w="1781" w:type="dxa"/>
            <w:vMerge w:val="restart"/>
            <w:shd w:val="clear" w:color="000000" w:fill="FFFFFF"/>
            <w:vAlign w:val="center"/>
            <w:hideMark/>
          </w:tcPr>
          <w:p w14:paraId="6842E713" w14:textId="10E0F4A2"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3</w:t>
            </w:r>
            <w:r w:rsidRPr="00C1390E">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val="bg-BG" w:eastAsia="bg-BG"/>
              </w:rPr>
              <w:t>Биоразнообразие</w:t>
            </w:r>
            <w:r w:rsidRPr="00C1390E">
              <w:rPr>
                <w:rFonts w:ascii="Times New Roman" w:eastAsia="Times New Roman" w:hAnsi="Times New Roman" w:cs="Times New Roman"/>
                <w:color w:val="000000"/>
                <w:sz w:val="20"/>
                <w:szCs w:val="20"/>
                <w:lang w:eastAsia="bg-BG"/>
              </w:rPr>
              <w:t>“</w:t>
            </w:r>
          </w:p>
        </w:tc>
        <w:tc>
          <w:tcPr>
            <w:tcW w:w="798" w:type="dxa"/>
            <w:vMerge w:val="restart"/>
            <w:shd w:val="clear" w:color="auto" w:fill="auto"/>
            <w:vAlign w:val="center"/>
            <w:hideMark/>
          </w:tcPr>
          <w:p w14:paraId="69A7B4AB" w14:textId="75EF7D02" w:rsidR="00BA209C" w:rsidRPr="00C1390E" w:rsidRDefault="00BA209C" w:rsidP="00BA209C">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1340" w:type="dxa"/>
            <w:shd w:val="clear" w:color="auto" w:fill="auto"/>
            <w:vAlign w:val="center"/>
            <w:hideMark/>
          </w:tcPr>
          <w:p w14:paraId="61CAEC1F"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827" w:type="dxa"/>
            <w:vMerge w:val="restart"/>
            <w:shd w:val="clear" w:color="auto" w:fill="auto"/>
            <w:vAlign w:val="center"/>
            <w:hideMark/>
          </w:tcPr>
          <w:p w14:paraId="40D13F99" w14:textId="568BA158"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w:t>
            </w:r>
            <w:proofErr w:type="spellStart"/>
            <w:r w:rsidRPr="00171DED">
              <w:rPr>
                <w:rFonts w:ascii="Times New Roman" w:eastAsia="Times New Roman" w:hAnsi="Times New Roman" w:cs="Times New Roman"/>
                <w:iCs/>
                <w:noProof/>
                <w:sz w:val="20"/>
                <w:szCs w:val="20"/>
              </w:rPr>
              <w:t>Засилване</w:t>
            </w:r>
            <w:proofErr w:type="spellEnd"/>
            <w:r w:rsidRPr="00171DED">
              <w:rPr>
                <w:rFonts w:ascii="Times New Roman" w:eastAsia="Times New Roman" w:hAnsi="Times New Roman" w:cs="Times New Roman"/>
                <w:iCs/>
                <w:noProof/>
                <w:sz w:val="20"/>
                <w:szCs w:val="20"/>
              </w:rPr>
              <w:t xml:space="preserve"> на биоразнообразието, “зелената” инфраструктура в градската среда, както и намаляване на замърсяването</w:t>
            </w:r>
            <w:r w:rsidRPr="00C1390E">
              <w:rPr>
                <w:rFonts w:ascii="Times New Roman" w:eastAsia="Times New Roman" w:hAnsi="Times New Roman" w:cs="Times New Roman"/>
                <w:color w:val="000000"/>
                <w:sz w:val="20"/>
                <w:szCs w:val="20"/>
                <w:lang w:eastAsia="bg-BG"/>
              </w:rPr>
              <w:t>”</w:t>
            </w:r>
          </w:p>
        </w:tc>
        <w:tc>
          <w:tcPr>
            <w:tcW w:w="1771" w:type="dxa"/>
            <w:vMerge w:val="restart"/>
            <w:shd w:val="clear" w:color="auto" w:fill="auto"/>
            <w:vAlign w:val="center"/>
            <w:hideMark/>
          </w:tcPr>
          <w:p w14:paraId="36819E5C"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25A4F7BB" w14:textId="3F71F0A4" w:rsidR="00BA209C" w:rsidRPr="00C1390E" w:rsidRDefault="00BA209C" w:rsidP="00BA209C">
            <w:pPr>
              <w:spacing w:after="0" w:line="240" w:lineRule="auto"/>
              <w:jc w:val="both"/>
              <w:rPr>
                <w:rFonts w:ascii="Times New Roman" w:eastAsia="Times New Roman" w:hAnsi="Times New Roman" w:cs="Times New Roman"/>
                <w:color w:val="000000"/>
                <w:sz w:val="20"/>
                <w:szCs w:val="20"/>
                <w:lang w:eastAsia="bg-BG"/>
              </w:rPr>
            </w:pPr>
            <w:r w:rsidRPr="00BA209C">
              <w:rPr>
                <w:rFonts w:ascii="Times New Roman" w:hAnsi="Times New Roman" w:cs="Times New Roman"/>
                <w:color w:val="000000"/>
                <w:sz w:val="20"/>
                <w:szCs w:val="20"/>
              </w:rPr>
              <w:t>10 635 172,00</w:t>
            </w:r>
          </w:p>
        </w:tc>
      </w:tr>
      <w:tr w:rsidR="00BA209C" w:rsidRPr="00E40AF9" w14:paraId="6B0712DE" w14:textId="77777777" w:rsidTr="00BA209C">
        <w:trPr>
          <w:trHeight w:val="615"/>
        </w:trPr>
        <w:tc>
          <w:tcPr>
            <w:tcW w:w="1781" w:type="dxa"/>
            <w:vMerge/>
            <w:vAlign w:val="center"/>
            <w:hideMark/>
          </w:tcPr>
          <w:p w14:paraId="27DF7F11"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441A7276"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5A5F70D"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827" w:type="dxa"/>
            <w:vMerge/>
            <w:vAlign w:val="center"/>
            <w:hideMark/>
          </w:tcPr>
          <w:p w14:paraId="0B0393EE"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234EBBA6"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1E818CE6" w14:textId="11299F5E" w:rsidR="00BA209C" w:rsidRPr="00C1390E" w:rsidRDefault="00BA209C" w:rsidP="00BA209C">
            <w:pPr>
              <w:spacing w:after="0" w:line="240" w:lineRule="auto"/>
              <w:jc w:val="both"/>
              <w:rPr>
                <w:rFonts w:ascii="Times New Roman" w:eastAsia="Times New Roman" w:hAnsi="Times New Roman" w:cs="Times New Roman"/>
                <w:color w:val="000000"/>
                <w:sz w:val="20"/>
                <w:szCs w:val="20"/>
                <w:lang w:eastAsia="bg-BG"/>
              </w:rPr>
            </w:pPr>
            <w:r w:rsidRPr="00BA209C">
              <w:rPr>
                <w:rFonts w:ascii="Times New Roman" w:hAnsi="Times New Roman" w:cs="Times New Roman"/>
                <w:color w:val="000000"/>
                <w:sz w:val="20"/>
                <w:szCs w:val="20"/>
              </w:rPr>
              <w:t>86 425 368,00</w:t>
            </w:r>
          </w:p>
        </w:tc>
      </w:tr>
    </w:tbl>
    <w:p w14:paraId="7B3A638B" w14:textId="77777777" w:rsidR="00BA209C" w:rsidRDefault="00BA209C"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4C5209AE" w14:textId="263FDE28"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024A367A"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41886C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6BF6D9A1"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807F0E4"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63B16153"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6EF88CB"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4E5F8CD7"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42AAFDAE"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3"/>
      </w:r>
    </w:p>
    <w:p w14:paraId="34D2D36E"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5878BBE8" w14:textId="336252F2"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3403BB" w:rsidRDefault="00287366" w:rsidP="00380438">
      <w:pPr>
        <w:spacing w:before="240" w:after="240" w:line="240" w:lineRule="auto"/>
        <w:jc w:val="both"/>
        <w:rPr>
          <w:rFonts w:ascii="Times New Roman" w:eastAsia="Calibri" w:hAnsi="Times New Roman" w:cs="Times New Roman"/>
          <w:b/>
          <w:bCs/>
          <w:noProof/>
          <w:sz w:val="24"/>
          <w:szCs w:val="20"/>
          <w:lang w:val="bg-BG" w:eastAsia="bg-BG" w:bidi="bg-BG"/>
        </w:rPr>
      </w:pPr>
      <w:r w:rsidRPr="003403BB">
        <w:rPr>
          <w:rFonts w:ascii="Times New Roman" w:eastAsia="Calibri" w:hAnsi="Times New Roman" w:cs="Times New Roman"/>
          <w:b/>
          <w:bCs/>
          <w:noProof/>
          <w:sz w:val="24"/>
          <w:szCs w:val="20"/>
          <w:lang w:val="bg-BG" w:eastAsia="bg-BG" w:bidi="bg-BG"/>
        </w:rPr>
        <w:t>Приоритет 4 „Риск и изменение на климата“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2CB6D866" w14:textId="77777777" w:rsidTr="008E042E">
        <w:tc>
          <w:tcPr>
            <w:tcW w:w="9322" w:type="dxa"/>
          </w:tcPr>
          <w:p w14:paraId="2ACD9AC2" w14:textId="12FFEFCC"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5F3F3A1C" w14:textId="77777777" w:rsidTr="008E042E">
        <w:tc>
          <w:tcPr>
            <w:tcW w:w="9322" w:type="dxa"/>
          </w:tcPr>
          <w:p w14:paraId="7D988550"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3415AF6B" w14:textId="77777777" w:rsidTr="008E042E">
        <w:tc>
          <w:tcPr>
            <w:tcW w:w="9322" w:type="dxa"/>
          </w:tcPr>
          <w:p w14:paraId="17A51B51"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3596E25C" w14:textId="77777777" w:rsidTr="008E042E">
        <w:tc>
          <w:tcPr>
            <w:tcW w:w="9322" w:type="dxa"/>
          </w:tcPr>
          <w:p w14:paraId="3EF7702A" w14:textId="2A728741"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lastRenderedPageBreak/>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насочен към </w:t>
            </w:r>
            <w:r w:rsidR="002E2B64"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171DED" w14:paraId="18FB0784" w14:textId="77777777" w:rsidTr="008E042E">
        <w:tc>
          <w:tcPr>
            <w:tcW w:w="9322" w:type="dxa"/>
          </w:tcPr>
          <w:p w14:paraId="3CCCD458" w14:textId="2504362F" w:rsidR="00250902" w:rsidRPr="00171DED" w:rsidRDefault="00250902" w:rsidP="00380438">
            <w:pPr>
              <w:spacing w:after="0" w:line="240" w:lineRule="auto"/>
              <w:jc w:val="both"/>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7876BADC"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7DEB8926"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4FF96121" w14:textId="054D9797" w:rsidR="00046144" w:rsidRPr="00171DED" w:rsidRDefault="00380438" w:rsidP="00046144">
      <w:pPr>
        <w:widowControl w:val="0"/>
        <w:shd w:val="clear" w:color="auto" w:fill="FFFFFF"/>
        <w:spacing w:after="240" w:line="240" w:lineRule="auto"/>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2D0FFF3D" w14:textId="15AF48E8" w:rsidR="00380438" w:rsidRPr="00171DED"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171DED">
        <w:rPr>
          <w:rFonts w:ascii="Times New Roman" w:eastAsia="Times New Roman" w:hAnsi="Times New Roman"/>
          <w:bCs/>
          <w:sz w:val="24"/>
          <w:lang w:val="bg-BG"/>
        </w:rPr>
        <w:t xml:space="preserve"> Специфична цел: </w:t>
      </w:r>
      <w:r w:rsidR="003403BB">
        <w:rPr>
          <w:rFonts w:ascii="Times New Roman" w:eastAsia="Times New Roman" w:hAnsi="Times New Roman"/>
          <w:bCs/>
          <w:sz w:val="24"/>
          <w:lang w:val="bg-BG"/>
        </w:rPr>
        <w:t>„</w:t>
      </w:r>
      <w:r w:rsidRPr="00171DED">
        <w:rPr>
          <w:rFonts w:ascii="Times New Roman" w:eastAsia="Times New Roman" w:hAnsi="Times New Roman"/>
          <w:bCs/>
          <w:sz w:val="24"/>
          <w:lang w:val="bg-BG"/>
        </w:rPr>
        <w:t>Насърчаване на адаптирането към изменението на климата, на предотвратяването и управлението на риска”.</w:t>
      </w:r>
    </w:p>
    <w:p w14:paraId="59BF8F3D"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24E70D53" w14:textId="75B001AE" w:rsidR="00380438" w:rsidRPr="00171DED"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056133" w:rsidRPr="00171DED">
        <w:rPr>
          <w:lang w:val="bg-BG"/>
        </w:rPr>
        <w:t xml:space="preserve"> </w:t>
      </w:r>
      <w:r w:rsidR="00056133" w:rsidRPr="00171DED">
        <w:rPr>
          <w:rFonts w:ascii="Times New Roman" w:eastAsia="Calibri" w:hAnsi="Times New Roman" w:cs="Times New Roman"/>
          <w:i/>
          <w:noProof/>
          <w:sz w:val="24"/>
          <w:szCs w:val="20"/>
          <w:lang w:val="bg-BG" w:eastAsia="bg-BG" w:bidi="bg-BG"/>
        </w:rPr>
        <w:t>iiia)</w:t>
      </w:r>
      <w:r w:rsidRPr="00171DED">
        <w:rPr>
          <w:rFonts w:ascii="Times New Roman" w:eastAsia="Calibri" w:hAnsi="Times New Roman" w:cs="Times New Roman"/>
          <w:i/>
          <w:noProof/>
          <w:sz w:val="24"/>
          <w:szCs w:val="20"/>
          <w:lang w:val="bg-BG" w:eastAsia="bg-BG" w:bidi="bg-BG"/>
        </w:rPr>
        <w:t xml:space="preserve"> iv) v) vi)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4EF6EDC9" w14:textId="7641D8CD"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Ind w:w="-147" w:type="dxa"/>
        <w:tblLook w:val="04A0" w:firstRow="1" w:lastRow="0" w:firstColumn="1" w:lastColumn="0" w:noHBand="0" w:noVBand="1"/>
      </w:tblPr>
      <w:tblGrid>
        <w:gridCol w:w="9209"/>
      </w:tblGrid>
      <w:tr w:rsidR="00380438" w:rsidRPr="0010575B" w14:paraId="4C0B546E" w14:textId="77777777" w:rsidTr="00AE7F4F">
        <w:tc>
          <w:tcPr>
            <w:tcW w:w="9209" w:type="dxa"/>
          </w:tcPr>
          <w:p w14:paraId="720D208B" w14:textId="50EF4877" w:rsidR="00380438" w:rsidRPr="00171DED" w:rsidRDefault="00380438" w:rsidP="00D8675E">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FA0037"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4ECC8E14" w14:textId="2FD69CD0" w:rsidR="00342B8B" w:rsidRPr="00171DED" w:rsidRDefault="00342B8B" w:rsidP="0048098A">
            <w:pPr>
              <w:pStyle w:val="ListParagraph"/>
              <w:tabs>
                <w:tab w:val="left" w:pos="300"/>
              </w:tabs>
              <w:spacing w:before="120" w:after="120"/>
              <w:ind w:left="28"/>
              <w:jc w:val="both"/>
              <w:rPr>
                <w:rFonts w:ascii="Times New Roman" w:eastAsia="Calibri" w:hAnsi="Times New Roman" w:cs="Times New Roman"/>
                <w:iCs/>
                <w:noProof/>
                <w:sz w:val="24"/>
                <w:szCs w:val="20"/>
                <w:lang w:eastAsia="en-US" w:bidi="ar-SA"/>
              </w:rPr>
            </w:pPr>
            <w:r w:rsidRPr="00171DED">
              <w:rPr>
                <w:rFonts w:ascii="Times New Roman" w:hAnsi="Times New Roman" w:cs="Times New Roman"/>
                <w:sz w:val="24"/>
                <w:szCs w:val="24"/>
              </w:rPr>
              <w:t xml:space="preserve">Във връзка с </w:t>
            </w:r>
            <w:r w:rsidRPr="00171DED">
              <w:rPr>
                <w:rFonts w:ascii="Times New Roman" w:eastAsia="Calibri" w:hAnsi="Times New Roman" w:cs="Times New Roman"/>
                <w:iCs/>
                <w:sz w:val="24"/>
                <w:szCs w:val="20"/>
              </w:rPr>
              <w:t>идентифицирания</w:t>
            </w:r>
            <w:r w:rsidRPr="00171DED">
              <w:rPr>
                <w:rFonts w:ascii="Times New Roman" w:hAnsi="Times New Roman" w:cs="Times New Roman"/>
                <w:sz w:val="24"/>
                <w:szCs w:val="24"/>
              </w:rPr>
              <w:t xml:space="preserve"> разширен обхват на заплахите от природни бедствия и стратегическите цели на национално ниво, </w:t>
            </w:r>
            <w:r w:rsidR="000B3B67" w:rsidRPr="00171DED">
              <w:rPr>
                <w:rFonts w:ascii="Times New Roman" w:hAnsi="Times New Roman" w:cs="Times New Roman"/>
                <w:sz w:val="24"/>
                <w:szCs w:val="24"/>
              </w:rPr>
              <w:t>допустими са следните мерки</w:t>
            </w:r>
            <w:r w:rsidRPr="00171DED">
              <w:rPr>
                <w:rFonts w:ascii="Times New Roman" w:hAnsi="Times New Roman" w:cs="Times New Roman"/>
                <w:sz w:val="24"/>
                <w:szCs w:val="24"/>
              </w:rPr>
              <w:t>:</w:t>
            </w:r>
          </w:p>
          <w:p w14:paraId="110E06F5" w14:textId="1D544025" w:rsidR="00C457A9" w:rsidRPr="00D84A63" w:rsidRDefault="00C457A9" w:rsidP="00D84A63">
            <w:pPr>
              <w:pStyle w:val="ListParagraph"/>
              <w:numPr>
                <w:ilvl w:val="0"/>
                <w:numId w:val="58"/>
              </w:numPr>
              <w:spacing w:before="120" w:after="120"/>
              <w:jc w:val="both"/>
              <w:rPr>
                <w:rFonts w:ascii="Times New Roman" w:eastAsia="Calibri" w:hAnsi="Times New Roman" w:cs="Times New Roman"/>
                <w:iCs/>
                <w:noProof/>
                <w:sz w:val="24"/>
                <w:szCs w:val="20"/>
              </w:rPr>
            </w:pPr>
            <w:r w:rsidRPr="00D84A63">
              <w:rPr>
                <w:rFonts w:ascii="Times New Roman" w:eastAsia="Calibri" w:hAnsi="Times New Roman" w:cs="Times New Roman"/>
                <w:iCs/>
                <w:noProof/>
                <w:sz w:val="24"/>
                <w:szCs w:val="20"/>
              </w:rPr>
              <w:t>Мерки за превенция и управление на риска от наводнения</w:t>
            </w:r>
            <w:r w:rsidR="00570E68" w:rsidRPr="00D84A63">
              <w:rPr>
                <w:rFonts w:ascii="Times New Roman" w:eastAsia="Calibri" w:hAnsi="Times New Roman" w:cs="Times New Roman"/>
                <w:iCs/>
                <w:noProof/>
                <w:sz w:val="24"/>
                <w:szCs w:val="20"/>
              </w:rPr>
              <w:t xml:space="preserve"> и</w:t>
            </w:r>
            <w:r w:rsidR="0032577F" w:rsidRPr="00D84A63">
              <w:rPr>
                <w:rFonts w:ascii="Times New Roman" w:eastAsia="Calibri" w:hAnsi="Times New Roman" w:cs="Times New Roman"/>
                <w:iCs/>
                <w:noProof/>
                <w:sz w:val="24"/>
                <w:szCs w:val="20"/>
              </w:rPr>
              <w:t xml:space="preserve"> </w:t>
            </w:r>
            <w:r w:rsidR="00570E68" w:rsidRPr="00D84A63">
              <w:rPr>
                <w:rFonts w:ascii="Times New Roman" w:eastAsia="Calibri" w:hAnsi="Times New Roman" w:cs="Times New Roman"/>
                <w:iCs/>
                <w:noProof/>
                <w:sz w:val="24"/>
                <w:szCs w:val="20"/>
              </w:rPr>
              <w:t>засушаване</w:t>
            </w:r>
            <w:r w:rsidRPr="00D84A63">
              <w:rPr>
                <w:rFonts w:ascii="Times New Roman" w:eastAsia="Calibri" w:hAnsi="Times New Roman" w:cs="Times New Roman"/>
                <w:iCs/>
                <w:noProof/>
                <w:sz w:val="24"/>
                <w:szCs w:val="20"/>
              </w:rPr>
              <w:t xml:space="preserve"> (</w:t>
            </w:r>
            <w:r w:rsidR="00CA70FB" w:rsidRPr="00D84A63">
              <w:rPr>
                <w:rFonts w:ascii="Times New Roman" w:eastAsia="Calibri" w:hAnsi="Times New Roman" w:cs="Times New Roman"/>
                <w:iCs/>
                <w:noProof/>
                <w:sz w:val="24"/>
                <w:szCs w:val="20"/>
              </w:rPr>
              <w:t>с приоритет</w:t>
            </w:r>
            <w:r w:rsidRPr="00D84A63">
              <w:rPr>
                <w:rFonts w:ascii="Times New Roman" w:eastAsia="Calibri" w:hAnsi="Times New Roman" w:cs="Times New Roman"/>
                <w:iCs/>
                <w:noProof/>
                <w:sz w:val="24"/>
                <w:szCs w:val="20"/>
              </w:rPr>
              <w:t xml:space="preserve"> екологосъобразна инфраструктура (ако е приложимо) в комбинация със сива инфраструктура)</w:t>
            </w:r>
            <w:r w:rsidR="003E6C61" w:rsidRPr="00735374">
              <w:rPr>
                <w:rFonts w:ascii="Times New Roman" w:eastAsia="Calibri" w:hAnsi="Times New Roman" w:cs="Times New Roman"/>
                <w:iCs/>
                <w:noProof/>
                <w:sz w:val="24"/>
                <w:szCs w:val="20"/>
              </w:rPr>
              <w:t>,</w:t>
            </w:r>
            <w:r w:rsidR="00CA70FB" w:rsidRPr="00D84A63">
              <w:rPr>
                <w:rFonts w:ascii="Times New Roman" w:eastAsia="Calibri" w:hAnsi="Times New Roman" w:cs="Times New Roman"/>
                <w:iCs/>
                <w:noProof/>
                <w:sz w:val="24"/>
                <w:szCs w:val="20"/>
              </w:rPr>
              <w:t xml:space="preserve"> като се дава приоритет на изпълнението на мерките, идентифицирани в ПУРН</w:t>
            </w:r>
            <w:r w:rsidR="00F2730D">
              <w:rPr>
                <w:rFonts w:ascii="Times New Roman" w:eastAsia="Calibri" w:hAnsi="Times New Roman" w:cs="Times New Roman"/>
                <w:iCs/>
                <w:noProof/>
                <w:sz w:val="24"/>
                <w:szCs w:val="20"/>
              </w:rPr>
              <w:t>.</w:t>
            </w:r>
          </w:p>
          <w:p w14:paraId="6F42E769" w14:textId="659E16B4" w:rsidR="00CA70FB" w:rsidRPr="00171DED" w:rsidRDefault="00CA70FB" w:rsidP="00D8675E">
            <w:pPr>
              <w:pStyle w:val="ListParagraph"/>
              <w:tabs>
                <w:tab w:val="left" w:pos="300"/>
              </w:tabs>
              <w:ind w:left="29"/>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Трябва да се </w:t>
            </w:r>
            <w:r w:rsidRPr="00171DED">
              <w:rPr>
                <w:rFonts w:ascii="Times New Roman" w:eastAsia="Calibri" w:hAnsi="Times New Roman" w:cs="Times New Roman"/>
                <w:iCs/>
                <w:sz w:val="24"/>
                <w:szCs w:val="20"/>
              </w:rPr>
              <w:t>отбележи</w:t>
            </w:r>
            <w:r w:rsidRPr="00171DED">
              <w:rPr>
                <w:rFonts w:ascii="Times New Roman" w:eastAsia="Calibri" w:hAnsi="Times New Roman" w:cs="Times New Roman"/>
                <w:iCs/>
                <w:noProof/>
                <w:sz w:val="24"/>
                <w:szCs w:val="20"/>
              </w:rPr>
              <w:t xml:space="preserve">, че прилагането на зелени мерки по приоритета допринася, както за постигане на целите на Рамковата директива за водите, така и на Директивата за наводненията, относно действия, планирани по ПУРБ и ПУРН за естествено задържане на водата, възстановяване на влажни зони и др. Тези мерки имат положителен ефект върху околната среда и подобряването на качеството на водите </w:t>
            </w:r>
            <w:r w:rsidR="00A65DA0">
              <w:rPr>
                <w:rFonts w:ascii="Times New Roman" w:eastAsia="Calibri" w:hAnsi="Times New Roman" w:cs="Times New Roman"/>
                <w:iCs/>
                <w:noProof/>
                <w:sz w:val="24"/>
                <w:szCs w:val="20"/>
              </w:rPr>
              <w:t xml:space="preserve">и </w:t>
            </w:r>
            <w:r w:rsidR="00A65DA0" w:rsidRPr="00625698">
              <w:rPr>
                <w:rFonts w:ascii="Times New Roman" w:eastAsia="Calibri" w:hAnsi="Times New Roman" w:cs="Times New Roman"/>
                <w:iCs/>
                <w:noProof/>
                <w:sz w:val="24"/>
                <w:szCs w:val="20"/>
              </w:rPr>
              <w:t>намаляване на въздействията от засушаване</w:t>
            </w:r>
            <w:r w:rsidR="00A65DA0" w:rsidRPr="00171DED">
              <w:rPr>
                <w:rFonts w:ascii="Times New Roman" w:eastAsia="Calibri" w:hAnsi="Times New Roman" w:cs="Times New Roman"/>
                <w:iCs/>
                <w:noProof/>
                <w:sz w:val="24"/>
                <w:szCs w:val="20"/>
              </w:rPr>
              <w:t xml:space="preserve"> </w:t>
            </w:r>
            <w:r w:rsidR="00E34706" w:rsidRPr="00171DED">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171DED">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цел в ПУРН. В допълнение</w:t>
            </w:r>
            <w:r w:rsidR="00BC2D31">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171DED">
              <w:rPr>
                <w:rFonts w:ascii="Times New Roman" w:eastAsia="Calibri" w:hAnsi="Times New Roman" w:cs="Times New Roman"/>
                <w:iCs/>
                <w:noProof/>
                <w:sz w:val="24"/>
                <w:szCs w:val="20"/>
              </w:rPr>
              <w:t xml:space="preserve">вкл. за </w:t>
            </w:r>
            <w:r w:rsidRPr="00171DED">
              <w:rPr>
                <w:rFonts w:ascii="Times New Roman" w:eastAsia="Calibri" w:hAnsi="Times New Roman" w:cs="Times New Roman"/>
                <w:iCs/>
                <w:noProof/>
                <w:sz w:val="24"/>
                <w:szCs w:val="20"/>
              </w:rPr>
              <w:t>изграждане/реконструкция на канализационни системи), ще допринесат за смекчаване на негативните последици от наводненията</w:t>
            </w:r>
            <w:r w:rsidR="00A65DA0">
              <w:rPr>
                <w:rFonts w:ascii="Times New Roman" w:eastAsia="Calibri" w:hAnsi="Times New Roman" w:cs="Times New Roman"/>
                <w:iCs/>
                <w:noProof/>
                <w:sz w:val="24"/>
                <w:szCs w:val="20"/>
              </w:rPr>
              <w:t xml:space="preserve">, </w:t>
            </w:r>
            <w:r w:rsidR="00A65DA0" w:rsidRPr="005F1CE4">
              <w:rPr>
                <w:rFonts w:ascii="Times New Roman" w:eastAsia="Calibri" w:hAnsi="Times New Roman" w:cs="Times New Roman"/>
                <w:iCs/>
                <w:noProof/>
                <w:sz w:val="24"/>
                <w:szCs w:val="20"/>
              </w:rPr>
              <w:t>засушаването и недостига на вода</w:t>
            </w:r>
            <w:r w:rsidRPr="00171DED">
              <w:rPr>
                <w:rFonts w:ascii="Times New Roman" w:eastAsia="Calibri" w:hAnsi="Times New Roman" w:cs="Times New Roman"/>
                <w:iCs/>
                <w:noProof/>
                <w:sz w:val="24"/>
                <w:szCs w:val="20"/>
              </w:rPr>
              <w:t>.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239271CE" w14:textId="5651CDD8" w:rsidR="00A807AB" w:rsidRPr="00584F2A" w:rsidRDefault="00430C0F" w:rsidP="00670F97">
            <w:pPr>
              <w:pStyle w:val="ListParagraph"/>
              <w:numPr>
                <w:ilvl w:val="0"/>
                <w:numId w:val="59"/>
              </w:numPr>
              <w:spacing w:before="120" w:after="120"/>
              <w:jc w:val="both"/>
              <w:rPr>
                <w:rFonts w:ascii="Times New Roman" w:eastAsia="Calibri" w:hAnsi="Times New Roman" w:cs="Times New Roman"/>
                <w:iCs/>
                <w:noProof/>
                <w:sz w:val="24"/>
                <w:szCs w:val="24"/>
              </w:rPr>
            </w:pPr>
            <w:r w:rsidRPr="00C868E3">
              <w:rPr>
                <w:rFonts w:ascii="Times New Roman" w:eastAsia="Calibri" w:hAnsi="Times New Roman" w:cs="Times New Roman"/>
                <w:iCs/>
                <w:noProof/>
                <w:sz w:val="24"/>
                <w:szCs w:val="20"/>
              </w:rPr>
              <w:t>Анализ</w:t>
            </w:r>
            <w:r w:rsidR="000B3B67" w:rsidRPr="00C868E3">
              <w:rPr>
                <w:rFonts w:ascii="Times New Roman" w:eastAsia="Calibri" w:hAnsi="Times New Roman" w:cs="Times New Roman"/>
                <w:iCs/>
                <w:noProof/>
                <w:sz w:val="24"/>
                <w:szCs w:val="20"/>
              </w:rPr>
              <w:t>и</w:t>
            </w:r>
            <w:r w:rsidRPr="00C868E3">
              <w:rPr>
                <w:rFonts w:ascii="Times New Roman" w:eastAsia="Calibri" w:hAnsi="Times New Roman" w:cs="Times New Roman"/>
                <w:iCs/>
                <w:noProof/>
                <w:sz w:val="24"/>
                <w:szCs w:val="20"/>
              </w:rPr>
              <w:t xml:space="preserve"> на риска и прилагане на м</w:t>
            </w:r>
            <w:r w:rsidR="00C457A9" w:rsidRPr="00C868E3">
              <w:rPr>
                <w:rFonts w:ascii="Times New Roman" w:eastAsia="Calibri" w:hAnsi="Times New Roman" w:cs="Times New Roman"/>
                <w:iCs/>
                <w:noProof/>
                <w:sz w:val="24"/>
                <w:szCs w:val="20"/>
              </w:rPr>
              <w:t xml:space="preserve">ерки за превенция и </w:t>
            </w:r>
            <w:r w:rsidRPr="00C868E3">
              <w:rPr>
                <w:rFonts w:ascii="Times New Roman" w:eastAsia="Calibri" w:hAnsi="Times New Roman" w:cs="Times New Roman"/>
                <w:iCs/>
                <w:noProof/>
                <w:sz w:val="24"/>
                <w:szCs w:val="20"/>
              </w:rPr>
              <w:t>защита при</w:t>
            </w:r>
            <w:r w:rsidR="00C457A9" w:rsidRPr="00C868E3">
              <w:rPr>
                <w:rFonts w:ascii="Times New Roman" w:eastAsia="Calibri" w:hAnsi="Times New Roman" w:cs="Times New Roman"/>
                <w:iCs/>
                <w:noProof/>
                <w:sz w:val="24"/>
                <w:szCs w:val="20"/>
              </w:rPr>
              <w:t xml:space="preserve"> </w:t>
            </w:r>
            <w:r w:rsidR="004745D5" w:rsidRPr="00C868E3">
              <w:rPr>
                <w:rFonts w:ascii="Times New Roman" w:eastAsia="Calibri" w:hAnsi="Times New Roman" w:cs="Times New Roman"/>
                <w:iCs/>
                <w:noProof/>
                <w:sz w:val="24"/>
                <w:szCs w:val="20"/>
              </w:rPr>
              <w:t xml:space="preserve">процеси, свързани с движение на земни маси – свлачища, срутища, ерозии, абразии и пр. </w:t>
            </w:r>
            <w:r w:rsidR="00C457A9" w:rsidRPr="00C868E3">
              <w:rPr>
                <w:rFonts w:ascii="Times New Roman" w:eastAsia="Calibri" w:hAnsi="Times New Roman" w:cs="Times New Roman"/>
                <w:iCs/>
                <w:noProof/>
                <w:sz w:val="24"/>
                <w:szCs w:val="20"/>
              </w:rPr>
              <w:t>(в т.ч. екологосъобразна инфраструктура (ако е приложимо) в комбинация със сива инфраструктура)</w:t>
            </w:r>
            <w:r w:rsidR="008D7275" w:rsidRPr="00670F97">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Мерките са допустими както в урбанизирани територии, така и</w:t>
            </w:r>
            <w:r w:rsidR="009E7356" w:rsidRPr="00C868E3">
              <w:rPr>
                <w:rFonts w:ascii="Times New Roman" w:eastAsia="Calibri" w:hAnsi="Times New Roman" w:cs="Times New Roman"/>
                <w:iCs/>
                <w:noProof/>
                <w:sz w:val="24"/>
                <w:szCs w:val="20"/>
              </w:rPr>
              <w:t xml:space="preserve"> </w:t>
            </w:r>
            <w:r w:rsidR="00DB1593" w:rsidRPr="00C868E3">
              <w:rPr>
                <w:rFonts w:ascii="Times New Roman" w:eastAsia="Calibri" w:hAnsi="Times New Roman" w:cs="Times New Roman"/>
                <w:iCs/>
                <w:noProof/>
                <w:sz w:val="24"/>
                <w:szCs w:val="20"/>
              </w:rPr>
              <w:t>по републиканска пътна мрежа</w:t>
            </w:r>
            <w:r w:rsidR="000B3B67" w:rsidRPr="00C868E3">
              <w:rPr>
                <w:rFonts w:ascii="Times New Roman" w:eastAsia="Calibri" w:hAnsi="Times New Roman" w:cs="Times New Roman"/>
                <w:iCs/>
                <w:noProof/>
                <w:sz w:val="24"/>
                <w:szCs w:val="20"/>
              </w:rPr>
              <w:t>,</w:t>
            </w:r>
            <w:r w:rsidR="009E7356" w:rsidRPr="00C868E3">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 xml:space="preserve">където са </w:t>
            </w:r>
            <w:r w:rsidR="009E7356" w:rsidRPr="00C868E3">
              <w:rPr>
                <w:rFonts w:ascii="Times New Roman" w:eastAsia="Calibri" w:hAnsi="Times New Roman" w:cs="Times New Roman"/>
                <w:iCs/>
                <w:noProof/>
                <w:sz w:val="24"/>
                <w:szCs w:val="20"/>
              </w:rPr>
              <w:t>идентифицирани като заплаха по отношение</w:t>
            </w:r>
            <w:r w:rsidR="008D7275" w:rsidRPr="00C868E3">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C868E3">
              <w:rPr>
                <w:rFonts w:ascii="Times New Roman" w:eastAsia="Calibri" w:hAnsi="Times New Roman" w:cs="Times New Roman"/>
                <w:iCs/>
                <w:noProof/>
                <w:sz w:val="24"/>
                <w:szCs w:val="20"/>
              </w:rPr>
              <w:t xml:space="preserve"> безопасност на </w:t>
            </w:r>
            <w:r w:rsidR="00B43D2C" w:rsidRPr="00C868E3">
              <w:rPr>
                <w:rFonts w:ascii="Times New Roman" w:eastAsia="Calibri" w:hAnsi="Times New Roman" w:cs="Times New Roman"/>
                <w:iCs/>
                <w:noProof/>
                <w:sz w:val="24"/>
                <w:szCs w:val="20"/>
              </w:rPr>
              <w:t>движение</w:t>
            </w:r>
            <w:r w:rsidR="008D7275" w:rsidRPr="00C868E3">
              <w:rPr>
                <w:rFonts w:ascii="Times New Roman" w:eastAsia="Calibri" w:hAnsi="Times New Roman" w:cs="Times New Roman"/>
                <w:iCs/>
                <w:noProof/>
                <w:sz w:val="24"/>
                <w:szCs w:val="20"/>
              </w:rPr>
              <w:t>то</w:t>
            </w:r>
            <w:r w:rsidR="00B43D2C" w:rsidRPr="00C868E3">
              <w:rPr>
                <w:rFonts w:ascii="Times New Roman" w:eastAsia="Calibri" w:hAnsi="Times New Roman" w:cs="Times New Roman"/>
                <w:iCs/>
                <w:noProof/>
                <w:sz w:val="24"/>
                <w:szCs w:val="20"/>
              </w:rPr>
              <w:t xml:space="preserve"> </w:t>
            </w:r>
            <w:r w:rsidR="00106D13" w:rsidRPr="00C868E3">
              <w:rPr>
                <w:rFonts w:ascii="Times New Roman" w:eastAsia="Calibri" w:hAnsi="Times New Roman" w:cs="Times New Roman"/>
                <w:iCs/>
                <w:noProof/>
                <w:sz w:val="24"/>
                <w:szCs w:val="20"/>
              </w:rPr>
              <w:t>по пътищата</w:t>
            </w:r>
            <w:r w:rsidR="008D7275" w:rsidRPr="00C868E3">
              <w:rPr>
                <w:rFonts w:ascii="Times New Roman" w:eastAsia="Calibri" w:hAnsi="Times New Roman" w:cs="Times New Roman"/>
                <w:iCs/>
                <w:noProof/>
                <w:sz w:val="24"/>
                <w:szCs w:val="20"/>
              </w:rPr>
              <w:t xml:space="preserve">, както и за околната </w:t>
            </w:r>
            <w:r w:rsidR="008D7275" w:rsidRPr="00F718DD">
              <w:rPr>
                <w:rFonts w:ascii="Times New Roman" w:eastAsia="Calibri" w:hAnsi="Times New Roman" w:cs="Times New Roman"/>
                <w:iCs/>
                <w:noProof/>
                <w:sz w:val="24"/>
                <w:szCs w:val="24"/>
              </w:rPr>
              <w:t>среда по отношение на защитата на биоразнообразието</w:t>
            </w:r>
            <w:r w:rsidR="00670F97" w:rsidRPr="00F718DD">
              <w:rPr>
                <w:rFonts w:ascii="Times New Roman" w:eastAsia="Calibri" w:hAnsi="Times New Roman" w:cs="Times New Roman"/>
                <w:iCs/>
                <w:noProof/>
                <w:sz w:val="24"/>
                <w:szCs w:val="24"/>
              </w:rPr>
              <w:t>.</w:t>
            </w:r>
          </w:p>
          <w:p w14:paraId="58068580" w14:textId="3F548B01" w:rsidR="00342B8B" w:rsidRPr="00171DED" w:rsidRDefault="00C457A9" w:rsidP="00C868E3">
            <w:pPr>
              <w:pStyle w:val="ListParagraph"/>
              <w:numPr>
                <w:ilvl w:val="0"/>
                <w:numId w:val="59"/>
              </w:numPr>
              <w:spacing w:before="120" w:after="120"/>
              <w:jc w:val="both"/>
              <w:rPr>
                <w:noProof/>
              </w:rPr>
            </w:pPr>
            <w:r w:rsidRPr="00584F2A">
              <w:rPr>
                <w:rFonts w:ascii="Times New Roman" w:eastAsia="Calibri" w:hAnsi="Times New Roman" w:cs="Times New Roman"/>
                <w:iCs/>
                <w:noProof/>
                <w:sz w:val="24"/>
                <w:szCs w:val="24"/>
              </w:rPr>
              <w:lastRenderedPageBreak/>
              <w:t>Мерки</w:t>
            </w:r>
            <w:r w:rsidR="008D7275" w:rsidRPr="00584F2A">
              <w:rPr>
                <w:rFonts w:ascii="Times New Roman" w:eastAsia="Calibri" w:hAnsi="Times New Roman" w:cs="Times New Roman"/>
                <w:iCs/>
                <w:noProof/>
                <w:sz w:val="24"/>
                <w:szCs w:val="24"/>
              </w:rPr>
              <w:t>, насочени</w:t>
            </w:r>
            <w:r w:rsidR="008D7275" w:rsidRPr="00ED0B8D">
              <w:rPr>
                <w:rFonts w:ascii="Times New Roman" w:eastAsia="Calibri" w:hAnsi="Times New Roman" w:cs="Times New Roman"/>
                <w:iCs/>
                <w:noProof/>
                <w:sz w:val="24"/>
                <w:szCs w:val="20"/>
              </w:rPr>
              <w:t xml:space="preserve"> към </w:t>
            </w:r>
            <w:r w:rsidRPr="00ED0B8D">
              <w:rPr>
                <w:rFonts w:ascii="Times New Roman" w:eastAsia="Calibri" w:hAnsi="Times New Roman" w:cs="Times New Roman"/>
                <w:iCs/>
                <w:noProof/>
                <w:sz w:val="24"/>
                <w:szCs w:val="20"/>
              </w:rPr>
              <w:t xml:space="preserve">повишаване на готовността на населението и </w:t>
            </w:r>
            <w:r w:rsidR="00CA70FB" w:rsidRPr="00ED0B8D">
              <w:rPr>
                <w:rFonts w:ascii="Times New Roman" w:eastAsia="Calibri" w:hAnsi="Times New Roman" w:cs="Times New Roman"/>
                <w:iCs/>
                <w:noProof/>
                <w:sz w:val="24"/>
                <w:szCs w:val="20"/>
              </w:rPr>
              <w:t xml:space="preserve">капацитета на </w:t>
            </w:r>
            <w:r w:rsidRPr="00ED0B8D">
              <w:rPr>
                <w:rFonts w:ascii="Times New Roman" w:eastAsia="Calibri" w:hAnsi="Times New Roman" w:cs="Times New Roman"/>
                <w:iCs/>
                <w:noProof/>
                <w:sz w:val="24"/>
                <w:szCs w:val="20"/>
              </w:rPr>
              <w:t xml:space="preserve">силите за реагиране </w:t>
            </w:r>
            <w:r w:rsidR="00E83887" w:rsidRPr="00ED0B8D">
              <w:rPr>
                <w:rFonts w:ascii="Times New Roman" w:eastAsia="Calibri" w:hAnsi="Times New Roman" w:cs="Times New Roman"/>
                <w:iCs/>
                <w:noProof/>
                <w:sz w:val="24"/>
                <w:szCs w:val="20"/>
              </w:rPr>
              <w:t xml:space="preserve">в случай на </w:t>
            </w:r>
            <w:r w:rsidR="00EC54D9" w:rsidRPr="00ED0B8D">
              <w:rPr>
                <w:rFonts w:ascii="Times New Roman" w:eastAsia="Calibri" w:hAnsi="Times New Roman" w:cs="Times New Roman"/>
                <w:iCs/>
                <w:noProof/>
                <w:sz w:val="24"/>
                <w:szCs w:val="20"/>
              </w:rPr>
              <w:t xml:space="preserve">наводнения, пожари и </w:t>
            </w:r>
            <w:r w:rsidRPr="00ED0B8D">
              <w:rPr>
                <w:rFonts w:ascii="Times New Roman" w:eastAsia="Calibri" w:hAnsi="Times New Roman" w:cs="Times New Roman"/>
                <w:iCs/>
                <w:noProof/>
                <w:sz w:val="24"/>
                <w:szCs w:val="20"/>
              </w:rPr>
              <w:t>земетресения</w:t>
            </w:r>
            <w:r w:rsidR="00CA70FB" w:rsidRPr="00ED0B8D">
              <w:rPr>
                <w:rFonts w:ascii="Times New Roman" w:eastAsia="Calibri" w:hAnsi="Times New Roman" w:cs="Times New Roman"/>
                <w:iCs/>
                <w:noProof/>
                <w:sz w:val="24"/>
                <w:szCs w:val="20"/>
              </w:rPr>
              <w:t xml:space="preserve"> </w:t>
            </w:r>
            <w:r w:rsidR="008D7275" w:rsidRPr="00ED0B8D">
              <w:rPr>
                <w:rFonts w:ascii="Times New Roman" w:eastAsia="Calibri" w:hAnsi="Times New Roman" w:cs="Times New Roman"/>
                <w:iCs/>
                <w:noProof/>
                <w:sz w:val="24"/>
                <w:szCs w:val="20"/>
              </w:rPr>
              <w:t>- изграждане на регионални полигони на територията на страната за практическа подготовка на населението</w:t>
            </w:r>
            <w:r w:rsidR="00C727CC" w:rsidRPr="00ED0B8D">
              <w:rPr>
                <w:rFonts w:ascii="Times New Roman" w:eastAsia="Calibri" w:hAnsi="Times New Roman" w:cs="Times New Roman"/>
                <w:iCs/>
                <w:noProof/>
                <w:sz w:val="24"/>
                <w:szCs w:val="20"/>
              </w:rPr>
              <w:t xml:space="preserve"> и разширяване и надграждане на оперативния капацитет на отговорните за реакция при бедствия структури</w:t>
            </w:r>
            <w:r w:rsidR="008D7275" w:rsidRPr="00ED0B8D">
              <w:rPr>
                <w:rFonts w:ascii="Times New Roman" w:eastAsia="Calibri" w:hAnsi="Times New Roman" w:cs="Times New Roman"/>
                <w:iCs/>
                <w:noProof/>
                <w:sz w:val="24"/>
                <w:szCs w:val="20"/>
              </w:rPr>
              <w:t xml:space="preserve">, разработване на методологии за управление на наличните човешки и материални ресурси за справяне с риска от бедствия, </w:t>
            </w:r>
            <w:r w:rsidR="00CA70FB" w:rsidRPr="00ED0B8D">
              <w:rPr>
                <w:rFonts w:ascii="Times New Roman" w:eastAsia="Calibri" w:hAnsi="Times New Roman" w:cs="Times New Roman"/>
                <w:iCs/>
                <w:noProof/>
                <w:sz w:val="24"/>
                <w:szCs w:val="20"/>
              </w:rPr>
              <w:t>укрепване на капацитета на Единната</w:t>
            </w:r>
            <w:r w:rsidR="008D7275" w:rsidRPr="00ED0B8D">
              <w:rPr>
                <w:rFonts w:ascii="Times New Roman" w:eastAsia="Calibri" w:hAnsi="Times New Roman" w:cs="Times New Roman"/>
                <w:iCs/>
                <w:noProof/>
                <w:sz w:val="24"/>
                <w:szCs w:val="20"/>
              </w:rPr>
              <w:t xml:space="preserve"> спасителна</w:t>
            </w:r>
            <w:r w:rsidR="00CA70FB" w:rsidRPr="00ED0B8D">
              <w:rPr>
                <w:rFonts w:ascii="Times New Roman" w:eastAsia="Calibri" w:hAnsi="Times New Roman" w:cs="Times New Roman"/>
                <w:iCs/>
                <w:noProof/>
                <w:sz w:val="24"/>
                <w:szCs w:val="20"/>
              </w:rPr>
              <w:t xml:space="preserve"> система</w:t>
            </w:r>
            <w:r w:rsidR="008D7275" w:rsidRPr="00ED0B8D">
              <w:rPr>
                <w:rFonts w:ascii="Times New Roman" w:eastAsia="Calibri" w:hAnsi="Times New Roman" w:cs="Times New Roman"/>
                <w:iCs/>
                <w:noProof/>
                <w:sz w:val="24"/>
                <w:szCs w:val="20"/>
              </w:rPr>
              <w:t xml:space="preserve"> с цел осигуряването на координирани и организирани действия за управление и предотвратяване на риска от наводнения, пожари</w:t>
            </w:r>
            <w:r w:rsidR="00BA0CB7" w:rsidRPr="00ED0B8D">
              <w:rPr>
                <w:rFonts w:ascii="Times New Roman" w:eastAsia="Calibri" w:hAnsi="Times New Roman" w:cs="Times New Roman"/>
                <w:iCs/>
                <w:noProof/>
                <w:sz w:val="24"/>
                <w:szCs w:val="20"/>
              </w:rPr>
              <w:t>,</w:t>
            </w:r>
            <w:r w:rsidR="008D7275" w:rsidRPr="00ED0B8D">
              <w:rPr>
                <w:rFonts w:ascii="Times New Roman" w:eastAsia="Calibri" w:hAnsi="Times New Roman" w:cs="Times New Roman"/>
                <w:iCs/>
                <w:noProof/>
                <w:sz w:val="24"/>
                <w:szCs w:val="20"/>
              </w:rPr>
              <w:t xml:space="preserve"> земетресения и др.</w:t>
            </w:r>
            <w:r w:rsidR="00845C3F" w:rsidRPr="00ED0B8D">
              <w:rPr>
                <w:rFonts w:ascii="Times New Roman" w:eastAsia="Calibri" w:hAnsi="Times New Roman" w:cs="Times New Roman"/>
                <w:iCs/>
                <w:noProof/>
                <w:sz w:val="24"/>
                <w:szCs w:val="20"/>
              </w:rPr>
              <w:t>, в т.ч. осъществяване на трансграничн</w:t>
            </w:r>
            <w:r w:rsidR="00C727CC" w:rsidRPr="00ED0B8D">
              <w:rPr>
                <w:rFonts w:ascii="Times New Roman" w:eastAsia="Calibri" w:hAnsi="Times New Roman" w:cs="Times New Roman"/>
                <w:iCs/>
                <w:noProof/>
                <w:sz w:val="24"/>
                <w:szCs w:val="20"/>
              </w:rPr>
              <w:t>а</w:t>
            </w:r>
            <w:r w:rsidR="00845C3F" w:rsidRPr="00ED0B8D">
              <w:rPr>
                <w:rFonts w:ascii="Times New Roman" w:eastAsia="Calibri" w:hAnsi="Times New Roman" w:cs="Times New Roman"/>
                <w:iCs/>
                <w:noProof/>
                <w:sz w:val="24"/>
                <w:szCs w:val="20"/>
              </w:rPr>
              <w:t xml:space="preserve"> </w:t>
            </w:r>
            <w:r w:rsidR="00C727CC" w:rsidRPr="00ED0B8D">
              <w:rPr>
                <w:rFonts w:ascii="Times New Roman" w:eastAsia="Calibri" w:hAnsi="Times New Roman" w:cs="Times New Roman"/>
                <w:iCs/>
                <w:noProof/>
                <w:sz w:val="24"/>
                <w:szCs w:val="20"/>
              </w:rPr>
              <w:t>координация и повишаване на ефективността на съвместните действия в случай на пожар</w:t>
            </w:r>
            <w:r w:rsidR="00B40F06" w:rsidRPr="00CE5FD6">
              <w:rPr>
                <w:rFonts w:ascii="Times New Roman" w:eastAsia="Calibri" w:hAnsi="Times New Roman" w:cs="Times New Roman"/>
                <w:iCs/>
                <w:noProof/>
                <w:sz w:val="24"/>
                <w:szCs w:val="20"/>
              </w:rPr>
              <w:t>.</w:t>
            </w:r>
            <w:r w:rsidR="00CA70FB" w:rsidRPr="00ED0B8D">
              <w:rPr>
                <w:rFonts w:ascii="Times New Roman" w:eastAsia="Calibri" w:hAnsi="Times New Roman" w:cs="Times New Roman"/>
                <w:iCs/>
                <w:noProof/>
                <w:sz w:val="24"/>
                <w:szCs w:val="20"/>
              </w:rPr>
              <w:t xml:space="preserve"> </w:t>
            </w:r>
            <w:r w:rsidR="008D7275" w:rsidRPr="00ED0B8D">
              <w:rPr>
                <w:rFonts w:ascii="Times New Roman" w:eastAsia="Calibri" w:hAnsi="Times New Roman" w:cs="Times New Roman"/>
                <w:iCs/>
                <w:noProof/>
                <w:sz w:val="24"/>
                <w:szCs w:val="20"/>
              </w:rPr>
              <w:t xml:space="preserve"> Тези мерки включват и</w:t>
            </w:r>
            <w:r w:rsidR="00B7373B" w:rsidRPr="00ED0B8D">
              <w:rPr>
                <w:rFonts w:ascii="Times New Roman" w:eastAsia="Calibri" w:hAnsi="Times New Roman" w:cs="Times New Roman"/>
                <w:iCs/>
                <w:noProof/>
                <w:sz w:val="24"/>
                <w:szCs w:val="20"/>
              </w:rPr>
              <w:t xml:space="preserve"> </w:t>
            </w:r>
            <w:r w:rsidR="008D7275" w:rsidRPr="00ED0B8D">
              <w:rPr>
                <w:rFonts w:ascii="Times New Roman" w:hAnsi="Times New Roman" w:cs="Times New Roman"/>
                <w:noProof/>
                <w:sz w:val="24"/>
                <w:szCs w:val="24"/>
              </w:rPr>
              <w:t>п</w:t>
            </w:r>
            <w:r w:rsidR="006D3329" w:rsidRPr="00ED0B8D">
              <w:rPr>
                <w:rFonts w:ascii="Times New Roman" w:hAnsi="Times New Roman" w:cs="Times New Roman"/>
                <w:noProof/>
                <w:sz w:val="24"/>
                <w:szCs w:val="24"/>
              </w:rPr>
              <w:t xml:space="preserve">овишаване </w:t>
            </w:r>
            <w:r w:rsidR="00342B8B" w:rsidRPr="00ED0B8D">
              <w:rPr>
                <w:rFonts w:ascii="Times New Roman" w:hAnsi="Times New Roman" w:cs="Times New Roman"/>
                <w:noProof/>
                <w:sz w:val="24"/>
                <w:szCs w:val="24"/>
              </w:rPr>
              <w:t>на информираност</w:t>
            </w:r>
            <w:r w:rsidR="00CA70FB" w:rsidRPr="00ED0B8D">
              <w:rPr>
                <w:rFonts w:ascii="Times New Roman" w:hAnsi="Times New Roman" w:cs="Times New Roman"/>
                <w:noProof/>
                <w:sz w:val="24"/>
                <w:szCs w:val="24"/>
              </w:rPr>
              <w:t>та</w:t>
            </w:r>
            <w:r w:rsidR="00342B8B" w:rsidRPr="00ED0B8D">
              <w:rPr>
                <w:rFonts w:ascii="Times New Roman" w:hAnsi="Times New Roman" w:cs="Times New Roman"/>
                <w:noProof/>
                <w:sz w:val="24"/>
                <w:szCs w:val="24"/>
              </w:rPr>
              <w:t xml:space="preserve"> на населението</w:t>
            </w:r>
            <w:r w:rsidR="00CA70FB" w:rsidRPr="00ED0B8D">
              <w:rPr>
                <w:rFonts w:ascii="Times New Roman" w:hAnsi="Times New Roman" w:cs="Times New Roman"/>
                <w:noProof/>
                <w:sz w:val="24"/>
                <w:szCs w:val="24"/>
              </w:rPr>
              <w:t>, обучения, информационно-образователни мерки за формиране, прилагане и изпълнение на целите на политики</w:t>
            </w:r>
            <w:r w:rsidR="008D59EC" w:rsidRPr="00ED0B8D">
              <w:rPr>
                <w:rFonts w:ascii="Times New Roman" w:hAnsi="Times New Roman" w:cs="Times New Roman"/>
                <w:noProof/>
                <w:sz w:val="24"/>
                <w:szCs w:val="24"/>
              </w:rPr>
              <w:t>те, свързани с изменението на климата</w:t>
            </w:r>
            <w:r w:rsidR="008D7275" w:rsidRPr="00ED0B8D">
              <w:rPr>
                <w:rFonts w:ascii="Times New Roman" w:hAnsi="Times New Roman" w:cs="Times New Roman"/>
                <w:noProof/>
                <w:sz w:val="24"/>
                <w:szCs w:val="24"/>
              </w:rPr>
              <w:t xml:space="preserve"> и защитата от бедствия</w:t>
            </w:r>
            <w:r w:rsidR="00092F00">
              <w:rPr>
                <w:rFonts w:ascii="Times New Roman" w:hAnsi="Times New Roman" w:cs="Times New Roman"/>
                <w:noProof/>
                <w:sz w:val="24"/>
                <w:szCs w:val="24"/>
              </w:rPr>
              <w:t>.</w:t>
            </w:r>
            <w:r w:rsidR="00342B8B" w:rsidRPr="00171DED">
              <w:rPr>
                <w:noProof/>
              </w:rPr>
              <w:t xml:space="preserve"> </w:t>
            </w:r>
            <w:r w:rsidR="007F37D7" w:rsidRPr="00171DED">
              <w:rPr>
                <w:noProof/>
              </w:rPr>
              <w:t xml:space="preserve"> </w:t>
            </w:r>
          </w:p>
          <w:p w14:paraId="69517939" w14:textId="29658C2B" w:rsidR="00C457A9" w:rsidRPr="00C868E3" w:rsidRDefault="00C457A9" w:rsidP="00C868E3">
            <w:pPr>
              <w:pStyle w:val="ListParagraph"/>
              <w:numPr>
                <w:ilvl w:val="0"/>
                <w:numId w:val="66"/>
              </w:numPr>
              <w:spacing w:before="120" w:after="120"/>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w:t>
            </w:r>
            <w:r w:rsidR="0032577F" w:rsidRPr="00C868E3">
              <w:rPr>
                <w:rFonts w:ascii="Times New Roman" w:eastAsia="Calibri" w:hAnsi="Times New Roman" w:cs="Times New Roman"/>
                <w:iCs/>
                <w:noProof/>
                <w:sz w:val="24"/>
                <w:szCs w:val="20"/>
              </w:rPr>
              <w:t>;</w:t>
            </w:r>
            <w:r w:rsidRPr="00C868E3">
              <w:rPr>
                <w:rFonts w:ascii="Times New Roman" w:eastAsia="Calibri" w:hAnsi="Times New Roman" w:cs="Times New Roman"/>
                <w:iCs/>
                <w:noProof/>
                <w:sz w:val="24"/>
                <w:szCs w:val="20"/>
              </w:rPr>
              <w:t xml:space="preserve"> прогнозиране и сигнализиране</w:t>
            </w:r>
            <w:r w:rsidR="0032577F" w:rsidRPr="00C868E3">
              <w:rPr>
                <w:rFonts w:ascii="Times New Roman" w:eastAsia="Calibri" w:hAnsi="Times New Roman" w:cs="Times New Roman"/>
                <w:iCs/>
                <w:noProof/>
                <w:sz w:val="24"/>
                <w:szCs w:val="20"/>
              </w:rPr>
              <w:t>;</w:t>
            </w:r>
            <w:r w:rsidRPr="00C868E3">
              <w:rPr>
                <w:rFonts w:ascii="Times New Roman" w:eastAsia="Calibri" w:hAnsi="Times New Roman" w:cs="Times New Roman"/>
                <w:iCs/>
                <w:noProof/>
                <w:sz w:val="24"/>
                <w:szCs w:val="20"/>
              </w:rPr>
              <w:t xml:space="preserve"> разработване на цифрови модели</w:t>
            </w:r>
            <w:r w:rsidR="0032577F" w:rsidRPr="00C868E3">
              <w:rPr>
                <w:rFonts w:ascii="Times New Roman" w:eastAsia="Calibri" w:hAnsi="Times New Roman" w:cs="Times New Roman"/>
                <w:iCs/>
                <w:noProof/>
                <w:sz w:val="24"/>
                <w:szCs w:val="20"/>
              </w:rPr>
              <w:t xml:space="preserve"> и анализи и прогнози във връзка с климатичните изменения</w:t>
            </w:r>
            <w:r w:rsidR="008D59EC" w:rsidRPr="00C868E3">
              <w:rPr>
                <w:rFonts w:ascii="Times New Roman" w:eastAsia="Calibri" w:hAnsi="Times New Roman" w:cs="Times New Roman"/>
                <w:iCs/>
                <w:noProof/>
                <w:sz w:val="24"/>
                <w:szCs w:val="20"/>
              </w:rPr>
              <w:t>, като напр.</w:t>
            </w:r>
            <w:r w:rsidR="000E6D91" w:rsidRPr="00C868E3">
              <w:rPr>
                <w:rFonts w:ascii="Times New Roman" w:eastAsia="Calibri" w:hAnsi="Times New Roman" w:cs="Times New Roman"/>
                <w:iCs/>
                <w:noProof/>
                <w:sz w:val="24"/>
                <w:szCs w:val="20"/>
              </w:rPr>
              <w:t>:</w:t>
            </w:r>
          </w:p>
          <w:p w14:paraId="27B35E4F" w14:textId="4971A75E" w:rsidR="00CA70FB" w:rsidRPr="00584F2A" w:rsidRDefault="004A0657" w:rsidP="00584F2A">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noProof/>
                <w:sz w:val="24"/>
                <w:szCs w:val="20"/>
                <w:lang w:val="en-US" w:eastAsia="en-US" w:bidi="ar-SA"/>
              </w:rPr>
              <w:t>По</w:t>
            </w:r>
            <w:r w:rsidR="00CA70FB" w:rsidRPr="00584F2A">
              <w:rPr>
                <w:rFonts w:ascii="Times New Roman" w:eastAsia="Calibri" w:hAnsi="Times New Roman" w:cs="Times New Roman"/>
                <w:iCs/>
                <w:noProof/>
                <w:sz w:val="24"/>
                <w:szCs w:val="20"/>
                <w:lang w:val="en-US" w:eastAsia="en-US" w:bidi="ar-SA"/>
              </w:rPr>
              <w:t>-нататъшно развитие и завършване на Националната система за управление на водите в реално време за останалите 12 основни реки;</w:t>
            </w:r>
          </w:p>
          <w:p w14:paraId="2735D245" w14:textId="37BF0931" w:rsidR="00CA70FB" w:rsidRPr="00584F2A" w:rsidRDefault="004A0657" w:rsidP="00584F2A">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noProof/>
                <w:sz w:val="24"/>
                <w:szCs w:val="20"/>
                <w:lang w:val="en-US" w:eastAsia="en-US" w:bidi="ar-SA"/>
              </w:rPr>
              <w:t xml:space="preserve">Разширяване </w:t>
            </w:r>
            <w:r w:rsidR="00CA70FB" w:rsidRPr="00584F2A">
              <w:rPr>
                <w:rFonts w:ascii="Times New Roman" w:eastAsia="Calibri" w:hAnsi="Times New Roman" w:cs="Times New Roman"/>
                <w:iCs/>
                <w:noProof/>
                <w:sz w:val="24"/>
                <w:szCs w:val="20"/>
                <w:lang w:val="en-US" w:eastAsia="en-US" w:bidi="ar-SA"/>
              </w:rPr>
              <w:t xml:space="preserve">на обхвата на </w:t>
            </w:r>
            <w:r w:rsidR="0058282A" w:rsidRPr="00584F2A">
              <w:rPr>
                <w:rFonts w:ascii="Times New Roman" w:eastAsia="Calibri" w:hAnsi="Times New Roman" w:cs="Times New Roman"/>
                <w:iCs/>
                <w:noProof/>
                <w:sz w:val="24"/>
                <w:szCs w:val="20"/>
                <w:lang w:val="en-US" w:eastAsia="en-US" w:bidi="ar-SA"/>
              </w:rPr>
              <w:t>С</w:t>
            </w:r>
            <w:r w:rsidR="00CA70FB" w:rsidRPr="00584F2A">
              <w:rPr>
                <w:rFonts w:ascii="Times New Roman" w:eastAsia="Calibri" w:hAnsi="Times New Roman" w:cs="Times New Roman"/>
                <w:iCs/>
                <w:noProof/>
                <w:sz w:val="24"/>
                <w:szCs w:val="20"/>
                <w:lang w:val="en-US" w:eastAsia="en-US" w:bidi="ar-SA"/>
              </w:rPr>
              <w:t>истема</w:t>
            </w:r>
            <w:r w:rsidR="0058282A" w:rsidRPr="00584F2A">
              <w:rPr>
                <w:rFonts w:ascii="Times New Roman" w:eastAsia="Calibri" w:hAnsi="Times New Roman" w:cs="Times New Roman"/>
                <w:iCs/>
                <w:noProof/>
                <w:sz w:val="24"/>
                <w:szCs w:val="20"/>
                <w:lang w:val="en-US" w:eastAsia="en-US" w:bidi="ar-SA"/>
              </w:rPr>
              <w:t>та</w:t>
            </w:r>
            <w:r w:rsidR="00CA70FB" w:rsidRPr="00584F2A">
              <w:rPr>
                <w:rFonts w:ascii="Times New Roman" w:eastAsia="Calibri" w:hAnsi="Times New Roman" w:cs="Times New Roman"/>
                <w:iCs/>
                <w:noProof/>
                <w:sz w:val="24"/>
                <w:szCs w:val="20"/>
                <w:lang w:val="en-US" w:eastAsia="en-US" w:bidi="ar-SA"/>
              </w:rPr>
              <w:t xml:space="preserve"> за ранно предупреждение </w:t>
            </w:r>
            <w:r w:rsidR="00FB232A" w:rsidRPr="00584F2A">
              <w:rPr>
                <w:rFonts w:ascii="Times New Roman" w:eastAsia="Calibri" w:hAnsi="Times New Roman" w:cs="Times New Roman"/>
                <w:iCs/>
                <w:noProof/>
                <w:sz w:val="24"/>
                <w:szCs w:val="20"/>
                <w:lang w:val="en-US" w:eastAsia="en-US" w:bidi="ar-SA"/>
              </w:rPr>
              <w:t xml:space="preserve">и </w:t>
            </w:r>
            <w:proofErr w:type="spellStart"/>
            <w:r w:rsidR="00FB232A" w:rsidRPr="00584F2A">
              <w:rPr>
                <w:rFonts w:ascii="Times New Roman" w:hAnsi="Times New Roman"/>
                <w:sz w:val="24"/>
                <w:lang w:val="en-US" w:eastAsia="en-US" w:bidi="ar-SA"/>
              </w:rPr>
              <w:t>оповестяване</w:t>
            </w:r>
            <w:proofErr w:type="spellEnd"/>
            <w:r w:rsidR="00CA70FB" w:rsidRPr="00584F2A">
              <w:rPr>
                <w:rFonts w:ascii="Times New Roman" w:eastAsia="Calibri" w:hAnsi="Times New Roman" w:cs="Times New Roman"/>
                <w:iCs/>
                <w:noProof/>
                <w:sz w:val="24"/>
                <w:szCs w:val="20"/>
                <w:lang w:val="en-US" w:eastAsia="en-US" w:bidi="ar-SA"/>
              </w:rPr>
              <w:t xml:space="preserve"> </w:t>
            </w:r>
            <w:r w:rsidR="006D3DD5" w:rsidRPr="00584F2A">
              <w:rPr>
                <w:rFonts w:ascii="Times New Roman" w:eastAsia="Calibri" w:hAnsi="Times New Roman" w:cs="Times New Roman"/>
                <w:iCs/>
                <w:noProof/>
                <w:sz w:val="24"/>
                <w:szCs w:val="20"/>
                <w:lang w:val="en-US" w:eastAsia="en-US" w:bidi="ar-SA"/>
              </w:rPr>
              <w:t>на населението</w:t>
            </w:r>
            <w:r w:rsidR="0058282A" w:rsidRPr="00584F2A">
              <w:rPr>
                <w:rFonts w:ascii="Times New Roman" w:eastAsia="Calibri" w:hAnsi="Times New Roman" w:cs="Times New Roman"/>
                <w:iCs/>
                <w:noProof/>
                <w:sz w:val="24"/>
                <w:szCs w:val="20"/>
                <w:lang w:val="en-US" w:eastAsia="en-US" w:bidi="ar-SA"/>
              </w:rPr>
              <w:t xml:space="preserve"> </w:t>
            </w:r>
            <w:r w:rsidR="00CA70FB" w:rsidRPr="00584F2A">
              <w:rPr>
                <w:rFonts w:ascii="Times New Roman" w:eastAsia="Calibri" w:hAnsi="Times New Roman" w:cs="Times New Roman"/>
                <w:iCs/>
                <w:noProof/>
                <w:sz w:val="24"/>
                <w:szCs w:val="20"/>
                <w:lang w:val="en-US" w:eastAsia="en-US" w:bidi="ar-SA"/>
              </w:rPr>
              <w:t xml:space="preserve">на </w:t>
            </w:r>
            <w:proofErr w:type="spellStart"/>
            <w:r w:rsidR="00FB232A" w:rsidRPr="00584F2A">
              <w:rPr>
                <w:rFonts w:ascii="Times New Roman" w:hAnsi="Times New Roman"/>
                <w:sz w:val="24"/>
                <w:lang w:val="en-US" w:eastAsia="en-US" w:bidi="ar-SA"/>
              </w:rPr>
              <w:t>областно</w:t>
            </w:r>
            <w:proofErr w:type="spellEnd"/>
            <w:r w:rsidR="00FB232A" w:rsidRPr="00584F2A">
              <w:rPr>
                <w:rFonts w:ascii="Times New Roman" w:eastAsia="Calibri" w:hAnsi="Times New Roman" w:cs="Times New Roman"/>
                <w:iCs/>
                <w:noProof/>
                <w:sz w:val="24"/>
                <w:szCs w:val="20"/>
                <w:lang w:val="en-US" w:eastAsia="en-US" w:bidi="ar-SA"/>
              </w:rPr>
              <w:t xml:space="preserve"> </w:t>
            </w:r>
            <w:r w:rsidR="00CA70FB" w:rsidRPr="00584F2A">
              <w:rPr>
                <w:rFonts w:ascii="Times New Roman" w:eastAsia="Calibri" w:hAnsi="Times New Roman" w:cs="Times New Roman"/>
                <w:iCs/>
                <w:noProof/>
                <w:sz w:val="24"/>
                <w:szCs w:val="20"/>
                <w:lang w:val="en-US" w:eastAsia="en-US" w:bidi="ar-SA"/>
              </w:rPr>
              <w:t xml:space="preserve">ниво </w:t>
            </w:r>
            <w:r w:rsidR="00FB232A" w:rsidRPr="00584F2A">
              <w:rPr>
                <w:rFonts w:ascii="Times New Roman" w:eastAsia="Calibri" w:hAnsi="Times New Roman" w:cs="Times New Roman"/>
                <w:iCs/>
                <w:noProof/>
                <w:sz w:val="24"/>
                <w:szCs w:val="20"/>
                <w:lang w:val="en-US" w:eastAsia="en-US" w:bidi="ar-SA"/>
              </w:rPr>
              <w:t>(NUTS 3)</w:t>
            </w:r>
            <w:r w:rsidR="00FB232A" w:rsidRPr="00584F2A">
              <w:rPr>
                <w:rFonts w:ascii="Times New Roman" w:hAnsi="Times New Roman"/>
                <w:sz w:val="24"/>
                <w:lang w:val="en-US" w:eastAsia="en-US" w:bidi="ar-SA"/>
              </w:rPr>
              <w:t xml:space="preserve"> </w:t>
            </w:r>
            <w:r w:rsidR="00CA70FB" w:rsidRPr="00584F2A">
              <w:rPr>
                <w:rFonts w:ascii="Times New Roman" w:eastAsia="Calibri" w:hAnsi="Times New Roman" w:cs="Times New Roman"/>
                <w:iCs/>
                <w:noProof/>
                <w:sz w:val="24"/>
                <w:szCs w:val="20"/>
                <w:lang w:val="en-US" w:eastAsia="en-US" w:bidi="ar-SA"/>
              </w:rPr>
              <w:t>за територията на страната;</w:t>
            </w:r>
          </w:p>
          <w:p w14:paraId="7DC54FED" w14:textId="50301EF5" w:rsidR="00CA70FB" w:rsidRPr="00171DED" w:rsidRDefault="004A0657" w:rsidP="00584F2A">
            <w:pPr>
              <w:rPr>
                <w:noProof/>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noProof/>
                <w:sz w:val="24"/>
                <w:szCs w:val="20"/>
                <w:lang w:val="en-US" w:eastAsia="en-US" w:bidi="ar-SA"/>
              </w:rPr>
              <w:t xml:space="preserve">Мониторинг </w:t>
            </w:r>
            <w:r w:rsidR="00CA70FB" w:rsidRPr="00584F2A">
              <w:rPr>
                <w:rFonts w:ascii="Times New Roman" w:eastAsia="Calibri" w:hAnsi="Times New Roman" w:cs="Times New Roman"/>
                <w:iCs/>
                <w:noProof/>
                <w:sz w:val="24"/>
                <w:szCs w:val="20"/>
                <w:lang w:val="en-US" w:eastAsia="en-US" w:bidi="ar-SA"/>
              </w:rPr>
              <w:t xml:space="preserve">на свлачища </w:t>
            </w:r>
            <w:r w:rsidR="00B7373B" w:rsidRPr="00584F2A">
              <w:rPr>
                <w:rFonts w:ascii="Times New Roman" w:eastAsia="Calibri" w:hAnsi="Times New Roman" w:cs="Times New Roman"/>
                <w:iCs/>
                <w:noProof/>
                <w:sz w:val="24"/>
                <w:szCs w:val="20"/>
                <w:lang w:val="en-US" w:eastAsia="en-US" w:bidi="ar-SA"/>
              </w:rPr>
              <w:t>–</w:t>
            </w:r>
            <w:r w:rsidR="00CA70FB" w:rsidRPr="00584F2A">
              <w:rPr>
                <w:rFonts w:ascii="Times New Roman" w:eastAsia="Calibri" w:hAnsi="Times New Roman" w:cs="Times New Roman"/>
                <w:iCs/>
                <w:noProof/>
                <w:sz w:val="24"/>
                <w:szCs w:val="20"/>
                <w:lang w:val="en-US" w:eastAsia="en-US" w:bidi="ar-SA"/>
              </w:rPr>
              <w:t xml:space="preserve"> пилотен проект за приоритетна територия по отношение на защитата на живота на населението</w:t>
            </w:r>
            <w:r w:rsidR="008D7275" w:rsidRPr="00584F2A">
              <w:rPr>
                <w:rFonts w:ascii="Times New Roman" w:eastAsia="Calibri" w:hAnsi="Times New Roman" w:cs="Times New Roman"/>
                <w:iCs/>
                <w:noProof/>
                <w:sz w:val="24"/>
                <w:szCs w:val="20"/>
                <w:lang w:val="en-US" w:eastAsia="en-US" w:bidi="ar-SA"/>
              </w:rPr>
              <w:t>.</w:t>
            </w:r>
          </w:p>
          <w:p w14:paraId="07C1EF9A" w14:textId="391C845E" w:rsidR="00C457A9" w:rsidRPr="00C868E3" w:rsidRDefault="0012010A" w:rsidP="00C868E3">
            <w:pPr>
              <w:pStyle w:val="ListParagraph"/>
              <w:numPr>
                <w:ilvl w:val="0"/>
                <w:numId w:val="67"/>
              </w:numPr>
              <w:spacing w:before="120" w:after="120"/>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t>Изпълнение на проучвания</w:t>
            </w:r>
            <w:r w:rsidR="00C91EFC" w:rsidRPr="00C868E3">
              <w:rPr>
                <w:rFonts w:ascii="Times New Roman" w:eastAsia="Calibri" w:hAnsi="Times New Roman" w:cs="Times New Roman"/>
                <w:iCs/>
                <w:noProof/>
                <w:sz w:val="24"/>
                <w:szCs w:val="20"/>
              </w:rPr>
              <w:t>, анализи</w:t>
            </w:r>
            <w:r w:rsidRPr="00C868E3">
              <w:rPr>
                <w:rFonts w:ascii="Times New Roman" w:eastAsia="Calibri" w:hAnsi="Times New Roman" w:cs="Times New Roman"/>
                <w:iCs/>
                <w:noProof/>
                <w:sz w:val="24"/>
                <w:szCs w:val="20"/>
              </w:rPr>
              <w:t xml:space="preserve"> и оценки</w:t>
            </w:r>
            <w:r w:rsidR="00C91EFC" w:rsidRPr="00C868E3">
              <w:rPr>
                <w:rFonts w:ascii="Times New Roman" w:eastAsia="Calibri" w:hAnsi="Times New Roman" w:cs="Times New Roman"/>
                <w:iCs/>
                <w:noProof/>
                <w:sz w:val="24"/>
                <w:szCs w:val="20"/>
              </w:rPr>
              <w:t>, вкл.</w:t>
            </w:r>
            <w:r w:rsidRPr="00C868E3">
              <w:rPr>
                <w:rFonts w:ascii="Times New Roman" w:eastAsia="Calibri" w:hAnsi="Times New Roman" w:cs="Times New Roman"/>
                <w:iCs/>
                <w:noProof/>
                <w:sz w:val="24"/>
                <w:szCs w:val="20"/>
              </w:rPr>
              <w:t xml:space="preserve"> във връзка с изготвяне на ПУРН за периода 2028-2033 г.</w:t>
            </w:r>
          </w:p>
          <w:p w14:paraId="6E80535F" w14:textId="6B895DF2" w:rsidR="006C36B2" w:rsidRPr="00171DED" w:rsidRDefault="006C36B2" w:rsidP="00AB71D3">
            <w:pPr>
              <w:pStyle w:val="ListParagraph"/>
              <w:tabs>
                <w:tab w:val="left" w:pos="300"/>
              </w:tabs>
              <w:ind w:left="29"/>
              <w:jc w:val="both"/>
              <w:rPr>
                <w:rFonts w:ascii="Times New Roman" w:hAnsi="Times New Roman" w:cs="Times New Roman"/>
                <w:sz w:val="24"/>
                <w:szCs w:val="24"/>
              </w:rPr>
            </w:pPr>
          </w:p>
        </w:tc>
      </w:tr>
    </w:tbl>
    <w:p w14:paraId="00400908" w14:textId="103F3B14"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17, параграф 3, буква г), подточка iii):</w:t>
      </w:r>
    </w:p>
    <w:p w14:paraId="33A72FE1" w14:textId="6C8FE41F"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5A6491" w:rsidRPr="00171DED">
        <w:rPr>
          <w:rFonts w:ascii="Times New Roman" w:eastAsia="Calibri" w:hAnsi="Times New Roman" w:cs="Times New Roman"/>
          <w:i/>
          <w:noProof/>
          <w:sz w:val="24"/>
          <w:szCs w:val="20"/>
          <w:lang w:val="bg-BG" w:eastAsia="bg-BG" w:bidi="bg-BG"/>
        </w:rPr>
        <w:t xml:space="preserve"> </w:t>
      </w:r>
      <w:r w:rsidR="005A6491" w:rsidRPr="00171DED">
        <w:rPr>
          <w:rFonts w:ascii="Times New Roman" w:eastAsia="Calibri" w:hAnsi="Times New Roman" w:cs="Times New Roman"/>
          <w:iCs/>
          <w:noProof/>
          <w:sz w:val="24"/>
          <w:szCs w:val="20"/>
          <w:lang w:val="bg-BG" w:eastAsia="bg-BG" w:bidi="bg-BG"/>
        </w:rPr>
        <w:t>Населението на Република България</w:t>
      </w:r>
      <w:r w:rsidR="0073530B" w:rsidRPr="00171DED">
        <w:rPr>
          <w:rFonts w:ascii="Times New Roman" w:eastAsia="Calibri" w:hAnsi="Times New Roman" w:cs="Times New Roman"/>
          <w:iCs/>
          <w:noProof/>
          <w:sz w:val="24"/>
          <w:szCs w:val="20"/>
          <w:lang w:val="bg-BG" w:eastAsia="bg-BG" w:bidi="bg-BG"/>
        </w:rPr>
        <w:t xml:space="preserve">, </w:t>
      </w:r>
      <w:r w:rsidR="0073530B" w:rsidRPr="00171DED">
        <w:rPr>
          <w:rFonts w:ascii="Times New Roman" w:eastAsia="Calibri" w:hAnsi="Times New Roman" w:cs="Times New Roman"/>
          <w:iCs/>
          <w:noProof/>
          <w:sz w:val="24"/>
          <w:szCs w:val="20"/>
          <w:lang w:val="bg-BG"/>
        </w:rPr>
        <w:t>структурите на Единната спасителна система</w:t>
      </w:r>
      <w:r w:rsidR="00BA0CB7" w:rsidRPr="00C868E3">
        <w:rPr>
          <w:lang w:val="bg-BG"/>
        </w:rPr>
        <w:t xml:space="preserve"> </w:t>
      </w:r>
      <w:r w:rsidR="00BA0CB7" w:rsidRPr="00171DED">
        <w:rPr>
          <w:lang w:val="bg-BG"/>
        </w:rPr>
        <w:t>(</w:t>
      </w:r>
      <w:r w:rsidR="00BA0CB7" w:rsidRPr="00171DED">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r w:rsidR="005F3D04">
        <w:rPr>
          <w:rFonts w:ascii="Times New Roman" w:eastAsia="Calibri" w:hAnsi="Times New Roman" w:cs="Times New Roman"/>
          <w:iCs/>
          <w:noProof/>
          <w:sz w:val="24"/>
          <w:szCs w:val="20"/>
          <w:lang w:val="bg-BG"/>
        </w:rPr>
        <w:t>. 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p>
    <w:p w14:paraId="79F0AB9D" w14:textId="66D731E7" w:rsidR="00056133" w:rsidRPr="00171DED" w:rsidRDefault="00056133" w:rsidP="00056133">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171DED">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056133" w:rsidRPr="0010575B" w14:paraId="622A800B" w14:textId="77777777" w:rsidTr="007B49B2">
        <w:tc>
          <w:tcPr>
            <w:tcW w:w="9062" w:type="dxa"/>
          </w:tcPr>
          <w:p w14:paraId="35B2E6F3" w14:textId="77777777" w:rsidR="00485F4B" w:rsidRPr="00171DED" w:rsidRDefault="00056133" w:rsidP="00AB71D3">
            <w:pPr>
              <w:spacing w:before="120"/>
              <w:jc w:val="both"/>
            </w:pPr>
            <w:r w:rsidRPr="00171DED">
              <w:rPr>
                <w:rFonts w:ascii="Times New Roman" w:eastAsia="Calibri" w:hAnsi="Times New Roman" w:cs="Times New Roman"/>
                <w:i/>
                <w:noProof/>
                <w:sz w:val="24"/>
                <w:szCs w:val="20"/>
              </w:rPr>
              <w:t>Текстово поле [2 000]</w:t>
            </w:r>
            <w:r w:rsidR="009F5EF5" w:rsidRPr="00171DED">
              <w:t xml:space="preserve"> </w:t>
            </w:r>
          </w:p>
          <w:p w14:paraId="20F495FB" w14:textId="68A24EB8" w:rsidR="00056133" w:rsidRPr="00171DED" w:rsidRDefault="009F5EF5" w:rsidP="00AB71D3">
            <w:pPr>
              <w:spacing w:before="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w:t>
            </w:r>
            <w:r w:rsidRPr="00171DED">
              <w:rPr>
                <w:rFonts w:ascii="Times New Roman" w:eastAsia="Calibri" w:hAnsi="Times New Roman" w:cs="Times New Roman"/>
                <w:iCs/>
                <w:noProof/>
                <w:sz w:val="24"/>
                <w:szCs w:val="20"/>
              </w:rPr>
              <w:lastRenderedPageBreak/>
              <w:t xml:space="preserve">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171DED">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2FE49884" w14:textId="2B52C6A7" w:rsidR="00380438" w:rsidRPr="00171DED" w:rsidRDefault="00250902"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p>
    <w:p w14:paraId="74150D5F" w14:textId="708F8C79" w:rsidR="00B45962" w:rsidRPr="00171DED"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r w:rsidR="00B45962"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00B45962"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w:t>
      </w:r>
      <w:r w:rsidR="00D157BD" w:rsidRPr="00171DED">
        <w:rPr>
          <w:rFonts w:ascii="Times New Roman" w:eastAsia="Calibri" w:hAnsi="Times New Roman" w:cs="Times New Roman"/>
          <w:iCs/>
          <w:noProof/>
          <w:sz w:val="24"/>
          <w:szCs w:val="20"/>
          <w:lang w:val="bg-BG" w:eastAsia="bg-BG" w:bidi="bg-BG"/>
        </w:rPr>
        <w:t>,</w:t>
      </w:r>
      <w:r w:rsidR="00B45962" w:rsidRPr="00171DED">
        <w:rPr>
          <w:rFonts w:ascii="Times New Roman" w:eastAsia="Calibri" w:hAnsi="Times New Roman" w:cs="Times New Roman"/>
          <w:iCs/>
          <w:noProof/>
          <w:sz w:val="24"/>
          <w:szCs w:val="20"/>
          <w:lang w:val="bg-BG" w:eastAsia="bg-BG" w:bidi="bg-BG"/>
        </w:rPr>
        <w:t xml:space="preserve"> като приложими</w:t>
      </w:r>
      <w:r w:rsidR="00CA70FB" w:rsidRPr="00171DED">
        <w:rPr>
          <w:rFonts w:ascii="Times New Roman" w:eastAsia="Calibri" w:hAnsi="Times New Roman" w:cs="Times New Roman"/>
          <w:iCs/>
          <w:noProof/>
          <w:sz w:val="24"/>
          <w:szCs w:val="20"/>
          <w:lang w:val="bg-BG" w:eastAsia="bg-BG" w:bidi="bg-BG"/>
        </w:rPr>
        <w:t xml:space="preserve"> за финансиране по подхода за ИТИ</w:t>
      </w:r>
      <w:r w:rsidR="00B45962" w:rsidRPr="00171DED">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0D3A18" w:rsidRPr="00171DED">
        <w:rPr>
          <w:rFonts w:ascii="Times New Roman" w:eastAsia="Calibri" w:hAnsi="Times New Roman" w:cs="Times New Roman"/>
          <w:iCs/>
          <w:noProof/>
          <w:sz w:val="24"/>
          <w:szCs w:val="20"/>
          <w:lang w:val="bg-BG" w:eastAsia="bg-BG" w:bidi="bg-BG"/>
        </w:rPr>
        <w:t xml:space="preserve"> </w:t>
      </w:r>
      <w:r w:rsidR="00411C97">
        <w:rPr>
          <w:rFonts w:ascii="Times New Roman" w:eastAsia="Calibri" w:hAnsi="Times New Roman" w:cs="Times New Roman"/>
          <w:iCs/>
          <w:noProof/>
          <w:sz w:val="24"/>
          <w:szCs w:val="20"/>
          <w:lang w:val="bg-BG" w:eastAsia="bg-BG" w:bidi="bg-BG"/>
        </w:rPr>
        <w:t xml:space="preserve">и засушаване </w:t>
      </w:r>
      <w:r w:rsidR="00B45962" w:rsidRPr="00171DED">
        <w:rPr>
          <w:rFonts w:ascii="Times New Roman" w:eastAsia="Calibri" w:hAnsi="Times New Roman" w:cs="Times New Roman"/>
          <w:iCs/>
          <w:noProof/>
          <w:sz w:val="24"/>
          <w:szCs w:val="20"/>
          <w:lang w:val="bg-BG" w:eastAsia="bg-BG" w:bidi="bg-BG"/>
        </w:rPr>
        <w:t>(в т.ч. екологосъобразна инфраструктура (ако е приложимо) в комбинация със сива инфраструктура)</w:t>
      </w:r>
      <w:r w:rsidR="007037FE" w:rsidRPr="00171DED">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Това ще осигури цялостен подход към управлението на риска от наводнения</w:t>
      </w:r>
      <w:r w:rsidR="00731E1E" w:rsidRPr="00731E1E">
        <w:rPr>
          <w:rFonts w:ascii="Times New Roman" w:eastAsia="Calibri" w:hAnsi="Times New Roman" w:cs="Times New Roman"/>
          <w:iCs/>
          <w:noProof/>
          <w:sz w:val="24"/>
          <w:szCs w:val="20"/>
          <w:lang w:val="bg-BG" w:eastAsia="bg-BG" w:bidi="bg-BG"/>
        </w:rPr>
        <w:t>, като се има предвид, че мерките могат да се из</w:t>
      </w:r>
      <w:r w:rsidR="00731E1E">
        <w:rPr>
          <w:rFonts w:ascii="Times New Roman" w:eastAsia="Calibri" w:hAnsi="Times New Roman" w:cs="Times New Roman"/>
          <w:iCs/>
          <w:noProof/>
          <w:sz w:val="24"/>
          <w:szCs w:val="20"/>
          <w:lang w:val="bg-BG" w:eastAsia="bg-BG" w:bidi="bg-BG"/>
        </w:rPr>
        <w:t>пълняват</w:t>
      </w:r>
      <w:r w:rsidR="00731E1E" w:rsidRPr="00731E1E">
        <w:rPr>
          <w:rFonts w:ascii="Times New Roman" w:eastAsia="Calibri" w:hAnsi="Times New Roman" w:cs="Times New Roman"/>
          <w:iCs/>
          <w:noProof/>
          <w:sz w:val="24"/>
          <w:szCs w:val="20"/>
          <w:lang w:val="bg-BG" w:eastAsia="bg-BG" w:bidi="bg-BG"/>
        </w:rPr>
        <w:t xml:space="preserve"> координирано и допълва</w:t>
      </w:r>
      <w:r w:rsidR="00731E1E">
        <w:rPr>
          <w:rFonts w:ascii="Times New Roman" w:eastAsia="Calibri" w:hAnsi="Times New Roman" w:cs="Times New Roman"/>
          <w:iCs/>
          <w:noProof/>
          <w:sz w:val="24"/>
          <w:szCs w:val="20"/>
          <w:lang w:val="bg-BG" w:eastAsia="bg-BG" w:bidi="bg-BG"/>
        </w:rPr>
        <w:t>що</w:t>
      </w:r>
      <w:r w:rsidR="00731E1E" w:rsidRPr="00731E1E">
        <w:rPr>
          <w:rFonts w:ascii="Times New Roman" w:eastAsia="Calibri" w:hAnsi="Times New Roman" w:cs="Times New Roman"/>
          <w:iCs/>
          <w:noProof/>
          <w:sz w:val="24"/>
          <w:szCs w:val="20"/>
          <w:lang w:val="bg-BG" w:eastAsia="bg-BG" w:bidi="bg-BG"/>
        </w:rPr>
        <w:t xml:space="preserve"> от различните отговорни заинтересовани страни</w:t>
      </w:r>
      <w:r w:rsidR="00731E1E">
        <w:rPr>
          <w:rFonts w:ascii="Times New Roman" w:eastAsia="Calibri" w:hAnsi="Times New Roman" w:cs="Times New Roman"/>
          <w:iCs/>
          <w:noProof/>
          <w:sz w:val="24"/>
          <w:szCs w:val="20"/>
          <w:lang w:val="bg-BG" w:eastAsia="bg-BG" w:bidi="bg-BG"/>
        </w:rPr>
        <w:t xml:space="preserve">, например </w:t>
      </w:r>
      <w:r w:rsidR="00731E1E" w:rsidRPr="00731E1E">
        <w:rPr>
          <w:rFonts w:ascii="Times New Roman" w:eastAsia="Calibri" w:hAnsi="Times New Roman" w:cs="Times New Roman"/>
          <w:iCs/>
          <w:noProof/>
          <w:sz w:val="24"/>
          <w:szCs w:val="20"/>
          <w:lang w:val="bg-BG" w:eastAsia="bg-BG" w:bidi="bg-BG"/>
        </w:rPr>
        <w:t xml:space="preserve"> общин</w:t>
      </w:r>
      <w:r w:rsidR="00731E1E">
        <w:rPr>
          <w:rFonts w:ascii="Times New Roman" w:eastAsia="Calibri" w:hAnsi="Times New Roman" w:cs="Times New Roman"/>
          <w:iCs/>
          <w:noProof/>
          <w:sz w:val="24"/>
          <w:szCs w:val="20"/>
          <w:lang w:val="bg-BG" w:eastAsia="bg-BG" w:bidi="bg-BG"/>
        </w:rPr>
        <w:t>ата</w:t>
      </w:r>
      <w:r w:rsidR="00731E1E" w:rsidRPr="00731E1E">
        <w:rPr>
          <w:rFonts w:ascii="Times New Roman" w:eastAsia="Calibri" w:hAnsi="Times New Roman" w:cs="Times New Roman"/>
          <w:iCs/>
          <w:noProof/>
          <w:sz w:val="24"/>
          <w:szCs w:val="20"/>
          <w:lang w:val="bg-BG" w:eastAsia="bg-BG" w:bidi="bg-BG"/>
        </w:rPr>
        <w:t xml:space="preserve"> – по течението на реката на територията на общината, и областния управител - по поречието на реката на територията на региона, в съответствие с техните правомощия и отговорности.</w:t>
      </w:r>
    </w:p>
    <w:p w14:paraId="6FBBD6A4" w14:textId="4E0CECC7" w:rsidR="00BC6A96"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CA70FB" w:rsidRPr="00171DED">
        <w:rPr>
          <w:rFonts w:ascii="Times New Roman" w:eastAsia="Calibri" w:hAnsi="Times New Roman" w:cs="Times New Roman"/>
          <w:iCs/>
          <w:noProof/>
          <w:sz w:val="24"/>
          <w:szCs w:val="20"/>
          <w:lang w:val="bg-BG" w:eastAsia="bg-BG" w:bidi="bg-BG"/>
        </w:rPr>
        <w:t>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4D1A39">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от</w:t>
      </w:r>
      <w:r w:rsidR="00CA70FB" w:rsidRPr="00171DED">
        <w:rPr>
          <w:rFonts w:ascii="Times New Roman" w:eastAsia="Calibri" w:hAnsi="Times New Roman" w:cs="Times New Roman"/>
          <w:iCs/>
          <w:noProof/>
          <w:sz w:val="24"/>
          <w:szCs w:val="20"/>
          <w:lang w:val="bg-BG" w:eastAsia="bg-BG" w:bidi="bg-BG"/>
        </w:rPr>
        <w:t xml:space="preserve"> </w:t>
      </w:r>
      <w:r w:rsidR="00CA70FB" w:rsidRPr="00171DED">
        <w:rPr>
          <w:rFonts w:ascii="Times New Roman" w:eastAsia="Calibri" w:hAnsi="Times New Roman" w:cs="Times New Roman"/>
          <w:iCs/>
          <w:noProof/>
          <w:sz w:val="24"/>
          <w:szCs w:val="20"/>
          <w:lang w:eastAsia="bg-BG" w:bidi="bg-BG"/>
        </w:rPr>
        <w:t>NUTS</w:t>
      </w:r>
      <w:r w:rsidR="006A1646" w:rsidRPr="00171DED">
        <w:rPr>
          <w:rFonts w:ascii="Times New Roman" w:eastAsia="Calibri" w:hAnsi="Times New Roman" w:cs="Times New Roman"/>
          <w:iCs/>
          <w:noProof/>
          <w:sz w:val="24"/>
          <w:szCs w:val="20"/>
          <w:lang w:val="bg-BG" w:eastAsia="bg-BG" w:bidi="bg-BG"/>
        </w:rPr>
        <w:t xml:space="preserve"> 2</w:t>
      </w:r>
      <w:r w:rsidRPr="00171DED">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3F0E62A" w14:textId="3376494E" w:rsidR="00EE3315" w:rsidRPr="00171DED" w:rsidRDefault="00EE3315"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9B2DCC" w:rsidRPr="00171DED">
        <w:rPr>
          <w:rFonts w:ascii="Times New Roman" w:eastAsia="Calibri" w:hAnsi="Times New Roman" w:cs="Times New Roman"/>
          <w:iCs/>
          <w:noProof/>
          <w:sz w:val="24"/>
          <w:szCs w:val="20"/>
          <w:lang w:val="bg-BG" w:eastAsia="bg-BG" w:bidi="bg-BG"/>
        </w:rPr>
        <w:t>т</w:t>
      </w:r>
      <w:r w:rsidR="00CA70FB" w:rsidRPr="00171DED">
        <w:rPr>
          <w:rFonts w:ascii="Times New Roman" w:eastAsia="Calibri" w:hAnsi="Times New Roman" w:cs="Times New Roman"/>
          <w:iCs/>
          <w:noProof/>
          <w:sz w:val="24"/>
          <w:szCs w:val="20"/>
          <w:lang w:eastAsia="bg-BG" w:bidi="bg-BG"/>
        </w:rPr>
        <w:t>e</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Регионалните съвети за развитие. Демаркация ще бъде осигурена и на етап подбор на проектни предложения, </w:t>
      </w:r>
      <w:bookmarkStart w:id="9" w:name="_Hlk51164659"/>
      <w:r w:rsidR="00CA70FB" w:rsidRPr="00171DED">
        <w:rPr>
          <w:rFonts w:ascii="Times New Roman" w:eastAsia="Calibri" w:hAnsi="Times New Roman" w:cs="Times New Roman"/>
          <w:iCs/>
          <w:noProof/>
          <w:sz w:val="24"/>
          <w:szCs w:val="20"/>
          <w:lang w:val="bg-BG" w:eastAsia="bg-BG" w:bidi="bg-BG"/>
        </w:rPr>
        <w:t>осъществяван</w:t>
      </w:r>
      <w:bookmarkEnd w:id="9"/>
      <w:r w:rsidR="00CA70F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142657DA" w14:textId="5CD59DF3" w:rsidR="00BC6A96" w:rsidRPr="00171DED" w:rsidRDefault="00BC6A96"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6E624085" w14:textId="5BEF7167" w:rsidR="007D6A35" w:rsidRPr="00AF02C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Pr="00AF02C9">
        <w:rPr>
          <w:rFonts w:ascii="Times New Roman" w:eastAsia="Calibri" w:hAnsi="Times New Roman" w:cs="Times New Roman"/>
          <w:i/>
          <w:noProof/>
          <w:sz w:val="24"/>
          <w:szCs w:val="20"/>
          <w:lang w:val="bg-BG" w:eastAsia="bg-BG" w:bidi="bg-BG"/>
        </w:rPr>
        <w:t>]</w:t>
      </w:r>
      <w:r w:rsidR="00BB64D1" w:rsidRPr="00AF02C9">
        <w:rPr>
          <w:rFonts w:ascii="Times New Roman" w:eastAsia="Calibri" w:hAnsi="Times New Roman" w:cs="Times New Roman"/>
          <w:i/>
          <w:noProof/>
          <w:sz w:val="24"/>
          <w:szCs w:val="20"/>
          <w:lang w:val="bg-BG" w:eastAsia="bg-BG" w:bidi="bg-BG"/>
        </w:rPr>
        <w:t xml:space="preserve"> </w:t>
      </w:r>
      <w:r w:rsidR="007D6A35" w:rsidRPr="00AF02C9">
        <w:rPr>
          <w:rFonts w:ascii="Times New Roman" w:eastAsia="Calibri" w:hAnsi="Times New Roman" w:cs="Times New Roman"/>
          <w:iCs/>
          <w:noProof/>
          <w:sz w:val="24"/>
          <w:szCs w:val="20"/>
          <w:lang w:val="bg-BG" w:eastAsia="bg-BG" w:bidi="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5 </w:t>
      </w:r>
      <w:r w:rsidR="00D57139" w:rsidRPr="00AF02C9">
        <w:rPr>
          <w:rFonts w:ascii="Times New Roman" w:eastAsia="Calibri" w:hAnsi="Times New Roman" w:cs="Times New Roman"/>
          <w:iCs/>
          <w:noProof/>
          <w:sz w:val="24"/>
          <w:szCs w:val="20"/>
          <w:lang w:val="bg-BG" w:eastAsia="bg-BG" w:bidi="bg-BG"/>
        </w:rPr>
        <w:t>„</w:t>
      </w:r>
      <w:r w:rsidR="007D6A35" w:rsidRPr="00AF02C9">
        <w:rPr>
          <w:rFonts w:ascii="Times New Roman" w:eastAsia="Calibri" w:hAnsi="Times New Roman" w:cs="Times New Roman"/>
          <w:iCs/>
          <w:noProof/>
          <w:sz w:val="24"/>
          <w:szCs w:val="20"/>
          <w:lang w:val="bg-BG" w:eastAsia="bg-BG" w:bidi="bg-BG"/>
        </w:rPr>
        <w:t>Екологични рискове</w:t>
      </w:r>
      <w:r w:rsidR="00D57139" w:rsidRPr="00AF02C9">
        <w:rPr>
          <w:rFonts w:ascii="Times New Roman" w:eastAsia="Calibri" w:hAnsi="Times New Roman" w:cs="Times New Roman"/>
          <w:iCs/>
          <w:noProof/>
          <w:sz w:val="24"/>
          <w:szCs w:val="20"/>
          <w:lang w:val="bg-BG" w:eastAsia="bg-BG" w:bidi="bg-BG"/>
        </w:rPr>
        <w:t>“</w:t>
      </w:r>
      <w:r w:rsidR="007D6A35" w:rsidRPr="00AF02C9">
        <w:rPr>
          <w:rFonts w:ascii="Times New Roman" w:eastAsia="Calibri" w:hAnsi="Times New Roman" w:cs="Times New Roman"/>
          <w:iCs/>
          <w:noProof/>
          <w:sz w:val="24"/>
          <w:szCs w:val="20"/>
          <w:lang w:val="bg-BG" w:eastAsia="bg-BG" w:bidi="bg-BG"/>
        </w:rPr>
        <w:t xml:space="preserve">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чрез допустимите дейности по отношение на процесите, свързани с движение на земни маси</w:t>
      </w:r>
      <w:r w:rsidR="00EA2CF8">
        <w:rPr>
          <w:rFonts w:ascii="Times New Roman" w:eastAsia="Calibri" w:hAnsi="Times New Roman" w:cs="Times New Roman"/>
          <w:iCs/>
          <w:noProof/>
          <w:sz w:val="24"/>
          <w:szCs w:val="20"/>
          <w:lang w:val="bg-BG" w:eastAsia="bg-BG" w:bidi="bg-BG"/>
        </w:rPr>
        <w:t xml:space="preserve"> и мерките в ПУРН</w:t>
      </w:r>
      <w:r w:rsidR="007D6A35" w:rsidRPr="00AF02C9">
        <w:rPr>
          <w:rFonts w:ascii="Times New Roman" w:eastAsia="Calibri" w:hAnsi="Times New Roman" w:cs="Times New Roman"/>
          <w:iCs/>
          <w:noProof/>
          <w:sz w:val="24"/>
          <w:szCs w:val="20"/>
          <w:lang w:val="bg-BG" w:eastAsia="bg-BG" w:bidi="bg-BG"/>
        </w:rPr>
        <w:t xml:space="preserve">. </w:t>
      </w:r>
    </w:p>
    <w:p w14:paraId="42CAEC0D" w14:textId="09E397B5" w:rsidR="00BB64D1" w:rsidRPr="00171DED" w:rsidRDefault="00EA2CF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eastAsia="bg-BG" w:bidi="bg-BG"/>
        </w:rPr>
        <w:t>В</w:t>
      </w:r>
      <w:r w:rsidR="007D6A35" w:rsidRPr="00AF02C9">
        <w:rPr>
          <w:rFonts w:ascii="Times New Roman" w:eastAsia="Calibri" w:hAnsi="Times New Roman" w:cs="Times New Roman"/>
          <w:iCs/>
          <w:noProof/>
          <w:sz w:val="24"/>
          <w:szCs w:val="20"/>
          <w:lang w:val="bg-BG" w:eastAsia="bg-BG" w:bidi="bg-BG"/>
        </w:rPr>
        <w:t xml:space="preserve"> рамките на планираните интервенции за повишаване на капацитета на силите за реагиране в случай на пожари</w:t>
      </w:r>
      <w:r w:rsidR="000811AF" w:rsidRPr="00AF02C9">
        <w:rPr>
          <w:rFonts w:ascii="Times New Roman" w:eastAsia="Calibri" w:hAnsi="Times New Roman" w:cs="Times New Roman"/>
          <w:iCs/>
          <w:noProof/>
          <w:sz w:val="24"/>
          <w:szCs w:val="20"/>
          <w:lang w:val="bg-BG" w:eastAsia="bg-BG" w:bidi="bg-BG"/>
        </w:rPr>
        <w:t>,</w:t>
      </w:r>
      <w:r w:rsidR="007D6A35" w:rsidRPr="00AF02C9">
        <w:rPr>
          <w:rFonts w:ascii="Times New Roman" w:eastAsia="Calibri" w:hAnsi="Times New Roman" w:cs="Times New Roman"/>
          <w:iCs/>
          <w:noProof/>
          <w:sz w:val="24"/>
          <w:szCs w:val="20"/>
          <w:lang w:val="bg-BG" w:eastAsia="bg-BG" w:bidi="bg-BG"/>
        </w:rPr>
        <w:t xml:space="preserve"> се планира трансгранично сътрудничество за съвместно участие при прилагане на очакваните резултати, с което допълнително ще се подчертае и стабилитета на изпълняваните до момента проекти в рамките на програмите </w:t>
      </w:r>
      <w:r w:rsidR="007D6A35" w:rsidRPr="00AF02C9">
        <w:rPr>
          <w:rFonts w:ascii="Times New Roman" w:eastAsia="Calibri" w:hAnsi="Times New Roman" w:cs="Times New Roman"/>
          <w:iCs/>
          <w:noProof/>
          <w:sz w:val="24"/>
          <w:szCs w:val="20"/>
          <w:lang w:val="bg-BG" w:eastAsia="bg-BG" w:bidi="bg-BG"/>
        </w:rPr>
        <w:lastRenderedPageBreak/>
        <w:t>ИНТЕРРЕГ</w:t>
      </w:r>
      <w:r>
        <w:rPr>
          <w:rFonts w:ascii="Times New Roman" w:eastAsia="Calibri" w:hAnsi="Times New Roman" w:cs="Times New Roman"/>
          <w:iCs/>
          <w:noProof/>
          <w:sz w:val="24"/>
          <w:szCs w:val="20"/>
          <w:lang w:val="bg-BG" w:eastAsia="bg-BG" w:bidi="bg-BG"/>
        </w:rPr>
        <w:t>-ИПП-</w:t>
      </w:r>
      <w:r w:rsidR="007D6A35" w:rsidRPr="00AF02C9">
        <w:rPr>
          <w:rFonts w:ascii="Times New Roman" w:eastAsia="Calibri" w:hAnsi="Times New Roman" w:cs="Times New Roman"/>
          <w:iCs/>
          <w:noProof/>
          <w:sz w:val="24"/>
          <w:szCs w:val="20"/>
          <w:lang w:val="bg-BG" w:eastAsia="bg-BG" w:bidi="bg-BG"/>
        </w:rPr>
        <w:t xml:space="preserve">България – Турция </w:t>
      </w:r>
      <w:r>
        <w:rPr>
          <w:rFonts w:ascii="Times New Roman" w:eastAsia="Calibri" w:hAnsi="Times New Roman" w:cs="Times New Roman"/>
          <w:iCs/>
          <w:noProof/>
          <w:sz w:val="24"/>
          <w:szCs w:val="20"/>
          <w:lang w:val="bg-BG" w:eastAsia="bg-BG" w:bidi="bg-BG"/>
        </w:rPr>
        <w:t xml:space="preserve">2014 – 2020 </w:t>
      </w:r>
      <w:r w:rsidR="007D6A35" w:rsidRPr="00AF02C9">
        <w:rPr>
          <w:rFonts w:ascii="Times New Roman" w:eastAsia="Calibri" w:hAnsi="Times New Roman" w:cs="Times New Roman"/>
          <w:iCs/>
          <w:noProof/>
          <w:sz w:val="24"/>
          <w:szCs w:val="20"/>
          <w:lang w:val="bg-BG" w:eastAsia="bg-BG" w:bidi="bg-BG"/>
        </w:rPr>
        <w:t xml:space="preserve">и </w:t>
      </w:r>
      <w:r>
        <w:rPr>
          <w:rFonts w:ascii="Times New Roman" w:eastAsia="Calibri" w:hAnsi="Times New Roman" w:cs="Times New Roman"/>
          <w:iCs/>
          <w:noProof/>
          <w:sz w:val="24"/>
          <w:szCs w:val="20"/>
          <w:lang w:val="bg-BG" w:eastAsia="bg-BG" w:bidi="bg-BG"/>
        </w:rPr>
        <w:t xml:space="preserve">ИНТЕРРЕГ-V-А Гърция – </w:t>
      </w:r>
      <w:r w:rsidR="007D6A35" w:rsidRPr="00AF02C9">
        <w:rPr>
          <w:rFonts w:ascii="Times New Roman" w:eastAsia="Calibri" w:hAnsi="Times New Roman" w:cs="Times New Roman"/>
          <w:iCs/>
          <w:noProof/>
          <w:sz w:val="24"/>
          <w:szCs w:val="20"/>
          <w:lang w:val="bg-BG" w:eastAsia="bg-BG" w:bidi="bg-BG"/>
        </w:rPr>
        <w:t>България</w:t>
      </w:r>
      <w:r>
        <w:rPr>
          <w:rFonts w:ascii="Times New Roman" w:eastAsia="Calibri" w:hAnsi="Times New Roman" w:cs="Times New Roman"/>
          <w:iCs/>
          <w:noProof/>
          <w:sz w:val="24"/>
          <w:szCs w:val="20"/>
          <w:lang w:val="bg-BG" w:eastAsia="bg-BG" w:bidi="bg-BG"/>
        </w:rPr>
        <w:t xml:space="preserve"> 2014 – 2020.</w:t>
      </w:r>
    </w:p>
    <w:p w14:paraId="7DCE74ED" w14:textId="193420C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250902" w:rsidRPr="00171DED">
        <w:rPr>
          <w:rFonts w:ascii="Times New Roman" w:eastAsia="Calibri" w:hAnsi="Times New Roman" w:cs="Times New Roman"/>
          <w:i/>
          <w:noProof/>
          <w:sz w:val="24"/>
          <w:szCs w:val="20"/>
          <w:lang w:val="bg-BG" w:eastAsia="bg-BG" w:bidi="bg-BG"/>
        </w:rPr>
        <w:t xml:space="preserve"> от ОР</w:t>
      </w:r>
    </w:p>
    <w:p w14:paraId="7468AFDD" w14:textId="7A67D099"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1A4A80" w:rsidRPr="00171DED">
        <w:rPr>
          <w:lang w:val="bg-BG"/>
        </w:rPr>
        <w:t xml:space="preserve"> </w:t>
      </w:r>
      <w:r w:rsidR="00503337" w:rsidRPr="00171DED">
        <w:rPr>
          <w:rFonts w:ascii="Times New Roman" w:eastAsia="Calibri" w:hAnsi="Times New Roman" w:cs="Times New Roman"/>
          <w:noProof/>
          <w:sz w:val="24"/>
          <w:szCs w:val="20"/>
          <w:lang w:val="bg-BG" w:eastAsia="bg-BG" w:bidi="bg-BG"/>
        </w:rPr>
        <w:t>Не се планира използване на ФИ</w:t>
      </w:r>
      <w:r w:rsidR="00AC7E5D" w:rsidRPr="00171DED">
        <w:rPr>
          <w:rFonts w:ascii="Times New Roman" w:eastAsia="Calibri" w:hAnsi="Times New Roman" w:cs="Times New Roman"/>
          <w:noProof/>
          <w:sz w:val="24"/>
          <w:szCs w:val="20"/>
          <w:lang w:val="bg-BG" w:eastAsia="bg-BG" w:bidi="bg-BG"/>
        </w:rPr>
        <w:t>.</w:t>
      </w:r>
    </w:p>
    <w:p w14:paraId="6F2FB694" w14:textId="219BCE5C"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147C515E"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713"/>
        <w:gridCol w:w="682"/>
        <w:gridCol w:w="927"/>
        <w:gridCol w:w="598"/>
        <w:gridCol w:w="1797"/>
        <w:gridCol w:w="773"/>
        <w:gridCol w:w="707"/>
        <w:gridCol w:w="813"/>
      </w:tblGrid>
      <w:tr w:rsidR="0022545E" w:rsidRPr="0010575B" w14:paraId="395AF297" w14:textId="77777777" w:rsidTr="004148FC">
        <w:trPr>
          <w:trHeight w:val="425"/>
        </w:trPr>
        <w:tc>
          <w:tcPr>
            <w:tcW w:w="5000" w:type="pct"/>
            <w:gridSpan w:val="9"/>
          </w:tcPr>
          <w:p w14:paraId="004A3189" w14:textId="77777777" w:rsidR="0022545E" w:rsidRPr="00171DED" w:rsidRDefault="0022545E" w:rsidP="00AB71D3">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C252C1" w:rsidRPr="00171DED" w14:paraId="001793DA" w14:textId="77777777" w:rsidTr="000D3A18">
        <w:trPr>
          <w:trHeight w:val="1647"/>
        </w:trPr>
        <w:tc>
          <w:tcPr>
            <w:tcW w:w="580" w:type="pct"/>
          </w:tcPr>
          <w:p w14:paraId="71196FEF"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926" w:type="pct"/>
          </w:tcPr>
          <w:p w14:paraId="77E80D52" w14:textId="71486328"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71" w:type="pct"/>
          </w:tcPr>
          <w:p w14:paraId="1C53F967"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03" w:type="pct"/>
          </w:tcPr>
          <w:p w14:paraId="5C93AC93"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06" w:type="pct"/>
          </w:tcPr>
          <w:p w14:paraId="28505A2C"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971" w:type="pct"/>
            <w:shd w:val="clear" w:color="auto" w:fill="auto"/>
          </w:tcPr>
          <w:p w14:paraId="2DA00A80"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19" w:type="pct"/>
          </w:tcPr>
          <w:p w14:paraId="6FBF9309"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4" w:type="pct"/>
            <w:shd w:val="clear" w:color="auto" w:fill="auto"/>
          </w:tcPr>
          <w:p w14:paraId="2378A580"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6671E242"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p>
        </w:tc>
        <w:tc>
          <w:tcPr>
            <w:tcW w:w="441" w:type="pct"/>
            <w:shd w:val="clear" w:color="auto" w:fill="auto"/>
          </w:tcPr>
          <w:p w14:paraId="3A01F81C"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789826DB"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p>
        </w:tc>
      </w:tr>
      <w:tr w:rsidR="00E83887" w:rsidRPr="00171DED" w14:paraId="35C8514B" w14:textId="77777777" w:rsidTr="00792879">
        <w:trPr>
          <w:trHeight w:val="597"/>
        </w:trPr>
        <w:tc>
          <w:tcPr>
            <w:tcW w:w="580" w:type="pct"/>
            <w:vMerge w:val="restart"/>
            <w:vAlign w:val="center"/>
          </w:tcPr>
          <w:p w14:paraId="238FC214" w14:textId="299E6E01" w:rsidR="00E83887" w:rsidRPr="00171DED" w:rsidRDefault="00E83887" w:rsidP="00792879">
            <w:pPr>
              <w:spacing w:before="120" w:after="120" w:line="240" w:lineRule="auto"/>
              <w:rPr>
                <w:rFonts w:ascii="Times New Roman" w:hAnsi="Times New Roman"/>
                <w:bCs/>
                <w:noProof/>
                <w:sz w:val="20"/>
                <w:szCs w:val="20"/>
                <w:lang w:val="bg-BG" w:eastAsia="bg-BG" w:bidi="bg-BG"/>
              </w:rPr>
            </w:pPr>
            <w:r w:rsidRPr="00171DED">
              <w:rPr>
                <w:rFonts w:ascii="Times New Roman" w:hAnsi="Times New Roman"/>
                <w:bCs/>
                <w:noProof/>
                <w:sz w:val="20"/>
                <w:szCs w:val="20"/>
                <w:lang w:val="bg-BG" w:eastAsia="bg-BG" w:bidi="bg-BG"/>
              </w:rPr>
              <w:t>„Риск и изменение на климата“</w:t>
            </w:r>
          </w:p>
          <w:p w14:paraId="5D152F5D"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p>
        </w:tc>
        <w:tc>
          <w:tcPr>
            <w:tcW w:w="926" w:type="pct"/>
            <w:vMerge w:val="restart"/>
            <w:vAlign w:val="center"/>
          </w:tcPr>
          <w:p w14:paraId="10C6EFCF" w14:textId="7E0946A2" w:rsidR="00E83887" w:rsidRPr="00171DED" w:rsidRDefault="00A3634C" w:rsidP="00792879">
            <w:pPr>
              <w:spacing w:before="120" w:after="120" w:line="240" w:lineRule="auto"/>
              <w:rPr>
                <w:rFonts w:ascii="Times New Roman" w:hAnsi="Times New Roman"/>
                <w:noProof/>
                <w:sz w:val="20"/>
                <w:szCs w:val="20"/>
                <w:lang w:val="bg-BG" w:eastAsia="bg-BG" w:bidi="bg-BG"/>
              </w:rPr>
            </w:pPr>
            <w:r>
              <w:rPr>
                <w:rFonts w:ascii="Times New Roman" w:hAnsi="Times New Roman"/>
                <w:bCs/>
                <w:noProof/>
                <w:sz w:val="20"/>
                <w:szCs w:val="20"/>
                <w:lang w:val="bg-BG" w:eastAsia="bg-BG" w:bidi="bg-BG"/>
              </w:rPr>
              <w:t>„</w:t>
            </w:r>
            <w:r w:rsidR="00E83887" w:rsidRPr="00171DED">
              <w:rPr>
                <w:rFonts w:ascii="Times New Roman" w:hAnsi="Times New Roman"/>
                <w:bCs/>
                <w:noProof/>
                <w:sz w:val="20"/>
                <w:szCs w:val="20"/>
                <w:lang w:val="bg-BG" w:eastAsia="bg-BG" w:bidi="bg-BG"/>
              </w:rPr>
              <w:t>Насърчаване на адаптирането към изменението на климата, на предотвратяването и управлението на риска</w:t>
            </w:r>
            <w:r>
              <w:rPr>
                <w:rFonts w:ascii="Times New Roman" w:hAnsi="Times New Roman"/>
                <w:bCs/>
                <w:noProof/>
                <w:sz w:val="20"/>
                <w:szCs w:val="20"/>
                <w:lang w:val="bg-BG" w:eastAsia="bg-BG" w:bidi="bg-BG"/>
              </w:rPr>
              <w:t>“</w:t>
            </w:r>
          </w:p>
        </w:tc>
        <w:tc>
          <w:tcPr>
            <w:tcW w:w="371" w:type="pct"/>
            <w:vMerge w:val="restart"/>
            <w:vAlign w:val="center"/>
          </w:tcPr>
          <w:p w14:paraId="3AEA96B1"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ЕФРР</w:t>
            </w:r>
          </w:p>
        </w:tc>
        <w:tc>
          <w:tcPr>
            <w:tcW w:w="503" w:type="pct"/>
            <w:vAlign w:val="center"/>
          </w:tcPr>
          <w:p w14:paraId="54A3CA82" w14:textId="77777777"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2A9CBEA3"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RCO 24 </w:t>
            </w:r>
          </w:p>
        </w:tc>
        <w:tc>
          <w:tcPr>
            <w:tcW w:w="971" w:type="pct"/>
            <w:vMerge w:val="restart"/>
            <w:shd w:val="clear" w:color="auto" w:fill="auto"/>
            <w:vAlign w:val="center"/>
          </w:tcPr>
          <w:p w14:paraId="5A4A2BC9" w14:textId="0110D72B"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Инвестиции в нови или усъвършенствани системи за наблюдение на бедствия, за готовност и за предупреждение и реагиране</w:t>
            </w:r>
          </w:p>
        </w:tc>
        <w:tc>
          <w:tcPr>
            <w:tcW w:w="419" w:type="pct"/>
            <w:vMerge w:val="restart"/>
            <w:vAlign w:val="center"/>
          </w:tcPr>
          <w:p w14:paraId="6A7E9D2D" w14:textId="00ED47BF" w:rsidR="00E83887" w:rsidRPr="00E42C39" w:rsidRDefault="00E83887" w:rsidP="00792879">
            <w:pPr>
              <w:spacing w:before="120" w:after="120" w:line="240" w:lineRule="auto"/>
              <w:rPr>
                <w:rFonts w:ascii="Times New Roman" w:hAnsi="Times New Roman"/>
                <w:bCs/>
                <w:iCs/>
                <w:noProof/>
                <w:sz w:val="20"/>
                <w:szCs w:val="20"/>
                <w:lang w:val="bg-BG" w:eastAsia="bg-BG" w:bidi="bg-BG"/>
              </w:rPr>
            </w:pPr>
            <w:r w:rsidRPr="00E42C39">
              <w:rPr>
                <w:rFonts w:ascii="Times New Roman" w:hAnsi="Times New Roman"/>
                <w:bCs/>
                <w:iCs/>
                <w:noProof/>
                <w:sz w:val="20"/>
                <w:szCs w:val="20"/>
                <w:lang w:val="bg-BG" w:eastAsia="bg-BG" w:bidi="bg-BG"/>
              </w:rPr>
              <w:t>Евро</w:t>
            </w:r>
          </w:p>
        </w:tc>
        <w:tc>
          <w:tcPr>
            <w:tcW w:w="384" w:type="pct"/>
            <w:vMerge w:val="restart"/>
            <w:shd w:val="clear" w:color="auto" w:fill="auto"/>
            <w:vAlign w:val="center"/>
          </w:tcPr>
          <w:p w14:paraId="1660BB6A" w14:textId="02EA7B0C"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180292D9" w14:textId="7B3FB1AC" w:rsidR="00E83887" w:rsidRPr="00171DED" w:rsidRDefault="00F0372F"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 xml:space="preserve">62 </w:t>
            </w:r>
            <w:r w:rsidR="00EE3315" w:rsidRPr="00171DED">
              <w:rPr>
                <w:rFonts w:ascii="Times New Roman" w:hAnsi="Times New Roman"/>
                <w:bCs/>
                <w:iCs/>
                <w:noProof/>
                <w:sz w:val="16"/>
                <w:szCs w:val="16"/>
                <w:lang w:val="bg-BG" w:eastAsia="bg-BG" w:bidi="bg-BG"/>
              </w:rPr>
              <w:t>000 000</w:t>
            </w:r>
          </w:p>
        </w:tc>
      </w:tr>
      <w:tr w:rsidR="000D3A18" w:rsidRPr="00171DED" w14:paraId="7ABD1A78" w14:textId="77777777" w:rsidTr="00792879">
        <w:trPr>
          <w:trHeight w:val="1400"/>
        </w:trPr>
        <w:tc>
          <w:tcPr>
            <w:tcW w:w="580" w:type="pct"/>
            <w:vMerge/>
            <w:vAlign w:val="center"/>
          </w:tcPr>
          <w:p w14:paraId="60E38881" w14:textId="77777777" w:rsidR="000D3A18" w:rsidRPr="00171DED" w:rsidRDefault="000D3A18" w:rsidP="00584F2A">
            <w:pPr>
              <w:spacing w:before="120" w:after="120" w:line="240" w:lineRule="auto"/>
              <w:rPr>
                <w:rFonts w:ascii="Times New Roman" w:hAnsi="Times New Roman"/>
                <w:bCs/>
                <w:noProof/>
                <w:sz w:val="20"/>
                <w:szCs w:val="20"/>
                <w:lang w:val="bg-BG" w:eastAsia="bg-BG" w:bidi="bg-BG"/>
              </w:rPr>
            </w:pPr>
          </w:p>
        </w:tc>
        <w:tc>
          <w:tcPr>
            <w:tcW w:w="926" w:type="pct"/>
            <w:vMerge/>
            <w:vAlign w:val="center"/>
          </w:tcPr>
          <w:p w14:paraId="13F8AA09" w14:textId="77777777" w:rsidR="000D3A18" w:rsidRPr="00171DED" w:rsidRDefault="000D3A18" w:rsidP="00584F2A">
            <w:pPr>
              <w:spacing w:before="120" w:after="120" w:line="240" w:lineRule="auto"/>
              <w:rPr>
                <w:rFonts w:ascii="Times New Roman" w:hAnsi="Times New Roman"/>
                <w:bCs/>
                <w:noProof/>
                <w:sz w:val="20"/>
                <w:szCs w:val="20"/>
                <w:lang w:eastAsia="bg-BG" w:bidi="bg-BG"/>
              </w:rPr>
            </w:pPr>
          </w:p>
        </w:tc>
        <w:tc>
          <w:tcPr>
            <w:tcW w:w="371" w:type="pct"/>
            <w:vMerge/>
            <w:vAlign w:val="center"/>
          </w:tcPr>
          <w:p w14:paraId="459FE7B2" w14:textId="77777777" w:rsidR="000D3A18" w:rsidRPr="00171DED" w:rsidRDefault="000D3A18" w:rsidP="00584F2A">
            <w:pPr>
              <w:spacing w:before="120" w:after="120" w:line="240" w:lineRule="auto"/>
              <w:rPr>
                <w:rFonts w:ascii="Times New Roman" w:hAnsi="Times New Roman"/>
                <w:i/>
                <w:noProof/>
                <w:sz w:val="20"/>
                <w:szCs w:val="20"/>
                <w:lang w:val="bg-BG" w:eastAsia="bg-BG" w:bidi="bg-BG"/>
              </w:rPr>
            </w:pPr>
          </w:p>
        </w:tc>
        <w:tc>
          <w:tcPr>
            <w:tcW w:w="503" w:type="pct"/>
            <w:vAlign w:val="center"/>
          </w:tcPr>
          <w:p w14:paraId="22887BFF" w14:textId="77777777" w:rsidR="000D3A18" w:rsidRPr="00171DED" w:rsidRDefault="000D3A18"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vAlign w:val="center"/>
          </w:tcPr>
          <w:p w14:paraId="6909A16D" w14:textId="77777777" w:rsidR="000D3A18" w:rsidRPr="00171DED" w:rsidRDefault="000D3A18" w:rsidP="00584F2A">
            <w:pPr>
              <w:spacing w:before="120" w:after="120" w:line="240" w:lineRule="auto"/>
              <w:rPr>
                <w:rFonts w:ascii="Times New Roman" w:hAnsi="Times New Roman"/>
                <w:noProof/>
                <w:sz w:val="20"/>
                <w:szCs w:val="20"/>
                <w:lang w:val="bg-BG" w:eastAsia="bg-BG" w:bidi="bg-BG"/>
              </w:rPr>
            </w:pPr>
          </w:p>
        </w:tc>
        <w:tc>
          <w:tcPr>
            <w:tcW w:w="971" w:type="pct"/>
            <w:vMerge/>
            <w:shd w:val="clear" w:color="auto" w:fill="auto"/>
            <w:vAlign w:val="center"/>
          </w:tcPr>
          <w:p w14:paraId="3182D0DA" w14:textId="77777777" w:rsidR="000D3A18" w:rsidRPr="00171DED" w:rsidRDefault="000D3A18" w:rsidP="00584F2A">
            <w:pPr>
              <w:spacing w:before="120" w:after="120" w:line="240" w:lineRule="auto"/>
              <w:rPr>
                <w:rFonts w:ascii="Times New Roman" w:hAnsi="Times New Roman"/>
                <w:noProof/>
                <w:sz w:val="20"/>
                <w:szCs w:val="20"/>
                <w:lang w:val="bg-BG" w:eastAsia="bg-BG" w:bidi="bg-BG"/>
              </w:rPr>
            </w:pPr>
          </w:p>
        </w:tc>
        <w:tc>
          <w:tcPr>
            <w:tcW w:w="419" w:type="pct"/>
            <w:vMerge/>
            <w:vAlign w:val="center"/>
          </w:tcPr>
          <w:p w14:paraId="02931783" w14:textId="561C002E" w:rsidR="000D3A18" w:rsidRPr="00584F2A" w:rsidRDefault="000D3A18" w:rsidP="00584F2A">
            <w:pPr>
              <w:spacing w:before="120" w:after="120" w:line="240" w:lineRule="auto"/>
              <w:rPr>
                <w:rFonts w:ascii="Times New Roman" w:hAnsi="Times New Roman"/>
                <w:bCs/>
                <w:iCs/>
                <w:noProof/>
                <w:sz w:val="20"/>
                <w:szCs w:val="20"/>
                <w:lang w:val="bg-BG" w:eastAsia="bg-BG" w:bidi="bg-BG"/>
              </w:rPr>
            </w:pPr>
          </w:p>
        </w:tc>
        <w:tc>
          <w:tcPr>
            <w:tcW w:w="384" w:type="pct"/>
            <w:vMerge/>
            <w:shd w:val="clear" w:color="auto" w:fill="auto"/>
            <w:vAlign w:val="center"/>
          </w:tcPr>
          <w:p w14:paraId="5FF9A7AC" w14:textId="77777777" w:rsidR="000D3A18" w:rsidRPr="00171DED" w:rsidRDefault="000D3A18" w:rsidP="00584F2A">
            <w:pPr>
              <w:spacing w:before="120" w:after="120" w:line="240" w:lineRule="auto"/>
              <w:rPr>
                <w:rFonts w:ascii="Times New Roman" w:hAnsi="Times New Roman"/>
                <w:bCs/>
                <w:iCs/>
                <w:noProof/>
                <w:sz w:val="16"/>
                <w:szCs w:val="16"/>
                <w:lang w:val="bg-BG" w:eastAsia="bg-BG" w:bidi="bg-BG"/>
              </w:rPr>
            </w:pPr>
          </w:p>
        </w:tc>
        <w:tc>
          <w:tcPr>
            <w:tcW w:w="441" w:type="pct"/>
            <w:vMerge/>
            <w:shd w:val="clear" w:color="auto" w:fill="auto"/>
            <w:vAlign w:val="center"/>
          </w:tcPr>
          <w:p w14:paraId="07A25C57" w14:textId="77777777" w:rsidR="000D3A18" w:rsidRPr="00171DED" w:rsidRDefault="000D3A18" w:rsidP="00584F2A">
            <w:pPr>
              <w:spacing w:before="120" w:after="120" w:line="240" w:lineRule="auto"/>
              <w:rPr>
                <w:rFonts w:ascii="Times New Roman" w:hAnsi="Times New Roman"/>
                <w:bCs/>
                <w:iCs/>
                <w:noProof/>
                <w:sz w:val="16"/>
                <w:szCs w:val="16"/>
                <w:lang w:val="bg-BG" w:eastAsia="bg-BG" w:bidi="bg-BG"/>
              </w:rPr>
            </w:pPr>
          </w:p>
        </w:tc>
      </w:tr>
      <w:tr w:rsidR="00E83887" w:rsidRPr="00171DED" w14:paraId="7CE0ACC9" w14:textId="77777777" w:rsidTr="00792879">
        <w:trPr>
          <w:trHeight w:val="497"/>
        </w:trPr>
        <w:tc>
          <w:tcPr>
            <w:tcW w:w="580" w:type="pct"/>
            <w:vMerge/>
            <w:vAlign w:val="center"/>
          </w:tcPr>
          <w:p w14:paraId="0A5EC48C"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70A6D72B"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4B99822F"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5B241EC3" w14:textId="55901928"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p>
        </w:tc>
        <w:tc>
          <w:tcPr>
            <w:tcW w:w="406" w:type="pct"/>
            <w:vMerge w:val="restart"/>
            <w:vAlign w:val="center"/>
          </w:tcPr>
          <w:p w14:paraId="13BD08F1" w14:textId="74E12414" w:rsidR="00E83887" w:rsidRPr="00171DED" w:rsidRDefault="00E83887" w:rsidP="00792879">
            <w:pPr>
              <w:spacing w:before="120" w:after="120" w:line="240" w:lineRule="auto"/>
              <w:rPr>
                <w:rFonts w:ascii="Times New Roman" w:hAnsi="Times New Roman"/>
                <w:b/>
                <w:i/>
                <w:noProof/>
                <w:sz w:val="16"/>
                <w:szCs w:val="16"/>
                <w:lang w:val="bg-BG" w:eastAsia="bg-BG" w:bidi="en-US"/>
              </w:rPr>
            </w:pPr>
          </w:p>
        </w:tc>
        <w:tc>
          <w:tcPr>
            <w:tcW w:w="971" w:type="pct"/>
            <w:vMerge w:val="restart"/>
            <w:shd w:val="clear" w:color="auto" w:fill="auto"/>
            <w:vAlign w:val="center"/>
          </w:tcPr>
          <w:p w14:paraId="560CC0D1" w14:textId="7C31FCD6" w:rsidR="00E83887" w:rsidRPr="00171DED" w:rsidRDefault="00E83887" w:rsidP="00792879">
            <w:pPr>
              <w:spacing w:before="120" w:after="120" w:line="240" w:lineRule="auto"/>
              <w:rPr>
                <w:rFonts w:ascii="Times New Roman" w:hAnsi="Times New Roman"/>
                <w:noProof/>
                <w:sz w:val="20"/>
                <w:szCs w:val="20"/>
                <w:lang w:val="bg-BG" w:eastAsia="bg-BG" w:bidi="bg-BG"/>
              </w:rPr>
            </w:pPr>
          </w:p>
        </w:tc>
        <w:tc>
          <w:tcPr>
            <w:tcW w:w="419" w:type="pct"/>
            <w:vMerge w:val="restart"/>
            <w:vAlign w:val="center"/>
          </w:tcPr>
          <w:p w14:paraId="424E05C4" w14:textId="24BD9B66" w:rsidR="00E83887" w:rsidRPr="00E42C39" w:rsidRDefault="00E83887" w:rsidP="00792879">
            <w:pPr>
              <w:spacing w:before="120" w:after="120" w:line="240" w:lineRule="auto"/>
              <w:rPr>
                <w:rFonts w:ascii="Times New Roman" w:hAnsi="Times New Roman"/>
                <w:noProof/>
                <w:sz w:val="20"/>
                <w:szCs w:val="20"/>
                <w:lang w:val="bg-BG" w:eastAsia="bg-BG" w:bidi="bg-BG"/>
              </w:rPr>
            </w:pPr>
          </w:p>
        </w:tc>
        <w:tc>
          <w:tcPr>
            <w:tcW w:w="384" w:type="pct"/>
            <w:vMerge w:val="restart"/>
            <w:shd w:val="clear" w:color="auto" w:fill="auto"/>
            <w:vAlign w:val="center"/>
          </w:tcPr>
          <w:p w14:paraId="46400300" w14:textId="18FF6310" w:rsidR="00E83887" w:rsidRPr="00171DED" w:rsidRDefault="00E83887" w:rsidP="00792879">
            <w:pPr>
              <w:spacing w:before="120" w:after="120" w:line="240" w:lineRule="auto"/>
              <w:rPr>
                <w:rFonts w:ascii="Times New Roman" w:hAnsi="Times New Roman"/>
                <w:bCs/>
                <w:iCs/>
                <w:noProof/>
                <w:sz w:val="16"/>
                <w:szCs w:val="16"/>
                <w:lang w:val="bg-BG" w:eastAsia="bg-BG" w:bidi="bg-BG"/>
              </w:rPr>
            </w:pPr>
          </w:p>
        </w:tc>
        <w:tc>
          <w:tcPr>
            <w:tcW w:w="441" w:type="pct"/>
            <w:vMerge w:val="restart"/>
            <w:shd w:val="clear" w:color="auto" w:fill="auto"/>
            <w:vAlign w:val="center"/>
          </w:tcPr>
          <w:p w14:paraId="20BFE5D4" w14:textId="18880979" w:rsidR="00E83887" w:rsidRPr="00171DED" w:rsidRDefault="00E83887" w:rsidP="00792879">
            <w:pPr>
              <w:spacing w:before="120" w:after="120" w:line="240" w:lineRule="auto"/>
              <w:rPr>
                <w:rFonts w:ascii="Times New Roman" w:hAnsi="Times New Roman"/>
                <w:bCs/>
                <w:iCs/>
                <w:noProof/>
                <w:sz w:val="16"/>
                <w:szCs w:val="16"/>
                <w:lang w:val="bg-BG" w:eastAsia="bg-BG" w:bidi="bg-BG"/>
              </w:rPr>
            </w:pPr>
          </w:p>
        </w:tc>
      </w:tr>
      <w:tr w:rsidR="00E83887" w:rsidRPr="00171DED" w14:paraId="406EC44A" w14:textId="77777777" w:rsidTr="00792879">
        <w:trPr>
          <w:trHeight w:val="332"/>
        </w:trPr>
        <w:tc>
          <w:tcPr>
            <w:tcW w:w="580" w:type="pct"/>
            <w:vMerge/>
            <w:vAlign w:val="center"/>
          </w:tcPr>
          <w:p w14:paraId="525192C1"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1E77DA25"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76F883B9"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36E23895" w14:textId="35E02453"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p>
        </w:tc>
        <w:tc>
          <w:tcPr>
            <w:tcW w:w="406" w:type="pct"/>
            <w:vMerge/>
            <w:vAlign w:val="center"/>
          </w:tcPr>
          <w:p w14:paraId="1FA18705" w14:textId="77777777" w:rsidR="00E83887" w:rsidRPr="00171DED" w:rsidRDefault="00E83887" w:rsidP="00584F2A">
            <w:pPr>
              <w:spacing w:before="120" w:after="120" w:line="240" w:lineRule="auto"/>
              <w:rPr>
                <w:rFonts w:ascii="Times New Roman" w:hAnsi="Times New Roman"/>
                <w:noProof/>
                <w:sz w:val="20"/>
                <w:szCs w:val="20"/>
                <w:lang w:val="bg-BG" w:eastAsia="bg-BG" w:bidi="en-US"/>
              </w:rPr>
            </w:pPr>
          </w:p>
        </w:tc>
        <w:tc>
          <w:tcPr>
            <w:tcW w:w="971" w:type="pct"/>
            <w:vMerge/>
            <w:shd w:val="clear" w:color="auto" w:fill="auto"/>
            <w:vAlign w:val="center"/>
          </w:tcPr>
          <w:p w14:paraId="12C58AF5" w14:textId="77777777" w:rsidR="00E83887" w:rsidRPr="00171DED" w:rsidRDefault="00E83887" w:rsidP="00584F2A">
            <w:pPr>
              <w:spacing w:before="120" w:after="120" w:line="240" w:lineRule="auto"/>
              <w:rPr>
                <w:rFonts w:ascii="Times New Roman" w:hAnsi="Times New Roman"/>
                <w:noProof/>
                <w:sz w:val="20"/>
                <w:szCs w:val="20"/>
                <w:lang w:val="bg-BG" w:eastAsia="bg-BG" w:bidi="bg-BG"/>
              </w:rPr>
            </w:pPr>
          </w:p>
        </w:tc>
        <w:tc>
          <w:tcPr>
            <w:tcW w:w="419" w:type="pct"/>
            <w:vMerge/>
            <w:vAlign w:val="center"/>
          </w:tcPr>
          <w:p w14:paraId="3F709F10" w14:textId="77777777" w:rsidR="00E83887" w:rsidRPr="00584F2A" w:rsidRDefault="00E83887" w:rsidP="00584F2A">
            <w:pPr>
              <w:spacing w:before="120" w:after="120" w:line="240" w:lineRule="auto"/>
              <w:rPr>
                <w:rFonts w:ascii="Times New Roman" w:hAnsi="Times New Roman"/>
                <w:b/>
                <w:i/>
                <w:noProof/>
                <w:sz w:val="20"/>
                <w:szCs w:val="20"/>
                <w:lang w:val="bg-BG" w:eastAsia="bg-BG" w:bidi="bg-BG"/>
              </w:rPr>
            </w:pPr>
          </w:p>
        </w:tc>
        <w:tc>
          <w:tcPr>
            <w:tcW w:w="384" w:type="pct"/>
            <w:vMerge/>
            <w:shd w:val="clear" w:color="auto" w:fill="auto"/>
            <w:vAlign w:val="center"/>
          </w:tcPr>
          <w:p w14:paraId="5E92FC48"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c>
          <w:tcPr>
            <w:tcW w:w="441" w:type="pct"/>
            <w:vMerge/>
            <w:shd w:val="clear" w:color="auto" w:fill="auto"/>
            <w:vAlign w:val="center"/>
          </w:tcPr>
          <w:p w14:paraId="47E53D55"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r>
      <w:tr w:rsidR="00E83887" w:rsidRPr="00171DED" w14:paraId="3E944C19" w14:textId="77777777" w:rsidTr="00792879">
        <w:trPr>
          <w:trHeight w:val="646"/>
        </w:trPr>
        <w:tc>
          <w:tcPr>
            <w:tcW w:w="580" w:type="pct"/>
            <w:vMerge/>
            <w:vAlign w:val="center"/>
          </w:tcPr>
          <w:p w14:paraId="746D1FA0"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196327AD"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0BF5D6B7"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713AED2A" w14:textId="77777777"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7CA9576B" w14:textId="77777777" w:rsidR="00E83887" w:rsidRPr="00171DED" w:rsidRDefault="00E83887" w:rsidP="00792879">
            <w:pPr>
              <w:spacing w:before="120" w:after="120" w:line="240" w:lineRule="auto"/>
              <w:rPr>
                <w:rFonts w:ascii="Times New Roman" w:hAnsi="Times New Roman"/>
                <w:noProof/>
                <w:sz w:val="20"/>
                <w:szCs w:val="20"/>
                <w:lang w:val="bg-BG" w:eastAsia="bg-BG" w:bidi="en-US"/>
              </w:rPr>
            </w:pPr>
            <w:r w:rsidRPr="00171DED">
              <w:rPr>
                <w:rFonts w:ascii="Times New Roman" w:hAnsi="Times New Roman"/>
                <w:iCs/>
                <w:noProof/>
                <w:sz w:val="20"/>
                <w:szCs w:val="20"/>
                <w:lang w:val="bg-BG" w:eastAsia="bg-BG" w:bidi="bg-BG"/>
              </w:rPr>
              <w:t>RCO 106</w:t>
            </w:r>
          </w:p>
        </w:tc>
        <w:tc>
          <w:tcPr>
            <w:tcW w:w="971" w:type="pct"/>
            <w:vMerge w:val="restart"/>
            <w:shd w:val="clear" w:color="auto" w:fill="auto"/>
            <w:vAlign w:val="center"/>
          </w:tcPr>
          <w:p w14:paraId="078BAB1F" w14:textId="65C91AE6" w:rsidR="00E83887" w:rsidRPr="00171DED" w:rsidRDefault="00E83887" w:rsidP="00792879">
            <w:pPr>
              <w:spacing w:before="120" w:after="120" w:line="240" w:lineRule="auto"/>
              <w:rPr>
                <w:rFonts w:ascii="Times New Roman" w:hAnsi="Times New Roman"/>
                <w:sz w:val="20"/>
                <w:lang w:val="bg-BG"/>
              </w:rPr>
            </w:pPr>
            <w:r w:rsidRPr="00171DED">
              <w:rPr>
                <w:rFonts w:ascii="Times New Roman" w:hAnsi="Times New Roman"/>
                <w:sz w:val="20"/>
                <w:lang w:val="bg-BG"/>
              </w:rPr>
              <w:t>Новопостроени или консолидирани съоръжения за защита от свлачища</w:t>
            </w:r>
          </w:p>
        </w:tc>
        <w:tc>
          <w:tcPr>
            <w:tcW w:w="419" w:type="pct"/>
            <w:vMerge w:val="restart"/>
            <w:vAlign w:val="center"/>
          </w:tcPr>
          <w:p w14:paraId="1430727F" w14:textId="1936C8FC" w:rsidR="00E83887" w:rsidRPr="00E42C39" w:rsidRDefault="00E83887" w:rsidP="00792879">
            <w:pPr>
              <w:spacing w:before="120" w:after="120" w:line="240" w:lineRule="auto"/>
              <w:rPr>
                <w:rFonts w:ascii="Times New Roman" w:hAnsi="Times New Roman"/>
                <w:b/>
                <w:i/>
                <w:noProof/>
                <w:sz w:val="20"/>
                <w:szCs w:val="20"/>
                <w:lang w:val="bg-BG" w:eastAsia="bg-BG" w:bidi="bg-BG"/>
              </w:rPr>
            </w:pPr>
            <w:r w:rsidRPr="00E42C39">
              <w:rPr>
                <w:rFonts w:ascii="Times New Roman" w:hAnsi="Times New Roman"/>
                <w:bCs/>
                <w:iCs/>
                <w:noProof/>
                <w:sz w:val="20"/>
                <w:szCs w:val="20"/>
                <w:lang w:val="bg-BG" w:eastAsia="bg-BG" w:bidi="bg-BG"/>
              </w:rPr>
              <w:t>ха</w:t>
            </w:r>
          </w:p>
        </w:tc>
        <w:tc>
          <w:tcPr>
            <w:tcW w:w="384" w:type="pct"/>
            <w:vMerge w:val="restart"/>
            <w:shd w:val="clear" w:color="auto" w:fill="auto"/>
            <w:vAlign w:val="center"/>
          </w:tcPr>
          <w:p w14:paraId="21A52863" w14:textId="0419E927"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580B24EC" w14:textId="183DA586"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230</w:t>
            </w:r>
          </w:p>
        </w:tc>
      </w:tr>
      <w:tr w:rsidR="00E83887" w:rsidRPr="00171DED" w14:paraId="51E2422C" w14:textId="77777777" w:rsidTr="00792879">
        <w:trPr>
          <w:trHeight w:val="332"/>
        </w:trPr>
        <w:tc>
          <w:tcPr>
            <w:tcW w:w="580" w:type="pct"/>
            <w:vMerge/>
            <w:vAlign w:val="center"/>
          </w:tcPr>
          <w:p w14:paraId="5A38372B"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39A94F87"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2F5CBEE4"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14140A4C" w14:textId="77777777"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vAlign w:val="center"/>
          </w:tcPr>
          <w:p w14:paraId="5FDBB470" w14:textId="77777777" w:rsidR="00E83887" w:rsidRPr="00171DED" w:rsidRDefault="00E83887" w:rsidP="00584F2A">
            <w:pPr>
              <w:spacing w:before="120" w:after="120" w:line="240" w:lineRule="auto"/>
              <w:rPr>
                <w:rFonts w:ascii="Times New Roman" w:hAnsi="Times New Roman"/>
                <w:iCs/>
                <w:noProof/>
                <w:sz w:val="20"/>
                <w:szCs w:val="20"/>
                <w:lang w:val="bg-BG" w:eastAsia="bg-BG" w:bidi="bg-BG"/>
              </w:rPr>
            </w:pPr>
          </w:p>
        </w:tc>
        <w:tc>
          <w:tcPr>
            <w:tcW w:w="971" w:type="pct"/>
            <w:vMerge/>
            <w:shd w:val="clear" w:color="auto" w:fill="auto"/>
            <w:vAlign w:val="center"/>
          </w:tcPr>
          <w:p w14:paraId="0AA61AB0" w14:textId="77777777" w:rsidR="00E83887" w:rsidRPr="00171DED" w:rsidRDefault="00E83887" w:rsidP="00584F2A">
            <w:pPr>
              <w:spacing w:before="120" w:after="120" w:line="240" w:lineRule="auto"/>
              <w:rPr>
                <w:rFonts w:ascii="Times New Roman" w:hAnsi="Times New Roman"/>
                <w:noProof/>
                <w:sz w:val="20"/>
                <w:szCs w:val="20"/>
                <w:lang w:val="bg-BG" w:eastAsia="bg-BG" w:bidi="bg-BG"/>
              </w:rPr>
            </w:pPr>
          </w:p>
        </w:tc>
        <w:tc>
          <w:tcPr>
            <w:tcW w:w="419" w:type="pct"/>
            <w:vMerge/>
            <w:vAlign w:val="center"/>
          </w:tcPr>
          <w:p w14:paraId="215A77EE" w14:textId="4B39766E" w:rsidR="00E83887" w:rsidRPr="00584F2A" w:rsidRDefault="00E83887" w:rsidP="00584F2A">
            <w:pPr>
              <w:spacing w:before="120" w:after="120" w:line="240" w:lineRule="auto"/>
              <w:rPr>
                <w:rFonts w:ascii="Times New Roman" w:hAnsi="Times New Roman"/>
                <w:b/>
                <w:i/>
                <w:noProof/>
                <w:sz w:val="20"/>
                <w:szCs w:val="20"/>
                <w:lang w:val="bg-BG" w:eastAsia="bg-BG" w:bidi="bg-BG"/>
              </w:rPr>
            </w:pPr>
          </w:p>
        </w:tc>
        <w:tc>
          <w:tcPr>
            <w:tcW w:w="384" w:type="pct"/>
            <w:vMerge/>
            <w:shd w:val="clear" w:color="auto" w:fill="auto"/>
            <w:vAlign w:val="center"/>
          </w:tcPr>
          <w:p w14:paraId="26B79C76"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c>
          <w:tcPr>
            <w:tcW w:w="441" w:type="pct"/>
            <w:vMerge/>
            <w:shd w:val="clear" w:color="auto" w:fill="auto"/>
            <w:vAlign w:val="center"/>
          </w:tcPr>
          <w:p w14:paraId="6CFA1AC7"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r>
      <w:tr w:rsidR="00E83887" w:rsidRPr="00171DED" w14:paraId="702CEF71" w14:textId="77777777" w:rsidTr="00792879">
        <w:trPr>
          <w:trHeight w:val="750"/>
        </w:trPr>
        <w:tc>
          <w:tcPr>
            <w:tcW w:w="580" w:type="pct"/>
            <w:vMerge/>
            <w:vAlign w:val="center"/>
          </w:tcPr>
          <w:p w14:paraId="4C3EA58F"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1A62351F"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449C9564"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461C00D5" w14:textId="5B8AC6A0"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3B58CD9C" w14:textId="5963EB5C" w:rsidR="00E83887" w:rsidRPr="00171DED" w:rsidRDefault="00CE4D46" w:rsidP="00792879">
            <w:pPr>
              <w:spacing w:before="120" w:after="120" w:line="240" w:lineRule="auto"/>
              <w:rPr>
                <w:rFonts w:ascii="Times New Roman" w:hAnsi="Times New Roman"/>
                <w:iCs/>
                <w:noProof/>
                <w:sz w:val="20"/>
                <w:szCs w:val="20"/>
                <w:lang w:val="bg-BG" w:eastAsia="bg-BG" w:bidi="bg-BG"/>
              </w:rPr>
            </w:pPr>
            <w:r w:rsidRPr="00171DED">
              <w:rPr>
                <w:rFonts w:ascii="Times New Roman" w:hAnsi="Times New Roman"/>
                <w:iCs/>
                <w:noProof/>
                <w:sz w:val="20"/>
                <w:szCs w:val="20"/>
                <w:lang w:val="bg-BG" w:eastAsia="bg-BG" w:bidi="bg-BG"/>
              </w:rPr>
              <w:t>RCO 27</w:t>
            </w:r>
          </w:p>
        </w:tc>
        <w:tc>
          <w:tcPr>
            <w:tcW w:w="971" w:type="pct"/>
            <w:vMerge w:val="restart"/>
            <w:shd w:val="clear" w:color="auto" w:fill="auto"/>
            <w:vAlign w:val="center"/>
          </w:tcPr>
          <w:p w14:paraId="58D4B888" w14:textId="67FF9BFF" w:rsidR="00E83887" w:rsidRPr="00171DED" w:rsidRDefault="00CE4D46"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Изготвяне на национални /регионални/местни стратегии за приспособяване към изменението на климата  </w:t>
            </w:r>
          </w:p>
        </w:tc>
        <w:tc>
          <w:tcPr>
            <w:tcW w:w="419" w:type="pct"/>
            <w:vMerge w:val="restart"/>
            <w:vAlign w:val="center"/>
          </w:tcPr>
          <w:p w14:paraId="73B81198" w14:textId="5B7B85BB" w:rsidR="00E83887" w:rsidRPr="00E42C39" w:rsidRDefault="00CE4D46" w:rsidP="00792879">
            <w:pPr>
              <w:spacing w:before="120" w:after="120" w:line="240" w:lineRule="auto"/>
              <w:rPr>
                <w:rFonts w:ascii="Times New Roman" w:hAnsi="Times New Roman"/>
                <w:b/>
                <w:i/>
                <w:noProof/>
                <w:sz w:val="20"/>
                <w:szCs w:val="20"/>
                <w:lang w:val="bg-BG" w:eastAsia="bg-BG" w:bidi="bg-BG"/>
              </w:rPr>
            </w:pPr>
            <w:r w:rsidRPr="00E42C39">
              <w:rPr>
                <w:rFonts w:ascii="Times New Roman" w:hAnsi="Times New Roman"/>
                <w:noProof/>
                <w:sz w:val="20"/>
                <w:szCs w:val="20"/>
                <w:lang w:val="bg-BG" w:eastAsia="bg-BG" w:bidi="bg-BG"/>
              </w:rPr>
              <w:t>бр.</w:t>
            </w:r>
          </w:p>
        </w:tc>
        <w:tc>
          <w:tcPr>
            <w:tcW w:w="384" w:type="pct"/>
            <w:vMerge w:val="restart"/>
            <w:shd w:val="clear" w:color="auto" w:fill="auto"/>
            <w:vAlign w:val="center"/>
          </w:tcPr>
          <w:p w14:paraId="7787EC67" w14:textId="1CCF7CD8"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348512BF" w14:textId="05681CF2"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5</w:t>
            </w:r>
          </w:p>
        </w:tc>
      </w:tr>
      <w:tr w:rsidR="00E83887" w:rsidRPr="00171DED" w14:paraId="2C906CBC" w14:textId="77777777" w:rsidTr="002B5043">
        <w:trPr>
          <w:trHeight w:val="859"/>
        </w:trPr>
        <w:tc>
          <w:tcPr>
            <w:tcW w:w="580" w:type="pct"/>
            <w:vMerge/>
          </w:tcPr>
          <w:p w14:paraId="5F55FA23"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926" w:type="pct"/>
            <w:vMerge/>
          </w:tcPr>
          <w:p w14:paraId="0069FC17"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371" w:type="pct"/>
            <w:vMerge/>
          </w:tcPr>
          <w:p w14:paraId="7CF8BCFE"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503" w:type="pct"/>
            <w:vAlign w:val="center"/>
          </w:tcPr>
          <w:p w14:paraId="6D7756C8" w14:textId="32C61488"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16491E49" w14:textId="77777777" w:rsidR="00E83887" w:rsidRPr="00171DED" w:rsidRDefault="00E83887" w:rsidP="00584F2A">
            <w:pPr>
              <w:spacing w:before="120" w:after="120" w:line="240" w:lineRule="auto"/>
              <w:jc w:val="both"/>
              <w:rPr>
                <w:rFonts w:ascii="Times New Roman" w:hAnsi="Times New Roman"/>
                <w:iCs/>
                <w:noProof/>
                <w:sz w:val="20"/>
                <w:szCs w:val="20"/>
                <w:lang w:val="bg-BG" w:eastAsia="bg-BG" w:bidi="bg-BG"/>
              </w:rPr>
            </w:pPr>
          </w:p>
        </w:tc>
        <w:tc>
          <w:tcPr>
            <w:tcW w:w="971" w:type="pct"/>
            <w:vMerge/>
            <w:shd w:val="clear" w:color="auto" w:fill="auto"/>
          </w:tcPr>
          <w:p w14:paraId="0E1B9217" w14:textId="77777777" w:rsidR="00E83887" w:rsidRPr="00171DED" w:rsidRDefault="00E83887" w:rsidP="00584F2A">
            <w:pPr>
              <w:spacing w:before="120" w:after="120" w:line="240" w:lineRule="auto"/>
              <w:jc w:val="both"/>
              <w:rPr>
                <w:rFonts w:ascii="Times New Roman" w:hAnsi="Times New Roman"/>
                <w:noProof/>
                <w:sz w:val="20"/>
                <w:szCs w:val="20"/>
                <w:lang w:val="bg-BG" w:eastAsia="bg-BG" w:bidi="bg-BG"/>
              </w:rPr>
            </w:pPr>
          </w:p>
        </w:tc>
        <w:tc>
          <w:tcPr>
            <w:tcW w:w="419" w:type="pct"/>
            <w:vMerge/>
          </w:tcPr>
          <w:p w14:paraId="52C03F57"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384" w:type="pct"/>
            <w:vMerge/>
            <w:shd w:val="clear" w:color="auto" w:fill="auto"/>
          </w:tcPr>
          <w:p w14:paraId="344AD548" w14:textId="77777777" w:rsidR="00E83887" w:rsidRPr="00171DED" w:rsidRDefault="00E83887" w:rsidP="00584F2A">
            <w:pPr>
              <w:spacing w:before="120" w:after="120" w:line="240" w:lineRule="auto"/>
              <w:jc w:val="both"/>
              <w:rPr>
                <w:rFonts w:ascii="Times New Roman" w:hAnsi="Times New Roman"/>
                <w:b/>
                <w:noProof/>
                <w:sz w:val="16"/>
                <w:szCs w:val="16"/>
                <w:lang w:val="bg-BG" w:eastAsia="bg-BG" w:bidi="bg-BG"/>
              </w:rPr>
            </w:pPr>
          </w:p>
        </w:tc>
        <w:tc>
          <w:tcPr>
            <w:tcW w:w="441" w:type="pct"/>
            <w:vMerge/>
            <w:shd w:val="clear" w:color="auto" w:fill="auto"/>
          </w:tcPr>
          <w:p w14:paraId="35E4FB7B" w14:textId="77777777" w:rsidR="00E83887" w:rsidRPr="00171DED" w:rsidRDefault="00E83887" w:rsidP="00584F2A">
            <w:pPr>
              <w:spacing w:before="120" w:after="120" w:line="240" w:lineRule="auto"/>
              <w:jc w:val="both"/>
              <w:rPr>
                <w:rFonts w:ascii="Times New Roman" w:hAnsi="Times New Roman"/>
                <w:b/>
                <w:noProof/>
                <w:sz w:val="16"/>
                <w:szCs w:val="16"/>
                <w:lang w:val="bg-BG" w:eastAsia="bg-BG" w:bidi="bg-BG"/>
              </w:rPr>
            </w:pPr>
          </w:p>
        </w:tc>
      </w:tr>
    </w:tbl>
    <w:p w14:paraId="0F775034" w14:textId="77777777" w:rsidR="00DD2825" w:rsidRPr="00171DED" w:rsidRDefault="00DD2825"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95"/>
        <w:gridCol w:w="555"/>
        <w:gridCol w:w="733"/>
        <w:gridCol w:w="486"/>
        <w:gridCol w:w="886"/>
        <w:gridCol w:w="621"/>
        <w:gridCol w:w="785"/>
        <w:gridCol w:w="791"/>
        <w:gridCol w:w="650"/>
        <w:gridCol w:w="778"/>
        <w:gridCol w:w="760"/>
      </w:tblGrid>
      <w:tr w:rsidR="0022545E" w:rsidRPr="00171DED" w14:paraId="1B93009A" w14:textId="77777777" w:rsidTr="007416B3">
        <w:trPr>
          <w:trHeight w:val="480"/>
        </w:trPr>
        <w:tc>
          <w:tcPr>
            <w:tcW w:w="5000" w:type="pct"/>
            <w:gridSpan w:val="12"/>
          </w:tcPr>
          <w:p w14:paraId="2B23E84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7B0DD0" w:rsidRPr="00171DED" w14:paraId="1B2189CE" w14:textId="77777777" w:rsidTr="007B0DD0">
        <w:trPr>
          <w:trHeight w:val="1768"/>
        </w:trPr>
        <w:tc>
          <w:tcPr>
            <w:tcW w:w="456" w:type="pct"/>
          </w:tcPr>
          <w:p w14:paraId="718AE3BE"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lastRenderedPageBreak/>
              <w:t xml:space="preserve">Приоритет </w:t>
            </w:r>
          </w:p>
        </w:tc>
        <w:tc>
          <w:tcPr>
            <w:tcW w:w="708" w:type="pct"/>
          </w:tcPr>
          <w:p w14:paraId="784FDB05" w14:textId="1EDBB6F6"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02" w:type="pct"/>
          </w:tcPr>
          <w:p w14:paraId="2A923758"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99" w:type="pct"/>
          </w:tcPr>
          <w:p w14:paraId="4661ED6E"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65" w:type="pct"/>
          </w:tcPr>
          <w:p w14:paraId="35DE733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482" w:type="pct"/>
            <w:shd w:val="clear" w:color="auto" w:fill="auto"/>
          </w:tcPr>
          <w:p w14:paraId="31F71884"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38" w:type="pct"/>
          </w:tcPr>
          <w:p w14:paraId="6F744C61"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28" w:type="pct"/>
          </w:tcPr>
          <w:p w14:paraId="5BA30991"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31" w:type="pct"/>
          </w:tcPr>
          <w:p w14:paraId="18B2E1E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54" w:type="pct"/>
            <w:shd w:val="clear" w:color="auto" w:fill="auto"/>
          </w:tcPr>
          <w:p w14:paraId="21916025"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61221D44"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p>
        </w:tc>
        <w:tc>
          <w:tcPr>
            <w:tcW w:w="423" w:type="pct"/>
            <w:shd w:val="clear" w:color="auto" w:fill="auto"/>
          </w:tcPr>
          <w:p w14:paraId="74C9B1E3" w14:textId="77777777" w:rsidR="0022545E" w:rsidRPr="00171DED" w:rsidRDefault="0022545E" w:rsidP="001E3E7F">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14" w:type="pct"/>
          </w:tcPr>
          <w:p w14:paraId="78BA38CA" w14:textId="77777777" w:rsidR="0022545E" w:rsidRPr="00171DED" w:rsidRDefault="0022545E" w:rsidP="001E3E7F">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957F8F" w:rsidRPr="0010575B" w14:paraId="6F2A02E1" w14:textId="77777777" w:rsidTr="00701E3D">
        <w:trPr>
          <w:trHeight w:val="1497"/>
        </w:trPr>
        <w:tc>
          <w:tcPr>
            <w:tcW w:w="456" w:type="pct"/>
            <w:vMerge w:val="restart"/>
            <w:vAlign w:val="center"/>
          </w:tcPr>
          <w:p w14:paraId="70B07761" w14:textId="61E20B66" w:rsidR="00957F8F" w:rsidRPr="00171DED" w:rsidRDefault="00957F8F" w:rsidP="00701E3D">
            <w:pPr>
              <w:spacing w:before="120" w:after="120" w:line="240" w:lineRule="auto"/>
              <w:rPr>
                <w:rFonts w:ascii="Times New Roman" w:hAnsi="Times New Roman"/>
                <w:bCs/>
                <w:noProof/>
                <w:sz w:val="20"/>
                <w:szCs w:val="20"/>
                <w:lang w:val="bg-BG" w:eastAsia="bg-BG" w:bidi="bg-BG"/>
              </w:rPr>
            </w:pPr>
            <w:r w:rsidRPr="00171DED">
              <w:rPr>
                <w:rFonts w:ascii="Times New Roman" w:hAnsi="Times New Roman"/>
                <w:bCs/>
                <w:noProof/>
                <w:sz w:val="20"/>
                <w:szCs w:val="20"/>
                <w:lang w:val="bg-BG" w:eastAsia="bg-BG" w:bidi="bg-BG"/>
              </w:rPr>
              <w:t>„Риск и изменение на климата“</w:t>
            </w:r>
          </w:p>
          <w:p w14:paraId="3CE0B262"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708" w:type="pct"/>
            <w:vMerge w:val="restart"/>
            <w:vAlign w:val="center"/>
          </w:tcPr>
          <w:p w14:paraId="1328340B" w14:textId="4CCC81FC" w:rsidR="00957F8F" w:rsidRPr="00701E3D" w:rsidRDefault="00A3634C" w:rsidP="00701E3D">
            <w:pPr>
              <w:spacing w:before="120" w:after="120" w:line="240" w:lineRule="auto"/>
              <w:rPr>
                <w:rFonts w:ascii="Times New Roman" w:hAnsi="Times New Roman"/>
                <w:bCs/>
                <w:iCs/>
                <w:noProof/>
                <w:sz w:val="18"/>
                <w:szCs w:val="18"/>
                <w:lang w:val="bg-BG" w:bidi="bg-BG"/>
              </w:rPr>
            </w:pPr>
            <w:r w:rsidRPr="00701E3D">
              <w:rPr>
                <w:rFonts w:ascii="Times New Roman" w:hAnsi="Times New Roman"/>
                <w:bCs/>
                <w:iCs/>
                <w:noProof/>
                <w:sz w:val="18"/>
                <w:szCs w:val="18"/>
                <w:lang w:val="bg-BG" w:bidi="bg-BG"/>
              </w:rPr>
              <w:t>„</w:t>
            </w:r>
            <w:r w:rsidR="00957F8F" w:rsidRPr="00701E3D">
              <w:rPr>
                <w:rFonts w:ascii="Times New Roman" w:hAnsi="Times New Roman"/>
                <w:bCs/>
                <w:iCs/>
                <w:noProof/>
                <w:sz w:val="18"/>
                <w:szCs w:val="18"/>
                <w:lang w:val="bg-BG" w:bidi="bg-BG"/>
              </w:rPr>
              <w:t>Насърчаване на адаптирането към изменението на климата, на предотвратяването и управлението на риска</w:t>
            </w:r>
            <w:r w:rsidRPr="00701E3D">
              <w:rPr>
                <w:rFonts w:ascii="Times New Roman" w:hAnsi="Times New Roman"/>
                <w:bCs/>
                <w:iCs/>
                <w:noProof/>
                <w:sz w:val="18"/>
                <w:szCs w:val="18"/>
                <w:lang w:val="bg-BG" w:bidi="bg-BG"/>
              </w:rPr>
              <w:t>“</w:t>
            </w:r>
          </w:p>
          <w:p w14:paraId="086146B1"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02" w:type="pct"/>
            <w:vMerge w:val="restart"/>
            <w:vAlign w:val="center"/>
          </w:tcPr>
          <w:p w14:paraId="16E1ACBA" w14:textId="77777777" w:rsidR="00957F8F" w:rsidRPr="00171DED" w:rsidRDefault="00957F8F" w:rsidP="00701E3D">
            <w:pPr>
              <w:spacing w:before="120" w:after="120" w:line="240" w:lineRule="auto"/>
              <w:rPr>
                <w:rFonts w:ascii="Times New Roman" w:hAnsi="Times New Roman"/>
                <w:i/>
                <w:noProof/>
                <w:sz w:val="14"/>
                <w:szCs w:val="14"/>
                <w:lang w:val="bg-BG" w:eastAsia="bg-BG" w:bidi="bg-BG"/>
              </w:rPr>
            </w:pPr>
            <w:r w:rsidRPr="00171DED">
              <w:rPr>
                <w:rFonts w:ascii="Times New Roman" w:hAnsi="Times New Roman"/>
                <w:noProof/>
                <w:sz w:val="20"/>
                <w:szCs w:val="14"/>
                <w:lang w:val="bg-BG" w:eastAsia="bg-BG" w:bidi="bg-BG"/>
              </w:rPr>
              <w:t>ЕФРР</w:t>
            </w:r>
          </w:p>
        </w:tc>
        <w:tc>
          <w:tcPr>
            <w:tcW w:w="399" w:type="pct"/>
            <w:vAlign w:val="center"/>
          </w:tcPr>
          <w:p w14:paraId="6AAC066D" w14:textId="77777777"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65" w:type="pct"/>
            <w:vMerge w:val="restart"/>
            <w:vAlign w:val="center"/>
          </w:tcPr>
          <w:p w14:paraId="647F7FE7"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35</w:t>
            </w:r>
          </w:p>
        </w:tc>
        <w:tc>
          <w:tcPr>
            <w:tcW w:w="482" w:type="pct"/>
            <w:vMerge w:val="restart"/>
            <w:shd w:val="clear" w:color="auto" w:fill="auto"/>
            <w:vAlign w:val="center"/>
          </w:tcPr>
          <w:p w14:paraId="0A5AA7DF"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които се ползват от мерки за защита от наводнения</w:t>
            </w:r>
          </w:p>
        </w:tc>
        <w:tc>
          <w:tcPr>
            <w:tcW w:w="338" w:type="pct"/>
            <w:vMerge w:val="restart"/>
            <w:vAlign w:val="center"/>
          </w:tcPr>
          <w:p w14:paraId="52E6DF84" w14:textId="2734EA84" w:rsidR="00957F8F" w:rsidRPr="00171DED" w:rsidRDefault="00957F8F" w:rsidP="00701E3D">
            <w:pPr>
              <w:spacing w:before="120" w:after="120" w:line="240" w:lineRule="auto"/>
              <w:rPr>
                <w:rFonts w:ascii="Times New Roman" w:hAnsi="Times New Roman"/>
                <w:iCs/>
                <w:noProof/>
                <w:sz w:val="14"/>
                <w:szCs w:val="14"/>
                <w:lang w:val="bg-BG" w:eastAsia="bg-BG" w:bidi="bg-BG"/>
              </w:rPr>
            </w:pPr>
            <w:r w:rsidRPr="00171DED">
              <w:rPr>
                <w:rFonts w:ascii="Times New Roman" w:hAnsi="Times New Roman"/>
                <w:iCs/>
                <w:noProof/>
                <w:sz w:val="18"/>
                <w:szCs w:val="18"/>
                <w:lang w:val="bg-BG" w:eastAsia="bg-BG" w:bidi="bg-BG"/>
              </w:rPr>
              <w:t>лица</w:t>
            </w:r>
          </w:p>
        </w:tc>
        <w:tc>
          <w:tcPr>
            <w:tcW w:w="428" w:type="pct"/>
            <w:vMerge w:val="restart"/>
            <w:vAlign w:val="center"/>
          </w:tcPr>
          <w:p w14:paraId="7E19AC0F" w14:textId="660572EB" w:rsidR="00957F8F" w:rsidRPr="00171DED" w:rsidRDefault="00957F8F" w:rsidP="00701E3D">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0</w:t>
            </w:r>
          </w:p>
        </w:tc>
        <w:tc>
          <w:tcPr>
            <w:tcW w:w="431" w:type="pct"/>
            <w:vMerge w:val="restart"/>
            <w:vAlign w:val="center"/>
          </w:tcPr>
          <w:p w14:paraId="39EAA4E0" w14:textId="72DE54EC" w:rsidR="00957F8F" w:rsidRPr="00171DED" w:rsidRDefault="00DC687F" w:rsidP="00701E3D">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cs="Times New Roman"/>
                <w:iCs/>
                <w:sz w:val="14"/>
                <w:szCs w:val="14"/>
                <w:lang w:eastAsia="bg-BG" w:bidi="bg-BG"/>
              </w:rPr>
              <w:t>20</w:t>
            </w:r>
            <w:r w:rsidRPr="00171DED">
              <w:rPr>
                <w:rFonts w:ascii="Times New Roman" w:hAnsi="Times New Roman" w:cs="Times New Roman"/>
                <w:iCs/>
                <w:sz w:val="14"/>
                <w:szCs w:val="14"/>
                <w:lang w:val="bg-BG" w:eastAsia="bg-BG" w:bidi="bg-BG"/>
              </w:rPr>
              <w:t>2</w:t>
            </w:r>
            <w:r w:rsidR="000F7A8A" w:rsidRPr="00171DED">
              <w:rPr>
                <w:rFonts w:ascii="Times New Roman" w:hAnsi="Times New Roman" w:cs="Times New Roman"/>
                <w:iCs/>
                <w:sz w:val="14"/>
                <w:szCs w:val="14"/>
                <w:lang w:val="bg-BG" w:eastAsia="bg-BG" w:bidi="bg-BG"/>
              </w:rPr>
              <w:t>1</w:t>
            </w:r>
          </w:p>
        </w:tc>
        <w:tc>
          <w:tcPr>
            <w:tcW w:w="354" w:type="pct"/>
            <w:vMerge w:val="restart"/>
            <w:shd w:val="clear" w:color="auto" w:fill="auto"/>
            <w:vAlign w:val="center"/>
          </w:tcPr>
          <w:p w14:paraId="79C3EEBA" w14:textId="566CDA98" w:rsidR="00957F8F" w:rsidRPr="00171DED" w:rsidRDefault="00957F8F" w:rsidP="00701E3D">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 xml:space="preserve">3 </w:t>
            </w:r>
            <w:r w:rsidR="00DC687F" w:rsidRPr="00171DED">
              <w:rPr>
                <w:rFonts w:ascii="Times New Roman" w:hAnsi="Times New Roman"/>
                <w:iCs/>
                <w:noProof/>
                <w:sz w:val="16"/>
                <w:szCs w:val="16"/>
                <w:lang w:val="bg-BG" w:eastAsia="bg-BG" w:bidi="bg-BG"/>
              </w:rPr>
              <w:t xml:space="preserve">880 </w:t>
            </w:r>
            <w:r w:rsidRPr="00171DED">
              <w:rPr>
                <w:rFonts w:ascii="Times New Roman" w:hAnsi="Times New Roman"/>
                <w:iCs/>
                <w:noProof/>
                <w:sz w:val="16"/>
                <w:szCs w:val="16"/>
                <w:lang w:val="bg-BG" w:eastAsia="bg-BG" w:bidi="bg-BG"/>
              </w:rPr>
              <w:t>000</w:t>
            </w:r>
          </w:p>
        </w:tc>
        <w:tc>
          <w:tcPr>
            <w:tcW w:w="423" w:type="pct"/>
            <w:vMerge w:val="restart"/>
            <w:shd w:val="clear" w:color="auto" w:fill="auto"/>
            <w:vAlign w:val="center"/>
          </w:tcPr>
          <w:p w14:paraId="6CAA4F1A" w14:textId="14ABCD98" w:rsidR="00957F8F" w:rsidRPr="00171DED" w:rsidRDefault="00957F8F" w:rsidP="00701E3D">
            <w:pPr>
              <w:spacing w:before="120" w:after="120" w:line="48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Подкрепени проекти, УО на ОПОС</w:t>
            </w:r>
          </w:p>
        </w:tc>
        <w:tc>
          <w:tcPr>
            <w:tcW w:w="414" w:type="pct"/>
            <w:vMerge w:val="restart"/>
            <w:vAlign w:val="center"/>
          </w:tcPr>
          <w:p w14:paraId="5CA98A43" w14:textId="77777777" w:rsidR="00957F8F" w:rsidRPr="00171DED" w:rsidRDefault="00957F8F" w:rsidP="00701E3D">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4414DED4" w14:textId="77777777" w:rsidTr="00701E3D">
        <w:trPr>
          <w:trHeight w:val="434"/>
        </w:trPr>
        <w:tc>
          <w:tcPr>
            <w:tcW w:w="456" w:type="pct"/>
            <w:vMerge/>
            <w:vAlign w:val="center"/>
          </w:tcPr>
          <w:p w14:paraId="39BD6A13" w14:textId="77777777" w:rsidR="00957F8F" w:rsidRPr="00171DED" w:rsidRDefault="00957F8F" w:rsidP="00584F2A">
            <w:pPr>
              <w:spacing w:before="120" w:after="120" w:line="240" w:lineRule="auto"/>
              <w:rPr>
                <w:rFonts w:ascii="Times New Roman" w:hAnsi="Times New Roman"/>
                <w:bCs/>
                <w:noProof/>
                <w:sz w:val="20"/>
                <w:szCs w:val="20"/>
                <w:lang w:val="bg-BG" w:eastAsia="bg-BG" w:bidi="bg-BG"/>
              </w:rPr>
            </w:pPr>
          </w:p>
        </w:tc>
        <w:tc>
          <w:tcPr>
            <w:tcW w:w="708" w:type="pct"/>
            <w:vMerge/>
            <w:vAlign w:val="center"/>
          </w:tcPr>
          <w:p w14:paraId="329B29F4" w14:textId="77777777" w:rsidR="00957F8F" w:rsidRPr="00171DED" w:rsidRDefault="00957F8F" w:rsidP="00584F2A">
            <w:pPr>
              <w:spacing w:before="120" w:after="120" w:line="240" w:lineRule="auto"/>
              <w:rPr>
                <w:rFonts w:ascii="Times New Roman" w:hAnsi="Times New Roman"/>
                <w:bCs/>
                <w:iCs/>
                <w:noProof/>
                <w:sz w:val="20"/>
                <w:szCs w:val="20"/>
                <w:lang w:val="bg-BG" w:bidi="bg-BG"/>
              </w:rPr>
            </w:pPr>
          </w:p>
        </w:tc>
        <w:tc>
          <w:tcPr>
            <w:tcW w:w="302" w:type="pct"/>
            <w:vMerge/>
            <w:vAlign w:val="center"/>
          </w:tcPr>
          <w:p w14:paraId="05A54152" w14:textId="77777777" w:rsidR="00957F8F" w:rsidRPr="00171DED" w:rsidRDefault="00957F8F" w:rsidP="00584F2A">
            <w:pPr>
              <w:spacing w:before="120" w:after="120" w:line="240" w:lineRule="auto"/>
              <w:rPr>
                <w:rFonts w:ascii="Times New Roman" w:hAnsi="Times New Roman"/>
                <w:noProof/>
                <w:sz w:val="20"/>
                <w:szCs w:val="14"/>
                <w:lang w:val="bg-BG" w:eastAsia="bg-BG" w:bidi="bg-BG"/>
              </w:rPr>
            </w:pPr>
          </w:p>
        </w:tc>
        <w:tc>
          <w:tcPr>
            <w:tcW w:w="399" w:type="pct"/>
            <w:vAlign w:val="center"/>
          </w:tcPr>
          <w:p w14:paraId="2FC7ABCD" w14:textId="77777777"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65" w:type="pct"/>
            <w:vMerge/>
            <w:vAlign w:val="center"/>
          </w:tcPr>
          <w:p w14:paraId="1A16961E" w14:textId="77777777" w:rsidR="00957F8F" w:rsidRPr="00171DED" w:rsidRDefault="00957F8F" w:rsidP="00584F2A">
            <w:pPr>
              <w:spacing w:before="120" w:after="120" w:line="240" w:lineRule="auto"/>
              <w:rPr>
                <w:rFonts w:ascii="Times New Roman" w:eastAsia="Calibri" w:hAnsi="Times New Roman" w:cs="Times New Roman"/>
                <w:noProof/>
                <w:sz w:val="20"/>
                <w:szCs w:val="20"/>
                <w:lang w:val="bg-BG" w:eastAsia="bg-BG" w:bidi="bg-BG"/>
              </w:rPr>
            </w:pPr>
          </w:p>
        </w:tc>
        <w:tc>
          <w:tcPr>
            <w:tcW w:w="482" w:type="pct"/>
            <w:vMerge/>
            <w:shd w:val="clear" w:color="auto" w:fill="auto"/>
            <w:vAlign w:val="center"/>
          </w:tcPr>
          <w:p w14:paraId="6F89AAAD" w14:textId="77777777" w:rsidR="00957F8F" w:rsidRPr="00171DED" w:rsidRDefault="00957F8F" w:rsidP="00584F2A">
            <w:pPr>
              <w:spacing w:before="120" w:after="120" w:line="240" w:lineRule="auto"/>
              <w:rPr>
                <w:rFonts w:ascii="Times New Roman" w:hAnsi="Times New Roman"/>
                <w:noProof/>
                <w:sz w:val="20"/>
                <w:szCs w:val="20"/>
                <w:lang w:val="bg-BG" w:eastAsia="bg-BG" w:bidi="bg-BG"/>
              </w:rPr>
            </w:pPr>
          </w:p>
        </w:tc>
        <w:tc>
          <w:tcPr>
            <w:tcW w:w="338" w:type="pct"/>
            <w:vMerge/>
            <w:vAlign w:val="center"/>
          </w:tcPr>
          <w:p w14:paraId="0F65AE61"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428" w:type="pct"/>
            <w:vMerge/>
            <w:vAlign w:val="center"/>
          </w:tcPr>
          <w:p w14:paraId="4ADF78B5"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431" w:type="pct"/>
            <w:vMerge/>
            <w:vAlign w:val="center"/>
          </w:tcPr>
          <w:p w14:paraId="7A269DCE"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354" w:type="pct"/>
            <w:vMerge/>
            <w:shd w:val="clear" w:color="auto" w:fill="auto"/>
            <w:vAlign w:val="center"/>
          </w:tcPr>
          <w:p w14:paraId="3680D0D0"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423" w:type="pct"/>
            <w:vMerge/>
            <w:shd w:val="clear" w:color="auto" w:fill="auto"/>
            <w:vAlign w:val="center"/>
          </w:tcPr>
          <w:p w14:paraId="06D78179" w14:textId="77777777" w:rsidR="00957F8F" w:rsidRPr="00171DED" w:rsidRDefault="00957F8F" w:rsidP="00584F2A">
            <w:pPr>
              <w:spacing w:before="120" w:after="120" w:line="480" w:lineRule="auto"/>
              <w:rPr>
                <w:rFonts w:ascii="Times New Roman" w:hAnsi="Times New Roman"/>
                <w:i/>
                <w:noProof/>
                <w:sz w:val="14"/>
                <w:szCs w:val="14"/>
                <w:lang w:val="bg-BG" w:eastAsia="bg-BG" w:bidi="bg-BG"/>
              </w:rPr>
            </w:pPr>
          </w:p>
        </w:tc>
        <w:tc>
          <w:tcPr>
            <w:tcW w:w="414" w:type="pct"/>
            <w:vMerge/>
            <w:vAlign w:val="center"/>
          </w:tcPr>
          <w:p w14:paraId="148EC47E" w14:textId="77777777" w:rsidR="00957F8F" w:rsidRPr="00171DED" w:rsidRDefault="00957F8F" w:rsidP="00584F2A">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2F9F51D3" w14:textId="77777777" w:rsidTr="00701E3D">
        <w:trPr>
          <w:trHeight w:val="1338"/>
        </w:trPr>
        <w:tc>
          <w:tcPr>
            <w:tcW w:w="456" w:type="pct"/>
            <w:vMerge/>
            <w:vAlign w:val="center"/>
          </w:tcPr>
          <w:p w14:paraId="6FB548AC"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708" w:type="pct"/>
            <w:vMerge/>
            <w:vAlign w:val="center"/>
          </w:tcPr>
          <w:p w14:paraId="18B1F0A3"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02" w:type="pct"/>
            <w:vMerge/>
            <w:vAlign w:val="center"/>
          </w:tcPr>
          <w:p w14:paraId="7D696452"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99" w:type="pct"/>
            <w:vAlign w:val="center"/>
          </w:tcPr>
          <w:p w14:paraId="4F3A8617" w14:textId="290AD29C"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p>
        </w:tc>
        <w:tc>
          <w:tcPr>
            <w:tcW w:w="265" w:type="pct"/>
            <w:vMerge w:val="restart"/>
            <w:vAlign w:val="center"/>
          </w:tcPr>
          <w:p w14:paraId="1336F434" w14:textId="1F3E78E6"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482" w:type="pct"/>
            <w:vMerge w:val="restart"/>
            <w:shd w:val="clear" w:color="auto" w:fill="auto"/>
            <w:vAlign w:val="center"/>
          </w:tcPr>
          <w:p w14:paraId="3E432C2F" w14:textId="2DDA31AE"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38" w:type="pct"/>
            <w:vMerge w:val="restart"/>
            <w:vAlign w:val="center"/>
          </w:tcPr>
          <w:p w14:paraId="3202D0E1" w14:textId="26B09ABB" w:rsidR="00957F8F" w:rsidRPr="00171DED" w:rsidRDefault="00957F8F" w:rsidP="00701E3D">
            <w:pPr>
              <w:spacing w:before="120" w:after="120" w:line="240" w:lineRule="auto"/>
              <w:rPr>
                <w:rFonts w:ascii="Times New Roman" w:hAnsi="Times New Roman"/>
                <w:i/>
                <w:noProof/>
                <w:sz w:val="14"/>
                <w:szCs w:val="14"/>
                <w:lang w:val="bg-BG" w:eastAsia="bg-BG" w:bidi="bg-BG"/>
              </w:rPr>
            </w:pPr>
          </w:p>
        </w:tc>
        <w:tc>
          <w:tcPr>
            <w:tcW w:w="428" w:type="pct"/>
            <w:vMerge w:val="restart"/>
            <w:vAlign w:val="center"/>
          </w:tcPr>
          <w:p w14:paraId="31141E5B" w14:textId="602CCC73" w:rsidR="00957F8F" w:rsidRPr="00171DED" w:rsidRDefault="00957F8F" w:rsidP="00701E3D">
            <w:pPr>
              <w:spacing w:before="120" w:after="120" w:line="240" w:lineRule="auto"/>
              <w:rPr>
                <w:rFonts w:ascii="Times New Roman" w:hAnsi="Times New Roman"/>
                <w:iCs/>
                <w:noProof/>
                <w:sz w:val="14"/>
                <w:szCs w:val="14"/>
                <w:lang w:val="bg-BG" w:eastAsia="bg-BG" w:bidi="bg-BG"/>
              </w:rPr>
            </w:pPr>
          </w:p>
        </w:tc>
        <w:tc>
          <w:tcPr>
            <w:tcW w:w="431" w:type="pct"/>
            <w:vMerge w:val="restart"/>
            <w:vAlign w:val="center"/>
          </w:tcPr>
          <w:p w14:paraId="6BDD61FF" w14:textId="02768027" w:rsidR="00957F8F" w:rsidRPr="00171DED" w:rsidRDefault="00957F8F" w:rsidP="00701E3D">
            <w:pPr>
              <w:spacing w:before="120" w:after="120" w:line="240" w:lineRule="auto"/>
              <w:rPr>
                <w:rFonts w:ascii="Times New Roman" w:hAnsi="Times New Roman"/>
                <w:b/>
                <w:noProof/>
                <w:sz w:val="14"/>
                <w:szCs w:val="14"/>
                <w:lang w:val="bg-BG" w:eastAsia="bg-BG" w:bidi="bg-BG"/>
              </w:rPr>
            </w:pPr>
          </w:p>
        </w:tc>
        <w:tc>
          <w:tcPr>
            <w:tcW w:w="354" w:type="pct"/>
            <w:vMerge w:val="restart"/>
            <w:shd w:val="clear" w:color="auto" w:fill="auto"/>
            <w:vAlign w:val="center"/>
          </w:tcPr>
          <w:p w14:paraId="270564C8" w14:textId="06FAC5DD" w:rsidR="00957F8F" w:rsidRPr="00171DED" w:rsidRDefault="00957F8F" w:rsidP="00701E3D">
            <w:pPr>
              <w:spacing w:before="120" w:after="120" w:line="240" w:lineRule="auto"/>
              <w:rPr>
                <w:rFonts w:ascii="Times New Roman" w:hAnsi="Times New Roman"/>
                <w:bCs/>
                <w:noProof/>
                <w:sz w:val="14"/>
                <w:szCs w:val="14"/>
                <w:lang w:val="bg-BG" w:eastAsia="bg-BG" w:bidi="bg-BG"/>
              </w:rPr>
            </w:pPr>
          </w:p>
        </w:tc>
        <w:tc>
          <w:tcPr>
            <w:tcW w:w="423" w:type="pct"/>
            <w:vMerge w:val="restart"/>
            <w:shd w:val="clear" w:color="auto" w:fill="auto"/>
            <w:vAlign w:val="center"/>
          </w:tcPr>
          <w:p w14:paraId="14F80AED" w14:textId="5D856FCC" w:rsidR="00957F8F" w:rsidRPr="00171DED" w:rsidRDefault="00957F8F" w:rsidP="00701E3D">
            <w:pPr>
              <w:spacing w:before="120" w:after="120" w:line="480" w:lineRule="auto"/>
              <w:rPr>
                <w:rFonts w:ascii="Times New Roman" w:hAnsi="Times New Roman"/>
                <w:i/>
                <w:noProof/>
                <w:sz w:val="14"/>
                <w:szCs w:val="14"/>
                <w:lang w:val="bg-BG" w:eastAsia="bg-BG" w:bidi="bg-BG"/>
              </w:rPr>
            </w:pPr>
          </w:p>
        </w:tc>
        <w:tc>
          <w:tcPr>
            <w:tcW w:w="414" w:type="pct"/>
            <w:vMerge w:val="restart"/>
            <w:vAlign w:val="center"/>
          </w:tcPr>
          <w:p w14:paraId="0AC7D767" w14:textId="77777777" w:rsidR="00957F8F" w:rsidRPr="00171DED" w:rsidRDefault="00957F8F" w:rsidP="00701E3D">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799FE4C5" w14:textId="77777777" w:rsidTr="00701E3D">
        <w:trPr>
          <w:trHeight w:val="1627"/>
        </w:trPr>
        <w:tc>
          <w:tcPr>
            <w:tcW w:w="456" w:type="pct"/>
            <w:vMerge/>
            <w:tcBorders>
              <w:bottom w:val="single" w:sz="4" w:space="0" w:color="auto"/>
            </w:tcBorders>
            <w:vAlign w:val="center"/>
          </w:tcPr>
          <w:p w14:paraId="0E12E977"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708" w:type="pct"/>
            <w:vMerge/>
            <w:tcBorders>
              <w:bottom w:val="single" w:sz="4" w:space="0" w:color="auto"/>
            </w:tcBorders>
            <w:vAlign w:val="center"/>
          </w:tcPr>
          <w:p w14:paraId="06933D98"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02" w:type="pct"/>
            <w:vMerge/>
            <w:tcBorders>
              <w:bottom w:val="single" w:sz="4" w:space="0" w:color="auto"/>
            </w:tcBorders>
            <w:vAlign w:val="center"/>
          </w:tcPr>
          <w:p w14:paraId="59AEAF02"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99" w:type="pct"/>
            <w:tcBorders>
              <w:bottom w:val="single" w:sz="4" w:space="0" w:color="auto"/>
            </w:tcBorders>
            <w:vAlign w:val="center"/>
          </w:tcPr>
          <w:p w14:paraId="1D7CC1CF" w14:textId="631ECE02"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p>
        </w:tc>
        <w:tc>
          <w:tcPr>
            <w:tcW w:w="265" w:type="pct"/>
            <w:vMerge/>
            <w:tcBorders>
              <w:bottom w:val="single" w:sz="4" w:space="0" w:color="auto"/>
            </w:tcBorders>
            <w:vAlign w:val="center"/>
          </w:tcPr>
          <w:p w14:paraId="5623F31F" w14:textId="77777777" w:rsidR="00957F8F" w:rsidRPr="00171DED" w:rsidRDefault="00957F8F" w:rsidP="00584F2A">
            <w:pPr>
              <w:spacing w:before="120" w:after="120" w:line="240" w:lineRule="auto"/>
              <w:rPr>
                <w:rFonts w:ascii="Times New Roman" w:hAnsi="Times New Roman"/>
                <w:noProof/>
                <w:sz w:val="20"/>
                <w:szCs w:val="20"/>
                <w:lang w:val="bg-BG" w:eastAsia="bg-BG" w:bidi="bg-BG"/>
              </w:rPr>
            </w:pPr>
          </w:p>
        </w:tc>
        <w:tc>
          <w:tcPr>
            <w:tcW w:w="482" w:type="pct"/>
            <w:vMerge/>
            <w:tcBorders>
              <w:bottom w:val="single" w:sz="4" w:space="0" w:color="auto"/>
            </w:tcBorders>
            <w:shd w:val="clear" w:color="auto" w:fill="auto"/>
            <w:vAlign w:val="center"/>
          </w:tcPr>
          <w:p w14:paraId="3C32CCB2" w14:textId="77777777" w:rsidR="00957F8F" w:rsidRPr="00171DED" w:rsidRDefault="00957F8F" w:rsidP="00584F2A">
            <w:pPr>
              <w:spacing w:before="120" w:after="120" w:line="240" w:lineRule="auto"/>
              <w:rPr>
                <w:rFonts w:ascii="Times New Roman" w:hAnsi="Times New Roman"/>
                <w:noProof/>
                <w:sz w:val="20"/>
                <w:szCs w:val="20"/>
                <w:lang w:val="bg-BG" w:eastAsia="bg-BG" w:bidi="bg-BG"/>
              </w:rPr>
            </w:pPr>
          </w:p>
        </w:tc>
        <w:tc>
          <w:tcPr>
            <w:tcW w:w="338" w:type="pct"/>
            <w:vMerge/>
            <w:tcBorders>
              <w:bottom w:val="single" w:sz="4" w:space="0" w:color="auto"/>
            </w:tcBorders>
            <w:vAlign w:val="center"/>
          </w:tcPr>
          <w:p w14:paraId="03E399BE"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428" w:type="pct"/>
            <w:vMerge/>
            <w:tcBorders>
              <w:bottom w:val="single" w:sz="4" w:space="0" w:color="auto"/>
            </w:tcBorders>
            <w:vAlign w:val="center"/>
          </w:tcPr>
          <w:p w14:paraId="4D8DAFAA" w14:textId="77777777" w:rsidR="00957F8F" w:rsidRPr="00171DED" w:rsidRDefault="00957F8F" w:rsidP="00584F2A">
            <w:pPr>
              <w:spacing w:before="120" w:after="120" w:line="240" w:lineRule="auto"/>
              <w:rPr>
                <w:rFonts w:ascii="Times New Roman" w:hAnsi="Times New Roman"/>
                <w:iCs/>
                <w:noProof/>
                <w:sz w:val="14"/>
                <w:szCs w:val="14"/>
                <w:lang w:val="bg-BG" w:eastAsia="bg-BG" w:bidi="bg-BG"/>
              </w:rPr>
            </w:pPr>
          </w:p>
        </w:tc>
        <w:tc>
          <w:tcPr>
            <w:tcW w:w="431" w:type="pct"/>
            <w:vMerge/>
            <w:tcBorders>
              <w:bottom w:val="single" w:sz="4" w:space="0" w:color="auto"/>
            </w:tcBorders>
            <w:vAlign w:val="center"/>
          </w:tcPr>
          <w:p w14:paraId="4F98FBF3"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354" w:type="pct"/>
            <w:vMerge/>
            <w:tcBorders>
              <w:bottom w:val="single" w:sz="4" w:space="0" w:color="auto"/>
            </w:tcBorders>
            <w:shd w:val="clear" w:color="auto" w:fill="auto"/>
            <w:vAlign w:val="center"/>
          </w:tcPr>
          <w:p w14:paraId="3B068866"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423" w:type="pct"/>
            <w:vMerge/>
            <w:tcBorders>
              <w:bottom w:val="single" w:sz="4" w:space="0" w:color="auto"/>
            </w:tcBorders>
            <w:shd w:val="clear" w:color="auto" w:fill="auto"/>
            <w:vAlign w:val="center"/>
          </w:tcPr>
          <w:p w14:paraId="04AB72D8" w14:textId="77777777" w:rsidR="00957F8F" w:rsidRPr="00171DED" w:rsidRDefault="00957F8F" w:rsidP="00584F2A">
            <w:pPr>
              <w:spacing w:before="120" w:after="120" w:line="480" w:lineRule="auto"/>
              <w:rPr>
                <w:rFonts w:ascii="Times New Roman" w:hAnsi="Times New Roman"/>
                <w:i/>
                <w:noProof/>
                <w:sz w:val="14"/>
                <w:szCs w:val="14"/>
                <w:lang w:val="bg-BG" w:eastAsia="bg-BG" w:bidi="bg-BG"/>
              </w:rPr>
            </w:pPr>
          </w:p>
        </w:tc>
        <w:tc>
          <w:tcPr>
            <w:tcW w:w="414" w:type="pct"/>
            <w:vMerge/>
            <w:tcBorders>
              <w:bottom w:val="single" w:sz="4" w:space="0" w:color="auto"/>
            </w:tcBorders>
            <w:vAlign w:val="center"/>
          </w:tcPr>
          <w:p w14:paraId="40618E61" w14:textId="77777777" w:rsidR="00957F8F" w:rsidRPr="00171DED" w:rsidRDefault="00957F8F" w:rsidP="00584F2A">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715DCDFE" w14:textId="77777777" w:rsidTr="00701E3D">
        <w:trPr>
          <w:trHeight w:val="2117"/>
        </w:trPr>
        <w:tc>
          <w:tcPr>
            <w:tcW w:w="456" w:type="pct"/>
            <w:vMerge/>
            <w:vAlign w:val="center"/>
          </w:tcPr>
          <w:p w14:paraId="7DA502B1"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708" w:type="pct"/>
            <w:vMerge/>
            <w:vAlign w:val="center"/>
          </w:tcPr>
          <w:p w14:paraId="3E6548F8"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02" w:type="pct"/>
            <w:vMerge/>
            <w:vAlign w:val="center"/>
          </w:tcPr>
          <w:p w14:paraId="4EAD37EC"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99" w:type="pct"/>
            <w:vAlign w:val="center"/>
          </w:tcPr>
          <w:p w14:paraId="66472CCD" w14:textId="2FD207F5"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p>
        </w:tc>
        <w:tc>
          <w:tcPr>
            <w:tcW w:w="265" w:type="pct"/>
            <w:vMerge w:val="restart"/>
            <w:vAlign w:val="center"/>
          </w:tcPr>
          <w:p w14:paraId="538EAD08" w14:textId="278804B1" w:rsidR="00957F8F" w:rsidRPr="00171DED" w:rsidRDefault="00957F8F" w:rsidP="00701E3D">
            <w:pPr>
              <w:spacing w:before="120" w:after="120" w:line="240" w:lineRule="auto"/>
              <w:rPr>
                <w:rFonts w:ascii="Times New Roman" w:hAnsi="Times New Roman"/>
                <w:noProof/>
                <w:sz w:val="20"/>
                <w:szCs w:val="20"/>
                <w:lang w:val="bg-BG" w:eastAsia="bg-BG" w:bidi="en-US"/>
              </w:rPr>
            </w:pPr>
          </w:p>
        </w:tc>
        <w:tc>
          <w:tcPr>
            <w:tcW w:w="482" w:type="pct"/>
            <w:vMerge w:val="restart"/>
            <w:shd w:val="clear" w:color="auto" w:fill="auto"/>
            <w:vAlign w:val="center"/>
          </w:tcPr>
          <w:p w14:paraId="2390EFB6" w14:textId="2828C71B"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38" w:type="pct"/>
            <w:vMerge w:val="restart"/>
            <w:vAlign w:val="center"/>
          </w:tcPr>
          <w:p w14:paraId="0A48F0DD" w14:textId="3F6B1141" w:rsidR="00957F8F" w:rsidRPr="00171DED" w:rsidRDefault="00957F8F" w:rsidP="00701E3D">
            <w:pPr>
              <w:spacing w:before="120" w:after="120" w:line="240" w:lineRule="auto"/>
              <w:rPr>
                <w:rFonts w:ascii="Times New Roman" w:hAnsi="Times New Roman"/>
                <w:i/>
                <w:noProof/>
                <w:sz w:val="14"/>
                <w:szCs w:val="14"/>
                <w:lang w:val="bg-BG" w:eastAsia="bg-BG" w:bidi="bg-BG"/>
              </w:rPr>
            </w:pPr>
          </w:p>
        </w:tc>
        <w:tc>
          <w:tcPr>
            <w:tcW w:w="428" w:type="pct"/>
            <w:vMerge w:val="restart"/>
            <w:vAlign w:val="center"/>
          </w:tcPr>
          <w:p w14:paraId="2B4CF64C" w14:textId="0981B82B" w:rsidR="00957F8F" w:rsidRPr="00171DED" w:rsidRDefault="00957F8F" w:rsidP="00701E3D">
            <w:pPr>
              <w:spacing w:before="120" w:after="120" w:line="240" w:lineRule="auto"/>
              <w:rPr>
                <w:rFonts w:ascii="Times New Roman" w:hAnsi="Times New Roman"/>
                <w:iCs/>
                <w:noProof/>
                <w:sz w:val="16"/>
                <w:szCs w:val="16"/>
                <w:lang w:val="bg-BG" w:eastAsia="bg-BG" w:bidi="bg-BG"/>
              </w:rPr>
            </w:pPr>
          </w:p>
        </w:tc>
        <w:tc>
          <w:tcPr>
            <w:tcW w:w="431" w:type="pct"/>
            <w:vMerge w:val="restart"/>
            <w:vAlign w:val="center"/>
          </w:tcPr>
          <w:p w14:paraId="42919B4C" w14:textId="02C664E4" w:rsidR="00957F8F" w:rsidRPr="00171DED" w:rsidRDefault="00957F8F" w:rsidP="00701E3D">
            <w:pPr>
              <w:spacing w:before="120" w:after="120" w:line="240" w:lineRule="auto"/>
              <w:rPr>
                <w:rFonts w:ascii="Times New Roman" w:hAnsi="Times New Roman"/>
                <w:b/>
                <w:noProof/>
                <w:sz w:val="16"/>
                <w:szCs w:val="16"/>
                <w:lang w:val="bg-BG" w:eastAsia="bg-BG" w:bidi="bg-BG"/>
              </w:rPr>
            </w:pPr>
          </w:p>
        </w:tc>
        <w:tc>
          <w:tcPr>
            <w:tcW w:w="354" w:type="pct"/>
            <w:vMerge w:val="restart"/>
            <w:shd w:val="clear" w:color="auto" w:fill="auto"/>
            <w:vAlign w:val="center"/>
          </w:tcPr>
          <w:p w14:paraId="66FF9CB5" w14:textId="30165E3F" w:rsidR="00957F8F" w:rsidRPr="00171DED" w:rsidRDefault="00957F8F" w:rsidP="00701E3D">
            <w:pPr>
              <w:spacing w:before="120" w:after="120" w:line="240" w:lineRule="auto"/>
              <w:rPr>
                <w:rFonts w:ascii="Times New Roman" w:hAnsi="Times New Roman"/>
                <w:bCs/>
                <w:noProof/>
                <w:sz w:val="16"/>
                <w:szCs w:val="16"/>
                <w:lang w:val="bg-BG" w:eastAsia="bg-BG" w:bidi="bg-BG"/>
              </w:rPr>
            </w:pPr>
          </w:p>
        </w:tc>
        <w:tc>
          <w:tcPr>
            <w:tcW w:w="423" w:type="pct"/>
            <w:vMerge w:val="restart"/>
            <w:shd w:val="clear" w:color="auto" w:fill="auto"/>
            <w:vAlign w:val="center"/>
          </w:tcPr>
          <w:p w14:paraId="772BAD62" w14:textId="652A6689" w:rsidR="00957F8F" w:rsidRPr="00171DED" w:rsidRDefault="00957F8F" w:rsidP="00701E3D">
            <w:pPr>
              <w:spacing w:before="120" w:after="120" w:line="480" w:lineRule="auto"/>
              <w:rPr>
                <w:rFonts w:ascii="Times New Roman" w:hAnsi="Times New Roman"/>
                <w:iCs/>
                <w:noProof/>
                <w:sz w:val="16"/>
                <w:szCs w:val="16"/>
                <w:lang w:val="bg-BG" w:eastAsia="bg-BG" w:bidi="bg-BG"/>
              </w:rPr>
            </w:pPr>
          </w:p>
        </w:tc>
        <w:tc>
          <w:tcPr>
            <w:tcW w:w="414" w:type="pct"/>
            <w:vMerge w:val="restart"/>
            <w:vAlign w:val="center"/>
          </w:tcPr>
          <w:p w14:paraId="61A77C70" w14:textId="77777777" w:rsidR="00957F8F" w:rsidRPr="00171DED" w:rsidRDefault="00957F8F" w:rsidP="00701E3D">
            <w:pPr>
              <w:spacing w:before="120" w:after="120" w:line="240" w:lineRule="auto"/>
              <w:rPr>
                <w:rFonts w:ascii="Times New Roman" w:eastAsia="Calibri" w:hAnsi="Times New Roman" w:cs="Times New Roman"/>
                <w:i/>
                <w:noProof/>
                <w:sz w:val="14"/>
                <w:szCs w:val="14"/>
                <w:lang w:val="bg-BG" w:eastAsia="bg-BG" w:bidi="bg-BG"/>
              </w:rPr>
            </w:pPr>
          </w:p>
        </w:tc>
      </w:tr>
      <w:tr w:rsidR="007B0DD0" w:rsidRPr="00171DED" w14:paraId="39CD899D" w14:textId="77777777" w:rsidTr="007B0DD0">
        <w:trPr>
          <w:trHeight w:val="277"/>
        </w:trPr>
        <w:tc>
          <w:tcPr>
            <w:tcW w:w="456" w:type="pct"/>
            <w:vMerge/>
          </w:tcPr>
          <w:p w14:paraId="1CE8588D"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708" w:type="pct"/>
            <w:vMerge/>
          </w:tcPr>
          <w:p w14:paraId="1899E86D"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302" w:type="pct"/>
            <w:vMerge/>
          </w:tcPr>
          <w:p w14:paraId="637650D9"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399" w:type="pct"/>
            <w:vAlign w:val="center"/>
          </w:tcPr>
          <w:p w14:paraId="4D0877F6" w14:textId="26AC72D5" w:rsidR="00E83887" w:rsidRPr="00171DED" w:rsidRDefault="00E83887" w:rsidP="001E3E7F">
            <w:pPr>
              <w:spacing w:before="120" w:after="0" w:line="240" w:lineRule="auto"/>
              <w:jc w:val="center"/>
              <w:rPr>
                <w:rFonts w:ascii="Times New Roman" w:eastAsia="Calibri" w:hAnsi="Times New Roman" w:cs="Times New Roman"/>
                <w:noProof/>
                <w:sz w:val="20"/>
                <w:szCs w:val="20"/>
                <w:lang w:val="bg-BG" w:eastAsia="bg-BG" w:bidi="bg-BG"/>
              </w:rPr>
            </w:pPr>
          </w:p>
        </w:tc>
        <w:tc>
          <w:tcPr>
            <w:tcW w:w="265" w:type="pct"/>
            <w:vMerge/>
          </w:tcPr>
          <w:p w14:paraId="58EEFE1E" w14:textId="77777777" w:rsidR="00E83887" w:rsidRPr="00171DED" w:rsidRDefault="00E83887" w:rsidP="00584F2A">
            <w:pPr>
              <w:spacing w:before="120" w:after="120" w:line="240" w:lineRule="auto"/>
              <w:jc w:val="both"/>
              <w:rPr>
                <w:rFonts w:ascii="Times New Roman" w:hAnsi="Times New Roman"/>
                <w:noProof/>
                <w:sz w:val="20"/>
                <w:szCs w:val="20"/>
                <w:lang w:val="bg-BG" w:eastAsia="bg-BG" w:bidi="en-US"/>
              </w:rPr>
            </w:pPr>
          </w:p>
        </w:tc>
        <w:tc>
          <w:tcPr>
            <w:tcW w:w="482" w:type="pct"/>
            <w:vMerge/>
            <w:shd w:val="clear" w:color="auto" w:fill="auto"/>
          </w:tcPr>
          <w:p w14:paraId="6397B85C" w14:textId="77777777" w:rsidR="00E83887" w:rsidRPr="00171DED" w:rsidRDefault="00E83887" w:rsidP="00584F2A">
            <w:pPr>
              <w:spacing w:before="120" w:after="120" w:line="240" w:lineRule="auto"/>
              <w:jc w:val="both"/>
              <w:rPr>
                <w:rFonts w:ascii="Times New Roman" w:hAnsi="Times New Roman"/>
                <w:noProof/>
                <w:sz w:val="20"/>
                <w:szCs w:val="20"/>
                <w:lang w:val="bg-BG" w:eastAsia="bg-BG" w:bidi="bg-BG"/>
              </w:rPr>
            </w:pPr>
          </w:p>
        </w:tc>
        <w:tc>
          <w:tcPr>
            <w:tcW w:w="338" w:type="pct"/>
            <w:vMerge/>
          </w:tcPr>
          <w:p w14:paraId="4E889E1A"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428" w:type="pct"/>
            <w:vMerge/>
          </w:tcPr>
          <w:p w14:paraId="6A262EDF"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431" w:type="pct"/>
            <w:vMerge/>
          </w:tcPr>
          <w:p w14:paraId="55E122A3" w14:textId="77777777" w:rsidR="00E83887" w:rsidRPr="00171DED" w:rsidRDefault="00E83887" w:rsidP="00584F2A">
            <w:pPr>
              <w:spacing w:before="120" w:after="120" w:line="240" w:lineRule="auto"/>
              <w:jc w:val="both"/>
              <w:rPr>
                <w:rFonts w:ascii="Times New Roman" w:hAnsi="Times New Roman"/>
                <w:b/>
                <w:noProof/>
                <w:sz w:val="14"/>
                <w:szCs w:val="14"/>
                <w:lang w:val="bg-BG" w:eastAsia="bg-BG" w:bidi="bg-BG"/>
              </w:rPr>
            </w:pPr>
          </w:p>
        </w:tc>
        <w:tc>
          <w:tcPr>
            <w:tcW w:w="354" w:type="pct"/>
            <w:vMerge/>
            <w:shd w:val="clear" w:color="auto" w:fill="auto"/>
          </w:tcPr>
          <w:p w14:paraId="38FAAA32" w14:textId="77777777" w:rsidR="00E83887" w:rsidRPr="00171DED" w:rsidRDefault="00E83887" w:rsidP="00584F2A">
            <w:pPr>
              <w:spacing w:before="120" w:after="120" w:line="240" w:lineRule="auto"/>
              <w:jc w:val="center"/>
              <w:rPr>
                <w:rFonts w:ascii="Times New Roman" w:hAnsi="Times New Roman"/>
                <w:b/>
                <w:noProof/>
                <w:sz w:val="14"/>
                <w:szCs w:val="14"/>
                <w:lang w:val="bg-BG" w:eastAsia="bg-BG" w:bidi="bg-BG"/>
              </w:rPr>
            </w:pPr>
          </w:p>
        </w:tc>
        <w:tc>
          <w:tcPr>
            <w:tcW w:w="423" w:type="pct"/>
            <w:vMerge/>
            <w:shd w:val="clear" w:color="auto" w:fill="auto"/>
          </w:tcPr>
          <w:p w14:paraId="036017FC" w14:textId="77777777" w:rsidR="00E83887" w:rsidRPr="00171DED" w:rsidRDefault="00E83887" w:rsidP="00584F2A">
            <w:pPr>
              <w:spacing w:before="120" w:after="120" w:line="480" w:lineRule="auto"/>
              <w:jc w:val="both"/>
              <w:rPr>
                <w:rFonts w:ascii="Times New Roman" w:hAnsi="Times New Roman"/>
                <w:i/>
                <w:noProof/>
                <w:sz w:val="14"/>
                <w:szCs w:val="14"/>
                <w:lang w:val="bg-BG" w:eastAsia="bg-BG" w:bidi="bg-BG"/>
              </w:rPr>
            </w:pPr>
          </w:p>
        </w:tc>
        <w:tc>
          <w:tcPr>
            <w:tcW w:w="414" w:type="pct"/>
            <w:vMerge/>
          </w:tcPr>
          <w:p w14:paraId="1884CD88" w14:textId="77777777" w:rsidR="00E83887" w:rsidRPr="00171DED" w:rsidRDefault="00E83887" w:rsidP="00584F2A">
            <w:pPr>
              <w:spacing w:before="120" w:after="120" w:line="240" w:lineRule="auto"/>
              <w:jc w:val="both"/>
              <w:rPr>
                <w:rFonts w:ascii="Times New Roman" w:eastAsia="Calibri" w:hAnsi="Times New Roman" w:cs="Times New Roman"/>
                <w:i/>
                <w:noProof/>
                <w:sz w:val="14"/>
                <w:szCs w:val="14"/>
                <w:lang w:val="bg-BG" w:eastAsia="bg-BG" w:bidi="bg-BG"/>
              </w:rPr>
            </w:pPr>
          </w:p>
        </w:tc>
      </w:tr>
    </w:tbl>
    <w:p w14:paraId="44B9FF39" w14:textId="7505B8E9"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2E810F44"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5"/>
        <w:tblW w:w="0" w:type="auto"/>
        <w:tblLook w:val="04A0" w:firstRow="1" w:lastRow="0" w:firstColumn="1" w:lastColumn="0" w:noHBand="0" w:noVBand="1"/>
      </w:tblPr>
      <w:tblGrid>
        <w:gridCol w:w="1440"/>
        <w:gridCol w:w="1100"/>
        <w:gridCol w:w="1323"/>
        <w:gridCol w:w="1830"/>
        <w:gridCol w:w="1792"/>
        <w:gridCol w:w="1577"/>
      </w:tblGrid>
      <w:tr w:rsidR="0022545E" w:rsidRPr="0010575B" w14:paraId="577E7088" w14:textId="77777777" w:rsidTr="00665EF2">
        <w:tc>
          <w:tcPr>
            <w:tcW w:w="9062" w:type="dxa"/>
            <w:gridSpan w:val="6"/>
          </w:tcPr>
          <w:p w14:paraId="28336A36"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150D6901" w14:textId="77777777" w:rsidTr="00665EF2">
        <w:tc>
          <w:tcPr>
            <w:tcW w:w="1440" w:type="dxa"/>
          </w:tcPr>
          <w:p w14:paraId="28B00639"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00" w:type="dxa"/>
          </w:tcPr>
          <w:p w14:paraId="03EB7301"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23" w:type="dxa"/>
          </w:tcPr>
          <w:p w14:paraId="7AA7ACF9"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830" w:type="dxa"/>
          </w:tcPr>
          <w:p w14:paraId="0DA3D4D4"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92" w:type="dxa"/>
          </w:tcPr>
          <w:p w14:paraId="612892F8"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77" w:type="dxa"/>
          </w:tcPr>
          <w:p w14:paraId="6C9B18A5"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06163C" w:rsidRPr="0010575B" w14:paraId="40AB2B47" w14:textId="77777777" w:rsidTr="00034722">
        <w:trPr>
          <w:trHeight w:val="2082"/>
        </w:trPr>
        <w:tc>
          <w:tcPr>
            <w:tcW w:w="1440" w:type="dxa"/>
            <w:vMerge w:val="restart"/>
            <w:vAlign w:val="center"/>
          </w:tcPr>
          <w:p w14:paraId="3E8216F7" w14:textId="7404EB46" w:rsidR="0006163C" w:rsidRPr="00171DED" w:rsidRDefault="0006163C" w:rsidP="00040945">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lastRenderedPageBreak/>
              <w:t>4 „Риск и изменение на климата“</w:t>
            </w:r>
          </w:p>
          <w:p w14:paraId="1FB7E623" w14:textId="77777777" w:rsidR="0006163C" w:rsidRPr="00171DED" w:rsidRDefault="0006163C" w:rsidP="00040945">
            <w:pPr>
              <w:spacing w:before="120" w:after="120"/>
              <w:rPr>
                <w:rFonts w:ascii="Times New Roman" w:eastAsia="Times New Roman" w:hAnsi="Times New Roman" w:cs="Times New Roman"/>
                <w:iCs/>
                <w:noProof/>
                <w:sz w:val="20"/>
                <w:szCs w:val="20"/>
              </w:rPr>
            </w:pPr>
          </w:p>
        </w:tc>
        <w:tc>
          <w:tcPr>
            <w:tcW w:w="1100" w:type="dxa"/>
            <w:vMerge w:val="restart"/>
            <w:vAlign w:val="center"/>
          </w:tcPr>
          <w:p w14:paraId="6D048F79" w14:textId="77777777"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23" w:type="dxa"/>
            <w:vAlign w:val="center"/>
          </w:tcPr>
          <w:p w14:paraId="63010F17" w14:textId="77777777" w:rsidR="0006163C" w:rsidRPr="00171DED" w:rsidRDefault="0006163C" w:rsidP="0004094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30" w:type="dxa"/>
            <w:vMerge w:val="restart"/>
            <w:vAlign w:val="center"/>
          </w:tcPr>
          <w:p w14:paraId="3AACC231" w14:textId="3D1C31FF" w:rsidR="0006163C" w:rsidRPr="00171DED" w:rsidRDefault="0006163C" w:rsidP="00040945">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10A2ADAB" w14:textId="77777777" w:rsidR="0006163C" w:rsidRPr="00171DED" w:rsidRDefault="0006163C" w:rsidP="00040945">
            <w:pPr>
              <w:spacing w:before="120" w:after="120"/>
              <w:rPr>
                <w:rFonts w:ascii="Times New Roman" w:eastAsia="Times New Roman" w:hAnsi="Times New Roman" w:cs="Times New Roman"/>
                <w:iCs/>
                <w:noProof/>
                <w:sz w:val="20"/>
                <w:szCs w:val="20"/>
              </w:rPr>
            </w:pPr>
          </w:p>
        </w:tc>
        <w:tc>
          <w:tcPr>
            <w:tcW w:w="1792" w:type="dxa"/>
            <w:vMerge w:val="restart"/>
          </w:tcPr>
          <w:p w14:paraId="4BED20C2" w14:textId="58D623A8"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035</w:t>
            </w:r>
            <w:r w:rsidRPr="00171DED">
              <w:rPr>
                <w:rFonts w:ascii="Times New Roman" w:eastAsia="Times New Roman" w:hAnsi="Times New Roman" w:cs="Times New Roman"/>
                <w:iCs/>
                <w:noProof/>
                <w:sz w:val="20"/>
                <w:szCs w:val="20"/>
              </w:rPr>
              <w:tab/>
              <w:t xml:space="preserve">Мерки за адаптиране към изменението на климата и превенция и управление на рискове, свързани с климата: наводнения </w:t>
            </w:r>
            <w:r>
              <w:rPr>
                <w:rFonts w:ascii="Times New Roman" w:eastAsia="Times New Roman" w:hAnsi="Times New Roman" w:cs="Times New Roman"/>
                <w:iCs/>
                <w:noProof/>
                <w:sz w:val="20"/>
                <w:szCs w:val="20"/>
              </w:rPr>
              <w:t xml:space="preserve">и свлачища </w:t>
            </w:r>
            <w:r w:rsidRPr="00171DED">
              <w:rPr>
                <w:rFonts w:ascii="Times New Roman" w:eastAsia="Times New Roman" w:hAnsi="Times New Roman" w:cs="Times New Roman"/>
                <w:iCs/>
                <w:noProof/>
                <w:sz w:val="20"/>
                <w:szCs w:val="20"/>
              </w:rPr>
              <w:t>(в това число за повишаване на информираността, гражданска защита и системи за управление на бедствия, инфраструктура и екосистемни подходи)</w:t>
            </w:r>
          </w:p>
        </w:tc>
        <w:tc>
          <w:tcPr>
            <w:tcW w:w="1577" w:type="dxa"/>
            <w:vAlign w:val="center"/>
          </w:tcPr>
          <w:p w14:paraId="630E8FAF" w14:textId="0E6547C8" w:rsidR="0006163C" w:rsidRPr="0006163C" w:rsidRDefault="0006163C" w:rsidP="00040945">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18 342 264,00</w:t>
            </w:r>
          </w:p>
        </w:tc>
      </w:tr>
      <w:tr w:rsidR="0006163C" w:rsidRPr="00171DED" w14:paraId="517DCC14" w14:textId="77777777" w:rsidTr="00034722">
        <w:tc>
          <w:tcPr>
            <w:tcW w:w="1440" w:type="dxa"/>
            <w:vMerge/>
          </w:tcPr>
          <w:p w14:paraId="01A8228E" w14:textId="77777777" w:rsidR="0006163C" w:rsidRPr="00171DED" w:rsidRDefault="0006163C" w:rsidP="00584F2A">
            <w:pPr>
              <w:spacing w:before="120" w:after="120"/>
              <w:rPr>
                <w:rFonts w:ascii="Times New Roman" w:eastAsia="Times New Roman" w:hAnsi="Times New Roman" w:cs="Times New Roman"/>
                <w:bCs/>
                <w:iCs/>
                <w:noProof/>
                <w:sz w:val="20"/>
                <w:szCs w:val="20"/>
              </w:rPr>
            </w:pPr>
          </w:p>
        </w:tc>
        <w:tc>
          <w:tcPr>
            <w:tcW w:w="1100" w:type="dxa"/>
            <w:vMerge/>
          </w:tcPr>
          <w:p w14:paraId="2A425A4F" w14:textId="77777777" w:rsidR="0006163C" w:rsidRPr="00171DED" w:rsidRDefault="0006163C" w:rsidP="00584F2A">
            <w:pPr>
              <w:spacing w:before="120" w:after="120"/>
              <w:rPr>
                <w:rFonts w:ascii="Times New Roman" w:eastAsia="Times New Roman" w:hAnsi="Times New Roman" w:cs="Times New Roman"/>
                <w:iCs/>
                <w:noProof/>
                <w:sz w:val="20"/>
                <w:szCs w:val="20"/>
              </w:rPr>
            </w:pPr>
          </w:p>
        </w:tc>
        <w:tc>
          <w:tcPr>
            <w:tcW w:w="1323" w:type="dxa"/>
            <w:vAlign w:val="center"/>
          </w:tcPr>
          <w:p w14:paraId="4E8F4F6F" w14:textId="77777777" w:rsidR="0006163C" w:rsidRPr="00171DED" w:rsidRDefault="0006163C" w:rsidP="0004094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30" w:type="dxa"/>
            <w:vMerge/>
          </w:tcPr>
          <w:p w14:paraId="6AE72648" w14:textId="77777777" w:rsidR="0006163C" w:rsidRPr="00171DED" w:rsidRDefault="0006163C" w:rsidP="00584F2A">
            <w:pPr>
              <w:spacing w:before="120" w:after="120"/>
              <w:rPr>
                <w:rFonts w:ascii="Times New Roman" w:eastAsia="Times New Roman" w:hAnsi="Times New Roman" w:cs="Times New Roman"/>
                <w:bCs/>
                <w:iCs/>
                <w:noProof/>
                <w:sz w:val="20"/>
                <w:szCs w:val="20"/>
              </w:rPr>
            </w:pPr>
          </w:p>
        </w:tc>
        <w:tc>
          <w:tcPr>
            <w:tcW w:w="1792" w:type="dxa"/>
            <w:vMerge/>
          </w:tcPr>
          <w:p w14:paraId="40B48F4B" w14:textId="77777777" w:rsidR="0006163C" w:rsidRPr="00171DED" w:rsidRDefault="0006163C" w:rsidP="00584F2A">
            <w:pPr>
              <w:spacing w:before="120" w:after="120"/>
              <w:rPr>
                <w:rFonts w:ascii="Times New Roman" w:eastAsia="Times New Roman" w:hAnsi="Times New Roman" w:cs="Times New Roman"/>
                <w:iCs/>
                <w:noProof/>
                <w:sz w:val="20"/>
                <w:szCs w:val="20"/>
              </w:rPr>
            </w:pPr>
          </w:p>
        </w:tc>
        <w:tc>
          <w:tcPr>
            <w:tcW w:w="1577" w:type="dxa"/>
            <w:vAlign w:val="center"/>
          </w:tcPr>
          <w:p w14:paraId="69EA02E4" w14:textId="5E7F891D" w:rsidR="0006163C" w:rsidRPr="0006163C" w:rsidRDefault="0006163C" w:rsidP="00584F2A">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149 056 087,00</w:t>
            </w:r>
          </w:p>
        </w:tc>
      </w:tr>
      <w:tr w:rsidR="0006163C" w:rsidRPr="0010575B" w14:paraId="0B8D7FAC" w14:textId="77777777" w:rsidTr="00034722">
        <w:trPr>
          <w:trHeight w:val="2048"/>
        </w:trPr>
        <w:tc>
          <w:tcPr>
            <w:tcW w:w="1440" w:type="dxa"/>
            <w:vMerge/>
          </w:tcPr>
          <w:p w14:paraId="620B00A4"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100" w:type="dxa"/>
            <w:vMerge/>
          </w:tcPr>
          <w:p w14:paraId="5B248A90" w14:textId="77777777" w:rsidR="0006163C" w:rsidRPr="00171DED" w:rsidRDefault="0006163C" w:rsidP="00584F2A">
            <w:pPr>
              <w:spacing w:before="120" w:after="120"/>
              <w:rPr>
                <w:rFonts w:ascii="Times New Roman" w:eastAsia="Times New Roman" w:hAnsi="Times New Roman" w:cs="Times New Roman"/>
                <w:b/>
                <w:iCs/>
                <w:noProof/>
                <w:sz w:val="20"/>
                <w:szCs w:val="20"/>
              </w:rPr>
            </w:pPr>
          </w:p>
        </w:tc>
        <w:tc>
          <w:tcPr>
            <w:tcW w:w="1323" w:type="dxa"/>
            <w:vAlign w:val="center"/>
          </w:tcPr>
          <w:p w14:paraId="23E4A13D" w14:textId="77777777" w:rsidR="0006163C" w:rsidRPr="00171DED" w:rsidRDefault="0006163C"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30" w:type="dxa"/>
            <w:vMerge/>
          </w:tcPr>
          <w:p w14:paraId="150A5C5B"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792" w:type="dxa"/>
            <w:vMerge w:val="restart"/>
          </w:tcPr>
          <w:p w14:paraId="4985D591" w14:textId="2A22C25E" w:rsidR="0006163C" w:rsidRPr="00171DED" w:rsidRDefault="0006163C"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036</w:t>
            </w:r>
            <w:r w:rsidRPr="00171DED">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пожари (в това число за повишаване на информираността, гражданска защита и системи за управление на бедствия, инфраструктура и екосистемни подходи)</w:t>
            </w:r>
          </w:p>
        </w:tc>
        <w:tc>
          <w:tcPr>
            <w:tcW w:w="1577" w:type="dxa"/>
            <w:vAlign w:val="center"/>
          </w:tcPr>
          <w:p w14:paraId="2E5EF298" w14:textId="12A345A4" w:rsidR="0006163C" w:rsidRPr="0006163C" w:rsidRDefault="0006163C" w:rsidP="00584F2A">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3 761 335,00</w:t>
            </w:r>
          </w:p>
        </w:tc>
      </w:tr>
      <w:tr w:rsidR="0006163C" w:rsidRPr="00171DED" w14:paraId="595F5689" w14:textId="77777777" w:rsidTr="00034722">
        <w:tc>
          <w:tcPr>
            <w:tcW w:w="1440" w:type="dxa"/>
            <w:vMerge/>
          </w:tcPr>
          <w:p w14:paraId="4E67A3C7"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100" w:type="dxa"/>
            <w:vMerge/>
          </w:tcPr>
          <w:p w14:paraId="7902EF44" w14:textId="77777777" w:rsidR="0006163C" w:rsidRPr="00171DED" w:rsidRDefault="0006163C" w:rsidP="00584F2A">
            <w:pPr>
              <w:spacing w:before="120" w:after="120"/>
              <w:rPr>
                <w:rFonts w:ascii="Times New Roman" w:eastAsia="Times New Roman" w:hAnsi="Times New Roman" w:cs="Times New Roman"/>
                <w:b/>
                <w:iCs/>
                <w:noProof/>
                <w:sz w:val="20"/>
                <w:szCs w:val="20"/>
              </w:rPr>
            </w:pPr>
          </w:p>
        </w:tc>
        <w:tc>
          <w:tcPr>
            <w:tcW w:w="1323" w:type="dxa"/>
            <w:vAlign w:val="center"/>
          </w:tcPr>
          <w:p w14:paraId="00A20C14" w14:textId="77777777" w:rsidR="0006163C" w:rsidRPr="00171DED" w:rsidRDefault="0006163C"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30" w:type="dxa"/>
            <w:vMerge/>
          </w:tcPr>
          <w:p w14:paraId="63B5FEDB"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792" w:type="dxa"/>
            <w:vMerge/>
          </w:tcPr>
          <w:p w14:paraId="57FEFC1D" w14:textId="77777777" w:rsidR="0006163C" w:rsidRPr="00171DED" w:rsidRDefault="0006163C" w:rsidP="00584F2A">
            <w:pPr>
              <w:spacing w:before="120" w:after="120"/>
              <w:rPr>
                <w:rFonts w:ascii="Times New Roman" w:eastAsia="Times New Roman" w:hAnsi="Times New Roman" w:cs="Times New Roman"/>
                <w:iCs/>
                <w:noProof/>
                <w:sz w:val="20"/>
                <w:szCs w:val="20"/>
              </w:rPr>
            </w:pPr>
          </w:p>
        </w:tc>
        <w:tc>
          <w:tcPr>
            <w:tcW w:w="1577" w:type="dxa"/>
            <w:vAlign w:val="center"/>
          </w:tcPr>
          <w:p w14:paraId="6C1AC0B2" w14:textId="1CB34E8A" w:rsidR="0006163C" w:rsidRPr="0006163C" w:rsidRDefault="0006163C" w:rsidP="00584F2A">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30 566 000,00</w:t>
            </w:r>
          </w:p>
        </w:tc>
      </w:tr>
      <w:tr w:rsidR="0006163C" w:rsidRPr="00FE54EF" w14:paraId="393212B0" w14:textId="77777777" w:rsidTr="00034722">
        <w:trPr>
          <w:trHeight w:val="4150"/>
        </w:trPr>
        <w:tc>
          <w:tcPr>
            <w:tcW w:w="1440" w:type="dxa"/>
            <w:vMerge/>
            <w:tcBorders>
              <w:bottom w:val="single" w:sz="4" w:space="0" w:color="auto"/>
            </w:tcBorders>
          </w:tcPr>
          <w:p w14:paraId="3987B8EF" w14:textId="77777777" w:rsidR="0006163C" w:rsidRPr="00171DED" w:rsidRDefault="0006163C" w:rsidP="00B94321">
            <w:pPr>
              <w:spacing w:before="120" w:after="120"/>
              <w:jc w:val="both"/>
              <w:rPr>
                <w:rFonts w:ascii="Times New Roman" w:eastAsia="Times New Roman" w:hAnsi="Times New Roman" w:cs="Times New Roman"/>
                <w:b/>
                <w:bCs/>
                <w:iCs/>
                <w:noProof/>
                <w:sz w:val="20"/>
                <w:szCs w:val="20"/>
              </w:rPr>
            </w:pPr>
          </w:p>
        </w:tc>
        <w:tc>
          <w:tcPr>
            <w:tcW w:w="1100" w:type="dxa"/>
            <w:vMerge/>
            <w:tcBorders>
              <w:bottom w:val="single" w:sz="4" w:space="0" w:color="auto"/>
            </w:tcBorders>
          </w:tcPr>
          <w:p w14:paraId="26CE89A2" w14:textId="77777777" w:rsidR="0006163C" w:rsidRPr="00171DED" w:rsidRDefault="0006163C" w:rsidP="00B94321">
            <w:pPr>
              <w:spacing w:before="120" w:after="120"/>
              <w:jc w:val="both"/>
              <w:rPr>
                <w:rFonts w:ascii="Times New Roman" w:eastAsia="Times New Roman" w:hAnsi="Times New Roman" w:cs="Times New Roman"/>
                <w:b/>
                <w:iCs/>
                <w:noProof/>
                <w:sz w:val="20"/>
                <w:szCs w:val="20"/>
              </w:rPr>
            </w:pPr>
          </w:p>
        </w:tc>
        <w:tc>
          <w:tcPr>
            <w:tcW w:w="1323" w:type="dxa"/>
            <w:vAlign w:val="center"/>
          </w:tcPr>
          <w:p w14:paraId="5C82D967" w14:textId="1CF87A77" w:rsidR="0006163C" w:rsidRPr="00171DED" w:rsidRDefault="0006163C" w:rsidP="00B94321">
            <w:pPr>
              <w:spacing w:before="120"/>
              <w:jc w:val="center"/>
              <w:rPr>
                <w:rFonts w:ascii="Times New Roman" w:eastAsia="Calibri" w:hAnsi="Times New Roman" w:cs="Times New Roman"/>
                <w:noProof/>
                <w:sz w:val="20"/>
                <w:szCs w:val="20"/>
              </w:rPr>
            </w:pPr>
          </w:p>
        </w:tc>
        <w:tc>
          <w:tcPr>
            <w:tcW w:w="1830" w:type="dxa"/>
            <w:vMerge/>
            <w:tcBorders>
              <w:bottom w:val="single" w:sz="4" w:space="0" w:color="auto"/>
            </w:tcBorders>
          </w:tcPr>
          <w:p w14:paraId="22DB1E2F" w14:textId="77777777" w:rsidR="0006163C" w:rsidRPr="00171DED" w:rsidRDefault="0006163C" w:rsidP="00584F2A">
            <w:pPr>
              <w:spacing w:before="120" w:after="120"/>
              <w:jc w:val="both"/>
              <w:rPr>
                <w:rFonts w:ascii="Times New Roman" w:eastAsia="Times New Roman" w:hAnsi="Times New Roman" w:cs="Times New Roman"/>
                <w:b/>
                <w:bCs/>
                <w:iCs/>
                <w:noProof/>
                <w:sz w:val="20"/>
                <w:szCs w:val="20"/>
              </w:rPr>
            </w:pPr>
          </w:p>
        </w:tc>
        <w:tc>
          <w:tcPr>
            <w:tcW w:w="1792" w:type="dxa"/>
            <w:tcBorders>
              <w:bottom w:val="single" w:sz="4" w:space="0" w:color="auto"/>
            </w:tcBorders>
          </w:tcPr>
          <w:p w14:paraId="4B21BBC7" w14:textId="222884E6" w:rsidR="0006163C" w:rsidRPr="00171DED" w:rsidRDefault="0006163C" w:rsidP="00584F2A">
            <w:pPr>
              <w:spacing w:before="120" w:after="120"/>
              <w:jc w:val="both"/>
              <w:rPr>
                <w:rFonts w:ascii="Times New Roman" w:eastAsia="Times New Roman" w:hAnsi="Times New Roman" w:cs="Times New Roman"/>
                <w:iCs/>
                <w:noProof/>
                <w:sz w:val="20"/>
                <w:szCs w:val="20"/>
              </w:rPr>
            </w:pPr>
          </w:p>
        </w:tc>
        <w:tc>
          <w:tcPr>
            <w:tcW w:w="1577" w:type="dxa"/>
            <w:tcBorders>
              <w:bottom w:val="single" w:sz="4" w:space="0" w:color="auto"/>
            </w:tcBorders>
          </w:tcPr>
          <w:p w14:paraId="682D9ECD" w14:textId="77777777" w:rsidR="0006163C" w:rsidRPr="00171DED" w:rsidRDefault="0006163C" w:rsidP="00584F2A">
            <w:pPr>
              <w:spacing w:before="120" w:after="120"/>
              <w:jc w:val="both"/>
              <w:rPr>
                <w:rFonts w:ascii="Times New Roman" w:eastAsia="Times New Roman" w:hAnsi="Times New Roman" w:cs="Times New Roman"/>
                <w:b/>
                <w:iCs/>
                <w:noProof/>
                <w:sz w:val="20"/>
                <w:szCs w:val="20"/>
              </w:rPr>
            </w:pPr>
          </w:p>
        </w:tc>
      </w:tr>
      <w:tr w:rsidR="0006163C" w:rsidRPr="0010575B" w14:paraId="24A1EF65" w14:textId="77777777" w:rsidTr="00584F2A">
        <w:trPr>
          <w:trHeight w:val="2075"/>
        </w:trPr>
        <w:tc>
          <w:tcPr>
            <w:tcW w:w="1440" w:type="dxa"/>
            <w:vMerge/>
            <w:vAlign w:val="center"/>
          </w:tcPr>
          <w:p w14:paraId="6FB292B8"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100" w:type="dxa"/>
            <w:vMerge/>
          </w:tcPr>
          <w:p w14:paraId="30B392B5" w14:textId="77777777" w:rsidR="0006163C" w:rsidRPr="00171DED" w:rsidRDefault="0006163C" w:rsidP="0006163C">
            <w:pPr>
              <w:spacing w:before="120" w:after="120"/>
              <w:jc w:val="both"/>
              <w:rPr>
                <w:rFonts w:ascii="Times New Roman" w:eastAsia="Times New Roman" w:hAnsi="Times New Roman" w:cs="Times New Roman"/>
                <w:b/>
                <w:iCs/>
                <w:noProof/>
                <w:sz w:val="20"/>
                <w:szCs w:val="20"/>
              </w:rPr>
            </w:pPr>
          </w:p>
        </w:tc>
        <w:tc>
          <w:tcPr>
            <w:tcW w:w="1323" w:type="dxa"/>
            <w:vAlign w:val="center"/>
          </w:tcPr>
          <w:p w14:paraId="740FF8F3" w14:textId="02768EEF" w:rsidR="0006163C" w:rsidRPr="00171DED" w:rsidRDefault="0006163C" w:rsidP="0006163C">
            <w:pPr>
              <w:spacing w:before="120"/>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Преход </w:t>
            </w:r>
          </w:p>
        </w:tc>
        <w:tc>
          <w:tcPr>
            <w:tcW w:w="1830" w:type="dxa"/>
            <w:vMerge/>
          </w:tcPr>
          <w:p w14:paraId="23CE8242"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792" w:type="dxa"/>
            <w:vMerge w:val="restart"/>
          </w:tcPr>
          <w:p w14:paraId="4467DABE" w14:textId="077F2ED8"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038 Превенция и управление на природни рискове, които не са свързани с климата (напр. земетресения), и рискове, свързани с човешки дейности (напр. технологични аварии), включително повишаване на осведомеността, системи за управление на бедствия, инфраструктура и екосистемни подходи</w:t>
            </w:r>
          </w:p>
        </w:tc>
        <w:tc>
          <w:tcPr>
            <w:tcW w:w="1577" w:type="dxa"/>
            <w:vAlign w:val="center"/>
          </w:tcPr>
          <w:p w14:paraId="613741F7" w14:textId="77777777" w:rsidR="0006163C" w:rsidRPr="0006163C" w:rsidRDefault="0006163C" w:rsidP="0006163C">
            <w:pPr>
              <w:jc w:val="both"/>
              <w:rPr>
                <w:rFonts w:ascii="Times New Roman" w:hAnsi="Times New Roman" w:cs="Times New Roman"/>
                <w:color w:val="000000"/>
                <w:sz w:val="20"/>
                <w:szCs w:val="20"/>
              </w:rPr>
            </w:pPr>
            <w:r w:rsidRPr="0006163C">
              <w:rPr>
                <w:rFonts w:ascii="Times New Roman" w:hAnsi="Times New Roman" w:cs="Times New Roman"/>
                <w:color w:val="000000"/>
                <w:sz w:val="20"/>
                <w:szCs w:val="20"/>
              </w:rPr>
              <w:t>3 306 333,00</w:t>
            </w:r>
          </w:p>
          <w:p w14:paraId="5F3F90C6" w14:textId="77777777" w:rsidR="0006163C" w:rsidRPr="0006163C" w:rsidRDefault="0006163C" w:rsidP="0006163C">
            <w:pPr>
              <w:spacing w:before="120" w:after="120"/>
              <w:jc w:val="both"/>
              <w:rPr>
                <w:rFonts w:ascii="Times New Roman" w:eastAsia="Times New Roman" w:hAnsi="Times New Roman" w:cs="Times New Roman"/>
                <w:b/>
                <w:iCs/>
                <w:noProof/>
                <w:sz w:val="20"/>
                <w:szCs w:val="20"/>
              </w:rPr>
            </w:pPr>
          </w:p>
        </w:tc>
      </w:tr>
      <w:tr w:rsidR="0006163C" w:rsidRPr="0010575B" w14:paraId="1179F0D3" w14:textId="77777777" w:rsidTr="00584F2A">
        <w:trPr>
          <w:trHeight w:val="2075"/>
        </w:trPr>
        <w:tc>
          <w:tcPr>
            <w:tcW w:w="1440" w:type="dxa"/>
            <w:vMerge/>
            <w:vAlign w:val="center"/>
          </w:tcPr>
          <w:p w14:paraId="71C6CE22"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100" w:type="dxa"/>
            <w:vMerge/>
          </w:tcPr>
          <w:p w14:paraId="72DEE722" w14:textId="77777777" w:rsidR="0006163C" w:rsidRPr="00171DED" w:rsidRDefault="0006163C" w:rsidP="0006163C">
            <w:pPr>
              <w:spacing w:before="120" w:after="120"/>
              <w:jc w:val="both"/>
              <w:rPr>
                <w:rFonts w:ascii="Times New Roman" w:eastAsia="Times New Roman" w:hAnsi="Times New Roman" w:cs="Times New Roman"/>
                <w:b/>
                <w:iCs/>
                <w:noProof/>
                <w:sz w:val="20"/>
                <w:szCs w:val="20"/>
              </w:rPr>
            </w:pPr>
          </w:p>
        </w:tc>
        <w:tc>
          <w:tcPr>
            <w:tcW w:w="1323" w:type="dxa"/>
            <w:vAlign w:val="center"/>
          </w:tcPr>
          <w:p w14:paraId="6C55FC0F" w14:textId="7E757F84" w:rsidR="0006163C" w:rsidRPr="00171DED" w:rsidRDefault="0006163C" w:rsidP="0006163C">
            <w:pPr>
              <w:spacing w:before="120"/>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По-слабо развити региони</w:t>
            </w:r>
          </w:p>
        </w:tc>
        <w:tc>
          <w:tcPr>
            <w:tcW w:w="1830" w:type="dxa"/>
            <w:vMerge/>
          </w:tcPr>
          <w:p w14:paraId="39B3BD44"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792" w:type="dxa"/>
            <w:vMerge/>
          </w:tcPr>
          <w:p w14:paraId="3F70B03F" w14:textId="77777777" w:rsidR="0006163C" w:rsidRPr="00171DED" w:rsidRDefault="0006163C" w:rsidP="0006163C">
            <w:pPr>
              <w:spacing w:before="120" w:after="120"/>
              <w:jc w:val="both"/>
              <w:rPr>
                <w:rFonts w:ascii="Times New Roman" w:eastAsia="Times New Roman" w:hAnsi="Times New Roman" w:cs="Times New Roman"/>
                <w:iCs/>
                <w:noProof/>
                <w:sz w:val="20"/>
                <w:szCs w:val="20"/>
              </w:rPr>
            </w:pPr>
          </w:p>
        </w:tc>
        <w:tc>
          <w:tcPr>
            <w:tcW w:w="1577" w:type="dxa"/>
            <w:vAlign w:val="center"/>
          </w:tcPr>
          <w:p w14:paraId="26003B74" w14:textId="77777777" w:rsidR="0006163C" w:rsidRPr="0006163C" w:rsidRDefault="0006163C" w:rsidP="0006163C">
            <w:pPr>
              <w:jc w:val="both"/>
              <w:rPr>
                <w:rFonts w:ascii="Times New Roman" w:hAnsi="Times New Roman" w:cs="Times New Roman"/>
                <w:color w:val="000000"/>
                <w:sz w:val="20"/>
                <w:szCs w:val="20"/>
              </w:rPr>
            </w:pPr>
            <w:r w:rsidRPr="0006163C">
              <w:rPr>
                <w:rFonts w:ascii="Times New Roman" w:hAnsi="Times New Roman" w:cs="Times New Roman"/>
                <w:color w:val="000000"/>
                <w:sz w:val="20"/>
                <w:szCs w:val="20"/>
              </w:rPr>
              <w:t>26 868 502,00</w:t>
            </w:r>
          </w:p>
          <w:p w14:paraId="612632DB" w14:textId="77777777" w:rsidR="0006163C" w:rsidRPr="0006163C" w:rsidRDefault="0006163C" w:rsidP="0006163C">
            <w:pPr>
              <w:spacing w:before="120" w:after="120"/>
              <w:jc w:val="both"/>
              <w:rPr>
                <w:rFonts w:ascii="Times New Roman" w:eastAsia="Times New Roman" w:hAnsi="Times New Roman" w:cs="Times New Roman"/>
                <w:b/>
                <w:iCs/>
                <w:noProof/>
                <w:sz w:val="20"/>
                <w:szCs w:val="20"/>
              </w:rPr>
            </w:pPr>
          </w:p>
        </w:tc>
      </w:tr>
    </w:tbl>
    <w:p w14:paraId="54A31000" w14:textId="118BBC0C" w:rsidR="0022545E"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9351" w:type="dxa"/>
        <w:tblLook w:val="04A0" w:firstRow="1" w:lastRow="0" w:firstColumn="1" w:lastColumn="0" w:noHBand="0" w:noVBand="1"/>
      </w:tblPr>
      <w:tblGrid>
        <w:gridCol w:w="1474"/>
        <w:gridCol w:w="1140"/>
        <w:gridCol w:w="1312"/>
        <w:gridCol w:w="1830"/>
        <w:gridCol w:w="1690"/>
        <w:gridCol w:w="1905"/>
      </w:tblGrid>
      <w:tr w:rsidR="00C3653E" w:rsidRPr="007F5800" w14:paraId="5E3AB1C3" w14:textId="77777777" w:rsidTr="002D7F1D">
        <w:tc>
          <w:tcPr>
            <w:tcW w:w="9351" w:type="dxa"/>
            <w:gridSpan w:val="6"/>
          </w:tcPr>
          <w:p w14:paraId="0F4B7E58" w14:textId="2C77D0F2" w:rsidR="00C3653E" w:rsidRPr="007F5800" w:rsidRDefault="00C3653E" w:rsidP="002D7F1D">
            <w:pPr>
              <w:pStyle w:val="Default"/>
              <w:spacing w:after="200"/>
              <w:jc w:val="both"/>
              <w:rPr>
                <w:sz w:val="20"/>
                <w:szCs w:val="20"/>
                <w:lang w:val="en-US"/>
              </w:rPr>
            </w:pPr>
            <w:r w:rsidRPr="00171DED">
              <w:rPr>
                <w:rFonts w:eastAsia="Calibri"/>
                <w:b/>
                <w:noProof/>
                <w:sz w:val="20"/>
                <w:szCs w:val="20"/>
              </w:rPr>
              <w:t>Таблица 5: Измерение 2 – Форма на финансиране</w:t>
            </w:r>
          </w:p>
        </w:tc>
      </w:tr>
      <w:tr w:rsidR="00C3653E" w:rsidRPr="007F5800" w14:paraId="5B4A1E2A" w14:textId="77777777" w:rsidTr="00C3653E">
        <w:tc>
          <w:tcPr>
            <w:tcW w:w="1474" w:type="dxa"/>
          </w:tcPr>
          <w:p w14:paraId="0CC25DBC" w14:textId="3E84ABCF" w:rsidR="00C3653E" w:rsidRPr="007F5800" w:rsidRDefault="00C3653E" w:rsidP="00C3653E">
            <w:pPr>
              <w:pStyle w:val="Default"/>
              <w:spacing w:after="200"/>
              <w:jc w:val="both"/>
              <w:rPr>
                <w:sz w:val="16"/>
                <w:szCs w:val="16"/>
                <w:lang w:val="en-US"/>
              </w:rPr>
            </w:pPr>
            <w:r w:rsidRPr="00171DED">
              <w:rPr>
                <w:rFonts w:eastAsia="Calibri"/>
                <w:b/>
                <w:noProof/>
                <w:sz w:val="20"/>
                <w:szCs w:val="20"/>
              </w:rPr>
              <w:t>Приоритет №</w:t>
            </w:r>
          </w:p>
        </w:tc>
        <w:tc>
          <w:tcPr>
            <w:tcW w:w="1140" w:type="dxa"/>
          </w:tcPr>
          <w:p w14:paraId="70C06155" w14:textId="1759DBA6"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Фонд</w:t>
            </w:r>
          </w:p>
        </w:tc>
        <w:tc>
          <w:tcPr>
            <w:tcW w:w="1312" w:type="dxa"/>
          </w:tcPr>
          <w:p w14:paraId="1F62E4BB" w14:textId="1DDF0FD3"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Категория региони</w:t>
            </w:r>
          </w:p>
        </w:tc>
        <w:tc>
          <w:tcPr>
            <w:tcW w:w="1830" w:type="dxa"/>
          </w:tcPr>
          <w:p w14:paraId="2FED8E4F" w14:textId="62ACC7BA"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Специфична цел</w:t>
            </w:r>
          </w:p>
        </w:tc>
        <w:tc>
          <w:tcPr>
            <w:tcW w:w="1690" w:type="dxa"/>
          </w:tcPr>
          <w:p w14:paraId="12631002" w14:textId="075B3186"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 xml:space="preserve">Код </w:t>
            </w:r>
          </w:p>
        </w:tc>
        <w:tc>
          <w:tcPr>
            <w:tcW w:w="1905" w:type="dxa"/>
          </w:tcPr>
          <w:p w14:paraId="5E5418D9" w14:textId="2A0F27EA"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Сума (EUR)</w:t>
            </w:r>
          </w:p>
        </w:tc>
      </w:tr>
      <w:tr w:rsidR="00C3653E" w:rsidRPr="007F5800" w14:paraId="14D9EA62" w14:textId="77777777" w:rsidTr="00C3653E">
        <w:trPr>
          <w:trHeight w:val="614"/>
        </w:trPr>
        <w:tc>
          <w:tcPr>
            <w:tcW w:w="1474" w:type="dxa"/>
            <w:vMerge w:val="restart"/>
            <w:vAlign w:val="center"/>
          </w:tcPr>
          <w:p w14:paraId="0F92B2FE" w14:textId="442866EF" w:rsidR="00C3653E" w:rsidRPr="007F5800" w:rsidRDefault="00C3653E" w:rsidP="00C3653E">
            <w:pPr>
              <w:spacing w:before="120" w:after="120"/>
              <w:rPr>
                <w:rFonts w:ascii="Times New Roman" w:eastAsia="Times New Roman" w:hAnsi="Times New Roman" w:cs="Times New Roman"/>
                <w:iCs/>
                <w:sz w:val="20"/>
                <w:szCs w:val="20"/>
                <w:lang w:val="en-US"/>
              </w:rPr>
            </w:pPr>
            <w:r>
              <w:rPr>
                <w:rFonts w:ascii="Times New Roman" w:eastAsia="Times New Roman" w:hAnsi="Times New Roman" w:cs="Times New Roman"/>
                <w:bCs/>
                <w:iCs/>
                <w:noProof/>
                <w:sz w:val="20"/>
                <w:szCs w:val="20"/>
                <w:lang w:val="en-US"/>
              </w:rPr>
              <w:t xml:space="preserve">4 </w:t>
            </w: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Риск и изменение на климата“</w:t>
            </w:r>
          </w:p>
        </w:tc>
        <w:tc>
          <w:tcPr>
            <w:tcW w:w="1140" w:type="dxa"/>
            <w:vMerge w:val="restart"/>
            <w:vAlign w:val="center"/>
          </w:tcPr>
          <w:p w14:paraId="09E9613D" w14:textId="58503C93" w:rsidR="00C3653E" w:rsidRPr="007F5800" w:rsidRDefault="00C3653E" w:rsidP="00C3653E">
            <w:pPr>
              <w:spacing w:before="120" w:after="120"/>
              <w:rPr>
                <w:rFonts w:ascii="Times New Roman" w:eastAsia="Times New Roman" w:hAnsi="Times New Roman" w:cs="Times New Roman"/>
                <w:iCs/>
                <w:sz w:val="20"/>
                <w:szCs w:val="20"/>
                <w:lang w:val="en-US"/>
              </w:rPr>
            </w:pPr>
            <w:r w:rsidRPr="00171DED">
              <w:rPr>
                <w:rFonts w:ascii="Times New Roman" w:eastAsia="Times New Roman" w:hAnsi="Times New Roman" w:cs="Times New Roman"/>
                <w:iCs/>
                <w:noProof/>
                <w:sz w:val="20"/>
                <w:szCs w:val="20"/>
              </w:rPr>
              <w:t>ЕФРР</w:t>
            </w:r>
          </w:p>
        </w:tc>
        <w:tc>
          <w:tcPr>
            <w:tcW w:w="1312" w:type="dxa"/>
            <w:vAlign w:val="center"/>
          </w:tcPr>
          <w:p w14:paraId="59442605" w14:textId="19E6863B" w:rsidR="00C3653E" w:rsidRPr="007F5800" w:rsidRDefault="00C3653E" w:rsidP="00C3653E">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Преход</w:t>
            </w:r>
          </w:p>
        </w:tc>
        <w:tc>
          <w:tcPr>
            <w:tcW w:w="1830" w:type="dxa"/>
            <w:vMerge w:val="restart"/>
            <w:vAlign w:val="center"/>
          </w:tcPr>
          <w:p w14:paraId="267364E3" w14:textId="4F48D8DF" w:rsidR="00C3653E" w:rsidRPr="00C3653E" w:rsidRDefault="00C3653E" w:rsidP="00C3653E">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tc>
        <w:tc>
          <w:tcPr>
            <w:tcW w:w="1690" w:type="dxa"/>
            <w:vMerge w:val="restart"/>
            <w:vAlign w:val="center"/>
          </w:tcPr>
          <w:p w14:paraId="33F20E7D" w14:textId="4B9762C5" w:rsidR="00C3653E" w:rsidRPr="007F5800" w:rsidRDefault="00C3653E" w:rsidP="00C3653E">
            <w:pPr>
              <w:spacing w:before="120" w:after="120"/>
              <w:rPr>
                <w:rFonts w:ascii="Times New Roman" w:eastAsia="Times New Roman" w:hAnsi="Times New Roman" w:cs="Times New Roman"/>
                <w:iCs/>
                <w:sz w:val="20"/>
                <w:szCs w:val="20"/>
                <w:lang w:val="en-US"/>
              </w:rPr>
            </w:pPr>
            <w:r w:rsidRPr="00171DED">
              <w:rPr>
                <w:rFonts w:ascii="Times New Roman" w:eastAsia="Times New Roman" w:hAnsi="Times New Roman" w:cs="Times New Roman"/>
                <w:iCs/>
                <w:noProof/>
                <w:sz w:val="20"/>
                <w:szCs w:val="20"/>
              </w:rPr>
              <w:t>01 Безвъзмездни средства</w:t>
            </w:r>
          </w:p>
        </w:tc>
        <w:tc>
          <w:tcPr>
            <w:tcW w:w="1905" w:type="dxa"/>
            <w:vAlign w:val="center"/>
          </w:tcPr>
          <w:p w14:paraId="6822A9D3" w14:textId="201B08D9" w:rsidR="00C3653E" w:rsidRPr="007F5800" w:rsidRDefault="00C3653E" w:rsidP="00C3653E">
            <w:pPr>
              <w:spacing w:before="120" w:after="120"/>
              <w:rPr>
                <w:rFonts w:ascii="Times New Roman" w:eastAsia="Times New Roman" w:hAnsi="Times New Roman" w:cs="Times New Roman"/>
                <w:iCs/>
                <w:sz w:val="20"/>
                <w:szCs w:val="20"/>
                <w:lang w:val="en-US"/>
              </w:rPr>
            </w:pPr>
            <w:r w:rsidRPr="00EC17EA">
              <w:rPr>
                <w:rFonts w:ascii="Times New Roman" w:hAnsi="Times New Roman" w:cs="Times New Roman"/>
                <w:color w:val="000000"/>
                <w:sz w:val="20"/>
                <w:szCs w:val="20"/>
              </w:rPr>
              <w:t>25 409 932,00</w:t>
            </w:r>
          </w:p>
        </w:tc>
      </w:tr>
      <w:tr w:rsidR="00C3653E" w:rsidRPr="007F5800" w14:paraId="68AEF63D" w14:textId="77777777" w:rsidTr="00C3653E">
        <w:trPr>
          <w:trHeight w:val="906"/>
        </w:trPr>
        <w:tc>
          <w:tcPr>
            <w:tcW w:w="1474" w:type="dxa"/>
            <w:vMerge/>
            <w:vAlign w:val="center"/>
          </w:tcPr>
          <w:p w14:paraId="07016634" w14:textId="77777777" w:rsidR="00C3653E" w:rsidRPr="007F5800" w:rsidRDefault="00C3653E" w:rsidP="00584F2A">
            <w:pPr>
              <w:spacing w:before="120" w:after="120"/>
              <w:rPr>
                <w:rFonts w:ascii="Times New Roman" w:hAnsi="Times New Roman" w:cs="Times New Roman"/>
                <w:bCs/>
                <w:sz w:val="20"/>
                <w:szCs w:val="20"/>
                <w:lang w:val="en-US"/>
              </w:rPr>
            </w:pPr>
          </w:p>
        </w:tc>
        <w:tc>
          <w:tcPr>
            <w:tcW w:w="1140" w:type="dxa"/>
            <w:vMerge/>
            <w:vAlign w:val="center"/>
          </w:tcPr>
          <w:p w14:paraId="5BBA9FFF" w14:textId="77777777" w:rsidR="00C3653E" w:rsidRPr="007F5800" w:rsidRDefault="00C3653E" w:rsidP="00584F2A">
            <w:pPr>
              <w:spacing w:before="120" w:after="120"/>
              <w:rPr>
                <w:rFonts w:ascii="Times New Roman" w:hAnsi="Times New Roman" w:cs="Times New Roman"/>
                <w:iCs/>
                <w:sz w:val="20"/>
                <w:szCs w:val="20"/>
                <w:lang w:val="en-US"/>
              </w:rPr>
            </w:pPr>
          </w:p>
        </w:tc>
        <w:tc>
          <w:tcPr>
            <w:tcW w:w="1312" w:type="dxa"/>
            <w:vAlign w:val="center"/>
          </w:tcPr>
          <w:p w14:paraId="580F7E8F" w14:textId="29968457" w:rsidR="00C3653E" w:rsidRPr="007F5800" w:rsidRDefault="00C3653E" w:rsidP="00584F2A">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По-слабо развити региони</w:t>
            </w:r>
          </w:p>
        </w:tc>
        <w:tc>
          <w:tcPr>
            <w:tcW w:w="1830" w:type="dxa"/>
            <w:vMerge/>
            <w:vAlign w:val="center"/>
          </w:tcPr>
          <w:p w14:paraId="6577241E" w14:textId="77777777" w:rsidR="00C3653E" w:rsidRPr="007F5800" w:rsidRDefault="00C3653E" w:rsidP="00584F2A">
            <w:pPr>
              <w:spacing w:before="120" w:after="120"/>
              <w:rPr>
                <w:rFonts w:ascii="Times New Roman" w:eastAsia="Times New Roman" w:hAnsi="Times New Roman" w:cs="Times New Roman"/>
                <w:bCs/>
                <w:iCs/>
                <w:sz w:val="20"/>
                <w:szCs w:val="20"/>
                <w:lang w:val="en-US"/>
              </w:rPr>
            </w:pPr>
          </w:p>
        </w:tc>
        <w:tc>
          <w:tcPr>
            <w:tcW w:w="1690" w:type="dxa"/>
            <w:vMerge/>
            <w:vAlign w:val="center"/>
          </w:tcPr>
          <w:p w14:paraId="26B174FB" w14:textId="77777777" w:rsidR="00C3653E" w:rsidRPr="007F5800" w:rsidRDefault="00C3653E" w:rsidP="00584F2A">
            <w:pPr>
              <w:spacing w:before="120" w:after="120"/>
              <w:rPr>
                <w:rFonts w:ascii="Times New Roman" w:eastAsia="Times New Roman" w:hAnsi="Times New Roman" w:cs="Times New Roman"/>
                <w:iCs/>
                <w:sz w:val="20"/>
                <w:szCs w:val="20"/>
                <w:lang w:val="en-US"/>
              </w:rPr>
            </w:pPr>
          </w:p>
        </w:tc>
        <w:tc>
          <w:tcPr>
            <w:tcW w:w="1905" w:type="dxa"/>
            <w:vAlign w:val="center"/>
          </w:tcPr>
          <w:p w14:paraId="00E1921C" w14:textId="482F36B6" w:rsidR="00C3653E" w:rsidRPr="007F5800" w:rsidRDefault="00C3653E" w:rsidP="00584F2A">
            <w:pPr>
              <w:spacing w:before="120" w:after="120"/>
              <w:rPr>
                <w:rFonts w:ascii="Times New Roman" w:eastAsia="Times New Roman" w:hAnsi="Times New Roman" w:cs="Times New Roman"/>
                <w:iCs/>
                <w:sz w:val="20"/>
                <w:szCs w:val="20"/>
                <w:lang w:val="en-US"/>
              </w:rPr>
            </w:pPr>
            <w:r w:rsidRPr="00EC17EA">
              <w:rPr>
                <w:rFonts w:ascii="Times New Roman" w:hAnsi="Times New Roman" w:cs="Times New Roman"/>
                <w:color w:val="000000"/>
                <w:sz w:val="20"/>
                <w:szCs w:val="20"/>
              </w:rPr>
              <w:t>206 490 589,00</w:t>
            </w:r>
          </w:p>
        </w:tc>
      </w:tr>
      <w:tr w:rsidR="002D355C" w:rsidRPr="007F5800" w14:paraId="67BF8971" w14:textId="77777777" w:rsidTr="00C3653E">
        <w:trPr>
          <w:trHeight w:val="711"/>
        </w:trPr>
        <w:tc>
          <w:tcPr>
            <w:tcW w:w="1474" w:type="dxa"/>
            <w:vMerge/>
            <w:vAlign w:val="center"/>
          </w:tcPr>
          <w:p w14:paraId="1B297999" w14:textId="77777777" w:rsidR="002D355C" w:rsidRPr="007F5800" w:rsidRDefault="002D355C" w:rsidP="00584F2A">
            <w:pPr>
              <w:spacing w:before="120" w:after="120"/>
              <w:rPr>
                <w:rFonts w:ascii="Times New Roman" w:hAnsi="Times New Roman" w:cs="Times New Roman"/>
                <w:bCs/>
                <w:sz w:val="20"/>
                <w:szCs w:val="20"/>
                <w:lang w:val="en-US"/>
              </w:rPr>
            </w:pPr>
          </w:p>
        </w:tc>
        <w:tc>
          <w:tcPr>
            <w:tcW w:w="1140" w:type="dxa"/>
            <w:vMerge/>
            <w:vAlign w:val="center"/>
          </w:tcPr>
          <w:p w14:paraId="212AB60E" w14:textId="77777777" w:rsidR="002D355C" w:rsidRPr="007F5800" w:rsidRDefault="002D355C" w:rsidP="00584F2A">
            <w:pPr>
              <w:spacing w:before="120" w:after="120"/>
              <w:rPr>
                <w:rFonts w:ascii="Times New Roman" w:hAnsi="Times New Roman" w:cs="Times New Roman"/>
                <w:iCs/>
                <w:sz w:val="20"/>
                <w:szCs w:val="20"/>
                <w:lang w:val="en-US"/>
              </w:rPr>
            </w:pPr>
          </w:p>
        </w:tc>
        <w:tc>
          <w:tcPr>
            <w:tcW w:w="1312" w:type="dxa"/>
            <w:vAlign w:val="center"/>
          </w:tcPr>
          <w:p w14:paraId="7E96F7E5" w14:textId="08DF9B62" w:rsidR="002D355C" w:rsidRPr="007F5800" w:rsidRDefault="002D355C" w:rsidP="00584F2A">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Преход</w:t>
            </w:r>
          </w:p>
        </w:tc>
        <w:tc>
          <w:tcPr>
            <w:tcW w:w="1830" w:type="dxa"/>
            <w:vMerge/>
            <w:vAlign w:val="center"/>
          </w:tcPr>
          <w:p w14:paraId="00B110F8" w14:textId="77777777" w:rsidR="002D355C" w:rsidRPr="007F5800" w:rsidRDefault="002D355C" w:rsidP="00584F2A">
            <w:pPr>
              <w:spacing w:before="120" w:after="120"/>
              <w:rPr>
                <w:rFonts w:ascii="Times New Roman" w:eastAsia="Times New Roman" w:hAnsi="Times New Roman" w:cs="Times New Roman"/>
                <w:bCs/>
                <w:iCs/>
                <w:sz w:val="20"/>
                <w:szCs w:val="20"/>
                <w:lang w:val="en-US"/>
              </w:rPr>
            </w:pPr>
          </w:p>
        </w:tc>
        <w:tc>
          <w:tcPr>
            <w:tcW w:w="1690" w:type="dxa"/>
            <w:vMerge w:val="restart"/>
            <w:vAlign w:val="center"/>
          </w:tcPr>
          <w:p w14:paraId="23E4A87A" w14:textId="3534CC4B" w:rsidR="002D355C" w:rsidRPr="008E025E" w:rsidRDefault="002D355C" w:rsidP="00584F2A">
            <w:pPr>
              <w:spacing w:before="120" w:after="120"/>
              <w:rPr>
                <w:rFonts w:ascii="Times New Roman" w:eastAsia="Times New Roman" w:hAnsi="Times New Roman" w:cs="Times New Roman"/>
                <w:iCs/>
                <w:sz w:val="20"/>
                <w:szCs w:val="20"/>
                <w:lang w:val="en-US"/>
              </w:rPr>
            </w:pPr>
          </w:p>
        </w:tc>
        <w:tc>
          <w:tcPr>
            <w:tcW w:w="1905" w:type="dxa"/>
            <w:vMerge w:val="restart"/>
            <w:vAlign w:val="center"/>
          </w:tcPr>
          <w:p w14:paraId="16201482" w14:textId="513B8E76" w:rsidR="002D355C" w:rsidRPr="0027341F" w:rsidRDefault="002D355C" w:rsidP="00584F2A">
            <w:pPr>
              <w:spacing w:before="120" w:after="120"/>
              <w:rPr>
                <w:rFonts w:ascii="Times New Roman" w:eastAsia="Times New Roman" w:hAnsi="Times New Roman" w:cs="Times New Roman"/>
                <w:iCs/>
                <w:sz w:val="20"/>
                <w:szCs w:val="20"/>
              </w:rPr>
            </w:pPr>
          </w:p>
        </w:tc>
      </w:tr>
      <w:tr w:rsidR="002D355C" w:rsidRPr="006144C6" w14:paraId="31638D4D" w14:textId="77777777" w:rsidTr="00C3653E">
        <w:trPr>
          <w:trHeight w:val="711"/>
        </w:trPr>
        <w:tc>
          <w:tcPr>
            <w:tcW w:w="1474" w:type="dxa"/>
            <w:vMerge/>
            <w:vAlign w:val="center"/>
          </w:tcPr>
          <w:p w14:paraId="3A089DD0" w14:textId="77777777" w:rsidR="002D355C" w:rsidRPr="007F5800" w:rsidRDefault="002D355C" w:rsidP="00584F2A">
            <w:pPr>
              <w:spacing w:before="120" w:after="120"/>
              <w:rPr>
                <w:rFonts w:ascii="Times New Roman" w:hAnsi="Times New Roman" w:cs="Times New Roman"/>
                <w:bCs/>
                <w:sz w:val="20"/>
                <w:szCs w:val="20"/>
                <w:lang w:val="en-US"/>
              </w:rPr>
            </w:pPr>
          </w:p>
        </w:tc>
        <w:tc>
          <w:tcPr>
            <w:tcW w:w="1140" w:type="dxa"/>
            <w:vMerge/>
            <w:vAlign w:val="center"/>
          </w:tcPr>
          <w:p w14:paraId="779B09FA" w14:textId="77777777" w:rsidR="002D355C" w:rsidRPr="007F5800" w:rsidRDefault="002D355C" w:rsidP="00584F2A">
            <w:pPr>
              <w:spacing w:before="120" w:after="120"/>
              <w:rPr>
                <w:rFonts w:ascii="Times New Roman" w:hAnsi="Times New Roman" w:cs="Times New Roman"/>
                <w:iCs/>
                <w:sz w:val="20"/>
                <w:szCs w:val="20"/>
                <w:lang w:val="en-US"/>
              </w:rPr>
            </w:pPr>
          </w:p>
        </w:tc>
        <w:tc>
          <w:tcPr>
            <w:tcW w:w="1312" w:type="dxa"/>
            <w:vAlign w:val="center"/>
          </w:tcPr>
          <w:p w14:paraId="3FC65F85" w14:textId="3444B701" w:rsidR="002D355C" w:rsidRPr="006144C6" w:rsidRDefault="002D355C" w:rsidP="00584F2A">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По-слабо развити региони</w:t>
            </w:r>
          </w:p>
        </w:tc>
        <w:tc>
          <w:tcPr>
            <w:tcW w:w="1830" w:type="dxa"/>
            <w:vMerge/>
            <w:vAlign w:val="center"/>
          </w:tcPr>
          <w:p w14:paraId="384B48E9" w14:textId="77777777" w:rsidR="002D355C" w:rsidRPr="006144C6" w:rsidRDefault="002D355C" w:rsidP="00584F2A">
            <w:pPr>
              <w:spacing w:before="120" w:after="120"/>
              <w:rPr>
                <w:rFonts w:ascii="Times New Roman" w:eastAsia="Times New Roman" w:hAnsi="Times New Roman" w:cs="Times New Roman"/>
                <w:bCs/>
                <w:iCs/>
                <w:sz w:val="20"/>
                <w:szCs w:val="20"/>
                <w:lang w:val="en-US"/>
              </w:rPr>
            </w:pPr>
          </w:p>
        </w:tc>
        <w:tc>
          <w:tcPr>
            <w:tcW w:w="1690" w:type="dxa"/>
            <w:vMerge/>
            <w:vAlign w:val="center"/>
          </w:tcPr>
          <w:p w14:paraId="3B38D315" w14:textId="77777777" w:rsidR="002D355C" w:rsidRPr="006144C6" w:rsidRDefault="002D355C" w:rsidP="00584F2A">
            <w:pPr>
              <w:spacing w:before="120" w:after="120"/>
              <w:rPr>
                <w:rFonts w:ascii="Times New Roman" w:eastAsia="Times New Roman" w:hAnsi="Times New Roman" w:cs="Times New Roman"/>
                <w:iCs/>
                <w:sz w:val="20"/>
                <w:szCs w:val="20"/>
                <w:lang w:val="en-US"/>
              </w:rPr>
            </w:pPr>
          </w:p>
        </w:tc>
        <w:tc>
          <w:tcPr>
            <w:tcW w:w="1905" w:type="dxa"/>
            <w:vMerge/>
            <w:vAlign w:val="center"/>
          </w:tcPr>
          <w:p w14:paraId="0E06AE90" w14:textId="2F8EF159" w:rsidR="002D355C" w:rsidRPr="006144C6" w:rsidRDefault="002D355C" w:rsidP="00584F2A">
            <w:pPr>
              <w:spacing w:before="120" w:after="120"/>
              <w:rPr>
                <w:rFonts w:ascii="Times New Roman" w:eastAsia="Times New Roman" w:hAnsi="Times New Roman" w:cs="Times New Roman"/>
                <w:iCs/>
                <w:sz w:val="20"/>
                <w:szCs w:val="20"/>
                <w:lang w:val="en-US"/>
              </w:rPr>
            </w:pPr>
          </w:p>
        </w:tc>
      </w:tr>
    </w:tbl>
    <w:p w14:paraId="38B9D37B" w14:textId="4BF2D539" w:rsidR="00CD4786" w:rsidRDefault="00CD4786"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p w14:paraId="31201A66" w14:textId="77777777" w:rsidR="00C3653E" w:rsidRPr="00171DED" w:rsidRDefault="00C3653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2"/>
        <w:gridCol w:w="1228"/>
        <w:gridCol w:w="1363"/>
        <w:gridCol w:w="1870"/>
        <w:gridCol w:w="1210"/>
        <w:gridCol w:w="1889"/>
      </w:tblGrid>
      <w:tr w:rsidR="00AD68E5" w:rsidRPr="00171DED" w14:paraId="6AB5536D" w14:textId="77777777" w:rsidTr="00665EF2">
        <w:tc>
          <w:tcPr>
            <w:tcW w:w="9062" w:type="dxa"/>
            <w:gridSpan w:val="6"/>
          </w:tcPr>
          <w:p w14:paraId="0E4AE810" w14:textId="77777777" w:rsidR="00AD68E5" w:rsidRPr="00171DED" w:rsidRDefault="00AD68E5" w:rsidP="00B94321">
            <w:pPr>
              <w:spacing w:before="120" w:after="120"/>
              <w:jc w:val="both"/>
              <w:rPr>
                <w:rFonts w:ascii="Times New Roman" w:eastAsia="Times New Roman" w:hAnsi="Times New Roman" w:cs="Times New Roman"/>
                <w:iCs/>
                <w:noProof/>
                <w:sz w:val="20"/>
                <w:szCs w:val="20"/>
              </w:rPr>
            </w:pPr>
            <w:r w:rsidRPr="00C3653E">
              <w:rPr>
                <w:rFonts w:ascii="Times New Roman" w:eastAsia="Calibri" w:hAnsi="Times New Roman" w:cs="Times New Roman"/>
                <w:b/>
                <w:bCs/>
                <w:noProof/>
                <w:sz w:val="20"/>
                <w:szCs w:val="20"/>
              </w:rPr>
              <w:t>Таблица 6</w:t>
            </w:r>
            <w:r w:rsidRPr="00C3653E">
              <w:rPr>
                <w:rFonts w:ascii="Times New Roman" w:eastAsia="Calibri" w:hAnsi="Times New Roman" w:cs="Times New Roman"/>
                <w:noProof/>
                <w:sz w:val="20"/>
                <w:szCs w:val="20"/>
              </w:rPr>
              <w:t xml:space="preserve">: </w:t>
            </w:r>
            <w:r w:rsidRPr="00C3653E">
              <w:rPr>
                <w:rFonts w:ascii="Times New Roman" w:eastAsia="Calibri" w:hAnsi="Times New Roman" w:cs="Times New Roman"/>
                <w:b/>
                <w:bCs/>
                <w:noProof/>
                <w:sz w:val="20"/>
                <w:szCs w:val="20"/>
              </w:rPr>
              <w:t>Измерение 3 – Териториален механизъм за изпълнение и териториална насоченост</w:t>
            </w:r>
          </w:p>
        </w:tc>
      </w:tr>
      <w:tr w:rsidR="00AD68E5" w:rsidRPr="00171DED" w14:paraId="548307B3" w14:textId="77777777" w:rsidTr="006F49DE">
        <w:tc>
          <w:tcPr>
            <w:tcW w:w="1502" w:type="dxa"/>
          </w:tcPr>
          <w:p w14:paraId="494E5D7B"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Приоритет №</w:t>
            </w:r>
          </w:p>
        </w:tc>
        <w:tc>
          <w:tcPr>
            <w:tcW w:w="1228" w:type="dxa"/>
          </w:tcPr>
          <w:p w14:paraId="5E650C34"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Фонд</w:t>
            </w:r>
          </w:p>
        </w:tc>
        <w:tc>
          <w:tcPr>
            <w:tcW w:w="1363" w:type="dxa"/>
          </w:tcPr>
          <w:p w14:paraId="6591FC88"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Категория региони</w:t>
            </w:r>
          </w:p>
        </w:tc>
        <w:tc>
          <w:tcPr>
            <w:tcW w:w="1870" w:type="dxa"/>
          </w:tcPr>
          <w:p w14:paraId="2C91DED9"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Специфична цел</w:t>
            </w:r>
          </w:p>
        </w:tc>
        <w:tc>
          <w:tcPr>
            <w:tcW w:w="1210" w:type="dxa"/>
          </w:tcPr>
          <w:p w14:paraId="731F04D1"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 xml:space="preserve">Код </w:t>
            </w:r>
          </w:p>
        </w:tc>
        <w:tc>
          <w:tcPr>
            <w:tcW w:w="1889" w:type="dxa"/>
          </w:tcPr>
          <w:p w14:paraId="0808CBE7"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Сума (EUR)</w:t>
            </w:r>
          </w:p>
        </w:tc>
      </w:tr>
      <w:tr w:rsidR="00FA1300" w:rsidRPr="00171DED" w14:paraId="0157A6D9" w14:textId="77777777" w:rsidTr="00B42B85">
        <w:trPr>
          <w:trHeight w:val="305"/>
        </w:trPr>
        <w:tc>
          <w:tcPr>
            <w:tcW w:w="1502" w:type="dxa"/>
            <w:vMerge w:val="restart"/>
            <w:vAlign w:val="center"/>
          </w:tcPr>
          <w:p w14:paraId="41CB535E" w14:textId="6EF3E28F" w:rsidR="00FA1300" w:rsidRPr="00171DED" w:rsidRDefault="00FA1300" w:rsidP="00B42B85">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304A01DC" w14:textId="77777777" w:rsidR="00FA1300" w:rsidRPr="00171DED" w:rsidRDefault="00FA1300" w:rsidP="00B42B85">
            <w:pPr>
              <w:spacing w:before="120" w:after="120"/>
              <w:rPr>
                <w:rFonts w:ascii="Times New Roman" w:eastAsia="Times New Roman" w:hAnsi="Times New Roman" w:cs="Times New Roman"/>
                <w:iCs/>
                <w:noProof/>
                <w:sz w:val="20"/>
                <w:szCs w:val="20"/>
              </w:rPr>
            </w:pPr>
          </w:p>
        </w:tc>
        <w:tc>
          <w:tcPr>
            <w:tcW w:w="1228" w:type="dxa"/>
            <w:vMerge w:val="restart"/>
            <w:vAlign w:val="center"/>
          </w:tcPr>
          <w:p w14:paraId="22361E0E" w14:textId="77777777" w:rsidR="00FA1300" w:rsidRPr="00171DED" w:rsidRDefault="00FA1300" w:rsidP="00B42B8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63" w:type="dxa"/>
            <w:vAlign w:val="center"/>
          </w:tcPr>
          <w:p w14:paraId="112BBD5B" w14:textId="77E9B9CD" w:rsidR="00FA1300" w:rsidRPr="00171DED" w:rsidRDefault="00FA1300" w:rsidP="00B42B8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70" w:type="dxa"/>
            <w:vMerge w:val="restart"/>
            <w:vAlign w:val="center"/>
          </w:tcPr>
          <w:p w14:paraId="560BFD5C" w14:textId="4EB13D1D" w:rsidR="00FA1300" w:rsidRPr="00171DED" w:rsidRDefault="00FA1300" w:rsidP="00B42B85">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2503A032" w14:textId="77777777" w:rsidR="00FA1300" w:rsidRPr="00171DED" w:rsidRDefault="00FA1300" w:rsidP="00B42B85">
            <w:pPr>
              <w:spacing w:before="120" w:after="120"/>
              <w:rPr>
                <w:rFonts w:ascii="Times New Roman" w:eastAsia="Times New Roman" w:hAnsi="Times New Roman" w:cs="Times New Roman"/>
                <w:iCs/>
                <w:noProof/>
                <w:sz w:val="20"/>
                <w:szCs w:val="20"/>
              </w:rPr>
            </w:pPr>
          </w:p>
        </w:tc>
        <w:tc>
          <w:tcPr>
            <w:tcW w:w="1210" w:type="dxa"/>
            <w:vMerge w:val="restart"/>
            <w:vAlign w:val="center"/>
          </w:tcPr>
          <w:p w14:paraId="1725559D" w14:textId="20CED3A5" w:rsidR="00FA1300" w:rsidRPr="00171DED" w:rsidRDefault="00FA1300" w:rsidP="00B42B8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17</w:t>
            </w:r>
          </w:p>
        </w:tc>
        <w:tc>
          <w:tcPr>
            <w:tcW w:w="1889" w:type="dxa"/>
            <w:vAlign w:val="center"/>
          </w:tcPr>
          <w:p w14:paraId="0E522B66" w14:textId="619C0DAB"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4 095 000,00</w:t>
            </w:r>
          </w:p>
        </w:tc>
      </w:tr>
      <w:tr w:rsidR="00FA1300" w:rsidRPr="00171DED" w14:paraId="79FA16FB" w14:textId="77777777" w:rsidTr="00B42B85">
        <w:trPr>
          <w:trHeight w:val="305"/>
        </w:trPr>
        <w:tc>
          <w:tcPr>
            <w:tcW w:w="1502" w:type="dxa"/>
            <w:vMerge/>
            <w:vAlign w:val="center"/>
          </w:tcPr>
          <w:p w14:paraId="27CA8D4F"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28" w:type="dxa"/>
            <w:vMerge/>
            <w:vAlign w:val="center"/>
          </w:tcPr>
          <w:p w14:paraId="209BD157" w14:textId="77777777" w:rsidR="00FA1300" w:rsidRPr="00171DED" w:rsidRDefault="00FA1300" w:rsidP="00584F2A">
            <w:pPr>
              <w:spacing w:before="120" w:after="120"/>
              <w:rPr>
                <w:rFonts w:ascii="Times New Roman" w:eastAsia="Times New Roman" w:hAnsi="Times New Roman" w:cs="Times New Roman"/>
                <w:iCs/>
                <w:noProof/>
                <w:sz w:val="20"/>
                <w:szCs w:val="20"/>
              </w:rPr>
            </w:pPr>
          </w:p>
        </w:tc>
        <w:tc>
          <w:tcPr>
            <w:tcW w:w="1363" w:type="dxa"/>
            <w:vAlign w:val="center"/>
          </w:tcPr>
          <w:p w14:paraId="14BAAE94" w14:textId="0652BE87" w:rsidR="00FA1300" w:rsidRPr="00171DED" w:rsidRDefault="00FA1300"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70" w:type="dxa"/>
            <w:vMerge/>
            <w:vAlign w:val="center"/>
          </w:tcPr>
          <w:p w14:paraId="58C8318A" w14:textId="77777777" w:rsidR="00FA1300" w:rsidRDefault="00FA1300" w:rsidP="00584F2A">
            <w:pPr>
              <w:spacing w:before="120" w:after="120"/>
              <w:rPr>
                <w:rFonts w:ascii="Times New Roman" w:eastAsia="Times New Roman" w:hAnsi="Times New Roman" w:cs="Times New Roman"/>
                <w:bCs/>
                <w:iCs/>
                <w:noProof/>
                <w:sz w:val="20"/>
                <w:szCs w:val="20"/>
              </w:rPr>
            </w:pPr>
          </w:p>
        </w:tc>
        <w:tc>
          <w:tcPr>
            <w:tcW w:w="1210" w:type="dxa"/>
            <w:vMerge/>
            <w:vAlign w:val="center"/>
          </w:tcPr>
          <w:p w14:paraId="132169CE" w14:textId="49ABC9AB" w:rsidR="00FA1300" w:rsidRPr="00171DED" w:rsidRDefault="00FA1300" w:rsidP="00584F2A">
            <w:pPr>
              <w:spacing w:before="120" w:after="120"/>
              <w:rPr>
                <w:rFonts w:ascii="Times New Roman" w:eastAsia="Times New Roman" w:hAnsi="Times New Roman" w:cs="Times New Roman"/>
                <w:iCs/>
                <w:noProof/>
                <w:sz w:val="20"/>
                <w:szCs w:val="20"/>
              </w:rPr>
            </w:pPr>
          </w:p>
        </w:tc>
        <w:tc>
          <w:tcPr>
            <w:tcW w:w="1889" w:type="dxa"/>
            <w:vAlign w:val="center"/>
          </w:tcPr>
          <w:p w14:paraId="03E4C22E" w14:textId="3AC554FA"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33 277 500,00</w:t>
            </w:r>
          </w:p>
        </w:tc>
      </w:tr>
      <w:tr w:rsidR="00FA1300" w:rsidRPr="00171DED" w14:paraId="0C753232" w14:textId="77777777" w:rsidTr="00B42B85">
        <w:trPr>
          <w:trHeight w:val="470"/>
        </w:trPr>
        <w:tc>
          <w:tcPr>
            <w:tcW w:w="1502" w:type="dxa"/>
            <w:vMerge/>
            <w:vAlign w:val="center"/>
          </w:tcPr>
          <w:p w14:paraId="1AA88E8D"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28" w:type="dxa"/>
            <w:vMerge/>
            <w:vAlign w:val="center"/>
          </w:tcPr>
          <w:p w14:paraId="4F718825" w14:textId="77777777" w:rsidR="00FA1300" w:rsidRPr="00171DED" w:rsidRDefault="00FA1300" w:rsidP="00584F2A">
            <w:pPr>
              <w:spacing w:before="120" w:after="120"/>
              <w:rPr>
                <w:rFonts w:ascii="Times New Roman" w:eastAsia="Times New Roman" w:hAnsi="Times New Roman" w:cs="Times New Roman"/>
                <w:iCs/>
                <w:noProof/>
                <w:sz w:val="20"/>
                <w:szCs w:val="20"/>
              </w:rPr>
            </w:pPr>
          </w:p>
        </w:tc>
        <w:tc>
          <w:tcPr>
            <w:tcW w:w="1363" w:type="dxa"/>
            <w:vAlign w:val="center"/>
          </w:tcPr>
          <w:p w14:paraId="5180DF60" w14:textId="069E1687" w:rsidR="00FA1300" w:rsidRPr="00171DED" w:rsidRDefault="00FA1300"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70" w:type="dxa"/>
            <w:vMerge/>
            <w:vAlign w:val="center"/>
          </w:tcPr>
          <w:p w14:paraId="580645A2"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10" w:type="dxa"/>
            <w:vMerge w:val="restart"/>
            <w:vAlign w:val="center"/>
          </w:tcPr>
          <w:p w14:paraId="03AA36F1" w14:textId="663B401D" w:rsidR="00FA1300" w:rsidRPr="00171DED" w:rsidRDefault="00FA1300"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48</w:t>
            </w:r>
          </w:p>
        </w:tc>
        <w:tc>
          <w:tcPr>
            <w:tcW w:w="1889" w:type="dxa"/>
            <w:vAlign w:val="center"/>
          </w:tcPr>
          <w:p w14:paraId="340A5BEC" w14:textId="15837179"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21 314 932,00</w:t>
            </w:r>
          </w:p>
        </w:tc>
      </w:tr>
      <w:tr w:rsidR="00FA1300" w:rsidRPr="00171DED" w14:paraId="0294BB9D" w14:textId="77777777" w:rsidTr="00B42B85">
        <w:tc>
          <w:tcPr>
            <w:tcW w:w="1502" w:type="dxa"/>
            <w:vMerge/>
            <w:vAlign w:val="center"/>
          </w:tcPr>
          <w:p w14:paraId="4290DC5E"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28" w:type="dxa"/>
            <w:vMerge/>
            <w:vAlign w:val="center"/>
          </w:tcPr>
          <w:p w14:paraId="4A62DE16" w14:textId="77777777" w:rsidR="00FA1300" w:rsidRPr="00171DED" w:rsidRDefault="00FA1300" w:rsidP="00584F2A">
            <w:pPr>
              <w:spacing w:before="120" w:after="120"/>
              <w:rPr>
                <w:rFonts w:ascii="Times New Roman" w:eastAsia="Times New Roman" w:hAnsi="Times New Roman" w:cs="Times New Roman"/>
                <w:iCs/>
                <w:noProof/>
                <w:sz w:val="20"/>
                <w:szCs w:val="20"/>
              </w:rPr>
            </w:pPr>
          </w:p>
        </w:tc>
        <w:tc>
          <w:tcPr>
            <w:tcW w:w="1363" w:type="dxa"/>
            <w:vAlign w:val="center"/>
          </w:tcPr>
          <w:p w14:paraId="4DEEC6F6" w14:textId="79D2F342" w:rsidR="00FA1300" w:rsidRPr="00171DED" w:rsidRDefault="00FA1300" w:rsidP="00B42B8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70" w:type="dxa"/>
            <w:vMerge/>
            <w:vAlign w:val="center"/>
          </w:tcPr>
          <w:p w14:paraId="5C53A475"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10" w:type="dxa"/>
            <w:vMerge/>
            <w:vAlign w:val="center"/>
          </w:tcPr>
          <w:p w14:paraId="0FD8F539" w14:textId="3C0DC5E4" w:rsidR="00FA1300" w:rsidRPr="00171DED" w:rsidRDefault="00FA1300" w:rsidP="00584F2A">
            <w:pPr>
              <w:spacing w:before="120" w:after="120"/>
              <w:rPr>
                <w:rFonts w:ascii="Times New Roman" w:eastAsia="Times New Roman" w:hAnsi="Times New Roman" w:cs="Times New Roman"/>
                <w:iCs/>
                <w:noProof/>
                <w:sz w:val="20"/>
                <w:szCs w:val="20"/>
                <w:lang w:val="en-US"/>
              </w:rPr>
            </w:pPr>
          </w:p>
        </w:tc>
        <w:tc>
          <w:tcPr>
            <w:tcW w:w="1889" w:type="dxa"/>
            <w:vAlign w:val="center"/>
          </w:tcPr>
          <w:p w14:paraId="11444195" w14:textId="6EA4E0A2"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173 213 089,00</w:t>
            </w:r>
          </w:p>
        </w:tc>
      </w:tr>
    </w:tbl>
    <w:p w14:paraId="07136A41"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1"/>
        <w:gridCol w:w="1435"/>
        <w:gridCol w:w="1435"/>
        <w:gridCol w:w="1520"/>
        <w:gridCol w:w="1435"/>
        <w:gridCol w:w="1736"/>
      </w:tblGrid>
      <w:tr w:rsidR="0022545E" w:rsidRPr="0010575B" w14:paraId="41AE3D52" w14:textId="77777777" w:rsidTr="00885FC6">
        <w:tc>
          <w:tcPr>
            <w:tcW w:w="9288" w:type="dxa"/>
            <w:gridSpan w:val="6"/>
          </w:tcPr>
          <w:p w14:paraId="0EDFFB09"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20743476" w14:textId="77777777" w:rsidTr="00885FC6">
        <w:tc>
          <w:tcPr>
            <w:tcW w:w="1599" w:type="dxa"/>
          </w:tcPr>
          <w:p w14:paraId="54733D57"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6405288A"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34F13297"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242E9962"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2ABF05DE"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7D50D123"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5D950E13" w14:textId="77777777" w:rsidTr="00885FC6">
        <w:tc>
          <w:tcPr>
            <w:tcW w:w="1599" w:type="dxa"/>
          </w:tcPr>
          <w:p w14:paraId="250D5960"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384" w:type="dxa"/>
          </w:tcPr>
          <w:p w14:paraId="0C2A8ECC"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433" w:type="dxa"/>
          </w:tcPr>
          <w:p w14:paraId="57B4D032"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644" w:type="dxa"/>
          </w:tcPr>
          <w:p w14:paraId="4EA3EED2"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053" w:type="dxa"/>
          </w:tcPr>
          <w:p w14:paraId="020DD445"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2175" w:type="dxa"/>
          </w:tcPr>
          <w:p w14:paraId="679516B5"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r>
    </w:tbl>
    <w:p w14:paraId="03F7C5D1" w14:textId="77777777" w:rsidR="00057EAA" w:rsidRDefault="00057EAA"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057EAA" w:rsidRPr="00E40AF9" w14:paraId="3C97AA13" w14:textId="77777777" w:rsidTr="00E9010F">
        <w:trPr>
          <w:trHeight w:val="408"/>
        </w:trPr>
        <w:tc>
          <w:tcPr>
            <w:tcW w:w="9067" w:type="dxa"/>
            <w:gridSpan w:val="6"/>
            <w:vMerge w:val="restart"/>
            <w:shd w:val="clear" w:color="000000" w:fill="FFFFFF"/>
            <w:vAlign w:val="center"/>
          </w:tcPr>
          <w:p w14:paraId="291242C1" w14:textId="77777777" w:rsidR="00057EAA" w:rsidRPr="00C1390E" w:rsidRDefault="00057EAA"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p>
        </w:tc>
      </w:tr>
      <w:tr w:rsidR="00057EAA" w:rsidRPr="00E40AF9" w14:paraId="246C9F61" w14:textId="77777777" w:rsidTr="00E9010F">
        <w:trPr>
          <w:trHeight w:val="230"/>
        </w:trPr>
        <w:tc>
          <w:tcPr>
            <w:tcW w:w="9067" w:type="dxa"/>
            <w:gridSpan w:val="6"/>
            <w:vMerge/>
            <w:vAlign w:val="center"/>
          </w:tcPr>
          <w:p w14:paraId="21646B14" w14:textId="77777777" w:rsidR="00057EAA" w:rsidRPr="00C1390E" w:rsidRDefault="00057EAA" w:rsidP="00E9010F">
            <w:pPr>
              <w:spacing w:after="0" w:line="240" w:lineRule="auto"/>
              <w:rPr>
                <w:rFonts w:ascii="Times New Roman" w:eastAsia="Times New Roman" w:hAnsi="Times New Roman" w:cs="Times New Roman"/>
                <w:b/>
                <w:bCs/>
                <w:sz w:val="20"/>
                <w:szCs w:val="20"/>
                <w:lang w:eastAsia="bg-BG"/>
              </w:rPr>
            </w:pPr>
          </w:p>
        </w:tc>
      </w:tr>
      <w:tr w:rsidR="00057EAA" w:rsidRPr="00E40AF9" w14:paraId="0BE3DB92" w14:textId="77777777" w:rsidTr="00E9010F">
        <w:trPr>
          <w:trHeight w:val="315"/>
        </w:trPr>
        <w:tc>
          <w:tcPr>
            <w:tcW w:w="1781" w:type="dxa"/>
            <w:vAlign w:val="center"/>
          </w:tcPr>
          <w:p w14:paraId="762B2028"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798" w:type="dxa"/>
            <w:vAlign w:val="center"/>
          </w:tcPr>
          <w:p w14:paraId="6F7D8927"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1340" w:type="dxa"/>
            <w:vAlign w:val="center"/>
          </w:tcPr>
          <w:p w14:paraId="3E03894A"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827" w:type="dxa"/>
            <w:vAlign w:val="center"/>
          </w:tcPr>
          <w:p w14:paraId="28B6B9EB"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1771" w:type="dxa"/>
            <w:vAlign w:val="center"/>
          </w:tcPr>
          <w:p w14:paraId="050744A4"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p>
        </w:tc>
        <w:tc>
          <w:tcPr>
            <w:tcW w:w="1550" w:type="dxa"/>
            <w:vAlign w:val="center"/>
          </w:tcPr>
          <w:p w14:paraId="02E0FA02"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7D6C25" w:rsidRPr="00E40AF9" w14:paraId="3D3F0A36" w14:textId="77777777" w:rsidTr="00E9010F">
        <w:trPr>
          <w:trHeight w:val="844"/>
        </w:trPr>
        <w:tc>
          <w:tcPr>
            <w:tcW w:w="1781" w:type="dxa"/>
            <w:vMerge w:val="restart"/>
            <w:shd w:val="clear" w:color="000000" w:fill="FFFFFF"/>
            <w:vAlign w:val="center"/>
            <w:hideMark/>
          </w:tcPr>
          <w:p w14:paraId="3F6B3666" w14:textId="07BED047" w:rsidR="007D6C25" w:rsidRPr="00C1390E" w:rsidRDefault="007D6C25" w:rsidP="007D6C25">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r w:rsidRPr="00C1390E">
              <w:rPr>
                <w:rFonts w:ascii="Times New Roman" w:eastAsia="Times New Roman" w:hAnsi="Times New Roman" w:cs="Times New Roman"/>
                <w:color w:val="000000"/>
                <w:sz w:val="20"/>
                <w:szCs w:val="20"/>
                <w:lang w:eastAsia="bg-BG"/>
              </w:rPr>
              <w:t xml:space="preserve"> „</w:t>
            </w:r>
            <w:r w:rsidRPr="00171DED">
              <w:rPr>
                <w:rFonts w:ascii="Times New Roman" w:eastAsia="Times New Roman" w:hAnsi="Times New Roman" w:cs="Times New Roman"/>
                <w:bCs/>
                <w:iCs/>
                <w:noProof/>
                <w:sz w:val="20"/>
                <w:szCs w:val="20"/>
              </w:rPr>
              <w:t xml:space="preserve"> Риск и изменение на климата</w:t>
            </w:r>
            <w:r>
              <w:rPr>
                <w:rFonts w:ascii="Times New Roman" w:eastAsia="Times New Roman" w:hAnsi="Times New Roman" w:cs="Times New Roman"/>
                <w:bCs/>
                <w:iCs/>
                <w:noProof/>
                <w:sz w:val="20"/>
                <w:szCs w:val="20"/>
                <w:lang w:val="bg-BG"/>
              </w:rPr>
              <w:t>“</w:t>
            </w:r>
          </w:p>
        </w:tc>
        <w:tc>
          <w:tcPr>
            <w:tcW w:w="798" w:type="dxa"/>
            <w:vMerge w:val="restart"/>
            <w:shd w:val="clear" w:color="auto" w:fill="auto"/>
            <w:vAlign w:val="center"/>
            <w:hideMark/>
          </w:tcPr>
          <w:p w14:paraId="0F12C708"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1340" w:type="dxa"/>
            <w:shd w:val="clear" w:color="auto" w:fill="auto"/>
            <w:vAlign w:val="center"/>
            <w:hideMark/>
          </w:tcPr>
          <w:p w14:paraId="5E6A3C3F"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827" w:type="dxa"/>
            <w:vMerge w:val="restart"/>
            <w:shd w:val="clear" w:color="auto" w:fill="auto"/>
            <w:vAlign w:val="center"/>
            <w:hideMark/>
          </w:tcPr>
          <w:p w14:paraId="2C961B86" w14:textId="03F538D8"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w:t>
            </w:r>
            <w:proofErr w:type="spellStart"/>
            <w:r w:rsidRPr="00171DED">
              <w:rPr>
                <w:rFonts w:ascii="Times New Roman" w:eastAsia="Times New Roman" w:hAnsi="Times New Roman" w:cs="Times New Roman"/>
                <w:bCs/>
                <w:iCs/>
                <w:noProof/>
                <w:sz w:val="20"/>
                <w:szCs w:val="20"/>
              </w:rPr>
              <w:t>Насърчаване</w:t>
            </w:r>
            <w:proofErr w:type="spellEnd"/>
            <w:r w:rsidRPr="00171DED">
              <w:rPr>
                <w:rFonts w:ascii="Times New Roman" w:eastAsia="Times New Roman" w:hAnsi="Times New Roman" w:cs="Times New Roman"/>
                <w:bCs/>
                <w:iCs/>
                <w:noProof/>
                <w:sz w:val="20"/>
                <w:szCs w:val="20"/>
              </w:rPr>
              <w:t xml:space="preserve"> на адаптирането към изменението на климата, на предотвратяването и управлението на риска</w:t>
            </w:r>
            <w:r w:rsidRPr="00C1390E">
              <w:rPr>
                <w:rFonts w:ascii="Times New Roman" w:eastAsia="Times New Roman" w:hAnsi="Times New Roman" w:cs="Times New Roman"/>
                <w:color w:val="000000"/>
                <w:sz w:val="20"/>
                <w:szCs w:val="20"/>
                <w:lang w:eastAsia="bg-BG"/>
              </w:rPr>
              <w:t>”</w:t>
            </w:r>
          </w:p>
        </w:tc>
        <w:tc>
          <w:tcPr>
            <w:tcW w:w="1771" w:type="dxa"/>
            <w:vMerge w:val="restart"/>
            <w:shd w:val="clear" w:color="auto" w:fill="auto"/>
            <w:vAlign w:val="center"/>
            <w:hideMark/>
          </w:tcPr>
          <w:p w14:paraId="15AAA6F8"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4ED42FEA" w14:textId="3C2A7939"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7D6C25">
              <w:rPr>
                <w:rFonts w:ascii="Times New Roman" w:hAnsi="Times New Roman" w:cs="Times New Roman"/>
                <w:color w:val="000000"/>
                <w:sz w:val="20"/>
                <w:szCs w:val="20"/>
              </w:rPr>
              <w:t>25 409 932,00</w:t>
            </w:r>
          </w:p>
        </w:tc>
      </w:tr>
      <w:tr w:rsidR="007D6C25" w:rsidRPr="00E40AF9" w14:paraId="5F0B6B84" w14:textId="77777777" w:rsidTr="00E9010F">
        <w:trPr>
          <w:trHeight w:val="615"/>
        </w:trPr>
        <w:tc>
          <w:tcPr>
            <w:tcW w:w="1781" w:type="dxa"/>
            <w:vMerge/>
            <w:vAlign w:val="center"/>
            <w:hideMark/>
          </w:tcPr>
          <w:p w14:paraId="36778A2A"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22FC513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4C46A4B"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827" w:type="dxa"/>
            <w:vMerge/>
            <w:vAlign w:val="center"/>
            <w:hideMark/>
          </w:tcPr>
          <w:p w14:paraId="3E2EABBE"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1F7F727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7756FBEB" w14:textId="7E59026F"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7D6C25">
              <w:rPr>
                <w:rFonts w:ascii="Times New Roman" w:hAnsi="Times New Roman" w:cs="Times New Roman"/>
                <w:color w:val="000000"/>
                <w:sz w:val="20"/>
                <w:szCs w:val="20"/>
              </w:rPr>
              <w:t>206 490 589,00</w:t>
            </w:r>
          </w:p>
        </w:tc>
      </w:tr>
    </w:tbl>
    <w:p w14:paraId="076E2F1E" w14:textId="77777777" w:rsidR="00057EAA" w:rsidRDefault="00057EAA"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3A49C419" w14:textId="536C93C8"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3AF4BAB7"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ABCAD5"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2E912ABE"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lastRenderedPageBreak/>
        <w:t>Текстово поле [2 000 знака]</w:t>
      </w:r>
    </w:p>
    <w:p w14:paraId="12217AF1"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297620B5"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3D1793A"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062465C3"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D60AC74"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5"/>
      </w:r>
    </w:p>
    <w:p w14:paraId="40C4A3F9"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13F1DF25" w14:textId="77777777"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F83CAC" w:rsidRDefault="00D240DA" w:rsidP="00D240DA">
      <w:pPr>
        <w:widowControl w:val="0"/>
        <w:shd w:val="clear" w:color="auto" w:fill="FFFFFF"/>
        <w:spacing w:after="240" w:line="240" w:lineRule="auto"/>
        <w:rPr>
          <w:rFonts w:ascii="Times New Roman" w:eastAsia="Times New Roman" w:hAnsi="Times New Roman"/>
          <w:b/>
          <w:sz w:val="24"/>
          <w:lang w:val="bg-BG"/>
        </w:rPr>
      </w:pPr>
      <w:r w:rsidRPr="00F83CAC">
        <w:rPr>
          <w:rFonts w:ascii="Times New Roman" w:eastAsia="Times New Roman" w:hAnsi="Times New Roman"/>
          <w:b/>
          <w:sz w:val="24"/>
          <w:lang w:val="bg-BG"/>
        </w:rPr>
        <w:t xml:space="preserve">Приоритет </w:t>
      </w:r>
      <w:r w:rsidR="00046144" w:rsidRPr="00F83CAC">
        <w:rPr>
          <w:rFonts w:ascii="Times New Roman" w:eastAsia="Times New Roman" w:hAnsi="Times New Roman"/>
          <w:b/>
          <w:sz w:val="24"/>
          <w:lang w:val="bg-BG"/>
        </w:rPr>
        <w:t>5</w:t>
      </w:r>
      <w:r w:rsidR="009A0644" w:rsidRPr="00F83CAC">
        <w:rPr>
          <w:rFonts w:ascii="Times New Roman" w:eastAsia="Times New Roman" w:hAnsi="Times New Roman"/>
          <w:b/>
          <w:sz w:val="24"/>
          <w:lang w:val="bg-BG"/>
        </w:rPr>
        <w:t xml:space="preserve"> </w:t>
      </w:r>
      <w:r w:rsidRPr="00F83CAC">
        <w:rPr>
          <w:rFonts w:ascii="Times New Roman" w:eastAsia="Times New Roman" w:hAnsi="Times New Roman"/>
          <w:b/>
          <w:sz w:val="24"/>
          <w:lang w:val="bg-BG"/>
        </w:rPr>
        <w:t>„</w:t>
      </w:r>
      <w:r w:rsidR="00287366" w:rsidRPr="00F83CAC">
        <w:rPr>
          <w:rFonts w:ascii="Times New Roman" w:eastAsia="Times New Roman" w:hAnsi="Times New Roman"/>
          <w:b/>
          <w:sz w:val="24"/>
          <w:lang w:val="bg-BG"/>
        </w:rPr>
        <w:t>Въздух</w:t>
      </w:r>
      <w:r w:rsidRPr="00F83CAC">
        <w:rPr>
          <w:rFonts w:ascii="Times New Roman" w:eastAsia="Times New Roman" w:hAnsi="Times New Roman"/>
          <w:b/>
          <w:sz w:val="24"/>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240DA" w:rsidRPr="0010575B" w14:paraId="0F88D45C" w14:textId="77777777" w:rsidTr="00885FC6">
        <w:tc>
          <w:tcPr>
            <w:tcW w:w="9322" w:type="dxa"/>
          </w:tcPr>
          <w:p w14:paraId="4213E018" w14:textId="77777777" w:rsidR="00D240DA" w:rsidRPr="00171DED" w:rsidRDefault="00D240DA" w:rsidP="00BB64D1">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D240DA" w:rsidRPr="0010575B" w14:paraId="46005F87" w14:textId="77777777" w:rsidTr="00885FC6">
        <w:tc>
          <w:tcPr>
            <w:tcW w:w="9322" w:type="dxa"/>
          </w:tcPr>
          <w:p w14:paraId="0F478685" w14:textId="77777777"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D240DA" w:rsidRPr="0010575B" w14:paraId="7C33EF4C" w14:textId="77777777" w:rsidTr="00885FC6">
        <w:tc>
          <w:tcPr>
            <w:tcW w:w="9322" w:type="dxa"/>
          </w:tcPr>
          <w:p w14:paraId="175D9543" w14:textId="77777777"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D240DA" w:rsidRPr="00171DED" w14:paraId="3D80CC11" w14:textId="77777777" w:rsidTr="00885FC6">
        <w:tc>
          <w:tcPr>
            <w:tcW w:w="9322" w:type="dxa"/>
          </w:tcPr>
          <w:p w14:paraId="6F702D25" w14:textId="41AD8AE2"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насочен към </w:t>
            </w:r>
            <w:r w:rsidR="002E2B64"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056133" w:rsidRPr="00171DED" w14:paraId="32F79F85" w14:textId="77777777" w:rsidTr="00885FC6">
        <w:tc>
          <w:tcPr>
            <w:tcW w:w="9322" w:type="dxa"/>
          </w:tcPr>
          <w:p w14:paraId="7D54A2D4" w14:textId="2D9F5D9A" w:rsidR="00056133" w:rsidRPr="00171DED" w:rsidRDefault="002E2B64"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056133"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w:t>
            </w:r>
            <w:r w:rsidR="00056133" w:rsidRPr="00171DED">
              <w:rPr>
                <w:rFonts w:ascii="Times New Roman" w:eastAsia="Calibri" w:hAnsi="Times New Roman" w:cs="Times New Roman"/>
                <w:noProof/>
                <w:sz w:val="20"/>
                <w:szCs w:val="20"/>
                <w:vertAlign w:val="superscript"/>
                <w:lang w:val="bg-BG" w:eastAsia="bg-BG" w:bidi="bg-BG"/>
              </w:rPr>
              <w:t>8</w:t>
            </w:r>
          </w:p>
        </w:tc>
      </w:tr>
    </w:tbl>
    <w:p w14:paraId="11218A1C" w14:textId="77777777"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4EBC1728" w14:textId="77777777"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20D14235" w14:textId="2EB318C1"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6"/>
      </w:r>
      <w:r w:rsidRPr="00171DED">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6E5BB94" w14:textId="1573B6EC" w:rsidR="00A706EC" w:rsidRPr="00171DED" w:rsidRDefault="00A706EC" w:rsidP="00564E34">
      <w:pPr>
        <w:widowControl w:val="0"/>
        <w:shd w:val="clear" w:color="auto" w:fill="FFFFFF"/>
        <w:spacing w:after="60" w:line="240" w:lineRule="auto"/>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6A40D0" w:rsidRPr="00171DED">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„Засилване на биоразнообразието, “зелената” инфраструктура в градската среда, както и намаляване на замърсяването“ </w:t>
      </w:r>
    </w:p>
    <w:p w14:paraId="3A910B51" w14:textId="38E917C5" w:rsidR="00D240DA" w:rsidRPr="00171DED"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696C076D" w14:textId="2B4852DD" w:rsidR="00D240DA" w:rsidRPr="00171DED" w:rsidRDefault="00D240DA" w:rsidP="00D240DA">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5575C3" w:rsidRPr="00171DED">
        <w:rPr>
          <w:lang w:val="bg-BG"/>
        </w:rPr>
        <w:t xml:space="preserve"> </w:t>
      </w:r>
      <w:r w:rsidR="005575C3" w:rsidRPr="00171DED">
        <w:rPr>
          <w:rFonts w:ascii="Times New Roman" w:eastAsia="Calibri" w:hAnsi="Times New Roman" w:cs="Times New Roman"/>
          <w:i/>
          <w:noProof/>
          <w:sz w:val="24"/>
          <w:szCs w:val="20"/>
          <w:lang w:val="bg-BG" w:eastAsia="bg-BG" w:bidi="bg-BG"/>
        </w:rPr>
        <w:t>iiia)</w:t>
      </w:r>
      <w:r w:rsidRPr="00171DED">
        <w:rPr>
          <w:rFonts w:ascii="Times New Roman" w:eastAsia="Calibri" w:hAnsi="Times New Roman" w:cs="Times New Roman"/>
          <w:i/>
          <w:noProof/>
          <w:sz w:val="24"/>
          <w:szCs w:val="20"/>
          <w:lang w:val="bg-BG" w:eastAsia="bg-BG" w:bidi="bg-BG"/>
        </w:rPr>
        <w:t xml:space="preserve"> iv) v) vi)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7065DB1A" w14:textId="20F83F10"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D240DA" w:rsidRPr="0010575B" w14:paraId="65C4767D" w14:textId="77777777" w:rsidTr="002D367A">
        <w:tc>
          <w:tcPr>
            <w:tcW w:w="9062" w:type="dxa"/>
          </w:tcPr>
          <w:p w14:paraId="0E9373FA" w14:textId="77777777" w:rsidR="00D240DA" w:rsidRPr="00171DED" w:rsidRDefault="00D240DA" w:rsidP="00B94321">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9A06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7DE034CC" w14:textId="20E367B1" w:rsidR="00FA6157" w:rsidRPr="00E8400D" w:rsidRDefault="00D240DA" w:rsidP="00584F2A">
            <w:pPr>
              <w:pStyle w:val="ListParagraph"/>
              <w:numPr>
                <w:ilvl w:val="0"/>
                <w:numId w:val="68"/>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Мерки за намаляване на </w:t>
            </w:r>
            <w:r w:rsidR="005A6491" w:rsidRPr="00E8400D">
              <w:rPr>
                <w:rFonts w:ascii="Times New Roman" w:eastAsia="Calibri" w:hAnsi="Times New Roman" w:cs="Times New Roman"/>
                <w:bCs/>
                <w:iCs/>
                <w:noProof/>
                <w:sz w:val="24"/>
                <w:szCs w:val="20"/>
              </w:rPr>
              <w:t>замърсяването на въздуха</w:t>
            </w:r>
            <w:r w:rsidRPr="00E8400D">
              <w:rPr>
                <w:rFonts w:ascii="Times New Roman" w:eastAsia="Calibri" w:hAnsi="Times New Roman" w:cs="Times New Roman"/>
                <w:bCs/>
                <w:iCs/>
                <w:noProof/>
                <w:sz w:val="24"/>
                <w:szCs w:val="20"/>
              </w:rPr>
              <w:t xml:space="preserve"> от битово</w:t>
            </w:r>
            <w:r w:rsidR="005A6491" w:rsidRPr="00E8400D">
              <w:rPr>
                <w:rFonts w:ascii="Times New Roman" w:eastAsia="Calibri" w:hAnsi="Times New Roman" w:cs="Times New Roman"/>
                <w:bCs/>
                <w:iCs/>
                <w:noProof/>
                <w:sz w:val="24"/>
                <w:szCs w:val="20"/>
              </w:rPr>
              <w:t xml:space="preserve">то </w:t>
            </w:r>
            <w:r w:rsidRPr="00E8400D">
              <w:rPr>
                <w:rFonts w:ascii="Times New Roman" w:eastAsia="Calibri" w:hAnsi="Times New Roman" w:cs="Times New Roman"/>
                <w:bCs/>
                <w:iCs/>
                <w:noProof/>
                <w:sz w:val="24"/>
                <w:szCs w:val="20"/>
              </w:rPr>
              <w:t xml:space="preserve"> отопление</w:t>
            </w:r>
            <w:r w:rsidR="00743661" w:rsidRPr="00E8400D">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E8400D">
              <w:rPr>
                <w:rFonts w:ascii="Times New Roman" w:eastAsia="Calibri" w:hAnsi="Times New Roman" w:cs="Times New Roman"/>
                <w:bCs/>
                <w:iCs/>
                <w:noProof/>
                <w:sz w:val="24"/>
                <w:szCs w:val="20"/>
              </w:rPr>
              <w:t xml:space="preserve"> </w:t>
            </w:r>
            <w:r w:rsidR="00E145A8" w:rsidRPr="00E8400D">
              <w:rPr>
                <w:rFonts w:ascii="Times New Roman" w:eastAsia="Calibri" w:hAnsi="Times New Roman" w:cs="Times New Roman"/>
                <w:bCs/>
                <w:iCs/>
                <w:noProof/>
                <w:sz w:val="24"/>
                <w:szCs w:val="20"/>
              </w:rPr>
              <w:t>с екологични алтернативи</w:t>
            </w:r>
            <w:r w:rsidR="001E591A" w:rsidRPr="00E8400D">
              <w:rPr>
                <w:rFonts w:ascii="Times New Roman" w:eastAsia="Calibri" w:hAnsi="Times New Roman" w:cs="Times New Roman"/>
                <w:bCs/>
                <w:iCs/>
                <w:noProof/>
                <w:sz w:val="24"/>
                <w:szCs w:val="20"/>
              </w:rPr>
              <w:t xml:space="preserve">, съобразявайки принципа за </w:t>
            </w:r>
            <w:r w:rsidR="001E591A" w:rsidRPr="00E8400D">
              <w:rPr>
                <w:rFonts w:ascii="Times New Roman" w:eastAsia="Times New Roman" w:hAnsi="Times New Roman" w:cs="Times New Roman"/>
                <w:bCs/>
                <w:sz w:val="24"/>
                <w:szCs w:val="24"/>
                <w:lang w:eastAsia="zh-CN"/>
              </w:rPr>
              <w:t>нeнанасяне на вреди</w:t>
            </w:r>
            <w:r w:rsidR="00E145A8" w:rsidRPr="00E8400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w:t>
            </w:r>
            <w:r w:rsidR="00250B95" w:rsidRPr="00E8400D">
              <w:rPr>
                <w:rFonts w:ascii="Times New Roman" w:eastAsia="Calibri" w:hAnsi="Times New Roman" w:cs="Times New Roman"/>
                <w:bCs/>
                <w:iCs/>
                <w:noProof/>
                <w:sz w:val="24"/>
                <w:szCs w:val="20"/>
              </w:rPr>
              <w:t xml:space="preserve">приоритетно </w:t>
            </w:r>
            <w:r w:rsidR="002D367A" w:rsidRPr="00E8400D">
              <w:rPr>
                <w:rFonts w:ascii="Times New Roman" w:eastAsia="Calibri" w:hAnsi="Times New Roman" w:cs="Times New Roman"/>
                <w:bCs/>
                <w:iCs/>
                <w:noProof/>
                <w:sz w:val="24"/>
                <w:szCs w:val="20"/>
              </w:rPr>
              <w:t xml:space="preserve">в </w:t>
            </w:r>
            <w:r w:rsidR="00250B95" w:rsidRPr="00E8400D">
              <w:rPr>
                <w:rFonts w:ascii="Times New Roman" w:eastAsia="Calibri" w:hAnsi="Times New Roman" w:cs="Times New Roman"/>
                <w:bCs/>
                <w:iCs/>
                <w:noProof/>
                <w:sz w:val="24"/>
                <w:szCs w:val="20"/>
              </w:rPr>
              <w:t>енергийно ефективни жилища</w:t>
            </w:r>
            <w:r w:rsidR="002D367A" w:rsidRPr="00E8400D">
              <w:rPr>
                <w:rFonts w:ascii="Times New Roman" w:eastAsia="Calibri" w:hAnsi="Times New Roman" w:cs="Times New Roman"/>
                <w:bCs/>
                <w:iCs/>
                <w:noProof/>
                <w:sz w:val="24"/>
                <w:szCs w:val="20"/>
              </w:rPr>
              <w:t>);</w:t>
            </w:r>
            <w:r w:rsidR="00743661" w:rsidRPr="00E8400D">
              <w:rPr>
                <w:rFonts w:ascii="Times New Roman" w:eastAsia="Calibri" w:hAnsi="Times New Roman" w:cs="Times New Roman"/>
                <w:bCs/>
                <w:iCs/>
                <w:noProof/>
                <w:sz w:val="24"/>
                <w:szCs w:val="20"/>
              </w:rPr>
              <w:t xml:space="preserve"> въвеждане на зони с ниски емисии</w:t>
            </w:r>
            <w:r w:rsidR="002D367A" w:rsidRPr="00E8400D">
              <w:rPr>
                <w:rFonts w:ascii="Times New Roman" w:eastAsia="Calibri" w:hAnsi="Times New Roman" w:cs="Times New Roman"/>
                <w:bCs/>
                <w:iCs/>
                <w:noProof/>
                <w:sz w:val="24"/>
                <w:szCs w:val="20"/>
              </w:rPr>
              <w:t xml:space="preserve">; </w:t>
            </w:r>
            <w:r w:rsidR="00252048" w:rsidRPr="00584F2A">
              <w:rPr>
                <w:rFonts w:ascii="Times New Roman" w:eastAsia="Calibri" w:hAnsi="Times New Roman" w:cs="Times New Roman"/>
                <w:bCs/>
                <w:iCs/>
                <w:noProof/>
                <w:sz w:val="24"/>
                <w:szCs w:val="20"/>
              </w:rPr>
              <w:t>насърчаване използването на ВЕИ, водород</w:t>
            </w:r>
            <w:r w:rsidR="00DF45D8" w:rsidRPr="00584F2A">
              <w:rPr>
                <w:rFonts w:ascii="Times New Roman" w:eastAsia="Calibri" w:hAnsi="Times New Roman" w:cs="Times New Roman"/>
                <w:bCs/>
                <w:iCs/>
                <w:noProof/>
                <w:sz w:val="24"/>
                <w:szCs w:val="20"/>
              </w:rPr>
              <w:t>,</w:t>
            </w:r>
            <w:r w:rsidR="00252048" w:rsidRPr="00584F2A">
              <w:rPr>
                <w:rFonts w:ascii="Times New Roman" w:eastAsia="Calibri" w:hAnsi="Times New Roman" w:cs="Times New Roman"/>
                <w:bCs/>
                <w:iCs/>
                <w:noProof/>
                <w:sz w:val="24"/>
                <w:szCs w:val="20"/>
              </w:rPr>
              <w:t xml:space="preserve"> други иновационни </w:t>
            </w:r>
            <w:r w:rsidR="00560A72" w:rsidRPr="00584F2A">
              <w:rPr>
                <w:rFonts w:ascii="Times New Roman" w:eastAsia="Calibri" w:hAnsi="Times New Roman" w:cs="Times New Roman"/>
                <w:bCs/>
                <w:iCs/>
                <w:noProof/>
                <w:sz w:val="24"/>
                <w:szCs w:val="20"/>
              </w:rPr>
              <w:t>алтернативи</w:t>
            </w:r>
            <w:r w:rsidR="00252048" w:rsidRPr="00584F2A">
              <w:rPr>
                <w:rFonts w:ascii="Times New Roman" w:eastAsia="Calibri" w:hAnsi="Times New Roman" w:cs="Times New Roman"/>
                <w:bCs/>
                <w:iCs/>
                <w:noProof/>
                <w:sz w:val="24"/>
                <w:szCs w:val="20"/>
              </w:rPr>
              <w:t>, когато е приложимо</w:t>
            </w:r>
            <w:r w:rsidR="00B94321" w:rsidRPr="00584F2A">
              <w:rPr>
                <w:rFonts w:ascii="Times New Roman" w:eastAsia="Calibri" w:hAnsi="Times New Roman" w:cs="Times New Roman"/>
                <w:bCs/>
                <w:iCs/>
                <w:noProof/>
                <w:sz w:val="24"/>
                <w:szCs w:val="20"/>
              </w:rPr>
              <w:t xml:space="preserve">. Инвестициите ще разширят и надградят постигнатите резултати от проектите по ОПОС 2014-2020 г. и интегрирания проект по </w:t>
            </w:r>
            <w:r w:rsidR="00B94321" w:rsidRPr="00584F2A">
              <w:rPr>
                <w:rFonts w:ascii="Times New Roman" w:eastAsia="Calibri" w:hAnsi="Times New Roman" w:cs="Times New Roman"/>
                <w:bCs/>
                <w:iCs/>
                <w:noProof/>
                <w:sz w:val="24"/>
                <w:szCs w:val="20"/>
              </w:rPr>
              <w:lastRenderedPageBreak/>
              <w:t>програма Лайф „Българските общини работят заедно за подобряване на качеството на атмосферния въздух“ (</w:t>
            </w:r>
            <w:r w:rsidR="00B94321" w:rsidRPr="00584F2A">
              <w:rPr>
                <w:rFonts w:ascii="Times New Roman" w:hAnsi="Times New Roman"/>
                <w:sz w:val="24"/>
              </w:rPr>
              <w:t>LIFE</w:t>
            </w:r>
            <w:r w:rsidR="00B94321" w:rsidRPr="00584F2A">
              <w:rPr>
                <w:rFonts w:ascii="Times New Roman" w:eastAsia="Calibri" w:hAnsi="Times New Roman" w:cs="Times New Roman"/>
                <w:bCs/>
                <w:iCs/>
                <w:noProof/>
                <w:sz w:val="24"/>
                <w:szCs w:val="20"/>
              </w:rPr>
              <w:t>-</w:t>
            </w:r>
            <w:r w:rsidR="00B94321" w:rsidRPr="00584F2A">
              <w:rPr>
                <w:rFonts w:ascii="Times New Roman" w:hAnsi="Times New Roman"/>
                <w:sz w:val="24"/>
              </w:rPr>
              <w:t>IP</w:t>
            </w:r>
            <w:r w:rsidR="00B94321" w:rsidRPr="00584F2A">
              <w:rPr>
                <w:rFonts w:ascii="Times New Roman" w:eastAsia="Calibri" w:hAnsi="Times New Roman" w:cs="Times New Roman"/>
                <w:bCs/>
                <w:iCs/>
                <w:noProof/>
                <w:sz w:val="24"/>
                <w:szCs w:val="20"/>
              </w:rPr>
              <w:t xml:space="preserve"> </w:t>
            </w:r>
            <w:proofErr w:type="spellStart"/>
            <w:r w:rsidR="00B94321" w:rsidRPr="00584F2A">
              <w:rPr>
                <w:rFonts w:ascii="Times New Roman" w:hAnsi="Times New Roman"/>
                <w:sz w:val="24"/>
              </w:rPr>
              <w:t>Clean</w:t>
            </w:r>
            <w:proofErr w:type="spellEnd"/>
            <w:r w:rsidR="00B94321" w:rsidRPr="00584F2A">
              <w:rPr>
                <w:rFonts w:ascii="Times New Roman" w:eastAsia="Calibri" w:hAnsi="Times New Roman" w:cs="Times New Roman"/>
                <w:bCs/>
                <w:iCs/>
                <w:noProof/>
                <w:sz w:val="24"/>
                <w:szCs w:val="20"/>
              </w:rPr>
              <w:t xml:space="preserve"> </w:t>
            </w:r>
            <w:r w:rsidR="00B94321" w:rsidRPr="00584F2A">
              <w:rPr>
                <w:rFonts w:ascii="Times New Roman" w:hAnsi="Times New Roman"/>
                <w:sz w:val="24"/>
              </w:rPr>
              <w:t>Air</w:t>
            </w:r>
            <w:r w:rsidR="00B94321" w:rsidRPr="00584F2A">
              <w:rPr>
                <w:rFonts w:ascii="Times New Roman" w:eastAsia="Calibri" w:hAnsi="Times New Roman" w:cs="Times New Roman"/>
                <w:bCs/>
                <w:iCs/>
                <w:noProof/>
                <w:sz w:val="24"/>
                <w:szCs w:val="20"/>
              </w:rPr>
              <w:t>)</w:t>
            </w:r>
            <w:r w:rsidR="00252048" w:rsidRPr="00584F2A">
              <w:rPr>
                <w:rFonts w:ascii="Times New Roman" w:eastAsia="Calibri" w:hAnsi="Times New Roman" w:cs="Times New Roman"/>
                <w:bCs/>
                <w:iCs/>
                <w:noProof/>
                <w:sz w:val="24"/>
                <w:szCs w:val="20"/>
              </w:rPr>
              <w:t>.</w:t>
            </w:r>
          </w:p>
          <w:p w14:paraId="42276160" w14:textId="538E94DE" w:rsidR="003976FA" w:rsidRPr="00E8400D" w:rsidRDefault="00FA6157" w:rsidP="00584F2A">
            <w:pPr>
              <w:pStyle w:val="ListParagraph"/>
              <w:numPr>
                <w:ilvl w:val="0"/>
                <w:numId w:val="69"/>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Мерки за намаляване на замърсяването на въздуха от</w:t>
            </w:r>
            <w:r w:rsidR="005A6491" w:rsidRPr="00E8400D">
              <w:rPr>
                <w:rFonts w:ascii="Times New Roman" w:eastAsia="Calibri" w:hAnsi="Times New Roman" w:cs="Times New Roman"/>
                <w:bCs/>
                <w:iCs/>
                <w:noProof/>
                <w:sz w:val="24"/>
                <w:szCs w:val="20"/>
              </w:rPr>
              <w:t xml:space="preserve"> транспорта</w:t>
            </w:r>
            <w:r w:rsidR="00743661" w:rsidRPr="00E8400D">
              <w:rPr>
                <w:rFonts w:ascii="Times New Roman" w:eastAsia="Calibri" w:hAnsi="Times New Roman" w:cs="Times New Roman"/>
                <w:bCs/>
                <w:iCs/>
                <w:noProof/>
                <w:sz w:val="24"/>
                <w:szCs w:val="20"/>
              </w:rPr>
              <w:t xml:space="preserve"> – </w:t>
            </w:r>
            <w:r w:rsidR="002D367A" w:rsidRPr="00E8400D">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10" w:name="_Hlk51578196"/>
            <w:r w:rsidR="00743661" w:rsidRPr="00E8400D">
              <w:rPr>
                <w:rFonts w:ascii="Times New Roman" w:eastAsia="Calibri" w:hAnsi="Times New Roman" w:cs="Times New Roman"/>
                <w:bCs/>
                <w:iCs/>
                <w:noProof/>
                <w:sz w:val="24"/>
                <w:szCs w:val="20"/>
              </w:rPr>
              <w:t>насърчаване на електромобилността</w:t>
            </w:r>
            <w:bookmarkEnd w:id="10"/>
            <w:r w:rsidR="003920DA" w:rsidRPr="00E8400D">
              <w:rPr>
                <w:rFonts w:ascii="Times New Roman" w:eastAsia="Calibri" w:hAnsi="Times New Roman" w:cs="Times New Roman"/>
                <w:bCs/>
                <w:iCs/>
                <w:noProof/>
                <w:sz w:val="24"/>
                <w:szCs w:val="20"/>
              </w:rPr>
              <w:t>;</w:t>
            </w:r>
            <w:r w:rsidR="00C00973" w:rsidRPr="00E8400D">
              <w:rPr>
                <w:rFonts w:ascii="Times New Roman" w:eastAsia="Calibri" w:hAnsi="Times New Roman" w:cs="Times New Roman"/>
                <w:bCs/>
                <w:iCs/>
                <w:noProof/>
                <w:sz w:val="24"/>
                <w:szCs w:val="20"/>
              </w:rPr>
              <w:t xml:space="preserve"> въвеждане на зони с ниски емисии</w:t>
            </w:r>
            <w:r w:rsidR="00B04F36" w:rsidRPr="00E8400D">
              <w:rPr>
                <w:rFonts w:ascii="Times New Roman" w:eastAsia="Calibri" w:hAnsi="Times New Roman" w:cs="Times New Roman"/>
                <w:bCs/>
                <w:iCs/>
                <w:noProof/>
                <w:sz w:val="24"/>
                <w:szCs w:val="20"/>
              </w:rPr>
              <w:t xml:space="preserve"> и др.</w:t>
            </w:r>
            <w:r w:rsidR="005A6491" w:rsidRPr="00E8400D">
              <w:rPr>
                <w:rFonts w:ascii="Times New Roman" w:eastAsia="Calibri" w:hAnsi="Times New Roman" w:cs="Times New Roman"/>
                <w:bCs/>
                <w:iCs/>
                <w:noProof/>
                <w:sz w:val="24"/>
                <w:szCs w:val="20"/>
              </w:rPr>
              <w:t>;</w:t>
            </w:r>
          </w:p>
          <w:p w14:paraId="5884A373" w14:textId="5388C055" w:rsidR="00414628" w:rsidRPr="00E8400D" w:rsidRDefault="00D44E6D" w:rsidP="00584F2A">
            <w:pPr>
              <w:pStyle w:val="ListParagraph"/>
              <w:numPr>
                <w:ilvl w:val="0"/>
                <w:numId w:val="70"/>
              </w:numPr>
              <w:tabs>
                <w:tab w:val="left" w:pos="252"/>
              </w:tabs>
              <w:spacing w:before="120" w:after="120"/>
              <w:ind w:left="739"/>
              <w:jc w:val="both"/>
              <w:rPr>
                <w:rFonts w:ascii="Times New Roman" w:eastAsia="Calibri" w:hAnsi="Times New Roman" w:cs="Times New Roman"/>
                <w:bCs/>
                <w:iCs/>
                <w:noProof/>
                <w:sz w:val="24"/>
                <w:szCs w:val="20"/>
              </w:rPr>
            </w:pPr>
            <w:bookmarkStart w:id="11" w:name="_Hlk27556926"/>
            <w:r>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 xml:space="preserve">Мерки за справяне с вторичното </w:t>
            </w:r>
            <w:r w:rsidR="00A6736E" w:rsidRPr="00E8400D">
              <w:rPr>
                <w:rFonts w:ascii="Times New Roman" w:eastAsia="Calibri" w:hAnsi="Times New Roman" w:cs="Times New Roman"/>
                <w:bCs/>
                <w:iCs/>
                <w:noProof/>
                <w:sz w:val="24"/>
                <w:szCs w:val="20"/>
              </w:rPr>
              <w:t>раз</w:t>
            </w:r>
            <w:r w:rsidR="002D367A" w:rsidRPr="00E8400D">
              <w:rPr>
                <w:rFonts w:ascii="Times New Roman" w:eastAsia="Calibri" w:hAnsi="Times New Roman" w:cs="Times New Roman"/>
                <w:bCs/>
                <w:iCs/>
                <w:noProof/>
                <w:sz w:val="24"/>
                <w:szCs w:val="20"/>
              </w:rPr>
              <w:t xml:space="preserve">прашаване </w:t>
            </w:r>
            <w:r w:rsidR="00A774DB" w:rsidRPr="00E8400D">
              <w:rPr>
                <w:rFonts w:ascii="Times New Roman" w:eastAsia="Calibri" w:hAnsi="Times New Roman" w:cs="Times New Roman"/>
                <w:bCs/>
                <w:iCs/>
                <w:noProof/>
                <w:sz w:val="24"/>
                <w:szCs w:val="20"/>
              </w:rPr>
              <w:t>–</w:t>
            </w:r>
            <w:r w:rsidR="002D367A" w:rsidRPr="00E8400D">
              <w:rPr>
                <w:rFonts w:ascii="Times New Roman" w:eastAsia="Calibri" w:hAnsi="Times New Roman" w:cs="Times New Roman"/>
                <w:bCs/>
                <w:iCs/>
                <w:noProof/>
                <w:sz w:val="24"/>
                <w:szCs w:val="20"/>
              </w:rPr>
              <w:t xml:space="preserve"> з</w:t>
            </w:r>
            <w:r w:rsidR="00A21AAB" w:rsidRPr="00E8400D">
              <w:rPr>
                <w:rFonts w:ascii="Times New Roman" w:eastAsia="Calibri" w:hAnsi="Times New Roman" w:cs="Times New Roman"/>
                <w:bCs/>
                <w:iCs/>
                <w:noProof/>
                <w:sz w:val="24"/>
                <w:szCs w:val="20"/>
              </w:rPr>
              <w:t>елен</w:t>
            </w:r>
            <w:r w:rsidR="002D367A" w:rsidRPr="00E8400D">
              <w:rPr>
                <w:rFonts w:ascii="Times New Roman" w:eastAsia="Calibri" w:hAnsi="Times New Roman" w:cs="Times New Roman"/>
                <w:bCs/>
                <w:iCs/>
                <w:noProof/>
                <w:sz w:val="24"/>
                <w:szCs w:val="20"/>
              </w:rPr>
              <w:t>а</w:t>
            </w:r>
            <w:r w:rsidR="00A774DB" w:rsidRPr="00E8400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 xml:space="preserve">инфраструктура </w:t>
            </w:r>
            <w:r w:rsidR="00A21AAB" w:rsidRPr="00E8400D">
              <w:rPr>
                <w:rFonts w:ascii="Times New Roman" w:eastAsia="Calibri" w:hAnsi="Times New Roman" w:cs="Times New Roman"/>
                <w:bCs/>
                <w:iCs/>
                <w:noProof/>
                <w:sz w:val="24"/>
                <w:szCs w:val="20"/>
              </w:rPr>
              <w:t>в градск</w:t>
            </w:r>
            <w:r w:rsidR="002D367A" w:rsidRPr="00E8400D">
              <w:rPr>
                <w:rFonts w:ascii="Times New Roman" w:eastAsia="Calibri" w:hAnsi="Times New Roman" w:cs="Times New Roman"/>
                <w:bCs/>
                <w:iCs/>
                <w:noProof/>
                <w:sz w:val="24"/>
                <w:szCs w:val="20"/>
              </w:rPr>
              <w:t>ите</w:t>
            </w:r>
            <w:r w:rsidR="00A774DB" w:rsidRPr="00E8400D">
              <w:rPr>
                <w:rFonts w:ascii="Times New Roman" w:eastAsia="Calibri" w:hAnsi="Times New Roman" w:cs="Times New Roman"/>
                <w:bCs/>
                <w:iCs/>
                <w:noProof/>
                <w:sz w:val="24"/>
                <w:szCs w:val="20"/>
              </w:rPr>
              <w:t xml:space="preserve"> </w:t>
            </w:r>
            <w:r w:rsidR="00C64850" w:rsidRPr="00E8400D">
              <w:rPr>
                <w:rFonts w:ascii="Times New Roman" w:eastAsia="Calibri" w:hAnsi="Times New Roman" w:cs="Times New Roman"/>
                <w:bCs/>
                <w:iCs/>
                <w:noProof/>
                <w:sz w:val="24"/>
                <w:szCs w:val="20"/>
              </w:rPr>
              <w:t>зони</w:t>
            </w:r>
            <w:r w:rsidR="00A21AAB" w:rsidRPr="00E8400D">
              <w:rPr>
                <w:rFonts w:ascii="Times New Roman" w:eastAsia="Calibri" w:hAnsi="Times New Roman" w:cs="Times New Roman"/>
                <w:bCs/>
                <w:iCs/>
                <w:noProof/>
                <w:sz w:val="24"/>
                <w:szCs w:val="20"/>
              </w:rPr>
              <w:t xml:space="preserve">, вкл. </w:t>
            </w:r>
            <w:r w:rsidR="002D367A" w:rsidRPr="00E8400D">
              <w:rPr>
                <w:rFonts w:ascii="Times New Roman" w:eastAsia="Calibri" w:hAnsi="Times New Roman" w:cs="Times New Roman"/>
                <w:bCs/>
                <w:iCs/>
                <w:noProof/>
                <w:sz w:val="24"/>
                <w:szCs w:val="20"/>
              </w:rPr>
              <w:t>създаване</w:t>
            </w:r>
            <w:r w:rsidR="00E145A8" w:rsidRPr="00E8400D">
              <w:rPr>
                <w:rFonts w:ascii="Times New Roman" w:eastAsia="Calibri" w:hAnsi="Times New Roman" w:cs="Times New Roman"/>
                <w:bCs/>
                <w:iCs/>
                <w:noProof/>
                <w:sz w:val="24"/>
                <w:szCs w:val="20"/>
              </w:rPr>
              <w:t>/разширяване</w:t>
            </w:r>
            <w:r w:rsidR="00A21AAB" w:rsidRPr="00E8400D">
              <w:rPr>
                <w:rFonts w:ascii="Times New Roman" w:eastAsia="Calibri" w:hAnsi="Times New Roman" w:cs="Times New Roman"/>
                <w:bCs/>
                <w:iCs/>
                <w:noProof/>
                <w:sz w:val="24"/>
                <w:szCs w:val="20"/>
              </w:rPr>
              <w:t xml:space="preserve"> на „зелени пояси/зони“</w:t>
            </w:r>
            <w:r w:rsidR="002D367A" w:rsidRPr="00E8400D">
              <w:rPr>
                <w:rFonts w:ascii="Times New Roman" w:eastAsia="Calibri" w:hAnsi="Times New Roman" w:cs="Times New Roman"/>
                <w:bCs/>
                <w:iCs/>
                <w:noProof/>
                <w:sz w:val="24"/>
                <w:szCs w:val="20"/>
              </w:rPr>
              <w:t>, машини за почистване на улици и др.</w:t>
            </w:r>
            <w:r w:rsidR="006F49DE" w:rsidRPr="00E8400D">
              <w:rPr>
                <w:rFonts w:ascii="Times New Roman" w:eastAsia="Calibri" w:hAnsi="Times New Roman" w:cs="Times New Roman"/>
                <w:bCs/>
                <w:iCs/>
                <w:noProof/>
                <w:sz w:val="24"/>
                <w:szCs w:val="20"/>
              </w:rPr>
              <w:t>;</w:t>
            </w:r>
          </w:p>
          <w:p w14:paraId="2E4EC472" w14:textId="4056A715" w:rsidR="002D367A" w:rsidRPr="00E8400D" w:rsidRDefault="002D367A" w:rsidP="00584F2A">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7B25ECF9" w:rsidR="00BF3A5E" w:rsidRPr="00E8400D" w:rsidRDefault="00E65634" w:rsidP="00584F2A">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Разработване/актуализация </w:t>
            </w:r>
            <w:r w:rsidR="00460CA9" w:rsidRPr="00E8400D">
              <w:rPr>
                <w:rFonts w:ascii="Times New Roman" w:eastAsia="Calibri" w:hAnsi="Times New Roman" w:cs="Times New Roman"/>
                <w:bCs/>
                <w:iCs/>
                <w:noProof/>
                <w:sz w:val="24"/>
                <w:szCs w:val="20"/>
              </w:rPr>
              <w:t xml:space="preserve">на </w:t>
            </w:r>
            <w:r w:rsidRPr="00E8400D">
              <w:rPr>
                <w:rFonts w:ascii="Times New Roman" w:eastAsia="Calibri" w:hAnsi="Times New Roman" w:cs="Times New Roman"/>
                <w:bCs/>
                <w:iCs/>
                <w:noProof/>
                <w:sz w:val="24"/>
                <w:szCs w:val="20"/>
              </w:rPr>
              <w:t>стратегически/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програмни/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планови</w:t>
            </w:r>
            <w:r w:rsidR="003616E2" w:rsidRPr="00E8400D">
              <w:rPr>
                <w:rFonts w:ascii="Times New Roman" w:eastAsia="Calibri" w:hAnsi="Times New Roman" w:cs="Times New Roman"/>
                <w:bCs/>
                <w:iCs/>
                <w:noProof/>
                <w:sz w:val="24"/>
                <w:szCs w:val="20"/>
              </w:rPr>
              <w:t>/</w:t>
            </w:r>
            <w:r w:rsidR="006F49DE" w:rsidRPr="00E8400D">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аналитични</w:t>
            </w:r>
            <w:r w:rsidRPr="00E8400D">
              <w:rPr>
                <w:rFonts w:ascii="Times New Roman" w:eastAsia="Calibri" w:hAnsi="Times New Roman" w:cs="Times New Roman"/>
                <w:bCs/>
                <w:iCs/>
                <w:noProof/>
                <w:sz w:val="24"/>
                <w:szCs w:val="20"/>
              </w:rPr>
              <w:t xml:space="preserve"> документи </w:t>
            </w:r>
            <w:r w:rsidR="00460CA9" w:rsidRPr="00E8400D">
              <w:rPr>
                <w:rFonts w:ascii="Times New Roman" w:eastAsia="Calibri" w:hAnsi="Times New Roman" w:cs="Times New Roman"/>
                <w:bCs/>
                <w:iCs/>
                <w:noProof/>
                <w:sz w:val="24"/>
                <w:szCs w:val="20"/>
              </w:rPr>
              <w:t xml:space="preserve">във връзка </w:t>
            </w:r>
            <w:r w:rsidRPr="00E8400D">
              <w:rPr>
                <w:rFonts w:ascii="Times New Roman" w:eastAsia="Calibri" w:hAnsi="Times New Roman" w:cs="Times New Roman"/>
                <w:bCs/>
                <w:iCs/>
                <w:noProof/>
                <w:sz w:val="24"/>
                <w:szCs w:val="20"/>
              </w:rPr>
              <w:t>с качеството на атмосферния въздух</w:t>
            </w:r>
            <w:r w:rsidR="003616E2" w:rsidRPr="00E8400D">
              <w:rPr>
                <w:rFonts w:ascii="Times New Roman" w:eastAsia="Calibri" w:hAnsi="Times New Roman" w:cs="Times New Roman"/>
                <w:bCs/>
                <w:iCs/>
                <w:noProof/>
                <w:sz w:val="24"/>
                <w:szCs w:val="20"/>
              </w:rPr>
              <w:t xml:space="preserve">, </w:t>
            </w:r>
            <w:r w:rsidR="002F4E5B">
              <w:rPr>
                <w:rFonts w:ascii="Times New Roman" w:eastAsia="Calibri" w:hAnsi="Times New Roman" w:cs="Times New Roman"/>
                <w:bCs/>
                <w:iCs/>
                <w:noProof/>
                <w:sz w:val="24"/>
                <w:szCs w:val="20"/>
              </w:rPr>
              <w:t>извършване на научни проучвания,</w:t>
            </w:r>
            <w:r w:rsidR="002F4E5B" w:rsidRPr="002F4E5B">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прогнозиране, моделиране</w:t>
            </w:r>
            <w:r w:rsidR="00460CA9" w:rsidRPr="00E8400D">
              <w:rPr>
                <w:rFonts w:ascii="Times New Roman" w:eastAsia="Calibri" w:hAnsi="Times New Roman" w:cs="Times New Roman"/>
                <w:bCs/>
                <w:iCs/>
                <w:noProof/>
                <w:sz w:val="24"/>
                <w:szCs w:val="20"/>
              </w:rPr>
              <w:t xml:space="preserve">; </w:t>
            </w:r>
          </w:p>
          <w:p w14:paraId="1FBC64E0" w14:textId="79BA0F9C" w:rsidR="00E62098" w:rsidRPr="00E8400D" w:rsidRDefault="00A21AAB" w:rsidP="00584F2A">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Обучителни и информационно-образователни мерки.</w:t>
            </w:r>
            <w:bookmarkEnd w:id="11"/>
          </w:p>
          <w:p w14:paraId="0BD07C8A" w14:textId="49036344" w:rsidR="002D367A"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Фокусът на интервенциите ще бъде към общините с нарушено качество на въздуха</w:t>
            </w:r>
            <w:r w:rsidR="0071515C" w:rsidRPr="00171DED">
              <w:rPr>
                <w:rFonts w:ascii="Times New Roman" w:eastAsia="Calibri" w:hAnsi="Times New Roman" w:cs="Times New Roman"/>
                <w:bCs/>
                <w:iCs/>
                <w:noProof/>
                <w:sz w:val="24"/>
                <w:szCs w:val="20"/>
              </w:rPr>
              <w:t xml:space="preserve">, като основен приоритет са тези, които </w:t>
            </w:r>
            <w:r w:rsidR="0071515C" w:rsidRPr="00171DED">
              <w:rPr>
                <w:rFonts w:ascii="Times New Roman" w:eastAsia="Calibri" w:hAnsi="Times New Roman" w:cs="Times New Roman"/>
                <w:iCs/>
                <w:noProof/>
                <w:sz w:val="24"/>
                <w:szCs w:val="20"/>
              </w:rPr>
              <w:t xml:space="preserve">попадат в обхвата на </w:t>
            </w:r>
            <w:r w:rsidR="0071515C" w:rsidRPr="00171DED">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171DED">
              <w:rPr>
                <w:rFonts w:ascii="Times New Roman" w:hAnsi="Times New Roman"/>
                <w:sz w:val="24"/>
                <w:szCs w:val="24"/>
                <w:vertAlign w:val="subscript"/>
              </w:rPr>
              <w:t>10</w:t>
            </w:r>
            <w:r w:rsidR="0071515C" w:rsidRPr="00171DED">
              <w:rPr>
                <w:rFonts w:ascii="Times New Roman" w:hAnsi="Times New Roman"/>
                <w:sz w:val="24"/>
                <w:szCs w:val="24"/>
              </w:rPr>
              <w:t xml:space="preserve"> в атмосферния въздух в агломерации и зони на страната и неизпълнението на задълженията по Директива 2008/50/ЕО по отношение на пределно допустимите стойности на прахови частици в атмосферния въздух. </w:t>
            </w:r>
            <w:r w:rsidR="0071515C" w:rsidRPr="00171DED">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EC1BDF">
              <w:rPr>
                <w:rFonts w:ascii="Times New Roman" w:eastAsia="Calibri" w:hAnsi="Times New Roman" w:cs="Times New Roman"/>
                <w:iCs/>
                <w:sz w:val="24"/>
                <w:szCs w:val="20"/>
                <w:vertAlign w:val="subscript"/>
              </w:rPr>
              <w:t>10</w:t>
            </w:r>
            <w:r w:rsidR="0071515C" w:rsidRPr="00171DED">
              <w:rPr>
                <w:rFonts w:ascii="Times New Roman" w:eastAsia="Calibri" w:hAnsi="Times New Roman" w:cs="Times New Roman"/>
                <w:iCs/>
                <w:noProof/>
                <w:sz w:val="24"/>
                <w:szCs w:val="20"/>
              </w:rPr>
              <w:t xml:space="preserve"> с мобилните автоматични станции на И</w:t>
            </w:r>
            <w:r w:rsidR="0025520A">
              <w:rPr>
                <w:rFonts w:ascii="Times New Roman" w:eastAsia="Calibri" w:hAnsi="Times New Roman" w:cs="Times New Roman"/>
                <w:iCs/>
                <w:noProof/>
                <w:sz w:val="24"/>
                <w:szCs w:val="20"/>
              </w:rPr>
              <w:t>зпълнителната агенция по околна среда</w:t>
            </w:r>
            <w:r w:rsidR="006919C8">
              <w:rPr>
                <w:rFonts w:ascii="Times New Roman" w:eastAsia="Calibri" w:hAnsi="Times New Roman" w:cs="Times New Roman"/>
                <w:iCs/>
                <w:noProof/>
                <w:sz w:val="24"/>
                <w:szCs w:val="20"/>
              </w:rPr>
              <w:t xml:space="preserve"> (ИАОС)</w:t>
            </w:r>
            <w:r w:rsidR="0071515C" w:rsidRPr="00171DED">
              <w:rPr>
                <w:rFonts w:ascii="Times New Roman" w:eastAsia="Calibri" w:hAnsi="Times New Roman" w:cs="Times New Roman"/>
                <w:iCs/>
                <w:noProof/>
                <w:sz w:val="24"/>
                <w:szCs w:val="20"/>
              </w:rPr>
              <w:t>.</w:t>
            </w:r>
          </w:p>
          <w:p w14:paraId="5EDCC2F7" w14:textId="6872BFD2" w:rsidR="00E145A8"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Мерките за намаляване на замърсяването на въздуха от битовото отопление </w:t>
            </w:r>
            <w:r w:rsidR="00E145A8" w:rsidRPr="00171DED">
              <w:rPr>
                <w:rFonts w:ascii="Times New Roman" w:eastAsia="Calibri" w:hAnsi="Times New Roman" w:cs="Times New Roman"/>
                <w:bCs/>
                <w:iCs/>
                <w:noProof/>
                <w:sz w:val="24"/>
                <w:szCs w:val="20"/>
              </w:rPr>
              <w:t>подкрепят поетапната подмяна на отоплителни устройства на твърдо гориво</w:t>
            </w:r>
            <w:r w:rsidR="000B4B5A">
              <w:rPr>
                <w:rFonts w:ascii="Times New Roman" w:eastAsia="Calibri" w:hAnsi="Times New Roman" w:cs="Times New Roman"/>
                <w:bCs/>
                <w:iCs/>
                <w:noProof/>
                <w:sz w:val="24"/>
                <w:szCs w:val="20"/>
              </w:rPr>
              <w:t>, вкл. чрез</w:t>
            </w:r>
            <w:r w:rsidR="00E145A8" w:rsidRPr="00171DED">
              <w:rPr>
                <w:rFonts w:ascii="Times New Roman" w:eastAsia="Calibri" w:hAnsi="Times New Roman" w:cs="Times New Roman"/>
                <w:bCs/>
                <w:iCs/>
                <w:noProof/>
                <w:sz w:val="24"/>
                <w:szCs w:val="20"/>
              </w:rPr>
              <w:t xml:space="preserve"> насърчаване на възобновяема енергия, водород</w:t>
            </w:r>
            <w:r w:rsidR="000B4B5A">
              <w:rPr>
                <w:rFonts w:ascii="Times New Roman" w:eastAsia="Calibri" w:hAnsi="Times New Roman" w:cs="Times New Roman"/>
                <w:bCs/>
                <w:iCs/>
                <w:noProof/>
                <w:sz w:val="24"/>
                <w:szCs w:val="20"/>
              </w:rPr>
              <w:t xml:space="preserve"> и</w:t>
            </w:r>
            <w:r w:rsidR="00E145A8" w:rsidRPr="00171DED">
              <w:rPr>
                <w:rFonts w:ascii="Times New Roman" w:eastAsia="Calibri" w:hAnsi="Times New Roman" w:cs="Times New Roman"/>
                <w:bCs/>
                <w:iCs/>
                <w:noProof/>
                <w:sz w:val="24"/>
                <w:szCs w:val="20"/>
              </w:rPr>
              <w:t xml:space="preserve"> други иновативни алтернативи, където е приложимо и въвеждане на зони с ниски емисии. </w:t>
            </w:r>
            <w:r w:rsidR="00722590" w:rsidRPr="00171DED">
              <w:rPr>
                <w:rFonts w:ascii="Times New Roman" w:eastAsia="Calibri" w:hAnsi="Times New Roman" w:cs="Times New Roman"/>
                <w:bCs/>
                <w:iCs/>
                <w:noProof/>
                <w:sz w:val="24"/>
                <w:szCs w:val="20"/>
              </w:rPr>
              <w:t xml:space="preserve">Мярката </w:t>
            </w:r>
            <w:r w:rsidR="00E145A8" w:rsidRPr="00171DED">
              <w:rPr>
                <w:rFonts w:ascii="Times New Roman" w:eastAsia="Calibri" w:hAnsi="Times New Roman" w:cs="Times New Roman"/>
                <w:bCs/>
                <w:iCs/>
                <w:noProof/>
                <w:sz w:val="24"/>
                <w:szCs w:val="20"/>
              </w:rPr>
              <w:t xml:space="preserve">за подмяна на </w:t>
            </w:r>
            <w:r w:rsidR="00722590" w:rsidRPr="00171DED">
              <w:rPr>
                <w:rFonts w:ascii="Times New Roman" w:eastAsia="Calibri" w:hAnsi="Times New Roman" w:cs="Times New Roman"/>
                <w:bCs/>
                <w:iCs/>
                <w:noProof/>
                <w:sz w:val="24"/>
                <w:szCs w:val="20"/>
              </w:rPr>
              <w:t>о</w:t>
            </w:r>
            <w:r w:rsidR="00E145A8" w:rsidRPr="00171DED">
              <w:rPr>
                <w:rFonts w:ascii="Times New Roman" w:eastAsia="Calibri" w:hAnsi="Times New Roman" w:cs="Times New Roman"/>
                <w:bCs/>
                <w:iCs/>
                <w:noProof/>
                <w:sz w:val="24"/>
                <w:szCs w:val="20"/>
              </w:rPr>
              <w:t>топлителните уреди на твърдо гориво е ключова, предвид най-високата ефективност и очаквания най-бърз пряк резултат по отношение редуциране на емисиите ФПЧ, които са причина за преждевеременна смърт на над 12 хил. български граждани през 2018 г. по данни от Доклада за качество на въздуха в Европа от 2020 г. на Европейската агенция за околна среда (ЕАОС).</w:t>
            </w:r>
          </w:p>
          <w:p w14:paraId="35DD2CD8" w14:textId="3E665D41" w:rsidR="003C3895" w:rsidRPr="00171DED" w:rsidRDefault="00E145A8"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Дейностите </w:t>
            </w:r>
            <w:r w:rsidR="00DC6A61" w:rsidRPr="00171DED">
              <w:rPr>
                <w:rFonts w:ascii="Times New Roman" w:eastAsia="Calibri" w:hAnsi="Times New Roman" w:cs="Times New Roman"/>
                <w:bCs/>
                <w:iCs/>
                <w:noProof/>
                <w:sz w:val="24"/>
                <w:szCs w:val="20"/>
              </w:rPr>
              <w:t xml:space="preserve">ще </w:t>
            </w:r>
            <w:r w:rsidR="002D367A" w:rsidRPr="00171DED">
              <w:rPr>
                <w:rFonts w:ascii="Times New Roman" w:eastAsia="Calibri" w:hAnsi="Times New Roman" w:cs="Times New Roman"/>
                <w:bCs/>
                <w:iCs/>
                <w:noProof/>
                <w:sz w:val="24"/>
                <w:szCs w:val="20"/>
              </w:rPr>
              <w:t xml:space="preserve">са в синергия с </w:t>
            </w:r>
            <w:r w:rsidR="00DC6A61" w:rsidRPr="00171DED">
              <w:rPr>
                <w:rFonts w:ascii="Times New Roman" w:eastAsia="Calibri" w:hAnsi="Times New Roman" w:cs="Times New Roman"/>
                <w:bCs/>
                <w:iCs/>
                <w:noProof/>
                <w:sz w:val="24"/>
                <w:szCs w:val="20"/>
              </w:rPr>
              <w:t>мерките за енергийната ефективност на сградния фонд по ПРР</w:t>
            </w:r>
            <w:r w:rsidR="000976C8" w:rsidRPr="00171DED">
              <w:rPr>
                <w:rFonts w:ascii="Times New Roman" w:eastAsia="Calibri" w:hAnsi="Times New Roman" w:cs="Times New Roman"/>
                <w:bCs/>
                <w:iCs/>
                <w:noProof/>
                <w:sz w:val="24"/>
                <w:szCs w:val="20"/>
              </w:rPr>
              <w:t xml:space="preserve"> </w:t>
            </w:r>
            <w:r w:rsidR="00722590" w:rsidRPr="00171DED">
              <w:rPr>
                <w:rFonts w:ascii="Times New Roman" w:eastAsia="Calibri" w:hAnsi="Times New Roman" w:cs="Times New Roman"/>
                <w:bCs/>
                <w:iCs/>
                <w:noProof/>
                <w:sz w:val="24"/>
                <w:szCs w:val="20"/>
              </w:rPr>
              <w:t>(</w:t>
            </w:r>
            <w:r w:rsidR="00815639" w:rsidRPr="00171DED">
              <w:rPr>
                <w:rFonts w:ascii="Times New Roman" w:eastAsia="Calibri" w:hAnsi="Times New Roman" w:cs="Times New Roman"/>
                <w:bCs/>
                <w:iCs/>
                <w:noProof/>
                <w:sz w:val="24"/>
                <w:szCs w:val="20"/>
              </w:rPr>
              <w:t xml:space="preserve">в общините с нарушено качество на въздуха ПРР ще финансира мерки, свързани с ремонт или подмяна на </w:t>
            </w:r>
            <w:r w:rsidR="000976C8" w:rsidRPr="00171DED">
              <w:rPr>
                <w:rFonts w:ascii="Times New Roman" w:eastAsia="Calibri" w:hAnsi="Times New Roman" w:cs="Times New Roman"/>
                <w:bCs/>
                <w:iCs/>
                <w:noProof/>
                <w:sz w:val="24"/>
                <w:szCs w:val="20"/>
              </w:rPr>
              <w:t>системи за</w:t>
            </w:r>
            <w:r w:rsidR="00815639" w:rsidRPr="00171DED">
              <w:rPr>
                <w:rFonts w:ascii="Times New Roman" w:eastAsia="Calibri" w:hAnsi="Times New Roman" w:cs="Times New Roman"/>
                <w:bCs/>
                <w:iCs/>
                <w:noProof/>
                <w:sz w:val="24"/>
                <w:szCs w:val="20"/>
              </w:rPr>
              <w:t xml:space="preserve"> отопление и</w:t>
            </w:r>
            <w:r w:rsidR="000976C8" w:rsidRPr="00171DED">
              <w:rPr>
                <w:rFonts w:ascii="Times New Roman" w:eastAsia="Calibri" w:hAnsi="Times New Roman" w:cs="Times New Roman"/>
                <w:bCs/>
                <w:iCs/>
                <w:noProof/>
                <w:sz w:val="24"/>
                <w:szCs w:val="20"/>
              </w:rPr>
              <w:t xml:space="preserve"> климатизация с изключение на такива, </w:t>
            </w:r>
            <w:r w:rsidR="00815639" w:rsidRPr="00171DED">
              <w:rPr>
                <w:rFonts w:ascii="Times New Roman" w:eastAsia="Calibri" w:hAnsi="Times New Roman" w:cs="Times New Roman"/>
                <w:bCs/>
                <w:iCs/>
                <w:noProof/>
                <w:sz w:val="24"/>
                <w:szCs w:val="20"/>
              </w:rPr>
              <w:t xml:space="preserve">които са на </w:t>
            </w:r>
            <w:r w:rsidR="000976C8" w:rsidRPr="00171DED">
              <w:rPr>
                <w:rFonts w:ascii="Times New Roman" w:eastAsia="Calibri" w:hAnsi="Times New Roman" w:cs="Times New Roman"/>
                <w:bCs/>
                <w:iCs/>
                <w:noProof/>
                <w:sz w:val="24"/>
                <w:szCs w:val="20"/>
              </w:rPr>
              <w:t xml:space="preserve">твърдо гориво), както </w:t>
            </w:r>
            <w:r w:rsidR="002D367A" w:rsidRPr="00171DED">
              <w:rPr>
                <w:rFonts w:ascii="Times New Roman" w:eastAsia="Calibri" w:hAnsi="Times New Roman" w:cs="Times New Roman"/>
                <w:bCs/>
                <w:iCs/>
                <w:noProof/>
                <w:sz w:val="24"/>
                <w:szCs w:val="20"/>
              </w:rPr>
              <w:t xml:space="preserve">и </w:t>
            </w:r>
            <w:r w:rsidRPr="00171DED">
              <w:rPr>
                <w:rFonts w:ascii="Times New Roman" w:eastAsia="Calibri" w:hAnsi="Times New Roman" w:cs="Times New Roman"/>
                <w:bCs/>
                <w:iCs/>
                <w:noProof/>
                <w:sz w:val="24"/>
                <w:szCs w:val="20"/>
              </w:rPr>
              <w:t>с тези</w:t>
            </w:r>
            <w:r w:rsidR="00815639" w:rsidRPr="00171DED">
              <w:rPr>
                <w:rFonts w:ascii="Times New Roman" w:eastAsia="Calibri" w:hAnsi="Times New Roman" w:cs="Times New Roman"/>
                <w:bCs/>
                <w:iCs/>
                <w:noProof/>
                <w:sz w:val="24"/>
                <w:szCs w:val="20"/>
              </w:rPr>
              <w:t>,</w:t>
            </w:r>
            <w:r w:rsidRPr="00171DED">
              <w:rPr>
                <w:rFonts w:ascii="Times New Roman" w:eastAsia="Calibri" w:hAnsi="Times New Roman" w:cs="Times New Roman"/>
                <w:bCs/>
                <w:iCs/>
                <w:noProof/>
                <w:sz w:val="24"/>
                <w:szCs w:val="20"/>
              </w:rPr>
              <w:t xml:space="preserve"> </w:t>
            </w:r>
            <w:r w:rsidR="007F0313">
              <w:rPr>
                <w:rFonts w:ascii="Times New Roman" w:eastAsia="Calibri" w:hAnsi="Times New Roman" w:cs="Times New Roman"/>
                <w:bCs/>
                <w:iCs/>
                <w:noProof/>
                <w:sz w:val="24"/>
                <w:szCs w:val="20"/>
              </w:rPr>
              <w:t>подкрепени</w:t>
            </w:r>
            <w:r w:rsidRPr="00171DED">
              <w:rPr>
                <w:rFonts w:ascii="Times New Roman" w:eastAsia="Calibri" w:hAnsi="Times New Roman" w:cs="Times New Roman"/>
                <w:bCs/>
                <w:iCs/>
                <w:noProof/>
                <w:sz w:val="24"/>
                <w:szCs w:val="20"/>
              </w:rPr>
              <w:t xml:space="preserve"> чрез </w:t>
            </w:r>
            <w:r w:rsidR="007F0313">
              <w:rPr>
                <w:rFonts w:ascii="Times New Roman" w:eastAsia="Calibri" w:hAnsi="Times New Roman" w:cs="Times New Roman"/>
                <w:bCs/>
                <w:iCs/>
                <w:noProof/>
                <w:sz w:val="24"/>
                <w:szCs w:val="20"/>
              </w:rPr>
              <w:t>инвестициите по Плана</w:t>
            </w:r>
            <w:r w:rsidRPr="00171DED">
              <w:rPr>
                <w:rFonts w:ascii="Times New Roman" w:eastAsia="Calibri" w:hAnsi="Times New Roman" w:cs="Times New Roman"/>
                <w:bCs/>
                <w:iCs/>
                <w:noProof/>
                <w:sz w:val="24"/>
                <w:szCs w:val="20"/>
              </w:rPr>
              <w:t xml:space="preserve"> за възстановяване и устойчивост, </w:t>
            </w:r>
            <w:r w:rsidR="007F0313">
              <w:rPr>
                <w:rFonts w:ascii="Times New Roman" w:eastAsia="Calibri" w:hAnsi="Times New Roman" w:cs="Times New Roman"/>
                <w:bCs/>
                <w:iCs/>
                <w:noProof/>
                <w:sz w:val="24"/>
                <w:szCs w:val="20"/>
              </w:rPr>
              <w:t xml:space="preserve">чрез </w:t>
            </w:r>
            <w:r w:rsidRPr="00171DED">
              <w:rPr>
                <w:rFonts w:ascii="Times New Roman" w:eastAsia="Calibri" w:hAnsi="Times New Roman" w:cs="Times New Roman"/>
                <w:bCs/>
                <w:iCs/>
                <w:noProof/>
                <w:sz w:val="24"/>
                <w:szCs w:val="20"/>
              </w:rPr>
              <w:t xml:space="preserve">InvestEU и </w:t>
            </w:r>
            <w:r w:rsidR="002D367A" w:rsidRPr="00171DED">
              <w:rPr>
                <w:rFonts w:ascii="Times New Roman" w:eastAsia="Calibri" w:hAnsi="Times New Roman" w:cs="Times New Roman"/>
                <w:bCs/>
                <w:iCs/>
                <w:noProof/>
                <w:sz w:val="24"/>
                <w:szCs w:val="20"/>
              </w:rPr>
              <w:t xml:space="preserve">от националния бюджет. ПОС ще подкрепя подмяната на отоплителни уреди на твърдо гориво </w:t>
            </w:r>
            <w:r w:rsidR="00722590" w:rsidRPr="00171DED">
              <w:rPr>
                <w:rFonts w:ascii="Times New Roman" w:eastAsia="Calibri" w:hAnsi="Times New Roman" w:cs="Times New Roman"/>
                <w:bCs/>
                <w:iCs/>
                <w:noProof/>
                <w:sz w:val="24"/>
                <w:szCs w:val="20"/>
              </w:rPr>
              <w:t xml:space="preserve">приоритетно </w:t>
            </w:r>
            <w:r w:rsidR="002D367A" w:rsidRPr="00171DED">
              <w:rPr>
                <w:rFonts w:ascii="Times New Roman" w:eastAsia="Calibri" w:hAnsi="Times New Roman" w:cs="Times New Roman"/>
                <w:bCs/>
                <w:iCs/>
                <w:noProof/>
                <w:sz w:val="24"/>
                <w:szCs w:val="20"/>
              </w:rPr>
              <w:t>в енергийно ефективни сгради. П</w:t>
            </w:r>
            <w:r w:rsidR="00DC6A61" w:rsidRPr="00171DED">
              <w:rPr>
                <w:rFonts w:ascii="Times New Roman" w:eastAsia="Calibri" w:hAnsi="Times New Roman" w:cs="Times New Roman"/>
                <w:bCs/>
                <w:iCs/>
                <w:noProof/>
                <w:sz w:val="24"/>
                <w:szCs w:val="20"/>
              </w:rPr>
              <w:t>одменените топлоуреди</w:t>
            </w:r>
            <w:r w:rsidR="00722590" w:rsidRPr="00171DED">
              <w:rPr>
                <w:rFonts w:ascii="Times New Roman" w:eastAsia="Calibri" w:hAnsi="Times New Roman" w:cs="Times New Roman"/>
                <w:bCs/>
                <w:iCs/>
                <w:noProof/>
                <w:sz w:val="24"/>
                <w:szCs w:val="20"/>
              </w:rPr>
              <w:t>ще имат принос и</w:t>
            </w:r>
            <w:r w:rsidR="00DC6A61" w:rsidRPr="00171DED">
              <w:rPr>
                <w:rFonts w:ascii="Times New Roman" w:eastAsia="Calibri" w:hAnsi="Times New Roman" w:cs="Times New Roman"/>
                <w:bCs/>
                <w:iCs/>
                <w:noProof/>
                <w:sz w:val="24"/>
                <w:szCs w:val="20"/>
              </w:rPr>
              <w:t xml:space="preserve"> за повишаване на енергийната ефективност на сградния фонд като цяло</w:t>
            </w:r>
            <w:r w:rsidR="00722590" w:rsidRPr="00171DED">
              <w:rPr>
                <w:rFonts w:ascii="Times New Roman" w:eastAsia="Calibri" w:hAnsi="Times New Roman" w:cs="Times New Roman"/>
                <w:bCs/>
                <w:iCs/>
                <w:noProof/>
                <w:sz w:val="24"/>
                <w:szCs w:val="20"/>
              </w:rPr>
              <w:t xml:space="preserve">; </w:t>
            </w:r>
            <w:r w:rsidR="00151D1C" w:rsidRPr="00171DED">
              <w:rPr>
                <w:rFonts w:ascii="Times New Roman" w:eastAsia="Calibri" w:hAnsi="Times New Roman" w:cs="Times New Roman"/>
                <w:bCs/>
                <w:iCs/>
                <w:noProof/>
                <w:sz w:val="24"/>
                <w:szCs w:val="20"/>
              </w:rPr>
              <w:t xml:space="preserve">от друга </w:t>
            </w:r>
            <w:r w:rsidR="002D367A" w:rsidRPr="00171DED">
              <w:rPr>
                <w:rFonts w:ascii="Times New Roman" w:eastAsia="Calibri" w:hAnsi="Times New Roman" w:cs="Times New Roman"/>
                <w:bCs/>
                <w:iCs/>
                <w:noProof/>
                <w:sz w:val="24"/>
                <w:szCs w:val="20"/>
              </w:rPr>
              <w:t xml:space="preserve">страна </w:t>
            </w:r>
            <w:r w:rsidR="00151D1C" w:rsidRPr="00171DED">
              <w:rPr>
                <w:rFonts w:ascii="Times New Roman" w:eastAsia="Calibri" w:hAnsi="Times New Roman" w:cs="Times New Roman"/>
                <w:bCs/>
                <w:iCs/>
                <w:noProof/>
                <w:sz w:val="24"/>
                <w:szCs w:val="20"/>
              </w:rPr>
              <w:t xml:space="preserve">– подобрената </w:t>
            </w:r>
            <w:r w:rsidR="00DC6A61" w:rsidRPr="00171DED">
              <w:rPr>
                <w:rFonts w:ascii="Times New Roman" w:eastAsia="Calibri" w:hAnsi="Times New Roman" w:cs="Times New Roman"/>
                <w:bCs/>
                <w:iCs/>
                <w:noProof/>
                <w:sz w:val="24"/>
                <w:szCs w:val="20"/>
              </w:rPr>
              <w:t xml:space="preserve">енергийна ефективност на сградния фонд ще доведе до по-нисък разход на енергия, което </w:t>
            </w:r>
            <w:r w:rsidR="00151D1C" w:rsidRPr="00171DED">
              <w:rPr>
                <w:rFonts w:ascii="Times New Roman" w:eastAsia="Calibri" w:hAnsi="Times New Roman" w:cs="Times New Roman"/>
                <w:bCs/>
                <w:iCs/>
                <w:noProof/>
                <w:sz w:val="24"/>
                <w:szCs w:val="20"/>
              </w:rPr>
              <w:t>има принос за</w:t>
            </w:r>
            <w:r w:rsidR="00DC6A61" w:rsidRPr="00171DED">
              <w:rPr>
                <w:rFonts w:ascii="Times New Roman" w:eastAsia="Calibri" w:hAnsi="Times New Roman" w:cs="Times New Roman"/>
                <w:bCs/>
                <w:iCs/>
                <w:noProof/>
                <w:sz w:val="24"/>
                <w:szCs w:val="20"/>
              </w:rPr>
              <w:t xml:space="preserve"> намаляване на емисиите на замърсители на въздуха.</w:t>
            </w:r>
            <w:r w:rsidR="000976C8" w:rsidRPr="00171DED">
              <w:rPr>
                <w:rFonts w:ascii="Times New Roman" w:eastAsia="Calibri" w:hAnsi="Times New Roman" w:cs="Times New Roman"/>
                <w:bCs/>
                <w:iCs/>
                <w:noProof/>
                <w:sz w:val="24"/>
                <w:szCs w:val="20"/>
              </w:rPr>
              <w:t xml:space="preserve"> </w:t>
            </w:r>
            <w:r w:rsidR="00392113" w:rsidRPr="00171DED">
              <w:rPr>
                <w:rFonts w:ascii="Times New Roman" w:eastAsia="Calibri" w:hAnsi="Times New Roman" w:cs="Times New Roman"/>
                <w:bCs/>
                <w:iCs/>
                <w:noProof/>
                <w:sz w:val="24"/>
                <w:szCs w:val="20"/>
              </w:rPr>
              <w:t xml:space="preserve">Допълнителен </w:t>
            </w:r>
            <w:r w:rsidR="00930431" w:rsidRPr="00171DED">
              <w:rPr>
                <w:rFonts w:ascii="Times New Roman" w:eastAsia="Calibri" w:hAnsi="Times New Roman" w:cs="Times New Roman"/>
                <w:bCs/>
                <w:iCs/>
                <w:noProof/>
                <w:sz w:val="24"/>
                <w:szCs w:val="20"/>
              </w:rPr>
              <w:t xml:space="preserve">ефект </w:t>
            </w:r>
            <w:r w:rsidR="00392113" w:rsidRPr="00171DED">
              <w:rPr>
                <w:rFonts w:ascii="Times New Roman" w:eastAsia="Calibri" w:hAnsi="Times New Roman" w:cs="Times New Roman"/>
                <w:bCs/>
                <w:iCs/>
                <w:noProof/>
                <w:sz w:val="24"/>
                <w:szCs w:val="20"/>
              </w:rPr>
              <w:t>се очаква от</w:t>
            </w:r>
            <w:r w:rsidR="00930431" w:rsidRPr="00171DED">
              <w:rPr>
                <w:rFonts w:ascii="Times New Roman" w:eastAsia="Calibri" w:hAnsi="Times New Roman" w:cs="Times New Roman"/>
                <w:bCs/>
                <w:iCs/>
                <w:noProof/>
                <w:sz w:val="24"/>
                <w:szCs w:val="20"/>
              </w:rPr>
              <w:t xml:space="preserve"> постигане на по-високи здравни и екологични стандарти чрез осигуряване на </w:t>
            </w:r>
            <w:r w:rsidR="00A016D4">
              <w:rPr>
                <w:rFonts w:ascii="Times New Roman" w:eastAsia="Calibri" w:hAnsi="Times New Roman" w:cs="Times New Roman"/>
                <w:bCs/>
                <w:iCs/>
                <w:noProof/>
                <w:sz w:val="24"/>
                <w:szCs w:val="20"/>
              </w:rPr>
              <w:t>добро</w:t>
            </w:r>
            <w:r w:rsidR="00930431" w:rsidRPr="00171DED">
              <w:rPr>
                <w:rFonts w:ascii="Times New Roman" w:eastAsia="Calibri" w:hAnsi="Times New Roman" w:cs="Times New Roman"/>
                <w:bCs/>
                <w:iCs/>
                <w:noProof/>
                <w:sz w:val="24"/>
                <w:szCs w:val="20"/>
              </w:rPr>
              <w:t xml:space="preserve"> качество на въздуха в съответствие със </w:t>
            </w:r>
            <w:r w:rsidR="00930431" w:rsidRPr="00171DED">
              <w:rPr>
                <w:rFonts w:ascii="Times New Roman" w:eastAsia="Calibri" w:hAnsi="Times New Roman" w:cs="Times New Roman"/>
                <w:bCs/>
                <w:iCs/>
                <w:noProof/>
                <w:sz w:val="24"/>
                <w:szCs w:val="20"/>
              </w:rPr>
              <w:lastRenderedPageBreak/>
              <w:t>съобщението на Комисията относно „Вълна на саниране за Европа — екологизиране на нашите сгради, създаване на работни места, подобряване на качеството на живот“</w:t>
            </w:r>
            <w:r w:rsidR="00392113" w:rsidRPr="00171DED">
              <w:rPr>
                <w:rFonts w:ascii="Times New Roman" w:eastAsia="Calibri" w:hAnsi="Times New Roman" w:cs="Times New Roman"/>
                <w:bCs/>
                <w:iCs/>
                <w:noProof/>
                <w:sz w:val="24"/>
                <w:szCs w:val="20"/>
              </w:rPr>
              <w:t>.</w:t>
            </w:r>
            <w:r w:rsidR="00930431" w:rsidRPr="00171DED">
              <w:rPr>
                <w:rFonts w:ascii="Times New Roman" w:eastAsia="Calibri" w:hAnsi="Times New Roman" w:cs="Times New Roman"/>
                <w:bCs/>
                <w:iCs/>
                <w:noProof/>
                <w:sz w:val="24"/>
                <w:szCs w:val="20"/>
              </w:rPr>
              <w:t xml:space="preserve"> </w:t>
            </w:r>
          </w:p>
          <w:p w14:paraId="489F2DBD" w14:textId="78146026" w:rsidR="00392113" w:rsidRPr="00171DED" w:rsidRDefault="0093043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Съгласно доклад No 22/2018 на ЕАОС [„Неравномерно излагане и неравномерно въздействие: социална уязвимост към замърсяване на въздуха, шум и екстремни температури в Европа“, публикуван на 04.02.2019] районите, характеризиращи се с по-нисък социално-икономически статус, обикновено са с по-високи нива на замърсяване с ФПЧ</w:t>
            </w:r>
            <w:r w:rsidRPr="00735374">
              <w:rPr>
                <w:rFonts w:ascii="Times New Roman" w:eastAsia="Calibri" w:hAnsi="Times New Roman" w:cs="Times New Roman"/>
                <w:bCs/>
                <w:iCs/>
                <w:noProof/>
                <w:sz w:val="24"/>
                <w:szCs w:val="20"/>
                <w:vertAlign w:val="subscript"/>
              </w:rPr>
              <w:t>2,5</w:t>
            </w:r>
            <w:r w:rsidRPr="00171DED">
              <w:rPr>
                <w:rFonts w:ascii="Times New Roman" w:eastAsia="Calibri" w:hAnsi="Times New Roman" w:cs="Times New Roman"/>
                <w:bCs/>
                <w:iCs/>
                <w:noProof/>
                <w:sz w:val="24"/>
                <w:szCs w:val="20"/>
              </w:rPr>
              <w:t>, ФПЧ</w:t>
            </w:r>
            <w:r w:rsidRPr="00735374">
              <w:rPr>
                <w:rFonts w:ascii="Times New Roman" w:eastAsia="Calibri" w:hAnsi="Times New Roman" w:cs="Times New Roman"/>
                <w:bCs/>
                <w:iCs/>
                <w:noProof/>
                <w:sz w:val="24"/>
                <w:szCs w:val="20"/>
                <w:vertAlign w:val="subscript"/>
              </w:rPr>
              <w:t>10</w:t>
            </w:r>
            <w:r w:rsidRPr="00171DED">
              <w:rPr>
                <w:rFonts w:ascii="Times New Roman" w:eastAsia="Calibri" w:hAnsi="Times New Roman" w:cs="Times New Roman"/>
                <w:bCs/>
                <w:iCs/>
                <w:noProof/>
                <w:sz w:val="24"/>
                <w:szCs w:val="20"/>
              </w:rPr>
              <w:t xml:space="preserve"> и O</w:t>
            </w:r>
            <w:r w:rsidRPr="00171DED">
              <w:rPr>
                <w:rFonts w:ascii="Times New Roman" w:eastAsia="Calibri" w:hAnsi="Times New Roman" w:cs="Times New Roman"/>
                <w:bCs/>
                <w:iCs/>
                <w:noProof/>
                <w:sz w:val="24"/>
                <w:szCs w:val="20"/>
                <w:vertAlign w:val="subscript"/>
              </w:rPr>
              <w:t>3</w:t>
            </w:r>
            <w:r w:rsidRPr="00171DED">
              <w:rPr>
                <w:rFonts w:ascii="Times New Roman" w:eastAsia="Calibri" w:hAnsi="Times New Roman" w:cs="Times New Roman"/>
                <w:bCs/>
                <w:iCs/>
                <w:noProof/>
                <w:sz w:val="24"/>
                <w:szCs w:val="20"/>
              </w:rPr>
              <w:t>.</w:t>
            </w:r>
            <w:r w:rsidR="00392113" w:rsidRPr="00171DED">
              <w:rPr>
                <w:rFonts w:ascii="Times New Roman" w:eastAsia="Calibri" w:hAnsi="Times New Roman" w:cs="Times New Roman"/>
                <w:bCs/>
                <w:iCs/>
                <w:noProof/>
                <w:sz w:val="24"/>
                <w:szCs w:val="20"/>
              </w:rPr>
              <w:t xml:space="preserve"> Една от констатациите в доклада е, че </w:t>
            </w:r>
            <w:r w:rsidR="00767F54">
              <w:rPr>
                <w:rFonts w:ascii="Times New Roman" w:eastAsia="Calibri" w:hAnsi="Times New Roman" w:cs="Times New Roman"/>
                <w:bCs/>
                <w:iCs/>
                <w:noProof/>
                <w:sz w:val="24"/>
                <w:szCs w:val="20"/>
              </w:rPr>
              <w:t xml:space="preserve">в </w:t>
            </w:r>
            <w:r w:rsidR="00392113" w:rsidRPr="00171DED">
              <w:rPr>
                <w:rFonts w:ascii="Times New Roman" w:eastAsia="Calibri" w:hAnsi="Times New Roman" w:cs="Times New Roman"/>
                <w:bCs/>
                <w:iCs/>
                <w:noProof/>
                <w:sz w:val="24"/>
                <w:szCs w:val="20"/>
              </w:rPr>
              <w:t>България близо 40% от всички домакинства изпитват затруднения при осигуряване отопление за домовете си.</w:t>
            </w:r>
            <w:r w:rsidR="003C3895" w:rsidRPr="00171DED">
              <w:rPr>
                <w:rFonts w:ascii="Times New Roman" w:eastAsia="Calibri" w:hAnsi="Times New Roman" w:cs="Times New Roman"/>
                <w:bCs/>
                <w:iCs/>
                <w:noProof/>
                <w:sz w:val="24"/>
                <w:szCs w:val="20"/>
              </w:rPr>
              <w:t xml:space="preserve"> Отчитайки това, в процеса на подбор на крайните получатели на помощта</w:t>
            </w:r>
            <w:r w:rsidR="008F7A93">
              <w:rPr>
                <w:rFonts w:ascii="Times New Roman" w:eastAsia="Calibri" w:hAnsi="Times New Roman" w:cs="Times New Roman"/>
                <w:bCs/>
                <w:iCs/>
                <w:noProof/>
                <w:sz w:val="24"/>
                <w:szCs w:val="20"/>
              </w:rPr>
              <w:t>,</w:t>
            </w:r>
            <w:r w:rsidR="003C3895" w:rsidRPr="00171DED">
              <w:rPr>
                <w:rFonts w:ascii="Times New Roman" w:eastAsia="Calibri" w:hAnsi="Times New Roman" w:cs="Times New Roman"/>
                <w:bCs/>
                <w:iCs/>
                <w:noProof/>
                <w:sz w:val="24"/>
                <w:szCs w:val="20"/>
              </w:rPr>
              <w:t xml:space="preserve"> ще се приоритизират </w:t>
            </w:r>
            <w:r w:rsidR="00697D6B">
              <w:rPr>
                <w:rFonts w:ascii="Times New Roman" w:eastAsia="Calibri" w:hAnsi="Times New Roman" w:cs="Times New Roman"/>
                <w:bCs/>
                <w:iCs/>
                <w:noProof/>
                <w:sz w:val="24"/>
                <w:szCs w:val="20"/>
              </w:rPr>
              <w:t>различни</w:t>
            </w:r>
            <w:r w:rsidR="003C3895" w:rsidRPr="00171DED">
              <w:rPr>
                <w:rFonts w:ascii="Times New Roman" w:eastAsia="Calibri" w:hAnsi="Times New Roman" w:cs="Times New Roman"/>
                <w:bCs/>
                <w:iCs/>
                <w:noProof/>
                <w:sz w:val="24"/>
                <w:szCs w:val="20"/>
              </w:rPr>
              <w:t xml:space="preserve"> фактори като енергийна бедност и ефективност на инвестициите от гледна точка на единица разход за спесетни емисии ФПЧ с цел подмяна на старите топлоуреди в максимално голям брой домакинства.</w:t>
            </w:r>
          </w:p>
          <w:p w14:paraId="44096EBB" w14:textId="01BFA0E5" w:rsidR="00930431" w:rsidRPr="00171DED" w:rsidRDefault="00151D1C" w:rsidP="00930431">
            <w:pPr>
              <w:spacing w:before="120" w:after="120"/>
              <w:jc w:val="both"/>
              <w:rPr>
                <w:rFonts w:ascii="Times New Roman" w:eastAsia="Calibri" w:hAnsi="Times New Roman" w:cs="Times New Roman"/>
                <w:bCs/>
                <w:iCs/>
                <w:noProof/>
                <w:sz w:val="24"/>
                <w:szCs w:val="20"/>
              </w:rPr>
            </w:pPr>
            <w:r w:rsidRPr="00E12B4E">
              <w:rPr>
                <w:rFonts w:ascii="Times New Roman" w:eastAsia="Calibri" w:hAnsi="Times New Roman" w:cs="Times New Roman"/>
                <w:bCs/>
                <w:iCs/>
                <w:noProof/>
                <w:sz w:val="24"/>
                <w:szCs w:val="20"/>
              </w:rPr>
              <w:t xml:space="preserve">Мерките </w:t>
            </w:r>
            <w:r w:rsidR="00DC6A61" w:rsidRPr="00E12B4E">
              <w:rPr>
                <w:rFonts w:ascii="Times New Roman" w:eastAsia="Calibri" w:hAnsi="Times New Roman" w:cs="Times New Roman"/>
                <w:bCs/>
                <w:iCs/>
                <w:noProof/>
                <w:sz w:val="24"/>
                <w:szCs w:val="20"/>
              </w:rPr>
              <w:t>за намаляване на замърсяването на въздуха от транспорта</w:t>
            </w:r>
            <w:r w:rsidRPr="00934213">
              <w:rPr>
                <w:rFonts w:ascii="Times New Roman" w:eastAsia="Calibri" w:hAnsi="Times New Roman" w:cs="Times New Roman"/>
                <w:bCs/>
                <w:iCs/>
                <w:noProof/>
                <w:sz w:val="24"/>
                <w:szCs w:val="20"/>
              </w:rPr>
              <w:t xml:space="preserve"> </w:t>
            </w:r>
            <w:r w:rsidR="00930431" w:rsidRPr="00E12B4E">
              <w:rPr>
                <w:rFonts w:ascii="Times New Roman" w:eastAsia="Calibri" w:hAnsi="Times New Roman" w:cs="Times New Roman"/>
                <w:bCs/>
                <w:iCs/>
                <w:noProof/>
                <w:sz w:val="24"/>
                <w:szCs w:val="20"/>
              </w:rPr>
              <w:t xml:space="preserve">са в </w:t>
            </w:r>
            <w:r w:rsidR="00DC6A61" w:rsidRPr="00E12B4E">
              <w:rPr>
                <w:rFonts w:ascii="Times New Roman" w:eastAsia="Calibri" w:hAnsi="Times New Roman" w:cs="Times New Roman"/>
                <w:bCs/>
                <w:iCs/>
                <w:noProof/>
                <w:sz w:val="24"/>
                <w:szCs w:val="20"/>
              </w:rPr>
              <w:t xml:space="preserve">допълняемост </w:t>
            </w:r>
            <w:r w:rsidRPr="00E12B4E">
              <w:rPr>
                <w:rFonts w:ascii="Times New Roman" w:eastAsia="Calibri" w:hAnsi="Times New Roman" w:cs="Times New Roman"/>
                <w:bCs/>
                <w:iCs/>
                <w:noProof/>
                <w:sz w:val="24"/>
                <w:szCs w:val="20"/>
              </w:rPr>
              <w:t>с предвидените мерки по</w:t>
            </w:r>
            <w:r w:rsidR="009A64FE" w:rsidRPr="00E12B4E">
              <w:rPr>
                <w:rFonts w:ascii="Times New Roman" w:eastAsia="Calibri" w:hAnsi="Times New Roman" w:cs="Times New Roman"/>
                <w:bCs/>
                <w:iCs/>
                <w:noProof/>
                <w:sz w:val="24"/>
                <w:szCs w:val="20"/>
              </w:rPr>
              <w:t xml:space="preserve"> П</w:t>
            </w:r>
            <w:r w:rsidR="00006673" w:rsidRPr="00E12B4E">
              <w:rPr>
                <w:rFonts w:ascii="Times New Roman" w:eastAsia="Calibri" w:hAnsi="Times New Roman" w:cs="Times New Roman"/>
                <w:bCs/>
                <w:iCs/>
                <w:noProof/>
                <w:sz w:val="24"/>
                <w:szCs w:val="20"/>
              </w:rPr>
              <w:t>рограма „</w:t>
            </w:r>
            <w:r w:rsidR="009A64FE" w:rsidRPr="00E12B4E">
              <w:rPr>
                <w:rFonts w:ascii="Times New Roman" w:eastAsia="Calibri" w:hAnsi="Times New Roman" w:cs="Times New Roman"/>
                <w:bCs/>
                <w:iCs/>
                <w:noProof/>
                <w:sz w:val="24"/>
                <w:szCs w:val="20"/>
              </w:rPr>
              <w:t>Т</w:t>
            </w:r>
            <w:r w:rsidR="00006673" w:rsidRPr="00E12B4E">
              <w:rPr>
                <w:rFonts w:ascii="Times New Roman" w:eastAsia="Calibri" w:hAnsi="Times New Roman" w:cs="Times New Roman"/>
                <w:bCs/>
                <w:iCs/>
                <w:noProof/>
                <w:sz w:val="24"/>
                <w:szCs w:val="20"/>
              </w:rPr>
              <w:t>ранспортна свързаност“</w:t>
            </w:r>
            <w:r w:rsidR="009A64FE" w:rsidRPr="00E12B4E">
              <w:rPr>
                <w:rFonts w:ascii="Times New Roman" w:eastAsia="Calibri" w:hAnsi="Times New Roman" w:cs="Times New Roman"/>
                <w:bCs/>
                <w:iCs/>
                <w:noProof/>
                <w:sz w:val="24"/>
                <w:szCs w:val="20"/>
              </w:rPr>
              <w:t xml:space="preserve"> (мерки, свързани с интермодалност в градска среда) и по</w:t>
            </w:r>
            <w:r w:rsidRPr="00E12B4E">
              <w:rPr>
                <w:rFonts w:ascii="Times New Roman" w:eastAsia="Calibri" w:hAnsi="Times New Roman" w:cs="Times New Roman"/>
                <w:bCs/>
                <w:iCs/>
                <w:noProof/>
                <w:sz w:val="24"/>
                <w:szCs w:val="20"/>
              </w:rPr>
              <w:t xml:space="preserve"> ПРР </w:t>
            </w:r>
            <w:r w:rsidR="009A64FE" w:rsidRPr="00E12B4E">
              <w:rPr>
                <w:rFonts w:ascii="Times New Roman" w:eastAsia="Calibri" w:hAnsi="Times New Roman" w:cs="Times New Roman"/>
                <w:bCs/>
                <w:iCs/>
                <w:noProof/>
                <w:sz w:val="24"/>
                <w:szCs w:val="20"/>
              </w:rPr>
              <w:t>(мерки, звързани с устойчива градска мобилност и с подмяна на превозните средства на обществения транспорт)</w:t>
            </w:r>
            <w:r w:rsidR="00930431" w:rsidRPr="00171DED">
              <w:rPr>
                <w:rFonts w:ascii="Times New Roman" w:eastAsia="Calibri" w:hAnsi="Times New Roman" w:cs="Times New Roman"/>
                <w:bCs/>
                <w:iCs/>
                <w:noProof/>
                <w:sz w:val="24"/>
                <w:szCs w:val="20"/>
              </w:rPr>
              <w:t xml:space="preserve">Подкрепата за насърчаване на електромобилността ще бъде насочена към постепенното прекратяване на използването на конвенционални превозни средства с високи емисии (дизелови МПС </w:t>
            </w:r>
            <w:r w:rsidR="00815639" w:rsidRPr="00171DED">
              <w:rPr>
                <w:rFonts w:ascii="Times New Roman" w:eastAsia="Calibri" w:hAnsi="Times New Roman" w:cs="Times New Roman"/>
                <w:bCs/>
                <w:iCs/>
                <w:noProof/>
                <w:sz w:val="24"/>
                <w:szCs w:val="20"/>
              </w:rPr>
              <w:t xml:space="preserve">приоритетно </w:t>
            </w:r>
            <w:r w:rsidR="00930431" w:rsidRPr="00171DED">
              <w:rPr>
                <w:rFonts w:ascii="Times New Roman" w:eastAsia="Calibri" w:hAnsi="Times New Roman" w:cs="Times New Roman"/>
                <w:bCs/>
                <w:iCs/>
                <w:noProof/>
                <w:sz w:val="24"/>
                <w:szCs w:val="20"/>
              </w:rPr>
              <w:t>pre-Euro и Euro 1) и преминаване към електрически автомобили. Крайните получатели са граждани, живеещи на територията на общини с нарушено КАВ, пред</w:t>
            </w:r>
            <w:r w:rsidR="00DA1221" w:rsidRPr="00171DED">
              <w:rPr>
                <w:rFonts w:ascii="Times New Roman" w:eastAsia="Calibri" w:hAnsi="Times New Roman" w:cs="Times New Roman"/>
                <w:bCs/>
                <w:iCs/>
                <w:noProof/>
                <w:sz w:val="24"/>
                <w:szCs w:val="20"/>
              </w:rPr>
              <w:t>ав</w:t>
            </w:r>
            <w:r w:rsidR="00930431" w:rsidRPr="00171DED">
              <w:rPr>
                <w:rFonts w:ascii="Times New Roman" w:eastAsia="Calibri" w:hAnsi="Times New Roman" w:cs="Times New Roman"/>
                <w:bCs/>
                <w:iCs/>
                <w:noProof/>
                <w:sz w:val="24"/>
                <w:szCs w:val="20"/>
              </w:rPr>
              <w:t xml:space="preserve">ат за рециклиране регистрирани </w:t>
            </w:r>
            <w:r w:rsidR="00A44408">
              <w:rPr>
                <w:rFonts w:ascii="Times New Roman" w:eastAsia="Calibri" w:hAnsi="Times New Roman" w:cs="Times New Roman"/>
                <w:bCs/>
                <w:iCs/>
                <w:noProof/>
                <w:sz w:val="24"/>
                <w:szCs w:val="20"/>
              </w:rPr>
              <w:t xml:space="preserve">високоемисионни </w:t>
            </w:r>
            <w:r w:rsidR="00930431" w:rsidRPr="00171DED">
              <w:rPr>
                <w:rFonts w:ascii="Times New Roman" w:eastAsia="Calibri" w:hAnsi="Times New Roman" w:cs="Times New Roman"/>
                <w:bCs/>
                <w:iCs/>
                <w:noProof/>
                <w:sz w:val="24"/>
                <w:szCs w:val="20"/>
              </w:rPr>
              <w:t>дизелови автомолиби. Процедурата е пилотна и включва прилагане на финансови инструменти. Подкрепата за въвеждане на транспортни зони с ниски емисии ще бъде концентрирана в градове с лошо качество на въздуха и значителни проблеми с трафика.</w:t>
            </w:r>
          </w:p>
          <w:p w14:paraId="25A80337" w14:textId="21C2EC9A" w:rsidR="0020475A" w:rsidRPr="00171DED" w:rsidRDefault="0093043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Действията за създаване/разширяване на зелени пояси/зони ще се подкрепят на територията на общини с лошо качество на въздуха. Помощта за поддръжката на новозасадените растителни видове ще бъде ограничена за период до </w:t>
            </w:r>
            <w:r w:rsidR="00651B98">
              <w:rPr>
                <w:rFonts w:ascii="Times New Roman" w:eastAsia="Calibri" w:hAnsi="Times New Roman" w:cs="Times New Roman"/>
                <w:bCs/>
                <w:iCs/>
                <w:noProof/>
                <w:sz w:val="24"/>
                <w:szCs w:val="20"/>
              </w:rPr>
              <w:t>3</w:t>
            </w:r>
            <w:r w:rsidRPr="00171DED">
              <w:rPr>
                <w:rFonts w:ascii="Times New Roman" w:eastAsia="Calibri" w:hAnsi="Times New Roman" w:cs="Times New Roman"/>
                <w:bCs/>
                <w:iCs/>
                <w:noProof/>
                <w:sz w:val="24"/>
                <w:szCs w:val="20"/>
              </w:rPr>
              <w:t xml:space="preserve"> години, при предоставяне на необходимата обосновка. Зелена инфраструктура по мярката включва зелени стени, зелени зони, озеленяване на „кални петна“, зелени покриви, зелени училищни дворове и др., включително иноватививни и интелигентни зелени решения.</w:t>
            </w:r>
            <w:r w:rsidR="00DA1221" w:rsidRPr="00171DED">
              <w:rPr>
                <w:rFonts w:ascii="Times New Roman" w:eastAsia="Calibri" w:hAnsi="Times New Roman" w:cs="Times New Roman"/>
                <w:bCs/>
                <w:iCs/>
                <w:noProof/>
                <w:sz w:val="24"/>
                <w:szCs w:val="20"/>
              </w:rPr>
              <w:t xml:space="preserve"> Мерките ще имат допълнителен положителен ефект и предвид констатациите в Националната стратегия за биоразнообразие, че в България</w:t>
            </w:r>
            <w:r w:rsidR="00B8259D" w:rsidRPr="00171DED">
              <w:rPr>
                <w:rFonts w:ascii="Times New Roman" w:eastAsia="Calibri" w:hAnsi="Times New Roman" w:cs="Times New Roman"/>
                <w:bCs/>
                <w:iCs/>
                <w:noProof/>
                <w:sz w:val="24"/>
                <w:szCs w:val="20"/>
              </w:rPr>
              <w:t xml:space="preserve"> показател</w:t>
            </w:r>
            <w:r w:rsidR="00DA1221" w:rsidRPr="00171DED">
              <w:rPr>
                <w:rFonts w:ascii="Times New Roman" w:eastAsia="Calibri" w:hAnsi="Times New Roman" w:cs="Times New Roman"/>
                <w:bCs/>
                <w:iCs/>
                <w:noProof/>
                <w:sz w:val="24"/>
                <w:szCs w:val="20"/>
              </w:rPr>
              <w:t>ят</w:t>
            </w:r>
            <w:r w:rsidR="00B8259D" w:rsidRPr="00171DED">
              <w:rPr>
                <w:rFonts w:ascii="Times New Roman" w:eastAsia="Calibri" w:hAnsi="Times New Roman" w:cs="Times New Roman"/>
                <w:bCs/>
                <w:iCs/>
                <w:noProof/>
                <w:sz w:val="24"/>
                <w:szCs w:val="20"/>
              </w:rPr>
              <w:t xml:space="preserve"> „зелени площи на човек“ </w:t>
            </w:r>
            <w:r w:rsidR="00DA1221" w:rsidRPr="00171DED">
              <w:rPr>
                <w:rFonts w:ascii="Times New Roman" w:eastAsia="Calibri" w:hAnsi="Times New Roman" w:cs="Times New Roman"/>
                <w:bCs/>
                <w:iCs/>
                <w:noProof/>
                <w:sz w:val="24"/>
                <w:szCs w:val="20"/>
              </w:rPr>
              <w:t>в големите населени места</w:t>
            </w:r>
            <w:r w:rsidR="00B8259D" w:rsidRPr="00171DED">
              <w:rPr>
                <w:rFonts w:ascii="Times New Roman" w:eastAsia="Calibri" w:hAnsi="Times New Roman" w:cs="Times New Roman"/>
                <w:bCs/>
                <w:iCs/>
                <w:noProof/>
                <w:sz w:val="24"/>
                <w:szCs w:val="20"/>
              </w:rPr>
              <w:t xml:space="preserve"> варира от 3</w:t>
            </w:r>
            <w:r w:rsidR="00DA1221" w:rsidRPr="00171DED">
              <w:rPr>
                <w:rFonts w:ascii="Times New Roman" w:eastAsia="Calibri" w:hAnsi="Times New Roman" w:cs="Times New Roman"/>
                <w:bCs/>
                <w:iCs/>
                <w:noProof/>
                <w:sz w:val="24"/>
                <w:szCs w:val="20"/>
              </w:rPr>
              <w:t>-</w:t>
            </w:r>
            <w:r w:rsidR="00B8259D" w:rsidRPr="00171DED">
              <w:rPr>
                <w:rFonts w:ascii="Times New Roman" w:eastAsia="Calibri" w:hAnsi="Times New Roman" w:cs="Times New Roman"/>
                <w:bCs/>
                <w:iCs/>
                <w:noProof/>
                <w:sz w:val="24"/>
                <w:szCs w:val="20"/>
              </w:rPr>
              <w:t>15 кв.м./чов., което е далеч от европейските изисквания за 20 кв.м. зелени площи на човек.</w:t>
            </w:r>
            <w:r w:rsidR="00E9528B" w:rsidRPr="00171DED">
              <w:rPr>
                <w:rFonts w:ascii="Times New Roman" w:eastAsia="Calibri" w:hAnsi="Times New Roman" w:cs="Times New Roman"/>
                <w:bCs/>
                <w:iCs/>
                <w:noProof/>
                <w:sz w:val="24"/>
                <w:szCs w:val="20"/>
              </w:rPr>
              <w:t xml:space="preserve"> </w:t>
            </w:r>
            <w:r w:rsidR="00DC6A61" w:rsidRPr="00171DED">
              <w:rPr>
                <w:rFonts w:ascii="Times New Roman" w:eastAsia="Calibri" w:hAnsi="Times New Roman" w:cs="Times New Roman"/>
                <w:bCs/>
                <w:iCs/>
                <w:noProof/>
                <w:sz w:val="24"/>
                <w:szCs w:val="20"/>
              </w:rPr>
              <w:t xml:space="preserve">Чрез изпълнението на „Зелени мерки в градска среда, вкл. </w:t>
            </w:r>
            <w:r w:rsidR="00F04A6D" w:rsidRPr="00171DED">
              <w:rPr>
                <w:rFonts w:ascii="Times New Roman" w:eastAsia="Calibri" w:hAnsi="Times New Roman" w:cs="Times New Roman"/>
                <w:bCs/>
                <w:iCs/>
                <w:noProof/>
                <w:sz w:val="24"/>
                <w:szCs w:val="20"/>
              </w:rPr>
              <w:t xml:space="preserve">създаване/разширяване </w:t>
            </w:r>
            <w:r w:rsidR="00DC6A61" w:rsidRPr="00171DED">
              <w:rPr>
                <w:rFonts w:ascii="Times New Roman" w:eastAsia="Calibri" w:hAnsi="Times New Roman" w:cs="Times New Roman"/>
                <w:bCs/>
                <w:iCs/>
                <w:noProof/>
                <w:sz w:val="24"/>
                <w:szCs w:val="20"/>
              </w:rPr>
              <w:t>на „зелени пояси/зони“ ще се осигури</w:t>
            </w:r>
            <w:r w:rsidRPr="00171DED">
              <w:rPr>
                <w:rFonts w:ascii="Times New Roman" w:eastAsia="Calibri" w:hAnsi="Times New Roman" w:cs="Times New Roman"/>
                <w:bCs/>
                <w:iCs/>
                <w:noProof/>
                <w:sz w:val="24"/>
                <w:szCs w:val="20"/>
              </w:rPr>
              <w:t>, където е приложимо,</w:t>
            </w:r>
            <w:r w:rsidR="00DC6A61" w:rsidRPr="00171DED">
              <w:rPr>
                <w:rFonts w:ascii="Times New Roman" w:eastAsia="Calibri" w:hAnsi="Times New Roman" w:cs="Times New Roman"/>
                <w:bCs/>
                <w:iCs/>
                <w:noProof/>
                <w:sz w:val="24"/>
                <w:szCs w:val="20"/>
              </w:rPr>
              <w:t xml:space="preserve"> допълняемост към мерките за зелена инфраструктура в градовете, заложени по ПРР</w:t>
            </w:r>
            <w:r w:rsidR="00841377" w:rsidRPr="00171DED">
              <w:rPr>
                <w:rFonts w:ascii="Times New Roman" w:eastAsia="Calibri" w:hAnsi="Times New Roman" w:cs="Times New Roman"/>
                <w:bCs/>
                <w:iCs/>
                <w:noProof/>
                <w:sz w:val="24"/>
                <w:szCs w:val="20"/>
              </w:rPr>
              <w:t xml:space="preserve"> (цялостни интервенции в зелени </w:t>
            </w:r>
            <w:r w:rsidR="00182611" w:rsidRPr="00171DED">
              <w:rPr>
                <w:rFonts w:ascii="Times New Roman" w:eastAsia="Calibri" w:hAnsi="Times New Roman" w:cs="Times New Roman"/>
                <w:bCs/>
                <w:iCs/>
                <w:noProof/>
                <w:sz w:val="24"/>
                <w:szCs w:val="20"/>
              </w:rPr>
              <w:t>пространства, вкл. паркове, алеи, места за отдих и др.)</w:t>
            </w:r>
            <w:r w:rsidRPr="00171DED">
              <w:rPr>
                <w:rFonts w:ascii="Times New Roman" w:eastAsia="Calibri" w:hAnsi="Times New Roman" w:cs="Times New Roman"/>
                <w:bCs/>
                <w:iCs/>
                <w:noProof/>
                <w:sz w:val="24"/>
                <w:szCs w:val="20"/>
              </w:rPr>
              <w:t>.</w:t>
            </w:r>
            <w:r w:rsidR="00151D1C" w:rsidRPr="00171DED">
              <w:rPr>
                <w:rFonts w:ascii="Times New Roman" w:eastAsia="Calibri" w:hAnsi="Times New Roman" w:cs="Times New Roman"/>
                <w:bCs/>
                <w:iCs/>
                <w:noProof/>
                <w:sz w:val="24"/>
                <w:szCs w:val="20"/>
              </w:rPr>
              <w:t xml:space="preserve"> </w:t>
            </w:r>
            <w:r w:rsidRPr="00171DED">
              <w:rPr>
                <w:rFonts w:ascii="Times New Roman" w:eastAsia="Calibri" w:hAnsi="Times New Roman" w:cs="Times New Roman"/>
                <w:bCs/>
                <w:iCs/>
                <w:noProof/>
                <w:sz w:val="24"/>
                <w:szCs w:val="20"/>
              </w:rPr>
              <w:t>Ф</w:t>
            </w:r>
            <w:r w:rsidR="00151D1C" w:rsidRPr="00171DED">
              <w:rPr>
                <w:rFonts w:ascii="Times New Roman" w:eastAsia="Calibri" w:hAnsi="Times New Roman" w:cs="Times New Roman"/>
                <w:bCs/>
                <w:iCs/>
                <w:noProof/>
                <w:sz w:val="24"/>
                <w:szCs w:val="20"/>
              </w:rPr>
              <w:t xml:space="preserve">окусът по ПОС е върху качество на въздуха </w:t>
            </w:r>
            <w:r w:rsidR="0063528B" w:rsidRPr="00171DED">
              <w:rPr>
                <w:rFonts w:ascii="Times New Roman" w:eastAsia="Calibri" w:hAnsi="Times New Roman" w:cs="Times New Roman"/>
                <w:bCs/>
                <w:iCs/>
                <w:noProof/>
                <w:sz w:val="24"/>
                <w:szCs w:val="20"/>
              </w:rPr>
              <w:t>чрез</w:t>
            </w:r>
            <w:r w:rsidR="00151D1C" w:rsidRPr="00171DED">
              <w:rPr>
                <w:rFonts w:ascii="Times New Roman" w:eastAsia="Calibri" w:hAnsi="Times New Roman" w:cs="Times New Roman"/>
                <w:bCs/>
                <w:iCs/>
                <w:noProof/>
                <w:sz w:val="24"/>
                <w:szCs w:val="20"/>
              </w:rPr>
              <w:t xml:space="preserve"> инвестиции в растителни видове с най-висока степен на ефективност по отношение улавяне</w:t>
            </w:r>
            <w:r w:rsidR="00FF3D68" w:rsidRPr="00171DED">
              <w:rPr>
                <w:rFonts w:ascii="Times New Roman" w:eastAsia="Calibri" w:hAnsi="Times New Roman" w:cs="Times New Roman"/>
                <w:bCs/>
                <w:iCs/>
                <w:noProof/>
                <w:sz w:val="24"/>
                <w:szCs w:val="20"/>
              </w:rPr>
              <w:t>т</w:t>
            </w:r>
            <w:r w:rsidR="00151D1C" w:rsidRPr="00171DED">
              <w:rPr>
                <w:rFonts w:ascii="Times New Roman" w:eastAsia="Calibri" w:hAnsi="Times New Roman" w:cs="Times New Roman"/>
                <w:bCs/>
                <w:iCs/>
                <w:noProof/>
                <w:sz w:val="24"/>
                <w:szCs w:val="20"/>
              </w:rPr>
              <w:t>о на ФПЧ и пречистването на въздуха по естествен път</w:t>
            </w:r>
            <w:r w:rsidR="00DC6A61" w:rsidRPr="00171DED">
              <w:rPr>
                <w:rFonts w:ascii="Times New Roman" w:eastAsia="Calibri" w:hAnsi="Times New Roman" w:cs="Times New Roman"/>
                <w:bCs/>
                <w:iCs/>
                <w:noProof/>
                <w:sz w:val="24"/>
                <w:szCs w:val="20"/>
              </w:rPr>
              <w:t xml:space="preserve">. </w:t>
            </w:r>
          </w:p>
          <w:p w14:paraId="74C3165D" w14:textId="76D5A2D8" w:rsidR="00930431" w:rsidRPr="00171DED" w:rsidRDefault="00930431" w:rsidP="00930431">
            <w:pPr>
              <w:spacing w:before="120" w:after="120"/>
              <w:jc w:val="both"/>
              <w:rPr>
                <w:rFonts w:ascii="Times New Roman" w:hAnsi="Times New Roman"/>
                <w:sz w:val="24"/>
              </w:rPr>
            </w:pPr>
            <w:r w:rsidRPr="00171DED">
              <w:rPr>
                <w:rFonts w:ascii="Times New Roman" w:hAnsi="Times New Roman"/>
                <w:sz w:val="24"/>
              </w:rPr>
              <w:t>Предвидена е възможност и за подкрепа с финансов инструмент на доставка на машини за почистване на улици, както и друго подходящо оборудване за поддържане чистотата на градските улици в общини с нарушено КАВ. Основна мярка за борба с вторичното запраш</w:t>
            </w:r>
            <w:r w:rsidR="006919C8">
              <w:rPr>
                <w:rFonts w:ascii="Times New Roman" w:hAnsi="Times New Roman"/>
                <w:sz w:val="24"/>
              </w:rPr>
              <w:t>а</w:t>
            </w:r>
            <w:r w:rsidRPr="00171DED">
              <w:rPr>
                <w:rFonts w:ascii="Times New Roman" w:hAnsi="Times New Roman"/>
                <w:sz w:val="24"/>
              </w:rPr>
              <w:t xml:space="preserve">ване е редовното почистване и измиване на уличните настилки. </w:t>
            </w:r>
          </w:p>
          <w:p w14:paraId="274ECDDC" w14:textId="4DFBA703" w:rsidR="000E3CA6" w:rsidRPr="00171DED" w:rsidRDefault="000E3CA6" w:rsidP="000E3CA6">
            <w:pPr>
              <w:spacing w:before="120" w:after="120"/>
              <w:jc w:val="both"/>
              <w:rPr>
                <w:rFonts w:ascii="Times New Roman" w:hAnsi="Times New Roman"/>
                <w:sz w:val="24"/>
              </w:rPr>
            </w:pPr>
            <w:r w:rsidRPr="00171DED">
              <w:rPr>
                <w:rFonts w:ascii="Times New Roman" w:hAnsi="Times New Roman"/>
                <w:sz w:val="24"/>
              </w:rPr>
              <w:t xml:space="preserve">Интервенцията за подобряване на мониторинга на КАВ подкрепя модернизацията на станциите за измерване на качеството на въздуха, неразделна част от Националната </w:t>
            </w:r>
            <w:r w:rsidRPr="00171DED">
              <w:rPr>
                <w:rFonts w:ascii="Times New Roman" w:hAnsi="Times New Roman"/>
                <w:sz w:val="24"/>
              </w:rPr>
              <w:lastRenderedPageBreak/>
              <w:t>система за мониторинг на качеството на въздуха в реално време, управлявана от И</w:t>
            </w:r>
            <w:r w:rsidR="006919C8">
              <w:rPr>
                <w:rFonts w:ascii="Times New Roman" w:hAnsi="Times New Roman"/>
                <w:sz w:val="24"/>
              </w:rPr>
              <w:t>АОС</w:t>
            </w:r>
            <w:r w:rsidRPr="00171DED">
              <w:rPr>
                <w:rFonts w:ascii="Times New Roman" w:hAnsi="Times New Roman"/>
                <w:sz w:val="24"/>
              </w:rPr>
              <w:t>. Значителна част от оборудването е в експлоатация повече от 15 години.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p>
          <w:p w14:paraId="7AE9805B" w14:textId="27D9137A" w:rsidR="000E3CA6" w:rsidRPr="00171DED" w:rsidRDefault="000E3CA6" w:rsidP="000E3CA6">
            <w:pPr>
              <w:spacing w:before="120" w:after="120"/>
              <w:jc w:val="both"/>
              <w:rPr>
                <w:rFonts w:ascii="Times New Roman" w:hAnsi="Times New Roman"/>
                <w:sz w:val="24"/>
              </w:rPr>
            </w:pPr>
            <w:r w:rsidRPr="00171DED">
              <w:rPr>
                <w:rFonts w:ascii="Times New Roman" w:hAnsi="Times New Roman"/>
                <w:sz w:val="24"/>
              </w:rPr>
              <w:t>Подкрепата за разработване/актуализация на документи</w:t>
            </w:r>
            <w:r w:rsidR="00A44408">
              <w:rPr>
                <w:rFonts w:ascii="Times New Roman" w:hAnsi="Times New Roman"/>
                <w:sz w:val="24"/>
              </w:rPr>
              <w:t xml:space="preserve"> и извършване на научни проучвания по отношение на</w:t>
            </w:r>
            <w:r w:rsidRPr="00171DED">
              <w:rPr>
                <w:rFonts w:ascii="Times New Roman" w:hAnsi="Times New Roman"/>
                <w:sz w:val="24"/>
              </w:rPr>
              <w:t xml:space="preserve"> КАВ в България, във връзка с нови европейски и национални политики и стандарти за чистота на въздуха, идентифицирани добри практики, приложими иновационни технологии и др. Аналитичните документи ще подпомогнат работата на специализираните звена в МОСВ и общините, които са пряко отговорни за КАВ, както и УО на ПОС. Разработените стратегически и програмни документи</w:t>
            </w:r>
            <w:r w:rsidR="00A44408">
              <w:rPr>
                <w:rFonts w:ascii="Times New Roman" w:hAnsi="Times New Roman"/>
                <w:sz w:val="24"/>
              </w:rPr>
              <w:t>, както и резултатите от научните изследвания</w:t>
            </w:r>
            <w:r w:rsidRPr="00171DED">
              <w:rPr>
                <w:rFonts w:ascii="Times New Roman" w:hAnsi="Times New Roman"/>
                <w:sz w:val="24"/>
              </w:rPr>
              <w:t xml:space="preserve"> ще бъдат публично достъпни и отворени за ползване от всички заинтересовани страни. </w:t>
            </w:r>
          </w:p>
          <w:p w14:paraId="6B65B962" w14:textId="41D3F1A1" w:rsidR="000E3CA6" w:rsidRPr="00171DED" w:rsidRDefault="00930431" w:rsidP="000E3CA6">
            <w:pPr>
              <w:spacing w:before="120" w:after="120"/>
              <w:jc w:val="both"/>
              <w:rPr>
                <w:rFonts w:ascii="Times New Roman" w:hAnsi="Times New Roman"/>
                <w:sz w:val="24"/>
              </w:rPr>
            </w:pPr>
            <w:r w:rsidRPr="00171DED">
              <w:rPr>
                <w:rFonts w:ascii="Times New Roman" w:hAnsi="Times New Roman"/>
                <w:sz w:val="24"/>
              </w:rPr>
              <w:t>Обучителните мерки</w:t>
            </w:r>
            <w:r w:rsidR="00E9528B" w:rsidRPr="00171DED">
              <w:rPr>
                <w:rFonts w:ascii="Times New Roman" w:hAnsi="Times New Roman"/>
                <w:sz w:val="24"/>
              </w:rPr>
              <w:t xml:space="preserve"> са ключови, предвид факта, че</w:t>
            </w:r>
            <w:r w:rsidRPr="00171DED">
              <w:rPr>
                <w:rFonts w:ascii="Times New Roman" w:hAnsi="Times New Roman"/>
                <w:sz w:val="24"/>
              </w:rPr>
              <w:t xml:space="preserve"> ще бъдат насочени към бенефициентите на програмата, както и към публичните структури</w:t>
            </w:r>
            <w:r w:rsidR="00E9528B" w:rsidRPr="00171DED">
              <w:rPr>
                <w:rFonts w:ascii="Times New Roman" w:hAnsi="Times New Roman"/>
                <w:sz w:val="24"/>
              </w:rPr>
              <w:t>,</w:t>
            </w:r>
            <w:r w:rsidRPr="00171DED">
              <w:rPr>
                <w:rFonts w:ascii="Times New Roman" w:hAnsi="Times New Roman"/>
                <w:sz w:val="24"/>
              </w:rPr>
              <w:t xml:space="preserve"> ангажирани с разработване и изпълнение  политиките и дейностите свързани с КАВ,  включително и с контрола по реализацията им.</w:t>
            </w:r>
            <w:r w:rsidR="00E9528B" w:rsidRPr="00171DED">
              <w:rPr>
                <w:rFonts w:ascii="Times New Roman" w:hAnsi="Times New Roman"/>
                <w:sz w:val="24"/>
              </w:rPr>
              <w:t xml:space="preserve"> </w:t>
            </w:r>
            <w:r w:rsidR="000E3CA6" w:rsidRPr="00171DED">
              <w:rPr>
                <w:rFonts w:ascii="Times New Roman" w:hAnsi="Times New Roman"/>
                <w:sz w:val="24"/>
              </w:rPr>
              <w:t xml:space="preserve">Ще бъде предоставена възможност за сътрудничество/обмяна на опит с организации от други страни членки. </w:t>
            </w:r>
          </w:p>
          <w:p w14:paraId="48A46506" w14:textId="495F62FF" w:rsidR="00930431" w:rsidRPr="00171DED" w:rsidRDefault="00930431" w:rsidP="00E9528B">
            <w:pPr>
              <w:spacing w:before="120" w:after="120"/>
              <w:jc w:val="both"/>
              <w:rPr>
                <w:rFonts w:ascii="Times New Roman" w:hAnsi="Times New Roman"/>
                <w:sz w:val="24"/>
              </w:rPr>
            </w:pPr>
            <w:r w:rsidRPr="00171DED">
              <w:rPr>
                <w:rFonts w:ascii="Times New Roman" w:hAnsi="Times New Roman"/>
                <w:sz w:val="24"/>
              </w:rPr>
              <w:t>Информационно-образователните мерки ще бъдат насочени както към широката общественост, така и към конкретни целеви групи като граждани в общините с нарушено КАВ, младежи и ученици. От ключово значение е промяната в мисленето на гражданите, която да доведе до промяна в цялостното им отношение и поведение спрямо проблемите на КАВ. Съзнанието на хората, че инвестициите в чист въздух са инвестиции в здравето на техните семейства и за по-добро качеството на живот, ще стимулира отказа от употребата на отоплителни уреди на твърдо гориво и високоемисионни дизелови автомобили.</w:t>
            </w:r>
          </w:p>
        </w:tc>
      </w:tr>
    </w:tbl>
    <w:p w14:paraId="3D08C378" w14:textId="77777777" w:rsidR="002D367A" w:rsidRPr="00171DED" w:rsidRDefault="002D367A" w:rsidP="002D367A">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Списък на планираните операции със стратегическо значение - член 17, параграф 3, буква г), i):</w:t>
      </w:r>
    </w:p>
    <w:p w14:paraId="143FA3BE" w14:textId="77777777" w:rsidR="002D367A" w:rsidRPr="00171DED" w:rsidRDefault="002D367A" w:rsidP="002D367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68797EFF" w14:textId="0E7E2FAD" w:rsidR="002D367A" w:rsidRPr="00171DED" w:rsidRDefault="000B1DCA" w:rsidP="0080335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Проектите за постепенно </w:t>
      </w:r>
      <w:r w:rsidR="002D367A" w:rsidRPr="00171DED">
        <w:rPr>
          <w:rFonts w:ascii="Times New Roman" w:eastAsia="Calibri" w:hAnsi="Times New Roman" w:cs="Times New Roman"/>
          <w:iCs/>
          <w:noProof/>
          <w:sz w:val="24"/>
          <w:szCs w:val="20"/>
          <w:lang w:val="bg-BG" w:eastAsia="bg-BG" w:bidi="bg-BG"/>
        </w:rPr>
        <w:t>премахване на използването на отоплителни уреди на твърдо гориво</w:t>
      </w:r>
      <w:r w:rsidR="00B64D28" w:rsidRPr="00171DED">
        <w:rPr>
          <w:rFonts w:ascii="Times New Roman" w:eastAsia="Calibri" w:hAnsi="Times New Roman" w:cs="Times New Roman"/>
          <w:iCs/>
          <w:noProof/>
          <w:sz w:val="24"/>
          <w:szCs w:val="20"/>
          <w:lang w:val="bg-BG" w:eastAsia="bg-BG" w:bidi="bg-BG"/>
        </w:rPr>
        <w:t xml:space="preserve">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w:t>
      </w:r>
      <w:r w:rsidR="00803356" w:rsidRPr="00171DED">
        <w:rPr>
          <w:rFonts w:ascii="Times New Roman" w:eastAsia="Calibri" w:hAnsi="Times New Roman" w:cs="Times New Roman"/>
          <w:iCs/>
          <w:noProof/>
          <w:sz w:val="24"/>
          <w:szCs w:val="20"/>
          <w:lang w:val="bg-BG" w:eastAsia="bg-BG" w:bidi="bg-BG"/>
        </w:rPr>
        <w:t xml:space="preserve">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00803356" w:rsidRPr="00171DED">
        <w:rPr>
          <w:rFonts w:ascii="Times New Roman" w:hAnsi="Times New Roman"/>
          <w:sz w:val="24"/>
          <w:szCs w:val="24"/>
          <w:lang w:val="bg-BG"/>
        </w:rPr>
        <w:t>Решение на Съда на Европейския съюз по дело C-488/15 от 5 април 2017 г.</w:t>
      </w:r>
      <w:r w:rsidR="00B64D28" w:rsidRPr="00171DED">
        <w:rPr>
          <w:rFonts w:ascii="Times New Roman" w:eastAsia="Calibri" w:hAnsi="Times New Roman" w:cs="Times New Roman"/>
          <w:iCs/>
          <w:noProof/>
          <w:sz w:val="24"/>
          <w:szCs w:val="20"/>
          <w:lang w:val="bg-BG" w:eastAsia="bg-BG" w:bidi="bg-BG"/>
        </w:rPr>
        <w:t xml:space="preserve"> </w:t>
      </w:r>
      <w:r w:rsidR="00803356" w:rsidRPr="00171DED">
        <w:rPr>
          <w:rFonts w:ascii="Times New Roman" w:eastAsia="Calibri" w:hAnsi="Times New Roman" w:cs="Times New Roman"/>
          <w:iCs/>
          <w:noProof/>
          <w:sz w:val="24"/>
          <w:szCs w:val="20"/>
          <w:lang w:val="bg-BG" w:eastAsia="bg-BG" w:bidi="bg-BG"/>
        </w:rPr>
        <w:t>Тези проекти са</w:t>
      </w:r>
      <w:r w:rsidR="00B64D28" w:rsidRPr="00171DED">
        <w:rPr>
          <w:rFonts w:ascii="Times New Roman" w:eastAsia="Calibri" w:hAnsi="Times New Roman" w:cs="Times New Roman"/>
          <w:iCs/>
          <w:noProof/>
          <w:sz w:val="24"/>
          <w:szCs w:val="20"/>
          <w:lang w:val="bg-BG" w:eastAsia="bg-BG" w:bidi="bg-BG"/>
        </w:rPr>
        <w:t xml:space="preserve"> с ключов принос за постигането на целите на ПОС по отношение постигането на </w:t>
      </w:r>
      <w:r w:rsidR="002D367A" w:rsidRPr="00171DED">
        <w:rPr>
          <w:rFonts w:ascii="Times New Roman" w:eastAsia="Calibri" w:hAnsi="Times New Roman" w:cs="Times New Roman"/>
          <w:iCs/>
          <w:noProof/>
          <w:sz w:val="24"/>
          <w:szCs w:val="20"/>
          <w:lang w:val="bg-BG" w:eastAsia="bg-BG" w:bidi="bg-BG"/>
        </w:rPr>
        <w:t>стандарти за качество на въздуха, тъй като тя е пряко свързана със здравето на гражданите и качеството на живот.</w:t>
      </w:r>
    </w:p>
    <w:p w14:paraId="6EF80C9D" w14:textId="0E9018FD" w:rsidR="002D367A" w:rsidRPr="00171DED" w:rsidRDefault="00803356" w:rsidP="0025204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Други проекти, които биха могли да бъдат изведени като операции със стратегическо значение са планираните пилотни </w:t>
      </w:r>
      <w:r w:rsidR="00252048" w:rsidRPr="00171DED">
        <w:rPr>
          <w:rFonts w:ascii="Times New Roman" w:eastAsia="Calibri" w:hAnsi="Times New Roman" w:cs="Times New Roman"/>
          <w:iCs/>
          <w:noProof/>
          <w:sz w:val="24"/>
          <w:szCs w:val="20"/>
          <w:lang w:val="bg-BG" w:eastAsia="bg-BG" w:bidi="bg-BG"/>
        </w:rPr>
        <w:t>инвестиции в отоплителни системи, използващи водородни технол</w:t>
      </w:r>
      <w:r w:rsidR="00B02F5C" w:rsidRPr="00171DED">
        <w:rPr>
          <w:rFonts w:ascii="Times New Roman" w:eastAsia="Calibri" w:hAnsi="Times New Roman" w:cs="Times New Roman"/>
          <w:iCs/>
          <w:noProof/>
          <w:sz w:val="24"/>
          <w:szCs w:val="20"/>
          <w:lang w:val="bg-BG" w:eastAsia="bg-BG" w:bidi="bg-BG"/>
        </w:rPr>
        <w:t>о</w:t>
      </w:r>
      <w:r w:rsidR="00252048" w:rsidRPr="00171DED">
        <w:rPr>
          <w:rFonts w:ascii="Times New Roman" w:eastAsia="Calibri" w:hAnsi="Times New Roman" w:cs="Times New Roman"/>
          <w:iCs/>
          <w:noProof/>
          <w:sz w:val="24"/>
          <w:szCs w:val="20"/>
          <w:lang w:val="bg-BG" w:eastAsia="bg-BG" w:bidi="bg-BG"/>
        </w:rPr>
        <w:t>гии –</w:t>
      </w:r>
      <w:r w:rsidR="002D367A" w:rsidRPr="00171DED">
        <w:rPr>
          <w:rFonts w:ascii="Times New Roman" w:eastAsia="Calibri" w:hAnsi="Times New Roman" w:cs="Times New Roman"/>
          <w:iCs/>
          <w:noProof/>
          <w:sz w:val="24"/>
          <w:szCs w:val="20"/>
          <w:lang w:val="bg-BG" w:eastAsia="bg-BG" w:bidi="bg-BG"/>
        </w:rPr>
        <w:t xml:space="preserve"> </w:t>
      </w:r>
      <w:r w:rsidR="00252048" w:rsidRPr="00171DED">
        <w:rPr>
          <w:rFonts w:ascii="Times New Roman" w:eastAsia="Calibri" w:hAnsi="Times New Roman" w:cs="Times New Roman"/>
          <w:iCs/>
          <w:noProof/>
          <w:sz w:val="24"/>
          <w:szCs w:val="20"/>
          <w:lang w:val="bg-BG" w:eastAsia="bg-BG" w:bidi="bg-BG"/>
        </w:rPr>
        <w:t>като а</w:t>
      </w:r>
      <w:r w:rsidR="002D367A" w:rsidRPr="00171DED">
        <w:rPr>
          <w:rFonts w:ascii="Times New Roman" w:eastAsia="Calibri" w:hAnsi="Times New Roman" w:cs="Times New Roman"/>
          <w:iCs/>
          <w:noProof/>
          <w:sz w:val="24"/>
          <w:szCs w:val="20"/>
          <w:lang w:val="bg-BG" w:eastAsia="bg-BG" w:bidi="bg-BG"/>
        </w:rPr>
        <w:t>лтернативн</w:t>
      </w:r>
      <w:r w:rsidR="00252048" w:rsidRPr="00171DED">
        <w:rPr>
          <w:rFonts w:ascii="Times New Roman" w:eastAsia="Calibri" w:hAnsi="Times New Roman" w:cs="Times New Roman"/>
          <w:iCs/>
          <w:noProof/>
          <w:sz w:val="24"/>
          <w:szCs w:val="20"/>
          <w:lang w:val="bg-BG" w:eastAsia="bg-BG" w:bidi="bg-BG"/>
        </w:rPr>
        <w:t>а</w:t>
      </w:r>
      <w:r w:rsidR="002D367A" w:rsidRPr="00171DED">
        <w:rPr>
          <w:rFonts w:ascii="Times New Roman" w:eastAsia="Calibri" w:hAnsi="Times New Roman" w:cs="Times New Roman"/>
          <w:iCs/>
          <w:noProof/>
          <w:sz w:val="24"/>
          <w:szCs w:val="20"/>
          <w:lang w:val="bg-BG" w:eastAsia="bg-BG" w:bidi="bg-BG"/>
        </w:rPr>
        <w:t xml:space="preserve"> опци</w:t>
      </w:r>
      <w:r w:rsidR="00252048" w:rsidRPr="00171DED">
        <w:rPr>
          <w:rFonts w:ascii="Times New Roman" w:eastAsia="Calibri" w:hAnsi="Times New Roman" w:cs="Times New Roman"/>
          <w:iCs/>
          <w:noProof/>
          <w:sz w:val="24"/>
          <w:szCs w:val="20"/>
          <w:lang w:val="bg-BG" w:eastAsia="bg-BG" w:bidi="bg-BG"/>
        </w:rPr>
        <w:t>я</w:t>
      </w:r>
      <w:r w:rsidR="002D367A" w:rsidRPr="00171DED">
        <w:rPr>
          <w:rFonts w:ascii="Times New Roman" w:eastAsia="Calibri" w:hAnsi="Times New Roman" w:cs="Times New Roman"/>
          <w:iCs/>
          <w:noProof/>
          <w:sz w:val="24"/>
          <w:szCs w:val="20"/>
          <w:lang w:val="bg-BG" w:eastAsia="bg-BG" w:bidi="bg-BG"/>
        </w:rPr>
        <w:t xml:space="preserve"> за битово отопление</w:t>
      </w:r>
      <w:r w:rsidR="00252048" w:rsidRPr="00171DED">
        <w:rPr>
          <w:rFonts w:ascii="Times New Roman" w:eastAsia="Calibri" w:hAnsi="Times New Roman" w:cs="Times New Roman"/>
          <w:iCs/>
          <w:noProof/>
          <w:sz w:val="24"/>
          <w:szCs w:val="20"/>
          <w:lang w:val="bg-BG" w:eastAsia="bg-BG" w:bidi="bg-BG"/>
        </w:rPr>
        <w:t xml:space="preserve"> на твърдо гориво.</w:t>
      </w:r>
    </w:p>
    <w:p w14:paraId="3E2B00B8" w14:textId="3C38ED65"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59488286" w14:textId="122E338C" w:rsidR="00056133" w:rsidRPr="00171DED"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Текстово поле [1 000]</w:t>
      </w:r>
      <w:r w:rsidR="00BB64D1" w:rsidRPr="00171DED">
        <w:rPr>
          <w:rFonts w:ascii="Times New Roman" w:eastAsia="Calibri" w:hAnsi="Times New Roman" w:cs="Times New Roman"/>
          <w:i/>
          <w:noProof/>
          <w:sz w:val="24"/>
          <w:szCs w:val="20"/>
          <w:lang w:val="bg-BG" w:eastAsia="bg-BG" w:bidi="bg-BG"/>
        </w:rPr>
        <w:t xml:space="preserve"> </w:t>
      </w:r>
      <w:r w:rsidR="00FB68C8" w:rsidRPr="00171DED">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r w:rsidR="003240FF">
        <w:rPr>
          <w:rFonts w:ascii="Times New Roman" w:eastAsia="Calibri" w:hAnsi="Times New Roman" w:cs="Times New Roman"/>
          <w:iCs/>
          <w:noProof/>
          <w:sz w:val="24"/>
          <w:szCs w:val="20"/>
          <w:lang w:val="bg-BG" w:eastAsia="bg-BG" w:bidi="bg-BG"/>
        </w:rPr>
        <w:t>на</w:t>
      </w:r>
      <w:r w:rsidR="00FB68C8" w:rsidRPr="00171DED">
        <w:rPr>
          <w:rFonts w:ascii="Times New Roman" w:eastAsia="Calibri" w:hAnsi="Times New Roman" w:cs="Times New Roman"/>
          <w:iCs/>
          <w:noProof/>
          <w:sz w:val="24"/>
          <w:szCs w:val="20"/>
          <w:lang w:val="bg-BG" w:eastAsia="bg-BG" w:bidi="bg-BG"/>
        </w:rPr>
        <w:t xml:space="preserve"> политиките и дейностите свързани с КАВ,  включително и с контрола по реализацията им</w:t>
      </w:r>
      <w:r w:rsidR="006919C8">
        <w:rPr>
          <w:rFonts w:ascii="Times New Roman" w:eastAsia="Calibri" w:hAnsi="Times New Roman" w:cs="Times New Roman"/>
          <w:iCs/>
          <w:noProof/>
          <w:sz w:val="24"/>
          <w:szCs w:val="20"/>
          <w:lang w:val="bg-BG" w:eastAsia="bg-BG" w:bidi="bg-BG"/>
        </w:rPr>
        <w:t>,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2C40B8" w:rsidRPr="00171DED">
        <w:rPr>
          <w:rFonts w:ascii="Times New Roman" w:eastAsia="Calibri" w:hAnsi="Times New Roman" w:cs="Times New Roman"/>
          <w:iCs/>
          <w:noProof/>
          <w:sz w:val="24"/>
          <w:szCs w:val="20"/>
          <w:lang w:val="bg-BG" w:eastAsia="bg-BG" w:bidi="bg-BG"/>
        </w:rPr>
        <w:t>.</w:t>
      </w:r>
      <w:r w:rsidR="006919C8">
        <w:rPr>
          <w:rFonts w:ascii="Times New Roman" w:eastAsia="Calibri" w:hAnsi="Times New Roman" w:cs="Times New Roman"/>
          <w:iCs/>
          <w:noProof/>
          <w:sz w:val="24"/>
          <w:szCs w:val="20"/>
          <w:lang w:val="bg-BG" w:eastAsia="bg-BG" w:bidi="bg-BG"/>
        </w:rPr>
        <w:t xml:space="preserve"> Потенциални допустими бенефициенти са общини, ИАОС, </w:t>
      </w:r>
      <w:r w:rsidR="006919C8" w:rsidRPr="006919C8">
        <w:rPr>
          <w:rFonts w:ascii="Times New Roman" w:eastAsia="Calibri" w:hAnsi="Times New Roman" w:cs="Times New Roman"/>
          <w:iCs/>
          <w:noProof/>
          <w:sz w:val="24"/>
          <w:szCs w:val="20"/>
          <w:lang w:val="bg-BG" w:eastAsia="bg-BG" w:bidi="bg-BG"/>
        </w:rPr>
        <w:t>юридически лица с</w:t>
      </w:r>
      <w:r w:rsidR="006919C8">
        <w:rPr>
          <w:rFonts w:ascii="Times New Roman" w:eastAsia="Calibri" w:hAnsi="Times New Roman" w:cs="Times New Roman"/>
          <w:iCs/>
          <w:noProof/>
          <w:sz w:val="24"/>
          <w:szCs w:val="20"/>
          <w:lang w:val="bg-BG" w:eastAsia="bg-BG" w:bidi="bg-BG"/>
        </w:rPr>
        <w:t>ъс</w:t>
      </w:r>
      <w:r w:rsidR="006919C8" w:rsidRPr="006919C8">
        <w:rPr>
          <w:rFonts w:ascii="Times New Roman" w:eastAsia="Calibri" w:hAnsi="Times New Roman" w:cs="Times New Roman"/>
          <w:iCs/>
          <w:noProof/>
          <w:sz w:val="24"/>
          <w:szCs w:val="20"/>
          <w:lang w:val="bg-BG" w:eastAsia="bg-BG" w:bidi="bg-BG"/>
        </w:rPr>
        <w:t xml:space="preserve"> </w:t>
      </w:r>
      <w:r w:rsidR="006919C8" w:rsidRPr="00E8400D">
        <w:rPr>
          <w:rFonts w:ascii="Times New Roman" w:eastAsia="Calibri" w:hAnsi="Times New Roman" w:cs="Times New Roman"/>
          <w:iCs/>
          <w:noProof/>
          <w:sz w:val="24"/>
          <w:szCs w:val="20"/>
          <w:lang w:val="bg-BG" w:eastAsia="bg-BG" w:bidi="bg-BG"/>
        </w:rPr>
        <w:t>стопанска</w:t>
      </w:r>
      <w:r w:rsidR="006919C8" w:rsidRPr="006919C8">
        <w:rPr>
          <w:rFonts w:ascii="Times New Roman" w:eastAsia="Calibri" w:hAnsi="Times New Roman" w:cs="Times New Roman"/>
          <w:iCs/>
          <w:noProof/>
          <w:sz w:val="24"/>
          <w:szCs w:val="20"/>
          <w:lang w:val="bg-BG" w:eastAsia="bg-BG" w:bidi="bg-BG"/>
        </w:rPr>
        <w:t xml:space="preserve"> цел</w:t>
      </w:r>
      <w:r w:rsidR="006919C8">
        <w:rPr>
          <w:rFonts w:ascii="Times New Roman" w:eastAsia="Calibri" w:hAnsi="Times New Roman" w:cs="Times New Roman"/>
          <w:iCs/>
          <w:noProof/>
          <w:sz w:val="24"/>
          <w:szCs w:val="20"/>
          <w:lang w:val="bg-BG" w:eastAsia="bg-BG" w:bidi="bg-BG"/>
        </w:rPr>
        <w:t xml:space="preserve"> (във връзка с мерки за вторично запрашаване),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p>
    <w:p w14:paraId="49F9FB4E" w14:textId="697B2DAF" w:rsidR="005575C3" w:rsidRPr="00171DED" w:rsidRDefault="005575C3" w:rsidP="005575C3">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6A40D0" w:rsidRPr="00171DED">
        <w:rPr>
          <w:rFonts w:ascii="Times New Roman" w:eastAsia="Calibri" w:hAnsi="Times New Roman" w:cs="Times New Roman"/>
          <w:i/>
          <w:noProof/>
          <w:sz w:val="24"/>
          <w:szCs w:val="20"/>
          <w:lang w:val="bg-BG" w:eastAsia="bg-BG" w:bidi="bg-BG"/>
        </w:rPr>
        <w:t>(d)(iiia) от ОР</w:t>
      </w:r>
    </w:p>
    <w:tbl>
      <w:tblPr>
        <w:tblStyle w:val="TableGrid"/>
        <w:tblW w:w="0" w:type="auto"/>
        <w:tblLook w:val="04A0" w:firstRow="1" w:lastRow="0" w:firstColumn="1" w:lastColumn="0" w:noHBand="0" w:noVBand="1"/>
      </w:tblPr>
      <w:tblGrid>
        <w:gridCol w:w="9062"/>
      </w:tblGrid>
      <w:tr w:rsidR="005575C3" w:rsidRPr="0010575B" w14:paraId="7ECCD380" w14:textId="77777777" w:rsidTr="007B49B2">
        <w:tc>
          <w:tcPr>
            <w:tcW w:w="9062" w:type="dxa"/>
          </w:tcPr>
          <w:p w14:paraId="201D4A7A" w14:textId="77777777" w:rsidR="006A40D0" w:rsidRPr="00171DED" w:rsidRDefault="005575C3" w:rsidP="00B94321">
            <w:pPr>
              <w:spacing w:before="120"/>
              <w:jc w:val="both"/>
            </w:pPr>
            <w:r w:rsidRPr="00171DED">
              <w:rPr>
                <w:rFonts w:ascii="Times New Roman" w:eastAsia="Calibri" w:hAnsi="Times New Roman" w:cs="Times New Roman"/>
                <w:i/>
                <w:noProof/>
                <w:sz w:val="24"/>
                <w:szCs w:val="20"/>
              </w:rPr>
              <w:t>Текстово поле [2 000]</w:t>
            </w:r>
            <w:r w:rsidR="001F2B9B" w:rsidRPr="00171DED">
              <w:t xml:space="preserve"> </w:t>
            </w:r>
          </w:p>
          <w:p w14:paraId="162AB0C9" w14:textId="6FAAEA65" w:rsidR="005575C3" w:rsidRPr="00171DED" w:rsidRDefault="001F2B9B" w:rsidP="00B94321">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1B5B7FD8" w:rsidR="00D240DA" w:rsidRPr="00171DED" w:rsidRDefault="00056133" w:rsidP="00D240DA">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Представяне та </w:t>
      </w:r>
      <w:r w:rsidR="00D240DA" w:rsidRPr="00171DED">
        <w:rPr>
          <w:rFonts w:ascii="Times New Roman" w:eastAsia="Calibri" w:hAnsi="Times New Roman" w:cs="Times New Roman"/>
          <w:i/>
          <w:noProof/>
          <w:sz w:val="24"/>
          <w:szCs w:val="20"/>
          <w:lang w:val="bg-BG" w:eastAsia="bg-BG" w:bidi="bg-BG"/>
        </w:rPr>
        <w:t>Специфични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0DB53AC4" w14:textId="77777777" w:rsidR="0020475A" w:rsidRPr="00171DED"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70AA21C9" w14:textId="068FF2BD" w:rsidR="0020475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171DED">
        <w:rPr>
          <w:rFonts w:ascii="Times New Roman" w:eastAsia="Calibri" w:hAnsi="Times New Roman" w:cs="Times New Roman"/>
          <w:iCs/>
          <w:noProof/>
          <w:sz w:val="24"/>
          <w:szCs w:val="20"/>
          <w:lang w:val="bg-BG" w:eastAsia="bg-BG" w:bidi="bg-BG"/>
        </w:rPr>
        <w:t xml:space="preserve"> </w:t>
      </w:r>
    </w:p>
    <w:p w14:paraId="08E64D35" w14:textId="5B5FFD06" w:rsidR="00D240D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2D367A" w:rsidRPr="00171DED">
        <w:rPr>
          <w:rFonts w:ascii="Times New Roman" w:eastAsia="Calibri" w:hAnsi="Times New Roman" w:cs="Times New Roman"/>
          <w:iCs/>
          <w:noProof/>
          <w:sz w:val="24"/>
          <w:szCs w:val="20"/>
          <w:lang w:val="bg-BG" w:eastAsia="bg-BG" w:bidi="bg-BG"/>
        </w:rPr>
        <w:t>ива</w:t>
      </w:r>
      <w:r w:rsidR="0064512D" w:rsidRPr="00171DED">
        <w:rPr>
          <w:rFonts w:ascii="Times New Roman" w:eastAsia="Calibri" w:hAnsi="Times New Roman" w:cs="Times New Roman"/>
          <w:iCs/>
          <w:noProof/>
          <w:sz w:val="24"/>
          <w:szCs w:val="20"/>
          <w:lang w:val="bg-BG" w:eastAsia="bg-BG" w:bidi="bg-BG"/>
        </w:rPr>
        <w:t xml:space="preserve"> </w:t>
      </w:r>
      <w:r w:rsidR="002D367A" w:rsidRPr="00171DED">
        <w:rPr>
          <w:rFonts w:ascii="Times New Roman" w:eastAsia="Calibri" w:hAnsi="Times New Roman" w:cs="Times New Roman"/>
          <w:iCs/>
          <w:noProof/>
          <w:sz w:val="24"/>
          <w:szCs w:val="20"/>
          <w:lang w:val="bg-BG" w:eastAsia="bg-BG" w:bidi="bg-BG"/>
        </w:rPr>
        <w:t>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6919C8">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171DED"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w:t>
      </w:r>
      <w:r w:rsidR="00155F76"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74312339"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5575C3" w:rsidRPr="00171DED">
        <w:rPr>
          <w:rFonts w:ascii="Times New Roman" w:eastAsia="Calibri" w:hAnsi="Times New Roman" w:cs="Times New Roman"/>
          <w:i/>
          <w:noProof/>
          <w:sz w:val="24"/>
          <w:szCs w:val="20"/>
          <w:lang w:val="bg-BG" w:eastAsia="bg-BG" w:bidi="bg-BG"/>
        </w:rPr>
        <w:t>, транс-гранично</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p>
    <w:p w14:paraId="774840B3" w14:textId="5AC72729" w:rsidR="00EA53FC" w:rsidRPr="00584F2A" w:rsidRDefault="00D240DA" w:rsidP="00D240D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Текстово поле [2 000]</w:t>
      </w:r>
      <w:r w:rsidR="00D00AA7" w:rsidRPr="00171DED">
        <w:rPr>
          <w:rFonts w:ascii="Times New Roman" w:eastAsia="Calibri" w:hAnsi="Times New Roman" w:cs="Times New Roman"/>
          <w:i/>
          <w:noProof/>
          <w:sz w:val="24"/>
          <w:szCs w:val="20"/>
          <w:lang w:val="bg-BG" w:eastAsia="bg-BG" w:bidi="bg-BG"/>
        </w:rPr>
        <w:t xml:space="preserve"> </w:t>
      </w:r>
      <w:r w:rsidR="00930431" w:rsidRPr="00171DED">
        <w:rPr>
          <w:rFonts w:ascii="Times New Roman" w:eastAsia="Calibri" w:hAnsi="Times New Roman" w:cs="Times New Roman"/>
          <w:iCs/>
          <w:noProof/>
          <w:sz w:val="24"/>
          <w:szCs w:val="20"/>
          <w:lang w:val="bg-BG" w:eastAsia="bg-BG" w:bidi="bg-BG"/>
        </w:rPr>
        <w:t xml:space="preserve"> </w:t>
      </w:r>
      <w:r w:rsidR="002D6636" w:rsidRPr="00171DED">
        <w:rPr>
          <w:rFonts w:ascii="Times New Roman" w:hAnsi="Times New Roman"/>
          <w:sz w:val="24"/>
          <w:lang w:val="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w:t>
      </w:r>
      <w:r w:rsidR="00930431" w:rsidRPr="00171DED">
        <w:rPr>
          <w:rFonts w:ascii="Times New Roman" w:eastAsia="Calibri" w:hAnsi="Times New Roman" w:cs="Times New Roman"/>
          <w:iCs/>
          <w:noProof/>
          <w:sz w:val="24"/>
          <w:szCs w:val="20"/>
          <w:lang w:val="bg-BG" w:eastAsia="bg-BG" w:bidi="bg-BG"/>
        </w:rPr>
        <w:t xml:space="preserve">УО на ПОС ще проучи възможността </w:t>
      </w:r>
      <w:r w:rsidR="002D6636" w:rsidRPr="00171DED">
        <w:rPr>
          <w:rFonts w:ascii="Times New Roman" w:eastAsia="Calibri" w:hAnsi="Times New Roman" w:cs="Times New Roman"/>
          <w:iCs/>
          <w:noProof/>
          <w:sz w:val="24"/>
          <w:szCs w:val="20"/>
          <w:lang w:val="bg-BG" w:eastAsia="bg-BG" w:bidi="bg-BG"/>
        </w:rPr>
        <w:t>за</w:t>
      </w:r>
      <w:r w:rsidR="00930431" w:rsidRPr="00171DED">
        <w:rPr>
          <w:rFonts w:ascii="Times New Roman" w:eastAsia="Calibri" w:hAnsi="Times New Roman" w:cs="Times New Roman"/>
          <w:iCs/>
          <w:noProof/>
          <w:sz w:val="24"/>
          <w:szCs w:val="20"/>
          <w:lang w:val="bg-BG" w:eastAsia="bg-BG" w:bidi="bg-BG"/>
        </w:rPr>
        <w:t xml:space="preserve"> насърч</w:t>
      </w:r>
      <w:r w:rsidR="002D6636" w:rsidRPr="00171DED">
        <w:rPr>
          <w:rFonts w:ascii="Times New Roman" w:eastAsia="Calibri" w:hAnsi="Times New Roman" w:cs="Times New Roman"/>
          <w:iCs/>
          <w:noProof/>
          <w:sz w:val="24"/>
          <w:szCs w:val="20"/>
          <w:lang w:val="bg-BG" w:eastAsia="bg-BG" w:bidi="bg-BG"/>
        </w:rPr>
        <w:t>аване</w:t>
      </w:r>
      <w:r w:rsidR="00930431" w:rsidRPr="00171DED">
        <w:rPr>
          <w:rFonts w:ascii="Times New Roman" w:eastAsia="Calibri" w:hAnsi="Times New Roman" w:cs="Times New Roman"/>
          <w:iCs/>
          <w:noProof/>
          <w:sz w:val="24"/>
          <w:szCs w:val="20"/>
          <w:lang w:val="bg-BG" w:eastAsia="bg-BG" w:bidi="bg-BG"/>
        </w:rPr>
        <w:t xml:space="preserve"> </w:t>
      </w:r>
      <w:r w:rsidR="00C90E14" w:rsidRPr="00171DED">
        <w:rPr>
          <w:rFonts w:ascii="Times New Roman" w:eastAsia="Calibri" w:hAnsi="Times New Roman" w:cs="Times New Roman"/>
          <w:iCs/>
          <w:noProof/>
          <w:sz w:val="24"/>
          <w:szCs w:val="20"/>
          <w:lang w:val="bg-BG" w:eastAsia="bg-BG" w:bidi="bg-BG"/>
        </w:rPr>
        <w:t xml:space="preserve">опциите за </w:t>
      </w:r>
      <w:r w:rsidR="00930431" w:rsidRPr="00171DED">
        <w:rPr>
          <w:rFonts w:ascii="Times New Roman" w:eastAsia="Calibri" w:hAnsi="Times New Roman" w:cs="Times New Roman"/>
          <w:iCs/>
          <w:noProof/>
          <w:sz w:val="24"/>
          <w:szCs w:val="20"/>
          <w:lang w:val="bg-BG" w:eastAsia="bg-BG" w:bidi="bg-BG"/>
        </w:rPr>
        <w:t xml:space="preserve">сътрудничество с </w:t>
      </w:r>
      <w:r w:rsidR="002D6636" w:rsidRPr="00171DED">
        <w:rPr>
          <w:rFonts w:ascii="Times New Roman" w:eastAsia="Calibri" w:hAnsi="Times New Roman" w:cs="Times New Roman"/>
          <w:iCs/>
          <w:noProof/>
          <w:sz w:val="24"/>
          <w:szCs w:val="20"/>
          <w:lang w:val="bg-BG" w:eastAsia="bg-BG" w:bidi="bg-BG"/>
        </w:rPr>
        <w:t>партньори</w:t>
      </w:r>
      <w:r w:rsidR="00930431" w:rsidRPr="00171DED">
        <w:rPr>
          <w:rFonts w:ascii="Times New Roman" w:eastAsia="Calibri" w:hAnsi="Times New Roman" w:cs="Times New Roman"/>
          <w:iCs/>
          <w:noProof/>
          <w:sz w:val="24"/>
          <w:szCs w:val="20"/>
          <w:lang w:val="bg-BG" w:eastAsia="bg-BG" w:bidi="bg-BG"/>
        </w:rPr>
        <w:t xml:space="preserve"> от поне една държава членка чрез трансграничн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w:t>
      </w:r>
      <w:r w:rsidR="002D6636" w:rsidRPr="00171DED">
        <w:rPr>
          <w:rFonts w:ascii="Times New Roman" w:eastAsia="Calibri" w:hAnsi="Times New Roman" w:cs="Times New Roman"/>
          <w:iCs/>
          <w:noProof/>
          <w:sz w:val="24"/>
          <w:szCs w:val="20"/>
          <w:lang w:val="bg-BG" w:eastAsia="bg-BG" w:bidi="bg-BG"/>
        </w:rPr>
        <w:t>между</w:t>
      </w:r>
      <w:r w:rsidR="00930431" w:rsidRPr="00171DED">
        <w:rPr>
          <w:rFonts w:ascii="Times New Roman" w:eastAsia="Calibri" w:hAnsi="Times New Roman" w:cs="Times New Roman"/>
          <w:iCs/>
          <w:noProof/>
          <w:sz w:val="24"/>
          <w:szCs w:val="20"/>
          <w:lang w:val="bg-BG" w:eastAsia="bg-BG" w:bidi="bg-BG"/>
        </w:rPr>
        <w:t>регионалн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или транс-националн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дейности и по-конкретно – подкрепа на обмяна на опит и добри практики, ако е приложимо.</w:t>
      </w:r>
    </w:p>
    <w:p w14:paraId="6D19C655" w14:textId="068D232A"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056133" w:rsidRPr="00171DED">
        <w:rPr>
          <w:rFonts w:ascii="Times New Roman" w:eastAsia="Calibri" w:hAnsi="Times New Roman" w:cs="Times New Roman"/>
          <w:i/>
          <w:noProof/>
          <w:sz w:val="24"/>
          <w:szCs w:val="20"/>
          <w:lang w:val="bg-BG" w:eastAsia="bg-BG" w:bidi="bg-BG"/>
        </w:rPr>
        <w:t xml:space="preserve"> от ОР</w:t>
      </w:r>
    </w:p>
    <w:p w14:paraId="3AD2F614" w14:textId="636E063A" w:rsidR="00343A8E" w:rsidRPr="00171DED"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95408C" w:rsidRPr="00171DED">
        <w:rPr>
          <w:rFonts w:ascii="Times New Roman" w:eastAsia="Calibri" w:hAnsi="Times New Roman" w:cs="Times New Roman"/>
          <w:noProof/>
          <w:sz w:val="24"/>
          <w:szCs w:val="20"/>
          <w:lang w:val="bg-BG" w:eastAsia="bg-BG" w:bidi="bg-BG"/>
        </w:rPr>
        <w:t xml:space="preserve"> </w:t>
      </w:r>
      <w:r w:rsidR="00343A8E" w:rsidRPr="00171DED">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w:t>
      </w:r>
      <w:r w:rsidR="00343A8E" w:rsidRPr="00584F2A">
        <w:rPr>
          <w:rFonts w:ascii="Times New Roman" w:eastAsia="Calibri" w:hAnsi="Times New Roman" w:cs="Times New Roman"/>
          <w:iCs/>
          <w:noProof/>
          <w:sz w:val="24"/>
          <w:szCs w:val="20"/>
          <w:highlight w:val="yellow"/>
          <w:lang w:val="bg-BG" w:eastAsia="bg-BG" w:bidi="bg-BG"/>
        </w:rPr>
        <w:t xml:space="preserve">подкрепа на </w:t>
      </w:r>
      <w:r w:rsidR="00342E03" w:rsidRPr="00584F2A">
        <w:rPr>
          <w:rFonts w:ascii="Times New Roman" w:eastAsia="Calibri" w:hAnsi="Times New Roman" w:cs="Times New Roman"/>
          <w:iCs/>
          <w:noProof/>
          <w:sz w:val="24"/>
          <w:szCs w:val="20"/>
          <w:highlight w:val="yellow"/>
          <w:lang w:val="bg-BG" w:eastAsia="bg-BG" w:bidi="bg-BG"/>
        </w:rPr>
        <w:t>финансово жизнеспособни инвестиции, по-конкретно на</w:t>
      </w:r>
      <w:r w:rsidR="00342E03" w:rsidRPr="00342E03">
        <w:rPr>
          <w:rFonts w:ascii="Times New Roman" w:eastAsia="Calibri" w:hAnsi="Times New Roman" w:cs="Times New Roman"/>
          <w:iCs/>
          <w:noProof/>
          <w:sz w:val="24"/>
          <w:szCs w:val="20"/>
          <w:lang w:val="bg-BG" w:eastAsia="bg-BG" w:bidi="bg-BG"/>
        </w:rPr>
        <w:t xml:space="preserve"> </w:t>
      </w:r>
      <w:r w:rsidR="00343A8E" w:rsidRPr="00171DED">
        <w:rPr>
          <w:rFonts w:ascii="Times New Roman" w:eastAsia="Calibri" w:hAnsi="Times New Roman" w:cs="Times New Roman"/>
          <w:iCs/>
          <w:noProof/>
          <w:sz w:val="24"/>
          <w:szCs w:val="20"/>
          <w:lang w:val="bg-BG" w:eastAsia="bg-BG" w:bidi="bg-BG"/>
        </w:rPr>
        <w:t xml:space="preserve">дейности, свързани с </w:t>
      </w:r>
      <w:r w:rsidR="0092200B" w:rsidRPr="00171DED">
        <w:rPr>
          <w:rFonts w:ascii="Times New Roman" w:eastAsia="Calibri" w:hAnsi="Times New Roman" w:cs="Times New Roman"/>
          <w:iCs/>
          <w:noProof/>
          <w:sz w:val="24"/>
          <w:szCs w:val="20"/>
          <w:lang w:val="bg-BG" w:eastAsia="bg-BG" w:bidi="bg-BG"/>
        </w:rPr>
        <w:t xml:space="preserve">насърчаване </w:t>
      </w:r>
      <w:r w:rsidR="00343A8E" w:rsidRPr="00171DED">
        <w:rPr>
          <w:rFonts w:ascii="Times New Roman" w:eastAsia="Calibri" w:hAnsi="Times New Roman" w:cs="Times New Roman"/>
          <w:iCs/>
          <w:noProof/>
          <w:sz w:val="24"/>
          <w:szCs w:val="20"/>
          <w:lang w:val="bg-BG" w:eastAsia="bg-BG" w:bidi="bg-BG"/>
        </w:rPr>
        <w:t xml:space="preserve">на електромобилността при отчитане научените уроци от програмен период 2014-2020. </w:t>
      </w:r>
      <w:r w:rsidR="00930431" w:rsidRPr="00735374">
        <w:rPr>
          <w:lang w:val="bg-BG"/>
        </w:rPr>
        <w:t xml:space="preserve"> </w:t>
      </w:r>
      <w:bookmarkStart w:id="12" w:name="_Hlk59026936"/>
      <w:r w:rsidR="00930431" w:rsidRPr="00171DED">
        <w:rPr>
          <w:rFonts w:ascii="Times New Roman" w:eastAsia="Calibri" w:hAnsi="Times New Roman" w:cs="Times New Roman"/>
          <w:noProof/>
          <w:sz w:val="24"/>
          <w:szCs w:val="20"/>
          <w:lang w:val="bg-BG" w:eastAsia="bg-BG" w:bidi="bg-BG"/>
        </w:rPr>
        <w:t xml:space="preserve">В проекта на Предварителна оценка на ФИ за периода 2021-2027 г. е идентифицирана възможността за предоставяне на комбиниран финансов инструмент за закупуване на електромобили. Поетапното </w:t>
      </w:r>
      <w:r w:rsidR="00A44408">
        <w:rPr>
          <w:rFonts w:ascii="Times New Roman" w:eastAsia="Calibri" w:hAnsi="Times New Roman" w:cs="Times New Roman"/>
          <w:noProof/>
          <w:sz w:val="24"/>
          <w:szCs w:val="20"/>
          <w:lang w:val="bg-BG" w:eastAsia="bg-BG" w:bidi="bg-BG"/>
        </w:rPr>
        <w:t xml:space="preserve">приоритетно </w:t>
      </w:r>
      <w:r w:rsidR="00930431" w:rsidRPr="00171DED">
        <w:rPr>
          <w:rFonts w:ascii="Times New Roman" w:eastAsia="Calibri" w:hAnsi="Times New Roman" w:cs="Times New Roman"/>
          <w:noProof/>
          <w:sz w:val="24"/>
          <w:szCs w:val="20"/>
          <w:lang w:val="bg-BG" w:eastAsia="bg-BG" w:bidi="bg-BG"/>
        </w:rPr>
        <w:t>извеждането на дизелови автомобили PRE-EURO и EURO 1 и подмяната им с незамърсяващи с ФПЧ МПС ще има най-висок ефект за намаляване на емисиите от частни автомобили. В Национална програма за подобряване на КАВ 2018-2024 е изчислено, че близо 55% от емисиите от частните МПС за гр. София се емитират от дизеловите автомобили PRE-EURO и EURO 1. Електромобилите са най-екологичната алтернатива от гледна точка на редуциране на емисиите ФПЧ. Обхватът на крайните бенефициенти ще включва граждани</w:t>
      </w:r>
      <w:r w:rsidR="00C90E14" w:rsidRPr="00171DED">
        <w:rPr>
          <w:rFonts w:ascii="Times New Roman" w:eastAsia="Calibri" w:hAnsi="Times New Roman" w:cs="Times New Roman"/>
          <w:noProof/>
          <w:sz w:val="24"/>
          <w:szCs w:val="20"/>
          <w:lang w:val="bg-BG" w:eastAsia="bg-BG" w:bidi="bg-BG"/>
        </w:rPr>
        <w:t>,</w:t>
      </w:r>
      <w:r w:rsidR="00930431" w:rsidRPr="00171DED">
        <w:rPr>
          <w:rFonts w:ascii="Times New Roman" w:eastAsia="Calibri" w:hAnsi="Times New Roman" w:cs="Times New Roman"/>
          <w:noProof/>
          <w:sz w:val="24"/>
          <w:szCs w:val="20"/>
          <w:lang w:val="bg-BG" w:eastAsia="bg-BG" w:bidi="bg-BG"/>
        </w:rPr>
        <w:t xml:space="preserve"> живеещи на територията на общините с нарушено КАВ, които имат регистрирани дизелови автомобили PRE-EURO и EURO </w:t>
      </w:r>
      <w:r w:rsidR="00C90E14" w:rsidRPr="00171DED">
        <w:rPr>
          <w:rFonts w:ascii="Times New Roman" w:eastAsia="Calibri" w:hAnsi="Times New Roman" w:cs="Times New Roman"/>
          <w:noProof/>
          <w:sz w:val="24"/>
          <w:szCs w:val="20"/>
          <w:lang w:val="bg-BG" w:eastAsia="bg-BG" w:bidi="bg-BG"/>
        </w:rPr>
        <w:t xml:space="preserve">1 в </w:t>
      </w:r>
      <w:r w:rsidR="00930431" w:rsidRPr="00171DED">
        <w:rPr>
          <w:rFonts w:ascii="Times New Roman" w:eastAsia="Calibri" w:hAnsi="Times New Roman" w:cs="Times New Roman"/>
          <w:noProof/>
          <w:sz w:val="24"/>
          <w:szCs w:val="20"/>
          <w:lang w:val="bg-BG" w:eastAsia="bg-BG" w:bidi="bg-BG"/>
        </w:rPr>
        <w:t xml:space="preserve">тези общини. Задължително условие за крайния </w:t>
      </w:r>
      <w:r w:rsidR="00C90E14" w:rsidRPr="00171DED">
        <w:rPr>
          <w:rFonts w:ascii="Times New Roman" w:eastAsia="Calibri" w:hAnsi="Times New Roman" w:cs="Times New Roman"/>
          <w:noProof/>
          <w:sz w:val="24"/>
          <w:szCs w:val="20"/>
          <w:lang w:val="bg-BG" w:eastAsia="bg-BG" w:bidi="bg-BG"/>
        </w:rPr>
        <w:t>получател</w:t>
      </w:r>
      <w:r w:rsidR="00930431" w:rsidRPr="00171DED">
        <w:rPr>
          <w:rFonts w:ascii="Times New Roman" w:eastAsia="Calibri" w:hAnsi="Times New Roman" w:cs="Times New Roman"/>
          <w:noProof/>
          <w:sz w:val="24"/>
          <w:szCs w:val="20"/>
          <w:lang w:val="bg-BG" w:eastAsia="bg-BG" w:bidi="bg-BG"/>
        </w:rPr>
        <w:t xml:space="preserve"> ще е предадаването на лич</w:t>
      </w:r>
      <w:r w:rsidR="00C90E14" w:rsidRPr="00171DED">
        <w:rPr>
          <w:rFonts w:ascii="Times New Roman" w:eastAsia="Calibri" w:hAnsi="Times New Roman" w:cs="Times New Roman"/>
          <w:noProof/>
          <w:sz w:val="24"/>
          <w:szCs w:val="20"/>
          <w:lang w:val="bg-BG" w:eastAsia="bg-BG" w:bidi="bg-BG"/>
        </w:rPr>
        <w:t>е</w:t>
      </w:r>
      <w:r w:rsidR="00930431" w:rsidRPr="00171DED">
        <w:rPr>
          <w:rFonts w:ascii="Times New Roman" w:eastAsia="Calibri" w:hAnsi="Times New Roman" w:cs="Times New Roman"/>
          <w:noProof/>
          <w:sz w:val="24"/>
          <w:szCs w:val="20"/>
          <w:lang w:val="bg-BG" w:eastAsia="bg-BG" w:bidi="bg-BG"/>
        </w:rPr>
        <w:t xml:space="preserve">н </w:t>
      </w:r>
      <w:r w:rsidR="00A44408">
        <w:rPr>
          <w:rFonts w:ascii="Times New Roman" w:eastAsia="Calibri" w:hAnsi="Times New Roman" w:cs="Times New Roman"/>
          <w:noProof/>
          <w:sz w:val="24"/>
          <w:szCs w:val="20"/>
          <w:lang w:val="bg-BG" w:eastAsia="bg-BG" w:bidi="bg-BG"/>
        </w:rPr>
        <w:t>високоемисионен</w:t>
      </w:r>
      <w:r w:rsidR="00A44408" w:rsidRPr="00171DED">
        <w:rPr>
          <w:rFonts w:ascii="Times New Roman" w:eastAsia="Calibri" w:hAnsi="Times New Roman" w:cs="Times New Roman"/>
          <w:noProof/>
          <w:sz w:val="24"/>
          <w:szCs w:val="20"/>
          <w:lang w:val="bg-BG" w:eastAsia="bg-BG" w:bidi="bg-BG"/>
        </w:rPr>
        <w:t xml:space="preserve"> </w:t>
      </w:r>
      <w:r w:rsidR="00930431" w:rsidRPr="00171DED">
        <w:rPr>
          <w:rFonts w:ascii="Times New Roman" w:eastAsia="Calibri" w:hAnsi="Times New Roman" w:cs="Times New Roman"/>
          <w:noProof/>
          <w:sz w:val="24"/>
          <w:szCs w:val="20"/>
          <w:lang w:val="bg-BG" w:eastAsia="bg-BG" w:bidi="bg-BG"/>
        </w:rPr>
        <w:t xml:space="preserve">дизелов автомобил </w:t>
      </w:r>
      <w:r w:rsidR="00A44408">
        <w:rPr>
          <w:rFonts w:ascii="Times New Roman" w:eastAsia="Calibri" w:hAnsi="Times New Roman" w:cs="Times New Roman"/>
          <w:noProof/>
          <w:sz w:val="24"/>
          <w:szCs w:val="20"/>
          <w:lang w:val="bg-BG" w:eastAsia="bg-BG" w:bidi="bg-BG"/>
        </w:rPr>
        <w:t xml:space="preserve">(приоритетно </w:t>
      </w:r>
      <w:r w:rsidR="00930431" w:rsidRPr="00171DED">
        <w:rPr>
          <w:rFonts w:ascii="Times New Roman" w:eastAsia="Calibri" w:hAnsi="Times New Roman" w:cs="Times New Roman"/>
          <w:noProof/>
          <w:sz w:val="24"/>
          <w:szCs w:val="20"/>
          <w:lang w:val="bg-BG" w:eastAsia="bg-BG" w:bidi="bg-BG"/>
        </w:rPr>
        <w:t>PRE-EURO и EURO 1</w:t>
      </w:r>
      <w:r w:rsidR="00A44408">
        <w:rPr>
          <w:rFonts w:ascii="Times New Roman" w:eastAsia="Calibri" w:hAnsi="Times New Roman" w:cs="Times New Roman"/>
          <w:noProof/>
          <w:sz w:val="24"/>
          <w:szCs w:val="20"/>
          <w:lang w:val="bg-BG" w:eastAsia="bg-BG" w:bidi="bg-BG"/>
        </w:rPr>
        <w:t>)</w:t>
      </w:r>
      <w:r w:rsidR="00930431" w:rsidRPr="00171DED">
        <w:rPr>
          <w:rFonts w:ascii="Times New Roman" w:eastAsia="Calibri" w:hAnsi="Times New Roman" w:cs="Times New Roman"/>
          <w:noProof/>
          <w:sz w:val="24"/>
          <w:szCs w:val="20"/>
          <w:lang w:val="bg-BG" w:eastAsia="bg-BG" w:bidi="bg-BG"/>
        </w:rPr>
        <w:t xml:space="preserve"> на лицензирани рециклиращи организации.</w:t>
      </w:r>
    </w:p>
    <w:bookmarkEnd w:id="12"/>
    <w:p w14:paraId="0D9A5D2C" w14:textId="1EBEE12C"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75F51D99"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731"/>
        <w:gridCol w:w="567"/>
        <w:gridCol w:w="905"/>
        <w:gridCol w:w="1183"/>
        <w:gridCol w:w="1502"/>
        <w:gridCol w:w="756"/>
        <w:gridCol w:w="692"/>
        <w:gridCol w:w="794"/>
      </w:tblGrid>
      <w:tr w:rsidR="00722757" w:rsidRPr="0010575B" w14:paraId="02F53230" w14:textId="77777777" w:rsidTr="00E444C4">
        <w:trPr>
          <w:trHeight w:val="425"/>
        </w:trPr>
        <w:tc>
          <w:tcPr>
            <w:tcW w:w="5000" w:type="pct"/>
            <w:gridSpan w:val="9"/>
          </w:tcPr>
          <w:p w14:paraId="577D74C3" w14:textId="5660346E" w:rsidR="00722757" w:rsidRPr="00171DED" w:rsidRDefault="00722757" w:rsidP="00B94321">
            <w:pPr>
              <w:spacing w:before="120" w:after="120" w:line="240" w:lineRule="auto"/>
              <w:jc w:val="both"/>
              <w:rPr>
                <w:rFonts w:ascii="Times New Roman" w:hAnsi="Times New Roman"/>
                <w:b/>
                <w:noProof/>
                <w:sz w:val="20"/>
                <w:szCs w:val="20"/>
                <w:lang w:val="bg-BG" w:eastAsia="bg-BG" w:bidi="bg-BG"/>
              </w:rPr>
            </w:pPr>
            <w:bookmarkStart w:id="13" w:name="_Hlk27409513"/>
            <w:r w:rsidRPr="00171DED">
              <w:rPr>
                <w:rFonts w:ascii="Times New Roman" w:hAnsi="Times New Roman"/>
                <w:b/>
                <w:noProof/>
                <w:sz w:val="20"/>
                <w:lang w:val="bg-BG" w:eastAsia="bg-BG" w:bidi="bg-BG"/>
              </w:rPr>
              <w:t>Таблица 2: Показатели за крайни продукти</w:t>
            </w:r>
            <w:bookmarkEnd w:id="13"/>
          </w:p>
        </w:tc>
      </w:tr>
      <w:tr w:rsidR="00FE6A3A" w:rsidRPr="00171DED" w14:paraId="10FCEDE3" w14:textId="77777777" w:rsidTr="00870263">
        <w:trPr>
          <w:trHeight w:val="1647"/>
        </w:trPr>
        <w:tc>
          <w:tcPr>
            <w:tcW w:w="564" w:type="pct"/>
          </w:tcPr>
          <w:p w14:paraId="13930AA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931" w:type="pct"/>
          </w:tcPr>
          <w:p w14:paraId="0B0C200F" w14:textId="3D04EB20"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07" w:type="pct"/>
          </w:tcPr>
          <w:p w14:paraId="6B3687D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88" w:type="pct"/>
          </w:tcPr>
          <w:p w14:paraId="2605F2E9"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638" w:type="pct"/>
            <w:shd w:val="clear" w:color="auto" w:fill="auto"/>
          </w:tcPr>
          <w:p w14:paraId="4D44AA49"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809" w:type="pct"/>
            <w:shd w:val="clear" w:color="auto" w:fill="auto"/>
          </w:tcPr>
          <w:p w14:paraId="5E45A3F6"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9" w:type="pct"/>
            <w:shd w:val="clear" w:color="auto" w:fill="auto"/>
          </w:tcPr>
          <w:p w14:paraId="30AFEE5B"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75" w:type="pct"/>
            <w:shd w:val="clear" w:color="auto" w:fill="auto"/>
          </w:tcPr>
          <w:p w14:paraId="6857F8AA"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11EB8946"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p>
        </w:tc>
        <w:tc>
          <w:tcPr>
            <w:tcW w:w="429" w:type="pct"/>
            <w:shd w:val="clear" w:color="auto" w:fill="auto"/>
          </w:tcPr>
          <w:p w14:paraId="13FDEB0B"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0F2EC9B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p>
        </w:tc>
      </w:tr>
      <w:tr w:rsidR="00FF04AF" w:rsidRPr="00171DED" w14:paraId="28F7804F" w14:textId="77777777" w:rsidTr="00093C61">
        <w:trPr>
          <w:trHeight w:val="1103"/>
        </w:trPr>
        <w:tc>
          <w:tcPr>
            <w:tcW w:w="564" w:type="pct"/>
            <w:vMerge w:val="restart"/>
            <w:vAlign w:val="center"/>
          </w:tcPr>
          <w:p w14:paraId="523EDBBB" w14:textId="126639E8" w:rsidR="00FF04AF" w:rsidRPr="00171DED" w:rsidRDefault="00FF04AF" w:rsidP="00093C61">
            <w:pPr>
              <w:spacing w:before="120" w:after="120" w:line="240" w:lineRule="auto"/>
              <w:rPr>
                <w:rFonts w:ascii="Times New Roman" w:hAnsi="Times New Roman"/>
                <w:bCs/>
                <w:noProof/>
                <w:sz w:val="20"/>
                <w:lang w:val="bg-BG" w:eastAsia="bg-BG" w:bidi="bg-BG"/>
              </w:rPr>
            </w:pPr>
            <w:r w:rsidRPr="00171DED">
              <w:rPr>
                <w:rFonts w:ascii="Times New Roman" w:hAnsi="Times New Roman"/>
                <w:bCs/>
                <w:noProof/>
                <w:sz w:val="20"/>
                <w:lang w:val="bg-BG" w:eastAsia="bg-BG" w:bidi="bg-BG"/>
              </w:rPr>
              <w:t>„Въздух“</w:t>
            </w:r>
          </w:p>
          <w:p w14:paraId="50806C99" w14:textId="77777777" w:rsidR="00FF04AF" w:rsidRPr="00171DED" w:rsidRDefault="00FF04AF" w:rsidP="00093C61">
            <w:pPr>
              <w:spacing w:before="120" w:after="120" w:line="240" w:lineRule="auto"/>
              <w:rPr>
                <w:rFonts w:ascii="Times New Roman" w:hAnsi="Times New Roman"/>
                <w:noProof/>
                <w:sz w:val="20"/>
                <w:lang w:val="bg-BG" w:eastAsia="bg-BG" w:bidi="bg-BG"/>
              </w:rPr>
            </w:pPr>
          </w:p>
        </w:tc>
        <w:tc>
          <w:tcPr>
            <w:tcW w:w="931" w:type="pct"/>
            <w:vMerge w:val="restart"/>
            <w:vAlign w:val="center"/>
          </w:tcPr>
          <w:p w14:paraId="69D3175A" w14:textId="77777777" w:rsidR="00FF04AF" w:rsidRPr="00171DED" w:rsidRDefault="00FF04AF" w:rsidP="00093C61">
            <w:pPr>
              <w:spacing w:before="120" w:after="120" w:line="240" w:lineRule="auto"/>
              <w:rPr>
                <w:rFonts w:ascii="Times New Roman" w:hAnsi="Times New Roman"/>
                <w:noProof/>
                <w:sz w:val="20"/>
                <w:lang w:val="bg-BG" w:eastAsia="bg-BG" w:bidi="bg-BG"/>
              </w:rPr>
            </w:pPr>
            <w:r w:rsidRPr="00171DED">
              <w:rPr>
                <w:rFonts w:ascii="Times New Roman" w:hAnsi="Times New Roman"/>
                <w:noProof/>
                <w:sz w:val="20"/>
                <w:lang w:val="bg-BG" w:eastAsia="bg-BG" w:bidi="bg-BG"/>
              </w:rPr>
              <w:t xml:space="preserve">„Засилване на биоразнообразието, “зелената” инфраструктура в градската среда, както и </w:t>
            </w:r>
            <w:r w:rsidRPr="00171DED">
              <w:rPr>
                <w:rFonts w:ascii="Times New Roman" w:hAnsi="Times New Roman"/>
                <w:noProof/>
                <w:sz w:val="20"/>
                <w:lang w:val="bg-BG" w:eastAsia="bg-BG" w:bidi="bg-BG"/>
              </w:rPr>
              <w:lastRenderedPageBreak/>
              <w:t>намаляване на замърсяването“</w:t>
            </w:r>
          </w:p>
        </w:tc>
        <w:tc>
          <w:tcPr>
            <w:tcW w:w="307" w:type="pct"/>
            <w:vAlign w:val="center"/>
          </w:tcPr>
          <w:p w14:paraId="6233B581" w14:textId="77777777" w:rsidR="00FF04AF" w:rsidRPr="00171DED" w:rsidRDefault="00FF04AF" w:rsidP="00093C61">
            <w:pPr>
              <w:spacing w:before="120" w:after="120" w:line="240" w:lineRule="auto"/>
              <w:rPr>
                <w:rFonts w:ascii="Times New Roman" w:hAnsi="Times New Roman"/>
                <w:b/>
                <w:noProof/>
                <w:sz w:val="16"/>
                <w:lang w:val="bg-BG" w:eastAsia="bg-BG" w:bidi="bg-BG"/>
              </w:rPr>
            </w:pPr>
            <w:r w:rsidRPr="00171DED">
              <w:rPr>
                <w:rFonts w:ascii="Times New Roman" w:hAnsi="Times New Roman"/>
                <w:b/>
                <w:iCs/>
                <w:noProof/>
                <w:sz w:val="16"/>
                <w:lang w:eastAsia="bg-BG" w:bidi="bg-BG"/>
              </w:rPr>
              <w:lastRenderedPageBreak/>
              <w:t>КФ</w:t>
            </w:r>
          </w:p>
        </w:tc>
        <w:tc>
          <w:tcPr>
            <w:tcW w:w="488" w:type="pct"/>
            <w:vAlign w:val="center"/>
          </w:tcPr>
          <w:p w14:paraId="74C6FF96" w14:textId="088D7C08" w:rsidR="00FF04AF" w:rsidRPr="00171DED" w:rsidRDefault="00FF04AF" w:rsidP="00093C61">
            <w:pPr>
              <w:spacing w:before="120" w:after="120" w:line="240" w:lineRule="auto"/>
              <w:rPr>
                <w:rFonts w:ascii="Times New Roman" w:hAnsi="Times New Roman"/>
                <w:b/>
                <w:noProof/>
                <w:sz w:val="16"/>
                <w:lang w:val="bg-BG" w:eastAsia="bg-BG" w:bidi="bg-BG"/>
              </w:rPr>
            </w:pPr>
          </w:p>
        </w:tc>
        <w:tc>
          <w:tcPr>
            <w:tcW w:w="638" w:type="pct"/>
            <w:shd w:val="clear" w:color="auto" w:fill="auto"/>
            <w:vAlign w:val="center"/>
          </w:tcPr>
          <w:p w14:paraId="114802A6" w14:textId="77777777" w:rsidR="00FF04AF" w:rsidRPr="00171DED" w:rsidRDefault="00FF04AF" w:rsidP="00093C61">
            <w:pPr>
              <w:spacing w:before="120" w:after="120" w:line="240" w:lineRule="auto"/>
              <w:rPr>
                <w:rFonts w:ascii="Times New Roman" w:hAnsi="Times New Roman"/>
                <w:noProof/>
                <w:sz w:val="20"/>
                <w:szCs w:val="20"/>
                <w:lang w:val="bg-BG" w:eastAsia="bg-BG" w:bidi="bg-BG"/>
              </w:rPr>
            </w:pPr>
            <w:r w:rsidRPr="00171DED">
              <w:rPr>
                <w:rFonts w:ascii="Times New Roman" w:hAnsi="Times New Roman"/>
                <w:iCs/>
                <w:noProof/>
                <w:sz w:val="20"/>
                <w:szCs w:val="20"/>
                <w:lang w:val="bg-BG" w:eastAsia="bg-BG" w:bidi="bg-BG"/>
              </w:rPr>
              <w:t>RCO 36</w:t>
            </w:r>
          </w:p>
        </w:tc>
        <w:tc>
          <w:tcPr>
            <w:tcW w:w="809" w:type="pct"/>
            <w:shd w:val="clear" w:color="auto" w:fill="auto"/>
            <w:vAlign w:val="center"/>
          </w:tcPr>
          <w:p w14:paraId="129A562D" w14:textId="7885C92A" w:rsidR="00FF04AF" w:rsidRPr="00171DED" w:rsidRDefault="00FF04AF" w:rsidP="00093C61">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Зелена инфраструктура, подкрепена за други нужди извън изменение на климата </w:t>
            </w:r>
          </w:p>
        </w:tc>
        <w:tc>
          <w:tcPr>
            <w:tcW w:w="459" w:type="pct"/>
            <w:shd w:val="clear" w:color="auto" w:fill="auto"/>
            <w:vAlign w:val="center"/>
          </w:tcPr>
          <w:p w14:paraId="45E8B4D8" w14:textId="6D22992C" w:rsidR="00FF04AF" w:rsidRPr="00171DED" w:rsidRDefault="00FF04AF" w:rsidP="00093C61">
            <w:pPr>
              <w:spacing w:before="120" w:after="120" w:line="240" w:lineRule="auto"/>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ха</w:t>
            </w:r>
          </w:p>
        </w:tc>
        <w:tc>
          <w:tcPr>
            <w:tcW w:w="375" w:type="pct"/>
            <w:shd w:val="clear" w:color="auto" w:fill="auto"/>
            <w:vAlign w:val="center"/>
          </w:tcPr>
          <w:p w14:paraId="0B6E9AAA" w14:textId="6E76B8DB" w:rsidR="00FF04AF" w:rsidRPr="00171DED" w:rsidRDefault="00DC687F" w:rsidP="00093C61">
            <w:pPr>
              <w:spacing w:before="120" w:after="120" w:line="240" w:lineRule="auto"/>
              <w:rPr>
                <w:rFonts w:ascii="Times New Roman" w:hAnsi="Times New Roman"/>
                <w:sz w:val="16"/>
                <w:lang w:val="bg-BG"/>
              </w:rPr>
            </w:pPr>
            <w:r w:rsidRPr="00171DED">
              <w:rPr>
                <w:rFonts w:ascii="Times New Roman" w:hAnsi="Times New Roman"/>
                <w:bCs/>
                <w:noProof/>
                <w:sz w:val="16"/>
                <w:lang w:val="bg-BG" w:eastAsia="bg-BG" w:bidi="bg-BG"/>
              </w:rPr>
              <w:t>10</w:t>
            </w:r>
          </w:p>
        </w:tc>
        <w:tc>
          <w:tcPr>
            <w:tcW w:w="429" w:type="pct"/>
            <w:shd w:val="clear" w:color="auto" w:fill="auto"/>
            <w:vAlign w:val="center"/>
          </w:tcPr>
          <w:p w14:paraId="2D301738" w14:textId="5B9EAA0F" w:rsidR="00FF04AF" w:rsidRPr="00171DED" w:rsidRDefault="00DC687F" w:rsidP="00093C61">
            <w:pPr>
              <w:spacing w:before="120" w:after="120" w:line="240" w:lineRule="auto"/>
              <w:rPr>
                <w:rFonts w:ascii="Times New Roman" w:hAnsi="Times New Roman"/>
                <w:sz w:val="16"/>
                <w:lang w:val="bg-BG"/>
              </w:rPr>
            </w:pPr>
            <w:r w:rsidRPr="00171DED">
              <w:rPr>
                <w:rFonts w:ascii="Times New Roman" w:hAnsi="Times New Roman"/>
                <w:bCs/>
                <w:noProof/>
                <w:sz w:val="16"/>
                <w:lang w:val="bg-BG" w:eastAsia="bg-BG" w:bidi="bg-BG"/>
              </w:rPr>
              <w:t>160</w:t>
            </w:r>
          </w:p>
        </w:tc>
      </w:tr>
      <w:tr w:rsidR="00FF04AF" w:rsidRPr="00171DED" w14:paraId="6E10672C" w14:textId="77777777" w:rsidTr="00093C61">
        <w:trPr>
          <w:trHeight w:val="698"/>
        </w:trPr>
        <w:tc>
          <w:tcPr>
            <w:tcW w:w="564" w:type="pct"/>
            <w:vMerge/>
            <w:vAlign w:val="center"/>
          </w:tcPr>
          <w:p w14:paraId="55BD0199" w14:textId="77777777" w:rsidR="00FF04AF" w:rsidRPr="00171DED" w:rsidRDefault="00FF04AF" w:rsidP="00584F2A">
            <w:pPr>
              <w:spacing w:before="120" w:after="120" w:line="240" w:lineRule="auto"/>
              <w:rPr>
                <w:rFonts w:ascii="Times New Roman" w:hAnsi="Times New Roman"/>
                <w:noProof/>
                <w:sz w:val="24"/>
                <w:szCs w:val="16"/>
                <w:lang w:val="bg-BG" w:eastAsia="bg-BG" w:bidi="bg-BG"/>
              </w:rPr>
            </w:pPr>
          </w:p>
        </w:tc>
        <w:tc>
          <w:tcPr>
            <w:tcW w:w="931" w:type="pct"/>
            <w:vMerge/>
            <w:vAlign w:val="center"/>
          </w:tcPr>
          <w:p w14:paraId="4EF32266" w14:textId="63113BC5" w:rsidR="00FF04AF" w:rsidRPr="00171DED" w:rsidRDefault="00FF04AF" w:rsidP="00584F2A">
            <w:pPr>
              <w:spacing w:before="120" w:after="120" w:line="240" w:lineRule="auto"/>
              <w:rPr>
                <w:rFonts w:ascii="Times New Roman" w:hAnsi="Times New Roman"/>
                <w:b/>
                <w:noProof/>
                <w:sz w:val="16"/>
                <w:szCs w:val="16"/>
                <w:lang w:val="bg-BG" w:eastAsia="bg-BG" w:bidi="bg-BG"/>
              </w:rPr>
            </w:pPr>
          </w:p>
        </w:tc>
        <w:tc>
          <w:tcPr>
            <w:tcW w:w="307" w:type="pct"/>
            <w:vAlign w:val="center"/>
          </w:tcPr>
          <w:p w14:paraId="607B7865" w14:textId="67566CC0" w:rsidR="00FF04AF" w:rsidRPr="00171DED" w:rsidRDefault="00FF04AF" w:rsidP="00584F2A">
            <w:pPr>
              <w:spacing w:before="120" w:after="120" w:line="240" w:lineRule="auto"/>
              <w:rPr>
                <w:rFonts w:ascii="Times New Roman" w:hAnsi="Times New Roman"/>
                <w:b/>
                <w:iCs/>
                <w:noProof/>
                <w:sz w:val="16"/>
                <w:szCs w:val="16"/>
                <w:lang w:eastAsia="bg-BG" w:bidi="bg-BG"/>
              </w:rPr>
            </w:pPr>
            <w:r w:rsidRPr="00171DED">
              <w:rPr>
                <w:rFonts w:ascii="Times New Roman" w:hAnsi="Times New Roman"/>
                <w:b/>
                <w:iCs/>
                <w:noProof/>
                <w:sz w:val="16"/>
                <w:szCs w:val="16"/>
                <w:lang w:eastAsia="bg-BG" w:bidi="bg-BG"/>
              </w:rPr>
              <w:t>КФ</w:t>
            </w:r>
          </w:p>
        </w:tc>
        <w:tc>
          <w:tcPr>
            <w:tcW w:w="488" w:type="pct"/>
            <w:vAlign w:val="center"/>
          </w:tcPr>
          <w:p w14:paraId="7BC6B69F" w14:textId="50951A30" w:rsidR="00FF04AF" w:rsidRPr="00171DED" w:rsidRDefault="00FF04AF" w:rsidP="00584F2A">
            <w:pPr>
              <w:spacing w:before="120" w:after="120" w:line="240" w:lineRule="auto"/>
              <w:rPr>
                <w:rFonts w:ascii="Times New Roman" w:hAnsi="Times New Roman"/>
                <w:b/>
                <w:noProof/>
                <w:sz w:val="16"/>
                <w:szCs w:val="16"/>
                <w:lang w:val="bg-BG" w:eastAsia="bg-BG" w:bidi="bg-BG"/>
              </w:rPr>
            </w:pPr>
          </w:p>
        </w:tc>
        <w:tc>
          <w:tcPr>
            <w:tcW w:w="638" w:type="pct"/>
            <w:vAlign w:val="center"/>
          </w:tcPr>
          <w:p w14:paraId="1158DC3D" w14:textId="6F2A51D9" w:rsidR="00FF04AF" w:rsidRPr="00171DED" w:rsidRDefault="00FF04AF" w:rsidP="00584F2A">
            <w:pPr>
              <w:spacing w:before="120" w:after="120" w:line="240" w:lineRule="auto"/>
              <w:rPr>
                <w:rFonts w:ascii="Times New Roman" w:hAnsi="Times New Roman"/>
                <w:noProof/>
                <w:sz w:val="20"/>
                <w:szCs w:val="20"/>
                <w:lang w:val="bg-BG" w:eastAsia="bg-BG" w:bidi="bg-BG"/>
              </w:rPr>
            </w:pPr>
            <w:r w:rsidRPr="00171DED">
              <w:rPr>
                <w:rFonts w:ascii="Times New Roman" w:hAnsi="Times New Roman"/>
                <w:iCs/>
                <w:noProof/>
                <w:sz w:val="20"/>
                <w:szCs w:val="20"/>
                <w:lang w:val="bg-BG" w:eastAsia="bg-BG" w:bidi="bg-BG"/>
              </w:rPr>
              <w:t>Специфичен за програмата индикатор</w:t>
            </w:r>
          </w:p>
        </w:tc>
        <w:tc>
          <w:tcPr>
            <w:tcW w:w="809" w:type="pct"/>
            <w:shd w:val="clear" w:color="auto" w:fill="auto"/>
            <w:vAlign w:val="center"/>
          </w:tcPr>
          <w:p w14:paraId="1905C7FC" w14:textId="2E4E43BC" w:rsidR="00FF04AF" w:rsidRPr="00171DED" w:rsidRDefault="00FF04AF" w:rsidP="00584F2A">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Жилища с подменени отоплителни устройства на твърдо гориво</w:t>
            </w:r>
          </w:p>
        </w:tc>
        <w:tc>
          <w:tcPr>
            <w:tcW w:w="459" w:type="pct"/>
            <w:vAlign w:val="center"/>
          </w:tcPr>
          <w:p w14:paraId="0DD5CE64" w14:textId="77971E27" w:rsidR="00FF04AF" w:rsidRPr="00171DED" w:rsidRDefault="00FF04AF" w:rsidP="00584F2A">
            <w:pPr>
              <w:spacing w:before="120" w:after="120" w:line="240" w:lineRule="auto"/>
              <w:rPr>
                <w:rFonts w:ascii="Times New Roman" w:hAnsi="Times New Roman"/>
                <w:bCs/>
                <w:noProof/>
                <w:sz w:val="16"/>
                <w:szCs w:val="16"/>
                <w:lang w:val="bg-BG" w:eastAsia="bg-BG" w:bidi="bg-BG"/>
              </w:rPr>
            </w:pPr>
            <w:r w:rsidRPr="00171DED">
              <w:rPr>
                <w:rFonts w:ascii="Times New Roman" w:hAnsi="Times New Roman"/>
                <w:bCs/>
                <w:noProof/>
                <w:sz w:val="16"/>
                <w:szCs w:val="16"/>
                <w:lang w:val="bg-BG" w:eastAsia="bg-BG" w:bidi="bg-BG"/>
              </w:rPr>
              <w:t>брой</w:t>
            </w:r>
          </w:p>
        </w:tc>
        <w:tc>
          <w:tcPr>
            <w:tcW w:w="375" w:type="pct"/>
            <w:shd w:val="clear" w:color="auto" w:fill="auto"/>
            <w:vAlign w:val="center"/>
          </w:tcPr>
          <w:p w14:paraId="5E5B7C83" w14:textId="69A86817" w:rsidR="00FF04AF" w:rsidRPr="00171DED" w:rsidRDefault="00155F76" w:rsidP="00584F2A">
            <w:pPr>
              <w:spacing w:before="120" w:after="120" w:line="240" w:lineRule="auto"/>
              <w:rPr>
                <w:rFonts w:ascii="Times New Roman" w:hAnsi="Times New Roman"/>
                <w:bCs/>
                <w:noProof/>
                <w:sz w:val="16"/>
                <w:szCs w:val="16"/>
                <w:lang w:val="bg-BG" w:eastAsia="bg-BG" w:bidi="bg-BG"/>
              </w:rPr>
            </w:pPr>
            <w:r w:rsidRPr="00171DED">
              <w:rPr>
                <w:rFonts w:ascii="Times New Roman" w:hAnsi="Times New Roman"/>
                <w:bCs/>
                <w:noProof/>
                <w:sz w:val="16"/>
                <w:szCs w:val="16"/>
                <w:lang w:val="bg-BG" w:eastAsia="bg-BG" w:bidi="bg-BG"/>
              </w:rPr>
              <w:t>0</w:t>
            </w:r>
          </w:p>
        </w:tc>
        <w:tc>
          <w:tcPr>
            <w:tcW w:w="429" w:type="pct"/>
            <w:shd w:val="clear" w:color="auto" w:fill="auto"/>
            <w:vAlign w:val="center"/>
          </w:tcPr>
          <w:p w14:paraId="76C4918B" w14:textId="70EEEF11" w:rsidR="00FF04AF" w:rsidRPr="00171DED" w:rsidRDefault="00DC687F" w:rsidP="00584F2A">
            <w:pPr>
              <w:spacing w:before="120" w:after="120" w:line="240" w:lineRule="auto"/>
              <w:rPr>
                <w:rFonts w:ascii="Times New Roman" w:hAnsi="Times New Roman"/>
                <w:bCs/>
                <w:noProof/>
                <w:sz w:val="16"/>
                <w:szCs w:val="16"/>
                <w:lang w:eastAsia="bg-BG" w:bidi="bg-BG"/>
              </w:rPr>
            </w:pPr>
            <w:r w:rsidRPr="00171DED">
              <w:rPr>
                <w:rFonts w:ascii="Times New Roman" w:hAnsi="Times New Roman"/>
                <w:bCs/>
                <w:noProof/>
                <w:sz w:val="16"/>
                <w:szCs w:val="16"/>
                <w:lang w:val="bg-BG" w:eastAsia="bg-BG" w:bidi="bg-BG"/>
              </w:rPr>
              <w:t>90</w:t>
            </w:r>
            <w:r w:rsidRPr="00171DED">
              <w:rPr>
                <w:rFonts w:ascii="Times New Roman" w:hAnsi="Times New Roman"/>
                <w:bCs/>
                <w:noProof/>
                <w:sz w:val="16"/>
                <w:szCs w:val="16"/>
                <w:lang w:eastAsia="bg-BG" w:bidi="bg-BG"/>
              </w:rPr>
              <w:t xml:space="preserve"> </w:t>
            </w:r>
            <w:r w:rsidR="0068514F" w:rsidRPr="00171DED">
              <w:rPr>
                <w:rFonts w:ascii="Times New Roman" w:hAnsi="Times New Roman"/>
                <w:bCs/>
                <w:noProof/>
                <w:sz w:val="16"/>
                <w:szCs w:val="16"/>
                <w:lang w:eastAsia="bg-BG" w:bidi="bg-BG"/>
              </w:rPr>
              <w:t>000</w:t>
            </w:r>
          </w:p>
        </w:tc>
      </w:tr>
      <w:tr w:rsidR="00FF04AF" w:rsidRPr="00171DED" w14:paraId="353E362C" w14:textId="77777777" w:rsidTr="00093C61">
        <w:trPr>
          <w:trHeight w:val="1620"/>
        </w:trPr>
        <w:tc>
          <w:tcPr>
            <w:tcW w:w="564" w:type="pct"/>
            <w:vMerge/>
            <w:vAlign w:val="center"/>
          </w:tcPr>
          <w:p w14:paraId="57744DAC" w14:textId="77777777" w:rsidR="00FF04AF" w:rsidRPr="00171DED" w:rsidRDefault="00FF04AF" w:rsidP="00584F2A">
            <w:pPr>
              <w:spacing w:before="120" w:after="120" w:line="240" w:lineRule="auto"/>
              <w:rPr>
                <w:rFonts w:ascii="Times New Roman" w:hAnsi="Times New Roman"/>
                <w:noProof/>
                <w:sz w:val="24"/>
                <w:szCs w:val="16"/>
                <w:lang w:val="bg-BG" w:eastAsia="bg-BG" w:bidi="bg-BG"/>
              </w:rPr>
            </w:pPr>
          </w:p>
        </w:tc>
        <w:tc>
          <w:tcPr>
            <w:tcW w:w="931" w:type="pct"/>
            <w:vMerge/>
            <w:vAlign w:val="center"/>
          </w:tcPr>
          <w:p w14:paraId="23D4B6D9" w14:textId="53525EEE" w:rsidR="00FF04AF" w:rsidRPr="00171DED" w:rsidRDefault="00FF04AF" w:rsidP="00584F2A">
            <w:pPr>
              <w:spacing w:before="120" w:after="120" w:line="240" w:lineRule="auto"/>
              <w:rPr>
                <w:rFonts w:ascii="Times New Roman" w:hAnsi="Times New Roman"/>
                <w:noProof/>
                <w:sz w:val="20"/>
                <w:lang w:val="bg-BG" w:eastAsia="bg-BG" w:bidi="bg-BG"/>
              </w:rPr>
            </w:pPr>
          </w:p>
        </w:tc>
        <w:tc>
          <w:tcPr>
            <w:tcW w:w="307" w:type="pct"/>
            <w:vAlign w:val="center"/>
          </w:tcPr>
          <w:p w14:paraId="327763DF" w14:textId="1956556A" w:rsidR="00FF04AF" w:rsidRPr="00171DED" w:rsidRDefault="00FF04AF" w:rsidP="00584F2A">
            <w:pPr>
              <w:spacing w:before="120" w:after="120" w:line="240" w:lineRule="auto"/>
              <w:rPr>
                <w:rFonts w:ascii="Times New Roman" w:hAnsi="Times New Roman"/>
                <w:b/>
                <w:iCs/>
                <w:noProof/>
                <w:sz w:val="16"/>
                <w:szCs w:val="16"/>
                <w:lang w:eastAsia="bg-BG" w:bidi="bg-BG"/>
              </w:rPr>
            </w:pPr>
          </w:p>
        </w:tc>
        <w:tc>
          <w:tcPr>
            <w:tcW w:w="488" w:type="pct"/>
            <w:vAlign w:val="center"/>
          </w:tcPr>
          <w:p w14:paraId="293F2EF7" w14:textId="403FE64D" w:rsidR="00FF04AF" w:rsidRPr="00171DED" w:rsidRDefault="00FF04AF" w:rsidP="00584F2A">
            <w:pPr>
              <w:spacing w:before="120" w:after="120" w:line="240" w:lineRule="auto"/>
              <w:rPr>
                <w:rFonts w:ascii="Times New Roman" w:hAnsi="Times New Roman"/>
                <w:b/>
                <w:noProof/>
                <w:sz w:val="16"/>
                <w:szCs w:val="16"/>
                <w:lang w:val="bg-BG" w:eastAsia="bg-BG" w:bidi="bg-BG"/>
              </w:rPr>
            </w:pPr>
          </w:p>
        </w:tc>
        <w:tc>
          <w:tcPr>
            <w:tcW w:w="638" w:type="pct"/>
            <w:shd w:val="clear" w:color="auto" w:fill="auto"/>
            <w:vAlign w:val="center"/>
          </w:tcPr>
          <w:p w14:paraId="77F9821C" w14:textId="42DFC951" w:rsidR="00FF04AF" w:rsidRPr="00171DED" w:rsidRDefault="00FF04AF" w:rsidP="00584F2A">
            <w:pPr>
              <w:spacing w:before="120" w:after="120" w:line="240" w:lineRule="auto"/>
              <w:rPr>
                <w:rFonts w:ascii="Times New Roman" w:hAnsi="Times New Roman"/>
                <w:noProof/>
                <w:sz w:val="20"/>
                <w:szCs w:val="20"/>
                <w:lang w:eastAsia="bg-BG" w:bidi="bg-BG"/>
              </w:rPr>
            </w:pPr>
          </w:p>
        </w:tc>
        <w:tc>
          <w:tcPr>
            <w:tcW w:w="809" w:type="pct"/>
            <w:shd w:val="clear" w:color="auto" w:fill="auto"/>
            <w:vAlign w:val="center"/>
          </w:tcPr>
          <w:p w14:paraId="3A0157D8" w14:textId="59E0F038" w:rsidR="00FF04AF" w:rsidRPr="00171DED" w:rsidRDefault="00FF04AF" w:rsidP="00584F2A">
            <w:pPr>
              <w:spacing w:before="120" w:after="120" w:line="240" w:lineRule="auto"/>
              <w:rPr>
                <w:rFonts w:ascii="Times New Roman" w:hAnsi="Times New Roman"/>
                <w:noProof/>
                <w:sz w:val="20"/>
                <w:szCs w:val="20"/>
                <w:lang w:val="bg-BG" w:eastAsia="bg-BG" w:bidi="bg-BG"/>
              </w:rPr>
            </w:pPr>
          </w:p>
        </w:tc>
        <w:tc>
          <w:tcPr>
            <w:tcW w:w="459" w:type="pct"/>
            <w:shd w:val="clear" w:color="auto" w:fill="auto"/>
            <w:vAlign w:val="center"/>
          </w:tcPr>
          <w:p w14:paraId="6093D40E" w14:textId="256C69FD" w:rsidR="00FF04AF" w:rsidRPr="00171DED" w:rsidRDefault="00FF04AF" w:rsidP="00584F2A">
            <w:pPr>
              <w:spacing w:before="120" w:after="120" w:line="240" w:lineRule="auto"/>
              <w:rPr>
                <w:rFonts w:ascii="Times New Roman" w:hAnsi="Times New Roman"/>
                <w:bCs/>
                <w:noProof/>
                <w:sz w:val="16"/>
                <w:szCs w:val="16"/>
                <w:lang w:val="bg-BG" w:eastAsia="bg-BG" w:bidi="bg-BG"/>
              </w:rPr>
            </w:pPr>
          </w:p>
        </w:tc>
        <w:tc>
          <w:tcPr>
            <w:tcW w:w="375" w:type="pct"/>
            <w:shd w:val="clear" w:color="auto" w:fill="auto"/>
            <w:vAlign w:val="center"/>
          </w:tcPr>
          <w:p w14:paraId="223B0E14" w14:textId="4B2AD9FD" w:rsidR="00FF04AF" w:rsidRPr="00171DED" w:rsidRDefault="00FF04AF" w:rsidP="00584F2A">
            <w:pPr>
              <w:spacing w:before="120" w:after="120" w:line="240" w:lineRule="auto"/>
              <w:rPr>
                <w:rFonts w:ascii="Times New Roman" w:hAnsi="Times New Roman"/>
                <w:bCs/>
                <w:noProof/>
                <w:sz w:val="16"/>
                <w:szCs w:val="16"/>
                <w:lang w:val="bg-BG" w:eastAsia="bg-BG" w:bidi="bg-BG"/>
              </w:rPr>
            </w:pPr>
          </w:p>
        </w:tc>
        <w:tc>
          <w:tcPr>
            <w:tcW w:w="429" w:type="pct"/>
            <w:shd w:val="clear" w:color="auto" w:fill="auto"/>
            <w:vAlign w:val="center"/>
          </w:tcPr>
          <w:p w14:paraId="4E97EBCF" w14:textId="136B8F2B" w:rsidR="00FF04AF" w:rsidRPr="00171DED" w:rsidRDefault="00FF04AF" w:rsidP="00584F2A">
            <w:pPr>
              <w:spacing w:before="120" w:after="120" w:line="240" w:lineRule="auto"/>
              <w:rPr>
                <w:rFonts w:ascii="Times New Roman" w:hAnsi="Times New Roman"/>
                <w:bCs/>
                <w:noProof/>
                <w:sz w:val="16"/>
                <w:szCs w:val="16"/>
                <w:lang w:val="bg-BG" w:eastAsia="bg-BG" w:bidi="bg-BG"/>
              </w:rPr>
            </w:pPr>
          </w:p>
        </w:tc>
      </w:tr>
    </w:tbl>
    <w:p w14:paraId="2CC68433" w14:textId="77777777" w:rsidR="00307597" w:rsidRPr="00171DED" w:rsidRDefault="0030759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358"/>
        <w:gridCol w:w="480"/>
        <w:gridCol w:w="735"/>
        <w:gridCol w:w="487"/>
        <w:gridCol w:w="852"/>
        <w:gridCol w:w="622"/>
        <w:gridCol w:w="787"/>
        <w:gridCol w:w="793"/>
        <w:gridCol w:w="651"/>
        <w:gridCol w:w="780"/>
        <w:gridCol w:w="762"/>
      </w:tblGrid>
      <w:tr w:rsidR="00722757" w:rsidRPr="00171DED" w14:paraId="482A86F9" w14:textId="77777777" w:rsidTr="00E272FD">
        <w:trPr>
          <w:trHeight w:val="480"/>
        </w:trPr>
        <w:tc>
          <w:tcPr>
            <w:tcW w:w="5000" w:type="pct"/>
            <w:gridSpan w:val="12"/>
          </w:tcPr>
          <w:p w14:paraId="6340CDF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385A61" w:rsidRPr="00171DED" w14:paraId="1460E42C" w14:textId="77777777" w:rsidTr="00FF04AF">
        <w:trPr>
          <w:trHeight w:val="1768"/>
        </w:trPr>
        <w:tc>
          <w:tcPr>
            <w:tcW w:w="507" w:type="pct"/>
          </w:tcPr>
          <w:p w14:paraId="2288DD2B"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10" w:type="pct"/>
          </w:tcPr>
          <w:p w14:paraId="779984DF" w14:textId="19AB41AA"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256" w:type="pct"/>
          </w:tcPr>
          <w:p w14:paraId="578B5F70"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87" w:type="pct"/>
          </w:tcPr>
          <w:p w14:paraId="18D9326B"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59" w:type="pct"/>
          </w:tcPr>
          <w:p w14:paraId="5F6FE77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603" w:type="pct"/>
            <w:shd w:val="clear" w:color="auto" w:fill="auto"/>
          </w:tcPr>
          <w:p w14:paraId="630FD410"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29" w:type="pct"/>
          </w:tcPr>
          <w:p w14:paraId="7147521C"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5" w:type="pct"/>
          </w:tcPr>
          <w:p w14:paraId="5825F661"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18" w:type="pct"/>
          </w:tcPr>
          <w:p w14:paraId="4369CAF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44" w:type="pct"/>
            <w:shd w:val="clear" w:color="auto" w:fill="auto"/>
          </w:tcPr>
          <w:p w14:paraId="4C9C5CDE"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25A38325"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0CEAFBC2" w14:textId="77777777" w:rsidR="00722757" w:rsidRPr="00171DED" w:rsidRDefault="00722757" w:rsidP="00B94321">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02" w:type="pct"/>
          </w:tcPr>
          <w:p w14:paraId="2DC908BC" w14:textId="77777777" w:rsidR="00722757" w:rsidRPr="00171DED" w:rsidRDefault="00722757" w:rsidP="00B94321">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FF04AF" w:rsidRPr="00171DED" w14:paraId="1FF6AE09" w14:textId="77777777" w:rsidTr="000F1D9A">
        <w:trPr>
          <w:trHeight w:val="2545"/>
        </w:trPr>
        <w:tc>
          <w:tcPr>
            <w:tcW w:w="507" w:type="pct"/>
            <w:vAlign w:val="center"/>
          </w:tcPr>
          <w:p w14:paraId="641E3796" w14:textId="407C65E9" w:rsidR="00FF04AF" w:rsidRPr="00171DED" w:rsidRDefault="00FF04AF" w:rsidP="000F1D9A">
            <w:pPr>
              <w:spacing w:before="120" w:after="120" w:line="240" w:lineRule="auto"/>
              <w:rPr>
                <w:rFonts w:ascii="Times New Roman" w:hAnsi="Times New Roman"/>
                <w:bCs/>
                <w:noProof/>
                <w:sz w:val="20"/>
                <w:szCs w:val="10"/>
                <w:lang w:val="bg-BG" w:eastAsia="bg-BG" w:bidi="bg-BG"/>
              </w:rPr>
            </w:pPr>
            <w:r w:rsidRPr="00171DED">
              <w:rPr>
                <w:rFonts w:ascii="Times New Roman" w:hAnsi="Times New Roman"/>
                <w:bCs/>
                <w:noProof/>
                <w:sz w:val="20"/>
                <w:szCs w:val="10"/>
                <w:lang w:val="bg-BG" w:eastAsia="bg-BG" w:bidi="bg-BG"/>
              </w:rPr>
              <w:t>„Въздух“</w:t>
            </w:r>
          </w:p>
          <w:p w14:paraId="764759E5" w14:textId="77777777" w:rsidR="00FF04AF" w:rsidRPr="00171DED" w:rsidRDefault="00FF04AF" w:rsidP="000F1D9A">
            <w:pPr>
              <w:spacing w:before="120" w:after="120" w:line="240" w:lineRule="auto"/>
              <w:rPr>
                <w:rFonts w:ascii="Times New Roman" w:hAnsi="Times New Roman"/>
                <w:noProof/>
                <w:sz w:val="20"/>
                <w:szCs w:val="10"/>
                <w:lang w:val="bg-BG" w:eastAsia="bg-BG" w:bidi="bg-BG"/>
              </w:rPr>
            </w:pPr>
          </w:p>
        </w:tc>
        <w:tc>
          <w:tcPr>
            <w:tcW w:w="710" w:type="pct"/>
            <w:vAlign w:val="center"/>
          </w:tcPr>
          <w:p w14:paraId="2A508F51" w14:textId="77777777" w:rsidR="00FF04AF" w:rsidRPr="00171DED" w:rsidRDefault="00FF04AF" w:rsidP="000F1D9A">
            <w:pPr>
              <w:spacing w:before="120" w:after="120" w:line="240" w:lineRule="auto"/>
              <w:rPr>
                <w:rFonts w:ascii="Times New Roman" w:hAnsi="Times New Roman"/>
                <w:noProof/>
                <w:sz w:val="20"/>
                <w:lang w:val="bg-BG" w:eastAsia="bg-BG" w:bidi="bg-BG"/>
              </w:rPr>
            </w:pPr>
            <w:r w:rsidRPr="00171DED">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6" w:type="pct"/>
            <w:vAlign w:val="center"/>
          </w:tcPr>
          <w:p w14:paraId="6F96EA45" w14:textId="77777777" w:rsidR="00FF04AF" w:rsidRPr="00171DED" w:rsidRDefault="00FF04AF" w:rsidP="000F1D9A">
            <w:pPr>
              <w:spacing w:before="120" w:after="120" w:line="240" w:lineRule="auto"/>
              <w:rPr>
                <w:rFonts w:ascii="Times New Roman" w:hAnsi="Times New Roman"/>
                <w:noProof/>
                <w:sz w:val="18"/>
                <w:szCs w:val="14"/>
                <w:lang w:val="bg-BG" w:eastAsia="bg-BG" w:bidi="bg-BG"/>
              </w:rPr>
            </w:pPr>
            <w:r w:rsidRPr="00171DED">
              <w:rPr>
                <w:rFonts w:ascii="Times New Roman" w:hAnsi="Times New Roman"/>
                <w:iCs/>
                <w:noProof/>
                <w:sz w:val="18"/>
                <w:szCs w:val="14"/>
                <w:lang w:eastAsia="bg-BG" w:bidi="bg-BG"/>
              </w:rPr>
              <w:t>КФ</w:t>
            </w:r>
          </w:p>
        </w:tc>
        <w:tc>
          <w:tcPr>
            <w:tcW w:w="387" w:type="pct"/>
            <w:vAlign w:val="center"/>
          </w:tcPr>
          <w:p w14:paraId="0BA63CB9" w14:textId="5A02D0D3" w:rsidR="00FF04AF" w:rsidRPr="00171DED" w:rsidRDefault="00FF04AF" w:rsidP="000F1D9A">
            <w:pPr>
              <w:spacing w:before="120" w:after="120" w:line="240" w:lineRule="auto"/>
              <w:rPr>
                <w:rFonts w:ascii="Times New Roman" w:hAnsi="Times New Roman"/>
                <w:i/>
                <w:noProof/>
                <w:sz w:val="14"/>
                <w:szCs w:val="14"/>
                <w:lang w:val="bg-BG" w:eastAsia="bg-BG" w:bidi="bg-BG"/>
              </w:rPr>
            </w:pPr>
          </w:p>
        </w:tc>
        <w:tc>
          <w:tcPr>
            <w:tcW w:w="259" w:type="pct"/>
            <w:vAlign w:val="center"/>
          </w:tcPr>
          <w:p w14:paraId="03744F2A" w14:textId="77777777" w:rsidR="00FF04AF" w:rsidRPr="00171DED" w:rsidRDefault="00FF04AF" w:rsidP="000F1D9A">
            <w:pPr>
              <w:spacing w:before="120" w:after="120" w:line="240" w:lineRule="auto"/>
              <w:rPr>
                <w:rFonts w:ascii="Times New Roman" w:hAnsi="Times New Roman"/>
                <w:bCs/>
                <w:noProof/>
                <w:sz w:val="20"/>
                <w:szCs w:val="20"/>
                <w:lang w:val="bg-BG" w:eastAsia="bg-BG" w:bidi="bg-BG"/>
              </w:rPr>
            </w:pPr>
            <w:r w:rsidRPr="00171DED">
              <w:rPr>
                <w:rFonts w:ascii="Times New Roman" w:hAnsi="Times New Roman"/>
                <w:bCs/>
                <w:noProof/>
                <w:sz w:val="20"/>
                <w:szCs w:val="20"/>
                <w:lang w:val="bg-BG" w:eastAsia="bg-BG" w:bidi="bg-BG"/>
              </w:rPr>
              <w:t>RCR 50</w:t>
            </w:r>
          </w:p>
        </w:tc>
        <w:tc>
          <w:tcPr>
            <w:tcW w:w="603" w:type="pct"/>
            <w:shd w:val="clear" w:color="auto" w:fill="auto"/>
            <w:vAlign w:val="center"/>
          </w:tcPr>
          <w:p w14:paraId="200DBC73" w14:textId="77777777" w:rsidR="00FF04AF" w:rsidRPr="00171DED" w:rsidRDefault="00FF04AF" w:rsidP="000F1D9A">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които се ползват от мерки по отношение на качеството на въздуха</w:t>
            </w:r>
          </w:p>
        </w:tc>
        <w:tc>
          <w:tcPr>
            <w:tcW w:w="329" w:type="pct"/>
            <w:vAlign w:val="center"/>
          </w:tcPr>
          <w:p w14:paraId="4A03587A" w14:textId="77BA6FC3" w:rsidR="00FF04AF" w:rsidRPr="002D7F1D" w:rsidRDefault="00FF04AF" w:rsidP="000F1D9A">
            <w:pPr>
              <w:spacing w:before="120" w:after="120" w:line="240" w:lineRule="auto"/>
              <w:rPr>
                <w:rFonts w:ascii="Times New Roman" w:hAnsi="Times New Roman"/>
                <w:i/>
                <w:noProof/>
                <w:sz w:val="20"/>
                <w:szCs w:val="20"/>
                <w:lang w:val="bg-BG" w:eastAsia="bg-BG" w:bidi="bg-BG"/>
              </w:rPr>
            </w:pPr>
            <w:r w:rsidRPr="002D7F1D">
              <w:rPr>
                <w:rFonts w:ascii="Times New Roman" w:hAnsi="Times New Roman"/>
                <w:iCs/>
                <w:noProof/>
                <w:sz w:val="20"/>
                <w:szCs w:val="20"/>
                <w:lang w:val="bg-BG" w:eastAsia="bg-BG" w:bidi="bg-BG"/>
              </w:rPr>
              <w:t>лица</w:t>
            </w:r>
          </w:p>
        </w:tc>
        <w:tc>
          <w:tcPr>
            <w:tcW w:w="415" w:type="pct"/>
            <w:vAlign w:val="center"/>
          </w:tcPr>
          <w:p w14:paraId="7D660BD8" w14:textId="3D04987C" w:rsidR="00FF04AF" w:rsidRPr="002D7F1D" w:rsidRDefault="00155F76" w:rsidP="000F1D9A">
            <w:pPr>
              <w:spacing w:before="120" w:after="120" w:line="240" w:lineRule="auto"/>
              <w:rPr>
                <w:rFonts w:ascii="Times New Roman" w:hAnsi="Times New Roman"/>
                <w:iCs/>
                <w:noProof/>
                <w:sz w:val="20"/>
                <w:szCs w:val="20"/>
                <w:lang w:val="bg-BG" w:eastAsia="bg-BG" w:bidi="bg-BG"/>
              </w:rPr>
            </w:pPr>
            <w:r w:rsidRPr="002D7F1D">
              <w:rPr>
                <w:rFonts w:ascii="Times New Roman" w:hAnsi="Times New Roman"/>
                <w:iCs/>
                <w:noProof/>
                <w:sz w:val="20"/>
                <w:szCs w:val="20"/>
                <w:lang w:val="bg-BG" w:eastAsia="bg-BG" w:bidi="bg-BG"/>
              </w:rPr>
              <w:t>0</w:t>
            </w:r>
          </w:p>
        </w:tc>
        <w:tc>
          <w:tcPr>
            <w:tcW w:w="418" w:type="pct"/>
            <w:vAlign w:val="center"/>
          </w:tcPr>
          <w:p w14:paraId="4EE16144" w14:textId="6C622EEB" w:rsidR="00FF04AF" w:rsidRPr="002D7F1D" w:rsidRDefault="00DC687F" w:rsidP="000F1D9A">
            <w:pPr>
              <w:spacing w:before="120" w:after="120" w:line="240" w:lineRule="auto"/>
              <w:rPr>
                <w:rFonts w:ascii="Times New Roman" w:hAnsi="Times New Roman"/>
                <w:bCs/>
                <w:noProof/>
                <w:sz w:val="20"/>
                <w:szCs w:val="20"/>
                <w:lang w:val="bg-BG" w:eastAsia="bg-BG" w:bidi="bg-BG"/>
              </w:rPr>
            </w:pPr>
            <w:r w:rsidRPr="002D7F1D">
              <w:rPr>
                <w:rFonts w:ascii="Times New Roman" w:hAnsi="Times New Roman"/>
                <w:bCs/>
                <w:noProof/>
                <w:sz w:val="20"/>
                <w:szCs w:val="20"/>
                <w:lang w:val="bg-BG" w:eastAsia="bg-BG" w:bidi="bg-BG"/>
              </w:rPr>
              <w:t>202</w:t>
            </w:r>
            <w:r w:rsidR="000F7A8A" w:rsidRPr="002D7F1D">
              <w:rPr>
                <w:rFonts w:ascii="Times New Roman" w:hAnsi="Times New Roman"/>
                <w:bCs/>
                <w:noProof/>
                <w:sz w:val="20"/>
                <w:szCs w:val="20"/>
                <w:lang w:val="bg-BG" w:eastAsia="bg-BG" w:bidi="bg-BG"/>
              </w:rPr>
              <w:t>1</w:t>
            </w:r>
          </w:p>
        </w:tc>
        <w:tc>
          <w:tcPr>
            <w:tcW w:w="344" w:type="pct"/>
            <w:shd w:val="clear" w:color="auto" w:fill="auto"/>
            <w:vAlign w:val="center"/>
          </w:tcPr>
          <w:p w14:paraId="375D5B06" w14:textId="203BD7C2" w:rsidR="00FF04AF" w:rsidRPr="002D7F1D" w:rsidRDefault="00155F76" w:rsidP="000F1D9A">
            <w:pPr>
              <w:spacing w:before="120" w:after="120" w:line="240" w:lineRule="auto"/>
              <w:rPr>
                <w:rFonts w:ascii="Times New Roman" w:hAnsi="Times New Roman"/>
                <w:bCs/>
                <w:noProof/>
                <w:sz w:val="20"/>
                <w:szCs w:val="20"/>
                <w:lang w:eastAsia="bg-BG" w:bidi="bg-BG"/>
              </w:rPr>
            </w:pPr>
            <w:r w:rsidRPr="002D7F1D">
              <w:rPr>
                <w:rFonts w:ascii="Times New Roman" w:hAnsi="Times New Roman"/>
                <w:bCs/>
                <w:noProof/>
                <w:sz w:val="20"/>
                <w:szCs w:val="20"/>
                <w:lang w:val="bg-BG" w:eastAsia="bg-BG" w:bidi="bg-BG"/>
              </w:rPr>
              <w:t xml:space="preserve">  3 </w:t>
            </w:r>
            <w:r w:rsidR="00DC687F" w:rsidRPr="002D7F1D">
              <w:rPr>
                <w:rFonts w:ascii="Times New Roman" w:hAnsi="Times New Roman"/>
                <w:bCs/>
                <w:noProof/>
                <w:sz w:val="20"/>
                <w:szCs w:val="20"/>
                <w:lang w:val="bg-BG" w:eastAsia="bg-BG" w:bidi="bg-BG"/>
              </w:rPr>
              <w:t>904 000</w:t>
            </w:r>
          </w:p>
        </w:tc>
        <w:tc>
          <w:tcPr>
            <w:tcW w:w="369" w:type="pct"/>
            <w:shd w:val="clear" w:color="auto" w:fill="auto"/>
            <w:vAlign w:val="center"/>
          </w:tcPr>
          <w:p w14:paraId="1379CF8C" w14:textId="0AE4BDD2" w:rsidR="00FF04AF" w:rsidRPr="00171DED" w:rsidRDefault="00155F76" w:rsidP="000F1D9A">
            <w:pPr>
              <w:spacing w:before="120" w:after="120" w:line="48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Подкрепени проекти</w:t>
            </w:r>
            <w:r w:rsidR="00611A4D" w:rsidRPr="00171DED">
              <w:rPr>
                <w:rFonts w:ascii="Times New Roman" w:hAnsi="Times New Roman"/>
                <w:iCs/>
                <w:noProof/>
                <w:sz w:val="16"/>
                <w:szCs w:val="16"/>
                <w:lang w:eastAsia="bg-BG" w:bidi="bg-BG"/>
              </w:rPr>
              <w:t>,</w:t>
            </w:r>
            <w:r w:rsidR="00611A4D" w:rsidRPr="00171DED">
              <w:rPr>
                <w:rFonts w:ascii="Times New Roman" w:hAnsi="Times New Roman"/>
                <w:iCs/>
                <w:noProof/>
                <w:sz w:val="16"/>
                <w:szCs w:val="16"/>
                <w:lang w:val="bg-BG" w:eastAsia="bg-BG" w:bidi="bg-BG"/>
              </w:rPr>
              <w:t xml:space="preserve"> УО на ОПОС</w:t>
            </w:r>
          </w:p>
        </w:tc>
        <w:tc>
          <w:tcPr>
            <w:tcW w:w="402" w:type="pct"/>
          </w:tcPr>
          <w:p w14:paraId="431BE395" w14:textId="77777777" w:rsidR="00FF04AF" w:rsidRPr="00171DED" w:rsidRDefault="00FF04AF" w:rsidP="00B94321">
            <w:pPr>
              <w:spacing w:before="120" w:after="120" w:line="240" w:lineRule="auto"/>
              <w:jc w:val="both"/>
              <w:rPr>
                <w:rFonts w:ascii="Times New Roman" w:eastAsia="Calibri" w:hAnsi="Times New Roman" w:cs="Times New Roman"/>
                <w:i/>
                <w:noProof/>
                <w:sz w:val="14"/>
                <w:szCs w:val="14"/>
                <w:lang w:val="bg-BG" w:eastAsia="bg-BG" w:bidi="bg-BG"/>
              </w:rPr>
            </w:pPr>
          </w:p>
        </w:tc>
      </w:tr>
    </w:tbl>
    <w:p w14:paraId="1CDA439B" w14:textId="2A216454"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7C605198"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
        <w:tblW w:w="9493" w:type="dxa"/>
        <w:tblLook w:val="04A0" w:firstRow="1" w:lastRow="0" w:firstColumn="1" w:lastColumn="0" w:noHBand="0" w:noVBand="1"/>
      </w:tblPr>
      <w:tblGrid>
        <w:gridCol w:w="1517"/>
        <w:gridCol w:w="1066"/>
        <w:gridCol w:w="1174"/>
        <w:gridCol w:w="1908"/>
        <w:gridCol w:w="1988"/>
        <w:gridCol w:w="1840"/>
      </w:tblGrid>
      <w:tr w:rsidR="00722757" w:rsidRPr="0010575B" w14:paraId="7832AF11" w14:textId="77777777" w:rsidTr="00D8749D">
        <w:tc>
          <w:tcPr>
            <w:tcW w:w="9493" w:type="dxa"/>
            <w:gridSpan w:val="6"/>
          </w:tcPr>
          <w:p w14:paraId="16272E9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722757" w:rsidRPr="00171DED" w14:paraId="1D3B850B" w14:textId="77777777" w:rsidTr="006D1C65">
        <w:tc>
          <w:tcPr>
            <w:tcW w:w="1517" w:type="dxa"/>
          </w:tcPr>
          <w:p w14:paraId="4B730E12"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066" w:type="dxa"/>
          </w:tcPr>
          <w:p w14:paraId="17EF9BC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174" w:type="dxa"/>
          </w:tcPr>
          <w:p w14:paraId="5E38404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8" w:type="dxa"/>
          </w:tcPr>
          <w:p w14:paraId="2F0741A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988" w:type="dxa"/>
          </w:tcPr>
          <w:p w14:paraId="446E9DA7"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840" w:type="dxa"/>
          </w:tcPr>
          <w:p w14:paraId="62A2DE6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A1300" w:rsidRPr="0010575B" w14:paraId="79F1B2EF" w14:textId="77777777" w:rsidTr="003B31A4">
        <w:trPr>
          <w:trHeight w:val="1824"/>
        </w:trPr>
        <w:tc>
          <w:tcPr>
            <w:tcW w:w="1517" w:type="dxa"/>
            <w:vAlign w:val="center"/>
          </w:tcPr>
          <w:p w14:paraId="2FD0FD22" w14:textId="2FC5FAB7"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lastRenderedPageBreak/>
              <w:t>5 „Въздух“</w:t>
            </w:r>
          </w:p>
        </w:tc>
        <w:tc>
          <w:tcPr>
            <w:tcW w:w="1066" w:type="dxa"/>
            <w:vAlign w:val="center"/>
          </w:tcPr>
          <w:p w14:paraId="7F8BBD37" w14:textId="77777777"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174" w:type="dxa"/>
            <w:vAlign w:val="center"/>
          </w:tcPr>
          <w:p w14:paraId="2EE6EC34" w14:textId="5E12B3B8" w:rsidR="00FA1300" w:rsidRPr="00171DED" w:rsidRDefault="00FA1300" w:rsidP="003B31A4">
            <w:pPr>
              <w:spacing w:before="120" w:after="120"/>
              <w:rPr>
                <w:rFonts w:ascii="Times New Roman" w:eastAsia="Times New Roman" w:hAnsi="Times New Roman" w:cs="Times New Roman"/>
                <w:b/>
                <w:iCs/>
                <w:noProof/>
                <w:sz w:val="20"/>
                <w:szCs w:val="20"/>
              </w:rPr>
            </w:pPr>
          </w:p>
        </w:tc>
        <w:tc>
          <w:tcPr>
            <w:tcW w:w="1908" w:type="dxa"/>
            <w:vAlign w:val="center"/>
          </w:tcPr>
          <w:p w14:paraId="6C005F3B" w14:textId="00824E7E"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988" w:type="dxa"/>
            <w:vAlign w:val="center"/>
          </w:tcPr>
          <w:p w14:paraId="65523A31" w14:textId="77777777"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048 Мерки за намаляване на шума и за качеството на въздуха</w:t>
            </w:r>
          </w:p>
        </w:tc>
        <w:tc>
          <w:tcPr>
            <w:tcW w:w="1840" w:type="dxa"/>
            <w:vAlign w:val="center"/>
          </w:tcPr>
          <w:p w14:paraId="1E8F4909" w14:textId="5C29731A" w:rsidR="00FA1300" w:rsidRPr="00FA1300" w:rsidRDefault="00FA1300" w:rsidP="003B31A4">
            <w:pPr>
              <w:spacing w:before="120" w:after="120"/>
              <w:rPr>
                <w:rFonts w:ascii="Times New Roman" w:eastAsia="Times New Roman" w:hAnsi="Times New Roman" w:cs="Times New Roman"/>
                <w:bCs/>
                <w:iCs/>
                <w:noProof/>
                <w:sz w:val="20"/>
                <w:szCs w:val="20"/>
              </w:rPr>
            </w:pPr>
            <w:r w:rsidRPr="00FA1300">
              <w:rPr>
                <w:rFonts w:ascii="Times New Roman" w:eastAsia="Times New Roman" w:hAnsi="Times New Roman" w:cs="Times New Roman"/>
                <w:bCs/>
                <w:iCs/>
                <w:noProof/>
                <w:sz w:val="20"/>
                <w:szCs w:val="20"/>
              </w:rPr>
              <w:t>442 314 500,00</w:t>
            </w:r>
          </w:p>
        </w:tc>
      </w:tr>
    </w:tbl>
    <w:p w14:paraId="1F5BFCAC"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524" w:type="dxa"/>
        <w:tblLook w:val="04A0" w:firstRow="1" w:lastRow="0" w:firstColumn="1" w:lastColumn="0" w:noHBand="0" w:noVBand="1"/>
      </w:tblPr>
      <w:tblGrid>
        <w:gridCol w:w="1522"/>
        <w:gridCol w:w="1176"/>
        <w:gridCol w:w="1353"/>
        <w:gridCol w:w="1903"/>
        <w:gridCol w:w="1826"/>
        <w:gridCol w:w="1744"/>
      </w:tblGrid>
      <w:tr w:rsidR="00722757" w:rsidRPr="0010575B" w14:paraId="406DC315" w14:textId="77777777" w:rsidTr="008B5CA3">
        <w:tc>
          <w:tcPr>
            <w:tcW w:w="9524" w:type="dxa"/>
            <w:gridSpan w:val="6"/>
          </w:tcPr>
          <w:p w14:paraId="2A094376"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722757" w:rsidRPr="00171DED" w14:paraId="67B0FA08" w14:textId="77777777" w:rsidTr="008B5CA3">
        <w:tc>
          <w:tcPr>
            <w:tcW w:w="1522" w:type="dxa"/>
          </w:tcPr>
          <w:p w14:paraId="4DE1E5D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6" w:type="dxa"/>
          </w:tcPr>
          <w:p w14:paraId="6E3AD0C0"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3" w:type="dxa"/>
          </w:tcPr>
          <w:p w14:paraId="616754AD"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542865A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826" w:type="dxa"/>
          </w:tcPr>
          <w:p w14:paraId="2CD0E50E"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4" w:type="dxa"/>
          </w:tcPr>
          <w:p w14:paraId="64F009B3"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066A5" w:rsidRPr="00171DED" w14:paraId="48220901" w14:textId="77777777" w:rsidTr="003B31A4">
        <w:trPr>
          <w:trHeight w:val="950"/>
        </w:trPr>
        <w:tc>
          <w:tcPr>
            <w:tcW w:w="1522" w:type="dxa"/>
            <w:vMerge w:val="restart"/>
            <w:vAlign w:val="center"/>
          </w:tcPr>
          <w:p w14:paraId="20F07043" w14:textId="23D46277" w:rsidR="00E066A5" w:rsidRPr="00171DED" w:rsidRDefault="00E066A5" w:rsidP="00BF4C23">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1176" w:type="dxa"/>
            <w:vMerge w:val="restart"/>
            <w:vAlign w:val="center"/>
          </w:tcPr>
          <w:p w14:paraId="430F8B0A" w14:textId="77777777" w:rsidR="00E066A5" w:rsidRPr="00171DED" w:rsidRDefault="00E066A5" w:rsidP="00BF4C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3" w:type="dxa"/>
            <w:vMerge w:val="restart"/>
            <w:vAlign w:val="center"/>
          </w:tcPr>
          <w:p w14:paraId="4655CA29" w14:textId="028712D9" w:rsidR="00E066A5" w:rsidRPr="00171DED" w:rsidRDefault="00E066A5" w:rsidP="00BF4C23">
            <w:pPr>
              <w:spacing w:before="120" w:after="120"/>
              <w:rPr>
                <w:rFonts w:ascii="Times New Roman" w:eastAsia="Times New Roman" w:hAnsi="Times New Roman" w:cs="Times New Roman"/>
                <w:b/>
                <w:iCs/>
                <w:noProof/>
                <w:sz w:val="20"/>
                <w:szCs w:val="20"/>
              </w:rPr>
            </w:pPr>
          </w:p>
        </w:tc>
        <w:tc>
          <w:tcPr>
            <w:tcW w:w="1903" w:type="dxa"/>
            <w:vMerge w:val="restart"/>
            <w:vAlign w:val="center"/>
          </w:tcPr>
          <w:p w14:paraId="64396454" w14:textId="47237047" w:rsidR="00E066A5" w:rsidRPr="00171DED" w:rsidRDefault="00E066A5" w:rsidP="00BF4C23">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826" w:type="dxa"/>
            <w:vAlign w:val="center"/>
          </w:tcPr>
          <w:p w14:paraId="08CAD7C4" w14:textId="77777777" w:rsidR="00E066A5" w:rsidRPr="00171DED" w:rsidRDefault="00E066A5" w:rsidP="00BF4C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744" w:type="dxa"/>
            <w:vAlign w:val="center"/>
          </w:tcPr>
          <w:p w14:paraId="68C4273C" w14:textId="684EEF4F" w:rsidR="00E066A5" w:rsidRPr="00E066A5" w:rsidRDefault="00E066A5" w:rsidP="00BF4C23">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416 814 500,00</w:t>
            </w:r>
          </w:p>
        </w:tc>
      </w:tr>
      <w:tr w:rsidR="00E066A5" w:rsidRPr="0010575B" w14:paraId="40A78765" w14:textId="77777777" w:rsidTr="003B31A4">
        <w:tc>
          <w:tcPr>
            <w:tcW w:w="1522" w:type="dxa"/>
            <w:vMerge/>
            <w:vAlign w:val="center"/>
          </w:tcPr>
          <w:p w14:paraId="3DA94B15"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1176" w:type="dxa"/>
            <w:vMerge/>
            <w:vAlign w:val="center"/>
          </w:tcPr>
          <w:p w14:paraId="22B238A0" w14:textId="77777777" w:rsidR="00E066A5" w:rsidRPr="00171DED" w:rsidRDefault="00E066A5" w:rsidP="00584F2A">
            <w:pPr>
              <w:spacing w:before="120" w:after="120"/>
              <w:rPr>
                <w:rFonts w:ascii="Times New Roman" w:eastAsia="Times New Roman" w:hAnsi="Times New Roman" w:cs="Times New Roman"/>
                <w:iCs/>
                <w:noProof/>
                <w:sz w:val="20"/>
                <w:szCs w:val="20"/>
              </w:rPr>
            </w:pPr>
          </w:p>
        </w:tc>
        <w:tc>
          <w:tcPr>
            <w:tcW w:w="1353" w:type="dxa"/>
            <w:vMerge/>
            <w:vAlign w:val="center"/>
          </w:tcPr>
          <w:p w14:paraId="2A331D5B" w14:textId="77777777" w:rsidR="00E066A5" w:rsidRPr="00171DED" w:rsidRDefault="00E066A5" w:rsidP="00584F2A">
            <w:pPr>
              <w:spacing w:before="120" w:after="120"/>
              <w:rPr>
                <w:rFonts w:ascii="Times New Roman" w:eastAsia="Times New Roman" w:hAnsi="Times New Roman" w:cs="Times New Roman"/>
                <w:b/>
                <w:iCs/>
                <w:noProof/>
                <w:sz w:val="20"/>
                <w:szCs w:val="20"/>
              </w:rPr>
            </w:pPr>
          </w:p>
        </w:tc>
        <w:tc>
          <w:tcPr>
            <w:tcW w:w="1903" w:type="dxa"/>
            <w:vMerge/>
            <w:vAlign w:val="center"/>
          </w:tcPr>
          <w:p w14:paraId="05F9EDA0"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1826" w:type="dxa"/>
            <w:vAlign w:val="center"/>
          </w:tcPr>
          <w:p w14:paraId="601DC420" w14:textId="36EB1AB6" w:rsidR="00E066A5" w:rsidRPr="00171DED" w:rsidRDefault="00E066A5"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4" w:type="dxa"/>
            <w:vAlign w:val="center"/>
          </w:tcPr>
          <w:p w14:paraId="70F9F7E2" w14:textId="373F929A" w:rsidR="00E066A5" w:rsidRPr="00E066A5" w:rsidRDefault="00E066A5" w:rsidP="00BF4C23">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25 500 000,00</w:t>
            </w:r>
          </w:p>
        </w:tc>
      </w:tr>
    </w:tbl>
    <w:p w14:paraId="52F9E7AA"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70"/>
        <w:gridCol w:w="1274"/>
        <w:gridCol w:w="1392"/>
        <w:gridCol w:w="1903"/>
        <w:gridCol w:w="974"/>
        <w:gridCol w:w="2380"/>
      </w:tblGrid>
      <w:tr w:rsidR="00722757" w:rsidRPr="0010575B" w14:paraId="28459832" w14:textId="77777777" w:rsidTr="00F777FE">
        <w:tc>
          <w:tcPr>
            <w:tcW w:w="9493" w:type="dxa"/>
            <w:gridSpan w:val="6"/>
          </w:tcPr>
          <w:p w14:paraId="5839462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722757" w:rsidRPr="00171DED" w14:paraId="1DB3E43B" w14:textId="77777777" w:rsidTr="00F777FE">
        <w:tc>
          <w:tcPr>
            <w:tcW w:w="1570" w:type="dxa"/>
          </w:tcPr>
          <w:p w14:paraId="10EC6EF7"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274" w:type="dxa"/>
          </w:tcPr>
          <w:p w14:paraId="5969A111"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92" w:type="dxa"/>
          </w:tcPr>
          <w:p w14:paraId="4454F0E0"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09A9AA3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74" w:type="dxa"/>
          </w:tcPr>
          <w:p w14:paraId="4CF344C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380" w:type="dxa"/>
          </w:tcPr>
          <w:p w14:paraId="2BA2C031"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066A5" w:rsidRPr="00171DED" w14:paraId="45276ED4" w14:textId="77777777" w:rsidTr="00381478">
        <w:trPr>
          <w:trHeight w:val="923"/>
        </w:trPr>
        <w:tc>
          <w:tcPr>
            <w:tcW w:w="1570" w:type="dxa"/>
            <w:vMerge w:val="restart"/>
            <w:vAlign w:val="center"/>
          </w:tcPr>
          <w:p w14:paraId="63A35035" w14:textId="745B3423" w:rsidR="00E066A5" w:rsidRPr="00171DED" w:rsidRDefault="00E066A5" w:rsidP="00381478">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1274" w:type="dxa"/>
            <w:vMerge w:val="restart"/>
            <w:vAlign w:val="center"/>
          </w:tcPr>
          <w:p w14:paraId="0B48FF83" w14:textId="77777777" w:rsidR="00E066A5" w:rsidRPr="00171DED" w:rsidRDefault="00E066A5" w:rsidP="0038147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92" w:type="dxa"/>
            <w:vMerge w:val="restart"/>
            <w:vAlign w:val="center"/>
          </w:tcPr>
          <w:p w14:paraId="0A7EFA8B" w14:textId="6A0EFBC4" w:rsidR="00E066A5" w:rsidRPr="00171DED" w:rsidRDefault="00E066A5" w:rsidP="00381478">
            <w:pPr>
              <w:spacing w:before="120" w:after="120"/>
              <w:rPr>
                <w:rFonts w:ascii="Times New Roman" w:eastAsia="Times New Roman" w:hAnsi="Times New Roman" w:cs="Times New Roman"/>
                <w:b/>
                <w:iCs/>
                <w:noProof/>
                <w:sz w:val="20"/>
                <w:szCs w:val="20"/>
              </w:rPr>
            </w:pPr>
          </w:p>
        </w:tc>
        <w:tc>
          <w:tcPr>
            <w:tcW w:w="1903" w:type="dxa"/>
            <w:vMerge w:val="restart"/>
            <w:shd w:val="clear" w:color="auto" w:fill="auto"/>
            <w:vAlign w:val="center"/>
          </w:tcPr>
          <w:p w14:paraId="445E5194" w14:textId="2C2A0FBA" w:rsidR="00E066A5" w:rsidRPr="00171DED" w:rsidRDefault="00E066A5" w:rsidP="00381478">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4" w:type="dxa"/>
            <w:shd w:val="clear" w:color="auto" w:fill="auto"/>
            <w:vAlign w:val="center"/>
          </w:tcPr>
          <w:p w14:paraId="716C859C" w14:textId="6972F547" w:rsidR="00E066A5" w:rsidRPr="00446088" w:rsidRDefault="00E066A5" w:rsidP="00381478">
            <w:pPr>
              <w:spacing w:before="120" w:after="120"/>
              <w:rPr>
                <w:rFonts w:ascii="Times New Roman" w:hAnsi="Times New Roman" w:cs="Times New Roman"/>
                <w:color w:val="000000"/>
                <w:sz w:val="20"/>
                <w:szCs w:val="20"/>
              </w:rPr>
            </w:pPr>
            <w:r w:rsidRPr="00446088">
              <w:rPr>
                <w:rFonts w:ascii="Times New Roman" w:hAnsi="Times New Roman" w:cs="Times New Roman"/>
                <w:color w:val="000000"/>
                <w:sz w:val="20"/>
                <w:szCs w:val="20"/>
              </w:rPr>
              <w:t>17</w:t>
            </w:r>
          </w:p>
        </w:tc>
        <w:tc>
          <w:tcPr>
            <w:tcW w:w="2380" w:type="dxa"/>
            <w:shd w:val="clear" w:color="auto" w:fill="auto"/>
            <w:vAlign w:val="center"/>
          </w:tcPr>
          <w:p w14:paraId="6B4EB29F" w14:textId="7212433B" w:rsidR="00E066A5" w:rsidRPr="00E066A5" w:rsidRDefault="00E066A5" w:rsidP="00381478">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396 236 000,00</w:t>
            </w:r>
          </w:p>
        </w:tc>
      </w:tr>
      <w:tr w:rsidR="00E066A5" w:rsidRPr="00171DED" w14:paraId="302B6510" w14:textId="77777777" w:rsidTr="00381478">
        <w:trPr>
          <w:trHeight w:val="922"/>
        </w:trPr>
        <w:tc>
          <w:tcPr>
            <w:tcW w:w="1570" w:type="dxa"/>
            <w:vMerge/>
            <w:vAlign w:val="center"/>
          </w:tcPr>
          <w:p w14:paraId="412B0223"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1274" w:type="dxa"/>
            <w:vMerge/>
            <w:vAlign w:val="center"/>
          </w:tcPr>
          <w:p w14:paraId="29FDC6DE" w14:textId="77777777" w:rsidR="00E066A5" w:rsidRPr="00171DED" w:rsidRDefault="00E066A5" w:rsidP="00584F2A">
            <w:pPr>
              <w:spacing w:before="120" w:after="120"/>
              <w:rPr>
                <w:rFonts w:ascii="Times New Roman" w:eastAsia="Times New Roman" w:hAnsi="Times New Roman" w:cs="Times New Roman"/>
                <w:iCs/>
                <w:noProof/>
                <w:sz w:val="20"/>
                <w:szCs w:val="20"/>
              </w:rPr>
            </w:pPr>
          </w:p>
        </w:tc>
        <w:tc>
          <w:tcPr>
            <w:tcW w:w="1392" w:type="dxa"/>
            <w:vMerge/>
            <w:vAlign w:val="center"/>
          </w:tcPr>
          <w:p w14:paraId="07C2F770" w14:textId="77777777" w:rsidR="00E066A5" w:rsidRPr="00171DED" w:rsidRDefault="00E066A5" w:rsidP="00584F2A">
            <w:pPr>
              <w:spacing w:before="120" w:after="120"/>
              <w:rPr>
                <w:rFonts w:ascii="Times New Roman" w:eastAsia="Times New Roman" w:hAnsi="Times New Roman" w:cs="Times New Roman"/>
                <w:b/>
                <w:iCs/>
                <w:noProof/>
                <w:sz w:val="20"/>
                <w:szCs w:val="20"/>
              </w:rPr>
            </w:pPr>
          </w:p>
        </w:tc>
        <w:tc>
          <w:tcPr>
            <w:tcW w:w="1903" w:type="dxa"/>
            <w:vMerge/>
            <w:shd w:val="clear" w:color="auto" w:fill="auto"/>
            <w:vAlign w:val="center"/>
          </w:tcPr>
          <w:p w14:paraId="5D9B2D6C"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974" w:type="dxa"/>
            <w:shd w:val="clear" w:color="auto" w:fill="auto"/>
            <w:vAlign w:val="center"/>
          </w:tcPr>
          <w:p w14:paraId="252A68BE" w14:textId="4161054E" w:rsidR="00E066A5" w:rsidRPr="00171DED" w:rsidRDefault="00E066A5"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48</w:t>
            </w:r>
          </w:p>
        </w:tc>
        <w:tc>
          <w:tcPr>
            <w:tcW w:w="2380" w:type="dxa"/>
            <w:shd w:val="clear" w:color="auto" w:fill="auto"/>
            <w:vAlign w:val="center"/>
          </w:tcPr>
          <w:p w14:paraId="67011910" w14:textId="41AA360E" w:rsidR="00E066A5" w:rsidRPr="00E066A5" w:rsidRDefault="00E066A5" w:rsidP="00381478">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46 078 500,00</w:t>
            </w:r>
          </w:p>
        </w:tc>
      </w:tr>
    </w:tbl>
    <w:p w14:paraId="03CABE9B"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01"/>
        <w:gridCol w:w="1435"/>
        <w:gridCol w:w="1435"/>
        <w:gridCol w:w="1520"/>
        <w:gridCol w:w="1435"/>
        <w:gridCol w:w="2167"/>
      </w:tblGrid>
      <w:tr w:rsidR="00722757" w:rsidRPr="0010575B" w14:paraId="35AD70C5" w14:textId="77777777" w:rsidTr="00B94321">
        <w:tc>
          <w:tcPr>
            <w:tcW w:w="9493" w:type="dxa"/>
            <w:gridSpan w:val="6"/>
          </w:tcPr>
          <w:p w14:paraId="13FEEBEC"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722757" w:rsidRPr="00171DED" w14:paraId="1FEFC7F6" w14:textId="77777777" w:rsidTr="00B94321">
        <w:tc>
          <w:tcPr>
            <w:tcW w:w="1501" w:type="dxa"/>
          </w:tcPr>
          <w:p w14:paraId="59CBFA55"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435" w:type="dxa"/>
          </w:tcPr>
          <w:p w14:paraId="014F66D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5" w:type="dxa"/>
          </w:tcPr>
          <w:p w14:paraId="5E294FBF"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20" w:type="dxa"/>
          </w:tcPr>
          <w:p w14:paraId="71E54613"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435" w:type="dxa"/>
          </w:tcPr>
          <w:p w14:paraId="03BE3D9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67" w:type="dxa"/>
          </w:tcPr>
          <w:p w14:paraId="344D98E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1AE9F4B0" w14:textId="77777777" w:rsidTr="00B94321">
        <w:tc>
          <w:tcPr>
            <w:tcW w:w="1501" w:type="dxa"/>
          </w:tcPr>
          <w:p w14:paraId="4CD6ED60"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6C5D60E0"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555A6BE2"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520" w:type="dxa"/>
          </w:tcPr>
          <w:p w14:paraId="08E99658"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04396E43"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67" w:type="dxa"/>
          </w:tcPr>
          <w:p w14:paraId="2A47ADF9"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D753B4" w:rsidRPr="00E40AF9" w14:paraId="3D109A1F" w14:textId="77777777" w:rsidTr="00E9010F">
        <w:trPr>
          <w:trHeight w:val="408"/>
        </w:trPr>
        <w:tc>
          <w:tcPr>
            <w:tcW w:w="9067" w:type="dxa"/>
            <w:gridSpan w:val="6"/>
            <w:vMerge w:val="restart"/>
            <w:shd w:val="clear" w:color="000000" w:fill="FFFFFF"/>
            <w:vAlign w:val="center"/>
          </w:tcPr>
          <w:p w14:paraId="264B97F0" w14:textId="77777777" w:rsidR="00D753B4" w:rsidRPr="00C1390E" w:rsidRDefault="00D753B4"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p>
        </w:tc>
      </w:tr>
      <w:tr w:rsidR="00D753B4" w:rsidRPr="00E40AF9" w14:paraId="1F68ED81" w14:textId="77777777" w:rsidTr="00E9010F">
        <w:trPr>
          <w:trHeight w:val="230"/>
        </w:trPr>
        <w:tc>
          <w:tcPr>
            <w:tcW w:w="9067" w:type="dxa"/>
            <w:gridSpan w:val="6"/>
            <w:vMerge/>
            <w:vAlign w:val="center"/>
          </w:tcPr>
          <w:p w14:paraId="40F55920" w14:textId="77777777" w:rsidR="00D753B4" w:rsidRPr="00C1390E" w:rsidRDefault="00D753B4" w:rsidP="00E9010F">
            <w:pPr>
              <w:spacing w:after="0" w:line="240" w:lineRule="auto"/>
              <w:rPr>
                <w:rFonts w:ascii="Times New Roman" w:eastAsia="Times New Roman" w:hAnsi="Times New Roman" w:cs="Times New Roman"/>
                <w:b/>
                <w:bCs/>
                <w:sz w:val="20"/>
                <w:szCs w:val="20"/>
                <w:lang w:eastAsia="bg-BG"/>
              </w:rPr>
            </w:pPr>
          </w:p>
        </w:tc>
      </w:tr>
      <w:tr w:rsidR="00D753B4" w:rsidRPr="00E40AF9" w14:paraId="63BF9678" w14:textId="77777777" w:rsidTr="00E9010F">
        <w:trPr>
          <w:trHeight w:val="315"/>
        </w:trPr>
        <w:tc>
          <w:tcPr>
            <w:tcW w:w="1781" w:type="dxa"/>
            <w:vAlign w:val="center"/>
          </w:tcPr>
          <w:p w14:paraId="176C2F47"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798" w:type="dxa"/>
            <w:vAlign w:val="center"/>
          </w:tcPr>
          <w:p w14:paraId="2C5E8039"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1340" w:type="dxa"/>
            <w:vAlign w:val="center"/>
          </w:tcPr>
          <w:p w14:paraId="4069E4D9"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827" w:type="dxa"/>
            <w:vAlign w:val="center"/>
          </w:tcPr>
          <w:p w14:paraId="397D2004"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1771" w:type="dxa"/>
            <w:vAlign w:val="center"/>
          </w:tcPr>
          <w:p w14:paraId="1042025D"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p>
        </w:tc>
        <w:tc>
          <w:tcPr>
            <w:tcW w:w="1550" w:type="dxa"/>
            <w:vAlign w:val="center"/>
          </w:tcPr>
          <w:p w14:paraId="4F615325"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D753B4" w:rsidRPr="00E40AF9" w14:paraId="3144C4EE" w14:textId="77777777" w:rsidTr="00E9010F">
        <w:trPr>
          <w:trHeight w:val="1610"/>
        </w:trPr>
        <w:tc>
          <w:tcPr>
            <w:tcW w:w="1781" w:type="dxa"/>
            <w:shd w:val="clear" w:color="000000" w:fill="FFFFFF"/>
            <w:vAlign w:val="center"/>
            <w:hideMark/>
          </w:tcPr>
          <w:p w14:paraId="47FC663D" w14:textId="0EBE6929" w:rsidR="00D753B4" w:rsidRPr="00C1390E" w:rsidRDefault="00D753B4"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lastRenderedPageBreak/>
              <w:t>5</w:t>
            </w:r>
            <w:r w:rsidRPr="00C1390E">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val="bg-BG" w:eastAsia="bg-BG"/>
              </w:rPr>
              <w:t>В</w:t>
            </w:r>
            <w:r>
              <w:rPr>
                <w:rFonts w:ascii="Times New Roman" w:eastAsia="Times New Roman" w:hAnsi="Times New Roman" w:cs="Times New Roman"/>
                <w:bCs/>
                <w:iCs/>
                <w:noProof/>
                <w:sz w:val="20"/>
                <w:szCs w:val="20"/>
                <w:lang w:val="bg-BG"/>
              </w:rPr>
              <w:t>ъздух“</w:t>
            </w:r>
          </w:p>
        </w:tc>
        <w:tc>
          <w:tcPr>
            <w:tcW w:w="798" w:type="dxa"/>
            <w:shd w:val="clear" w:color="auto" w:fill="auto"/>
            <w:vAlign w:val="center"/>
            <w:hideMark/>
          </w:tcPr>
          <w:p w14:paraId="38EB1A89" w14:textId="1340847D" w:rsidR="00D753B4" w:rsidRPr="00C1390E" w:rsidRDefault="00D753B4"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КФ</w:t>
            </w:r>
          </w:p>
        </w:tc>
        <w:tc>
          <w:tcPr>
            <w:tcW w:w="1340" w:type="dxa"/>
            <w:shd w:val="clear" w:color="auto" w:fill="auto"/>
            <w:vAlign w:val="center"/>
          </w:tcPr>
          <w:p w14:paraId="2E65D496" w14:textId="2D275B05" w:rsidR="00D753B4" w:rsidRPr="00C1390E" w:rsidRDefault="00D753B4" w:rsidP="00E9010F">
            <w:pPr>
              <w:spacing w:after="0" w:line="240" w:lineRule="auto"/>
              <w:rPr>
                <w:rFonts w:ascii="Times New Roman" w:eastAsia="Times New Roman" w:hAnsi="Times New Roman" w:cs="Times New Roman"/>
                <w:color w:val="000000"/>
                <w:sz w:val="20"/>
                <w:szCs w:val="20"/>
                <w:lang w:eastAsia="bg-BG"/>
              </w:rPr>
            </w:pPr>
          </w:p>
        </w:tc>
        <w:tc>
          <w:tcPr>
            <w:tcW w:w="1827" w:type="dxa"/>
            <w:shd w:val="clear" w:color="auto" w:fill="auto"/>
            <w:vAlign w:val="center"/>
            <w:hideMark/>
          </w:tcPr>
          <w:p w14:paraId="139937AA" w14:textId="47F404C1" w:rsidR="00D753B4" w:rsidRPr="00C1390E" w:rsidRDefault="00D753B4" w:rsidP="00E9010F">
            <w:pPr>
              <w:spacing w:after="0" w:line="240" w:lineRule="auto"/>
              <w:rPr>
                <w:rFonts w:ascii="Times New Roman" w:eastAsia="Times New Roman" w:hAnsi="Times New Roman" w:cs="Times New Roman"/>
                <w:color w:val="000000"/>
                <w:sz w:val="20"/>
                <w:szCs w:val="20"/>
                <w:lang w:eastAsia="bg-BG"/>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771" w:type="dxa"/>
            <w:shd w:val="clear" w:color="auto" w:fill="auto"/>
            <w:vAlign w:val="center"/>
            <w:hideMark/>
          </w:tcPr>
          <w:p w14:paraId="77F93EEF" w14:textId="77777777" w:rsidR="00D753B4" w:rsidRPr="00C1390E" w:rsidRDefault="00D753B4"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2FF05049" w14:textId="0565B735" w:rsidR="00D753B4" w:rsidRPr="00C1390E" w:rsidRDefault="00D753B4" w:rsidP="00446088">
            <w:pPr>
              <w:spacing w:after="0" w:line="240" w:lineRule="auto"/>
              <w:rPr>
                <w:rFonts w:ascii="Times New Roman" w:eastAsia="Times New Roman" w:hAnsi="Times New Roman" w:cs="Times New Roman"/>
                <w:color w:val="000000"/>
                <w:sz w:val="20"/>
                <w:szCs w:val="20"/>
                <w:lang w:eastAsia="bg-BG"/>
              </w:rPr>
            </w:pPr>
            <w:r w:rsidRPr="00446088">
              <w:rPr>
                <w:rFonts w:ascii="Times New Roman" w:eastAsia="Times New Roman" w:hAnsi="Times New Roman" w:cs="Times New Roman"/>
                <w:color w:val="000000"/>
                <w:sz w:val="20"/>
                <w:szCs w:val="20"/>
                <w:lang w:eastAsia="bg-BG"/>
              </w:rPr>
              <w:t>442 314 500,00</w:t>
            </w:r>
          </w:p>
        </w:tc>
      </w:tr>
    </w:tbl>
    <w:p w14:paraId="041B0B6D" w14:textId="77777777" w:rsidR="00D753B4" w:rsidRDefault="00D753B4" w:rsidP="00722757">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1C5CC581" w14:textId="610E7E95" w:rsidR="00722757" w:rsidRPr="00171DED" w:rsidRDefault="00722757" w:rsidP="00722757">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E1196DE"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3D5948B"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63B086CA"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062FDB9D"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7508BC8C"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B362EA2"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18A7ECB9"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313006"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7"/>
      </w:r>
    </w:p>
    <w:p w14:paraId="630C469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8FC3A8F" w14:textId="5CAA8A56"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2.T. Приоритет за техническа помощ</w:t>
      </w:r>
      <w:r w:rsidR="007C639B" w:rsidRPr="00171DED">
        <w:rPr>
          <w:rFonts w:ascii="Times New Roman" w:eastAsia="Calibri" w:hAnsi="Times New Roman" w:cs="Times New Roman"/>
          <w:b/>
          <w:noProof/>
          <w:sz w:val="24"/>
          <w:szCs w:val="20"/>
          <w:lang w:val="bg-BG" w:eastAsia="bg-BG" w:bidi="bg-BG"/>
        </w:rPr>
        <w:t xml:space="preserve"> съгласно чл. 30, ал. 4 </w:t>
      </w:r>
    </w:p>
    <w:p w14:paraId="58436ED1"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2.B.1 Priority for technical assistance pursuant to Article 30(4) – repeated for each TA priority</w:t>
      </w:r>
    </w:p>
    <w:p w14:paraId="2DFF285C"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Reference: Article 17(3)(e bis) CPR;</w:t>
      </w:r>
    </w:p>
    <w:p w14:paraId="30BC227F" w14:textId="0CA4E7EA"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2.B.1.1.</w:t>
      </w:r>
      <w:r w:rsidRPr="00171DED">
        <w:rPr>
          <w:rFonts w:ascii="Times New Roman" w:eastAsia="Times New Roman" w:hAnsi="Times New Roman" w:cs="Times New Roman"/>
          <w:noProof/>
          <w:sz w:val="24"/>
          <w:szCs w:val="24"/>
          <w:lang w:val="bg-BG"/>
        </w:rPr>
        <w:t>Намеса на фондовете/</w:t>
      </w:r>
      <w:r w:rsidRPr="00171DED">
        <w:rPr>
          <w:rFonts w:ascii="Times New Roman" w:eastAsia="Times New Roman" w:hAnsi="Times New Roman" w:cs="Times New Roman"/>
          <w:noProof/>
          <w:sz w:val="24"/>
          <w:szCs w:val="24"/>
        </w:rPr>
        <w:t>Intervention from the Funds</w:t>
      </w:r>
    </w:p>
    <w:p w14:paraId="3C842A25"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The related types of actions – Article 17(3)(e)bis(i) CPR</w:t>
      </w:r>
    </w:p>
    <w:tbl>
      <w:tblPr>
        <w:tblStyle w:val="TableGrid"/>
        <w:tblW w:w="0" w:type="auto"/>
        <w:tblLook w:val="04A0" w:firstRow="1" w:lastRow="0" w:firstColumn="1" w:lastColumn="0" w:noHBand="0" w:noVBand="1"/>
      </w:tblPr>
      <w:tblGrid>
        <w:gridCol w:w="9062"/>
      </w:tblGrid>
      <w:tr w:rsidR="007C639B" w:rsidRPr="0010575B" w14:paraId="7CE87006" w14:textId="77777777" w:rsidTr="007C639B">
        <w:tc>
          <w:tcPr>
            <w:tcW w:w="9062" w:type="dxa"/>
          </w:tcPr>
          <w:p w14:paraId="3FB19F41" w14:textId="7EEC467A" w:rsidR="007C639B" w:rsidRPr="00171DED" w:rsidRDefault="00C2501F" w:rsidP="00B94321">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7C639B" w:rsidRPr="00171DED">
              <w:rPr>
                <w:rFonts w:ascii="Times New Roman" w:eastAsia="Times New Roman" w:hAnsi="Times New Roman" w:cs="Times New Roman"/>
                <w:i/>
                <w:iCs/>
                <w:noProof/>
                <w:sz w:val="24"/>
                <w:szCs w:val="24"/>
              </w:rPr>
              <w:t xml:space="preserve"> [</w:t>
            </w:r>
            <w:r w:rsidR="0046175F" w:rsidRPr="00171DED">
              <w:rPr>
                <w:rFonts w:ascii="Times New Roman" w:eastAsia="Times New Roman" w:hAnsi="Times New Roman" w:cs="Times New Roman"/>
                <w:i/>
                <w:iCs/>
                <w:noProof/>
                <w:sz w:val="24"/>
                <w:szCs w:val="24"/>
              </w:rPr>
              <w:t>5</w:t>
            </w:r>
            <w:r w:rsidR="00957056" w:rsidRPr="00171DED">
              <w:rPr>
                <w:rFonts w:ascii="Times New Roman" w:eastAsia="Times New Roman" w:hAnsi="Times New Roman" w:cs="Times New Roman"/>
                <w:i/>
                <w:iCs/>
                <w:noProof/>
                <w:sz w:val="24"/>
                <w:szCs w:val="24"/>
              </w:rPr>
              <w:t> </w:t>
            </w:r>
            <w:r w:rsidR="007C639B" w:rsidRPr="00171DED">
              <w:rPr>
                <w:rFonts w:ascii="Times New Roman" w:eastAsia="Times New Roman" w:hAnsi="Times New Roman" w:cs="Times New Roman"/>
                <w:i/>
                <w:iCs/>
                <w:noProof/>
                <w:sz w:val="24"/>
                <w:szCs w:val="24"/>
              </w:rPr>
              <w:t>000]</w:t>
            </w:r>
          </w:p>
          <w:p w14:paraId="7801070F" w14:textId="77777777" w:rsidR="0046175F" w:rsidRPr="00171DED" w:rsidRDefault="0046175F" w:rsidP="0046175F">
            <w:pPr>
              <w:tabs>
                <w:tab w:val="left" w:pos="0"/>
                <w:tab w:val="left" w:pos="317"/>
              </w:tabs>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Цел 1:  Подобряване капацитета на програмните органи и органите, свързани с управлението на ПОС 2021-2027 г., подкрепена чрез ЕФРР и КФ и</w:t>
            </w:r>
          </w:p>
          <w:p w14:paraId="5A78D165"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Цел 2: Засилване на сътрудничеството с партньори, както в рамките, така и извън страната.</w:t>
            </w:r>
          </w:p>
          <w:p w14:paraId="6805EEC6"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 xml:space="preserve">През 2021-2027 г. продължава целенасочената подкрепа за (потенциални) бенефициенти по теми с конкретна насоченост, способстващи за качественото разработване и адекватно изпълнение на проекти по ПОС 2021-2027 г. по приоритети, където се предвиждат обучения по специфични политики. Фокус е поставен и върху извършването на анализи на евентуални пропуски и основните потребности за повишаване на капацитета по типове бенефициенти, с цел адекватно адресиране на идентифицираните нужди. Повишаването и надграждането на капацитета на </w:t>
            </w:r>
            <w:r w:rsidRPr="00171DED">
              <w:rPr>
                <w:rFonts w:ascii="Times New Roman" w:eastAsia="Calibri" w:hAnsi="Times New Roman" w:cs="Times New Roman"/>
                <w:bCs/>
                <w:sz w:val="24"/>
                <w:szCs w:val="20"/>
                <w:lang w:eastAsia="en-GB"/>
              </w:rPr>
              <w:lastRenderedPageBreak/>
              <w:t>служителите на УО съобразява извършения през 2020 г. „Анализ и оценка на текущото състояние на организационната структура, работните процеси и на човешките ресурси на Главна дирекция Оперативна програма „Околна среда“, в резултат от който е изготвена Стратегия за развитие на административния капацитет на ГД ОПОС за периода 2020-2023 г. с План за изпълнение към нея. След 2023 г. се планира надграждане на тази Стратегия на база натрупания опит и необходимостта от допълнителни знания и умения.</w:t>
            </w:r>
          </w:p>
          <w:p w14:paraId="46A60F06" w14:textId="68DF99B3" w:rsidR="0046175F" w:rsidRPr="00171DED" w:rsidRDefault="0046175F" w:rsidP="0046175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Съобразявайки разпоредбите на чл. 6 от Общия Регламент за периода 2021-2027 г., доброто управление на програмата се основава на сътрудничество и диалог с ключови партньори като публични власти, социално-икономически организации, работодатели, неправителствен сектор.</w:t>
            </w:r>
            <w:r w:rsidR="00FE54EF">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Принципът на партньорство гарантира прилагането на механизми за обмяна на опит и знания между различни заинтересовани страни, генерира алтернативи за гъвкав и оптимален подход при решаване на проблемите и позволява ефективно управление на действията с участие на широк кръг участници на различни нива – национални, регионални и местни. По този начин се осигурява висока степен на съответствие на избраните действия към реалните нужди.</w:t>
            </w:r>
          </w:p>
          <w:p w14:paraId="6B9B4500" w14:textId="4F5AB4C7" w:rsidR="0046175F" w:rsidRPr="00171DED" w:rsidRDefault="0046175F" w:rsidP="0046175F">
            <w:pPr>
              <w:spacing w:before="120" w:after="120"/>
              <w:jc w:val="both"/>
            </w:pPr>
            <w:r w:rsidRPr="00171DED">
              <w:rPr>
                <w:rFonts w:ascii="Times New Roman" w:eastAsia="Times New Roman" w:hAnsi="Times New Roman" w:cs="Times New Roman"/>
                <w:noProof/>
                <w:sz w:val="24"/>
                <w:szCs w:val="24"/>
              </w:rPr>
              <w:t xml:space="preserve">Същевременно, изпълнението на комуникационни мерки, насочени към всички целеви групи в програмата, е в съответствие с предвидените </w:t>
            </w:r>
            <w:r w:rsidRPr="00934213">
              <w:rPr>
                <w:rFonts w:ascii="Times New Roman" w:eastAsia="Times New Roman" w:hAnsi="Times New Roman" w:cs="Times New Roman"/>
                <w:noProof/>
                <w:sz w:val="24"/>
                <w:szCs w:val="24"/>
              </w:rPr>
              <w:t xml:space="preserve">мерки в </w:t>
            </w:r>
            <w:r w:rsidR="009B299F" w:rsidRPr="00934213">
              <w:rPr>
                <w:rFonts w:ascii="Times New Roman" w:eastAsia="Times New Roman" w:hAnsi="Times New Roman" w:cs="Times New Roman"/>
                <w:noProof/>
                <w:sz w:val="24"/>
                <w:szCs w:val="24"/>
              </w:rPr>
              <w:t>Г</w:t>
            </w:r>
            <w:r w:rsidRPr="00934213">
              <w:rPr>
                <w:rFonts w:ascii="Times New Roman" w:eastAsia="Times New Roman" w:hAnsi="Times New Roman" w:cs="Times New Roman"/>
                <w:noProof/>
                <w:sz w:val="24"/>
                <w:szCs w:val="24"/>
              </w:rPr>
              <w:t>одишните планове</w:t>
            </w:r>
            <w:r w:rsidR="009B299F" w:rsidRPr="00934213">
              <w:rPr>
                <w:rFonts w:ascii="Times New Roman" w:eastAsia="Times New Roman" w:hAnsi="Times New Roman" w:cs="Times New Roman"/>
                <w:noProof/>
                <w:sz w:val="24"/>
                <w:szCs w:val="24"/>
              </w:rPr>
              <w:t xml:space="preserve"> за действие (ГПД)</w:t>
            </w:r>
            <w:r w:rsidRPr="00934213">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Основен фокус на инвестициите е развиване на екологично съзнание сред младите – деца, ученици и студенти. Продължават добрите практики по организиране на информационни кампании по ключови процедури, както и регулярно сътрудничество с медии, информационни центрове и мрежи.</w:t>
            </w:r>
            <w:r w:rsidRPr="00171DED">
              <w:t xml:space="preserve"> </w:t>
            </w:r>
          </w:p>
          <w:p w14:paraId="3EB2F973"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Допустимите дейности са свързани с:</w:t>
            </w:r>
          </w:p>
          <w:p w14:paraId="731892B5" w14:textId="32D0F230" w:rsidR="0046175F" w:rsidRPr="00171DED" w:rsidRDefault="00E36B20" w:rsidP="0046175F">
            <w:pPr>
              <w:spacing w:beforeLines="30" w:before="72"/>
              <w:jc w:val="both"/>
              <w:rPr>
                <w:rFonts w:ascii="Times New Roman" w:eastAsia="Times New Roman" w:hAnsi="Times New Roman" w:cs="Times New Roman"/>
                <w:noProof/>
                <w:sz w:val="24"/>
                <w:szCs w:val="24"/>
              </w:rPr>
            </w:pPr>
            <w:r w:rsidRPr="00171DED">
              <w:rPr>
                <w:rFonts w:ascii="Times New Roman" w:eastAsia="Calibri" w:hAnsi="Times New Roman" w:cs="Times New Roman"/>
                <w:bCs/>
                <w:sz w:val="24"/>
                <w:szCs w:val="20"/>
                <w:lang w:eastAsia="en-GB"/>
              </w:rPr>
              <w:t>I</w:t>
            </w:r>
            <w:r w:rsidR="0046175F" w:rsidRPr="00171DED">
              <w:rPr>
                <w:rFonts w:ascii="Times New Roman" w:eastAsia="Calibri" w:hAnsi="Times New Roman" w:cs="Times New Roman"/>
                <w:bCs/>
                <w:sz w:val="24"/>
                <w:szCs w:val="20"/>
                <w:lang w:eastAsia="en-GB"/>
              </w:rPr>
              <w:t xml:space="preserve">. </w:t>
            </w:r>
            <w:r w:rsidR="0046175F" w:rsidRPr="00171DED">
              <w:rPr>
                <w:rFonts w:ascii="Times New Roman" w:eastAsia="Times New Roman" w:hAnsi="Times New Roman" w:cs="Times New Roman"/>
                <w:b/>
                <w:bCs/>
                <w:noProof/>
                <w:sz w:val="24"/>
                <w:szCs w:val="24"/>
              </w:rPr>
              <w:t>Осигуряване на подкрепа за дейности, свързани с подготовка, изпълнение, мониторинг, оценка и контрол</w:t>
            </w:r>
            <w:r w:rsidR="0046175F" w:rsidRPr="00171DED">
              <w:rPr>
                <w:rFonts w:ascii="Times New Roman" w:eastAsia="Times New Roman" w:hAnsi="Times New Roman" w:cs="Times New Roman"/>
                <w:noProof/>
                <w:sz w:val="24"/>
                <w:szCs w:val="24"/>
              </w:rPr>
              <w:t>, в т.ч.:</w:t>
            </w:r>
          </w:p>
          <w:p w14:paraId="10C1131B" w14:textId="4D741B96"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735374">
              <w:rPr>
                <w:rFonts w:ascii="Times New Roman" w:eastAsia="Times New Roman" w:hAnsi="Times New Roman" w:cs="Times New Roman"/>
                <w:noProof/>
                <w:sz w:val="24"/>
                <w:szCs w:val="24"/>
                <w:lang w:eastAsia="en-US" w:bidi="ar-SA"/>
              </w:rPr>
              <w:t xml:space="preserve"> </w:t>
            </w:r>
            <w:r w:rsidRPr="00171DED">
              <w:rPr>
                <w:rFonts w:ascii="Times New Roman" w:eastAsia="Times New Roman" w:hAnsi="Times New Roman" w:cs="Times New Roman"/>
                <w:noProof/>
                <w:sz w:val="24"/>
                <w:szCs w:val="24"/>
              </w:rPr>
              <w:t>Укрепване на капацитета на (потенциалните) бенефициенти, техните партньори, на Управляващия орган, на структури, подпомагащи дейността на УО; извършване на анализ на потребностите от обучения и разработване и изпълнение на програми за обучение; организиране</w:t>
            </w:r>
            <w:r w:rsidRPr="00171DED">
              <w:rPr>
                <w:rFonts w:ascii="Times New Roman" w:hAnsi="Times New Roman" w:cs="Times New Roman"/>
                <w:noProof/>
                <w:sz w:val="24"/>
                <w:szCs w:val="24"/>
              </w:rPr>
              <w:t xml:space="preserve"> на (присъствени и </w:t>
            </w:r>
            <w:r w:rsidR="00E66844">
              <w:rPr>
                <w:rFonts w:ascii="Times New Roman" w:hAnsi="Times New Roman" w:cs="Times New Roman"/>
                <w:noProof/>
                <w:sz w:val="24"/>
                <w:szCs w:val="24"/>
              </w:rPr>
              <w:t>виртуални</w:t>
            </w:r>
            <w:r w:rsidRPr="00171DED">
              <w:rPr>
                <w:rFonts w:ascii="Times New Roman" w:hAnsi="Times New Roman" w:cs="Times New Roman"/>
                <w:noProof/>
                <w:sz w:val="24"/>
                <w:szCs w:val="24"/>
              </w:rPr>
              <w:t xml:space="preserve">) практически семинари, </w:t>
            </w:r>
            <w:r w:rsidRPr="00171DED">
              <w:rPr>
                <w:rFonts w:ascii="Times New Roman" w:eastAsia="Times New Roman" w:hAnsi="Times New Roman" w:cs="Times New Roman"/>
                <w:noProof/>
                <w:sz w:val="24"/>
                <w:szCs w:val="24"/>
              </w:rPr>
              <w:t>заседания, конференции,</w:t>
            </w:r>
            <w:r w:rsidRPr="00171DED">
              <w:rPr>
                <w:rFonts w:ascii="Times New Roman" w:hAnsi="Times New Roman" w:cs="Times New Roman"/>
                <w:noProof/>
                <w:sz w:val="24"/>
                <w:szCs w:val="24"/>
              </w:rPr>
              <w:t xml:space="preserve"> надграждащи обучения, информационни дни, работни срещи, обмяна на опит и добри практики</w:t>
            </w:r>
            <w:r w:rsidRPr="00171DED">
              <w:rPr>
                <w:rFonts w:ascii="Times New Roman" w:eastAsia="Times New Roman" w:hAnsi="Times New Roman" w:cs="Times New Roman"/>
                <w:noProof/>
                <w:sz w:val="24"/>
                <w:szCs w:val="24"/>
              </w:rPr>
              <w:t xml:space="preserve">; предоставяне на методическа помощ под формата на стандартни документи, наръчници и писмени указания, относно изискванията за подготовка на проекти и последващо устойчиво управление на придобитите активи/ резултати и др.; </w:t>
            </w:r>
          </w:p>
          <w:p w14:paraId="5A06B545" w14:textId="789B4FB8"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Извършване на оценки, анализи, проучвания, изследвания, събиране на данни за изпълнение на ПОС 2021-2027 г.; подкрепа за организиране на процесите на оценка и подбор на проекти; дейности, свързани с наблюдението, финансовия контрол и одит, оценка на риска, мерки за борба с измами, нередности, анти-корупция; юридически, преводачески и други външни услуги</w:t>
            </w:r>
            <w:r w:rsidR="009B299F" w:rsidRPr="00934213">
              <w:rPr>
                <w:rFonts w:ascii="Times New Roman" w:eastAsia="Times New Roman" w:hAnsi="Times New Roman" w:cs="Times New Roman"/>
                <w:noProof/>
                <w:sz w:val="24"/>
                <w:szCs w:val="24"/>
              </w:rPr>
              <w:t xml:space="preserve">, свързани с </w:t>
            </w:r>
            <w:r w:rsidR="00D67C93" w:rsidRPr="00735374">
              <w:rPr>
                <w:rFonts w:ascii="Times New Roman" w:eastAsia="Times New Roman" w:hAnsi="Times New Roman" w:cs="Times New Roman"/>
                <w:noProof/>
                <w:sz w:val="24"/>
                <w:szCs w:val="24"/>
              </w:rPr>
              <w:t>подготовка, изпълнение, мониторинг, оценка и контрол</w:t>
            </w:r>
            <w:r w:rsidRPr="00934213">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дейности, свързани с приключване на ОПОС 2014-2020 г. и с подготовката на програмен период 2028+ и др.;</w:t>
            </w:r>
          </w:p>
          <w:p w14:paraId="4E64F653" w14:textId="35D653E7"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 xml:space="preserve">Финансиране на разходите за възнаграждения за </w:t>
            </w:r>
            <w:r w:rsidR="00D67C93">
              <w:rPr>
                <w:rFonts w:ascii="Times New Roman" w:eastAsia="Times New Roman" w:hAnsi="Times New Roman" w:cs="Times New Roman"/>
                <w:noProof/>
                <w:sz w:val="24"/>
                <w:szCs w:val="24"/>
              </w:rPr>
              <w:t>човешки ресурси</w:t>
            </w:r>
            <w:r w:rsidR="009B299F" w:rsidRPr="00934213">
              <w:rPr>
                <w:rFonts w:ascii="Times New Roman" w:eastAsia="Times New Roman" w:hAnsi="Times New Roman" w:cs="Times New Roman"/>
                <w:noProof/>
                <w:sz w:val="24"/>
                <w:szCs w:val="24"/>
              </w:rPr>
              <w:t xml:space="preserve">, ангажирани </w:t>
            </w:r>
            <w:r w:rsidR="00D67C93" w:rsidRPr="00934213">
              <w:rPr>
                <w:rFonts w:ascii="Times New Roman" w:eastAsia="Times New Roman" w:hAnsi="Times New Roman" w:cs="Times New Roman"/>
                <w:noProof/>
                <w:sz w:val="24"/>
                <w:szCs w:val="24"/>
              </w:rPr>
              <w:t xml:space="preserve">с подготовка, изпълнение, мониторинг, оценка и контрол </w:t>
            </w:r>
            <w:r w:rsidRPr="00934213">
              <w:rPr>
                <w:rFonts w:ascii="Times New Roman" w:eastAsia="Times New Roman" w:hAnsi="Times New Roman" w:cs="Times New Roman"/>
                <w:noProof/>
                <w:sz w:val="24"/>
                <w:szCs w:val="24"/>
              </w:rPr>
              <w:t>в съ</w:t>
            </w:r>
            <w:r w:rsidRPr="00171DED">
              <w:rPr>
                <w:rFonts w:ascii="Times New Roman" w:eastAsia="Times New Roman" w:hAnsi="Times New Roman" w:cs="Times New Roman"/>
                <w:noProof/>
                <w:sz w:val="24"/>
                <w:szCs w:val="24"/>
              </w:rPr>
              <w:t xml:space="preserve">ответствие с националното законодателство или разработените правила (вкл. осигурителни и здравни вноски и всички други съпътстващи ги разходи), логистично и техническо </w:t>
            </w:r>
            <w:r w:rsidRPr="00171DED">
              <w:rPr>
                <w:rFonts w:ascii="Times New Roman" w:eastAsia="Times New Roman" w:hAnsi="Times New Roman" w:cs="Times New Roman"/>
                <w:noProof/>
                <w:sz w:val="24"/>
                <w:szCs w:val="24"/>
              </w:rPr>
              <w:lastRenderedPageBreak/>
              <w:t xml:space="preserve">обезпечаване на материалната база, техническото оборудване и информационните системи за управлението на програмата. </w:t>
            </w:r>
          </w:p>
          <w:p w14:paraId="124ABB53" w14:textId="05C184D9" w:rsidR="0046175F" w:rsidRPr="00171DED" w:rsidRDefault="0046175F" w:rsidP="0046175F">
            <w:pPr>
              <w:spacing w:before="120" w:after="120"/>
              <w:jc w:val="both"/>
              <w:rPr>
                <w:rFonts w:ascii="Times New Roman" w:eastAsia="Times New Roman" w:hAnsi="Times New Roman" w:cs="Times New Roman"/>
                <w:noProof/>
                <w:sz w:val="24"/>
                <w:szCs w:val="24"/>
              </w:rPr>
            </w:pPr>
            <w:r w:rsidRPr="00171DED">
              <w:rPr>
                <w:rFonts w:ascii="Times New Roman" w:eastAsia="Calibri" w:hAnsi="Times New Roman" w:cs="Times New Roman"/>
                <w:bCs/>
                <w:sz w:val="24"/>
                <w:szCs w:val="20"/>
                <w:lang w:eastAsia="en-GB"/>
              </w:rPr>
              <w:t xml:space="preserve">2. </w:t>
            </w:r>
            <w:r w:rsidRPr="00171DED">
              <w:rPr>
                <w:rFonts w:ascii="Times New Roman" w:eastAsia="Times New Roman" w:hAnsi="Times New Roman" w:cs="Times New Roman"/>
                <w:b/>
                <w:bCs/>
                <w:noProof/>
                <w:sz w:val="24"/>
                <w:szCs w:val="24"/>
              </w:rPr>
              <w:t>Засилване на взаимодействието с партньорите</w:t>
            </w:r>
            <w:r w:rsidRPr="00171DED">
              <w:rPr>
                <w:rFonts w:ascii="Times New Roman" w:eastAsia="Times New Roman" w:hAnsi="Times New Roman" w:cs="Times New Roman"/>
                <w:noProof/>
                <w:sz w:val="24"/>
                <w:szCs w:val="24"/>
              </w:rPr>
              <w:t xml:space="preserve"> – членове на Комитета за наблюдение</w:t>
            </w:r>
            <w:r w:rsidR="00DB343C" w:rsidRPr="00DB343C">
              <w:rPr>
                <w:rFonts w:ascii="Times New Roman" w:eastAsia="Times New Roman" w:hAnsi="Times New Roman" w:cs="Times New Roman"/>
                <w:noProof/>
                <w:sz w:val="24"/>
                <w:szCs w:val="24"/>
              </w:rPr>
              <w:t xml:space="preserve"> (</w:t>
            </w:r>
            <w:r w:rsidR="00DB343C">
              <w:rPr>
                <w:rFonts w:ascii="Times New Roman" w:eastAsia="Times New Roman" w:hAnsi="Times New Roman" w:cs="Times New Roman"/>
                <w:noProof/>
                <w:sz w:val="24"/>
                <w:szCs w:val="24"/>
              </w:rPr>
              <w:t>КН</w:t>
            </w:r>
            <w:r w:rsidR="00DB343C" w:rsidRPr="00DB343C">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целеви групи по програмата, представители на службите на ЕК, представители на органи/структури от други държави-членки, в т.ч.: </w:t>
            </w:r>
          </w:p>
          <w:p w14:paraId="58012B94" w14:textId="3EDF218F" w:rsidR="0046175F" w:rsidRPr="00171DED" w:rsidRDefault="0046175F" w:rsidP="0046175F">
            <w:pPr>
              <w:pStyle w:val="ListParagraph"/>
              <w:numPr>
                <w:ilvl w:val="0"/>
                <w:numId w:val="47"/>
              </w:numPr>
              <w:jc w:val="both"/>
              <w:rPr>
                <w:noProof/>
              </w:rPr>
            </w:pPr>
            <w:r w:rsidRPr="00171DED">
              <w:rPr>
                <w:rFonts w:ascii="Times New Roman" w:eastAsia="Times New Roman" w:hAnsi="Times New Roman" w:cs="Times New Roman"/>
                <w:noProof/>
                <w:sz w:val="24"/>
                <w:szCs w:val="24"/>
              </w:rPr>
              <w:t>Логистично и техническо обезпечаване функционирането на К</w:t>
            </w:r>
            <w:r w:rsidR="00DB343C">
              <w:rPr>
                <w:rFonts w:ascii="Times New Roman" w:eastAsia="Times New Roman" w:hAnsi="Times New Roman" w:cs="Times New Roman"/>
                <w:noProof/>
                <w:sz w:val="24"/>
                <w:szCs w:val="24"/>
              </w:rPr>
              <w:t>Н</w:t>
            </w:r>
            <w:r w:rsidRPr="00171DED">
              <w:rPr>
                <w:rFonts w:ascii="Times New Roman" w:eastAsia="Times New Roman" w:hAnsi="Times New Roman" w:cs="Times New Roman"/>
                <w:noProof/>
                <w:sz w:val="24"/>
                <w:szCs w:val="24"/>
              </w:rPr>
              <w:t>; организиране и провеждане на обучения и работни срещи за членовете и на заседания на работни подгрупи в рамките на К</w:t>
            </w:r>
            <w:r w:rsidR="00DB343C">
              <w:rPr>
                <w:rFonts w:ascii="Times New Roman" w:eastAsia="Times New Roman" w:hAnsi="Times New Roman" w:cs="Times New Roman"/>
                <w:noProof/>
                <w:sz w:val="24"/>
                <w:szCs w:val="24"/>
              </w:rPr>
              <w:t>Н</w:t>
            </w:r>
            <w:r w:rsidR="004B4A66" w:rsidRPr="00735374">
              <w:rPr>
                <w:rFonts w:ascii="Times New Roman" w:eastAsia="Times New Roman" w:hAnsi="Times New Roman" w:cs="Times New Roman"/>
                <w:noProof/>
                <w:sz w:val="24"/>
                <w:szCs w:val="24"/>
              </w:rPr>
              <w:t xml:space="preserve"> </w:t>
            </w:r>
            <w:r w:rsidR="004B4A66" w:rsidRPr="00171DED">
              <w:rPr>
                <w:rFonts w:ascii="Times New Roman" w:eastAsia="Times New Roman" w:hAnsi="Times New Roman" w:cs="Times New Roman"/>
                <w:noProof/>
                <w:sz w:val="24"/>
                <w:szCs w:val="24"/>
              </w:rPr>
              <w:t xml:space="preserve">(присъствени и </w:t>
            </w:r>
            <w:r w:rsidR="004B4A66">
              <w:rPr>
                <w:rFonts w:ascii="Times New Roman" w:eastAsia="Times New Roman" w:hAnsi="Times New Roman" w:cs="Times New Roman"/>
                <w:noProof/>
                <w:sz w:val="24"/>
                <w:szCs w:val="24"/>
              </w:rPr>
              <w:t>виртуални</w:t>
            </w:r>
            <w:r w:rsidR="004B4A66"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w:t>
            </w:r>
            <w:r w:rsidRPr="00171DED" w:rsidDel="00130884">
              <w:rPr>
                <w:rFonts w:ascii="Times New Roman" w:eastAsia="Times New Roman" w:hAnsi="Times New Roman" w:cs="Times New Roman"/>
                <w:noProof/>
                <w:sz w:val="24"/>
                <w:szCs w:val="24"/>
              </w:rPr>
              <w:t xml:space="preserve"> </w:t>
            </w:r>
          </w:p>
          <w:p w14:paraId="3FF1B118" w14:textId="3E61AECB" w:rsidR="0046175F" w:rsidRPr="00171DED"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 xml:space="preserve">Осигуряване на необходимата подкрепа за информация, комуникация, публичност, прозрачност и повишаване на осведомеността за ПОС 2021-2027 г. </w:t>
            </w:r>
            <w:r w:rsidRPr="00981DC6">
              <w:rPr>
                <w:rFonts w:ascii="Times New Roman" w:eastAsia="Times New Roman" w:hAnsi="Times New Roman" w:cs="Times New Roman"/>
                <w:noProof/>
                <w:sz w:val="24"/>
                <w:szCs w:val="24"/>
              </w:rPr>
              <w:t>съгл</w:t>
            </w:r>
            <w:r w:rsidR="009B299F" w:rsidRPr="00981DC6">
              <w:rPr>
                <w:rFonts w:ascii="Times New Roman" w:eastAsia="Times New Roman" w:hAnsi="Times New Roman" w:cs="Times New Roman"/>
                <w:noProof/>
                <w:sz w:val="24"/>
                <w:szCs w:val="24"/>
              </w:rPr>
              <w:t>асно</w:t>
            </w:r>
            <w:r w:rsidRPr="00981DC6">
              <w:rPr>
                <w:rFonts w:ascii="Times New Roman" w:eastAsia="Times New Roman" w:hAnsi="Times New Roman" w:cs="Times New Roman"/>
                <w:noProof/>
                <w:sz w:val="24"/>
                <w:szCs w:val="24"/>
              </w:rPr>
              <w:t xml:space="preserve"> </w:t>
            </w:r>
            <w:r w:rsidR="009B299F" w:rsidRPr="00981DC6">
              <w:rPr>
                <w:rFonts w:ascii="Times New Roman" w:eastAsia="Times New Roman" w:hAnsi="Times New Roman" w:cs="Times New Roman"/>
                <w:noProof/>
                <w:sz w:val="24"/>
                <w:szCs w:val="24"/>
              </w:rPr>
              <w:t>ГПД</w:t>
            </w:r>
            <w:r w:rsidRPr="00981DC6">
              <w:rPr>
                <w:rFonts w:ascii="Times New Roman" w:eastAsia="Times New Roman" w:hAnsi="Times New Roman" w:cs="Times New Roman"/>
                <w:noProof/>
                <w:sz w:val="24"/>
                <w:szCs w:val="24"/>
              </w:rPr>
              <w:t>;</w:t>
            </w:r>
          </w:p>
          <w:p w14:paraId="3623C7E0" w14:textId="77777777" w:rsidR="0046175F" w:rsidRPr="00171DED"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Логистично и техническо обезпечаване на обмяна на опит и добри практики с други държави-членки на ЕС, вкл. посредством инициативата TAIEX-REGIO PEER 2 PEER.</w:t>
            </w:r>
          </w:p>
          <w:p w14:paraId="016438EC" w14:textId="3E0A5A9B" w:rsidR="00152DD6" w:rsidRPr="00171DED" w:rsidRDefault="00152DD6" w:rsidP="00152DD6">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Бенефициент</w:t>
            </w:r>
            <w:r w:rsidR="0046175F" w:rsidRPr="00171DED">
              <w:rPr>
                <w:rFonts w:ascii="Times New Roman" w:eastAsia="Calibri" w:hAnsi="Times New Roman" w:cs="Times New Roman"/>
                <w:bCs/>
                <w:sz w:val="24"/>
                <w:szCs w:val="20"/>
                <w:lang w:eastAsia="en-GB"/>
              </w:rPr>
              <w:t>:</w:t>
            </w:r>
            <w:r w:rsidRPr="00171DED">
              <w:rPr>
                <w:rFonts w:ascii="Times New Roman" w:eastAsia="Calibri" w:hAnsi="Times New Roman" w:cs="Times New Roman"/>
                <w:bCs/>
                <w:sz w:val="24"/>
                <w:szCs w:val="20"/>
                <w:lang w:eastAsia="en-GB"/>
              </w:rPr>
              <w:t xml:space="preserve"> Главна дирекция „Оперативна програма Околна среда“. </w:t>
            </w:r>
          </w:p>
        </w:tc>
      </w:tr>
    </w:tbl>
    <w:p w14:paraId="5E821BAC" w14:textId="464E3934" w:rsidR="007C639B" w:rsidRPr="00171DED"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lastRenderedPageBreak/>
        <w:t>Основни целеви групи - член 17, параграф 3, (</w:t>
      </w:r>
      <w:r w:rsidRPr="00171DED">
        <w:rPr>
          <w:rFonts w:ascii="Times New Roman" w:eastAsia="Times New Roman" w:hAnsi="Times New Roman" w:cs="Times New Roman"/>
          <w:noProof/>
          <w:sz w:val="24"/>
          <w:szCs w:val="24"/>
        </w:rPr>
        <w:t>e</w:t>
      </w:r>
      <w:r w:rsidRPr="00171DED">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bis</w:t>
      </w:r>
      <w:r w:rsidRPr="00171DED">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iii</w:t>
      </w:r>
      <w:r w:rsidRPr="00171DED">
        <w:rPr>
          <w:rFonts w:ascii="Times New Roman" w:eastAsia="Times New Roman" w:hAnsi="Times New Roman" w:cs="Times New Roman"/>
          <w:noProof/>
          <w:sz w:val="24"/>
          <w:szCs w:val="24"/>
          <w:lang w:val="bg-BG"/>
        </w:rPr>
        <w:t>) от ОР</w:t>
      </w:r>
    </w:p>
    <w:tbl>
      <w:tblPr>
        <w:tblStyle w:val="TableGrid"/>
        <w:tblW w:w="0" w:type="auto"/>
        <w:tblLook w:val="04A0" w:firstRow="1" w:lastRow="0" w:firstColumn="1" w:lastColumn="0" w:noHBand="0" w:noVBand="1"/>
      </w:tblPr>
      <w:tblGrid>
        <w:gridCol w:w="9062"/>
      </w:tblGrid>
      <w:tr w:rsidR="00A814B3" w:rsidRPr="0010575B" w14:paraId="5CB0B75D" w14:textId="77777777" w:rsidTr="00A814B3">
        <w:tc>
          <w:tcPr>
            <w:tcW w:w="9062" w:type="dxa"/>
          </w:tcPr>
          <w:p w14:paraId="63883CD1" w14:textId="7DCD62A7" w:rsidR="00D56861" w:rsidRPr="00171DED" w:rsidRDefault="00D56861" w:rsidP="00DD4A0F">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A814B3" w:rsidRPr="00171DED">
              <w:rPr>
                <w:rFonts w:ascii="Times New Roman" w:eastAsia="Times New Roman" w:hAnsi="Times New Roman" w:cs="Times New Roman"/>
                <w:i/>
                <w:iCs/>
                <w:noProof/>
                <w:sz w:val="24"/>
                <w:szCs w:val="24"/>
              </w:rPr>
              <w:t xml:space="preserve"> [1 000]</w:t>
            </w:r>
            <w:r w:rsidR="00C10C81" w:rsidRPr="00171DED">
              <w:rPr>
                <w:rFonts w:ascii="Times New Roman" w:eastAsia="Times New Roman" w:hAnsi="Times New Roman" w:cs="Times New Roman"/>
                <w:i/>
                <w:iCs/>
                <w:noProof/>
                <w:sz w:val="24"/>
                <w:szCs w:val="24"/>
              </w:rPr>
              <w:t xml:space="preserve"> </w:t>
            </w:r>
          </w:p>
          <w:p w14:paraId="74C8F6CB" w14:textId="2E42D463" w:rsidR="00A814B3" w:rsidRPr="00171DED" w:rsidRDefault="0051441F" w:rsidP="00DD4A0F">
            <w:pPr>
              <w:spacing w:before="120" w:after="12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Широка общественост,</w:t>
            </w:r>
            <w:r w:rsidR="0066667B" w:rsidRPr="00171DED">
              <w:rPr>
                <w:rFonts w:ascii="Times New Roman" w:eastAsia="Times New Roman" w:hAnsi="Times New Roman" w:cs="Times New Roman"/>
                <w:noProof/>
                <w:sz w:val="24"/>
                <w:szCs w:val="24"/>
              </w:rPr>
              <w:t xml:space="preserve"> представители на средствата за масово осведомяване,</w:t>
            </w:r>
            <w:r w:rsidRPr="00171DED">
              <w:rPr>
                <w:rFonts w:ascii="Times New Roman" w:eastAsia="Times New Roman" w:hAnsi="Times New Roman" w:cs="Times New Roman"/>
                <w:noProof/>
                <w:sz w:val="24"/>
                <w:szCs w:val="24"/>
              </w:rPr>
              <w:t xml:space="preserve"> партньори в рамките на ТРГ и КН</w:t>
            </w:r>
            <w:r w:rsidR="0066667B"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потенциални бенефициенти, бенефициенти</w:t>
            </w:r>
            <w:r w:rsidR="0066667B" w:rsidRPr="00171DED">
              <w:rPr>
                <w:rFonts w:ascii="Times New Roman" w:eastAsia="Times New Roman" w:hAnsi="Times New Roman" w:cs="Times New Roman"/>
                <w:noProof/>
                <w:sz w:val="24"/>
                <w:szCs w:val="24"/>
              </w:rPr>
              <w:t xml:space="preserve"> и техните партньори;</w:t>
            </w:r>
            <w:r w:rsidR="00D56861" w:rsidRPr="00171DED">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171DED">
              <w:rPr>
                <w:rFonts w:ascii="Times New Roman" w:eastAsia="Times New Roman" w:hAnsi="Times New Roman" w:cs="Times New Roman"/>
                <w:noProof/>
                <w:sz w:val="24"/>
                <w:szCs w:val="24"/>
              </w:rPr>
              <w:t>;</w:t>
            </w:r>
            <w:r w:rsidR="00724A4A" w:rsidRPr="00171DED">
              <w:rPr>
                <w:rFonts w:ascii="Times New Roman" w:eastAsia="Times New Roman" w:hAnsi="Times New Roman" w:cs="Times New Roman"/>
                <w:noProof/>
                <w:sz w:val="24"/>
                <w:szCs w:val="24"/>
              </w:rPr>
              <w:t xml:space="preserve"> </w:t>
            </w:r>
            <w:r w:rsidR="00ED25D4" w:rsidRPr="00171DED">
              <w:rPr>
                <w:rFonts w:ascii="Times New Roman" w:eastAsia="Times New Roman" w:hAnsi="Times New Roman" w:cs="Times New Roman"/>
                <w:noProof/>
                <w:sz w:val="24"/>
                <w:szCs w:val="24"/>
              </w:rPr>
              <w:t>ученици и студенти (в училища и университети)</w:t>
            </w:r>
            <w:r w:rsidR="00841098">
              <w:rPr>
                <w:rFonts w:ascii="Times New Roman" w:eastAsia="Times New Roman" w:hAnsi="Times New Roman" w:cs="Times New Roman"/>
                <w:noProof/>
                <w:sz w:val="24"/>
                <w:szCs w:val="24"/>
              </w:rPr>
              <w:t>.</w:t>
            </w:r>
            <w:r w:rsidR="00ED25D4" w:rsidRPr="00171DED">
              <w:rPr>
                <w:rFonts w:ascii="Times New Roman" w:eastAsia="Times New Roman" w:hAnsi="Times New Roman" w:cs="Times New Roman"/>
                <w:noProof/>
                <w:sz w:val="24"/>
                <w:szCs w:val="24"/>
              </w:rPr>
              <w:t xml:space="preserve"> </w:t>
            </w:r>
            <w:r w:rsidR="00152DD6" w:rsidRPr="00171DED">
              <w:rPr>
                <w:rFonts w:ascii="Times New Roman" w:eastAsia="Times New Roman" w:hAnsi="Times New Roman" w:cs="Times New Roman"/>
                <w:noProof/>
                <w:sz w:val="24"/>
                <w:szCs w:val="24"/>
              </w:rPr>
              <w:t>УО на програмата</w:t>
            </w:r>
            <w:r w:rsidR="00841098">
              <w:rPr>
                <w:rFonts w:ascii="Times New Roman" w:eastAsia="Times New Roman" w:hAnsi="Times New Roman" w:cs="Times New Roman"/>
                <w:noProof/>
                <w:sz w:val="24"/>
                <w:szCs w:val="24"/>
              </w:rPr>
              <w:t xml:space="preserve"> е директен бенефициент по приоритет </w:t>
            </w:r>
            <w:r w:rsidR="00991687">
              <w:rPr>
                <w:rFonts w:ascii="Times New Roman" w:eastAsia="Times New Roman" w:hAnsi="Times New Roman" w:cs="Times New Roman"/>
                <w:noProof/>
                <w:sz w:val="24"/>
                <w:szCs w:val="24"/>
              </w:rPr>
              <w:t>„Т</w:t>
            </w:r>
            <w:r w:rsidR="00841098">
              <w:rPr>
                <w:rFonts w:ascii="Times New Roman" w:eastAsia="Times New Roman" w:hAnsi="Times New Roman" w:cs="Times New Roman"/>
                <w:noProof/>
                <w:sz w:val="24"/>
                <w:szCs w:val="24"/>
              </w:rPr>
              <w:t>ехническа помощ</w:t>
            </w:r>
            <w:r w:rsidR="00991687">
              <w:rPr>
                <w:rFonts w:ascii="Times New Roman" w:eastAsia="Times New Roman" w:hAnsi="Times New Roman" w:cs="Times New Roman"/>
                <w:noProof/>
                <w:sz w:val="24"/>
                <w:szCs w:val="24"/>
              </w:rPr>
              <w:t>“</w:t>
            </w:r>
            <w:r w:rsidR="00D56861" w:rsidRPr="00171DED">
              <w:rPr>
                <w:rFonts w:ascii="Times New Roman" w:eastAsia="Times New Roman" w:hAnsi="Times New Roman" w:cs="Times New Roman"/>
                <w:noProof/>
                <w:sz w:val="24"/>
                <w:szCs w:val="24"/>
              </w:rPr>
              <w:t>.</w:t>
            </w:r>
          </w:p>
        </w:tc>
      </w:tr>
    </w:tbl>
    <w:p w14:paraId="67379CB4" w14:textId="5CB24B90" w:rsidR="007C639B" w:rsidRPr="00171DED"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2.</w:t>
      </w:r>
      <w:r w:rsidRPr="00171DED">
        <w:rPr>
          <w:rFonts w:ascii="Times New Roman" w:eastAsia="Times New Roman" w:hAnsi="Times New Roman" w:cs="Times New Roman"/>
          <w:noProof/>
          <w:sz w:val="24"/>
          <w:szCs w:val="24"/>
        </w:rPr>
        <w:t>B</w:t>
      </w:r>
      <w:r w:rsidRPr="00171DED">
        <w:rPr>
          <w:rFonts w:ascii="Times New Roman" w:eastAsia="Times New Roman" w:hAnsi="Times New Roman" w:cs="Times New Roman"/>
          <w:noProof/>
          <w:sz w:val="24"/>
          <w:szCs w:val="24"/>
          <w:lang w:val="bg-BG"/>
        </w:rPr>
        <w:t>.1.2.</w:t>
      </w:r>
      <w:r w:rsidR="00A814B3" w:rsidRPr="00171DED">
        <w:rPr>
          <w:rFonts w:ascii="Times New Roman" w:eastAsia="Times New Roman" w:hAnsi="Times New Roman" w:cs="Times New Roman"/>
          <w:noProof/>
          <w:sz w:val="24"/>
          <w:szCs w:val="24"/>
          <w:lang w:val="bg-BG"/>
        </w:rPr>
        <w:t xml:space="preserve"> Показатели / </w:t>
      </w:r>
      <w:r w:rsidRPr="00171DED">
        <w:rPr>
          <w:rFonts w:ascii="Times New Roman" w:eastAsia="Times New Roman" w:hAnsi="Times New Roman" w:cs="Times New Roman"/>
          <w:noProof/>
          <w:sz w:val="24"/>
          <w:szCs w:val="24"/>
        </w:rPr>
        <w:t>Indicators</w:t>
      </w:r>
    </w:p>
    <w:p w14:paraId="5B839A21" w14:textId="454F9B14" w:rsidR="007C639B" w:rsidRPr="00171DED" w:rsidRDefault="00A814B3"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 xml:space="preserve">Показатели за крайни продукти с междинни стойности и цели / </w:t>
      </w:r>
      <w:r w:rsidR="007C639B" w:rsidRPr="00171DED">
        <w:rPr>
          <w:rFonts w:ascii="Times New Roman" w:eastAsia="Times New Roman" w:hAnsi="Times New Roman" w:cs="Times New Roman"/>
          <w:noProof/>
          <w:sz w:val="24"/>
          <w:szCs w:val="24"/>
        </w:rPr>
        <w:t>Output</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indicators</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with</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the</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corresponding</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milestones</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and</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targets</w:t>
      </w:r>
    </w:p>
    <w:p w14:paraId="5DAE527F" w14:textId="1D60635B" w:rsidR="007C639B" w:rsidRPr="00FB135C"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rPr>
        <w:t>Reference</w:t>
      </w:r>
      <w:r w:rsidRPr="00FB135C">
        <w:rPr>
          <w:rFonts w:ascii="Times New Roman" w:eastAsia="Times New Roman" w:hAnsi="Times New Roman" w:cs="Times New Roman"/>
          <w:noProof/>
          <w:sz w:val="24"/>
          <w:szCs w:val="24"/>
          <w:lang w:val="bg-BG"/>
        </w:rPr>
        <w:t xml:space="preserve">: </w:t>
      </w:r>
      <w:r w:rsidRPr="00171DED">
        <w:rPr>
          <w:rFonts w:ascii="Times New Roman" w:eastAsia="Times New Roman" w:hAnsi="Times New Roman" w:cs="Times New Roman"/>
          <w:noProof/>
          <w:sz w:val="24"/>
          <w:szCs w:val="24"/>
        </w:rPr>
        <w:t>Article</w:t>
      </w:r>
      <w:r w:rsidRPr="00FB135C">
        <w:rPr>
          <w:rFonts w:ascii="Times New Roman" w:eastAsia="Times New Roman" w:hAnsi="Times New Roman" w:cs="Times New Roman"/>
          <w:noProof/>
          <w:sz w:val="24"/>
          <w:szCs w:val="24"/>
          <w:lang w:val="bg-BG"/>
        </w:rPr>
        <w:t xml:space="preserve"> 17(3)(</w:t>
      </w:r>
      <w:r w:rsidRPr="00171DED">
        <w:rPr>
          <w:rFonts w:ascii="Times New Roman" w:eastAsia="Times New Roman" w:hAnsi="Times New Roman" w:cs="Times New Roman"/>
          <w:noProof/>
          <w:sz w:val="24"/>
          <w:szCs w:val="24"/>
        </w:rPr>
        <w:t>e</w:t>
      </w:r>
      <w:r w:rsidRPr="00FB135C">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bis</w:t>
      </w:r>
      <w:r w:rsidRPr="00FB135C">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ii</w:t>
      </w:r>
      <w:r w:rsidRPr="00FB135C">
        <w:rPr>
          <w:rFonts w:ascii="Times New Roman" w:eastAsia="Times New Roman" w:hAnsi="Times New Roman" w:cs="Times New Roman"/>
          <w:noProof/>
          <w:sz w:val="24"/>
          <w:szCs w:val="24"/>
          <w:lang w:val="bg-BG"/>
        </w:rPr>
        <w:t xml:space="preserve">) </w:t>
      </w:r>
      <w:r w:rsidRPr="00171DED">
        <w:rPr>
          <w:rFonts w:ascii="Times New Roman" w:eastAsia="Times New Roman" w:hAnsi="Times New Roman" w:cs="Times New Roman"/>
          <w:noProof/>
          <w:sz w:val="24"/>
          <w:szCs w:val="24"/>
        </w:rPr>
        <w:t>CPR</w:t>
      </w:r>
    </w:p>
    <w:tbl>
      <w:tblPr>
        <w:tblW w:w="5000" w:type="pct"/>
        <w:tblBorders>
          <w:top w:val="nil"/>
          <w:left w:val="nil"/>
          <w:bottom w:val="nil"/>
          <w:right w:val="nil"/>
        </w:tblBorders>
        <w:tblLook w:val="0000" w:firstRow="0" w:lastRow="0" w:firstColumn="0" w:lastColumn="0" w:noHBand="0" w:noVBand="0"/>
      </w:tblPr>
      <w:tblGrid>
        <w:gridCol w:w="1195"/>
        <w:gridCol w:w="850"/>
        <w:gridCol w:w="1162"/>
        <w:gridCol w:w="680"/>
        <w:gridCol w:w="2309"/>
        <w:gridCol w:w="966"/>
        <w:gridCol w:w="883"/>
        <w:gridCol w:w="1017"/>
      </w:tblGrid>
      <w:tr w:rsidR="000420F3" w:rsidRPr="00FE54EF" w14:paraId="73B1E44D" w14:textId="09C07694" w:rsidTr="000420F3">
        <w:trPr>
          <w:trHeight w:val="896"/>
        </w:trPr>
        <w:tc>
          <w:tcPr>
            <w:tcW w:w="659" w:type="pct"/>
            <w:tcBorders>
              <w:top w:val="single" w:sz="4" w:space="0" w:color="auto"/>
              <w:left w:val="single" w:sz="4" w:space="0" w:color="auto"/>
              <w:bottom w:val="single" w:sz="4" w:space="0" w:color="auto"/>
              <w:right w:val="single" w:sz="4" w:space="0" w:color="auto"/>
            </w:tcBorders>
          </w:tcPr>
          <w:p w14:paraId="0B27170E" w14:textId="306F7F34"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bookmarkStart w:id="14" w:name="_Hlk34654269"/>
            <w:r w:rsidRPr="00171DED">
              <w:rPr>
                <w:rFonts w:ascii="Times New Roman" w:hAnsi="Times New Roman"/>
                <w:b/>
                <w:noProof/>
                <w:sz w:val="16"/>
                <w:lang w:val="bg-BG" w:eastAsia="bg-BG" w:bidi="bg-BG"/>
              </w:rPr>
              <w:t xml:space="preserve">Приоритет </w:t>
            </w:r>
          </w:p>
        </w:tc>
        <w:tc>
          <w:tcPr>
            <w:tcW w:w="469" w:type="pct"/>
            <w:tcBorders>
              <w:top w:val="single" w:sz="4" w:space="0" w:color="auto"/>
              <w:left w:val="single" w:sz="4" w:space="0" w:color="auto"/>
              <w:bottom w:val="single" w:sz="4" w:space="0" w:color="auto"/>
              <w:right w:val="single" w:sz="4" w:space="0" w:color="auto"/>
            </w:tcBorders>
          </w:tcPr>
          <w:p w14:paraId="665A294C" w14:textId="103D0E7F"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Фонд</w:t>
            </w:r>
          </w:p>
        </w:tc>
        <w:tc>
          <w:tcPr>
            <w:tcW w:w="641" w:type="pct"/>
            <w:tcBorders>
              <w:top w:val="single" w:sz="4" w:space="0" w:color="auto"/>
              <w:left w:val="single" w:sz="4" w:space="0" w:color="auto"/>
              <w:bottom w:val="single" w:sz="4" w:space="0" w:color="auto"/>
              <w:right w:val="single" w:sz="4" w:space="0" w:color="auto"/>
            </w:tcBorders>
          </w:tcPr>
          <w:p w14:paraId="2BEF29A5" w14:textId="7074088D" w:rsidR="000420F3" w:rsidRPr="00171DED" w:rsidRDefault="000420F3" w:rsidP="00A814B3">
            <w:pPr>
              <w:autoSpaceDE w:val="0"/>
              <w:autoSpaceDN w:val="0"/>
              <w:adjustRightInd w:val="0"/>
              <w:spacing w:after="0" w:line="240" w:lineRule="auto"/>
              <w:rPr>
                <w:rFonts w:ascii="Times New Roman" w:hAnsi="Times New Roman"/>
                <w:b/>
                <w:noProof/>
                <w:sz w:val="16"/>
                <w:lang w:val="bg-BG" w:eastAsia="bg-BG" w:bidi="bg-BG"/>
              </w:rPr>
            </w:pPr>
            <w:r w:rsidRPr="00171DED">
              <w:rPr>
                <w:rFonts w:ascii="Times New Roman" w:hAnsi="Times New Roman"/>
                <w:b/>
                <w:noProof/>
                <w:sz w:val="16"/>
                <w:lang w:val="bg-BG" w:eastAsia="bg-BG" w:bidi="bg-BG"/>
              </w:rPr>
              <w:t>Категория региони</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11D5B09" w14:textId="70B11747"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ID [5]</w:t>
            </w:r>
          </w:p>
        </w:tc>
        <w:tc>
          <w:tcPr>
            <w:tcW w:w="1274" w:type="pct"/>
            <w:tcBorders>
              <w:top w:val="single" w:sz="4" w:space="0" w:color="auto"/>
              <w:left w:val="single" w:sz="4" w:space="0" w:color="auto"/>
              <w:bottom w:val="single" w:sz="4" w:space="0" w:color="auto"/>
              <w:right w:val="single" w:sz="4" w:space="0" w:color="auto"/>
            </w:tcBorders>
            <w:shd w:val="clear" w:color="auto" w:fill="auto"/>
          </w:tcPr>
          <w:p w14:paraId="2E3A35AC" w14:textId="560CF973"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 xml:space="preserve">Показател [255] </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A29D351" w14:textId="59FAA120"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Мерна единица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19C7703" w14:textId="5F48C2C5" w:rsidR="000420F3" w:rsidRPr="00171DED" w:rsidRDefault="000420F3" w:rsidP="00DD4A0F">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5D81F6A2" w14:textId="08BBBF0B" w:rsidR="000420F3" w:rsidRPr="00171DED" w:rsidRDefault="000420F3" w:rsidP="00DD4A0F">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6A8E647C" w14:textId="259CC1B8"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314A57D2" w14:textId="313E3F12" w:rsidTr="000420F3">
        <w:trPr>
          <w:trHeight w:val="717"/>
        </w:trPr>
        <w:tc>
          <w:tcPr>
            <w:tcW w:w="659" w:type="pct"/>
            <w:tcBorders>
              <w:top w:val="single" w:sz="4" w:space="0" w:color="auto"/>
              <w:left w:val="single" w:sz="4" w:space="0" w:color="auto"/>
              <w:right w:val="single" w:sz="4" w:space="0" w:color="auto"/>
            </w:tcBorders>
          </w:tcPr>
          <w:p w14:paraId="5C5ED59B" w14:textId="70146028"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95689">
              <w:rPr>
                <w:rFonts w:ascii="Times New Roman" w:hAnsi="Times New Roman" w:cs="Times New Roman"/>
                <w:color w:val="000000"/>
                <w:sz w:val="20"/>
                <w:szCs w:val="20"/>
                <w:lang w:val="bg-BG"/>
              </w:rPr>
              <w:t>ТП</w:t>
            </w:r>
          </w:p>
        </w:tc>
        <w:tc>
          <w:tcPr>
            <w:tcW w:w="469" w:type="pct"/>
            <w:tcBorders>
              <w:top w:val="single" w:sz="4" w:space="0" w:color="auto"/>
              <w:left w:val="single" w:sz="4" w:space="0" w:color="auto"/>
              <w:bottom w:val="single" w:sz="4" w:space="0" w:color="auto"/>
              <w:right w:val="single" w:sz="4" w:space="0" w:color="auto"/>
            </w:tcBorders>
          </w:tcPr>
          <w:p w14:paraId="4A7F5A93" w14:textId="2E678A93" w:rsidR="000420F3" w:rsidRPr="00CD0D80" w:rsidRDefault="000420F3" w:rsidP="00A814B3">
            <w:pPr>
              <w:autoSpaceDE w:val="0"/>
              <w:autoSpaceDN w:val="0"/>
              <w:adjustRightInd w:val="0"/>
              <w:spacing w:after="0" w:line="240" w:lineRule="auto"/>
              <w:rPr>
                <w:rFonts w:ascii="Times New Roman" w:hAnsi="Times New Roman" w:cs="Times New Roman"/>
                <w:i/>
                <w:iCs/>
                <w:color w:val="000000"/>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12C29A4A" w14:textId="29F63B61" w:rsidR="000420F3" w:rsidRPr="00CD0D80"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4EA5B70A" w14:textId="6723F833" w:rsidR="000420F3" w:rsidRPr="00CD0D80"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 1</w:t>
            </w:r>
          </w:p>
        </w:tc>
        <w:tc>
          <w:tcPr>
            <w:tcW w:w="1274" w:type="pct"/>
            <w:tcBorders>
              <w:top w:val="single" w:sz="4" w:space="0" w:color="auto"/>
              <w:left w:val="single" w:sz="4" w:space="0" w:color="auto"/>
              <w:bottom w:val="single" w:sz="4" w:space="0" w:color="auto"/>
              <w:right w:val="single" w:sz="4" w:space="0" w:color="auto"/>
            </w:tcBorders>
          </w:tcPr>
          <w:p w14:paraId="71B7A69C" w14:textId="017D4EFA"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Обучени служители на (потенциални) бенефициенти/партньори с цел повишаване административния им капацитет</w:t>
            </w:r>
          </w:p>
          <w:p w14:paraId="15116863" w14:textId="3F4B864A"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p>
          <w:p w14:paraId="466BD047" w14:textId="4F6BAAF0"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3121FEDF" w14:textId="00B542C7"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 лица </w:t>
            </w:r>
          </w:p>
        </w:tc>
        <w:tc>
          <w:tcPr>
            <w:tcW w:w="487" w:type="pct"/>
            <w:tcBorders>
              <w:top w:val="single" w:sz="4" w:space="0" w:color="auto"/>
              <w:left w:val="single" w:sz="4" w:space="0" w:color="auto"/>
              <w:bottom w:val="single" w:sz="4" w:space="0" w:color="auto"/>
              <w:right w:val="single" w:sz="4" w:space="0" w:color="auto"/>
            </w:tcBorders>
          </w:tcPr>
          <w:p w14:paraId="003B8B01" w14:textId="67097E60" w:rsidR="000420F3" w:rsidRPr="00FB135C"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120 </w:t>
            </w:r>
          </w:p>
        </w:tc>
        <w:tc>
          <w:tcPr>
            <w:tcW w:w="561" w:type="pct"/>
            <w:tcBorders>
              <w:top w:val="single" w:sz="4" w:space="0" w:color="auto"/>
              <w:left w:val="single" w:sz="4" w:space="0" w:color="auto"/>
              <w:bottom w:val="single" w:sz="4" w:space="0" w:color="auto"/>
              <w:right w:val="single" w:sz="4" w:space="0" w:color="auto"/>
            </w:tcBorders>
          </w:tcPr>
          <w:p w14:paraId="07505E9D" w14:textId="6D99682C" w:rsidR="000420F3" w:rsidRPr="00FB135C"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720 </w:t>
            </w:r>
          </w:p>
        </w:tc>
      </w:tr>
      <w:tr w:rsidR="000420F3" w:rsidRPr="00FE54EF" w14:paraId="1A899408" w14:textId="06FFFFBC" w:rsidTr="000420F3">
        <w:trPr>
          <w:trHeight w:val="717"/>
        </w:trPr>
        <w:tc>
          <w:tcPr>
            <w:tcW w:w="659" w:type="pct"/>
            <w:tcBorders>
              <w:top w:val="single" w:sz="4" w:space="0" w:color="auto"/>
              <w:left w:val="single" w:sz="4" w:space="0" w:color="auto"/>
              <w:right w:val="single" w:sz="4" w:space="0" w:color="auto"/>
            </w:tcBorders>
          </w:tcPr>
          <w:p w14:paraId="77607DB2" w14:textId="3C065C59"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15D47B47" w14:textId="1C8C9CFF" w:rsidR="000420F3" w:rsidRPr="00CD0D80" w:rsidRDefault="000420F3" w:rsidP="000420F3">
            <w:pPr>
              <w:autoSpaceDE w:val="0"/>
              <w:autoSpaceDN w:val="0"/>
              <w:adjustRightInd w:val="0"/>
              <w:spacing w:after="0" w:line="240" w:lineRule="auto"/>
              <w:rPr>
                <w:rFonts w:ascii="Times New Roman" w:hAnsi="Times New Roman" w:cs="Times New Roman"/>
                <w:i/>
                <w:iCs/>
                <w:color w:val="000000"/>
                <w:sz w:val="20"/>
                <w:szCs w:val="20"/>
                <w:lang w:val="bg-BG"/>
              </w:rPr>
            </w:pPr>
            <w:r w:rsidRPr="00A02032">
              <w:rPr>
                <w:rFonts w:ascii="Times New Roman" w:hAnsi="Times New Roman"/>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138A1555" w14:textId="2D486D05"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33611CBF" w14:textId="4DC1117C"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 2</w:t>
            </w:r>
          </w:p>
        </w:tc>
        <w:tc>
          <w:tcPr>
            <w:tcW w:w="1274" w:type="pct"/>
            <w:tcBorders>
              <w:top w:val="single" w:sz="4" w:space="0" w:color="auto"/>
              <w:left w:val="single" w:sz="4" w:space="0" w:color="auto"/>
              <w:bottom w:val="single" w:sz="4" w:space="0" w:color="auto"/>
              <w:right w:val="single" w:sz="4" w:space="0" w:color="auto"/>
            </w:tcBorders>
          </w:tcPr>
          <w:p w14:paraId="2F988E13" w14:textId="2AA5D411"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Обучения за служители на УО с цел повишаване на административния капацитет</w:t>
            </w:r>
          </w:p>
        </w:tc>
        <w:tc>
          <w:tcPr>
            <w:tcW w:w="533" w:type="pct"/>
            <w:tcBorders>
              <w:top w:val="single" w:sz="4" w:space="0" w:color="auto"/>
              <w:left w:val="single" w:sz="4" w:space="0" w:color="auto"/>
              <w:bottom w:val="single" w:sz="4" w:space="0" w:color="auto"/>
              <w:right w:val="single" w:sz="4" w:space="0" w:color="auto"/>
            </w:tcBorders>
          </w:tcPr>
          <w:p w14:paraId="0A8F3BB5" w14:textId="4BF74A5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33F24933" w14:textId="4AC89FD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40</w:t>
            </w:r>
          </w:p>
        </w:tc>
        <w:tc>
          <w:tcPr>
            <w:tcW w:w="561" w:type="pct"/>
            <w:tcBorders>
              <w:top w:val="single" w:sz="4" w:space="0" w:color="auto"/>
              <w:left w:val="single" w:sz="4" w:space="0" w:color="auto"/>
              <w:bottom w:val="single" w:sz="4" w:space="0" w:color="auto"/>
              <w:right w:val="single" w:sz="4" w:space="0" w:color="auto"/>
            </w:tcBorders>
          </w:tcPr>
          <w:p w14:paraId="70EEF713" w14:textId="346AF9D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240</w:t>
            </w:r>
          </w:p>
        </w:tc>
      </w:tr>
      <w:tr w:rsidR="000420F3" w:rsidRPr="00FE54EF" w14:paraId="714F3DE6" w14:textId="77777777" w:rsidTr="000420F3">
        <w:trPr>
          <w:trHeight w:val="717"/>
        </w:trPr>
        <w:tc>
          <w:tcPr>
            <w:tcW w:w="659" w:type="pct"/>
            <w:tcBorders>
              <w:top w:val="single" w:sz="4" w:space="0" w:color="auto"/>
              <w:left w:val="single" w:sz="4" w:space="0" w:color="auto"/>
              <w:right w:val="single" w:sz="4" w:space="0" w:color="auto"/>
            </w:tcBorders>
          </w:tcPr>
          <w:p w14:paraId="61D2256D"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5BF2ACF7" w14:textId="12CA6BBB" w:rsidR="000420F3" w:rsidRPr="00A02032" w:rsidRDefault="000420F3" w:rsidP="000420F3">
            <w:pPr>
              <w:autoSpaceDE w:val="0"/>
              <w:autoSpaceDN w:val="0"/>
              <w:adjustRightInd w:val="0"/>
              <w:spacing w:after="0" w:line="240" w:lineRule="auto"/>
              <w:rPr>
                <w:rFonts w:ascii="Times New Roman" w:hAnsi="Times New Roman"/>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07E26470" w14:textId="4E8B15CF"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1333D4F6" w14:textId="1FC1C255"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3</w:t>
            </w:r>
          </w:p>
        </w:tc>
        <w:tc>
          <w:tcPr>
            <w:tcW w:w="1274" w:type="pct"/>
            <w:tcBorders>
              <w:top w:val="single" w:sz="4" w:space="0" w:color="auto"/>
              <w:left w:val="single" w:sz="4" w:space="0" w:color="auto"/>
              <w:bottom w:val="single" w:sz="4" w:space="0" w:color="auto"/>
              <w:right w:val="single" w:sz="4" w:space="0" w:color="auto"/>
            </w:tcBorders>
          </w:tcPr>
          <w:p w14:paraId="467DA4A7" w14:textId="388B89BE"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Служители  на УО, финансирани от ТП </w:t>
            </w:r>
          </w:p>
        </w:tc>
        <w:tc>
          <w:tcPr>
            <w:tcW w:w="533" w:type="pct"/>
            <w:tcBorders>
              <w:top w:val="single" w:sz="4" w:space="0" w:color="auto"/>
              <w:left w:val="single" w:sz="4" w:space="0" w:color="auto"/>
              <w:bottom w:val="single" w:sz="4" w:space="0" w:color="auto"/>
              <w:right w:val="single" w:sz="4" w:space="0" w:color="auto"/>
            </w:tcBorders>
          </w:tcPr>
          <w:p w14:paraId="5D2278DA" w14:textId="7143770F"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лица</w:t>
            </w:r>
          </w:p>
        </w:tc>
        <w:tc>
          <w:tcPr>
            <w:tcW w:w="487" w:type="pct"/>
            <w:tcBorders>
              <w:top w:val="single" w:sz="4" w:space="0" w:color="auto"/>
              <w:left w:val="single" w:sz="4" w:space="0" w:color="auto"/>
              <w:bottom w:val="single" w:sz="4" w:space="0" w:color="auto"/>
              <w:right w:val="single" w:sz="4" w:space="0" w:color="auto"/>
            </w:tcBorders>
          </w:tcPr>
          <w:p w14:paraId="443B6D2A"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118</w:t>
            </w:r>
          </w:p>
          <w:p w14:paraId="0E832967"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36D7C1B2"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121</w:t>
            </w:r>
          </w:p>
          <w:p w14:paraId="58D7FE9A"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7CA1CA92" w14:textId="33C6393D" w:rsidTr="000420F3">
        <w:trPr>
          <w:trHeight w:val="557"/>
        </w:trPr>
        <w:tc>
          <w:tcPr>
            <w:tcW w:w="659" w:type="pct"/>
            <w:vMerge w:val="restart"/>
            <w:tcBorders>
              <w:top w:val="single" w:sz="4" w:space="0" w:color="auto"/>
              <w:left w:val="single" w:sz="4" w:space="0" w:color="auto"/>
              <w:bottom w:val="single" w:sz="4" w:space="0" w:color="auto"/>
              <w:right w:val="single" w:sz="4" w:space="0" w:color="auto"/>
            </w:tcBorders>
          </w:tcPr>
          <w:p w14:paraId="24477917" w14:textId="2BF28E5C" w:rsidR="000420F3" w:rsidRPr="00CD0D80" w:rsidRDefault="000420F3" w:rsidP="000420F3">
            <w:pPr>
              <w:autoSpaceDE w:val="0"/>
              <w:autoSpaceDN w:val="0"/>
              <w:adjustRightInd w:val="0"/>
              <w:spacing w:after="0" w:line="240" w:lineRule="auto"/>
              <w:rPr>
                <w:rFonts w:ascii="Times New Roman" w:hAnsi="Times New Roman" w:cs="Times New Roman"/>
                <w:b/>
                <w:bCs/>
                <w:i/>
                <w:iCs/>
                <w:color w:val="000000"/>
                <w:sz w:val="20"/>
                <w:szCs w:val="20"/>
                <w:lang w:val="bg-BG"/>
              </w:rPr>
            </w:pPr>
            <w:r w:rsidRPr="00CD0D80">
              <w:rPr>
                <w:rFonts w:ascii="Times New Roman" w:hAnsi="Times New Roman" w:cs="Times New Roman"/>
                <w:color w:val="000000"/>
                <w:sz w:val="20"/>
                <w:szCs w:val="20"/>
                <w:lang w:val="bg-BG"/>
              </w:rPr>
              <w:lastRenderedPageBreak/>
              <w:t>ТП</w:t>
            </w:r>
          </w:p>
          <w:p w14:paraId="64FD1B6E" w14:textId="134C3717"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p w14:paraId="510B9DAC" w14:textId="6DEA34C2"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0D0AF9C4" w14:textId="1A1D97C5" w:rsidR="000420F3" w:rsidRPr="00CD0D80" w:rsidRDefault="000420F3" w:rsidP="000420F3">
            <w:pPr>
              <w:autoSpaceDE w:val="0"/>
              <w:autoSpaceDN w:val="0"/>
              <w:adjustRightInd w:val="0"/>
              <w:spacing w:after="0" w:line="240" w:lineRule="auto"/>
              <w:rPr>
                <w:rFonts w:ascii="Times New Roman" w:hAnsi="Times New Roman" w:cs="Times New Roman"/>
                <w:i/>
                <w:iCs/>
                <w:color w:val="000000"/>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791C8CFF" w14:textId="48D07A7E"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575A06B3" w14:textId="6748EACD"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4</w:t>
            </w:r>
          </w:p>
        </w:tc>
        <w:tc>
          <w:tcPr>
            <w:tcW w:w="1274" w:type="pct"/>
            <w:tcBorders>
              <w:top w:val="single" w:sz="4" w:space="0" w:color="auto"/>
              <w:left w:val="single" w:sz="4" w:space="0" w:color="auto"/>
              <w:bottom w:val="single" w:sz="4" w:space="0" w:color="auto"/>
              <w:right w:val="single" w:sz="4" w:space="0" w:color="auto"/>
            </w:tcBorders>
          </w:tcPr>
          <w:p w14:paraId="419E7F94"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Проведени информационни кампании </w:t>
            </w:r>
          </w:p>
          <w:p w14:paraId="33BFE8CE" w14:textId="2F845A3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78911552"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6452F044" w14:textId="70EBF2B5"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26CAF6C7"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w:t>
            </w:r>
          </w:p>
          <w:p w14:paraId="5CD83AD7" w14:textId="32EA945A"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5369EEDB"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w:t>
            </w:r>
          </w:p>
          <w:p w14:paraId="6E5637A6" w14:textId="323198F8"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009B5CAF" w14:textId="51579B9F" w:rsidTr="000420F3">
        <w:trPr>
          <w:trHeight w:val="1038"/>
        </w:trPr>
        <w:tc>
          <w:tcPr>
            <w:tcW w:w="659" w:type="pct"/>
            <w:vMerge/>
            <w:tcBorders>
              <w:top w:val="single" w:sz="4" w:space="0" w:color="auto"/>
              <w:left w:val="single" w:sz="4" w:space="0" w:color="auto"/>
              <w:bottom w:val="single" w:sz="4" w:space="0" w:color="auto"/>
              <w:right w:val="single" w:sz="4" w:space="0" w:color="auto"/>
            </w:tcBorders>
          </w:tcPr>
          <w:p w14:paraId="6E51672D" w14:textId="568E9627"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6C23FE3F" w14:textId="160A1C8A" w:rsidR="000420F3" w:rsidRPr="00CD0D80" w:rsidRDefault="000420F3" w:rsidP="000420F3">
            <w:pPr>
              <w:autoSpaceDE w:val="0"/>
              <w:autoSpaceDN w:val="0"/>
              <w:adjustRightInd w:val="0"/>
              <w:spacing w:after="0" w:line="240" w:lineRule="auto"/>
              <w:rPr>
                <w:rFonts w:ascii="Times New Roman" w:hAnsi="Times New Roman" w:cs="Times New Roman"/>
                <w:b/>
                <w:bCs/>
                <w:i/>
                <w:iCs/>
                <w:color w:val="000000"/>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3BDDB5D1" w14:textId="00F81AE1"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4394E160" w14:textId="7364B5F4"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5</w:t>
            </w:r>
          </w:p>
        </w:tc>
        <w:tc>
          <w:tcPr>
            <w:tcW w:w="1274" w:type="pct"/>
            <w:tcBorders>
              <w:top w:val="single" w:sz="4" w:space="0" w:color="auto"/>
              <w:left w:val="single" w:sz="4" w:space="0" w:color="auto"/>
              <w:bottom w:val="single" w:sz="4" w:space="0" w:color="auto"/>
              <w:right w:val="single" w:sz="4" w:space="0" w:color="auto"/>
            </w:tcBorders>
          </w:tcPr>
          <w:p w14:paraId="58DBC528" w14:textId="2F88188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Извършени вътрешни/външни оценки по програмата</w:t>
            </w:r>
          </w:p>
          <w:p w14:paraId="2670BC59" w14:textId="1321445E"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41970088" w14:textId="7E48776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1C76F0E2" w14:textId="3D199F88"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58FC4762" w14:textId="68E18EC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7CD64BA7" w14:textId="0F9E611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w:t>
            </w:r>
          </w:p>
          <w:p w14:paraId="614B5C9B" w14:textId="49FFD76B"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169442B9" w14:textId="253704FC"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w:t>
            </w:r>
          </w:p>
          <w:p w14:paraId="232C96A1" w14:textId="4AC70D57"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bookmarkEnd w:id="14"/>
    </w:tbl>
    <w:p w14:paraId="066DC0D9" w14:textId="7723A4B5" w:rsidR="006B56D4" w:rsidRPr="00FB135C" w:rsidRDefault="006B56D4" w:rsidP="00A814B3">
      <w:pPr>
        <w:autoSpaceDE w:val="0"/>
        <w:autoSpaceDN w:val="0"/>
        <w:adjustRightInd w:val="0"/>
        <w:spacing w:after="0" w:line="240" w:lineRule="auto"/>
        <w:rPr>
          <w:rFonts w:ascii="Times New Roman" w:hAnsi="Times New Roman" w:cs="Times New Roman"/>
          <w:b/>
          <w:bCs/>
          <w:i/>
          <w:iCs/>
          <w:color w:val="808080" w:themeColor="background1" w:themeShade="80"/>
          <w:sz w:val="23"/>
          <w:szCs w:val="23"/>
          <w:lang w:val="bg-BG"/>
        </w:rPr>
      </w:pPr>
    </w:p>
    <w:p w14:paraId="4DAFFAAB" w14:textId="77777777" w:rsidR="00722757" w:rsidRPr="00171DED"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2"/>
      </w:tblGrid>
      <w:tr w:rsidR="00722757" w:rsidRPr="00171DED" w14:paraId="21FB2A38" w14:textId="77777777" w:rsidTr="00DB35A7">
        <w:tc>
          <w:tcPr>
            <w:tcW w:w="9062" w:type="dxa"/>
          </w:tcPr>
          <w:p w14:paraId="733060B6" w14:textId="77777777" w:rsidR="00722757" w:rsidRPr="00171DED" w:rsidRDefault="00722757" w:rsidP="00DD4A0F">
            <w:pPr>
              <w:spacing w:before="120" w:after="120"/>
              <w:jc w:val="both"/>
              <w:rPr>
                <w:rFonts w:ascii="Times New Roman" w:eastAsia="Times New Roman" w:hAnsi="Times New Roman" w:cs="Times New Roman"/>
                <w:i/>
                <w:iCs/>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 xml:space="preserve">Текстово поле [3 000] </w:t>
            </w:r>
          </w:p>
        </w:tc>
      </w:tr>
    </w:tbl>
    <w:p w14:paraId="7F6E3177" w14:textId="77777777" w:rsidR="00DB35A7" w:rsidRPr="00171DED" w:rsidRDefault="00DB35A7" w:rsidP="00DB35A7">
      <w:pPr>
        <w:spacing w:before="120" w:after="120" w:line="240" w:lineRule="auto"/>
        <w:jc w:val="both"/>
        <w:rPr>
          <w:rFonts w:ascii="Times New Roman" w:eastAsia="Times New Roman" w:hAnsi="Times New Roman" w:cs="Times New Roman"/>
          <w:noProof/>
          <w:sz w:val="24"/>
          <w:szCs w:val="24"/>
        </w:rPr>
      </w:pPr>
      <w:r w:rsidRPr="00171DED">
        <w:rPr>
          <w:rFonts w:ascii="Times New Roman" w:hAnsi="Times New Roman" w:cs="Times New Roman"/>
          <w:b/>
          <w:bCs/>
          <w:i/>
          <w:iCs/>
          <w:color w:val="000000"/>
          <w:sz w:val="23"/>
          <w:szCs w:val="23"/>
        </w:rPr>
        <w:t>Reference Article 17(3)(e)bis(iv) CPR</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33"/>
        <w:gridCol w:w="1233"/>
        <w:gridCol w:w="3242"/>
        <w:gridCol w:w="2552"/>
      </w:tblGrid>
      <w:tr w:rsidR="00DB35A7" w:rsidRPr="00171DED" w14:paraId="7F894F1A" w14:textId="77777777" w:rsidTr="0008367C">
        <w:trPr>
          <w:trHeight w:val="88"/>
        </w:trPr>
        <w:tc>
          <w:tcPr>
            <w:tcW w:w="9493" w:type="dxa"/>
            <w:gridSpan w:val="5"/>
          </w:tcPr>
          <w:p w14:paraId="416CA1D5" w14:textId="77777777" w:rsidR="00DB35A7" w:rsidRPr="00171DED" w:rsidRDefault="00DB35A7" w:rsidP="0008367C">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Table 8: Dimension 1 </w:t>
            </w:r>
            <w:r w:rsidRPr="00171DED">
              <w:rPr>
                <w:rFonts w:ascii="TimesNewRomanPS-BoldMT" w:hAnsi="TimesNewRomanPS-BoldMT" w:cs="TimesNewRomanPS-BoldMT"/>
                <w:b/>
                <w:bCs/>
                <w:color w:val="000000"/>
                <w:sz w:val="20"/>
                <w:szCs w:val="20"/>
              </w:rPr>
              <w:t xml:space="preserve">– </w:t>
            </w:r>
            <w:r w:rsidRPr="00171DED">
              <w:rPr>
                <w:rFonts w:ascii="Times New Roman" w:hAnsi="Times New Roman" w:cs="Times New Roman"/>
                <w:b/>
                <w:bCs/>
                <w:color w:val="000000"/>
                <w:sz w:val="20"/>
                <w:szCs w:val="20"/>
              </w:rPr>
              <w:t xml:space="preserve">intervention field </w:t>
            </w:r>
          </w:p>
        </w:tc>
      </w:tr>
      <w:tr w:rsidR="00DB35A7" w:rsidRPr="00171DED" w14:paraId="6C55A8F6" w14:textId="77777777" w:rsidTr="0008367C">
        <w:trPr>
          <w:trHeight w:val="261"/>
        </w:trPr>
        <w:tc>
          <w:tcPr>
            <w:tcW w:w="1233" w:type="dxa"/>
          </w:tcPr>
          <w:p w14:paraId="51AC99C5"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Приоритет №</w:t>
            </w:r>
          </w:p>
        </w:tc>
        <w:tc>
          <w:tcPr>
            <w:tcW w:w="1233" w:type="dxa"/>
          </w:tcPr>
          <w:p w14:paraId="6594082F"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Фонд</w:t>
            </w:r>
          </w:p>
        </w:tc>
        <w:tc>
          <w:tcPr>
            <w:tcW w:w="1233" w:type="dxa"/>
          </w:tcPr>
          <w:p w14:paraId="7B0AE94F"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Категория региони</w:t>
            </w:r>
          </w:p>
        </w:tc>
        <w:tc>
          <w:tcPr>
            <w:tcW w:w="3242" w:type="dxa"/>
          </w:tcPr>
          <w:p w14:paraId="6CA56DAA"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 xml:space="preserve">Код </w:t>
            </w:r>
          </w:p>
        </w:tc>
        <w:tc>
          <w:tcPr>
            <w:tcW w:w="2552" w:type="dxa"/>
          </w:tcPr>
          <w:p w14:paraId="216CF73D"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Сума (EUR)</w:t>
            </w:r>
          </w:p>
        </w:tc>
      </w:tr>
      <w:tr w:rsidR="00034722" w:rsidRPr="00171DED" w14:paraId="20297832" w14:textId="77777777" w:rsidTr="000F305B">
        <w:trPr>
          <w:trHeight w:val="261"/>
        </w:trPr>
        <w:tc>
          <w:tcPr>
            <w:tcW w:w="1233" w:type="dxa"/>
            <w:vMerge w:val="restart"/>
            <w:vAlign w:val="center"/>
          </w:tcPr>
          <w:p w14:paraId="2D3FE259" w14:textId="761C1272"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lang w:val="bg-BG"/>
              </w:rPr>
            </w:pPr>
            <w:r w:rsidRPr="00171DED">
              <w:rPr>
                <w:rFonts w:ascii="Times New Roman" w:eastAsia="Calibri" w:hAnsi="Times New Roman" w:cs="Times New Roman"/>
                <w:b/>
                <w:noProof/>
                <w:sz w:val="20"/>
                <w:szCs w:val="20"/>
                <w:lang w:val="bg-BG"/>
              </w:rPr>
              <w:t>П6 ТП</w:t>
            </w:r>
          </w:p>
        </w:tc>
        <w:tc>
          <w:tcPr>
            <w:tcW w:w="1233" w:type="dxa"/>
            <w:vMerge w:val="restart"/>
            <w:vAlign w:val="center"/>
          </w:tcPr>
          <w:p w14:paraId="06DB4947" w14:textId="105F6B46"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lang w:val="bg-BG"/>
              </w:rPr>
            </w:pPr>
            <w:r w:rsidRPr="00171DED">
              <w:rPr>
                <w:rFonts w:ascii="Times New Roman" w:eastAsia="Calibri" w:hAnsi="Times New Roman" w:cs="Times New Roman"/>
                <w:b/>
                <w:noProof/>
                <w:sz w:val="20"/>
                <w:szCs w:val="20"/>
                <w:lang w:val="bg-BG"/>
              </w:rPr>
              <w:t>ЕФРР</w:t>
            </w:r>
          </w:p>
        </w:tc>
        <w:tc>
          <w:tcPr>
            <w:tcW w:w="1233" w:type="dxa"/>
            <w:vAlign w:val="center"/>
          </w:tcPr>
          <w:p w14:paraId="2596CD36" w14:textId="0EC8AA29"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34722">
              <w:rPr>
                <w:rFonts w:ascii="Times New Roman" w:hAnsi="Times New Roman" w:cs="Times New Roman"/>
                <w:color w:val="000000"/>
                <w:sz w:val="20"/>
                <w:szCs w:val="20"/>
              </w:rPr>
              <w:t>Преход</w:t>
            </w:r>
            <w:proofErr w:type="spellEnd"/>
          </w:p>
        </w:tc>
        <w:tc>
          <w:tcPr>
            <w:tcW w:w="3242" w:type="dxa"/>
            <w:vAlign w:val="center"/>
          </w:tcPr>
          <w:p w14:paraId="254B4EBC"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r w:rsidRPr="00171DED">
              <w:rPr>
                <w:rFonts w:ascii="Times New Roman" w:eastAsia="Calibri" w:hAnsi="Times New Roman" w:cs="Times New Roman"/>
                <w:bCs/>
                <w:sz w:val="18"/>
                <w:szCs w:val="18"/>
              </w:rPr>
              <w:t>140</w:t>
            </w:r>
            <w:r w:rsidRPr="00171DED">
              <w:rPr>
                <w:rFonts w:ascii="Times New Roman" w:hAnsi="Times New Roman" w:cs="Times New Roman"/>
                <w:bCs/>
                <w:color w:val="000000"/>
                <w:sz w:val="18"/>
                <w:szCs w:val="18"/>
                <w:lang w:val="bg-BG"/>
              </w:rPr>
              <w:t xml:space="preserve"> Информация и комуникация</w:t>
            </w:r>
          </w:p>
        </w:tc>
        <w:tc>
          <w:tcPr>
            <w:tcW w:w="2552" w:type="dxa"/>
            <w:vAlign w:val="center"/>
          </w:tcPr>
          <w:p w14:paraId="55184C06" w14:textId="311B80D8" w:rsidR="00034722" w:rsidRPr="00034722" w:rsidRDefault="00034722" w:rsidP="00034722">
            <w:pPr>
              <w:autoSpaceDE w:val="0"/>
              <w:autoSpaceDN w:val="0"/>
              <w:adjustRightInd w:val="0"/>
              <w:spacing w:after="0" w:line="240" w:lineRule="auto"/>
              <w:jc w:val="both"/>
              <w:rPr>
                <w:rFonts w:ascii="Times New Roman" w:eastAsia="Calibri" w:hAnsi="Times New Roman" w:cs="Times New Roman"/>
                <w:b/>
                <w:noProof/>
                <w:sz w:val="20"/>
                <w:szCs w:val="20"/>
                <w:lang w:val="bg-BG"/>
              </w:rPr>
            </w:pPr>
            <w:r w:rsidRPr="00034722">
              <w:rPr>
                <w:rFonts w:ascii="Times New Roman" w:hAnsi="Times New Roman" w:cs="Times New Roman"/>
                <w:color w:val="000000"/>
                <w:sz w:val="20"/>
                <w:szCs w:val="20"/>
              </w:rPr>
              <w:t>2 940 000,00</w:t>
            </w:r>
          </w:p>
        </w:tc>
      </w:tr>
      <w:tr w:rsidR="00034722" w:rsidRPr="00171DED" w14:paraId="7F009F02" w14:textId="77777777" w:rsidTr="000F305B">
        <w:trPr>
          <w:trHeight w:val="261"/>
        </w:trPr>
        <w:tc>
          <w:tcPr>
            <w:tcW w:w="1233" w:type="dxa"/>
            <w:vMerge/>
            <w:vAlign w:val="center"/>
          </w:tcPr>
          <w:p w14:paraId="71F4CCDC"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576404B0"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
          <w:p w14:paraId="3314BC04" w14:textId="4334ADED"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34722">
              <w:rPr>
                <w:rFonts w:ascii="Times New Roman" w:hAnsi="Times New Roman" w:cs="Times New Roman"/>
                <w:color w:val="000000"/>
                <w:sz w:val="20"/>
                <w:szCs w:val="20"/>
              </w:rPr>
              <w:t>Преход</w:t>
            </w:r>
            <w:proofErr w:type="spellEnd"/>
          </w:p>
        </w:tc>
        <w:tc>
          <w:tcPr>
            <w:tcW w:w="3242" w:type="dxa"/>
            <w:vAlign w:val="center"/>
          </w:tcPr>
          <w:p w14:paraId="3D7DA465"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Calibri" w:hAnsi="Times New Roman" w:cs="Times New Roman"/>
                <w:bCs/>
                <w:sz w:val="18"/>
                <w:szCs w:val="18"/>
              </w:rPr>
              <w:t>141</w:t>
            </w:r>
            <w:r w:rsidRPr="00171DED">
              <w:rPr>
                <w:rFonts w:ascii="Times New Roman" w:eastAsia="Calibri" w:hAnsi="Times New Roman" w:cs="Times New Roman"/>
                <w:bCs/>
                <w:sz w:val="18"/>
                <w:szCs w:val="18"/>
                <w:lang w:val="bg-BG"/>
              </w:rPr>
              <w:t xml:space="preserve"> Подготовка, изпълнение, мониторинг и контрол</w:t>
            </w:r>
          </w:p>
        </w:tc>
        <w:tc>
          <w:tcPr>
            <w:tcW w:w="2552" w:type="dxa"/>
            <w:vAlign w:val="center"/>
          </w:tcPr>
          <w:p w14:paraId="18188059" w14:textId="072AB35E" w:rsidR="00034722" w:rsidRPr="00034722" w:rsidRDefault="00034722" w:rsidP="00034722">
            <w:pPr>
              <w:autoSpaceDE w:val="0"/>
              <w:autoSpaceDN w:val="0"/>
              <w:adjustRightInd w:val="0"/>
              <w:spacing w:after="0" w:line="240" w:lineRule="auto"/>
              <w:jc w:val="both"/>
              <w:rPr>
                <w:rFonts w:ascii="Times New Roman" w:hAnsi="Times New Roman" w:cs="Times New Roman"/>
                <w:bCs/>
                <w:color w:val="000000"/>
                <w:sz w:val="20"/>
                <w:szCs w:val="20"/>
                <w:lang w:val="bg-BG"/>
              </w:rPr>
            </w:pPr>
            <w:r w:rsidRPr="00034722">
              <w:rPr>
                <w:rFonts w:ascii="Times New Roman" w:hAnsi="Times New Roman" w:cs="Times New Roman"/>
                <w:color w:val="000000"/>
                <w:sz w:val="20"/>
                <w:szCs w:val="20"/>
              </w:rPr>
              <w:t>23 499 001,00</w:t>
            </w:r>
          </w:p>
        </w:tc>
      </w:tr>
      <w:tr w:rsidR="00034722" w:rsidRPr="00171DED" w14:paraId="25F4F08B" w14:textId="77777777" w:rsidTr="000F305B">
        <w:trPr>
          <w:trHeight w:val="261"/>
        </w:trPr>
        <w:tc>
          <w:tcPr>
            <w:tcW w:w="1233" w:type="dxa"/>
            <w:vMerge/>
            <w:vAlign w:val="center"/>
          </w:tcPr>
          <w:p w14:paraId="55E11745"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3746A289"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
          <w:p w14:paraId="2BD62DE6" w14:textId="57013E6E"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34722">
              <w:rPr>
                <w:rFonts w:ascii="Times New Roman" w:hAnsi="Times New Roman" w:cs="Times New Roman"/>
                <w:color w:val="000000"/>
                <w:sz w:val="20"/>
                <w:szCs w:val="20"/>
              </w:rPr>
              <w:t>Преход</w:t>
            </w:r>
            <w:proofErr w:type="spellEnd"/>
          </w:p>
        </w:tc>
        <w:tc>
          <w:tcPr>
            <w:tcW w:w="3242" w:type="dxa"/>
            <w:vAlign w:val="center"/>
          </w:tcPr>
          <w:p w14:paraId="52AB9902"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Calibri" w:hAnsi="Times New Roman" w:cs="Times New Roman"/>
                <w:bCs/>
                <w:sz w:val="18"/>
                <w:szCs w:val="18"/>
              </w:rPr>
              <w:t>142</w:t>
            </w:r>
            <w:r w:rsidRPr="00171DED">
              <w:rPr>
                <w:rFonts w:ascii="Times New Roman" w:eastAsia="Calibri" w:hAnsi="Times New Roman" w:cs="Times New Roman"/>
                <w:bCs/>
                <w:sz w:val="18"/>
                <w:szCs w:val="18"/>
                <w:lang w:val="bg-BG"/>
              </w:rPr>
              <w:t xml:space="preserve"> Оценка и проучвания, набиране на данни</w:t>
            </w:r>
          </w:p>
        </w:tc>
        <w:tc>
          <w:tcPr>
            <w:tcW w:w="2552" w:type="dxa"/>
            <w:vAlign w:val="center"/>
          </w:tcPr>
          <w:p w14:paraId="1C19D45F" w14:textId="0C2FC8E9" w:rsidR="00034722" w:rsidRPr="00034722" w:rsidRDefault="00034722" w:rsidP="00034722">
            <w:pPr>
              <w:autoSpaceDE w:val="0"/>
              <w:autoSpaceDN w:val="0"/>
              <w:adjustRightInd w:val="0"/>
              <w:spacing w:after="0" w:line="240" w:lineRule="auto"/>
              <w:jc w:val="both"/>
              <w:rPr>
                <w:rFonts w:ascii="Times New Roman" w:hAnsi="Times New Roman" w:cs="Times New Roman"/>
                <w:bCs/>
                <w:color w:val="000000"/>
                <w:sz w:val="20"/>
                <w:szCs w:val="20"/>
              </w:rPr>
            </w:pPr>
            <w:r w:rsidRPr="00034722">
              <w:rPr>
                <w:rFonts w:ascii="Times New Roman" w:hAnsi="Times New Roman" w:cs="Times New Roman"/>
                <w:color w:val="000000"/>
                <w:sz w:val="20"/>
                <w:szCs w:val="20"/>
              </w:rPr>
              <w:t>5 600 000,00</w:t>
            </w:r>
          </w:p>
        </w:tc>
      </w:tr>
      <w:tr w:rsidR="00034722" w:rsidRPr="00171DED" w14:paraId="27B2E4D9" w14:textId="77777777" w:rsidTr="000F305B">
        <w:trPr>
          <w:trHeight w:val="261"/>
        </w:trPr>
        <w:tc>
          <w:tcPr>
            <w:tcW w:w="1233" w:type="dxa"/>
            <w:vMerge/>
            <w:vAlign w:val="center"/>
          </w:tcPr>
          <w:p w14:paraId="40BCC888"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2565E08D"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
          <w:p w14:paraId="50643E37" w14:textId="65C4D9ED"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034722">
              <w:rPr>
                <w:rFonts w:ascii="Times New Roman" w:hAnsi="Times New Roman" w:cs="Times New Roman"/>
                <w:color w:val="000000"/>
                <w:sz w:val="20"/>
                <w:szCs w:val="20"/>
              </w:rPr>
              <w:t>Преход</w:t>
            </w:r>
            <w:proofErr w:type="spellEnd"/>
          </w:p>
        </w:tc>
        <w:tc>
          <w:tcPr>
            <w:tcW w:w="3242" w:type="dxa"/>
            <w:vAlign w:val="center"/>
          </w:tcPr>
          <w:p w14:paraId="30B39847"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Times New Roman" w:hAnsi="Times New Roman" w:cs="Times New Roman"/>
                <w:bCs/>
                <w:iCs/>
                <w:sz w:val="18"/>
                <w:szCs w:val="18"/>
              </w:rPr>
              <w:t>143</w:t>
            </w:r>
            <w:r w:rsidRPr="00171DED">
              <w:rPr>
                <w:rFonts w:ascii="Times New Roman" w:hAnsi="Times New Roman" w:cs="Times New Roman"/>
                <w:bCs/>
                <w:color w:val="000000"/>
                <w:sz w:val="18"/>
                <w:szCs w:val="18"/>
                <w:lang w:val="bg-BG"/>
              </w:rPr>
              <w:t xml:space="preserve"> Укрепване на капацитета на органите, бенефициентите и съответните партньори на държавите-членки  </w:t>
            </w:r>
          </w:p>
        </w:tc>
        <w:tc>
          <w:tcPr>
            <w:tcW w:w="2552" w:type="dxa"/>
            <w:vAlign w:val="center"/>
          </w:tcPr>
          <w:p w14:paraId="74E59C87" w14:textId="203B491F" w:rsidR="00034722" w:rsidRPr="00034722" w:rsidRDefault="00034722" w:rsidP="00034722">
            <w:pPr>
              <w:autoSpaceDE w:val="0"/>
              <w:autoSpaceDN w:val="0"/>
              <w:adjustRightInd w:val="0"/>
              <w:spacing w:after="0" w:line="240" w:lineRule="auto"/>
              <w:jc w:val="both"/>
              <w:rPr>
                <w:rFonts w:ascii="Times New Roman" w:hAnsi="Times New Roman" w:cs="Times New Roman"/>
                <w:bCs/>
                <w:color w:val="000000"/>
                <w:sz w:val="20"/>
                <w:szCs w:val="20"/>
                <w:lang w:val="bg-BG"/>
              </w:rPr>
            </w:pPr>
            <w:r w:rsidRPr="00034722">
              <w:rPr>
                <w:rFonts w:ascii="Times New Roman" w:hAnsi="Times New Roman" w:cs="Times New Roman"/>
                <w:color w:val="000000"/>
                <w:sz w:val="20"/>
                <w:szCs w:val="20"/>
              </w:rPr>
              <w:t>5 600 000,00</w:t>
            </w:r>
          </w:p>
        </w:tc>
      </w:tr>
    </w:tbl>
    <w:p w14:paraId="58609E1B" w14:textId="2EB6C1A1" w:rsidR="00722757"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308"/>
        <w:gridCol w:w="1340"/>
        <w:gridCol w:w="1463"/>
        <w:gridCol w:w="2135"/>
        <w:gridCol w:w="1976"/>
      </w:tblGrid>
      <w:tr w:rsidR="00816449" w:rsidRPr="00E40AF9" w14:paraId="66E599FD" w14:textId="77777777" w:rsidTr="00816449">
        <w:trPr>
          <w:trHeight w:val="408"/>
        </w:trPr>
        <w:tc>
          <w:tcPr>
            <w:tcW w:w="9493" w:type="dxa"/>
            <w:gridSpan w:val="6"/>
            <w:vMerge w:val="restart"/>
            <w:shd w:val="clear" w:color="000000" w:fill="FFFFFF"/>
            <w:vAlign w:val="center"/>
          </w:tcPr>
          <w:p w14:paraId="4B0DAE54" w14:textId="77777777" w:rsidR="00816449" w:rsidRPr="00C1390E" w:rsidRDefault="0081644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p>
        </w:tc>
      </w:tr>
      <w:tr w:rsidR="00816449" w:rsidRPr="00E40AF9" w14:paraId="7D78195C" w14:textId="77777777" w:rsidTr="00816449">
        <w:trPr>
          <w:trHeight w:val="230"/>
        </w:trPr>
        <w:tc>
          <w:tcPr>
            <w:tcW w:w="9493" w:type="dxa"/>
            <w:gridSpan w:val="6"/>
            <w:vMerge/>
            <w:vAlign w:val="center"/>
          </w:tcPr>
          <w:p w14:paraId="11517813" w14:textId="77777777" w:rsidR="00816449" w:rsidRPr="00C1390E" w:rsidRDefault="00816449" w:rsidP="00E9010F">
            <w:pPr>
              <w:spacing w:after="0" w:line="240" w:lineRule="auto"/>
              <w:rPr>
                <w:rFonts w:ascii="Times New Roman" w:eastAsia="Times New Roman" w:hAnsi="Times New Roman" w:cs="Times New Roman"/>
                <w:b/>
                <w:bCs/>
                <w:sz w:val="20"/>
                <w:szCs w:val="20"/>
                <w:lang w:eastAsia="bg-BG"/>
              </w:rPr>
            </w:pPr>
          </w:p>
        </w:tc>
      </w:tr>
      <w:tr w:rsidR="00816449" w:rsidRPr="00E40AF9" w14:paraId="1FEB0F93" w14:textId="77777777" w:rsidTr="006E44CD">
        <w:trPr>
          <w:trHeight w:val="315"/>
        </w:trPr>
        <w:tc>
          <w:tcPr>
            <w:tcW w:w="1271" w:type="dxa"/>
            <w:vAlign w:val="center"/>
          </w:tcPr>
          <w:p w14:paraId="0371E1ED" w14:textId="77777777" w:rsidR="00816449" w:rsidRPr="001A0244" w:rsidRDefault="00816449" w:rsidP="00E9010F">
            <w:pPr>
              <w:spacing w:after="0" w:line="240" w:lineRule="auto"/>
              <w:rPr>
                <w:rFonts w:ascii="Times New Roman" w:eastAsia="Times New Roman" w:hAnsi="Times New Roman" w:cs="Times New Roman"/>
                <w:b/>
                <w:sz w:val="20"/>
                <w:szCs w:val="20"/>
                <w:lang w:eastAsia="bg-BG"/>
              </w:rPr>
            </w:pPr>
            <w:r w:rsidRPr="001A0244">
              <w:rPr>
                <w:rFonts w:ascii="Times New Roman" w:eastAsia="Calibri" w:hAnsi="Times New Roman" w:cs="Times New Roman"/>
                <w:b/>
                <w:noProof/>
                <w:sz w:val="20"/>
                <w:szCs w:val="20"/>
              </w:rPr>
              <w:t>Приоритет №</w:t>
            </w:r>
          </w:p>
        </w:tc>
        <w:tc>
          <w:tcPr>
            <w:tcW w:w="1308" w:type="dxa"/>
            <w:vAlign w:val="center"/>
          </w:tcPr>
          <w:p w14:paraId="42F4EC2E"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1340" w:type="dxa"/>
            <w:vAlign w:val="center"/>
          </w:tcPr>
          <w:p w14:paraId="49158B8F"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463" w:type="dxa"/>
            <w:vAlign w:val="center"/>
          </w:tcPr>
          <w:p w14:paraId="5A97C789"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2135" w:type="dxa"/>
            <w:vAlign w:val="center"/>
          </w:tcPr>
          <w:p w14:paraId="0BCEC3C4"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p>
        </w:tc>
        <w:tc>
          <w:tcPr>
            <w:tcW w:w="1976" w:type="dxa"/>
            <w:vAlign w:val="center"/>
          </w:tcPr>
          <w:p w14:paraId="1638E663"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816449" w:rsidRPr="00E40AF9" w14:paraId="0FD35C08" w14:textId="77777777" w:rsidTr="006E44CD">
        <w:trPr>
          <w:trHeight w:val="658"/>
        </w:trPr>
        <w:tc>
          <w:tcPr>
            <w:tcW w:w="1271" w:type="dxa"/>
            <w:shd w:val="clear" w:color="000000" w:fill="FFFFFF"/>
            <w:vAlign w:val="center"/>
            <w:hideMark/>
          </w:tcPr>
          <w:p w14:paraId="17C1494E" w14:textId="260023CA" w:rsidR="00816449" w:rsidRPr="00C1390E" w:rsidRDefault="00816449" w:rsidP="00E9010F">
            <w:pPr>
              <w:spacing w:after="0" w:line="240" w:lineRule="auto"/>
              <w:rPr>
                <w:rFonts w:ascii="Times New Roman" w:eastAsia="Times New Roman" w:hAnsi="Times New Roman" w:cs="Times New Roman"/>
                <w:color w:val="000000"/>
                <w:sz w:val="20"/>
                <w:szCs w:val="20"/>
                <w:lang w:val="bg-BG" w:eastAsia="bg-BG"/>
              </w:rPr>
            </w:pPr>
            <w:r w:rsidRPr="00171DED">
              <w:rPr>
                <w:rFonts w:ascii="Times New Roman" w:eastAsia="Calibri" w:hAnsi="Times New Roman" w:cs="Times New Roman"/>
                <w:b/>
                <w:noProof/>
                <w:sz w:val="20"/>
                <w:szCs w:val="20"/>
                <w:lang w:val="bg-BG"/>
              </w:rPr>
              <w:t>П6 ТП</w:t>
            </w:r>
          </w:p>
        </w:tc>
        <w:tc>
          <w:tcPr>
            <w:tcW w:w="1308" w:type="dxa"/>
            <w:shd w:val="clear" w:color="auto" w:fill="auto"/>
            <w:vAlign w:val="center"/>
            <w:hideMark/>
          </w:tcPr>
          <w:p w14:paraId="6D25F313" w14:textId="429010E8" w:rsidR="00816449" w:rsidRPr="00C1390E" w:rsidRDefault="00816449" w:rsidP="00E9010F">
            <w:pPr>
              <w:spacing w:after="0" w:line="240" w:lineRule="auto"/>
              <w:rPr>
                <w:rFonts w:ascii="Times New Roman" w:eastAsia="Times New Roman" w:hAnsi="Times New Roman" w:cs="Times New Roman"/>
                <w:color w:val="000000"/>
                <w:sz w:val="20"/>
                <w:szCs w:val="20"/>
                <w:lang w:val="bg-BG" w:eastAsia="bg-BG"/>
              </w:rPr>
            </w:pPr>
            <w:r w:rsidRPr="00171DED">
              <w:rPr>
                <w:rFonts w:ascii="Times New Roman" w:eastAsia="Calibri" w:hAnsi="Times New Roman" w:cs="Times New Roman"/>
                <w:b/>
                <w:noProof/>
                <w:sz w:val="20"/>
                <w:szCs w:val="20"/>
                <w:lang w:val="bg-BG"/>
              </w:rPr>
              <w:t>ЕФРР</w:t>
            </w:r>
          </w:p>
        </w:tc>
        <w:tc>
          <w:tcPr>
            <w:tcW w:w="1340" w:type="dxa"/>
            <w:shd w:val="clear" w:color="auto" w:fill="auto"/>
            <w:vAlign w:val="center"/>
          </w:tcPr>
          <w:p w14:paraId="63EB1384" w14:textId="6AF03C2C" w:rsidR="00816449" w:rsidRPr="00C1390E" w:rsidRDefault="00816449"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463" w:type="dxa"/>
            <w:shd w:val="clear" w:color="auto" w:fill="auto"/>
            <w:vAlign w:val="center"/>
            <w:hideMark/>
          </w:tcPr>
          <w:p w14:paraId="4C589348" w14:textId="6B5FFC01" w:rsidR="00816449" w:rsidRPr="00DC06FB" w:rsidRDefault="001A0244"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bCs/>
                <w:iCs/>
                <w:noProof/>
                <w:sz w:val="20"/>
                <w:szCs w:val="20"/>
              </w:rPr>
              <w:t>Н</w:t>
            </w:r>
            <w:r w:rsidRPr="00A80D52">
              <w:rPr>
                <w:rFonts w:ascii="Times New Roman" w:eastAsia="Times New Roman" w:hAnsi="Times New Roman" w:cs="Times New Roman"/>
                <w:bCs/>
                <w:iCs/>
                <w:noProof/>
                <w:sz w:val="20"/>
                <w:szCs w:val="20"/>
              </w:rPr>
              <w:t>еприложимо</w:t>
            </w:r>
          </w:p>
        </w:tc>
        <w:tc>
          <w:tcPr>
            <w:tcW w:w="2135" w:type="dxa"/>
            <w:shd w:val="clear" w:color="auto" w:fill="auto"/>
            <w:vAlign w:val="center"/>
            <w:hideMark/>
          </w:tcPr>
          <w:p w14:paraId="7D17134F" w14:textId="77777777" w:rsidR="00816449" w:rsidRPr="00C1390E" w:rsidRDefault="0081644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976" w:type="dxa"/>
            <w:shd w:val="clear" w:color="auto" w:fill="auto"/>
            <w:vAlign w:val="center"/>
          </w:tcPr>
          <w:p w14:paraId="794CBBF3" w14:textId="57E54145" w:rsidR="00816449" w:rsidRPr="00C1390E" w:rsidRDefault="00816449" w:rsidP="00816449">
            <w:pPr>
              <w:spacing w:after="0" w:line="240" w:lineRule="auto"/>
              <w:rPr>
                <w:color w:val="000000"/>
              </w:rPr>
            </w:pPr>
            <w:r w:rsidRPr="00816449">
              <w:rPr>
                <w:rFonts w:ascii="Times New Roman" w:eastAsia="Times New Roman" w:hAnsi="Times New Roman" w:cs="Times New Roman"/>
                <w:color w:val="000000"/>
                <w:sz w:val="20"/>
                <w:szCs w:val="20"/>
                <w:lang w:eastAsia="bg-BG"/>
              </w:rPr>
              <w:t>37 639 001,00</w:t>
            </w:r>
          </w:p>
        </w:tc>
      </w:tr>
    </w:tbl>
    <w:p w14:paraId="21547489" w14:textId="77777777" w:rsidR="00816449" w:rsidRPr="00171DED" w:rsidRDefault="00816449"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271"/>
        <w:gridCol w:w="1134"/>
        <w:gridCol w:w="1643"/>
        <w:gridCol w:w="2893"/>
        <w:gridCol w:w="2552"/>
      </w:tblGrid>
      <w:tr w:rsidR="00722757" w:rsidRPr="0010575B" w14:paraId="0E725DD7" w14:textId="77777777" w:rsidTr="00DB35A7">
        <w:tc>
          <w:tcPr>
            <w:tcW w:w="9493" w:type="dxa"/>
            <w:gridSpan w:val="5"/>
          </w:tcPr>
          <w:p w14:paraId="0D9E56BE"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9: Измерение 5 — Допълнителни тематични области във връзка с ЕСФ+</w:t>
            </w:r>
          </w:p>
        </w:tc>
      </w:tr>
      <w:tr w:rsidR="00722757" w:rsidRPr="00171DED" w14:paraId="1F5494A5" w14:textId="77777777" w:rsidTr="00DB35A7">
        <w:tc>
          <w:tcPr>
            <w:tcW w:w="1271" w:type="dxa"/>
          </w:tcPr>
          <w:p w14:paraId="5486B807"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34" w:type="dxa"/>
          </w:tcPr>
          <w:p w14:paraId="4F4EC3DA"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643" w:type="dxa"/>
          </w:tcPr>
          <w:p w14:paraId="1BBC5DD6"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2893" w:type="dxa"/>
          </w:tcPr>
          <w:p w14:paraId="246893D7"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552" w:type="dxa"/>
          </w:tcPr>
          <w:p w14:paraId="5AFC6251"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722757" w:rsidRPr="00171DED" w14:paraId="56C4123E" w14:textId="77777777" w:rsidTr="00DB35A7">
        <w:tc>
          <w:tcPr>
            <w:tcW w:w="1271" w:type="dxa"/>
          </w:tcPr>
          <w:p w14:paraId="0AD741E8"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1134" w:type="dxa"/>
          </w:tcPr>
          <w:p w14:paraId="7F080B16"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1643" w:type="dxa"/>
          </w:tcPr>
          <w:p w14:paraId="729E58D4"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2893" w:type="dxa"/>
          </w:tcPr>
          <w:p w14:paraId="3FC2B760" w14:textId="58CA87CC" w:rsidR="00722757" w:rsidRPr="00A80D52" w:rsidRDefault="00E95B1F" w:rsidP="00DD4A0F">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Н</w:t>
            </w:r>
            <w:r w:rsidR="004F3DB1" w:rsidRPr="00A80D52">
              <w:rPr>
                <w:rFonts w:ascii="Times New Roman" w:eastAsia="Times New Roman" w:hAnsi="Times New Roman" w:cs="Times New Roman"/>
                <w:bCs/>
                <w:iCs/>
                <w:noProof/>
                <w:sz w:val="20"/>
                <w:szCs w:val="20"/>
              </w:rPr>
              <w:t>еприложимо</w:t>
            </w:r>
          </w:p>
        </w:tc>
        <w:tc>
          <w:tcPr>
            <w:tcW w:w="2552" w:type="dxa"/>
          </w:tcPr>
          <w:p w14:paraId="2C01A92E"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r>
    </w:tbl>
    <w:p w14:paraId="21746D38" w14:textId="0A8ECBDF" w:rsidR="006B56D4" w:rsidRPr="00171DED" w:rsidRDefault="006B56D4" w:rsidP="00134F48">
      <w:pPr>
        <w:spacing w:after="0" w:line="240" w:lineRule="auto"/>
        <w:ind w:left="505"/>
        <w:jc w:val="both"/>
        <w:rPr>
          <w:rFonts w:ascii="Times New Roman" w:eastAsia="Times New Roman" w:hAnsi="Times New Roman" w:cs="Times New Roman"/>
          <w:b/>
          <w:iCs/>
          <w:noProof/>
          <w:sz w:val="24"/>
          <w:szCs w:val="24"/>
          <w:lang w:val="bg-BG" w:eastAsia="bg-BG" w:bidi="bg-BG"/>
        </w:rPr>
      </w:pPr>
    </w:p>
    <w:p w14:paraId="3AFCA7C5" w14:textId="2A894D7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Финансов план</w:t>
      </w:r>
    </w:p>
    <w:p w14:paraId="09BD02D7"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e), i)- iii); Член 106, параграфи 1—3, член 10; Член 21; РОР </w:t>
      </w:r>
    </w:p>
    <w:p w14:paraId="55C0B992" w14:textId="77777777" w:rsidR="00722757" w:rsidRPr="00171DED"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3.А Прехвърляния и принос</w:t>
      </w:r>
      <w:r w:rsidRPr="00171DED">
        <w:rPr>
          <w:rFonts w:ascii="Times New Roman" w:eastAsia="Calibri" w:hAnsi="Times New Roman" w:cs="Times New Roman"/>
          <w:b/>
          <w:noProof/>
          <w:sz w:val="24"/>
          <w:szCs w:val="20"/>
          <w:vertAlign w:val="superscript"/>
          <w:lang w:val="bg-BG" w:eastAsia="bg-BG" w:bidi="bg-BG"/>
        </w:rPr>
        <w:footnoteReference w:id="18"/>
      </w:r>
    </w:p>
    <w:p w14:paraId="5D9C0B27"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Позоваване: Член 10; Член 21;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10575B" w14:paraId="1F5A91BD" w14:textId="77777777" w:rsidTr="006E541D">
        <w:tc>
          <w:tcPr>
            <w:tcW w:w="9322" w:type="dxa"/>
          </w:tcPr>
          <w:p w14:paraId="4664AD56" w14:textId="77777777" w:rsidR="00722757" w:rsidRPr="00171DED" w:rsidRDefault="00722757" w:rsidP="00722757">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Изменение на програма, свързано с член 10, РОР (принос към Invest EU)</w:t>
            </w:r>
          </w:p>
        </w:tc>
      </w:tr>
      <w:tr w:rsidR="00722757" w:rsidRPr="0010575B" w14:paraId="3B78E6B4" w14:textId="77777777" w:rsidTr="006E541D">
        <w:tc>
          <w:tcPr>
            <w:tcW w:w="9322" w:type="dxa"/>
          </w:tcPr>
          <w:p w14:paraId="7095BCCD" w14:textId="77777777" w:rsidR="00722757" w:rsidRPr="00171DED" w:rsidRDefault="00722757" w:rsidP="00DD4A0F">
            <w:pPr>
              <w:spacing w:before="120"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D47FDE">
              <w:rPr>
                <w:rFonts w:ascii="Times New Roman" w:eastAsia="Calibri" w:hAnsi="Times New Roman" w:cs="Times New Roman"/>
                <w:noProof/>
                <w:sz w:val="20"/>
                <w:szCs w:val="20"/>
                <w:lang w:val="bg-BG" w:eastAsia="bg-BG" w:bidi="bg-BG"/>
              </w:rPr>
            </w:r>
            <w:r w:rsidR="00D47FDE">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Изменение на програмата, свързано с член 21, РОР (прехвърляния към инструменти при пряко или непряко управление между фондовете със споделено управление)</w:t>
            </w:r>
          </w:p>
        </w:tc>
      </w:tr>
    </w:tbl>
    <w:p w14:paraId="28376654" w14:textId="77777777" w:rsidR="00722757" w:rsidRPr="00171DED" w:rsidRDefault="00722757" w:rsidP="00722757">
      <w:pPr>
        <w:spacing w:before="120" w:after="120" w:line="240" w:lineRule="auto"/>
        <w:jc w:val="both"/>
        <w:rPr>
          <w:rFonts w:ascii="Times New Roman" w:eastAsia="Times New Roman" w:hAnsi="Times New Roman" w:cs="Times New Roman"/>
          <w:noProof/>
          <w:sz w:val="24"/>
          <w:szCs w:val="24"/>
          <w:lang w:val="bg-BG" w:eastAsia="bg-BG" w:bidi="bg-BG"/>
        </w:rPr>
      </w:pPr>
    </w:p>
    <w:p w14:paraId="705D5D4F" w14:textId="19E31D0B" w:rsidR="00722757" w:rsidRPr="00A617C0" w:rsidRDefault="00D20B4E" w:rsidP="00722757">
      <w:pPr>
        <w:spacing w:before="120" w:after="120" w:line="240" w:lineRule="auto"/>
        <w:jc w:val="both"/>
        <w:rPr>
          <w:rFonts w:ascii="Times New Roman" w:eastAsia="Times New Roman" w:hAnsi="Times New Roman" w:cs="Times New Roman"/>
          <w:i/>
          <w:noProof/>
          <w:sz w:val="20"/>
          <w:szCs w:val="20"/>
          <w:lang w:eastAsia="bg-BG" w:bidi="bg-BG"/>
        </w:rPr>
      </w:pPr>
      <w:r w:rsidRPr="00A617C0">
        <w:rPr>
          <w:rFonts w:ascii="Times New Roman" w:eastAsia="Calibri" w:hAnsi="Times New Roman" w:cs="Times New Roman"/>
          <w:b/>
          <w:noProof/>
          <w:sz w:val="20"/>
          <w:szCs w:val="20"/>
          <w:lang w:eastAsia="bg-BG" w:bidi="bg-BG"/>
        </w:rPr>
        <w:t>Table 15A: Contributions to InvestEU* (breakdown by year)</w:t>
      </w:r>
    </w:p>
    <w:tbl>
      <w:tblPr>
        <w:tblW w:w="5081" w:type="pct"/>
        <w:tblCellMar>
          <w:left w:w="10" w:type="dxa"/>
          <w:right w:w="10" w:type="dxa"/>
        </w:tblCellMar>
        <w:tblLook w:val="0000" w:firstRow="0" w:lastRow="0" w:firstColumn="0" w:lastColumn="0" w:noHBand="0" w:noVBand="0"/>
      </w:tblPr>
      <w:tblGrid>
        <w:gridCol w:w="993"/>
        <w:gridCol w:w="1142"/>
        <w:gridCol w:w="921"/>
        <w:gridCol w:w="516"/>
        <w:gridCol w:w="1055"/>
        <w:gridCol w:w="1055"/>
        <w:gridCol w:w="508"/>
        <w:gridCol w:w="516"/>
        <w:gridCol w:w="630"/>
        <w:gridCol w:w="672"/>
        <w:gridCol w:w="1201"/>
      </w:tblGrid>
      <w:tr w:rsidR="00D20B4E" w:rsidRPr="00D20B4E" w14:paraId="5667CB26" w14:textId="77777777" w:rsidTr="00584F2A">
        <w:trPr>
          <w:trHeight w:hRule="exact" w:val="658"/>
        </w:trPr>
        <w:tc>
          <w:tcPr>
            <w:tcW w:w="539" w:type="pct"/>
            <w:tcBorders>
              <w:top w:val="single" w:sz="4" w:space="0" w:color="auto"/>
              <w:left w:val="single" w:sz="4" w:space="0" w:color="auto"/>
            </w:tcBorders>
            <w:shd w:val="clear" w:color="auto" w:fill="FFFFFF"/>
          </w:tcPr>
          <w:p w14:paraId="1730D9FE" w14:textId="77777777" w:rsidR="00D20B4E" w:rsidRPr="00A617C0" w:rsidRDefault="00D20B4E" w:rsidP="00D20B4E">
            <w:pPr>
              <w:pStyle w:val="Other0"/>
              <w:shd w:val="clear" w:color="auto" w:fill="auto"/>
              <w:spacing w:before="100"/>
              <w:jc w:val="center"/>
              <w:rPr>
                <w:sz w:val="18"/>
                <w:szCs w:val="18"/>
              </w:rPr>
            </w:pPr>
            <w:r w:rsidRPr="00A617C0">
              <w:rPr>
                <w:b/>
                <w:bCs/>
                <w:i w:val="0"/>
                <w:iCs w:val="0"/>
                <w:sz w:val="18"/>
                <w:szCs w:val="18"/>
                <w:lang w:bidi="en-US"/>
              </w:rPr>
              <w:t>Fund</w:t>
            </w:r>
          </w:p>
        </w:tc>
        <w:tc>
          <w:tcPr>
            <w:tcW w:w="620" w:type="pct"/>
            <w:tcBorders>
              <w:top w:val="single" w:sz="4" w:space="0" w:color="auto"/>
              <w:left w:val="single" w:sz="4" w:space="0" w:color="auto"/>
            </w:tcBorders>
            <w:shd w:val="clear" w:color="auto" w:fill="FFFFFF"/>
            <w:vAlign w:val="center"/>
          </w:tcPr>
          <w:p w14:paraId="4827AB2E" w14:textId="77777777" w:rsidR="00D20B4E" w:rsidRPr="00A617C0" w:rsidRDefault="00D20B4E" w:rsidP="00D20B4E">
            <w:pPr>
              <w:pStyle w:val="Other0"/>
              <w:shd w:val="clear" w:color="auto" w:fill="auto"/>
              <w:spacing w:after="60"/>
              <w:jc w:val="center"/>
              <w:rPr>
                <w:sz w:val="18"/>
                <w:szCs w:val="18"/>
              </w:rPr>
            </w:pPr>
            <w:r w:rsidRPr="00A617C0">
              <w:rPr>
                <w:b/>
                <w:bCs/>
                <w:i w:val="0"/>
                <w:iCs w:val="0"/>
                <w:sz w:val="18"/>
                <w:szCs w:val="18"/>
                <w:lang w:bidi="en-US"/>
              </w:rPr>
              <w:t>Category of</w:t>
            </w:r>
          </w:p>
          <w:p w14:paraId="34DEEF9C"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region</w:t>
            </w:r>
          </w:p>
        </w:tc>
        <w:tc>
          <w:tcPr>
            <w:tcW w:w="500" w:type="pct"/>
            <w:tcBorders>
              <w:top w:val="single" w:sz="4" w:space="0" w:color="auto"/>
              <w:left w:val="single" w:sz="4" w:space="0" w:color="auto"/>
            </w:tcBorders>
            <w:shd w:val="clear" w:color="auto" w:fill="FFFFFF"/>
            <w:vAlign w:val="center"/>
          </w:tcPr>
          <w:p w14:paraId="679AFCBA" w14:textId="77777777" w:rsidR="00D20B4E" w:rsidRPr="00A617C0" w:rsidRDefault="00D20B4E" w:rsidP="00D20B4E">
            <w:pPr>
              <w:pStyle w:val="Other0"/>
              <w:shd w:val="clear" w:color="auto" w:fill="auto"/>
              <w:spacing w:line="360" w:lineRule="auto"/>
              <w:jc w:val="center"/>
              <w:rPr>
                <w:sz w:val="18"/>
                <w:szCs w:val="18"/>
              </w:rPr>
            </w:pPr>
            <w:r w:rsidRPr="00A617C0">
              <w:rPr>
                <w:b/>
                <w:bCs/>
                <w:i w:val="0"/>
                <w:iCs w:val="0"/>
                <w:sz w:val="18"/>
                <w:szCs w:val="18"/>
                <w:lang w:bidi="en-US"/>
              </w:rPr>
              <w:t>InvestEU window(s)</w:t>
            </w:r>
          </w:p>
        </w:tc>
        <w:tc>
          <w:tcPr>
            <w:tcW w:w="280" w:type="pct"/>
            <w:tcBorders>
              <w:top w:val="single" w:sz="4" w:space="0" w:color="auto"/>
              <w:left w:val="single" w:sz="4" w:space="0" w:color="auto"/>
            </w:tcBorders>
            <w:shd w:val="clear" w:color="auto" w:fill="FFFFFF"/>
            <w:vAlign w:val="center"/>
          </w:tcPr>
          <w:p w14:paraId="3FDE493B"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2021</w:t>
            </w:r>
          </w:p>
        </w:tc>
        <w:tc>
          <w:tcPr>
            <w:tcW w:w="573" w:type="pct"/>
            <w:tcBorders>
              <w:top w:val="single" w:sz="4" w:space="0" w:color="auto"/>
              <w:left w:val="single" w:sz="4" w:space="0" w:color="auto"/>
            </w:tcBorders>
            <w:shd w:val="clear" w:color="auto" w:fill="FFFFFF"/>
            <w:vAlign w:val="center"/>
          </w:tcPr>
          <w:p w14:paraId="4DAC3838"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2022</w:t>
            </w:r>
          </w:p>
        </w:tc>
        <w:tc>
          <w:tcPr>
            <w:tcW w:w="573" w:type="pct"/>
            <w:tcBorders>
              <w:top w:val="single" w:sz="4" w:space="0" w:color="auto"/>
              <w:left w:val="single" w:sz="4" w:space="0" w:color="auto"/>
            </w:tcBorders>
            <w:shd w:val="clear" w:color="auto" w:fill="FFFFFF"/>
          </w:tcPr>
          <w:p w14:paraId="419B76CB" w14:textId="77777777" w:rsidR="00D20B4E" w:rsidRPr="00A617C0" w:rsidRDefault="00D20B4E" w:rsidP="00D20B4E">
            <w:pPr>
              <w:pStyle w:val="Other0"/>
              <w:shd w:val="clear" w:color="auto" w:fill="auto"/>
              <w:jc w:val="center"/>
              <w:rPr>
                <w:b/>
                <w:bCs/>
                <w:i w:val="0"/>
                <w:iCs w:val="0"/>
                <w:sz w:val="18"/>
                <w:szCs w:val="18"/>
                <w:lang w:bidi="en-US"/>
              </w:rPr>
            </w:pPr>
          </w:p>
          <w:p w14:paraId="62F5A9BD" w14:textId="329CBA15" w:rsidR="00D20B4E" w:rsidRPr="00A617C0" w:rsidRDefault="00D20B4E" w:rsidP="00D20B4E">
            <w:pPr>
              <w:pStyle w:val="Other0"/>
              <w:shd w:val="clear" w:color="auto" w:fill="auto"/>
              <w:jc w:val="center"/>
              <w:rPr>
                <w:b/>
                <w:bCs/>
                <w:i w:val="0"/>
                <w:iCs w:val="0"/>
                <w:sz w:val="18"/>
                <w:szCs w:val="18"/>
                <w:lang w:bidi="en-US"/>
              </w:rPr>
            </w:pPr>
            <w:r w:rsidRPr="00A617C0">
              <w:rPr>
                <w:b/>
                <w:bCs/>
                <w:i w:val="0"/>
                <w:iCs w:val="0"/>
                <w:sz w:val="18"/>
                <w:szCs w:val="18"/>
                <w:lang w:bidi="en-US"/>
              </w:rPr>
              <w:t>2023</w:t>
            </w:r>
          </w:p>
        </w:tc>
        <w:tc>
          <w:tcPr>
            <w:tcW w:w="276" w:type="pct"/>
            <w:tcBorders>
              <w:top w:val="single" w:sz="4" w:space="0" w:color="auto"/>
              <w:left w:val="single" w:sz="4" w:space="0" w:color="auto"/>
            </w:tcBorders>
            <w:shd w:val="clear" w:color="auto" w:fill="FFFFFF"/>
          </w:tcPr>
          <w:p w14:paraId="39FC1B04" w14:textId="77777777" w:rsidR="00D20B4E" w:rsidRPr="00A617C0" w:rsidRDefault="00D20B4E" w:rsidP="00D20B4E">
            <w:pPr>
              <w:pStyle w:val="Other0"/>
              <w:shd w:val="clear" w:color="auto" w:fill="auto"/>
              <w:jc w:val="center"/>
              <w:rPr>
                <w:b/>
                <w:bCs/>
                <w:i w:val="0"/>
                <w:iCs w:val="0"/>
                <w:sz w:val="18"/>
                <w:szCs w:val="18"/>
                <w:lang w:bidi="en-US"/>
              </w:rPr>
            </w:pPr>
          </w:p>
          <w:p w14:paraId="057D98FF" w14:textId="0429284F" w:rsidR="00D20B4E" w:rsidRPr="00A617C0" w:rsidRDefault="00D20B4E" w:rsidP="00D20B4E">
            <w:pPr>
              <w:pStyle w:val="Other0"/>
              <w:shd w:val="clear" w:color="auto" w:fill="auto"/>
              <w:jc w:val="center"/>
              <w:rPr>
                <w:b/>
                <w:bCs/>
                <w:i w:val="0"/>
                <w:iCs w:val="0"/>
                <w:sz w:val="18"/>
                <w:szCs w:val="18"/>
                <w:lang w:bidi="en-US"/>
              </w:rPr>
            </w:pPr>
            <w:r w:rsidRPr="00A617C0">
              <w:rPr>
                <w:b/>
                <w:bCs/>
                <w:i w:val="0"/>
                <w:iCs w:val="0"/>
                <w:sz w:val="18"/>
                <w:szCs w:val="18"/>
                <w:lang w:bidi="en-US"/>
              </w:rPr>
              <w:t>2024</w:t>
            </w:r>
          </w:p>
        </w:tc>
        <w:tc>
          <w:tcPr>
            <w:tcW w:w="280" w:type="pct"/>
            <w:tcBorders>
              <w:top w:val="single" w:sz="4" w:space="0" w:color="auto"/>
              <w:left w:val="single" w:sz="4" w:space="0" w:color="auto"/>
            </w:tcBorders>
            <w:shd w:val="clear" w:color="auto" w:fill="FFFFFF"/>
          </w:tcPr>
          <w:p w14:paraId="4FCAABA0" w14:textId="77777777" w:rsidR="00D20B4E" w:rsidRPr="00A617C0" w:rsidRDefault="00D20B4E" w:rsidP="00D20B4E">
            <w:pPr>
              <w:pStyle w:val="Other0"/>
              <w:shd w:val="clear" w:color="auto" w:fill="auto"/>
              <w:jc w:val="center"/>
              <w:rPr>
                <w:b/>
                <w:bCs/>
                <w:i w:val="0"/>
                <w:iCs w:val="0"/>
                <w:sz w:val="18"/>
                <w:szCs w:val="18"/>
                <w:lang w:bidi="en-US"/>
              </w:rPr>
            </w:pPr>
          </w:p>
          <w:p w14:paraId="3E63203D" w14:textId="04B285FB" w:rsidR="00D20B4E" w:rsidRPr="00A617C0" w:rsidRDefault="00D20B4E" w:rsidP="00D20B4E">
            <w:pPr>
              <w:pStyle w:val="Other0"/>
              <w:shd w:val="clear" w:color="auto" w:fill="auto"/>
              <w:jc w:val="center"/>
              <w:rPr>
                <w:b/>
                <w:bCs/>
                <w:i w:val="0"/>
                <w:iCs w:val="0"/>
                <w:sz w:val="18"/>
                <w:szCs w:val="18"/>
                <w:lang w:bidi="en-US"/>
              </w:rPr>
            </w:pPr>
            <w:r w:rsidRPr="00A617C0">
              <w:rPr>
                <w:b/>
                <w:bCs/>
                <w:i w:val="0"/>
                <w:iCs w:val="0"/>
                <w:sz w:val="18"/>
                <w:szCs w:val="18"/>
                <w:lang w:bidi="en-US"/>
              </w:rPr>
              <w:t>2025</w:t>
            </w:r>
          </w:p>
        </w:tc>
        <w:tc>
          <w:tcPr>
            <w:tcW w:w="342" w:type="pct"/>
            <w:tcBorders>
              <w:top w:val="single" w:sz="4" w:space="0" w:color="auto"/>
              <w:left w:val="single" w:sz="4" w:space="0" w:color="auto"/>
            </w:tcBorders>
            <w:shd w:val="clear" w:color="auto" w:fill="FFFFFF"/>
            <w:vAlign w:val="center"/>
          </w:tcPr>
          <w:p w14:paraId="7BD8A770"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2026</w:t>
            </w:r>
          </w:p>
        </w:tc>
        <w:tc>
          <w:tcPr>
            <w:tcW w:w="365" w:type="pct"/>
            <w:tcBorders>
              <w:top w:val="single" w:sz="4" w:space="0" w:color="auto"/>
              <w:left w:val="single" w:sz="4" w:space="0" w:color="auto"/>
            </w:tcBorders>
            <w:shd w:val="clear" w:color="auto" w:fill="FFFFFF"/>
          </w:tcPr>
          <w:p w14:paraId="607F876A" w14:textId="77777777" w:rsidR="00D20B4E" w:rsidRPr="00202D54" w:rsidRDefault="00D20B4E" w:rsidP="00D20B4E">
            <w:pPr>
              <w:pStyle w:val="Other0"/>
              <w:shd w:val="clear" w:color="auto" w:fill="auto"/>
              <w:jc w:val="center"/>
              <w:rPr>
                <w:b/>
                <w:bCs/>
                <w:i w:val="0"/>
                <w:iCs w:val="0"/>
                <w:sz w:val="18"/>
                <w:szCs w:val="18"/>
                <w:lang w:bidi="en-US"/>
              </w:rPr>
            </w:pPr>
          </w:p>
          <w:p w14:paraId="419C6761" w14:textId="375F5D00" w:rsidR="00D20B4E" w:rsidRPr="00202D54" w:rsidRDefault="00D20B4E" w:rsidP="00D20B4E">
            <w:pPr>
              <w:pStyle w:val="Other0"/>
              <w:shd w:val="clear" w:color="auto" w:fill="auto"/>
              <w:jc w:val="center"/>
              <w:rPr>
                <w:sz w:val="18"/>
                <w:szCs w:val="18"/>
              </w:rPr>
            </w:pPr>
            <w:r w:rsidRPr="00202D54">
              <w:rPr>
                <w:b/>
                <w:bCs/>
                <w:i w:val="0"/>
                <w:iCs w:val="0"/>
                <w:sz w:val="18"/>
                <w:szCs w:val="18"/>
                <w:lang w:bidi="en-US"/>
              </w:rPr>
              <w:t>2027</w:t>
            </w:r>
          </w:p>
        </w:tc>
        <w:tc>
          <w:tcPr>
            <w:tcW w:w="653" w:type="pct"/>
            <w:tcBorders>
              <w:top w:val="single" w:sz="4" w:space="0" w:color="auto"/>
              <w:left w:val="single" w:sz="4" w:space="0" w:color="auto"/>
              <w:right w:val="single" w:sz="4" w:space="0" w:color="auto"/>
            </w:tcBorders>
            <w:shd w:val="clear" w:color="auto" w:fill="FFFFFF"/>
          </w:tcPr>
          <w:p w14:paraId="3B959B3D" w14:textId="77777777" w:rsidR="00D20B4E" w:rsidRPr="00202D54" w:rsidRDefault="00D20B4E" w:rsidP="00D20B4E">
            <w:pPr>
              <w:pStyle w:val="Other0"/>
              <w:shd w:val="clear" w:color="auto" w:fill="auto"/>
              <w:jc w:val="center"/>
              <w:rPr>
                <w:b/>
                <w:bCs/>
                <w:i w:val="0"/>
                <w:iCs w:val="0"/>
                <w:sz w:val="18"/>
                <w:szCs w:val="18"/>
                <w:lang w:bidi="en-US"/>
              </w:rPr>
            </w:pPr>
          </w:p>
          <w:p w14:paraId="2836B919" w14:textId="428D2372" w:rsidR="00D20B4E" w:rsidRPr="00D20B4E" w:rsidRDefault="00D20B4E" w:rsidP="00D20B4E">
            <w:pPr>
              <w:pStyle w:val="Other0"/>
              <w:shd w:val="clear" w:color="auto" w:fill="auto"/>
              <w:jc w:val="center"/>
              <w:rPr>
                <w:sz w:val="18"/>
                <w:szCs w:val="18"/>
              </w:rPr>
            </w:pPr>
            <w:r w:rsidRPr="00202D54">
              <w:rPr>
                <w:b/>
                <w:bCs/>
                <w:i w:val="0"/>
                <w:iCs w:val="0"/>
                <w:sz w:val="18"/>
                <w:szCs w:val="18"/>
                <w:lang w:bidi="en-US"/>
              </w:rPr>
              <w:t>Total</w:t>
            </w:r>
          </w:p>
        </w:tc>
      </w:tr>
      <w:tr w:rsidR="00D20B4E" w:rsidRPr="00D20B4E" w14:paraId="1E3B791E" w14:textId="77777777" w:rsidTr="00584F2A">
        <w:trPr>
          <w:trHeight w:hRule="exact" w:val="600"/>
        </w:trPr>
        <w:tc>
          <w:tcPr>
            <w:tcW w:w="539" w:type="pct"/>
            <w:vMerge w:val="restart"/>
            <w:tcBorders>
              <w:top w:val="single" w:sz="4" w:space="0" w:color="auto"/>
              <w:left w:val="single" w:sz="4" w:space="0" w:color="auto"/>
            </w:tcBorders>
            <w:shd w:val="clear" w:color="auto" w:fill="FFFFFF"/>
          </w:tcPr>
          <w:p w14:paraId="66E94D30" w14:textId="77777777" w:rsidR="00D20B4E" w:rsidRPr="00D20B4E" w:rsidRDefault="00D20B4E" w:rsidP="00D20B4E">
            <w:pPr>
              <w:pStyle w:val="Other0"/>
              <w:shd w:val="clear" w:color="auto" w:fill="auto"/>
              <w:spacing w:before="80"/>
              <w:rPr>
                <w:sz w:val="18"/>
                <w:szCs w:val="18"/>
              </w:rPr>
            </w:pPr>
            <w:r w:rsidRPr="00D20B4E">
              <w:rPr>
                <w:i w:val="0"/>
                <w:iCs w:val="0"/>
                <w:sz w:val="18"/>
                <w:szCs w:val="18"/>
                <w:lang w:bidi="en-US"/>
              </w:rPr>
              <w:t>ERDF</w:t>
            </w:r>
          </w:p>
        </w:tc>
        <w:tc>
          <w:tcPr>
            <w:tcW w:w="620" w:type="pct"/>
            <w:tcBorders>
              <w:top w:val="single" w:sz="4" w:space="0" w:color="auto"/>
              <w:left w:val="single" w:sz="4" w:space="0" w:color="auto"/>
            </w:tcBorders>
            <w:shd w:val="clear" w:color="auto" w:fill="FFFFFF"/>
            <w:vAlign w:val="center"/>
          </w:tcPr>
          <w:p w14:paraId="1F432938"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More developed</w:t>
            </w:r>
          </w:p>
        </w:tc>
        <w:tc>
          <w:tcPr>
            <w:tcW w:w="500" w:type="pct"/>
            <w:tcBorders>
              <w:top w:val="single" w:sz="4" w:space="0" w:color="auto"/>
              <w:left w:val="single" w:sz="4" w:space="0" w:color="auto"/>
            </w:tcBorders>
            <w:shd w:val="clear" w:color="auto" w:fill="FFFFFF"/>
          </w:tcPr>
          <w:p w14:paraId="6E9109B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D2E3FB7"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024F3D1B"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4E7DE52"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3E48BB65"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0749E6BD"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39259A5B"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29F69A6"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68A50847" w14:textId="77777777" w:rsidR="00D20B4E" w:rsidRPr="00D20B4E" w:rsidRDefault="00D20B4E" w:rsidP="00D20B4E">
            <w:pPr>
              <w:rPr>
                <w:rFonts w:ascii="Times New Roman" w:hAnsi="Times New Roman" w:cs="Times New Roman"/>
                <w:sz w:val="18"/>
                <w:szCs w:val="18"/>
              </w:rPr>
            </w:pPr>
          </w:p>
        </w:tc>
      </w:tr>
      <w:tr w:rsidR="00D20B4E" w:rsidRPr="00D20B4E" w14:paraId="7A2F9D71" w14:textId="77777777" w:rsidTr="00584F2A">
        <w:trPr>
          <w:trHeight w:hRule="exact" w:val="394"/>
        </w:trPr>
        <w:tc>
          <w:tcPr>
            <w:tcW w:w="539" w:type="pct"/>
            <w:vMerge/>
            <w:tcBorders>
              <w:left w:val="single" w:sz="4" w:space="0" w:color="auto"/>
            </w:tcBorders>
            <w:shd w:val="clear" w:color="auto" w:fill="FFFFFF"/>
          </w:tcPr>
          <w:p w14:paraId="6AA227E5"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69E17EA4" w14:textId="77777777" w:rsidR="00D20B4E" w:rsidRPr="00D20B4E" w:rsidRDefault="00D20B4E" w:rsidP="00D20B4E">
            <w:pPr>
              <w:pStyle w:val="Other0"/>
              <w:shd w:val="clear" w:color="auto" w:fill="auto"/>
              <w:jc w:val="both"/>
              <w:rPr>
                <w:sz w:val="18"/>
                <w:szCs w:val="18"/>
              </w:rPr>
            </w:pPr>
            <w:r w:rsidRPr="00D20B4E">
              <w:rPr>
                <w:i w:val="0"/>
                <w:iCs w:val="0"/>
                <w:sz w:val="18"/>
                <w:szCs w:val="18"/>
                <w:lang w:bidi="en-US"/>
              </w:rPr>
              <w:t>Transition</w:t>
            </w:r>
          </w:p>
        </w:tc>
        <w:tc>
          <w:tcPr>
            <w:tcW w:w="500" w:type="pct"/>
            <w:tcBorders>
              <w:top w:val="single" w:sz="4" w:space="0" w:color="auto"/>
              <w:left w:val="single" w:sz="4" w:space="0" w:color="auto"/>
            </w:tcBorders>
            <w:shd w:val="clear" w:color="auto" w:fill="FFFFFF"/>
          </w:tcPr>
          <w:p w14:paraId="0AC43C7D"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255131E5"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6F3F7A8"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4870BD39"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281821B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0D1C2BE"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4A28D062"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1ACF25E2"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17ED0042" w14:textId="77777777" w:rsidR="00D20B4E" w:rsidRPr="00D20B4E" w:rsidRDefault="00D20B4E" w:rsidP="00D20B4E">
            <w:pPr>
              <w:rPr>
                <w:rFonts w:ascii="Times New Roman" w:hAnsi="Times New Roman" w:cs="Times New Roman"/>
                <w:sz w:val="18"/>
                <w:szCs w:val="18"/>
              </w:rPr>
            </w:pPr>
          </w:p>
        </w:tc>
      </w:tr>
      <w:tr w:rsidR="00D20B4E" w:rsidRPr="00D20B4E" w14:paraId="280CF375" w14:textId="77777777" w:rsidTr="00584F2A">
        <w:trPr>
          <w:trHeight w:hRule="exact" w:val="605"/>
        </w:trPr>
        <w:tc>
          <w:tcPr>
            <w:tcW w:w="539" w:type="pct"/>
            <w:vMerge/>
            <w:tcBorders>
              <w:left w:val="single" w:sz="4" w:space="0" w:color="auto"/>
            </w:tcBorders>
            <w:shd w:val="clear" w:color="auto" w:fill="FFFFFF"/>
          </w:tcPr>
          <w:p w14:paraId="0FB80478"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2190325B"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Less developed</w:t>
            </w:r>
          </w:p>
        </w:tc>
        <w:tc>
          <w:tcPr>
            <w:tcW w:w="500" w:type="pct"/>
            <w:tcBorders>
              <w:top w:val="single" w:sz="4" w:space="0" w:color="auto"/>
              <w:left w:val="single" w:sz="4" w:space="0" w:color="auto"/>
            </w:tcBorders>
            <w:shd w:val="clear" w:color="auto" w:fill="FFFFFF"/>
          </w:tcPr>
          <w:p w14:paraId="33E8A0D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7E6EC1B3"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7A09E450"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6888CDAB"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6346F5A8"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344B1462"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3F59D216"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3DD71B4"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115FECD2" w14:textId="77777777" w:rsidR="00D20B4E" w:rsidRPr="00D20B4E" w:rsidRDefault="00D20B4E" w:rsidP="00D20B4E">
            <w:pPr>
              <w:rPr>
                <w:rFonts w:ascii="Times New Roman" w:hAnsi="Times New Roman" w:cs="Times New Roman"/>
                <w:sz w:val="18"/>
                <w:szCs w:val="18"/>
              </w:rPr>
            </w:pPr>
          </w:p>
        </w:tc>
      </w:tr>
      <w:tr w:rsidR="00D20B4E" w:rsidRPr="00D20B4E" w14:paraId="4727229D" w14:textId="77777777" w:rsidTr="00584F2A">
        <w:trPr>
          <w:trHeight w:hRule="exact" w:val="600"/>
        </w:trPr>
        <w:tc>
          <w:tcPr>
            <w:tcW w:w="539" w:type="pct"/>
            <w:vMerge w:val="restart"/>
            <w:tcBorders>
              <w:top w:val="single" w:sz="4" w:space="0" w:color="auto"/>
              <w:left w:val="single" w:sz="4" w:space="0" w:color="auto"/>
            </w:tcBorders>
            <w:shd w:val="clear" w:color="auto" w:fill="FFFFFF"/>
          </w:tcPr>
          <w:p w14:paraId="13E487B4" w14:textId="77777777" w:rsidR="00D20B4E" w:rsidRPr="00D20B4E" w:rsidRDefault="00D20B4E" w:rsidP="00D20B4E">
            <w:pPr>
              <w:pStyle w:val="Other0"/>
              <w:shd w:val="clear" w:color="auto" w:fill="auto"/>
              <w:spacing w:before="80"/>
              <w:rPr>
                <w:sz w:val="18"/>
                <w:szCs w:val="18"/>
              </w:rPr>
            </w:pPr>
            <w:r w:rsidRPr="00D20B4E">
              <w:rPr>
                <w:i w:val="0"/>
                <w:iCs w:val="0"/>
                <w:sz w:val="18"/>
                <w:szCs w:val="18"/>
                <w:lang w:bidi="en-US"/>
              </w:rPr>
              <w:t>ESF+</w:t>
            </w:r>
          </w:p>
        </w:tc>
        <w:tc>
          <w:tcPr>
            <w:tcW w:w="620" w:type="pct"/>
            <w:tcBorders>
              <w:top w:val="single" w:sz="4" w:space="0" w:color="auto"/>
              <w:left w:val="single" w:sz="4" w:space="0" w:color="auto"/>
            </w:tcBorders>
            <w:shd w:val="clear" w:color="auto" w:fill="FFFFFF"/>
            <w:vAlign w:val="center"/>
          </w:tcPr>
          <w:p w14:paraId="4136C0B5"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More developed</w:t>
            </w:r>
          </w:p>
        </w:tc>
        <w:tc>
          <w:tcPr>
            <w:tcW w:w="500" w:type="pct"/>
            <w:tcBorders>
              <w:top w:val="single" w:sz="4" w:space="0" w:color="auto"/>
              <w:left w:val="single" w:sz="4" w:space="0" w:color="auto"/>
            </w:tcBorders>
            <w:shd w:val="clear" w:color="auto" w:fill="FFFFFF"/>
          </w:tcPr>
          <w:p w14:paraId="6C8BC20F"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8A09F47"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550B3AF0"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2AE0E25B"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10587662"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2CC23F5B"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330550EA"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6DFDE617"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4070EC54" w14:textId="77777777" w:rsidR="00D20B4E" w:rsidRPr="00D20B4E" w:rsidRDefault="00D20B4E" w:rsidP="00D20B4E">
            <w:pPr>
              <w:rPr>
                <w:rFonts w:ascii="Times New Roman" w:hAnsi="Times New Roman" w:cs="Times New Roman"/>
                <w:sz w:val="18"/>
                <w:szCs w:val="18"/>
              </w:rPr>
            </w:pPr>
          </w:p>
        </w:tc>
      </w:tr>
      <w:tr w:rsidR="00D20B4E" w:rsidRPr="00D20B4E" w14:paraId="7A06F95E" w14:textId="77777777" w:rsidTr="00584F2A">
        <w:trPr>
          <w:trHeight w:hRule="exact" w:val="394"/>
        </w:trPr>
        <w:tc>
          <w:tcPr>
            <w:tcW w:w="539" w:type="pct"/>
            <w:vMerge/>
            <w:tcBorders>
              <w:left w:val="single" w:sz="4" w:space="0" w:color="auto"/>
            </w:tcBorders>
            <w:shd w:val="clear" w:color="auto" w:fill="FFFFFF"/>
          </w:tcPr>
          <w:p w14:paraId="4367C18B"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7E78C989" w14:textId="77777777" w:rsidR="00D20B4E" w:rsidRPr="00D20B4E" w:rsidRDefault="00D20B4E" w:rsidP="00D20B4E">
            <w:pPr>
              <w:pStyle w:val="Other0"/>
              <w:shd w:val="clear" w:color="auto" w:fill="auto"/>
              <w:jc w:val="both"/>
              <w:rPr>
                <w:sz w:val="18"/>
                <w:szCs w:val="18"/>
              </w:rPr>
            </w:pPr>
            <w:r w:rsidRPr="00D20B4E">
              <w:rPr>
                <w:i w:val="0"/>
                <w:iCs w:val="0"/>
                <w:sz w:val="18"/>
                <w:szCs w:val="18"/>
                <w:lang w:bidi="en-US"/>
              </w:rPr>
              <w:t>Transition</w:t>
            </w:r>
          </w:p>
        </w:tc>
        <w:tc>
          <w:tcPr>
            <w:tcW w:w="500" w:type="pct"/>
            <w:tcBorders>
              <w:top w:val="single" w:sz="4" w:space="0" w:color="auto"/>
              <w:left w:val="single" w:sz="4" w:space="0" w:color="auto"/>
            </w:tcBorders>
            <w:shd w:val="clear" w:color="auto" w:fill="FFFFFF"/>
          </w:tcPr>
          <w:p w14:paraId="7AD8770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5D5AC42B"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7E249F3A"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5DFD6CB4"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5E402050"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5D247E9E"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5C1A6045"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AEC0DFB"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4CE14AFF" w14:textId="77777777" w:rsidR="00D20B4E" w:rsidRPr="00D20B4E" w:rsidRDefault="00D20B4E" w:rsidP="00D20B4E">
            <w:pPr>
              <w:rPr>
                <w:rFonts w:ascii="Times New Roman" w:hAnsi="Times New Roman" w:cs="Times New Roman"/>
                <w:sz w:val="18"/>
                <w:szCs w:val="18"/>
              </w:rPr>
            </w:pPr>
          </w:p>
        </w:tc>
      </w:tr>
      <w:tr w:rsidR="00D20B4E" w:rsidRPr="00D20B4E" w14:paraId="32B5A14F" w14:textId="77777777" w:rsidTr="00584F2A">
        <w:trPr>
          <w:trHeight w:hRule="exact" w:val="605"/>
        </w:trPr>
        <w:tc>
          <w:tcPr>
            <w:tcW w:w="539" w:type="pct"/>
            <w:vMerge/>
            <w:tcBorders>
              <w:left w:val="single" w:sz="4" w:space="0" w:color="auto"/>
            </w:tcBorders>
            <w:shd w:val="clear" w:color="auto" w:fill="FFFFFF"/>
          </w:tcPr>
          <w:p w14:paraId="78997817"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32A10EC1"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Less developed</w:t>
            </w:r>
          </w:p>
        </w:tc>
        <w:tc>
          <w:tcPr>
            <w:tcW w:w="500" w:type="pct"/>
            <w:tcBorders>
              <w:top w:val="single" w:sz="4" w:space="0" w:color="auto"/>
              <w:left w:val="single" w:sz="4" w:space="0" w:color="auto"/>
            </w:tcBorders>
            <w:shd w:val="clear" w:color="auto" w:fill="FFFFFF"/>
          </w:tcPr>
          <w:p w14:paraId="67BFDA7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62C73E6"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2671DA4"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8E8E350"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59653985"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1B5C8BC5"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486ABFFC"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425401F6"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2BDC04EC" w14:textId="77777777" w:rsidR="00D20B4E" w:rsidRPr="00D20B4E" w:rsidRDefault="00D20B4E" w:rsidP="00D20B4E">
            <w:pPr>
              <w:rPr>
                <w:rFonts w:ascii="Times New Roman" w:hAnsi="Times New Roman" w:cs="Times New Roman"/>
                <w:sz w:val="18"/>
                <w:szCs w:val="18"/>
              </w:rPr>
            </w:pPr>
          </w:p>
        </w:tc>
      </w:tr>
      <w:tr w:rsidR="00D20B4E" w:rsidRPr="00D20B4E" w14:paraId="00D9A470" w14:textId="77777777" w:rsidTr="00584F2A">
        <w:trPr>
          <w:trHeight w:hRule="exact" w:val="394"/>
        </w:trPr>
        <w:tc>
          <w:tcPr>
            <w:tcW w:w="539" w:type="pct"/>
            <w:tcBorders>
              <w:top w:val="single" w:sz="4" w:space="0" w:color="auto"/>
              <w:left w:val="single" w:sz="4" w:space="0" w:color="auto"/>
            </w:tcBorders>
            <w:shd w:val="clear" w:color="auto" w:fill="FFFFFF"/>
            <w:vAlign w:val="center"/>
          </w:tcPr>
          <w:p w14:paraId="7CFA29CA" w14:textId="77777777" w:rsidR="00D20B4E" w:rsidRPr="00D20B4E" w:rsidRDefault="00D20B4E" w:rsidP="00D20B4E">
            <w:pPr>
              <w:pStyle w:val="Other0"/>
              <w:shd w:val="clear" w:color="auto" w:fill="auto"/>
              <w:rPr>
                <w:sz w:val="18"/>
                <w:szCs w:val="18"/>
              </w:rPr>
            </w:pPr>
            <w:r w:rsidRPr="00D20B4E">
              <w:rPr>
                <w:i w:val="0"/>
                <w:iCs w:val="0"/>
                <w:sz w:val="18"/>
                <w:szCs w:val="18"/>
                <w:lang w:bidi="en-US"/>
              </w:rPr>
              <w:t>CF</w:t>
            </w:r>
          </w:p>
        </w:tc>
        <w:tc>
          <w:tcPr>
            <w:tcW w:w="620" w:type="pct"/>
            <w:tcBorders>
              <w:top w:val="single" w:sz="4" w:space="0" w:color="auto"/>
              <w:left w:val="single" w:sz="4" w:space="0" w:color="auto"/>
            </w:tcBorders>
            <w:shd w:val="clear" w:color="auto" w:fill="FFFFFF"/>
            <w:vAlign w:val="center"/>
          </w:tcPr>
          <w:p w14:paraId="24221F46" w14:textId="77777777" w:rsidR="00D20B4E" w:rsidRPr="00D20B4E" w:rsidRDefault="00D20B4E" w:rsidP="00D20B4E">
            <w:pPr>
              <w:pStyle w:val="Other0"/>
              <w:shd w:val="clear" w:color="auto" w:fill="auto"/>
              <w:rPr>
                <w:sz w:val="18"/>
                <w:szCs w:val="18"/>
              </w:rPr>
            </w:pPr>
            <w:r w:rsidRPr="00D20B4E">
              <w:rPr>
                <w:i w:val="0"/>
                <w:iCs w:val="0"/>
                <w:sz w:val="18"/>
                <w:szCs w:val="18"/>
                <w:lang w:bidi="en-US"/>
              </w:rPr>
              <w:t>N/A</w:t>
            </w:r>
          </w:p>
        </w:tc>
        <w:tc>
          <w:tcPr>
            <w:tcW w:w="500" w:type="pct"/>
            <w:tcBorders>
              <w:top w:val="single" w:sz="4" w:space="0" w:color="auto"/>
              <w:left w:val="single" w:sz="4" w:space="0" w:color="auto"/>
            </w:tcBorders>
            <w:shd w:val="clear" w:color="auto" w:fill="FFFFFF"/>
          </w:tcPr>
          <w:p w14:paraId="4C1681B1" w14:textId="7571504B" w:rsidR="00D20B4E" w:rsidRPr="00D20B4E" w:rsidRDefault="00D20B4E" w:rsidP="00D20B4E">
            <w:pPr>
              <w:spacing w:before="120" w:after="0"/>
              <w:jc w:val="center"/>
              <w:rPr>
                <w:rFonts w:ascii="Times New Roman" w:hAnsi="Times New Roman" w:cs="Times New Roman"/>
                <w:sz w:val="18"/>
                <w:szCs w:val="18"/>
              </w:rPr>
            </w:pPr>
            <w:r w:rsidRPr="00D20B4E">
              <w:rPr>
                <w:rFonts w:ascii="Times New Roman" w:hAnsi="Times New Roman" w:cs="Times New Roman"/>
                <w:sz w:val="18"/>
                <w:szCs w:val="18"/>
              </w:rPr>
              <w:t>1</w:t>
            </w:r>
          </w:p>
        </w:tc>
        <w:tc>
          <w:tcPr>
            <w:tcW w:w="280" w:type="pct"/>
            <w:tcBorders>
              <w:top w:val="single" w:sz="4" w:space="0" w:color="auto"/>
              <w:left w:val="single" w:sz="4" w:space="0" w:color="auto"/>
            </w:tcBorders>
            <w:shd w:val="clear" w:color="auto" w:fill="FFFFFF"/>
          </w:tcPr>
          <w:p w14:paraId="167A4529"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6BBBF1E9" w14:textId="0A83AC52" w:rsidR="00D20B4E" w:rsidRPr="00202D54" w:rsidRDefault="00202D54" w:rsidP="00D20B4E">
            <w:pPr>
              <w:rPr>
                <w:rFonts w:ascii="Times New Roman" w:hAnsi="Times New Roman" w:cs="Times New Roman"/>
                <w:sz w:val="18"/>
                <w:szCs w:val="18"/>
                <w:lang w:val="bg-BG"/>
              </w:rPr>
            </w:pPr>
            <w:r>
              <w:rPr>
                <w:rFonts w:ascii="Times New Roman" w:hAnsi="Times New Roman" w:cs="Times New Roman"/>
                <w:sz w:val="18"/>
                <w:szCs w:val="18"/>
                <w:lang w:val="bg-BG"/>
              </w:rPr>
              <w:t>15 000 000,00</w:t>
            </w:r>
          </w:p>
        </w:tc>
        <w:tc>
          <w:tcPr>
            <w:tcW w:w="573" w:type="pct"/>
            <w:tcBorders>
              <w:top w:val="single" w:sz="4" w:space="0" w:color="auto"/>
              <w:left w:val="single" w:sz="4" w:space="0" w:color="auto"/>
            </w:tcBorders>
            <w:shd w:val="clear" w:color="auto" w:fill="FFFFFF"/>
          </w:tcPr>
          <w:p w14:paraId="243C6471" w14:textId="0490FFE8" w:rsidR="00D20B4E" w:rsidRPr="00202D54" w:rsidRDefault="00202D54" w:rsidP="00D20B4E">
            <w:pPr>
              <w:rPr>
                <w:rFonts w:ascii="Times New Roman" w:hAnsi="Times New Roman" w:cs="Times New Roman"/>
                <w:sz w:val="18"/>
                <w:szCs w:val="18"/>
                <w:lang w:val="bg-BG"/>
              </w:rPr>
            </w:pPr>
            <w:r>
              <w:rPr>
                <w:rFonts w:ascii="Times New Roman" w:hAnsi="Times New Roman" w:cs="Times New Roman"/>
                <w:sz w:val="18"/>
                <w:szCs w:val="18"/>
                <w:lang w:val="bg-BG"/>
              </w:rPr>
              <w:t>10 000 000,00</w:t>
            </w:r>
          </w:p>
        </w:tc>
        <w:tc>
          <w:tcPr>
            <w:tcW w:w="276" w:type="pct"/>
            <w:tcBorders>
              <w:top w:val="single" w:sz="4" w:space="0" w:color="auto"/>
              <w:left w:val="single" w:sz="4" w:space="0" w:color="auto"/>
            </w:tcBorders>
            <w:shd w:val="clear" w:color="auto" w:fill="FFFFFF"/>
          </w:tcPr>
          <w:p w14:paraId="3BE61300"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0473B993"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66A2F652"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14D0914B"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20629422" w14:textId="22901CCC" w:rsidR="00D20B4E" w:rsidRPr="00584F2A" w:rsidRDefault="00B449B0" w:rsidP="00584F2A">
            <w:pPr>
              <w:jc w:val="right"/>
              <w:rPr>
                <w:rFonts w:ascii="Times New Roman" w:hAnsi="Times New Roman" w:cs="Times New Roman"/>
                <w:sz w:val="18"/>
                <w:szCs w:val="18"/>
                <w:highlight w:val="yellow"/>
                <w:lang w:val="bg-BG"/>
              </w:rPr>
            </w:pPr>
            <w:r w:rsidRPr="00584F2A">
              <w:rPr>
                <w:rFonts w:ascii="Times New Roman" w:hAnsi="Times New Roman" w:cs="Times New Roman"/>
                <w:sz w:val="18"/>
                <w:szCs w:val="18"/>
                <w:highlight w:val="yellow"/>
                <w:lang w:val="bg-BG"/>
              </w:rPr>
              <w:t>25 000 000,00</w:t>
            </w:r>
          </w:p>
        </w:tc>
      </w:tr>
      <w:tr w:rsidR="00D20B4E" w:rsidRPr="00D20B4E" w14:paraId="08A2CBA6" w14:textId="77777777" w:rsidTr="00584F2A">
        <w:trPr>
          <w:trHeight w:hRule="exact" w:val="403"/>
        </w:trPr>
        <w:tc>
          <w:tcPr>
            <w:tcW w:w="539" w:type="pct"/>
            <w:tcBorders>
              <w:top w:val="single" w:sz="4" w:space="0" w:color="auto"/>
              <w:left w:val="single" w:sz="4" w:space="0" w:color="auto"/>
              <w:bottom w:val="single" w:sz="4" w:space="0" w:color="auto"/>
            </w:tcBorders>
            <w:shd w:val="clear" w:color="auto" w:fill="FFFFFF"/>
            <w:vAlign w:val="center"/>
          </w:tcPr>
          <w:p w14:paraId="38860620" w14:textId="77777777" w:rsidR="00D20B4E" w:rsidRPr="00D20B4E" w:rsidRDefault="00D20B4E" w:rsidP="00D20B4E">
            <w:pPr>
              <w:pStyle w:val="Other0"/>
              <w:shd w:val="clear" w:color="auto" w:fill="auto"/>
              <w:rPr>
                <w:sz w:val="18"/>
                <w:szCs w:val="18"/>
              </w:rPr>
            </w:pPr>
            <w:r w:rsidRPr="00D20B4E">
              <w:rPr>
                <w:i w:val="0"/>
                <w:iCs w:val="0"/>
                <w:sz w:val="18"/>
                <w:szCs w:val="18"/>
                <w:lang w:bidi="en-US"/>
              </w:rPr>
              <w:t>EMFAF</w:t>
            </w:r>
          </w:p>
        </w:tc>
        <w:tc>
          <w:tcPr>
            <w:tcW w:w="620" w:type="pct"/>
            <w:tcBorders>
              <w:top w:val="single" w:sz="4" w:space="0" w:color="auto"/>
              <w:left w:val="single" w:sz="4" w:space="0" w:color="auto"/>
              <w:bottom w:val="single" w:sz="4" w:space="0" w:color="auto"/>
            </w:tcBorders>
            <w:shd w:val="clear" w:color="auto" w:fill="FFFFFF"/>
            <w:vAlign w:val="center"/>
          </w:tcPr>
          <w:p w14:paraId="08A5BE44" w14:textId="77777777" w:rsidR="00D20B4E" w:rsidRPr="00D20B4E" w:rsidRDefault="00D20B4E" w:rsidP="00D20B4E">
            <w:pPr>
              <w:pStyle w:val="Other0"/>
              <w:shd w:val="clear" w:color="auto" w:fill="auto"/>
              <w:rPr>
                <w:sz w:val="18"/>
                <w:szCs w:val="18"/>
              </w:rPr>
            </w:pPr>
            <w:r w:rsidRPr="00D20B4E">
              <w:rPr>
                <w:i w:val="0"/>
                <w:iCs w:val="0"/>
                <w:sz w:val="18"/>
                <w:szCs w:val="18"/>
                <w:lang w:bidi="en-US"/>
              </w:rPr>
              <w:t>N/A</w:t>
            </w:r>
          </w:p>
        </w:tc>
        <w:tc>
          <w:tcPr>
            <w:tcW w:w="500" w:type="pct"/>
            <w:tcBorders>
              <w:top w:val="single" w:sz="4" w:space="0" w:color="auto"/>
              <w:left w:val="single" w:sz="4" w:space="0" w:color="auto"/>
              <w:bottom w:val="single" w:sz="4" w:space="0" w:color="auto"/>
            </w:tcBorders>
            <w:shd w:val="clear" w:color="auto" w:fill="FFFFFF"/>
          </w:tcPr>
          <w:p w14:paraId="5980DDF7"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bottom w:val="single" w:sz="4" w:space="0" w:color="auto"/>
            </w:tcBorders>
            <w:shd w:val="clear" w:color="auto" w:fill="FFFFFF"/>
          </w:tcPr>
          <w:p w14:paraId="3FD02D77"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tcBorders>
            <w:shd w:val="clear" w:color="auto" w:fill="FFFFFF"/>
          </w:tcPr>
          <w:p w14:paraId="306CF4D0"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tcBorders>
            <w:shd w:val="clear" w:color="auto" w:fill="FFFFFF"/>
          </w:tcPr>
          <w:p w14:paraId="5EF8AD72"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bottom w:val="single" w:sz="4" w:space="0" w:color="auto"/>
            </w:tcBorders>
            <w:shd w:val="clear" w:color="auto" w:fill="FFFFFF"/>
          </w:tcPr>
          <w:p w14:paraId="0522DF1C"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bottom w:val="single" w:sz="4" w:space="0" w:color="auto"/>
            </w:tcBorders>
            <w:shd w:val="clear" w:color="auto" w:fill="FFFFFF"/>
          </w:tcPr>
          <w:p w14:paraId="25D5EFD8"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bottom w:val="single" w:sz="4" w:space="0" w:color="auto"/>
            </w:tcBorders>
            <w:shd w:val="clear" w:color="auto" w:fill="FFFFFF"/>
          </w:tcPr>
          <w:p w14:paraId="1B5EED90"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bottom w:val="single" w:sz="4" w:space="0" w:color="auto"/>
            </w:tcBorders>
            <w:shd w:val="clear" w:color="auto" w:fill="FFFFFF"/>
          </w:tcPr>
          <w:p w14:paraId="23CC7AB7"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68C8A4E" w14:textId="77777777" w:rsidR="00D20B4E" w:rsidRPr="00D20B4E" w:rsidRDefault="00D20B4E" w:rsidP="00D20B4E">
            <w:pPr>
              <w:rPr>
                <w:rFonts w:ascii="Times New Roman" w:hAnsi="Times New Roman" w:cs="Times New Roman"/>
                <w:sz w:val="18"/>
                <w:szCs w:val="18"/>
              </w:rPr>
            </w:pPr>
          </w:p>
        </w:tc>
      </w:tr>
    </w:tbl>
    <w:p w14:paraId="1A7D8FE8" w14:textId="5EF12C59" w:rsidR="00722757" w:rsidRDefault="00722757" w:rsidP="00722757">
      <w:pPr>
        <w:spacing w:before="120" w:after="0" w:line="240" w:lineRule="auto"/>
        <w:jc w:val="both"/>
        <w:rPr>
          <w:rFonts w:ascii="Times New Roman" w:eastAsia="Calibri" w:hAnsi="Times New Roman" w:cs="Times New Roman"/>
          <w:noProof/>
          <w:sz w:val="16"/>
          <w:szCs w:val="20"/>
          <w:lang w:val="bg-BG" w:eastAsia="bg-BG" w:bidi="bg-BG"/>
        </w:rPr>
      </w:pPr>
      <w:r w:rsidRPr="00137181">
        <w:rPr>
          <w:rFonts w:ascii="Times New Roman" w:eastAsia="Calibri" w:hAnsi="Times New Roman" w:cs="Times New Roman"/>
          <w:noProof/>
          <w:sz w:val="16"/>
          <w:szCs w:val="20"/>
          <w:lang w:val="bg-BG" w:eastAsia="bg-BG" w:bidi="bg-BG"/>
        </w:rPr>
        <w:t>* Кумулативни суми на целия принос по време на програмния период.</w:t>
      </w:r>
    </w:p>
    <w:p w14:paraId="653F28DF" w14:textId="430FEB59" w:rsidR="00137181" w:rsidRDefault="00137181" w:rsidP="00722757">
      <w:pPr>
        <w:spacing w:before="120" w:after="0" w:line="240" w:lineRule="auto"/>
        <w:jc w:val="both"/>
        <w:rPr>
          <w:rFonts w:ascii="Times New Roman" w:eastAsia="Calibri" w:hAnsi="Times New Roman" w:cs="Times New Roman"/>
          <w:noProof/>
          <w:sz w:val="16"/>
          <w:szCs w:val="20"/>
          <w:lang w:val="bg-BG" w:eastAsia="bg-BG" w:bidi="bg-BG"/>
        </w:rPr>
      </w:pPr>
    </w:p>
    <w:p w14:paraId="54C4843B" w14:textId="45DB8393" w:rsidR="00137181" w:rsidRPr="00A617C0" w:rsidRDefault="00D20B4E" w:rsidP="00D20B4E">
      <w:pPr>
        <w:spacing w:before="120" w:after="120" w:line="240" w:lineRule="auto"/>
        <w:jc w:val="both"/>
        <w:rPr>
          <w:rFonts w:ascii="Times New Roman" w:eastAsia="Calibri" w:hAnsi="Times New Roman" w:cs="Times New Roman"/>
          <w:b/>
          <w:noProof/>
          <w:sz w:val="20"/>
          <w:szCs w:val="20"/>
          <w:lang w:eastAsia="bg-BG" w:bidi="bg-BG"/>
        </w:rPr>
      </w:pPr>
      <w:r w:rsidRPr="00A617C0">
        <w:rPr>
          <w:rFonts w:ascii="Times New Roman" w:eastAsia="Calibri" w:hAnsi="Times New Roman" w:cs="Times New Roman"/>
          <w:b/>
          <w:noProof/>
          <w:sz w:val="20"/>
          <w:szCs w:val="20"/>
          <w:lang w:eastAsia="bg-BG" w:bidi="bg-BG"/>
        </w:rPr>
        <w:t>Table 15B: Contributions to InvestEU* (summary)</w:t>
      </w:r>
    </w:p>
    <w:tbl>
      <w:tblPr>
        <w:tblW w:w="5418" w:type="pct"/>
        <w:tblCellMar>
          <w:left w:w="10" w:type="dxa"/>
          <w:right w:w="10" w:type="dxa"/>
        </w:tblCellMar>
        <w:tblLook w:val="0000" w:firstRow="0" w:lastRow="0" w:firstColumn="0" w:lastColumn="0" w:noHBand="0" w:noVBand="0"/>
      </w:tblPr>
      <w:tblGrid>
        <w:gridCol w:w="857"/>
        <w:gridCol w:w="1312"/>
        <w:gridCol w:w="1779"/>
        <w:gridCol w:w="1080"/>
        <w:gridCol w:w="931"/>
        <w:gridCol w:w="1049"/>
        <w:gridCol w:w="2343"/>
        <w:gridCol w:w="469"/>
      </w:tblGrid>
      <w:tr w:rsidR="00D20B4E" w14:paraId="79F66EE3" w14:textId="77777777" w:rsidTr="00D20B4E">
        <w:trPr>
          <w:gridAfter w:val="1"/>
          <w:wAfter w:w="239" w:type="pct"/>
          <w:trHeight w:hRule="exact" w:val="1029"/>
        </w:trPr>
        <w:tc>
          <w:tcPr>
            <w:tcW w:w="436" w:type="pct"/>
            <w:vMerge w:val="restart"/>
            <w:tcBorders>
              <w:top w:val="single" w:sz="4" w:space="0" w:color="auto"/>
              <w:left w:val="single" w:sz="4" w:space="0" w:color="auto"/>
            </w:tcBorders>
            <w:shd w:val="clear" w:color="auto" w:fill="FFFFFF"/>
          </w:tcPr>
          <w:p w14:paraId="6220AC2A" w14:textId="77777777" w:rsidR="00D20B4E" w:rsidRPr="00A617C0" w:rsidRDefault="00D20B4E" w:rsidP="00D20B4E">
            <w:pPr>
              <w:rPr>
                <w:rFonts w:ascii="Times New Roman" w:eastAsia="Times New Roman" w:hAnsi="Times New Roman" w:cs="Times New Roman"/>
                <w:sz w:val="18"/>
                <w:szCs w:val="18"/>
                <w:lang w:bidi="en-US"/>
              </w:rPr>
            </w:pPr>
          </w:p>
        </w:tc>
        <w:tc>
          <w:tcPr>
            <w:tcW w:w="668" w:type="pct"/>
            <w:vMerge w:val="restart"/>
            <w:tcBorders>
              <w:top w:val="single" w:sz="4" w:space="0" w:color="auto"/>
              <w:left w:val="single" w:sz="4" w:space="0" w:color="auto"/>
            </w:tcBorders>
            <w:shd w:val="clear" w:color="auto" w:fill="FFFFFF"/>
          </w:tcPr>
          <w:p w14:paraId="1A79B40E" w14:textId="77777777" w:rsidR="00D20B4E" w:rsidRPr="00A617C0" w:rsidRDefault="00D20B4E" w:rsidP="00D20B4E">
            <w:pPr>
              <w:pStyle w:val="Other0"/>
              <w:shd w:val="clear" w:color="auto" w:fill="auto"/>
              <w:spacing w:before="120" w:line="379" w:lineRule="auto"/>
              <w:jc w:val="center"/>
              <w:rPr>
                <w:i w:val="0"/>
                <w:iCs w:val="0"/>
                <w:sz w:val="18"/>
                <w:szCs w:val="18"/>
                <w:lang w:bidi="en-US"/>
              </w:rPr>
            </w:pPr>
            <w:r w:rsidRPr="00A617C0">
              <w:rPr>
                <w:i w:val="0"/>
                <w:iCs w:val="0"/>
                <w:sz w:val="18"/>
                <w:szCs w:val="18"/>
                <w:lang w:bidi="en-US"/>
              </w:rPr>
              <w:t>Category of regions</w:t>
            </w:r>
          </w:p>
        </w:tc>
        <w:tc>
          <w:tcPr>
            <w:tcW w:w="906" w:type="pct"/>
            <w:tcBorders>
              <w:top w:val="single" w:sz="4" w:space="0" w:color="auto"/>
              <w:left w:val="single" w:sz="4" w:space="0" w:color="auto"/>
            </w:tcBorders>
            <w:shd w:val="clear" w:color="auto" w:fill="FFFFFF"/>
            <w:vAlign w:val="bottom"/>
          </w:tcPr>
          <w:p w14:paraId="49FD4D09"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Window 1</w:t>
            </w:r>
          </w:p>
          <w:p w14:paraId="158124D8"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Sustainable</w:t>
            </w:r>
          </w:p>
          <w:p w14:paraId="166F2C64" w14:textId="5AE80898"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Infrastructure</w:t>
            </w:r>
          </w:p>
        </w:tc>
        <w:tc>
          <w:tcPr>
            <w:tcW w:w="550" w:type="pct"/>
            <w:tcBorders>
              <w:top w:val="single" w:sz="4" w:space="0" w:color="auto"/>
              <w:left w:val="single" w:sz="4" w:space="0" w:color="auto"/>
            </w:tcBorders>
            <w:shd w:val="clear" w:color="auto" w:fill="FFFFFF"/>
            <w:vAlign w:val="bottom"/>
          </w:tcPr>
          <w:p w14:paraId="4206BB77"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Window 2</w:t>
            </w:r>
          </w:p>
          <w:p w14:paraId="1752947B"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Innovation</w:t>
            </w:r>
          </w:p>
          <w:p w14:paraId="162809F3" w14:textId="7565899D" w:rsidR="00D20B4E" w:rsidRPr="00A617C0" w:rsidRDefault="00D20B4E" w:rsidP="00D20B4E">
            <w:pPr>
              <w:pStyle w:val="Other0"/>
              <w:shd w:val="clear" w:color="auto" w:fill="auto"/>
              <w:spacing w:after="280"/>
              <w:jc w:val="center"/>
              <w:rPr>
                <w:i w:val="0"/>
                <w:iCs w:val="0"/>
                <w:sz w:val="18"/>
                <w:szCs w:val="18"/>
                <w:lang w:bidi="en-US"/>
              </w:rPr>
            </w:pPr>
            <w:r w:rsidRPr="00A617C0">
              <w:rPr>
                <w:i w:val="0"/>
                <w:iCs w:val="0"/>
                <w:sz w:val="18"/>
                <w:szCs w:val="18"/>
                <w:lang w:bidi="en-US"/>
              </w:rPr>
              <w:t xml:space="preserve">and </w:t>
            </w:r>
            <w:proofErr w:type="spellStart"/>
            <w:r w:rsidRPr="00A617C0">
              <w:rPr>
                <w:i w:val="0"/>
                <w:iCs w:val="0"/>
                <w:sz w:val="18"/>
                <w:szCs w:val="18"/>
                <w:lang w:bidi="en-US"/>
              </w:rPr>
              <w:t>Digitisation</w:t>
            </w:r>
            <w:proofErr w:type="spellEnd"/>
          </w:p>
          <w:p w14:paraId="5616FAC3" w14:textId="19127D81" w:rsidR="00D20B4E" w:rsidRPr="00A617C0" w:rsidRDefault="00D20B4E" w:rsidP="00D20B4E">
            <w:pPr>
              <w:pStyle w:val="Other0"/>
              <w:shd w:val="clear" w:color="auto" w:fill="auto"/>
              <w:spacing w:after="80"/>
              <w:jc w:val="center"/>
              <w:rPr>
                <w:i w:val="0"/>
                <w:iCs w:val="0"/>
                <w:sz w:val="18"/>
                <w:szCs w:val="18"/>
                <w:lang w:bidi="en-US"/>
              </w:rPr>
            </w:pPr>
          </w:p>
        </w:tc>
        <w:tc>
          <w:tcPr>
            <w:tcW w:w="474" w:type="pct"/>
            <w:tcBorders>
              <w:top w:val="single" w:sz="4" w:space="0" w:color="auto"/>
              <w:left w:val="single" w:sz="4" w:space="0" w:color="auto"/>
            </w:tcBorders>
            <w:shd w:val="clear" w:color="auto" w:fill="FFFFFF"/>
            <w:vAlign w:val="center"/>
          </w:tcPr>
          <w:p w14:paraId="4A9F0100"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Window</w:t>
            </w:r>
          </w:p>
          <w:p w14:paraId="50F647FF" w14:textId="77777777" w:rsidR="00D20B4E" w:rsidRPr="00A617C0" w:rsidRDefault="00D20B4E" w:rsidP="00D20B4E">
            <w:pPr>
              <w:pStyle w:val="Other0"/>
              <w:shd w:val="clear" w:color="auto" w:fill="auto"/>
              <w:jc w:val="center"/>
              <w:rPr>
                <w:i w:val="0"/>
                <w:iCs w:val="0"/>
                <w:sz w:val="18"/>
                <w:szCs w:val="18"/>
                <w:lang w:bidi="en-US"/>
              </w:rPr>
            </w:pPr>
            <w:r w:rsidRPr="00A617C0">
              <w:rPr>
                <w:i w:val="0"/>
                <w:iCs w:val="0"/>
                <w:sz w:val="18"/>
                <w:szCs w:val="18"/>
                <w:lang w:bidi="en-US"/>
              </w:rPr>
              <w:t>3 SME</w:t>
            </w:r>
          </w:p>
        </w:tc>
        <w:tc>
          <w:tcPr>
            <w:tcW w:w="534" w:type="pct"/>
            <w:tcBorders>
              <w:top w:val="single" w:sz="4" w:space="0" w:color="auto"/>
              <w:left w:val="single" w:sz="4" w:space="0" w:color="auto"/>
            </w:tcBorders>
            <w:shd w:val="clear" w:color="auto" w:fill="FFFFFF"/>
            <w:vAlign w:val="bottom"/>
          </w:tcPr>
          <w:p w14:paraId="1334EA2A" w14:textId="77777777" w:rsidR="00D20B4E" w:rsidRPr="00A617C0" w:rsidRDefault="00D20B4E" w:rsidP="00D20B4E">
            <w:pPr>
              <w:pStyle w:val="Other0"/>
              <w:shd w:val="clear" w:color="auto" w:fill="auto"/>
              <w:jc w:val="center"/>
              <w:rPr>
                <w:i w:val="0"/>
                <w:iCs w:val="0"/>
                <w:sz w:val="18"/>
                <w:szCs w:val="18"/>
                <w:lang w:bidi="en-US"/>
              </w:rPr>
            </w:pPr>
            <w:r w:rsidRPr="00A617C0">
              <w:rPr>
                <w:i w:val="0"/>
                <w:iCs w:val="0"/>
                <w:sz w:val="18"/>
                <w:szCs w:val="18"/>
                <w:lang w:bidi="en-US"/>
              </w:rPr>
              <w:t>Window 4</w:t>
            </w:r>
          </w:p>
          <w:p w14:paraId="06341D1C" w14:textId="6D8688E1" w:rsidR="00D20B4E" w:rsidRPr="00A617C0" w:rsidRDefault="00D20B4E" w:rsidP="00D20B4E">
            <w:pPr>
              <w:pStyle w:val="Other0"/>
              <w:shd w:val="clear" w:color="auto" w:fill="auto"/>
              <w:spacing w:after="260"/>
              <w:jc w:val="center"/>
              <w:rPr>
                <w:i w:val="0"/>
                <w:iCs w:val="0"/>
                <w:sz w:val="18"/>
                <w:szCs w:val="18"/>
                <w:lang w:bidi="en-US"/>
              </w:rPr>
            </w:pPr>
            <w:r w:rsidRPr="00A617C0">
              <w:rPr>
                <w:i w:val="0"/>
                <w:iCs w:val="0"/>
                <w:sz w:val="18"/>
                <w:szCs w:val="18"/>
                <w:lang w:bidi="en-US"/>
              </w:rPr>
              <w:t>Social Investment and Skills</w:t>
            </w:r>
          </w:p>
          <w:p w14:paraId="70080FA4" w14:textId="184D6E20" w:rsidR="00D20B4E" w:rsidRPr="00A617C0" w:rsidRDefault="00D20B4E" w:rsidP="00D20B4E">
            <w:pPr>
              <w:pStyle w:val="Other0"/>
              <w:shd w:val="clear" w:color="auto" w:fill="auto"/>
              <w:jc w:val="center"/>
              <w:rPr>
                <w:i w:val="0"/>
                <w:iCs w:val="0"/>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004D043D" w14:textId="77777777" w:rsidR="00D20B4E" w:rsidRPr="00D20B4E" w:rsidRDefault="00D20B4E" w:rsidP="00D20B4E">
            <w:pPr>
              <w:pStyle w:val="Other0"/>
              <w:shd w:val="clear" w:color="auto" w:fill="auto"/>
              <w:spacing w:before="120"/>
              <w:jc w:val="center"/>
              <w:rPr>
                <w:i w:val="0"/>
                <w:iCs w:val="0"/>
                <w:sz w:val="18"/>
                <w:szCs w:val="18"/>
                <w:lang w:bidi="en-US"/>
              </w:rPr>
            </w:pPr>
            <w:r w:rsidRPr="00A617C0">
              <w:rPr>
                <w:i w:val="0"/>
                <w:iCs w:val="0"/>
                <w:sz w:val="18"/>
                <w:szCs w:val="18"/>
                <w:lang w:bidi="en-US"/>
              </w:rPr>
              <w:t>Total amount</w:t>
            </w:r>
          </w:p>
        </w:tc>
      </w:tr>
      <w:tr w:rsidR="00D20B4E" w14:paraId="4B1AA704" w14:textId="77777777" w:rsidTr="00D20B4E">
        <w:trPr>
          <w:gridAfter w:val="1"/>
          <w:wAfter w:w="239" w:type="pct"/>
          <w:trHeight w:hRule="exact" w:val="562"/>
        </w:trPr>
        <w:tc>
          <w:tcPr>
            <w:tcW w:w="436" w:type="pct"/>
            <w:vMerge/>
            <w:tcBorders>
              <w:left w:val="single" w:sz="4" w:space="0" w:color="auto"/>
            </w:tcBorders>
            <w:shd w:val="clear" w:color="auto" w:fill="FFFFFF"/>
          </w:tcPr>
          <w:p w14:paraId="7E08ECCD" w14:textId="77777777" w:rsidR="00D20B4E" w:rsidRPr="00D20B4E" w:rsidRDefault="00D20B4E" w:rsidP="00D20B4E">
            <w:pPr>
              <w:rPr>
                <w:rFonts w:ascii="Times New Roman" w:eastAsia="Times New Roman" w:hAnsi="Times New Roman" w:cs="Times New Roman"/>
                <w:sz w:val="18"/>
                <w:szCs w:val="18"/>
                <w:lang w:bidi="en-US"/>
              </w:rPr>
            </w:pPr>
          </w:p>
        </w:tc>
        <w:tc>
          <w:tcPr>
            <w:tcW w:w="668" w:type="pct"/>
            <w:vMerge/>
            <w:tcBorders>
              <w:left w:val="single" w:sz="4" w:space="0" w:color="auto"/>
            </w:tcBorders>
            <w:shd w:val="clear" w:color="auto" w:fill="FFFFFF"/>
          </w:tcPr>
          <w:p w14:paraId="37717BDE" w14:textId="77777777" w:rsidR="00D20B4E" w:rsidRPr="00D20B4E" w:rsidRDefault="00D20B4E" w:rsidP="00D20B4E">
            <w:pPr>
              <w:rPr>
                <w:rFonts w:ascii="Times New Roman" w:eastAsia="Times New Roman" w:hAnsi="Times New Roman" w:cs="Times New Roman"/>
                <w:sz w:val="18"/>
                <w:szCs w:val="18"/>
                <w:lang w:bidi="en-US"/>
              </w:rPr>
            </w:pPr>
          </w:p>
        </w:tc>
        <w:tc>
          <w:tcPr>
            <w:tcW w:w="906" w:type="pct"/>
            <w:tcBorders>
              <w:top w:val="single" w:sz="4" w:space="0" w:color="auto"/>
              <w:left w:val="single" w:sz="4" w:space="0" w:color="auto"/>
            </w:tcBorders>
            <w:shd w:val="clear" w:color="auto" w:fill="FFFFFF"/>
            <w:vAlign w:val="bottom"/>
          </w:tcPr>
          <w:p w14:paraId="17A9D62F"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(a)</w:t>
            </w:r>
          </w:p>
        </w:tc>
        <w:tc>
          <w:tcPr>
            <w:tcW w:w="550" w:type="pct"/>
            <w:tcBorders>
              <w:top w:val="single" w:sz="4" w:space="0" w:color="auto"/>
              <w:left w:val="single" w:sz="4" w:space="0" w:color="auto"/>
            </w:tcBorders>
            <w:shd w:val="clear" w:color="auto" w:fill="FFFFFF"/>
            <w:vAlign w:val="center"/>
          </w:tcPr>
          <w:p w14:paraId="00072857"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(b)</w:t>
            </w:r>
          </w:p>
        </w:tc>
        <w:tc>
          <w:tcPr>
            <w:tcW w:w="474" w:type="pct"/>
            <w:tcBorders>
              <w:top w:val="single" w:sz="4" w:space="0" w:color="auto"/>
              <w:left w:val="single" w:sz="4" w:space="0" w:color="auto"/>
            </w:tcBorders>
            <w:shd w:val="clear" w:color="auto" w:fill="FFFFFF"/>
            <w:vAlign w:val="bottom"/>
          </w:tcPr>
          <w:p w14:paraId="2DA33E90"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(c)</w:t>
            </w:r>
          </w:p>
        </w:tc>
        <w:tc>
          <w:tcPr>
            <w:tcW w:w="534" w:type="pct"/>
            <w:tcBorders>
              <w:top w:val="single" w:sz="4" w:space="0" w:color="auto"/>
              <w:left w:val="single" w:sz="4" w:space="0" w:color="auto"/>
            </w:tcBorders>
            <w:shd w:val="clear" w:color="auto" w:fill="FFFFFF"/>
            <w:vAlign w:val="center"/>
          </w:tcPr>
          <w:p w14:paraId="2EC35C83"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(d)</w:t>
            </w:r>
          </w:p>
        </w:tc>
        <w:tc>
          <w:tcPr>
            <w:tcW w:w="1193" w:type="pct"/>
            <w:tcBorders>
              <w:top w:val="single" w:sz="4" w:space="0" w:color="auto"/>
              <w:left w:val="single" w:sz="4" w:space="0" w:color="auto"/>
              <w:bottom w:val="single" w:sz="4" w:space="0" w:color="auto"/>
              <w:right w:val="single" w:sz="4" w:space="0" w:color="auto"/>
            </w:tcBorders>
            <w:shd w:val="clear" w:color="auto" w:fill="FFFFFF"/>
            <w:vAlign w:val="bottom"/>
          </w:tcPr>
          <w:p w14:paraId="17C0E3D6"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(f)=(a)+(b)+(c)+(d)</w:t>
            </w:r>
          </w:p>
        </w:tc>
      </w:tr>
      <w:tr w:rsidR="00D20B4E" w14:paraId="0F3CA0CF" w14:textId="77777777" w:rsidTr="00D20B4E">
        <w:trPr>
          <w:gridAfter w:val="1"/>
          <w:wAfter w:w="239" w:type="pct"/>
          <w:trHeight w:hRule="exact" w:val="418"/>
        </w:trPr>
        <w:tc>
          <w:tcPr>
            <w:tcW w:w="436" w:type="pct"/>
            <w:vMerge w:val="restart"/>
            <w:tcBorders>
              <w:top w:val="single" w:sz="4" w:space="0" w:color="auto"/>
              <w:left w:val="single" w:sz="4" w:space="0" w:color="auto"/>
            </w:tcBorders>
            <w:shd w:val="clear" w:color="auto" w:fill="FFFFFF"/>
          </w:tcPr>
          <w:p w14:paraId="58861FCA" w14:textId="77777777" w:rsidR="00D20B4E" w:rsidRPr="00D20B4E" w:rsidRDefault="00D20B4E" w:rsidP="00D20B4E">
            <w:pPr>
              <w:pStyle w:val="Other0"/>
              <w:shd w:val="clear" w:color="auto" w:fill="auto"/>
              <w:spacing w:before="80"/>
              <w:rPr>
                <w:i w:val="0"/>
                <w:iCs w:val="0"/>
                <w:sz w:val="18"/>
                <w:szCs w:val="18"/>
                <w:lang w:bidi="en-US"/>
              </w:rPr>
            </w:pPr>
            <w:r w:rsidRPr="00D20B4E">
              <w:rPr>
                <w:i w:val="0"/>
                <w:iCs w:val="0"/>
                <w:sz w:val="18"/>
                <w:szCs w:val="18"/>
                <w:lang w:bidi="en-US"/>
              </w:rPr>
              <w:t>ERDF</w:t>
            </w:r>
          </w:p>
        </w:tc>
        <w:tc>
          <w:tcPr>
            <w:tcW w:w="668" w:type="pct"/>
            <w:tcBorders>
              <w:top w:val="single" w:sz="4" w:space="0" w:color="auto"/>
              <w:left w:val="single" w:sz="4" w:space="0" w:color="auto"/>
            </w:tcBorders>
            <w:shd w:val="clear" w:color="auto" w:fill="FFFFFF"/>
            <w:vAlign w:val="center"/>
          </w:tcPr>
          <w:p w14:paraId="2C7E7255" w14:textId="77777777" w:rsidR="00D20B4E" w:rsidRPr="00D20B4E" w:rsidRDefault="00D20B4E" w:rsidP="00D20B4E">
            <w:pPr>
              <w:pStyle w:val="Other0"/>
              <w:shd w:val="clear" w:color="auto" w:fill="auto"/>
              <w:rPr>
                <w:i w:val="0"/>
                <w:iCs w:val="0"/>
                <w:sz w:val="18"/>
                <w:szCs w:val="18"/>
                <w:lang w:bidi="en-US"/>
              </w:rPr>
            </w:pPr>
            <w:r w:rsidRPr="00D20B4E">
              <w:rPr>
                <w:i w:val="0"/>
                <w:iCs w:val="0"/>
                <w:sz w:val="18"/>
                <w:szCs w:val="18"/>
                <w:lang w:bidi="en-US"/>
              </w:rPr>
              <w:t>More developed</w:t>
            </w:r>
          </w:p>
        </w:tc>
        <w:tc>
          <w:tcPr>
            <w:tcW w:w="906" w:type="pct"/>
            <w:tcBorders>
              <w:top w:val="single" w:sz="4" w:space="0" w:color="auto"/>
              <w:left w:val="single" w:sz="4" w:space="0" w:color="auto"/>
            </w:tcBorders>
            <w:shd w:val="clear" w:color="auto" w:fill="FFFFFF"/>
          </w:tcPr>
          <w:p w14:paraId="09F4FA94"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163DAF20"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7740A4F"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19BC4E92"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681EF0A8"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3A67FAD2" w14:textId="77777777" w:rsidTr="00D20B4E">
        <w:trPr>
          <w:gridAfter w:val="1"/>
          <w:wAfter w:w="239" w:type="pct"/>
          <w:trHeight w:hRule="exact" w:val="422"/>
        </w:trPr>
        <w:tc>
          <w:tcPr>
            <w:tcW w:w="436" w:type="pct"/>
            <w:vMerge/>
            <w:tcBorders>
              <w:left w:val="single" w:sz="4" w:space="0" w:color="auto"/>
            </w:tcBorders>
            <w:shd w:val="clear" w:color="auto" w:fill="FFFFFF"/>
          </w:tcPr>
          <w:p w14:paraId="23F1DCB9" w14:textId="77777777" w:rsidR="00D20B4E" w:rsidRPr="00D20B4E" w:rsidRDefault="00D20B4E" w:rsidP="00D20B4E">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10AD6F8A" w14:textId="77777777" w:rsidR="00D20B4E" w:rsidRPr="00D20B4E" w:rsidRDefault="00D20B4E" w:rsidP="00D20B4E">
            <w:pPr>
              <w:pStyle w:val="Other0"/>
              <w:shd w:val="clear" w:color="auto" w:fill="auto"/>
              <w:rPr>
                <w:i w:val="0"/>
                <w:iCs w:val="0"/>
                <w:sz w:val="18"/>
                <w:szCs w:val="18"/>
                <w:lang w:bidi="en-US"/>
              </w:rPr>
            </w:pPr>
            <w:r w:rsidRPr="00D20B4E">
              <w:rPr>
                <w:i w:val="0"/>
                <w:iCs w:val="0"/>
                <w:sz w:val="18"/>
                <w:szCs w:val="18"/>
                <w:lang w:bidi="en-US"/>
              </w:rPr>
              <w:t>Less developed</w:t>
            </w:r>
          </w:p>
        </w:tc>
        <w:tc>
          <w:tcPr>
            <w:tcW w:w="906" w:type="pct"/>
            <w:tcBorders>
              <w:top w:val="single" w:sz="4" w:space="0" w:color="auto"/>
              <w:left w:val="single" w:sz="4" w:space="0" w:color="auto"/>
            </w:tcBorders>
            <w:shd w:val="clear" w:color="auto" w:fill="FFFFFF"/>
          </w:tcPr>
          <w:p w14:paraId="689CBBCD"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5FDD89ED"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1013CDC"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3788B61D"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12BF497C"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6DCA5AA5" w14:textId="77777777" w:rsidTr="00D20B4E">
        <w:trPr>
          <w:gridAfter w:val="1"/>
          <w:wAfter w:w="239" w:type="pct"/>
          <w:trHeight w:hRule="exact" w:val="418"/>
        </w:trPr>
        <w:tc>
          <w:tcPr>
            <w:tcW w:w="436" w:type="pct"/>
            <w:vMerge/>
            <w:tcBorders>
              <w:left w:val="single" w:sz="4" w:space="0" w:color="auto"/>
            </w:tcBorders>
            <w:shd w:val="clear" w:color="auto" w:fill="FFFFFF"/>
          </w:tcPr>
          <w:p w14:paraId="420E2721" w14:textId="77777777" w:rsidR="00D20B4E" w:rsidRPr="00D20B4E" w:rsidRDefault="00D20B4E" w:rsidP="00D20B4E">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33FFE97E" w14:textId="77777777" w:rsidR="00D20B4E" w:rsidRPr="00D20B4E" w:rsidRDefault="00D20B4E" w:rsidP="00D20B4E">
            <w:pPr>
              <w:pStyle w:val="Other0"/>
              <w:shd w:val="clear" w:color="auto" w:fill="auto"/>
              <w:jc w:val="both"/>
              <w:rPr>
                <w:i w:val="0"/>
                <w:iCs w:val="0"/>
                <w:sz w:val="18"/>
                <w:szCs w:val="18"/>
                <w:lang w:bidi="en-US"/>
              </w:rPr>
            </w:pPr>
            <w:r w:rsidRPr="00D20B4E">
              <w:rPr>
                <w:i w:val="0"/>
                <w:iCs w:val="0"/>
                <w:sz w:val="18"/>
                <w:szCs w:val="18"/>
                <w:lang w:bidi="en-US"/>
              </w:rPr>
              <w:t>Transition</w:t>
            </w:r>
          </w:p>
        </w:tc>
        <w:tc>
          <w:tcPr>
            <w:tcW w:w="906" w:type="pct"/>
            <w:tcBorders>
              <w:top w:val="single" w:sz="4" w:space="0" w:color="auto"/>
              <w:left w:val="single" w:sz="4" w:space="0" w:color="auto"/>
            </w:tcBorders>
            <w:shd w:val="clear" w:color="auto" w:fill="FFFFFF"/>
          </w:tcPr>
          <w:p w14:paraId="7BAD4BB4"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423E3CCA"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68AEE9B9"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19493DF8"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29DB0BD1"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30ACD81C" w14:textId="77777777" w:rsidTr="00D20B4E">
        <w:trPr>
          <w:trHeight w:hRule="exact" w:val="398"/>
        </w:trPr>
        <w:tc>
          <w:tcPr>
            <w:tcW w:w="436" w:type="pct"/>
            <w:vMerge w:val="restart"/>
            <w:tcBorders>
              <w:top w:val="single" w:sz="4" w:space="0" w:color="auto"/>
              <w:left w:val="single" w:sz="4" w:space="0" w:color="auto"/>
            </w:tcBorders>
            <w:shd w:val="clear" w:color="auto" w:fill="FFFFFF"/>
          </w:tcPr>
          <w:p w14:paraId="411E4CCC" w14:textId="77777777" w:rsidR="00D20B4E" w:rsidRPr="00D20B4E" w:rsidRDefault="00D20B4E" w:rsidP="0039017A">
            <w:pPr>
              <w:pStyle w:val="Other0"/>
              <w:shd w:val="clear" w:color="auto" w:fill="auto"/>
              <w:rPr>
                <w:i w:val="0"/>
                <w:iCs w:val="0"/>
                <w:sz w:val="18"/>
                <w:szCs w:val="18"/>
                <w:lang w:bidi="en-US"/>
              </w:rPr>
            </w:pPr>
            <w:r w:rsidRPr="00D20B4E">
              <w:rPr>
                <w:i w:val="0"/>
                <w:iCs w:val="0"/>
                <w:sz w:val="18"/>
                <w:szCs w:val="18"/>
                <w:lang w:bidi="en-US"/>
              </w:rPr>
              <w:t>ESF+</w:t>
            </w:r>
          </w:p>
        </w:tc>
        <w:tc>
          <w:tcPr>
            <w:tcW w:w="668" w:type="pct"/>
            <w:tcBorders>
              <w:top w:val="single" w:sz="4" w:space="0" w:color="auto"/>
              <w:left w:val="single" w:sz="4" w:space="0" w:color="auto"/>
            </w:tcBorders>
            <w:shd w:val="clear" w:color="auto" w:fill="FFFFFF"/>
            <w:vAlign w:val="center"/>
          </w:tcPr>
          <w:p w14:paraId="4275082C" w14:textId="77777777" w:rsidR="00D20B4E" w:rsidRPr="00D20B4E" w:rsidRDefault="00D20B4E" w:rsidP="0039017A">
            <w:pPr>
              <w:pStyle w:val="Other0"/>
              <w:shd w:val="clear" w:color="auto" w:fill="auto"/>
              <w:rPr>
                <w:i w:val="0"/>
                <w:iCs w:val="0"/>
                <w:sz w:val="18"/>
                <w:szCs w:val="18"/>
                <w:lang w:bidi="en-US"/>
              </w:rPr>
            </w:pPr>
            <w:r w:rsidRPr="00D20B4E">
              <w:rPr>
                <w:i w:val="0"/>
                <w:iCs w:val="0"/>
                <w:sz w:val="18"/>
                <w:szCs w:val="18"/>
                <w:lang w:bidi="en-US"/>
              </w:rPr>
              <w:t>More developed</w:t>
            </w:r>
          </w:p>
        </w:tc>
        <w:tc>
          <w:tcPr>
            <w:tcW w:w="906" w:type="pct"/>
            <w:tcBorders>
              <w:top w:val="single" w:sz="4" w:space="0" w:color="auto"/>
              <w:left w:val="single" w:sz="4" w:space="0" w:color="auto"/>
            </w:tcBorders>
            <w:shd w:val="clear" w:color="auto" w:fill="FFFFFF"/>
          </w:tcPr>
          <w:p w14:paraId="1EC76690" w14:textId="77777777" w:rsidR="00D20B4E" w:rsidRPr="00D20B4E" w:rsidRDefault="00D20B4E" w:rsidP="0039017A">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62B66F56" w14:textId="77777777" w:rsidR="00D20B4E" w:rsidRPr="00D20B4E" w:rsidRDefault="00D20B4E" w:rsidP="0039017A">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0BDA2BF5" w14:textId="77777777" w:rsidR="00D20B4E" w:rsidRPr="00D20B4E" w:rsidRDefault="00D20B4E" w:rsidP="0039017A">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4BD51731" w14:textId="77777777" w:rsidR="00D20B4E" w:rsidRPr="00D20B4E" w:rsidRDefault="00D20B4E" w:rsidP="0039017A">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8E78DB0" w14:textId="77777777" w:rsidR="00D20B4E" w:rsidRPr="00D20B4E" w:rsidRDefault="00D20B4E" w:rsidP="0039017A">
            <w:pPr>
              <w:rPr>
                <w:rFonts w:ascii="Times New Roman" w:eastAsia="Times New Roman" w:hAnsi="Times New Roman" w:cs="Times New Roman"/>
                <w:sz w:val="18"/>
                <w:szCs w:val="18"/>
                <w:lang w:bidi="en-US"/>
              </w:rPr>
            </w:pPr>
          </w:p>
        </w:tc>
        <w:tc>
          <w:tcPr>
            <w:tcW w:w="239" w:type="pct"/>
            <w:tcBorders>
              <w:left w:val="single" w:sz="4" w:space="0" w:color="auto"/>
            </w:tcBorders>
            <w:shd w:val="clear" w:color="auto" w:fill="FFFFFF"/>
          </w:tcPr>
          <w:p w14:paraId="76337F70" w14:textId="77777777" w:rsidR="00D20B4E" w:rsidRDefault="00D20B4E" w:rsidP="0039017A">
            <w:pPr>
              <w:rPr>
                <w:sz w:val="10"/>
                <w:szCs w:val="10"/>
              </w:rPr>
            </w:pPr>
          </w:p>
        </w:tc>
      </w:tr>
      <w:tr w:rsidR="00D20B4E" w14:paraId="2F54623A" w14:textId="77777777" w:rsidTr="00D20B4E">
        <w:trPr>
          <w:gridAfter w:val="1"/>
          <w:wAfter w:w="239" w:type="pct"/>
          <w:trHeight w:hRule="exact" w:val="422"/>
        </w:trPr>
        <w:tc>
          <w:tcPr>
            <w:tcW w:w="436" w:type="pct"/>
            <w:vMerge/>
            <w:tcBorders>
              <w:left w:val="single" w:sz="4" w:space="0" w:color="auto"/>
            </w:tcBorders>
            <w:shd w:val="clear" w:color="auto" w:fill="FFFFFF"/>
          </w:tcPr>
          <w:p w14:paraId="71EB7DB7" w14:textId="77777777" w:rsidR="00D20B4E" w:rsidRPr="00D20B4E" w:rsidRDefault="00D20B4E" w:rsidP="0039017A">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7242C39F" w14:textId="77777777" w:rsidR="00D20B4E" w:rsidRPr="00D20B4E" w:rsidRDefault="00D20B4E" w:rsidP="0039017A">
            <w:pPr>
              <w:pStyle w:val="Other0"/>
              <w:shd w:val="clear" w:color="auto" w:fill="auto"/>
              <w:rPr>
                <w:i w:val="0"/>
                <w:iCs w:val="0"/>
                <w:sz w:val="18"/>
                <w:szCs w:val="18"/>
                <w:lang w:bidi="en-US"/>
              </w:rPr>
            </w:pPr>
            <w:r w:rsidRPr="00D20B4E">
              <w:rPr>
                <w:i w:val="0"/>
                <w:iCs w:val="0"/>
                <w:sz w:val="18"/>
                <w:szCs w:val="18"/>
                <w:lang w:bidi="en-US"/>
              </w:rPr>
              <w:t>Less developed</w:t>
            </w:r>
          </w:p>
        </w:tc>
        <w:tc>
          <w:tcPr>
            <w:tcW w:w="906" w:type="pct"/>
            <w:tcBorders>
              <w:top w:val="single" w:sz="4" w:space="0" w:color="auto"/>
              <w:left w:val="single" w:sz="4" w:space="0" w:color="auto"/>
            </w:tcBorders>
            <w:shd w:val="clear" w:color="auto" w:fill="FFFFFF"/>
          </w:tcPr>
          <w:p w14:paraId="0657AB91" w14:textId="77777777" w:rsidR="00D20B4E" w:rsidRPr="00D20B4E" w:rsidRDefault="00D20B4E" w:rsidP="0039017A">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6C5D9671" w14:textId="77777777" w:rsidR="00D20B4E" w:rsidRPr="00D20B4E" w:rsidRDefault="00D20B4E" w:rsidP="0039017A">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D6152CD" w14:textId="77777777" w:rsidR="00D20B4E" w:rsidRPr="00D20B4E" w:rsidRDefault="00D20B4E" w:rsidP="0039017A">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79B27615" w14:textId="77777777" w:rsidR="00D20B4E" w:rsidRPr="00D20B4E" w:rsidRDefault="00D20B4E" w:rsidP="0039017A">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E690E3F" w14:textId="77777777" w:rsidR="00D20B4E" w:rsidRPr="00D20B4E" w:rsidRDefault="00D20B4E" w:rsidP="0039017A">
            <w:pPr>
              <w:rPr>
                <w:rFonts w:ascii="Times New Roman" w:eastAsia="Times New Roman" w:hAnsi="Times New Roman" w:cs="Times New Roman"/>
                <w:sz w:val="18"/>
                <w:szCs w:val="18"/>
                <w:lang w:bidi="en-US"/>
              </w:rPr>
            </w:pPr>
          </w:p>
        </w:tc>
      </w:tr>
      <w:tr w:rsidR="00D20B4E" w14:paraId="71A47D5B" w14:textId="77777777" w:rsidTr="00D20B4E">
        <w:trPr>
          <w:gridAfter w:val="1"/>
          <w:wAfter w:w="239" w:type="pct"/>
          <w:trHeight w:hRule="exact" w:val="461"/>
        </w:trPr>
        <w:tc>
          <w:tcPr>
            <w:tcW w:w="436" w:type="pct"/>
            <w:vMerge/>
            <w:tcBorders>
              <w:left w:val="single" w:sz="4" w:space="0" w:color="auto"/>
              <w:bottom w:val="single" w:sz="4" w:space="0" w:color="auto"/>
            </w:tcBorders>
            <w:shd w:val="clear" w:color="auto" w:fill="FFFFFF"/>
          </w:tcPr>
          <w:p w14:paraId="53490EA8" w14:textId="77777777" w:rsidR="00D20B4E" w:rsidRPr="00D20B4E" w:rsidRDefault="00D20B4E" w:rsidP="0039017A">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bottom w:val="single" w:sz="4" w:space="0" w:color="auto"/>
            </w:tcBorders>
            <w:shd w:val="clear" w:color="auto" w:fill="FFFFFF"/>
            <w:vAlign w:val="center"/>
          </w:tcPr>
          <w:p w14:paraId="34C416BA" w14:textId="77777777" w:rsidR="00D20B4E" w:rsidRPr="00D20B4E" w:rsidRDefault="00D20B4E" w:rsidP="0039017A">
            <w:pPr>
              <w:pStyle w:val="Other0"/>
              <w:shd w:val="clear" w:color="auto" w:fill="auto"/>
              <w:jc w:val="both"/>
              <w:rPr>
                <w:i w:val="0"/>
                <w:iCs w:val="0"/>
                <w:sz w:val="18"/>
                <w:szCs w:val="18"/>
                <w:lang w:bidi="en-US"/>
              </w:rPr>
            </w:pPr>
            <w:r w:rsidRPr="00D20B4E">
              <w:rPr>
                <w:i w:val="0"/>
                <w:iCs w:val="0"/>
                <w:sz w:val="18"/>
                <w:szCs w:val="18"/>
                <w:lang w:bidi="en-US"/>
              </w:rPr>
              <w:t>Transition</w:t>
            </w:r>
          </w:p>
        </w:tc>
        <w:tc>
          <w:tcPr>
            <w:tcW w:w="906" w:type="pct"/>
            <w:tcBorders>
              <w:top w:val="single" w:sz="4" w:space="0" w:color="auto"/>
              <w:left w:val="single" w:sz="4" w:space="0" w:color="auto"/>
              <w:bottom w:val="single" w:sz="4" w:space="0" w:color="auto"/>
            </w:tcBorders>
            <w:shd w:val="clear" w:color="auto" w:fill="FFFFFF"/>
          </w:tcPr>
          <w:p w14:paraId="61A8B349" w14:textId="77777777" w:rsidR="00D20B4E" w:rsidRPr="00D20B4E" w:rsidRDefault="00D20B4E" w:rsidP="0039017A">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bottom w:val="single" w:sz="4" w:space="0" w:color="auto"/>
            </w:tcBorders>
            <w:shd w:val="clear" w:color="auto" w:fill="FFFFFF"/>
          </w:tcPr>
          <w:p w14:paraId="1FF2EFEE" w14:textId="77777777" w:rsidR="00D20B4E" w:rsidRPr="00D20B4E" w:rsidRDefault="00D20B4E" w:rsidP="0039017A">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45EB5354" w14:textId="77777777" w:rsidR="00D20B4E" w:rsidRPr="00D20B4E" w:rsidRDefault="00D20B4E" w:rsidP="0039017A">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6FE89D7F" w14:textId="77777777" w:rsidR="00D20B4E" w:rsidRPr="00D20B4E" w:rsidRDefault="00D20B4E" w:rsidP="0039017A">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9EF0520" w14:textId="77777777" w:rsidR="00D20B4E" w:rsidRPr="00D20B4E" w:rsidRDefault="00D20B4E" w:rsidP="0039017A">
            <w:pPr>
              <w:rPr>
                <w:rFonts w:ascii="Times New Roman" w:eastAsia="Times New Roman" w:hAnsi="Times New Roman" w:cs="Times New Roman"/>
                <w:sz w:val="18"/>
                <w:szCs w:val="18"/>
                <w:lang w:bidi="en-US"/>
              </w:rPr>
            </w:pPr>
          </w:p>
        </w:tc>
      </w:tr>
      <w:tr w:rsidR="00D20B4E" w14:paraId="0C01C91A" w14:textId="77777777" w:rsidTr="00D20B4E">
        <w:trPr>
          <w:gridAfter w:val="1"/>
          <w:wAfter w:w="239" w:type="pct"/>
          <w:trHeight w:hRule="exact" w:val="461"/>
        </w:trPr>
        <w:tc>
          <w:tcPr>
            <w:tcW w:w="436" w:type="pct"/>
            <w:tcBorders>
              <w:left w:val="single" w:sz="4" w:space="0" w:color="auto"/>
              <w:bottom w:val="single" w:sz="4" w:space="0" w:color="auto"/>
            </w:tcBorders>
            <w:shd w:val="clear" w:color="auto" w:fill="FFFFFF"/>
            <w:vAlign w:val="center"/>
          </w:tcPr>
          <w:p w14:paraId="0AD9FAD9" w14:textId="71156337" w:rsidR="00D20B4E" w:rsidRPr="00D20B4E" w:rsidRDefault="00D20B4E" w:rsidP="00D20B4E">
            <w:pPr>
              <w:rPr>
                <w:rFonts w:ascii="Times New Roman" w:eastAsia="Times New Roman" w:hAnsi="Times New Roman" w:cs="Times New Roman"/>
                <w:sz w:val="18"/>
                <w:szCs w:val="18"/>
                <w:lang w:bidi="en-US"/>
              </w:rPr>
            </w:pPr>
            <w:r w:rsidRPr="00D20B4E">
              <w:rPr>
                <w:rFonts w:ascii="Times New Roman" w:eastAsia="Times New Roman" w:hAnsi="Times New Roman" w:cs="Times New Roman"/>
                <w:sz w:val="18"/>
                <w:szCs w:val="18"/>
                <w:lang w:bidi="en-US"/>
              </w:rPr>
              <w:t>CF</w:t>
            </w:r>
          </w:p>
        </w:tc>
        <w:tc>
          <w:tcPr>
            <w:tcW w:w="668" w:type="pct"/>
            <w:tcBorders>
              <w:top w:val="single" w:sz="4" w:space="0" w:color="auto"/>
              <w:left w:val="single" w:sz="4" w:space="0" w:color="auto"/>
              <w:bottom w:val="single" w:sz="4" w:space="0" w:color="auto"/>
            </w:tcBorders>
            <w:shd w:val="clear" w:color="auto" w:fill="FFFFFF"/>
            <w:vAlign w:val="center"/>
          </w:tcPr>
          <w:p w14:paraId="677911A6" w14:textId="77777777" w:rsidR="00D20B4E" w:rsidRPr="00D20B4E" w:rsidRDefault="00D20B4E" w:rsidP="00D20B4E">
            <w:pPr>
              <w:pStyle w:val="Other0"/>
              <w:shd w:val="clear" w:color="auto" w:fill="auto"/>
              <w:jc w:val="both"/>
              <w:rPr>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2AA6FDB3" w14:textId="7A827410" w:rsidR="00D20B4E" w:rsidRPr="00D20B4E" w:rsidRDefault="00D20B4E" w:rsidP="00D20B4E">
            <w:pPr>
              <w:spacing w:before="120" w:after="120"/>
              <w:ind w:right="117"/>
              <w:jc w:val="right"/>
              <w:rPr>
                <w:rFonts w:ascii="Times New Roman" w:eastAsia="Times New Roman" w:hAnsi="Times New Roman" w:cs="Times New Roman"/>
                <w:sz w:val="18"/>
                <w:szCs w:val="18"/>
                <w:lang w:bidi="en-US"/>
              </w:rPr>
            </w:pPr>
            <w:r w:rsidRPr="00BA0541">
              <w:rPr>
                <w:rFonts w:ascii="Times New Roman" w:eastAsia="Times New Roman" w:hAnsi="Times New Roman" w:cs="Times New Roman"/>
                <w:lang w:bidi="en-US"/>
              </w:rPr>
              <w:t>25</w:t>
            </w:r>
            <w:r>
              <w:rPr>
                <w:rFonts w:ascii="Times New Roman" w:eastAsia="Times New Roman" w:hAnsi="Times New Roman" w:cs="Times New Roman"/>
                <w:sz w:val="18"/>
                <w:szCs w:val="18"/>
                <w:lang w:bidi="en-US"/>
              </w:rPr>
              <w:t> </w:t>
            </w:r>
            <w:r w:rsidRPr="00BA0541">
              <w:rPr>
                <w:rFonts w:ascii="Times New Roman" w:eastAsia="Times New Roman" w:hAnsi="Times New Roman" w:cs="Times New Roman"/>
                <w:lang w:bidi="en-US"/>
              </w:rPr>
              <w:t>000 000,00</w:t>
            </w:r>
            <w:r>
              <w:rPr>
                <w:rFonts w:ascii="Times New Roman" w:eastAsia="Times New Roman" w:hAnsi="Times New Roman" w:cs="Times New Roman"/>
                <w:sz w:val="18"/>
                <w:szCs w:val="18"/>
                <w:lang w:bidi="en-US"/>
              </w:rPr>
              <w:t xml:space="preserve"> </w:t>
            </w:r>
          </w:p>
        </w:tc>
        <w:tc>
          <w:tcPr>
            <w:tcW w:w="550" w:type="pct"/>
            <w:tcBorders>
              <w:top w:val="single" w:sz="4" w:space="0" w:color="auto"/>
              <w:left w:val="single" w:sz="4" w:space="0" w:color="auto"/>
              <w:bottom w:val="single" w:sz="4" w:space="0" w:color="auto"/>
            </w:tcBorders>
            <w:shd w:val="clear" w:color="auto" w:fill="FFFFFF"/>
          </w:tcPr>
          <w:p w14:paraId="635F812F"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61EBDB03"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303DF45B"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53D420F9" w14:textId="37A3987E" w:rsidR="00D20B4E" w:rsidRPr="00BA0541" w:rsidRDefault="00D20B4E" w:rsidP="00D20B4E">
            <w:pPr>
              <w:spacing w:before="120" w:after="120"/>
              <w:ind w:right="117"/>
              <w:jc w:val="right"/>
              <w:rPr>
                <w:rFonts w:ascii="Times New Roman" w:eastAsia="Times New Roman" w:hAnsi="Times New Roman" w:cs="Times New Roman"/>
                <w:lang w:bidi="en-US"/>
              </w:rPr>
            </w:pPr>
            <w:r w:rsidRPr="00BA0541">
              <w:rPr>
                <w:rFonts w:ascii="Times New Roman" w:eastAsia="Times New Roman" w:hAnsi="Times New Roman" w:cs="Times New Roman"/>
                <w:lang w:bidi="en-US"/>
              </w:rPr>
              <w:t>25 000 000,00</w:t>
            </w:r>
          </w:p>
        </w:tc>
      </w:tr>
      <w:tr w:rsidR="00D20B4E" w14:paraId="591435A3" w14:textId="77777777" w:rsidTr="00D20B4E">
        <w:trPr>
          <w:gridAfter w:val="1"/>
          <w:wAfter w:w="239" w:type="pct"/>
          <w:trHeight w:hRule="exact" w:val="461"/>
        </w:trPr>
        <w:tc>
          <w:tcPr>
            <w:tcW w:w="436" w:type="pct"/>
            <w:tcBorders>
              <w:left w:val="single" w:sz="4" w:space="0" w:color="auto"/>
              <w:bottom w:val="single" w:sz="4" w:space="0" w:color="auto"/>
            </w:tcBorders>
            <w:shd w:val="clear" w:color="auto" w:fill="FFFFFF"/>
            <w:vAlign w:val="center"/>
          </w:tcPr>
          <w:p w14:paraId="348FA905" w14:textId="5C8C37CE" w:rsidR="00D20B4E" w:rsidRPr="00D20B4E" w:rsidRDefault="00D20B4E" w:rsidP="00D20B4E">
            <w:pPr>
              <w:rPr>
                <w:rFonts w:ascii="Times New Roman" w:eastAsia="Times New Roman" w:hAnsi="Times New Roman" w:cs="Times New Roman"/>
                <w:sz w:val="18"/>
                <w:szCs w:val="18"/>
                <w:lang w:bidi="en-US"/>
              </w:rPr>
            </w:pPr>
            <w:r w:rsidRPr="00D20B4E">
              <w:rPr>
                <w:rFonts w:ascii="Times New Roman" w:eastAsia="Times New Roman" w:hAnsi="Times New Roman" w:cs="Times New Roman"/>
                <w:sz w:val="18"/>
                <w:szCs w:val="18"/>
                <w:lang w:bidi="en-US"/>
              </w:rPr>
              <w:t>EMFAF</w:t>
            </w:r>
          </w:p>
        </w:tc>
        <w:tc>
          <w:tcPr>
            <w:tcW w:w="668" w:type="pct"/>
            <w:tcBorders>
              <w:top w:val="single" w:sz="4" w:space="0" w:color="auto"/>
              <w:left w:val="single" w:sz="4" w:space="0" w:color="auto"/>
              <w:bottom w:val="single" w:sz="4" w:space="0" w:color="auto"/>
            </w:tcBorders>
            <w:shd w:val="clear" w:color="auto" w:fill="FFFFFF"/>
            <w:vAlign w:val="center"/>
          </w:tcPr>
          <w:p w14:paraId="065405ED" w14:textId="77777777" w:rsidR="00D20B4E" w:rsidRPr="00D20B4E" w:rsidRDefault="00D20B4E" w:rsidP="00D20B4E">
            <w:pPr>
              <w:pStyle w:val="Other0"/>
              <w:shd w:val="clear" w:color="auto" w:fill="auto"/>
              <w:jc w:val="both"/>
              <w:rPr>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60741828"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bottom w:val="single" w:sz="4" w:space="0" w:color="auto"/>
            </w:tcBorders>
            <w:shd w:val="clear" w:color="auto" w:fill="FFFFFF"/>
          </w:tcPr>
          <w:p w14:paraId="60CFA62C"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1926D88D"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024E68A7"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15117077"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66991D3E" w14:textId="77777777" w:rsidTr="00D20B4E">
        <w:trPr>
          <w:gridAfter w:val="1"/>
          <w:wAfter w:w="239" w:type="pct"/>
          <w:trHeight w:hRule="exact" w:val="461"/>
        </w:trPr>
        <w:tc>
          <w:tcPr>
            <w:tcW w:w="436" w:type="pct"/>
            <w:tcBorders>
              <w:left w:val="single" w:sz="4" w:space="0" w:color="auto"/>
              <w:bottom w:val="single" w:sz="4" w:space="0" w:color="auto"/>
            </w:tcBorders>
            <w:shd w:val="clear" w:color="auto" w:fill="FFFFFF"/>
            <w:vAlign w:val="center"/>
          </w:tcPr>
          <w:p w14:paraId="5AABB3B7" w14:textId="0A45B960" w:rsidR="00D20B4E" w:rsidRPr="00D20B4E" w:rsidRDefault="00D20B4E" w:rsidP="00D20B4E">
            <w:pPr>
              <w:rPr>
                <w:rFonts w:ascii="Times New Roman" w:eastAsia="Times New Roman" w:hAnsi="Times New Roman" w:cs="Times New Roman"/>
                <w:sz w:val="18"/>
                <w:szCs w:val="18"/>
                <w:lang w:bidi="en-US"/>
              </w:rPr>
            </w:pPr>
            <w:r w:rsidRPr="00D20B4E">
              <w:rPr>
                <w:rFonts w:ascii="Times New Roman" w:eastAsia="Times New Roman" w:hAnsi="Times New Roman" w:cs="Times New Roman"/>
                <w:sz w:val="18"/>
                <w:szCs w:val="18"/>
                <w:lang w:bidi="en-US"/>
              </w:rPr>
              <w:t>Total</w:t>
            </w:r>
          </w:p>
        </w:tc>
        <w:tc>
          <w:tcPr>
            <w:tcW w:w="668" w:type="pct"/>
            <w:tcBorders>
              <w:top w:val="single" w:sz="4" w:space="0" w:color="auto"/>
              <w:left w:val="single" w:sz="4" w:space="0" w:color="auto"/>
              <w:bottom w:val="single" w:sz="4" w:space="0" w:color="auto"/>
            </w:tcBorders>
            <w:shd w:val="clear" w:color="auto" w:fill="FFFFFF"/>
            <w:vAlign w:val="center"/>
          </w:tcPr>
          <w:p w14:paraId="081A58DD" w14:textId="77777777" w:rsidR="00D20B4E" w:rsidRPr="00D20B4E" w:rsidRDefault="00D20B4E" w:rsidP="00D20B4E">
            <w:pPr>
              <w:pStyle w:val="Other0"/>
              <w:shd w:val="clear" w:color="auto" w:fill="auto"/>
              <w:jc w:val="both"/>
              <w:rPr>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75CFC08B" w14:textId="31F65F0C" w:rsidR="00D20B4E" w:rsidRPr="00BA0541" w:rsidRDefault="00D20B4E" w:rsidP="00D20B4E">
            <w:pPr>
              <w:spacing w:before="120" w:after="120"/>
              <w:ind w:right="117"/>
              <w:jc w:val="right"/>
              <w:rPr>
                <w:rFonts w:ascii="Times New Roman" w:eastAsia="Times New Roman" w:hAnsi="Times New Roman" w:cs="Times New Roman"/>
                <w:lang w:bidi="en-US"/>
              </w:rPr>
            </w:pPr>
            <w:r w:rsidRPr="00BA0541">
              <w:rPr>
                <w:rFonts w:ascii="Times New Roman" w:eastAsia="Times New Roman" w:hAnsi="Times New Roman" w:cs="Times New Roman"/>
                <w:lang w:bidi="en-US"/>
              </w:rPr>
              <w:t>25 000 000,00</w:t>
            </w:r>
          </w:p>
        </w:tc>
        <w:tc>
          <w:tcPr>
            <w:tcW w:w="550" w:type="pct"/>
            <w:tcBorders>
              <w:top w:val="single" w:sz="4" w:space="0" w:color="auto"/>
              <w:left w:val="single" w:sz="4" w:space="0" w:color="auto"/>
              <w:bottom w:val="single" w:sz="4" w:space="0" w:color="auto"/>
            </w:tcBorders>
            <w:shd w:val="clear" w:color="auto" w:fill="FFFFFF"/>
          </w:tcPr>
          <w:p w14:paraId="3E1A7F6B"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19970D81"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52EDDB57" w14:textId="77777777" w:rsidR="00D20B4E" w:rsidRPr="00D20B4E" w:rsidRDefault="00D20B4E" w:rsidP="00D20B4E">
            <w:pPr>
              <w:spacing w:before="120" w:after="120"/>
              <w:ind w:right="117"/>
              <w:jc w:val="right"/>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0A046B68" w14:textId="53A9235A" w:rsidR="00D20B4E" w:rsidRPr="00BA0541" w:rsidRDefault="00D20B4E" w:rsidP="00D20B4E">
            <w:pPr>
              <w:spacing w:before="120" w:after="120"/>
              <w:ind w:right="117"/>
              <w:jc w:val="right"/>
              <w:rPr>
                <w:rFonts w:ascii="Times New Roman" w:eastAsia="Times New Roman" w:hAnsi="Times New Roman" w:cs="Times New Roman"/>
                <w:lang w:bidi="en-US"/>
              </w:rPr>
            </w:pPr>
            <w:r w:rsidRPr="00BA0541">
              <w:rPr>
                <w:rFonts w:ascii="Times New Roman" w:eastAsia="Times New Roman" w:hAnsi="Times New Roman" w:cs="Times New Roman"/>
                <w:lang w:bidi="en-US"/>
              </w:rPr>
              <w:t>25 000 000,00</w:t>
            </w:r>
          </w:p>
        </w:tc>
      </w:tr>
    </w:tbl>
    <w:p w14:paraId="4B880E62" w14:textId="356288E5" w:rsidR="00137181" w:rsidRDefault="00137181" w:rsidP="00D20B4E">
      <w:pPr>
        <w:spacing w:before="120" w:after="120" w:line="240" w:lineRule="auto"/>
        <w:jc w:val="both"/>
        <w:rPr>
          <w:rFonts w:ascii="Times New Roman" w:eastAsia="Calibri" w:hAnsi="Times New Roman" w:cs="Times New Roman"/>
          <w:b/>
          <w:noProof/>
          <w:sz w:val="20"/>
          <w:szCs w:val="20"/>
          <w:lang w:eastAsia="bg-BG" w:bidi="bg-BG"/>
        </w:rPr>
      </w:pPr>
    </w:p>
    <w:p w14:paraId="48813828" w14:textId="259D0BC6" w:rsidR="00A617C0" w:rsidRPr="009B0B8D" w:rsidRDefault="00A617C0" w:rsidP="00D13390">
      <w:pPr>
        <w:pStyle w:val="BodyText"/>
        <w:pBdr>
          <w:top w:val="single" w:sz="4" w:space="0" w:color="auto"/>
          <w:left w:val="single" w:sz="4" w:space="1" w:color="auto"/>
          <w:bottom w:val="single" w:sz="4" w:space="0" w:color="auto"/>
          <w:right w:val="single" w:sz="4" w:space="0" w:color="auto"/>
        </w:pBdr>
        <w:spacing w:after="0"/>
      </w:pPr>
      <w:r w:rsidRPr="009B0B8D">
        <w:rPr>
          <w:szCs w:val="24"/>
        </w:rPr>
        <w:t>Помощта от КФ ще допринесе за ПО 2 чрез инвестиции в прилагането на най-добрите налични техники за предприятията с цел да се спазят изискванията на ЕС и националното законодателство в областта на околната среда и енергийната ефективност, като се спазва принципът „не нанасяй никаква вреда“, например възобновяема енергия, пречистване на отпадъчните води</w:t>
      </w:r>
      <w:r w:rsidR="009B0B8D">
        <w:rPr>
          <w:szCs w:val="24"/>
          <w:lang w:val="en-US"/>
        </w:rPr>
        <w:t xml:space="preserve"> </w:t>
      </w:r>
      <w:r w:rsidR="009B0B8D">
        <w:rPr>
          <w:szCs w:val="24"/>
        </w:rPr>
        <w:t xml:space="preserve">(вкл. </w:t>
      </w:r>
      <w:r w:rsidR="009B0B8D" w:rsidRPr="00D1328A">
        <w:rPr>
          <w:bCs/>
          <w:iCs/>
          <w:szCs w:val="24"/>
        </w:rPr>
        <w:t>поетапно намаляване и спиране на заустването на приоритетно-опасни и приоритетни вещества</w:t>
      </w:r>
      <w:r w:rsidR="009B0B8D">
        <w:rPr>
          <w:bCs/>
          <w:iCs/>
          <w:szCs w:val="24"/>
        </w:rPr>
        <w:t>)</w:t>
      </w:r>
      <w:r w:rsidRPr="009B0B8D">
        <w:rPr>
          <w:szCs w:val="24"/>
        </w:rPr>
        <w:t>. По-специално, подкрепата чрез InvestEU ще допринесе допълнително за преодоляване на проблемите, свързани с ниския напредък през последните години в България в областта на ВЕИ и сравнително ниското ниво на спазване на изискванията на Директивата за пречистване на градските отпадъчни води.</w:t>
      </w:r>
    </w:p>
    <w:p w14:paraId="202A83BF" w14:textId="1A0D05F7" w:rsidR="00A617C0" w:rsidRDefault="00A617C0" w:rsidP="00D20B4E">
      <w:pPr>
        <w:spacing w:before="120" w:after="120" w:line="240" w:lineRule="auto"/>
        <w:jc w:val="both"/>
        <w:rPr>
          <w:rFonts w:ascii="Times New Roman" w:eastAsia="Calibri" w:hAnsi="Times New Roman" w:cs="Times New Roman"/>
          <w:b/>
          <w:noProof/>
          <w:sz w:val="20"/>
          <w:szCs w:val="20"/>
          <w:lang w:eastAsia="bg-BG" w:bidi="bg-BG"/>
        </w:rPr>
      </w:pPr>
    </w:p>
    <w:p w14:paraId="00AA8477" w14:textId="77777777" w:rsidR="00A617C0" w:rsidRPr="00D20B4E" w:rsidRDefault="00A617C0" w:rsidP="00D20B4E">
      <w:pPr>
        <w:spacing w:before="120" w:after="120" w:line="240" w:lineRule="auto"/>
        <w:jc w:val="both"/>
        <w:rPr>
          <w:rFonts w:ascii="Times New Roman" w:eastAsia="Calibri" w:hAnsi="Times New Roman" w:cs="Times New Roman"/>
          <w:b/>
          <w:noProof/>
          <w:sz w:val="20"/>
          <w:szCs w:val="20"/>
          <w:lang w:eastAsia="bg-BG" w:bidi="bg-BG"/>
        </w:rPr>
      </w:pPr>
    </w:p>
    <w:p w14:paraId="5E066D01" w14:textId="77777777" w:rsidR="00722757" w:rsidRPr="00171DED" w:rsidRDefault="00722757" w:rsidP="00722757">
      <w:pPr>
        <w:spacing w:before="120" w:after="120" w:line="240" w:lineRule="auto"/>
        <w:jc w:val="both"/>
        <w:rPr>
          <w:rFonts w:ascii="Times New Roman" w:eastAsia="Times New Roman" w:hAnsi="Times New Roman" w:cs="Times New Roman"/>
          <w:i/>
          <w:noProof/>
          <w:color w:val="A6A6A6" w:themeColor="background1" w:themeShade="A6"/>
          <w:sz w:val="20"/>
          <w:szCs w:val="20"/>
          <w:lang w:val="bg-BG" w:eastAsia="bg-BG" w:bidi="bg-BG"/>
        </w:rPr>
      </w:pPr>
      <w:r w:rsidRPr="00171DED">
        <w:rPr>
          <w:rFonts w:ascii="Times New Roman" w:eastAsia="Calibri" w:hAnsi="Times New Roman" w:cs="Times New Roman"/>
          <w:b/>
          <w:noProof/>
          <w:color w:val="A6A6A6" w:themeColor="background1" w:themeShade="A6"/>
          <w:sz w:val="20"/>
          <w:szCs w:val="20"/>
          <w:lang w:val="bg-BG" w:eastAsia="bg-BG" w:bidi="bg-BG"/>
        </w:rPr>
        <w:t>Таблица 16: Прехвърляния към инструменти при пряко или косвено управление*</w:t>
      </w:r>
      <w:r w:rsidRPr="00171DED">
        <w:rPr>
          <w:rFonts w:ascii="Times New Roman" w:eastAsia="Calibri" w:hAnsi="Times New Roman" w:cs="Times New Roman"/>
          <w:i/>
          <w:noProof/>
          <w:color w:val="A6A6A6" w:themeColor="background1" w:themeShade="A6"/>
          <w:sz w:val="20"/>
          <w:szCs w:val="20"/>
          <w:lang w:val="bg-BG" w:eastAsia="bg-BG" w:bidi="bg-BG"/>
        </w:rPr>
        <w:t xml:space="preserve"> </w:t>
      </w:r>
    </w:p>
    <w:tbl>
      <w:tblPr>
        <w:tblStyle w:val="TableGrid"/>
        <w:tblW w:w="5000" w:type="pct"/>
        <w:tblLayout w:type="fixed"/>
        <w:tblLook w:val="04A0" w:firstRow="1" w:lastRow="0" w:firstColumn="1" w:lastColumn="0" w:noHBand="0" w:noVBand="1"/>
      </w:tblPr>
      <w:tblGrid>
        <w:gridCol w:w="798"/>
        <w:gridCol w:w="967"/>
        <w:gridCol w:w="1106"/>
        <w:gridCol w:w="1106"/>
        <w:gridCol w:w="1106"/>
        <w:gridCol w:w="1106"/>
        <w:gridCol w:w="1106"/>
        <w:gridCol w:w="1767"/>
      </w:tblGrid>
      <w:tr w:rsidR="00722757" w:rsidRPr="00171DED" w14:paraId="6282058E" w14:textId="77777777" w:rsidTr="006E541D">
        <w:tc>
          <w:tcPr>
            <w:tcW w:w="440" w:type="pct"/>
            <w:tcBorders>
              <w:bottom w:val="nil"/>
            </w:tcBorders>
          </w:tcPr>
          <w:p w14:paraId="3790A245"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Фонд</w:t>
            </w:r>
          </w:p>
        </w:tc>
        <w:tc>
          <w:tcPr>
            <w:tcW w:w="533" w:type="pct"/>
            <w:tcBorders>
              <w:bottom w:val="nil"/>
            </w:tcBorders>
          </w:tcPr>
          <w:p w14:paraId="42AE01EA" w14:textId="77777777" w:rsidR="00722757" w:rsidRPr="00171DED" w:rsidRDefault="00722757" w:rsidP="00722757">
            <w:pPr>
              <w:spacing w:beforeLines="60" w:before="144" w:afterLines="60" w:after="144"/>
              <w:jc w:val="both"/>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Категория региони</w:t>
            </w:r>
          </w:p>
        </w:tc>
        <w:tc>
          <w:tcPr>
            <w:tcW w:w="610" w:type="pct"/>
            <w:tcBorders>
              <w:bottom w:val="nil"/>
            </w:tcBorders>
          </w:tcPr>
          <w:p w14:paraId="288C4779"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1</w:t>
            </w:r>
          </w:p>
        </w:tc>
        <w:tc>
          <w:tcPr>
            <w:tcW w:w="610" w:type="pct"/>
            <w:tcBorders>
              <w:bottom w:val="nil"/>
            </w:tcBorders>
          </w:tcPr>
          <w:p w14:paraId="289EC227"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2</w:t>
            </w:r>
          </w:p>
        </w:tc>
        <w:tc>
          <w:tcPr>
            <w:tcW w:w="610" w:type="pct"/>
            <w:tcBorders>
              <w:bottom w:val="nil"/>
            </w:tcBorders>
          </w:tcPr>
          <w:p w14:paraId="6D8B19CC"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3</w:t>
            </w:r>
          </w:p>
        </w:tc>
        <w:tc>
          <w:tcPr>
            <w:tcW w:w="610" w:type="pct"/>
            <w:tcBorders>
              <w:bottom w:val="nil"/>
            </w:tcBorders>
          </w:tcPr>
          <w:p w14:paraId="0C6999D4"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4</w:t>
            </w:r>
          </w:p>
        </w:tc>
        <w:tc>
          <w:tcPr>
            <w:tcW w:w="610" w:type="pct"/>
            <w:tcBorders>
              <w:bottom w:val="nil"/>
            </w:tcBorders>
          </w:tcPr>
          <w:p w14:paraId="4A3F1116"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5</w:t>
            </w:r>
          </w:p>
        </w:tc>
        <w:tc>
          <w:tcPr>
            <w:tcW w:w="975" w:type="pct"/>
            <w:tcBorders>
              <w:bottom w:val="nil"/>
            </w:tcBorders>
          </w:tcPr>
          <w:p w14:paraId="707F663C" w14:textId="77777777" w:rsidR="00722757" w:rsidRPr="00171DED" w:rsidRDefault="00722757" w:rsidP="00722757">
            <w:pPr>
              <w:spacing w:beforeLines="60" w:before="144" w:afterLines="60" w:after="144"/>
              <w:jc w:val="both"/>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Сума за прехвърляне</w:t>
            </w:r>
          </w:p>
        </w:tc>
      </w:tr>
      <w:tr w:rsidR="00722757" w:rsidRPr="00171DED" w14:paraId="0F446597" w14:textId="77777777" w:rsidTr="006E541D">
        <w:tc>
          <w:tcPr>
            <w:tcW w:w="440" w:type="pct"/>
            <w:tcBorders>
              <w:top w:val="nil"/>
            </w:tcBorders>
          </w:tcPr>
          <w:p w14:paraId="311BF8DF"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8"/>
                <w:szCs w:val="18"/>
              </w:rPr>
            </w:pPr>
          </w:p>
        </w:tc>
        <w:tc>
          <w:tcPr>
            <w:tcW w:w="533" w:type="pct"/>
            <w:tcBorders>
              <w:top w:val="nil"/>
            </w:tcBorders>
          </w:tcPr>
          <w:p w14:paraId="19274626"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8"/>
                <w:szCs w:val="18"/>
              </w:rPr>
            </w:pPr>
          </w:p>
        </w:tc>
        <w:tc>
          <w:tcPr>
            <w:tcW w:w="610" w:type="pct"/>
            <w:tcBorders>
              <w:top w:val="nil"/>
            </w:tcBorders>
          </w:tcPr>
          <w:p w14:paraId="12BAF00E"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(a)</w:t>
            </w:r>
          </w:p>
        </w:tc>
        <w:tc>
          <w:tcPr>
            <w:tcW w:w="610" w:type="pct"/>
            <w:tcBorders>
              <w:top w:val="nil"/>
            </w:tcBorders>
          </w:tcPr>
          <w:p w14:paraId="2898112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(b)</w:t>
            </w:r>
          </w:p>
        </w:tc>
        <w:tc>
          <w:tcPr>
            <w:tcW w:w="610" w:type="pct"/>
            <w:tcBorders>
              <w:top w:val="nil"/>
            </w:tcBorders>
          </w:tcPr>
          <w:p w14:paraId="6CD76E6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(c)</w:t>
            </w:r>
          </w:p>
        </w:tc>
        <w:tc>
          <w:tcPr>
            <w:tcW w:w="610" w:type="pct"/>
            <w:tcBorders>
              <w:top w:val="nil"/>
            </w:tcBorders>
          </w:tcPr>
          <w:p w14:paraId="1FB3E9DF"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(d)</w:t>
            </w:r>
          </w:p>
        </w:tc>
        <w:tc>
          <w:tcPr>
            <w:tcW w:w="610" w:type="pct"/>
            <w:tcBorders>
              <w:top w:val="nil"/>
            </w:tcBorders>
          </w:tcPr>
          <w:p w14:paraId="541FD22C"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(e)</w:t>
            </w:r>
          </w:p>
        </w:tc>
        <w:tc>
          <w:tcPr>
            <w:tcW w:w="975" w:type="pct"/>
            <w:tcBorders>
              <w:top w:val="nil"/>
            </w:tcBorders>
          </w:tcPr>
          <w:p w14:paraId="63CECAB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(f)=(a)+(b)+(c)+(d)+(e)</w:t>
            </w:r>
          </w:p>
        </w:tc>
      </w:tr>
      <w:tr w:rsidR="00722757" w:rsidRPr="00171DED" w14:paraId="5BE9CDAD" w14:textId="77777777" w:rsidTr="006E541D">
        <w:tc>
          <w:tcPr>
            <w:tcW w:w="440" w:type="pct"/>
            <w:vMerge w:val="restart"/>
          </w:tcPr>
          <w:p w14:paraId="4DFA1CC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ЕФРР</w:t>
            </w:r>
          </w:p>
        </w:tc>
        <w:tc>
          <w:tcPr>
            <w:tcW w:w="533" w:type="pct"/>
          </w:tcPr>
          <w:p w14:paraId="0F2F171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1C94F56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996CDB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95F2E9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38B1E6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B1A8DE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74C2454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1E7452C8" w14:textId="77777777" w:rsidTr="006E541D">
        <w:tc>
          <w:tcPr>
            <w:tcW w:w="440" w:type="pct"/>
            <w:vMerge/>
          </w:tcPr>
          <w:p w14:paraId="338447E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74C8466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610" w:type="pct"/>
          </w:tcPr>
          <w:p w14:paraId="4240FE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25E706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C0B87D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167548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42321A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32CDDBC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40F28608" w14:textId="77777777" w:rsidTr="006E541D">
        <w:tc>
          <w:tcPr>
            <w:tcW w:w="440" w:type="pct"/>
            <w:vMerge/>
          </w:tcPr>
          <w:p w14:paraId="6F988A0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49F5659F" w14:textId="77777777" w:rsidR="00722757" w:rsidRPr="00171DED" w:rsidRDefault="00722757" w:rsidP="00722757">
            <w:pPr>
              <w:spacing w:beforeLines="60" w:before="144" w:afterLines="60" w:after="144"/>
              <w:jc w:val="both"/>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66486E7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3C3703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BB4369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B9FCF9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CEBDAA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F3009B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0575B" w14:paraId="39A49A70" w14:textId="77777777" w:rsidTr="006E541D">
        <w:tc>
          <w:tcPr>
            <w:tcW w:w="440" w:type="pct"/>
            <w:vMerge/>
          </w:tcPr>
          <w:p w14:paraId="330CA9BD"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07D8806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610" w:type="pct"/>
          </w:tcPr>
          <w:p w14:paraId="17C34AA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A13FB4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B9CA4D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36DC81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5A111D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5F361A8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5001596B" w14:textId="77777777" w:rsidTr="006E541D">
        <w:tc>
          <w:tcPr>
            <w:tcW w:w="440" w:type="pct"/>
            <w:vMerge w:val="restart"/>
          </w:tcPr>
          <w:p w14:paraId="7AC59C0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ЕСФ+</w:t>
            </w:r>
          </w:p>
        </w:tc>
        <w:tc>
          <w:tcPr>
            <w:tcW w:w="533" w:type="pct"/>
          </w:tcPr>
          <w:p w14:paraId="09FF43C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20D8331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12CAE4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A25D69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8A65D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14BF79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A67179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23C10E2E" w14:textId="77777777" w:rsidTr="006E541D">
        <w:tc>
          <w:tcPr>
            <w:tcW w:w="440" w:type="pct"/>
            <w:vMerge/>
          </w:tcPr>
          <w:p w14:paraId="5ED03BF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7599EB6A"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610" w:type="pct"/>
          </w:tcPr>
          <w:p w14:paraId="2CE93C8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AC45DD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A51B80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C0EE9F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331C23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6F518B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04671630" w14:textId="77777777" w:rsidTr="006E541D">
        <w:tc>
          <w:tcPr>
            <w:tcW w:w="440" w:type="pct"/>
            <w:vMerge/>
          </w:tcPr>
          <w:p w14:paraId="4049B6F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66FC89FA"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014625C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B23CA4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13421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8DA17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1B2891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4942028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6210E56B" w14:textId="77777777" w:rsidTr="006E541D">
        <w:tc>
          <w:tcPr>
            <w:tcW w:w="440" w:type="pct"/>
            <w:vMerge/>
          </w:tcPr>
          <w:p w14:paraId="01CAE49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5FAF39D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w:t>
            </w:r>
          </w:p>
        </w:tc>
        <w:tc>
          <w:tcPr>
            <w:tcW w:w="610" w:type="pct"/>
          </w:tcPr>
          <w:p w14:paraId="604A923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D775A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FC8B02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11A9C0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4E002B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70D6233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12A1F450" w14:textId="77777777" w:rsidTr="006E541D">
        <w:tc>
          <w:tcPr>
            <w:tcW w:w="440" w:type="pct"/>
          </w:tcPr>
          <w:p w14:paraId="3D3E12D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КФ</w:t>
            </w:r>
          </w:p>
        </w:tc>
        <w:tc>
          <w:tcPr>
            <w:tcW w:w="533" w:type="pct"/>
          </w:tcPr>
          <w:p w14:paraId="1164805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79C6E1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380BB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C2687D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D36B99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77BD32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460DA4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0F7449A0" w14:textId="77777777" w:rsidTr="006E541D">
        <w:tc>
          <w:tcPr>
            <w:tcW w:w="440" w:type="pct"/>
          </w:tcPr>
          <w:p w14:paraId="6A266ED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lastRenderedPageBreak/>
              <w:t>ЕФМДР</w:t>
            </w:r>
          </w:p>
        </w:tc>
        <w:tc>
          <w:tcPr>
            <w:tcW w:w="533" w:type="pct"/>
          </w:tcPr>
          <w:p w14:paraId="5F76F66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1D7FED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658A97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26A23F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CF22CC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1AD49D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FF61AF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45DF4116" w14:textId="77777777" w:rsidTr="006E541D">
        <w:tc>
          <w:tcPr>
            <w:tcW w:w="440" w:type="pct"/>
          </w:tcPr>
          <w:p w14:paraId="7B3929D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Общо</w:t>
            </w:r>
          </w:p>
        </w:tc>
        <w:tc>
          <w:tcPr>
            <w:tcW w:w="533" w:type="pct"/>
          </w:tcPr>
          <w:p w14:paraId="5B06BEB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CD094A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8E3C0C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466902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DB4A1B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5AD1E9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D7B14F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bl>
    <w:p w14:paraId="20D0B32C" w14:textId="77777777" w:rsidR="00722757" w:rsidRPr="00171DED"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171DED">
        <w:rPr>
          <w:rFonts w:ascii="Times New Roman" w:eastAsia="Calibri" w:hAnsi="Times New Roman" w:cs="Times New Roman"/>
          <w:noProof/>
          <w:color w:val="A6A6A6" w:themeColor="background1" w:themeShade="A6"/>
          <w:sz w:val="16"/>
          <w:szCs w:val="20"/>
          <w:lang w:val="bg-BG" w:eastAsia="bg-BG" w:bidi="bg-BG"/>
        </w:rPr>
        <w:t>* Кумулативни суми на всички прехвърляния през програмния период.</w:t>
      </w:r>
    </w:p>
    <w:p w14:paraId="637C0ABC" w14:textId="1AA788AA" w:rsidR="00722757" w:rsidRPr="00171DED" w:rsidRDefault="00A202CD"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eastAsia="bg-BG" w:bidi="bg-BG"/>
        </w:rPr>
      </w:pPr>
      <w:r w:rsidRPr="00171DED">
        <w:rPr>
          <w:rFonts w:ascii="Times New Roman" w:eastAsia="Times New Roman" w:hAnsi="Times New Roman" w:cs="Times New Roman"/>
          <w:b/>
          <w:noProof/>
          <w:color w:val="A6A6A6" w:themeColor="background1" w:themeShade="A6"/>
          <w:sz w:val="20"/>
          <w:szCs w:val="20"/>
          <w:lang w:eastAsia="bg-BG" w:bidi="bg-BG"/>
        </w:rPr>
        <w:t>(</w:t>
      </w:r>
      <w:r w:rsidR="00DB7254" w:rsidRPr="00171DED">
        <w:rPr>
          <w:rFonts w:ascii="Times New Roman" w:eastAsia="Times New Roman" w:hAnsi="Times New Roman" w:cs="Times New Roman"/>
          <w:b/>
          <w:noProof/>
          <w:color w:val="A6A6A6" w:themeColor="background1" w:themeShade="A6"/>
          <w:sz w:val="20"/>
          <w:szCs w:val="20"/>
          <w:lang w:val="bg-BG" w:eastAsia="bg-BG" w:bidi="bg-BG"/>
        </w:rPr>
        <w:t>The text field was added to reflect Article 21(3) that requires a justification</w:t>
      </w:r>
      <w:r w:rsidRPr="00171DED">
        <w:rPr>
          <w:rFonts w:ascii="Times New Roman" w:eastAsia="Times New Roman" w:hAnsi="Times New Roman" w:cs="Times New Roman"/>
          <w:b/>
          <w:noProof/>
          <w:color w:val="A6A6A6" w:themeColor="background1" w:themeShade="A6"/>
          <w:sz w:val="20"/>
          <w:szCs w:val="20"/>
          <w:lang w:eastAsia="bg-BG" w:bidi="bg-BG"/>
        </w:rPr>
        <w:t>)</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DB7254" w:rsidRPr="00171DED" w14:paraId="592A5EDB" w14:textId="77777777" w:rsidTr="00DB7254">
        <w:trPr>
          <w:trHeight w:val="90"/>
        </w:trPr>
        <w:tc>
          <w:tcPr>
            <w:tcW w:w="9747" w:type="dxa"/>
          </w:tcPr>
          <w:p w14:paraId="63A53F8E" w14:textId="6D3E36A5" w:rsidR="00DB7254" w:rsidRPr="00171DED"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proofErr w:type="spellStart"/>
            <w:r w:rsidRPr="00171DED">
              <w:rPr>
                <w:rFonts w:ascii="Times New Roman" w:hAnsi="Times New Roman" w:cs="Times New Roman"/>
                <w:b/>
                <w:bCs/>
                <w:i/>
                <w:iCs/>
                <w:color w:val="A6A6A6" w:themeColor="background1" w:themeShade="A6"/>
                <w:sz w:val="20"/>
                <w:szCs w:val="20"/>
                <w:lang w:val="bg-BG"/>
              </w:rPr>
              <w:t>Text</w:t>
            </w:r>
            <w:proofErr w:type="spellEnd"/>
            <w:r w:rsidRPr="00171DED">
              <w:rPr>
                <w:rFonts w:ascii="Times New Roman" w:hAnsi="Times New Roman" w:cs="Times New Roman"/>
                <w:b/>
                <w:bCs/>
                <w:i/>
                <w:iCs/>
                <w:color w:val="A6A6A6" w:themeColor="background1" w:themeShade="A6"/>
                <w:sz w:val="20"/>
                <w:szCs w:val="20"/>
                <w:lang w:val="bg-BG"/>
              </w:rPr>
              <w:t xml:space="preserve"> </w:t>
            </w:r>
            <w:proofErr w:type="spellStart"/>
            <w:r w:rsidRPr="00171DED">
              <w:rPr>
                <w:rFonts w:ascii="Times New Roman" w:hAnsi="Times New Roman" w:cs="Times New Roman"/>
                <w:b/>
                <w:bCs/>
                <w:i/>
                <w:iCs/>
                <w:color w:val="A6A6A6" w:themeColor="background1" w:themeShade="A6"/>
                <w:sz w:val="20"/>
                <w:szCs w:val="20"/>
                <w:lang w:val="bg-BG"/>
              </w:rPr>
              <w:t>field</w:t>
            </w:r>
            <w:proofErr w:type="spellEnd"/>
            <w:r w:rsidRPr="00171DED">
              <w:rPr>
                <w:rFonts w:ascii="Times New Roman" w:hAnsi="Times New Roman" w:cs="Times New Roman"/>
                <w:b/>
                <w:bCs/>
                <w:i/>
                <w:iCs/>
                <w:color w:val="A6A6A6" w:themeColor="background1" w:themeShade="A6"/>
                <w:sz w:val="20"/>
                <w:szCs w:val="20"/>
                <w:lang w:val="bg-BG"/>
              </w:rPr>
              <w:t xml:space="preserve"> [3</w:t>
            </w:r>
            <w:r w:rsidR="00A202CD" w:rsidRPr="00171DED">
              <w:rPr>
                <w:rFonts w:ascii="Times New Roman" w:hAnsi="Times New Roman" w:cs="Times New Roman"/>
                <w:b/>
                <w:bCs/>
                <w:i/>
                <w:iCs/>
                <w:color w:val="A6A6A6" w:themeColor="background1" w:themeShade="A6"/>
                <w:sz w:val="20"/>
                <w:szCs w:val="20"/>
                <w:lang w:val="bg-BG"/>
              </w:rPr>
              <w:t xml:space="preserve"> </w:t>
            </w:r>
            <w:r w:rsidRPr="00171DED">
              <w:rPr>
                <w:rFonts w:ascii="Times New Roman" w:hAnsi="Times New Roman" w:cs="Times New Roman"/>
                <w:b/>
                <w:bCs/>
                <w:i/>
                <w:iCs/>
                <w:color w:val="A6A6A6" w:themeColor="background1" w:themeShade="A6"/>
                <w:sz w:val="20"/>
                <w:szCs w:val="20"/>
                <w:lang w:val="bg-BG"/>
              </w:rPr>
              <w:t>500] (</w:t>
            </w:r>
            <w:proofErr w:type="spellStart"/>
            <w:r w:rsidRPr="00171DED">
              <w:rPr>
                <w:rFonts w:ascii="Times New Roman" w:hAnsi="Times New Roman" w:cs="Times New Roman"/>
                <w:b/>
                <w:bCs/>
                <w:i/>
                <w:iCs/>
                <w:color w:val="A6A6A6" w:themeColor="background1" w:themeShade="A6"/>
                <w:sz w:val="20"/>
                <w:szCs w:val="20"/>
                <w:lang w:val="bg-BG"/>
              </w:rPr>
              <w:t>justification</w:t>
            </w:r>
            <w:proofErr w:type="spellEnd"/>
            <w:r w:rsidRPr="00171DED">
              <w:rPr>
                <w:rFonts w:ascii="Times New Roman" w:hAnsi="Times New Roman" w:cs="Times New Roman"/>
                <w:b/>
                <w:bCs/>
                <w:i/>
                <w:iCs/>
                <w:color w:val="A6A6A6" w:themeColor="background1" w:themeShade="A6"/>
                <w:sz w:val="20"/>
                <w:szCs w:val="20"/>
                <w:lang w:val="bg-BG"/>
              </w:rPr>
              <w:t xml:space="preserve">) </w:t>
            </w:r>
          </w:p>
          <w:p w14:paraId="3B8ADC18" w14:textId="45AB9CA5" w:rsidR="00DB7254" w:rsidRPr="00171DED"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72B8F761" w14:textId="3A82A043" w:rsidR="00DB7254" w:rsidRPr="00171DED"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171DED">
          <w:headerReference w:type="default" r:id="rId8"/>
          <w:footerReference w:type="default" r:id="rId9"/>
          <w:footerReference w:type="first" r:id="rId10"/>
          <w:footnotePr>
            <w:numRestart w:val="eachSect"/>
          </w:footnotePr>
          <w:pgSz w:w="11906" w:h="16838" w:code="9"/>
          <w:pgMar w:top="1417" w:right="1417" w:bottom="1417" w:left="1417" w:header="709" w:footer="709" w:gutter="0"/>
          <w:cols w:space="708"/>
          <w:titlePg/>
          <w:docGrid w:linePitch="360"/>
        </w:sectPr>
      </w:pPr>
    </w:p>
    <w:p w14:paraId="3CF748F0"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pPr>
      <w:r w:rsidRPr="00171DED">
        <w:rPr>
          <w:rFonts w:ascii="Times New Roman" w:eastAsia="Calibri" w:hAnsi="Times New Roman" w:cs="Times New Roman"/>
          <w:b/>
          <w:noProof/>
          <w:color w:val="A6A6A6" w:themeColor="background1" w:themeShade="A6"/>
          <w:sz w:val="20"/>
          <w:szCs w:val="20"/>
          <w:lang w:val="bg-BG" w:eastAsia="bg-BG" w:bidi="bg-BG"/>
        </w:rPr>
        <w:lastRenderedPageBreak/>
        <w:t>Таблица 17: Прехвърляния между фондове със съвместно управление *</w:t>
      </w:r>
    </w:p>
    <w:tbl>
      <w:tblPr>
        <w:tblStyle w:val="TableGrid"/>
        <w:tblW w:w="0" w:type="auto"/>
        <w:shd w:val="clear" w:color="auto" w:fill="FFFFFF" w:themeFill="background1"/>
        <w:tblLook w:val="04A0" w:firstRow="1" w:lastRow="0" w:firstColumn="1" w:lastColumn="0" w:noHBand="0" w:noVBand="1"/>
      </w:tblPr>
      <w:tblGrid>
        <w:gridCol w:w="883"/>
        <w:gridCol w:w="1243"/>
        <w:gridCol w:w="866"/>
        <w:gridCol w:w="724"/>
        <w:gridCol w:w="864"/>
        <w:gridCol w:w="1243"/>
        <w:gridCol w:w="866"/>
        <w:gridCol w:w="724"/>
        <w:gridCol w:w="864"/>
        <w:gridCol w:w="1062"/>
        <w:gridCol w:w="502"/>
        <w:gridCol w:w="895"/>
        <w:gridCol w:w="1226"/>
        <w:gridCol w:w="621"/>
        <w:gridCol w:w="723"/>
        <w:gridCol w:w="688"/>
      </w:tblGrid>
      <w:tr w:rsidR="00BE032C" w:rsidRPr="00171DED" w14:paraId="6821A2F2" w14:textId="77777777" w:rsidTr="00722757">
        <w:tc>
          <w:tcPr>
            <w:tcW w:w="0" w:type="auto"/>
            <w:gridSpan w:val="2"/>
            <w:vMerge w:val="restart"/>
            <w:tcBorders>
              <w:tl2br w:val="single" w:sz="4" w:space="0" w:color="auto"/>
            </w:tcBorders>
            <w:shd w:val="clear" w:color="auto" w:fill="FFFFFF" w:themeFill="background1"/>
          </w:tcPr>
          <w:p w14:paraId="75B5ED09" w14:textId="77777777" w:rsidR="00722757" w:rsidRPr="00171DED" w:rsidRDefault="00722757" w:rsidP="00AD5B5B">
            <w:pPr>
              <w:spacing w:before="120" w:after="120"/>
              <w:jc w:val="both"/>
              <w:rPr>
                <w:rFonts w:ascii="Times New Roman" w:eastAsia="Calibri" w:hAnsi="Times New Roman" w:cs="Times New Roman"/>
                <w:b/>
                <w:noProof/>
                <w:color w:val="A6A6A6" w:themeColor="background1" w:themeShade="A6"/>
                <w:sz w:val="18"/>
                <w:szCs w:val="18"/>
              </w:rPr>
            </w:pPr>
          </w:p>
        </w:tc>
        <w:tc>
          <w:tcPr>
            <w:tcW w:w="0" w:type="auto"/>
            <w:gridSpan w:val="4"/>
            <w:shd w:val="clear" w:color="auto" w:fill="FFFFFF" w:themeFill="background1"/>
          </w:tcPr>
          <w:p w14:paraId="5F5367E8" w14:textId="77777777" w:rsidR="00722757" w:rsidRPr="00171DED" w:rsidRDefault="00722757" w:rsidP="00AD5B5B">
            <w:pPr>
              <w:spacing w:before="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ЕФРР</w:t>
            </w:r>
          </w:p>
        </w:tc>
        <w:tc>
          <w:tcPr>
            <w:tcW w:w="0" w:type="auto"/>
            <w:gridSpan w:val="4"/>
            <w:shd w:val="clear" w:color="auto" w:fill="FFFFFF" w:themeFill="background1"/>
          </w:tcPr>
          <w:p w14:paraId="1DC61004" w14:textId="77777777" w:rsidR="00722757" w:rsidRPr="00171DED" w:rsidRDefault="00722757" w:rsidP="00AD5B5B">
            <w:pPr>
              <w:spacing w:before="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ЕСФ+</w:t>
            </w:r>
          </w:p>
        </w:tc>
        <w:tc>
          <w:tcPr>
            <w:tcW w:w="0" w:type="auto"/>
            <w:vMerge w:val="restart"/>
            <w:shd w:val="clear" w:color="auto" w:fill="FFFFFF" w:themeFill="background1"/>
          </w:tcPr>
          <w:p w14:paraId="52613009"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КФ</w:t>
            </w:r>
          </w:p>
        </w:tc>
        <w:tc>
          <w:tcPr>
            <w:tcW w:w="0" w:type="auto"/>
            <w:vMerge w:val="restart"/>
            <w:shd w:val="clear" w:color="auto" w:fill="FFFFFF" w:themeFill="background1"/>
          </w:tcPr>
          <w:p w14:paraId="757CA727"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ЕФМДР</w:t>
            </w:r>
          </w:p>
        </w:tc>
        <w:tc>
          <w:tcPr>
            <w:tcW w:w="0" w:type="auto"/>
            <w:vMerge w:val="restart"/>
            <w:shd w:val="clear" w:color="auto" w:fill="FFFFFF" w:themeFill="background1"/>
          </w:tcPr>
          <w:p w14:paraId="4A2573DC"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Фонд „Убежище и миграция“</w:t>
            </w:r>
          </w:p>
        </w:tc>
        <w:tc>
          <w:tcPr>
            <w:tcW w:w="0" w:type="auto"/>
            <w:vMerge w:val="restart"/>
            <w:shd w:val="clear" w:color="auto" w:fill="FFFFFF" w:themeFill="background1"/>
          </w:tcPr>
          <w:p w14:paraId="19DA9FF5"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ФВС</w:t>
            </w:r>
          </w:p>
        </w:tc>
        <w:tc>
          <w:tcPr>
            <w:tcW w:w="0" w:type="auto"/>
            <w:vMerge w:val="restart"/>
            <w:shd w:val="clear" w:color="auto" w:fill="FFFFFF" w:themeFill="background1"/>
          </w:tcPr>
          <w:p w14:paraId="73373618"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ИУГВ</w:t>
            </w:r>
          </w:p>
        </w:tc>
        <w:tc>
          <w:tcPr>
            <w:tcW w:w="0" w:type="auto"/>
            <w:vMerge w:val="restart"/>
            <w:shd w:val="clear" w:color="auto" w:fill="FFFFFF" w:themeFill="background1"/>
          </w:tcPr>
          <w:p w14:paraId="28232A7C"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 xml:space="preserve">Общо </w:t>
            </w:r>
          </w:p>
        </w:tc>
      </w:tr>
      <w:tr w:rsidR="00BE032C" w:rsidRPr="00171DED" w14:paraId="3B181A46" w14:textId="77777777" w:rsidTr="00722757">
        <w:trPr>
          <w:trHeight w:val="673"/>
        </w:trPr>
        <w:tc>
          <w:tcPr>
            <w:tcW w:w="0" w:type="auto"/>
            <w:gridSpan w:val="2"/>
            <w:vMerge/>
            <w:tcBorders>
              <w:tl2br w:val="single" w:sz="4" w:space="0" w:color="auto"/>
            </w:tcBorders>
            <w:shd w:val="clear" w:color="auto" w:fill="FFFFFF" w:themeFill="background1"/>
          </w:tcPr>
          <w:p w14:paraId="6D751E30" w14:textId="77777777" w:rsidR="00722757" w:rsidRPr="00171DED" w:rsidRDefault="00722757" w:rsidP="00AD5B5B">
            <w:pPr>
              <w:spacing w:before="120" w:after="120"/>
              <w:jc w:val="both"/>
              <w:rPr>
                <w:rFonts w:ascii="Times New Roman" w:eastAsia="Times New Roman" w:hAnsi="Times New Roman" w:cs="Times New Roman"/>
                <w:b/>
                <w:i/>
                <w:noProof/>
                <w:color w:val="A6A6A6" w:themeColor="background1" w:themeShade="A6"/>
                <w:sz w:val="18"/>
                <w:szCs w:val="18"/>
              </w:rPr>
            </w:pPr>
          </w:p>
        </w:tc>
        <w:tc>
          <w:tcPr>
            <w:tcW w:w="0" w:type="auto"/>
            <w:tcBorders>
              <w:bottom w:val="single" w:sz="4" w:space="0" w:color="auto"/>
            </w:tcBorders>
            <w:shd w:val="clear" w:color="auto" w:fill="FFFFFF" w:themeFill="background1"/>
          </w:tcPr>
          <w:p w14:paraId="41141671" w14:textId="77777777" w:rsidR="00722757" w:rsidRPr="00171DED" w:rsidRDefault="00722757" w:rsidP="00AD5B5B">
            <w:pPr>
              <w:spacing w:before="120"/>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tcBorders>
              <w:bottom w:val="single" w:sz="4" w:space="0" w:color="auto"/>
            </w:tcBorders>
            <w:shd w:val="clear" w:color="auto" w:fill="FFFFFF" w:themeFill="background1"/>
          </w:tcPr>
          <w:p w14:paraId="3AADC265"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tcBorders>
              <w:bottom w:val="single" w:sz="4" w:space="0" w:color="auto"/>
            </w:tcBorders>
            <w:shd w:val="clear" w:color="auto" w:fill="FFFFFF" w:themeFill="background1"/>
          </w:tcPr>
          <w:p w14:paraId="37077243"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tcBorders>
              <w:bottom w:val="single" w:sz="4" w:space="0" w:color="auto"/>
            </w:tcBorders>
            <w:shd w:val="clear" w:color="auto" w:fill="FFFFFF" w:themeFill="background1"/>
          </w:tcPr>
          <w:p w14:paraId="33B73873"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FFFFFF" w:themeFill="background1"/>
          </w:tcPr>
          <w:p w14:paraId="16FD71E4"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1406F0B4"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shd w:val="clear" w:color="auto" w:fill="FFFFFF" w:themeFill="background1"/>
          </w:tcPr>
          <w:p w14:paraId="694CD7B2"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43FBAB3E"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w:t>
            </w:r>
          </w:p>
        </w:tc>
        <w:tc>
          <w:tcPr>
            <w:tcW w:w="0" w:type="auto"/>
            <w:vMerge/>
            <w:shd w:val="clear" w:color="auto" w:fill="FFFFFF" w:themeFill="background1"/>
          </w:tcPr>
          <w:p w14:paraId="28E552B9"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00A35DF3"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1657E57B"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450B6DFC"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62873AC4"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78E66E08"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r>
      <w:tr w:rsidR="00BE032C" w:rsidRPr="00171DED" w14:paraId="1915E182" w14:textId="77777777" w:rsidTr="00722757">
        <w:trPr>
          <w:trHeight w:val="428"/>
        </w:trPr>
        <w:tc>
          <w:tcPr>
            <w:tcW w:w="0" w:type="auto"/>
            <w:vMerge w:val="restart"/>
            <w:shd w:val="clear" w:color="auto" w:fill="FFFFFF" w:themeFill="background1"/>
          </w:tcPr>
          <w:p w14:paraId="26B4C2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ЕФРР</w:t>
            </w:r>
          </w:p>
        </w:tc>
        <w:tc>
          <w:tcPr>
            <w:tcW w:w="0" w:type="auto"/>
            <w:shd w:val="clear" w:color="auto" w:fill="FFFFFF" w:themeFill="background1"/>
          </w:tcPr>
          <w:p w14:paraId="7F97796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7F7F7F" w:themeFill="text1" w:themeFillTint="80"/>
          </w:tcPr>
          <w:p w14:paraId="71184AE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BFDDFC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57E8BC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2C4BA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022EC2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6CB578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EAE14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D1B3A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E579A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79357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05E83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AB07E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5A4AE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FF79B8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1486BA59" w14:textId="77777777" w:rsidTr="00722757">
        <w:trPr>
          <w:trHeight w:val="350"/>
        </w:trPr>
        <w:tc>
          <w:tcPr>
            <w:tcW w:w="0" w:type="auto"/>
            <w:vMerge/>
            <w:shd w:val="clear" w:color="auto" w:fill="FFFFFF" w:themeFill="background1"/>
          </w:tcPr>
          <w:p w14:paraId="777907C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2D199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shd w:val="clear" w:color="auto" w:fill="7F7F7F" w:themeFill="text1" w:themeFillTint="80"/>
          </w:tcPr>
          <w:p w14:paraId="523A9E4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D6D2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546EDC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1D16A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FFAEE5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895779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1A81E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F53EE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37BC7B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EA890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3C0C3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1A12D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51CB9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FC925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6E43A278" w14:textId="77777777" w:rsidTr="00722757">
        <w:trPr>
          <w:trHeight w:val="286"/>
        </w:trPr>
        <w:tc>
          <w:tcPr>
            <w:tcW w:w="0" w:type="auto"/>
            <w:vMerge/>
            <w:shd w:val="clear" w:color="auto" w:fill="FFFFFF" w:themeFill="background1"/>
          </w:tcPr>
          <w:p w14:paraId="0FA7984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B8A0BF3" w14:textId="77777777" w:rsidR="00722757" w:rsidRPr="00171DED" w:rsidRDefault="00722757" w:rsidP="00AD5B5B">
            <w:pPr>
              <w:spacing w:before="60" w:after="60"/>
              <w:jc w:val="both"/>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7F7F7F" w:themeFill="text1" w:themeFillTint="80"/>
          </w:tcPr>
          <w:p w14:paraId="69F9448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AC7451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9B3415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CDEEF0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85283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264170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4D3391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642C66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C258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CAF73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17B512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E4F9F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557614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43C097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0575B" w14:paraId="759ECD5D" w14:textId="77777777" w:rsidTr="00722757">
        <w:trPr>
          <w:trHeight w:val="648"/>
        </w:trPr>
        <w:tc>
          <w:tcPr>
            <w:tcW w:w="0" w:type="auto"/>
            <w:vMerge/>
            <w:shd w:val="clear" w:color="auto" w:fill="FFFFFF" w:themeFill="background1"/>
          </w:tcPr>
          <w:p w14:paraId="33BCD50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E460626"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7F7F7F" w:themeFill="text1" w:themeFillTint="80"/>
          </w:tcPr>
          <w:p w14:paraId="0F66C30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54107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807D4C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79ED5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3922A4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596C7DD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3224AD1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41071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CE77B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CD449F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26DE2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24577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23BD13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D5D6D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5D5B0EBE" w14:textId="77777777" w:rsidTr="00722757">
        <w:tc>
          <w:tcPr>
            <w:tcW w:w="0" w:type="auto"/>
            <w:vMerge w:val="restart"/>
            <w:shd w:val="clear" w:color="auto" w:fill="FFFFFF" w:themeFill="background1"/>
          </w:tcPr>
          <w:p w14:paraId="683966E3"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ЕСФ+</w:t>
            </w:r>
          </w:p>
        </w:tc>
        <w:tc>
          <w:tcPr>
            <w:tcW w:w="0" w:type="auto"/>
            <w:shd w:val="clear" w:color="auto" w:fill="FFFFFF" w:themeFill="background1"/>
          </w:tcPr>
          <w:p w14:paraId="7D2D0746"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437D0F7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C694E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B51D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904D0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EE6B80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2E421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A9BDD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3E4294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310A2F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9E36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DA6E82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24D6F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56ACE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34BD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3F086B50" w14:textId="77777777" w:rsidTr="00722757">
        <w:tc>
          <w:tcPr>
            <w:tcW w:w="0" w:type="auto"/>
            <w:vMerge/>
            <w:shd w:val="clear" w:color="auto" w:fill="FFFFFF" w:themeFill="background1"/>
          </w:tcPr>
          <w:p w14:paraId="09517FA5"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169A90A5"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 xml:space="preserve">Преход </w:t>
            </w:r>
          </w:p>
        </w:tc>
        <w:tc>
          <w:tcPr>
            <w:tcW w:w="0" w:type="auto"/>
            <w:shd w:val="clear" w:color="auto" w:fill="FFFFFF" w:themeFill="background1"/>
          </w:tcPr>
          <w:p w14:paraId="42ABCA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772D8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E1B964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361C92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96F04C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317532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0DE11F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263911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0C2C65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4022B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81BEC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806D0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E44B4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28246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3EF21CE5" w14:textId="77777777" w:rsidTr="00722757">
        <w:tc>
          <w:tcPr>
            <w:tcW w:w="0" w:type="auto"/>
            <w:vMerge/>
            <w:shd w:val="clear" w:color="auto" w:fill="FFFFFF" w:themeFill="background1"/>
          </w:tcPr>
          <w:p w14:paraId="4109C03E"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2E20DEBF"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3E0DFF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027D1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C85DA3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61110F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7C4111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7D199B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F03F2C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586881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1F266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12288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EA9590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1C810F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3ED36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40044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203884CD" w14:textId="77777777" w:rsidTr="00722757">
        <w:tc>
          <w:tcPr>
            <w:tcW w:w="0" w:type="auto"/>
            <w:vMerge/>
            <w:shd w:val="clear" w:color="auto" w:fill="FFFFFF" w:themeFill="background1"/>
          </w:tcPr>
          <w:p w14:paraId="694B6112"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0BD7CE4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 xml:space="preserve">Най-отдалечени региони </w:t>
            </w:r>
          </w:p>
        </w:tc>
        <w:tc>
          <w:tcPr>
            <w:tcW w:w="0" w:type="auto"/>
            <w:shd w:val="clear" w:color="auto" w:fill="FFFFFF" w:themeFill="background1"/>
          </w:tcPr>
          <w:p w14:paraId="7110378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2E29E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0B4FD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022C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B76708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9C6ED2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8538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C6211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6FF0AC3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F0CE9F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D77A28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A32F7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60F64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ED5841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6AE674D8" w14:textId="77777777" w:rsidTr="00722757">
        <w:trPr>
          <w:trHeight w:val="372"/>
        </w:trPr>
        <w:tc>
          <w:tcPr>
            <w:tcW w:w="0" w:type="auto"/>
            <w:shd w:val="clear" w:color="auto" w:fill="FFFFFF" w:themeFill="background1"/>
          </w:tcPr>
          <w:p w14:paraId="334B7348"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КФ</w:t>
            </w:r>
          </w:p>
        </w:tc>
        <w:tc>
          <w:tcPr>
            <w:tcW w:w="0" w:type="auto"/>
            <w:shd w:val="clear" w:color="auto" w:fill="FFFFFF" w:themeFill="background1"/>
          </w:tcPr>
          <w:p w14:paraId="70925D9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1D017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CDC7B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7456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1A14B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99CF0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2A826D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E7FF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A31290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AFF18E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076B345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C34F4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DC4818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6A9D6C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CA0ABA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25BC6309" w14:textId="77777777" w:rsidTr="00722757">
        <w:tc>
          <w:tcPr>
            <w:tcW w:w="0" w:type="auto"/>
            <w:shd w:val="clear" w:color="auto" w:fill="FFFFFF" w:themeFill="background1"/>
          </w:tcPr>
          <w:p w14:paraId="261D6573"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ЕФМДР</w:t>
            </w:r>
          </w:p>
        </w:tc>
        <w:tc>
          <w:tcPr>
            <w:tcW w:w="0" w:type="auto"/>
            <w:shd w:val="clear" w:color="auto" w:fill="FFFFFF" w:themeFill="background1"/>
          </w:tcPr>
          <w:p w14:paraId="50C9C4A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8AB06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E9F63C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C3676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6328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90611B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E249A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30AA5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204A70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895B7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B86B17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2953A00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2E755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57A9A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141D7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5305812F" w14:textId="77777777" w:rsidTr="00722757">
        <w:tc>
          <w:tcPr>
            <w:tcW w:w="0" w:type="auto"/>
            <w:shd w:val="clear" w:color="auto" w:fill="FFFFFF" w:themeFill="background1"/>
          </w:tcPr>
          <w:p w14:paraId="4730183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Общо</w:t>
            </w:r>
          </w:p>
        </w:tc>
        <w:tc>
          <w:tcPr>
            <w:tcW w:w="0" w:type="auto"/>
            <w:shd w:val="clear" w:color="auto" w:fill="FFFFFF" w:themeFill="background1"/>
          </w:tcPr>
          <w:p w14:paraId="1B1D44C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E36CF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BD90DA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0EEE25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76F0A4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9EA80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3FD51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FDE565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A39EB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0D0BD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8C929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DFC5D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B61BB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D529F1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5AEEEA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bl>
    <w:p w14:paraId="1539DB18" w14:textId="77777777" w:rsidR="00722757" w:rsidRPr="00171DED"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171DED">
        <w:rPr>
          <w:rFonts w:ascii="Times New Roman" w:eastAsia="Calibri" w:hAnsi="Times New Roman" w:cs="Times New Roman"/>
          <w:noProof/>
          <w:color w:val="A6A6A6" w:themeColor="background1" w:themeShade="A6"/>
          <w:sz w:val="16"/>
          <w:szCs w:val="20"/>
          <w:lang w:val="bg-BG" w:eastAsia="bg-BG" w:bidi="bg-BG"/>
        </w:rPr>
        <w:lastRenderedPageBreak/>
        <w:t>* Кумулативни суми на всички прехвърляния през програмния период.</w:t>
      </w:r>
    </w:p>
    <w:p w14:paraId="6796D439" w14:textId="55840DB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p w14:paraId="460F0B3C" w14:textId="3901000C" w:rsidR="00DB7254" w:rsidRPr="00171DED" w:rsidRDefault="00A202CD" w:rsidP="00722757">
      <w:pPr>
        <w:spacing w:before="120" w:after="120" w:line="240" w:lineRule="auto"/>
        <w:jc w:val="both"/>
        <w:rPr>
          <w:rFonts w:ascii="Times New Roman" w:eastAsia="Calibri" w:hAnsi="Times New Roman" w:cs="Times New Roman"/>
          <w:noProof/>
          <w:color w:val="A6A6A6" w:themeColor="background1" w:themeShade="A6"/>
          <w:sz w:val="24"/>
          <w:szCs w:val="20"/>
          <w:lang w:eastAsia="bg-BG" w:bidi="bg-BG"/>
        </w:rPr>
      </w:pPr>
      <w:r w:rsidRPr="00171DED">
        <w:rPr>
          <w:rFonts w:ascii="Times New Roman" w:eastAsia="Calibri" w:hAnsi="Times New Roman" w:cs="Times New Roman"/>
          <w:noProof/>
          <w:color w:val="A6A6A6" w:themeColor="background1" w:themeShade="A6"/>
          <w:sz w:val="24"/>
          <w:szCs w:val="20"/>
          <w:lang w:eastAsia="bg-BG" w:bidi="bg-BG"/>
        </w:rPr>
        <w:t>(</w:t>
      </w:r>
      <w:r w:rsidR="00DB7254" w:rsidRPr="00171DED">
        <w:rPr>
          <w:rFonts w:ascii="Times New Roman" w:eastAsia="Calibri" w:hAnsi="Times New Roman" w:cs="Times New Roman"/>
          <w:noProof/>
          <w:color w:val="A6A6A6" w:themeColor="background1" w:themeShade="A6"/>
          <w:sz w:val="24"/>
          <w:szCs w:val="20"/>
          <w:lang w:val="bg-BG" w:eastAsia="bg-BG" w:bidi="bg-BG"/>
        </w:rPr>
        <w:t>The text field was added to reflect Article 21(3) that requires a justification</w:t>
      </w:r>
      <w:r w:rsidRPr="00171DED">
        <w:rPr>
          <w:rFonts w:ascii="Times New Roman" w:eastAsia="Calibri" w:hAnsi="Times New Roman" w:cs="Times New Roman"/>
          <w:noProof/>
          <w:color w:val="A6A6A6" w:themeColor="background1" w:themeShade="A6"/>
          <w:sz w:val="24"/>
          <w:szCs w:val="20"/>
          <w:lang w:eastAsia="bg-BG" w:bidi="bg-BG"/>
        </w:rPr>
        <w:t>)</w:t>
      </w:r>
    </w:p>
    <w:p w14:paraId="5958AFF9" w14:textId="3A63D845" w:rsidR="00DB7254" w:rsidRPr="00171DED" w:rsidRDefault="00DB7254"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DB7254" w:rsidRPr="00171DED" w14:paraId="75A7CACD" w14:textId="77777777" w:rsidTr="00DB7254">
        <w:trPr>
          <w:trHeight w:val="90"/>
        </w:trPr>
        <w:tc>
          <w:tcPr>
            <w:tcW w:w="13575" w:type="dxa"/>
          </w:tcPr>
          <w:p w14:paraId="0E5E4E20" w14:textId="77777777" w:rsidR="00DB7254" w:rsidRPr="00171DED"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proofErr w:type="spellStart"/>
            <w:r w:rsidRPr="00171DED">
              <w:rPr>
                <w:rFonts w:ascii="Times New Roman" w:hAnsi="Times New Roman" w:cs="Times New Roman"/>
                <w:b/>
                <w:bCs/>
                <w:i/>
                <w:iCs/>
                <w:color w:val="A6A6A6" w:themeColor="background1" w:themeShade="A6"/>
                <w:sz w:val="20"/>
                <w:szCs w:val="20"/>
                <w:lang w:val="bg-BG"/>
              </w:rPr>
              <w:t>Text</w:t>
            </w:r>
            <w:proofErr w:type="spellEnd"/>
            <w:r w:rsidRPr="00171DED">
              <w:rPr>
                <w:rFonts w:ascii="Times New Roman" w:hAnsi="Times New Roman" w:cs="Times New Roman"/>
                <w:b/>
                <w:bCs/>
                <w:i/>
                <w:iCs/>
                <w:color w:val="A6A6A6" w:themeColor="background1" w:themeShade="A6"/>
                <w:sz w:val="20"/>
                <w:szCs w:val="20"/>
                <w:lang w:val="bg-BG"/>
              </w:rPr>
              <w:t xml:space="preserve"> </w:t>
            </w:r>
            <w:proofErr w:type="spellStart"/>
            <w:r w:rsidRPr="00171DED">
              <w:rPr>
                <w:rFonts w:ascii="Times New Roman" w:hAnsi="Times New Roman" w:cs="Times New Roman"/>
                <w:b/>
                <w:bCs/>
                <w:i/>
                <w:iCs/>
                <w:color w:val="A6A6A6" w:themeColor="background1" w:themeShade="A6"/>
                <w:sz w:val="20"/>
                <w:szCs w:val="20"/>
                <w:lang w:val="bg-BG"/>
              </w:rPr>
              <w:t>field</w:t>
            </w:r>
            <w:proofErr w:type="spellEnd"/>
            <w:r w:rsidRPr="00171DED">
              <w:rPr>
                <w:rFonts w:ascii="Times New Roman" w:hAnsi="Times New Roman" w:cs="Times New Roman"/>
                <w:b/>
                <w:bCs/>
                <w:i/>
                <w:iCs/>
                <w:color w:val="A6A6A6" w:themeColor="background1" w:themeShade="A6"/>
                <w:sz w:val="20"/>
                <w:szCs w:val="20"/>
                <w:lang w:val="bg-BG"/>
              </w:rPr>
              <w:t xml:space="preserve"> [3500] (</w:t>
            </w:r>
            <w:proofErr w:type="spellStart"/>
            <w:r w:rsidRPr="00171DED">
              <w:rPr>
                <w:rFonts w:ascii="Times New Roman" w:hAnsi="Times New Roman" w:cs="Times New Roman"/>
                <w:b/>
                <w:bCs/>
                <w:i/>
                <w:iCs/>
                <w:color w:val="A6A6A6" w:themeColor="background1" w:themeShade="A6"/>
                <w:sz w:val="20"/>
                <w:szCs w:val="20"/>
                <w:lang w:val="bg-BG"/>
              </w:rPr>
              <w:t>justification</w:t>
            </w:r>
            <w:proofErr w:type="spellEnd"/>
            <w:r w:rsidRPr="00171DED">
              <w:rPr>
                <w:rFonts w:ascii="Times New Roman" w:hAnsi="Times New Roman" w:cs="Times New Roman"/>
                <w:b/>
                <w:bCs/>
                <w:i/>
                <w:iCs/>
                <w:color w:val="A6A6A6" w:themeColor="background1" w:themeShade="A6"/>
                <w:sz w:val="20"/>
                <w:szCs w:val="20"/>
                <w:lang w:val="bg-BG"/>
              </w:rPr>
              <w:t xml:space="preserve">) </w:t>
            </w:r>
          </w:p>
          <w:p w14:paraId="09329C6E" w14:textId="026240D8" w:rsidR="00DB7254" w:rsidRPr="00171DED"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20588ADE"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3.1 Финансови бюджетни кредити по година</w:t>
      </w:r>
    </w:p>
    <w:p w14:paraId="7FD4194C" w14:textId="05D96EEE"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е), i)</w:t>
      </w:r>
      <w:r w:rsidR="00A202CD" w:rsidRPr="00171DED">
        <w:rPr>
          <w:rFonts w:ascii="Times New Roman" w:eastAsia="Calibri" w:hAnsi="Times New Roman" w:cs="Times New Roman"/>
          <w:i/>
          <w:noProof/>
          <w:sz w:val="24"/>
          <w:szCs w:val="20"/>
          <w:lang w:val="bg-BG" w:eastAsia="bg-BG" w:bidi="bg-BG"/>
        </w:rPr>
        <w:t xml:space="preserve"> от ОР</w:t>
      </w:r>
    </w:p>
    <w:tbl>
      <w:tblPr>
        <w:tblStyle w:val="TableGrid"/>
        <w:tblW w:w="5000" w:type="pct"/>
        <w:tblLook w:val="04A0" w:firstRow="1" w:lastRow="0" w:firstColumn="1" w:lastColumn="0" w:noHBand="0" w:noVBand="1"/>
      </w:tblPr>
      <w:tblGrid>
        <w:gridCol w:w="1292"/>
        <w:gridCol w:w="1268"/>
        <w:gridCol w:w="890"/>
        <w:gridCol w:w="890"/>
        <w:gridCol w:w="890"/>
        <w:gridCol w:w="890"/>
        <w:gridCol w:w="890"/>
        <w:gridCol w:w="1489"/>
        <w:gridCol w:w="1145"/>
        <w:gridCol w:w="1419"/>
        <w:gridCol w:w="1215"/>
        <w:gridCol w:w="1716"/>
      </w:tblGrid>
      <w:tr w:rsidR="00722757" w:rsidRPr="0010575B" w14:paraId="2B802347" w14:textId="77777777" w:rsidTr="00211A2A">
        <w:tc>
          <w:tcPr>
            <w:tcW w:w="5000" w:type="pct"/>
            <w:gridSpan w:val="12"/>
          </w:tcPr>
          <w:p w14:paraId="06DB70B9" w14:textId="77777777" w:rsidR="00722757" w:rsidRPr="00171DED" w:rsidRDefault="00722757"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b/>
                <w:noProof/>
                <w:sz w:val="18"/>
                <w:szCs w:val="20"/>
              </w:rPr>
              <w:t>Таблица 10: Финансови бюджетни кредити по година</w:t>
            </w:r>
          </w:p>
        </w:tc>
      </w:tr>
      <w:tr w:rsidR="00B531BE" w:rsidRPr="00171DED" w14:paraId="06CB8E1A" w14:textId="77777777" w:rsidTr="00211A2A">
        <w:trPr>
          <w:trHeight w:val="330"/>
        </w:trPr>
        <w:tc>
          <w:tcPr>
            <w:tcW w:w="462" w:type="pct"/>
            <w:vMerge w:val="restart"/>
          </w:tcPr>
          <w:p w14:paraId="6DD62BDD"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Фонд</w:t>
            </w:r>
          </w:p>
        </w:tc>
        <w:tc>
          <w:tcPr>
            <w:tcW w:w="453" w:type="pct"/>
            <w:vMerge w:val="restart"/>
          </w:tcPr>
          <w:p w14:paraId="4C5DABA7"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Категория региони</w:t>
            </w:r>
          </w:p>
        </w:tc>
        <w:tc>
          <w:tcPr>
            <w:tcW w:w="318" w:type="pct"/>
            <w:vMerge w:val="restart"/>
          </w:tcPr>
          <w:p w14:paraId="408F14F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2021</w:t>
            </w:r>
          </w:p>
        </w:tc>
        <w:tc>
          <w:tcPr>
            <w:tcW w:w="318" w:type="pct"/>
            <w:vMerge w:val="restart"/>
          </w:tcPr>
          <w:p w14:paraId="4C230AE9"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2022</w:t>
            </w:r>
          </w:p>
        </w:tc>
        <w:tc>
          <w:tcPr>
            <w:tcW w:w="318" w:type="pct"/>
            <w:vMerge w:val="restart"/>
          </w:tcPr>
          <w:p w14:paraId="776670AC"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2023</w:t>
            </w:r>
          </w:p>
        </w:tc>
        <w:tc>
          <w:tcPr>
            <w:tcW w:w="318" w:type="pct"/>
            <w:vMerge w:val="restart"/>
          </w:tcPr>
          <w:p w14:paraId="2FFD6322"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2024</w:t>
            </w:r>
          </w:p>
        </w:tc>
        <w:tc>
          <w:tcPr>
            <w:tcW w:w="318" w:type="pct"/>
            <w:vMerge w:val="restart"/>
          </w:tcPr>
          <w:p w14:paraId="26D0D184"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2025</w:t>
            </w:r>
          </w:p>
        </w:tc>
        <w:tc>
          <w:tcPr>
            <w:tcW w:w="941" w:type="pct"/>
            <w:gridSpan w:val="2"/>
          </w:tcPr>
          <w:p w14:paraId="34027757" w14:textId="39AC1BCF" w:rsidR="00B531BE" w:rsidRPr="000022B4" w:rsidRDefault="000022B4" w:rsidP="000022B4">
            <w:pPr>
              <w:spacing w:before="120" w:after="120"/>
              <w:jc w:val="center"/>
              <w:rPr>
                <w:rFonts w:ascii="Times New Roman" w:eastAsia="Calibri" w:hAnsi="Times New Roman" w:cs="Times New Roman"/>
                <w:b/>
                <w:noProof/>
                <w:sz w:val="18"/>
                <w:szCs w:val="18"/>
                <w:lang w:val="en-US"/>
              </w:rPr>
            </w:pPr>
            <w:r>
              <w:rPr>
                <w:rFonts w:ascii="Times New Roman" w:eastAsia="Calibri" w:hAnsi="Times New Roman" w:cs="Times New Roman"/>
                <w:b/>
                <w:noProof/>
                <w:sz w:val="18"/>
                <w:szCs w:val="18"/>
                <w:lang w:val="en-US"/>
              </w:rPr>
              <w:t>2026</w:t>
            </w:r>
          </w:p>
        </w:tc>
        <w:tc>
          <w:tcPr>
            <w:tcW w:w="941" w:type="pct"/>
            <w:gridSpan w:val="2"/>
          </w:tcPr>
          <w:p w14:paraId="5DA91BE5" w14:textId="26DC1B08" w:rsidR="00B531BE" w:rsidRPr="000022B4" w:rsidRDefault="000022B4" w:rsidP="000022B4">
            <w:pPr>
              <w:spacing w:before="120" w:after="120"/>
              <w:jc w:val="center"/>
              <w:rPr>
                <w:rFonts w:ascii="Times New Roman" w:eastAsia="Calibri" w:hAnsi="Times New Roman" w:cs="Times New Roman"/>
                <w:b/>
                <w:noProof/>
                <w:sz w:val="18"/>
                <w:szCs w:val="18"/>
                <w:lang w:val="en-US"/>
              </w:rPr>
            </w:pPr>
            <w:r>
              <w:rPr>
                <w:rFonts w:ascii="Times New Roman" w:eastAsia="Calibri" w:hAnsi="Times New Roman" w:cs="Times New Roman"/>
                <w:b/>
                <w:noProof/>
                <w:sz w:val="18"/>
                <w:szCs w:val="18"/>
                <w:lang w:val="en-US"/>
              </w:rPr>
              <w:t>2027</w:t>
            </w:r>
          </w:p>
        </w:tc>
        <w:tc>
          <w:tcPr>
            <w:tcW w:w="613" w:type="pct"/>
            <w:vMerge w:val="restart"/>
          </w:tcPr>
          <w:p w14:paraId="3BA0117C"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 xml:space="preserve">Общо </w:t>
            </w:r>
          </w:p>
        </w:tc>
      </w:tr>
      <w:tr w:rsidR="00B531BE" w:rsidRPr="00171DED" w14:paraId="37B76CA1" w14:textId="77777777" w:rsidTr="00211A2A">
        <w:trPr>
          <w:trHeight w:val="330"/>
        </w:trPr>
        <w:tc>
          <w:tcPr>
            <w:tcW w:w="462" w:type="pct"/>
            <w:vMerge/>
          </w:tcPr>
          <w:p w14:paraId="290B4474"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453" w:type="pct"/>
            <w:vMerge/>
          </w:tcPr>
          <w:p w14:paraId="304DD35C"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34B23342"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336545B7"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4F30560C"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0C61D8AA"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20C19E1E"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532" w:type="pct"/>
          </w:tcPr>
          <w:p w14:paraId="6D7F153A" w14:textId="26B26B3D" w:rsidR="00B531BE" w:rsidRPr="00171DED" w:rsidDel="00DB7254"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Financial appropriation without flexibility amount</w:t>
            </w:r>
          </w:p>
        </w:tc>
        <w:tc>
          <w:tcPr>
            <w:tcW w:w="409" w:type="pct"/>
          </w:tcPr>
          <w:p w14:paraId="3EDBACC1" w14:textId="7943FF1B" w:rsidR="00B531BE" w:rsidRPr="00171DED" w:rsidDel="00DB7254"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Flexibility amount</w:t>
            </w:r>
          </w:p>
        </w:tc>
        <w:tc>
          <w:tcPr>
            <w:tcW w:w="507" w:type="pct"/>
          </w:tcPr>
          <w:p w14:paraId="167E98EC" w14:textId="09B5892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Financial appropriation without flexibility amount</w:t>
            </w:r>
          </w:p>
        </w:tc>
        <w:tc>
          <w:tcPr>
            <w:tcW w:w="434" w:type="pct"/>
          </w:tcPr>
          <w:p w14:paraId="0C7F4960" w14:textId="445C25F3"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Flexibility amount</w:t>
            </w:r>
          </w:p>
        </w:tc>
        <w:tc>
          <w:tcPr>
            <w:tcW w:w="613" w:type="pct"/>
            <w:vMerge/>
          </w:tcPr>
          <w:p w14:paraId="0A2E9283"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r>
      <w:tr w:rsidR="00D1225E" w:rsidRPr="00171DED" w14:paraId="745191C7" w14:textId="77777777" w:rsidTr="00211A2A">
        <w:tc>
          <w:tcPr>
            <w:tcW w:w="462" w:type="pct"/>
            <w:vMerge w:val="restart"/>
          </w:tcPr>
          <w:p w14:paraId="4A173CEF"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ЕФРР</w:t>
            </w:r>
          </w:p>
        </w:tc>
        <w:tc>
          <w:tcPr>
            <w:tcW w:w="453" w:type="pct"/>
          </w:tcPr>
          <w:p w14:paraId="78896D38"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По-слабо развити региони</w:t>
            </w:r>
          </w:p>
        </w:tc>
        <w:tc>
          <w:tcPr>
            <w:tcW w:w="318" w:type="pct"/>
          </w:tcPr>
          <w:p w14:paraId="4B2FF9B9" w14:textId="32D6CC08"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20 861 936,00</w:t>
            </w:r>
          </w:p>
        </w:tc>
        <w:tc>
          <w:tcPr>
            <w:tcW w:w="318" w:type="pct"/>
          </w:tcPr>
          <w:p w14:paraId="0A8C1C21" w14:textId="755E143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45 300 203,00</w:t>
            </w:r>
          </w:p>
        </w:tc>
        <w:tc>
          <w:tcPr>
            <w:tcW w:w="318" w:type="pct"/>
          </w:tcPr>
          <w:p w14:paraId="3C1FE35F" w14:textId="353A5C7F"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71 526 637,00</w:t>
            </w:r>
          </w:p>
        </w:tc>
        <w:tc>
          <w:tcPr>
            <w:tcW w:w="318" w:type="pct"/>
          </w:tcPr>
          <w:p w14:paraId="2E6294FF" w14:textId="1AFB37CD"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102 623 394,00</w:t>
            </w:r>
          </w:p>
        </w:tc>
        <w:tc>
          <w:tcPr>
            <w:tcW w:w="318" w:type="pct"/>
          </w:tcPr>
          <w:p w14:paraId="16FABA2E" w14:textId="329867C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102 623 394,00</w:t>
            </w:r>
          </w:p>
        </w:tc>
        <w:tc>
          <w:tcPr>
            <w:tcW w:w="532" w:type="pct"/>
          </w:tcPr>
          <w:p w14:paraId="55B8D328" w14:textId="1BD1E887"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409" w:type="pct"/>
          </w:tcPr>
          <w:p w14:paraId="2BC52B63" w14:textId="5ED2557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507" w:type="pct"/>
          </w:tcPr>
          <w:p w14:paraId="0F0570A6" w14:textId="46258894"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434" w:type="pct"/>
          </w:tcPr>
          <w:p w14:paraId="461E430A" w14:textId="28F56125"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613" w:type="pct"/>
          </w:tcPr>
          <w:p w14:paraId="11FEBAD1" w14:textId="689C97F0"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548 182 352,00</w:t>
            </w:r>
          </w:p>
        </w:tc>
      </w:tr>
      <w:tr w:rsidR="00B531BE" w:rsidRPr="00171DED" w14:paraId="00F9BC2D" w14:textId="77777777" w:rsidTr="00211A2A">
        <w:tc>
          <w:tcPr>
            <w:tcW w:w="462" w:type="pct"/>
            <w:vMerge/>
          </w:tcPr>
          <w:p w14:paraId="785285C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10E37206"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По-силно развити региони</w:t>
            </w:r>
          </w:p>
        </w:tc>
        <w:tc>
          <w:tcPr>
            <w:tcW w:w="318" w:type="pct"/>
          </w:tcPr>
          <w:p w14:paraId="009A095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658BE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42B3E37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A2A68C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8030F0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188D606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4863A2B5" w14:textId="0F3C54C9"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19FC47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3165D192" w14:textId="02B26A2C"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2A25A36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D1225E" w:rsidRPr="00171DED" w14:paraId="394D3C07" w14:textId="77777777" w:rsidTr="00211A2A">
        <w:tc>
          <w:tcPr>
            <w:tcW w:w="462" w:type="pct"/>
            <w:vMerge/>
          </w:tcPr>
          <w:p w14:paraId="07B4A819" w14:textId="77777777" w:rsidR="00D1225E" w:rsidRPr="00171DED" w:rsidRDefault="00D1225E" w:rsidP="00D1225E">
            <w:pPr>
              <w:spacing w:before="120" w:after="120"/>
              <w:jc w:val="both"/>
              <w:rPr>
                <w:rFonts w:ascii="Times New Roman" w:eastAsia="Calibri" w:hAnsi="Times New Roman" w:cs="Times New Roman"/>
                <w:noProof/>
                <w:sz w:val="18"/>
                <w:szCs w:val="18"/>
              </w:rPr>
            </w:pPr>
          </w:p>
        </w:tc>
        <w:tc>
          <w:tcPr>
            <w:tcW w:w="453" w:type="pct"/>
          </w:tcPr>
          <w:p w14:paraId="38A17ED5"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Преход</w:t>
            </w:r>
          </w:p>
        </w:tc>
        <w:tc>
          <w:tcPr>
            <w:tcW w:w="318" w:type="pct"/>
          </w:tcPr>
          <w:p w14:paraId="268B75C1" w14:textId="63B46998"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14 138 064,00</w:t>
            </w:r>
          </w:p>
        </w:tc>
        <w:tc>
          <w:tcPr>
            <w:tcW w:w="318" w:type="pct"/>
          </w:tcPr>
          <w:p w14:paraId="4F312A1B" w14:textId="1B43C7B5"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30 699 797,00</w:t>
            </w:r>
          </w:p>
        </w:tc>
        <w:tc>
          <w:tcPr>
            <w:tcW w:w="318" w:type="pct"/>
          </w:tcPr>
          <w:p w14:paraId="2C29221B" w14:textId="12513C47"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48 473 363,00</w:t>
            </w:r>
          </w:p>
        </w:tc>
        <w:tc>
          <w:tcPr>
            <w:tcW w:w="318" w:type="pct"/>
          </w:tcPr>
          <w:p w14:paraId="410E268C" w14:textId="51823B3F"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69 547 531,00</w:t>
            </w:r>
          </w:p>
        </w:tc>
        <w:tc>
          <w:tcPr>
            <w:tcW w:w="318" w:type="pct"/>
          </w:tcPr>
          <w:p w14:paraId="56E9A04D" w14:textId="0C27B65C"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69 547 531,00</w:t>
            </w:r>
          </w:p>
        </w:tc>
        <w:tc>
          <w:tcPr>
            <w:tcW w:w="532" w:type="pct"/>
          </w:tcPr>
          <w:p w14:paraId="79DF869E" w14:textId="6A8B8C0F"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34 773 765,00</w:t>
            </w:r>
          </w:p>
        </w:tc>
        <w:tc>
          <w:tcPr>
            <w:tcW w:w="409" w:type="pct"/>
          </w:tcPr>
          <w:p w14:paraId="5BB782D6" w14:textId="068914D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34 773 766,00</w:t>
            </w:r>
          </w:p>
        </w:tc>
        <w:tc>
          <w:tcPr>
            <w:tcW w:w="507" w:type="pct"/>
          </w:tcPr>
          <w:p w14:paraId="6BBE6841" w14:textId="53F1131C"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34 773 765,00</w:t>
            </w:r>
          </w:p>
        </w:tc>
        <w:tc>
          <w:tcPr>
            <w:tcW w:w="434" w:type="pct"/>
          </w:tcPr>
          <w:p w14:paraId="2A2335EB" w14:textId="6276E9F1"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34 773 766,00</w:t>
            </w:r>
          </w:p>
        </w:tc>
        <w:tc>
          <w:tcPr>
            <w:tcW w:w="613" w:type="pct"/>
          </w:tcPr>
          <w:p w14:paraId="23D83A9C" w14:textId="06F9BB6A"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371 501 348,00</w:t>
            </w:r>
          </w:p>
        </w:tc>
      </w:tr>
      <w:tr w:rsidR="00B531BE" w:rsidRPr="0010575B" w14:paraId="4639897C" w14:textId="77777777" w:rsidTr="00211A2A">
        <w:tc>
          <w:tcPr>
            <w:tcW w:w="462" w:type="pct"/>
            <w:vMerge/>
          </w:tcPr>
          <w:p w14:paraId="6304ABB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453C56C9"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Най-отдалечени </w:t>
            </w:r>
            <w:r w:rsidRPr="00171DED">
              <w:rPr>
                <w:rFonts w:ascii="Times New Roman" w:eastAsia="Calibri" w:hAnsi="Times New Roman" w:cs="Times New Roman"/>
                <w:noProof/>
                <w:sz w:val="18"/>
                <w:szCs w:val="20"/>
              </w:rPr>
              <w:lastRenderedPageBreak/>
              <w:t>региони и северни слабо населени региони</w:t>
            </w:r>
          </w:p>
        </w:tc>
        <w:tc>
          <w:tcPr>
            <w:tcW w:w="318" w:type="pct"/>
          </w:tcPr>
          <w:p w14:paraId="36DA258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9DF657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A447ED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0C3CF0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22EB461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738B8BE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36EBEF4A" w14:textId="6B27DE64"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0482C87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1447C00E" w14:textId="18BC2276"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1F9F883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064DF9" w:rsidRPr="00171DED" w14:paraId="69935064" w14:textId="77777777" w:rsidTr="00211A2A">
        <w:tc>
          <w:tcPr>
            <w:tcW w:w="462" w:type="pct"/>
          </w:tcPr>
          <w:p w14:paraId="285C3C48" w14:textId="77777777" w:rsidR="00064DF9" w:rsidRPr="00171DED" w:rsidRDefault="00064DF9" w:rsidP="00064DF9">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Общо</w:t>
            </w:r>
          </w:p>
        </w:tc>
        <w:tc>
          <w:tcPr>
            <w:tcW w:w="453" w:type="pct"/>
          </w:tcPr>
          <w:p w14:paraId="75814EA6" w14:textId="77777777" w:rsidR="00064DF9" w:rsidRPr="00171DED" w:rsidRDefault="00064DF9" w:rsidP="00064DF9">
            <w:pPr>
              <w:spacing w:before="120" w:after="120"/>
              <w:jc w:val="both"/>
              <w:rPr>
                <w:rFonts w:ascii="Times New Roman" w:eastAsia="Calibri" w:hAnsi="Times New Roman" w:cs="Times New Roman"/>
                <w:noProof/>
                <w:sz w:val="18"/>
                <w:szCs w:val="18"/>
              </w:rPr>
            </w:pPr>
          </w:p>
        </w:tc>
        <w:tc>
          <w:tcPr>
            <w:tcW w:w="318" w:type="pct"/>
          </w:tcPr>
          <w:p w14:paraId="7CB334DB" w14:textId="50E0F0CC"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35 000 000,00</w:t>
            </w:r>
          </w:p>
        </w:tc>
        <w:tc>
          <w:tcPr>
            <w:tcW w:w="318" w:type="pct"/>
          </w:tcPr>
          <w:p w14:paraId="01FFADD3" w14:textId="6082AE9B"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76 000 000,00</w:t>
            </w:r>
          </w:p>
        </w:tc>
        <w:tc>
          <w:tcPr>
            <w:tcW w:w="318" w:type="pct"/>
          </w:tcPr>
          <w:p w14:paraId="48BC194C" w14:textId="10714AC0"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120 000 000,00</w:t>
            </w:r>
          </w:p>
        </w:tc>
        <w:tc>
          <w:tcPr>
            <w:tcW w:w="318" w:type="pct"/>
          </w:tcPr>
          <w:p w14:paraId="73234170" w14:textId="654D6471"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172 170 925,00</w:t>
            </w:r>
          </w:p>
        </w:tc>
        <w:tc>
          <w:tcPr>
            <w:tcW w:w="318" w:type="pct"/>
          </w:tcPr>
          <w:p w14:paraId="2A926BD0" w14:textId="651321D5"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172 170 925,00</w:t>
            </w:r>
          </w:p>
        </w:tc>
        <w:tc>
          <w:tcPr>
            <w:tcW w:w="532" w:type="pct"/>
          </w:tcPr>
          <w:p w14:paraId="2C4D4E7E" w14:textId="2A05DFF7"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86 085 462,00</w:t>
            </w:r>
          </w:p>
        </w:tc>
        <w:tc>
          <w:tcPr>
            <w:tcW w:w="409" w:type="pct"/>
          </w:tcPr>
          <w:p w14:paraId="4E3EC36F" w14:textId="3E6DDCAC"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86 085 463,00</w:t>
            </w:r>
          </w:p>
        </w:tc>
        <w:tc>
          <w:tcPr>
            <w:tcW w:w="507" w:type="pct"/>
          </w:tcPr>
          <w:p w14:paraId="60B4F231" w14:textId="17B79970"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86 085 462,00</w:t>
            </w:r>
          </w:p>
        </w:tc>
        <w:tc>
          <w:tcPr>
            <w:tcW w:w="434" w:type="pct"/>
          </w:tcPr>
          <w:p w14:paraId="58DC4DFE" w14:textId="79862730"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86 085 463,00</w:t>
            </w:r>
          </w:p>
        </w:tc>
        <w:tc>
          <w:tcPr>
            <w:tcW w:w="613" w:type="pct"/>
          </w:tcPr>
          <w:p w14:paraId="16A8ECDB" w14:textId="2A9A63E9"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919 683 700,00</w:t>
            </w:r>
          </w:p>
        </w:tc>
      </w:tr>
      <w:tr w:rsidR="00B531BE" w:rsidRPr="00171DED" w14:paraId="72455F9D" w14:textId="77777777" w:rsidTr="00211A2A">
        <w:tc>
          <w:tcPr>
            <w:tcW w:w="462" w:type="pct"/>
            <w:vMerge w:val="restart"/>
          </w:tcPr>
          <w:p w14:paraId="53800D6E"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ЕСФ+</w:t>
            </w:r>
          </w:p>
        </w:tc>
        <w:tc>
          <w:tcPr>
            <w:tcW w:w="453" w:type="pct"/>
          </w:tcPr>
          <w:p w14:paraId="72900D86"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По-слабо развити региони</w:t>
            </w:r>
          </w:p>
        </w:tc>
        <w:tc>
          <w:tcPr>
            <w:tcW w:w="318" w:type="pct"/>
          </w:tcPr>
          <w:p w14:paraId="1B63C25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D237CC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5763A0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39CFBAF"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870139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03B952F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4EAC1F02" w14:textId="32E4846F"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325A7EE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3C2E6E70" w14:textId="3555A9A9"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5C4F88F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3B541572" w14:textId="77777777" w:rsidTr="00211A2A">
        <w:tc>
          <w:tcPr>
            <w:tcW w:w="462" w:type="pct"/>
            <w:vMerge/>
          </w:tcPr>
          <w:p w14:paraId="6A71F09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30288423"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По-силно развити региони</w:t>
            </w:r>
          </w:p>
        </w:tc>
        <w:tc>
          <w:tcPr>
            <w:tcW w:w="318" w:type="pct"/>
          </w:tcPr>
          <w:p w14:paraId="1D62090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5015B5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19CD8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8EDB0D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1A6264A"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1E3A052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5E1793DD" w14:textId="1EE6FB0E"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493FF2E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49905ADB" w14:textId="05EBFC6F"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41FA532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58E753B8" w14:textId="77777777" w:rsidTr="00211A2A">
        <w:tc>
          <w:tcPr>
            <w:tcW w:w="462" w:type="pct"/>
            <w:vMerge/>
          </w:tcPr>
          <w:p w14:paraId="23C784F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3843D2D0"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Преход</w:t>
            </w:r>
          </w:p>
        </w:tc>
        <w:tc>
          <w:tcPr>
            <w:tcW w:w="318" w:type="pct"/>
          </w:tcPr>
          <w:p w14:paraId="1CFB576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155864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90C320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3E8C64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40C975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3EB773E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216F239" w14:textId="28E6F0FA"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6B2BAF2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655733DF" w14:textId="70E3B88B"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5D6DD09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301C75AD" w14:textId="77777777" w:rsidTr="00211A2A">
        <w:tc>
          <w:tcPr>
            <w:tcW w:w="462" w:type="pct"/>
            <w:vMerge/>
          </w:tcPr>
          <w:p w14:paraId="3D839C2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7D0A43A1"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Най-отдалечени региони</w:t>
            </w:r>
          </w:p>
        </w:tc>
        <w:tc>
          <w:tcPr>
            <w:tcW w:w="318" w:type="pct"/>
          </w:tcPr>
          <w:p w14:paraId="0DD171E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70C3D15"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B901A0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2428E3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E57164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575F28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0DFE2EAF" w14:textId="2AC7FE5D"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23E08C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6B51AC57" w14:textId="53021720"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374D6B5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1C4F12BC" w14:textId="77777777" w:rsidTr="00211A2A">
        <w:tc>
          <w:tcPr>
            <w:tcW w:w="462" w:type="pct"/>
          </w:tcPr>
          <w:p w14:paraId="4EDB2BBD"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Общо </w:t>
            </w:r>
          </w:p>
        </w:tc>
        <w:tc>
          <w:tcPr>
            <w:tcW w:w="453" w:type="pct"/>
          </w:tcPr>
          <w:p w14:paraId="4929CCD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3A47CD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856466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0D7D8C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3A316D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2B00ED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5B20DC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7356A87" w14:textId="12C61F79"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03CFB93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47448786" w14:textId="47EA551B"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2B0FE84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103AD4" w:rsidRPr="00171DED" w14:paraId="3200FF33" w14:textId="77777777" w:rsidTr="00211A2A">
        <w:tc>
          <w:tcPr>
            <w:tcW w:w="462" w:type="pct"/>
          </w:tcPr>
          <w:p w14:paraId="208E8473" w14:textId="77777777" w:rsidR="00103AD4" w:rsidRPr="00171DED" w:rsidRDefault="00103AD4" w:rsidP="00103AD4">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Кохезионен фонд</w:t>
            </w:r>
          </w:p>
        </w:tc>
        <w:tc>
          <w:tcPr>
            <w:tcW w:w="453" w:type="pct"/>
          </w:tcPr>
          <w:p w14:paraId="167BF490" w14:textId="77777777" w:rsidR="00103AD4" w:rsidRPr="00171DED" w:rsidRDefault="00103AD4" w:rsidP="00103AD4">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Не е приложимо</w:t>
            </w:r>
          </w:p>
        </w:tc>
        <w:tc>
          <w:tcPr>
            <w:tcW w:w="318" w:type="pct"/>
          </w:tcPr>
          <w:p w14:paraId="2C62086A" w14:textId="5A27AF59"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15 000 000,00</w:t>
            </w:r>
          </w:p>
        </w:tc>
        <w:tc>
          <w:tcPr>
            <w:tcW w:w="318" w:type="pct"/>
          </w:tcPr>
          <w:p w14:paraId="47E984A7" w14:textId="3F7EC1AC"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64 000 000,00</w:t>
            </w:r>
          </w:p>
        </w:tc>
        <w:tc>
          <w:tcPr>
            <w:tcW w:w="318" w:type="pct"/>
          </w:tcPr>
          <w:p w14:paraId="6492D2B5" w14:textId="7CD8C33D"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80 000 000,00</w:t>
            </w:r>
          </w:p>
        </w:tc>
        <w:tc>
          <w:tcPr>
            <w:tcW w:w="318" w:type="pct"/>
          </w:tcPr>
          <w:p w14:paraId="6FAA5400" w14:textId="22C7009C"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119 704 074,00</w:t>
            </w:r>
          </w:p>
        </w:tc>
        <w:tc>
          <w:tcPr>
            <w:tcW w:w="318" w:type="pct"/>
          </w:tcPr>
          <w:p w14:paraId="74657391" w14:textId="476F277B"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119 704 074,00</w:t>
            </w:r>
          </w:p>
        </w:tc>
        <w:tc>
          <w:tcPr>
            <w:tcW w:w="532" w:type="pct"/>
          </w:tcPr>
          <w:p w14:paraId="62849146" w14:textId="0E4A661D"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409" w:type="pct"/>
          </w:tcPr>
          <w:p w14:paraId="730F6D58" w14:textId="573C2480"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507" w:type="pct"/>
          </w:tcPr>
          <w:p w14:paraId="68ACCABB" w14:textId="395124A8"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434" w:type="pct"/>
          </w:tcPr>
          <w:p w14:paraId="31E2C9EC" w14:textId="78F818EB"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613" w:type="pct"/>
          </w:tcPr>
          <w:p w14:paraId="64692D70" w14:textId="60E0F20B"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637 816 300,00</w:t>
            </w:r>
          </w:p>
        </w:tc>
      </w:tr>
      <w:tr w:rsidR="00B531BE" w:rsidRPr="00171DED" w14:paraId="29F8A1EA" w14:textId="77777777" w:rsidTr="00211A2A">
        <w:tc>
          <w:tcPr>
            <w:tcW w:w="462" w:type="pct"/>
          </w:tcPr>
          <w:p w14:paraId="6B4B1560"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ЕФМДР</w:t>
            </w:r>
          </w:p>
        </w:tc>
        <w:tc>
          <w:tcPr>
            <w:tcW w:w="453" w:type="pct"/>
          </w:tcPr>
          <w:p w14:paraId="3A7FF983"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Не е приложимо</w:t>
            </w:r>
          </w:p>
        </w:tc>
        <w:tc>
          <w:tcPr>
            <w:tcW w:w="318" w:type="pct"/>
          </w:tcPr>
          <w:p w14:paraId="5A93F75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983F1B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5DD972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FDB07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F68205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90C5974"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8ACC820" w14:textId="5BBC1206"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F14584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07864168" w14:textId="6ECF3AEC"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4487D4B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A15D7C" w:rsidRPr="00171DED" w14:paraId="60D983EB" w14:textId="77777777" w:rsidTr="00211A2A">
        <w:tc>
          <w:tcPr>
            <w:tcW w:w="462" w:type="pct"/>
          </w:tcPr>
          <w:p w14:paraId="42684647" w14:textId="77777777" w:rsidR="00A15D7C" w:rsidRPr="00171DED" w:rsidRDefault="00A15D7C" w:rsidP="00A15D7C">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Общо </w:t>
            </w:r>
          </w:p>
        </w:tc>
        <w:tc>
          <w:tcPr>
            <w:tcW w:w="453" w:type="pct"/>
          </w:tcPr>
          <w:p w14:paraId="355CFB71" w14:textId="77777777" w:rsidR="00A15D7C" w:rsidRPr="00171DED" w:rsidRDefault="00A15D7C" w:rsidP="00A15D7C">
            <w:pPr>
              <w:spacing w:before="120" w:after="120"/>
              <w:jc w:val="both"/>
              <w:rPr>
                <w:rFonts w:ascii="Times New Roman" w:eastAsia="Calibri" w:hAnsi="Times New Roman" w:cs="Times New Roman"/>
                <w:noProof/>
                <w:sz w:val="18"/>
                <w:szCs w:val="18"/>
              </w:rPr>
            </w:pPr>
          </w:p>
        </w:tc>
        <w:tc>
          <w:tcPr>
            <w:tcW w:w="318" w:type="pct"/>
          </w:tcPr>
          <w:p w14:paraId="4B26FC3C" w14:textId="5B2A2322"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50 000 000,00</w:t>
            </w:r>
          </w:p>
        </w:tc>
        <w:tc>
          <w:tcPr>
            <w:tcW w:w="318" w:type="pct"/>
          </w:tcPr>
          <w:p w14:paraId="31A77000" w14:textId="7A92C92F"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140 000 000,00</w:t>
            </w:r>
          </w:p>
        </w:tc>
        <w:tc>
          <w:tcPr>
            <w:tcW w:w="318" w:type="pct"/>
          </w:tcPr>
          <w:p w14:paraId="7F80808B" w14:textId="6C3D04E3"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200 000 000,00</w:t>
            </w:r>
          </w:p>
        </w:tc>
        <w:tc>
          <w:tcPr>
            <w:tcW w:w="318" w:type="pct"/>
          </w:tcPr>
          <w:p w14:paraId="7FD05ECF" w14:textId="7BF15932"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291 874 999,00</w:t>
            </w:r>
          </w:p>
        </w:tc>
        <w:tc>
          <w:tcPr>
            <w:tcW w:w="318" w:type="pct"/>
          </w:tcPr>
          <w:p w14:paraId="77D23763" w14:textId="74F7C02F"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291 874 999,00</w:t>
            </w:r>
          </w:p>
        </w:tc>
        <w:tc>
          <w:tcPr>
            <w:tcW w:w="532" w:type="pct"/>
          </w:tcPr>
          <w:p w14:paraId="6AF1DD1A" w14:textId="5F94B000"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145 937 500,00</w:t>
            </w:r>
          </w:p>
        </w:tc>
        <w:tc>
          <w:tcPr>
            <w:tcW w:w="409" w:type="pct"/>
          </w:tcPr>
          <w:p w14:paraId="56A3CB79" w14:textId="6630E39D"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145 937 501,00</w:t>
            </w:r>
          </w:p>
        </w:tc>
        <w:tc>
          <w:tcPr>
            <w:tcW w:w="507" w:type="pct"/>
          </w:tcPr>
          <w:p w14:paraId="7E4316D1" w14:textId="7C98E249"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145 937 500,00</w:t>
            </w:r>
          </w:p>
        </w:tc>
        <w:tc>
          <w:tcPr>
            <w:tcW w:w="434" w:type="pct"/>
          </w:tcPr>
          <w:p w14:paraId="64C1BA32" w14:textId="102E0C13"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145 937 501,00</w:t>
            </w:r>
          </w:p>
        </w:tc>
        <w:tc>
          <w:tcPr>
            <w:tcW w:w="613" w:type="pct"/>
          </w:tcPr>
          <w:p w14:paraId="7710F6D0" w14:textId="5191EAA0"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1 557 500 000,00</w:t>
            </w:r>
          </w:p>
        </w:tc>
      </w:tr>
    </w:tbl>
    <w:p w14:paraId="13A6C00A"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sectPr w:rsidR="00722757" w:rsidRPr="00171D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7" w:right="1417" w:bottom="1417" w:left="1417" w:header="709" w:footer="709" w:gutter="0"/>
          <w:cols w:space="708"/>
          <w:titlePg/>
          <w:docGrid w:linePitch="360"/>
        </w:sectPr>
      </w:pPr>
    </w:p>
    <w:p w14:paraId="7F220829" w14:textId="2CA00E61"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vertAlign w:val="superscript"/>
          <w:lang w:val="bg-BG" w:eastAsia="bg-BG" w:bidi="bg-BG"/>
        </w:rPr>
      </w:pPr>
      <w:r w:rsidRPr="00171DED">
        <w:rPr>
          <w:rFonts w:ascii="Times New Roman" w:eastAsia="Calibri" w:hAnsi="Times New Roman" w:cs="Times New Roman"/>
          <w:b/>
          <w:noProof/>
          <w:sz w:val="24"/>
          <w:szCs w:val="20"/>
          <w:lang w:val="bg-BG" w:eastAsia="bg-BG" w:bidi="bg-BG"/>
        </w:rPr>
        <w:lastRenderedPageBreak/>
        <w:t>3.2 Общо финансови бюджетни кредити по фонд и национално съфинансиране</w:t>
      </w:r>
    </w:p>
    <w:p w14:paraId="57A00681" w14:textId="1CD67BEA"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е), точка ii), член 17, параграф 6</w:t>
      </w:r>
      <w:r w:rsidR="00B531BE" w:rsidRPr="00171DED">
        <w:rPr>
          <w:rFonts w:ascii="Times New Roman" w:eastAsia="Calibri" w:hAnsi="Times New Roman" w:cs="Times New Roman"/>
          <w:i/>
          <w:noProof/>
          <w:sz w:val="24"/>
          <w:szCs w:val="20"/>
          <w:lang w:val="bg-BG" w:eastAsia="bg-BG" w:bidi="bg-BG"/>
        </w:rPr>
        <w:t xml:space="preserve"> и </w:t>
      </w:r>
      <w:r w:rsidR="00FE2D83" w:rsidRPr="00171DED">
        <w:rPr>
          <w:rFonts w:ascii="Times New Roman" w:eastAsia="Calibri" w:hAnsi="Times New Roman" w:cs="Times New Roman"/>
          <w:i/>
          <w:noProof/>
          <w:sz w:val="24"/>
          <w:szCs w:val="20"/>
          <w:lang w:val="bg-BG" w:eastAsia="bg-BG" w:bidi="bg-BG"/>
        </w:rPr>
        <w:t>член</w:t>
      </w:r>
      <w:r w:rsidR="00B531BE" w:rsidRPr="00171DED">
        <w:rPr>
          <w:rFonts w:ascii="Times New Roman" w:eastAsia="Calibri" w:hAnsi="Times New Roman" w:cs="Times New Roman"/>
          <w:i/>
          <w:noProof/>
          <w:sz w:val="24"/>
          <w:szCs w:val="20"/>
          <w:lang w:val="bg-BG" w:eastAsia="bg-BG" w:bidi="bg-BG"/>
        </w:rPr>
        <w:t xml:space="preserve"> 30 </w:t>
      </w:r>
      <w:r w:rsidR="00FE2D83" w:rsidRPr="00171DED">
        <w:rPr>
          <w:rFonts w:ascii="Times New Roman" w:eastAsia="Calibri" w:hAnsi="Times New Roman" w:cs="Times New Roman"/>
          <w:i/>
          <w:noProof/>
          <w:sz w:val="24"/>
          <w:szCs w:val="20"/>
          <w:lang w:val="bg-BG" w:eastAsia="bg-BG" w:bidi="bg-BG"/>
        </w:rPr>
        <w:t>от ОР</w:t>
      </w:r>
    </w:p>
    <w:p w14:paraId="31265536" w14:textId="61DEFC23" w:rsidR="00722757" w:rsidRPr="00171DED"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За целта, свързана с растежа и заетостта</w:t>
      </w:r>
      <w:r w:rsidR="00B531BE" w:rsidRPr="00171DED">
        <w:rPr>
          <w:rFonts w:ascii="Times New Roman" w:eastAsia="Calibri" w:hAnsi="Times New Roman" w:cs="Times New Roman"/>
          <w:i/>
          <w:noProof/>
          <w:sz w:val="24"/>
          <w:szCs w:val="20"/>
          <w:lang w:val="bg-BG" w:eastAsia="bg-BG" w:bidi="bg-BG"/>
        </w:rPr>
        <w:t>,за програми using technical assistance in accordance with Article 30(4) in accordance with the choice made in part 4 bis of the Partnership Agreement.</w:t>
      </w:r>
    </w:p>
    <w:p w14:paraId="427BA2C1" w14:textId="4A0984C2" w:rsidR="007644D7" w:rsidRPr="00171DED" w:rsidRDefault="007644D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Times New Roman" w:hAnsi="Times New Roman" w:cs="Times New Roman"/>
          <w:i/>
          <w:noProof/>
          <w:sz w:val="24"/>
          <w:szCs w:val="24"/>
          <w:lang w:val="bg-BG" w:eastAsia="bg-BG" w:bidi="bg-BG"/>
        </w:rPr>
        <w:t>Table 11: Total financial allocations by fund and national contribution</w:t>
      </w:r>
    </w:p>
    <w:tbl>
      <w:tblPr>
        <w:tblStyle w:val="TableGrid"/>
        <w:tblW w:w="0" w:type="auto"/>
        <w:jc w:val="center"/>
        <w:tblLook w:val="04A0" w:firstRow="1" w:lastRow="0" w:firstColumn="1" w:lastColumn="0" w:noHBand="0" w:noVBand="1"/>
      </w:tblPr>
      <w:tblGrid>
        <w:gridCol w:w="1176"/>
        <w:gridCol w:w="1109"/>
        <w:gridCol w:w="1438"/>
        <w:gridCol w:w="1003"/>
        <w:gridCol w:w="1140"/>
        <w:gridCol w:w="833"/>
        <w:gridCol w:w="997"/>
        <w:gridCol w:w="881"/>
        <w:gridCol w:w="1220"/>
        <w:gridCol w:w="911"/>
        <w:gridCol w:w="708"/>
        <w:gridCol w:w="1097"/>
        <w:gridCol w:w="1481"/>
      </w:tblGrid>
      <w:tr w:rsidR="00F77217" w:rsidRPr="00171DED" w14:paraId="6BFDF449" w14:textId="77777777" w:rsidTr="00B74077">
        <w:trPr>
          <w:jc w:val="center"/>
        </w:trPr>
        <w:tc>
          <w:tcPr>
            <w:tcW w:w="1176" w:type="dxa"/>
            <w:vMerge w:val="restart"/>
          </w:tcPr>
          <w:p w14:paraId="52E656D7" w14:textId="1354660C"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Цели на политиката</w:t>
            </w:r>
            <w:r w:rsidRPr="00171DED">
              <w:rPr>
                <w:rFonts w:ascii="Times New Roman" w:eastAsia="Calibri" w:hAnsi="Times New Roman" w:cs="Times New Roman"/>
                <w:b/>
                <w:noProof/>
                <w:sz w:val="18"/>
                <w:szCs w:val="18"/>
              </w:rPr>
              <w:br/>
            </w:r>
            <w:r w:rsidR="007644D7" w:rsidRPr="00171DED">
              <w:rPr>
                <w:rFonts w:ascii="Times New Roman" w:eastAsia="Calibri" w:hAnsi="Times New Roman" w:cs="Times New Roman"/>
                <w:b/>
                <w:noProof/>
                <w:sz w:val="18"/>
                <w:szCs w:val="20"/>
              </w:rPr>
              <w:t>№</w:t>
            </w:r>
            <w:r w:rsidRPr="00171DED">
              <w:rPr>
                <w:rFonts w:ascii="Times New Roman" w:eastAsia="Calibri" w:hAnsi="Times New Roman" w:cs="Times New Roman"/>
                <w:b/>
                <w:noProof/>
                <w:sz w:val="18"/>
                <w:szCs w:val="20"/>
              </w:rPr>
              <w:t xml:space="preserve"> или ТП</w:t>
            </w:r>
          </w:p>
        </w:tc>
        <w:tc>
          <w:tcPr>
            <w:tcW w:w="1109" w:type="dxa"/>
            <w:vMerge w:val="restart"/>
          </w:tcPr>
          <w:p w14:paraId="699E48C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Приоритет</w:t>
            </w:r>
          </w:p>
        </w:tc>
        <w:tc>
          <w:tcPr>
            <w:tcW w:w="1438" w:type="dxa"/>
            <w:vMerge w:val="restart"/>
          </w:tcPr>
          <w:p w14:paraId="7859D50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Основа за изчисляване на подпомагането от ЕС (общо или публично)</w:t>
            </w:r>
          </w:p>
        </w:tc>
        <w:tc>
          <w:tcPr>
            <w:tcW w:w="1003" w:type="dxa"/>
            <w:vMerge w:val="restart"/>
          </w:tcPr>
          <w:p w14:paraId="294D4661"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Фонд</w:t>
            </w:r>
          </w:p>
        </w:tc>
        <w:tc>
          <w:tcPr>
            <w:tcW w:w="1140" w:type="dxa"/>
            <w:vMerge w:val="restart"/>
          </w:tcPr>
          <w:p w14:paraId="39326BEA" w14:textId="7777777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Категория региони*</w:t>
            </w:r>
          </w:p>
          <w:p w14:paraId="1491C7F0" w14:textId="38D4078D" w:rsidR="00B531BE" w:rsidRPr="00171DED" w:rsidRDefault="00B531BE" w:rsidP="00AD5B5B">
            <w:pPr>
              <w:spacing w:before="120" w:after="120"/>
              <w:jc w:val="both"/>
              <w:rPr>
                <w:rFonts w:ascii="Times New Roman" w:eastAsia="Calibri" w:hAnsi="Times New Roman" w:cs="Times New Roman"/>
                <w:b/>
                <w:noProof/>
                <w:sz w:val="18"/>
                <w:szCs w:val="18"/>
              </w:rPr>
            </w:pPr>
          </w:p>
        </w:tc>
        <w:tc>
          <w:tcPr>
            <w:tcW w:w="833" w:type="dxa"/>
            <w:vMerge w:val="restart"/>
          </w:tcPr>
          <w:p w14:paraId="37B00DB7"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Принос на ЕС</w:t>
            </w:r>
          </w:p>
        </w:tc>
        <w:tc>
          <w:tcPr>
            <w:tcW w:w="1878" w:type="dxa"/>
            <w:gridSpan w:val="2"/>
          </w:tcPr>
          <w:p w14:paraId="024D5082" w14:textId="55776446"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Breakdown of Union contribution</w:t>
            </w:r>
          </w:p>
        </w:tc>
        <w:tc>
          <w:tcPr>
            <w:tcW w:w="1220" w:type="dxa"/>
            <w:vMerge w:val="restart"/>
          </w:tcPr>
          <w:p w14:paraId="60233247" w14:textId="7777777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Национален принос</w:t>
            </w:r>
          </w:p>
          <w:p w14:paraId="414CACBA" w14:textId="77777777" w:rsidR="00B531BE" w:rsidRPr="00171DED" w:rsidRDefault="00B531BE" w:rsidP="00AD5B5B">
            <w:pPr>
              <w:spacing w:before="120" w:after="120"/>
              <w:jc w:val="both"/>
              <w:rPr>
                <w:rFonts w:ascii="Times New Roman" w:eastAsia="Calibri" w:hAnsi="Times New Roman" w:cs="Times New Roman"/>
                <w:b/>
                <w:noProof/>
                <w:sz w:val="18"/>
                <w:szCs w:val="20"/>
              </w:rPr>
            </w:pPr>
          </w:p>
          <w:p w14:paraId="00366AB9" w14:textId="358B3ABB"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(b)=(c)+(d)</w:t>
            </w:r>
          </w:p>
        </w:tc>
        <w:tc>
          <w:tcPr>
            <w:tcW w:w="1619" w:type="dxa"/>
            <w:gridSpan w:val="2"/>
          </w:tcPr>
          <w:p w14:paraId="597BB841" w14:textId="69125AE8"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Ориентировъчно разпределение на националното участие</w:t>
            </w:r>
          </w:p>
        </w:tc>
        <w:tc>
          <w:tcPr>
            <w:tcW w:w="1097" w:type="dxa"/>
            <w:vMerge w:val="restart"/>
          </w:tcPr>
          <w:p w14:paraId="7A586928"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Общо</w:t>
            </w:r>
          </w:p>
        </w:tc>
        <w:tc>
          <w:tcPr>
            <w:tcW w:w="1481" w:type="dxa"/>
            <w:vMerge w:val="restart"/>
          </w:tcPr>
          <w:p w14:paraId="2CC711AD"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Процент на съфинансиране</w:t>
            </w:r>
          </w:p>
        </w:tc>
      </w:tr>
      <w:tr w:rsidR="00F77217" w:rsidRPr="00171DED" w14:paraId="0A04A198" w14:textId="77777777" w:rsidTr="00B74077">
        <w:trPr>
          <w:trHeight w:val="170"/>
          <w:jc w:val="center"/>
        </w:trPr>
        <w:tc>
          <w:tcPr>
            <w:tcW w:w="1176" w:type="dxa"/>
            <w:vMerge/>
          </w:tcPr>
          <w:p w14:paraId="08917794"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109" w:type="dxa"/>
            <w:vMerge/>
            <w:tcBorders>
              <w:bottom w:val="nil"/>
            </w:tcBorders>
          </w:tcPr>
          <w:p w14:paraId="4FA52156"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438" w:type="dxa"/>
            <w:vMerge/>
            <w:tcBorders>
              <w:bottom w:val="nil"/>
            </w:tcBorders>
          </w:tcPr>
          <w:p w14:paraId="0CFCBF68"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003" w:type="dxa"/>
            <w:vMerge/>
            <w:tcBorders>
              <w:bottom w:val="nil"/>
            </w:tcBorders>
          </w:tcPr>
          <w:p w14:paraId="5747A01E"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140" w:type="dxa"/>
            <w:vMerge/>
            <w:tcBorders>
              <w:bottom w:val="nil"/>
            </w:tcBorders>
          </w:tcPr>
          <w:p w14:paraId="71D68699"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833" w:type="dxa"/>
            <w:vMerge/>
            <w:tcBorders>
              <w:bottom w:val="nil"/>
            </w:tcBorders>
          </w:tcPr>
          <w:p w14:paraId="4DF68468"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878" w:type="dxa"/>
            <w:gridSpan w:val="2"/>
            <w:tcBorders>
              <w:bottom w:val="nil"/>
            </w:tcBorders>
          </w:tcPr>
          <w:p w14:paraId="510E3E71" w14:textId="77777777" w:rsidR="00B531BE" w:rsidRPr="00171DED" w:rsidRDefault="00B531BE" w:rsidP="00584F2A">
            <w:pPr>
              <w:spacing w:before="120" w:after="120"/>
              <w:jc w:val="both"/>
              <w:rPr>
                <w:rFonts w:ascii="Times New Roman" w:eastAsia="Calibri" w:hAnsi="Times New Roman" w:cs="Times New Roman"/>
                <w:b/>
                <w:noProof/>
                <w:sz w:val="16"/>
                <w:szCs w:val="20"/>
              </w:rPr>
            </w:pPr>
          </w:p>
        </w:tc>
        <w:tc>
          <w:tcPr>
            <w:tcW w:w="1220" w:type="dxa"/>
            <w:vMerge/>
            <w:tcBorders>
              <w:bottom w:val="nil"/>
            </w:tcBorders>
          </w:tcPr>
          <w:p w14:paraId="67662F66" w14:textId="77777777" w:rsidR="00B531BE" w:rsidRPr="00171DED" w:rsidRDefault="00B531BE" w:rsidP="00584F2A">
            <w:pPr>
              <w:spacing w:before="120" w:after="120"/>
              <w:jc w:val="both"/>
              <w:rPr>
                <w:rFonts w:ascii="Times New Roman" w:eastAsia="Calibri" w:hAnsi="Times New Roman" w:cs="Times New Roman"/>
                <w:b/>
                <w:noProof/>
                <w:sz w:val="16"/>
                <w:szCs w:val="20"/>
              </w:rPr>
            </w:pPr>
          </w:p>
        </w:tc>
        <w:tc>
          <w:tcPr>
            <w:tcW w:w="911" w:type="dxa"/>
            <w:tcBorders>
              <w:bottom w:val="nil"/>
            </w:tcBorders>
          </w:tcPr>
          <w:p w14:paraId="5FA114AC" w14:textId="42A8F906" w:rsidR="00B531BE" w:rsidRPr="00171DED" w:rsidRDefault="00B531BE" w:rsidP="00584F2A">
            <w:pPr>
              <w:spacing w:before="120" w:after="120"/>
              <w:jc w:val="both"/>
              <w:rPr>
                <w:rFonts w:ascii="Times New Roman" w:eastAsia="Calibri" w:hAnsi="Times New Roman" w:cs="Times New Roman"/>
                <w:b/>
                <w:noProof/>
                <w:sz w:val="16"/>
                <w:szCs w:val="16"/>
              </w:rPr>
            </w:pPr>
            <w:r w:rsidRPr="00171DED">
              <w:rPr>
                <w:rFonts w:ascii="Times New Roman" w:eastAsia="Calibri" w:hAnsi="Times New Roman" w:cs="Times New Roman"/>
                <w:b/>
                <w:noProof/>
                <w:sz w:val="16"/>
                <w:szCs w:val="20"/>
              </w:rPr>
              <w:t xml:space="preserve">публично </w:t>
            </w:r>
          </w:p>
        </w:tc>
        <w:tc>
          <w:tcPr>
            <w:tcW w:w="708" w:type="dxa"/>
            <w:tcBorders>
              <w:bottom w:val="nil"/>
            </w:tcBorders>
          </w:tcPr>
          <w:p w14:paraId="41A2F927" w14:textId="77777777" w:rsidR="00B531BE" w:rsidRPr="00171DED" w:rsidRDefault="00B531BE" w:rsidP="00584F2A">
            <w:pPr>
              <w:spacing w:before="120" w:after="120"/>
              <w:jc w:val="both"/>
              <w:rPr>
                <w:rFonts w:ascii="Times New Roman" w:eastAsia="Calibri" w:hAnsi="Times New Roman" w:cs="Times New Roman"/>
                <w:b/>
                <w:noProof/>
                <w:sz w:val="16"/>
                <w:szCs w:val="16"/>
              </w:rPr>
            </w:pPr>
            <w:r w:rsidRPr="00171DED">
              <w:rPr>
                <w:rFonts w:ascii="Times New Roman" w:eastAsia="Calibri" w:hAnsi="Times New Roman" w:cs="Times New Roman"/>
                <w:b/>
                <w:noProof/>
                <w:sz w:val="16"/>
                <w:szCs w:val="20"/>
              </w:rPr>
              <w:t xml:space="preserve">частно </w:t>
            </w:r>
          </w:p>
        </w:tc>
        <w:tc>
          <w:tcPr>
            <w:tcW w:w="1097" w:type="dxa"/>
            <w:vMerge/>
            <w:tcBorders>
              <w:bottom w:val="nil"/>
            </w:tcBorders>
          </w:tcPr>
          <w:p w14:paraId="243D31E0"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481" w:type="dxa"/>
            <w:vMerge/>
            <w:tcBorders>
              <w:bottom w:val="nil"/>
            </w:tcBorders>
          </w:tcPr>
          <w:p w14:paraId="5AAF16A5"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r>
      <w:tr w:rsidR="00C10173" w:rsidRPr="00171DED" w14:paraId="2F941649" w14:textId="77777777" w:rsidTr="00B74077">
        <w:trPr>
          <w:jc w:val="center"/>
        </w:trPr>
        <w:tc>
          <w:tcPr>
            <w:tcW w:w="1176" w:type="dxa"/>
            <w:vMerge/>
          </w:tcPr>
          <w:p w14:paraId="6EB7FC0A"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109" w:type="dxa"/>
            <w:tcBorders>
              <w:top w:val="nil"/>
            </w:tcBorders>
          </w:tcPr>
          <w:p w14:paraId="234CF1D6"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438" w:type="dxa"/>
            <w:tcBorders>
              <w:top w:val="nil"/>
            </w:tcBorders>
          </w:tcPr>
          <w:p w14:paraId="59E66F4A"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003" w:type="dxa"/>
            <w:tcBorders>
              <w:top w:val="nil"/>
            </w:tcBorders>
          </w:tcPr>
          <w:p w14:paraId="78484DD6"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140" w:type="dxa"/>
            <w:tcBorders>
              <w:top w:val="nil"/>
            </w:tcBorders>
          </w:tcPr>
          <w:p w14:paraId="08DEF06C"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833" w:type="dxa"/>
            <w:tcBorders>
              <w:top w:val="nil"/>
            </w:tcBorders>
          </w:tcPr>
          <w:p w14:paraId="6BBA2571" w14:textId="586B47EF" w:rsidR="00B531BE" w:rsidRPr="00171DED" w:rsidRDefault="00B531BE" w:rsidP="00584F2A">
            <w:pPr>
              <w:spacing w:before="120" w:after="120"/>
              <w:jc w:val="center"/>
              <w:rPr>
                <w:rFonts w:ascii="Times New Roman" w:eastAsia="Calibri" w:hAnsi="Times New Roman" w:cs="Times New Roman"/>
                <w:noProof/>
                <w:sz w:val="16"/>
                <w:szCs w:val="16"/>
                <w:lang w:val="en-US"/>
              </w:rPr>
            </w:pPr>
            <w:r w:rsidRPr="00171DED">
              <w:rPr>
                <w:rFonts w:ascii="Times New Roman" w:eastAsia="Calibri" w:hAnsi="Times New Roman" w:cs="Times New Roman"/>
                <w:noProof/>
                <w:sz w:val="16"/>
                <w:szCs w:val="20"/>
              </w:rPr>
              <w:t>(a)= (g)+(h)</w:t>
            </w:r>
          </w:p>
        </w:tc>
        <w:tc>
          <w:tcPr>
            <w:tcW w:w="997" w:type="dxa"/>
            <w:tcBorders>
              <w:top w:val="nil"/>
            </w:tcBorders>
          </w:tcPr>
          <w:p w14:paraId="115170C0" w14:textId="77777777"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EU contribution less the flexibility amount</w:t>
            </w:r>
          </w:p>
          <w:p w14:paraId="45EE2FE3" w14:textId="7C5F29BF"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(g)</w:t>
            </w:r>
          </w:p>
        </w:tc>
        <w:tc>
          <w:tcPr>
            <w:tcW w:w="881" w:type="dxa"/>
            <w:tcBorders>
              <w:top w:val="nil"/>
            </w:tcBorders>
          </w:tcPr>
          <w:p w14:paraId="76806D62" w14:textId="77777777"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Flexibility amount</w:t>
            </w:r>
          </w:p>
          <w:p w14:paraId="4B578A7B" w14:textId="37F13985"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(h)</w:t>
            </w:r>
          </w:p>
        </w:tc>
        <w:tc>
          <w:tcPr>
            <w:tcW w:w="1220" w:type="dxa"/>
            <w:tcBorders>
              <w:top w:val="nil"/>
            </w:tcBorders>
          </w:tcPr>
          <w:p w14:paraId="557AC02B" w14:textId="77777777" w:rsidR="00B531BE" w:rsidRPr="00171DED" w:rsidRDefault="00B531BE" w:rsidP="00584F2A">
            <w:pPr>
              <w:spacing w:before="120" w:after="120"/>
              <w:jc w:val="center"/>
              <w:rPr>
                <w:rFonts w:ascii="Times New Roman" w:eastAsia="Calibri" w:hAnsi="Times New Roman" w:cs="Times New Roman"/>
                <w:noProof/>
                <w:sz w:val="16"/>
                <w:szCs w:val="20"/>
              </w:rPr>
            </w:pPr>
          </w:p>
        </w:tc>
        <w:tc>
          <w:tcPr>
            <w:tcW w:w="911" w:type="dxa"/>
            <w:tcBorders>
              <w:top w:val="nil"/>
            </w:tcBorders>
          </w:tcPr>
          <w:p w14:paraId="7F4B046F" w14:textId="56354A93"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(c)</w:t>
            </w:r>
          </w:p>
        </w:tc>
        <w:tc>
          <w:tcPr>
            <w:tcW w:w="708" w:type="dxa"/>
            <w:tcBorders>
              <w:top w:val="nil"/>
            </w:tcBorders>
          </w:tcPr>
          <w:p w14:paraId="7BF61BD8" w14:textId="77777777"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(d)</w:t>
            </w:r>
          </w:p>
        </w:tc>
        <w:tc>
          <w:tcPr>
            <w:tcW w:w="1097" w:type="dxa"/>
            <w:tcBorders>
              <w:top w:val="nil"/>
            </w:tcBorders>
          </w:tcPr>
          <w:p w14:paraId="2B9721AF" w14:textId="77777777"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(e)=(a)+(b)**</w:t>
            </w:r>
          </w:p>
        </w:tc>
        <w:tc>
          <w:tcPr>
            <w:tcW w:w="1481" w:type="dxa"/>
            <w:tcBorders>
              <w:top w:val="nil"/>
            </w:tcBorders>
          </w:tcPr>
          <w:p w14:paraId="5FF405EC" w14:textId="77777777"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(f)=(a)/(e)**</w:t>
            </w:r>
          </w:p>
        </w:tc>
      </w:tr>
      <w:tr w:rsidR="00C10173" w:rsidRPr="00171DED" w14:paraId="388BB942" w14:textId="77777777" w:rsidTr="00B74077">
        <w:trPr>
          <w:jc w:val="center"/>
        </w:trPr>
        <w:tc>
          <w:tcPr>
            <w:tcW w:w="1176" w:type="dxa"/>
            <w:vMerge w:val="restart"/>
          </w:tcPr>
          <w:p w14:paraId="5F27C968"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109" w:type="dxa"/>
            <w:vMerge w:val="restart"/>
          </w:tcPr>
          <w:p w14:paraId="14668149" w14:textId="77777777"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1</w:t>
            </w:r>
          </w:p>
        </w:tc>
        <w:tc>
          <w:tcPr>
            <w:tcW w:w="1438" w:type="dxa"/>
            <w:vMerge w:val="restart"/>
          </w:tcPr>
          <w:p w14:paraId="3B7A9394" w14:textId="4974BF65"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vMerge w:val="restart"/>
          </w:tcPr>
          <w:p w14:paraId="687C683C" w14:textId="77777777"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w:t>
            </w:r>
          </w:p>
        </w:tc>
        <w:tc>
          <w:tcPr>
            <w:tcW w:w="1140" w:type="dxa"/>
          </w:tcPr>
          <w:p w14:paraId="07B7ACFA" w14:textId="6AA1C244" w:rsidR="00B531BE" w:rsidRPr="00171DED" w:rsidRDefault="00FE2D83"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По-силно развити региони </w:t>
            </w:r>
          </w:p>
        </w:tc>
        <w:tc>
          <w:tcPr>
            <w:tcW w:w="833" w:type="dxa"/>
          </w:tcPr>
          <w:p w14:paraId="2C73AADE"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997" w:type="dxa"/>
          </w:tcPr>
          <w:p w14:paraId="35A366A0"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881" w:type="dxa"/>
          </w:tcPr>
          <w:p w14:paraId="5AAE52A0" w14:textId="78C84246" w:rsidR="00B531BE" w:rsidRPr="00171DED" w:rsidRDefault="00B531BE" w:rsidP="00E222F7">
            <w:pPr>
              <w:spacing w:before="120" w:after="120"/>
              <w:jc w:val="both"/>
              <w:rPr>
                <w:rFonts w:ascii="Times New Roman" w:eastAsia="Calibri" w:hAnsi="Times New Roman" w:cs="Times New Roman"/>
                <w:noProof/>
                <w:sz w:val="16"/>
                <w:szCs w:val="16"/>
              </w:rPr>
            </w:pPr>
          </w:p>
        </w:tc>
        <w:tc>
          <w:tcPr>
            <w:tcW w:w="1220" w:type="dxa"/>
          </w:tcPr>
          <w:p w14:paraId="4D57A909"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911" w:type="dxa"/>
          </w:tcPr>
          <w:p w14:paraId="73E375E0" w14:textId="612B187F" w:rsidR="00B531BE" w:rsidRPr="00171DED" w:rsidRDefault="00B531BE" w:rsidP="00E222F7">
            <w:pPr>
              <w:spacing w:before="120" w:after="120"/>
              <w:jc w:val="both"/>
              <w:rPr>
                <w:rFonts w:ascii="Times New Roman" w:eastAsia="Calibri" w:hAnsi="Times New Roman" w:cs="Times New Roman"/>
                <w:noProof/>
                <w:sz w:val="16"/>
                <w:szCs w:val="16"/>
              </w:rPr>
            </w:pPr>
          </w:p>
        </w:tc>
        <w:tc>
          <w:tcPr>
            <w:tcW w:w="708" w:type="dxa"/>
          </w:tcPr>
          <w:p w14:paraId="782DF79A"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097" w:type="dxa"/>
          </w:tcPr>
          <w:p w14:paraId="1680B813"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481" w:type="dxa"/>
          </w:tcPr>
          <w:p w14:paraId="63225E62"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r>
      <w:tr w:rsidR="00C10173" w:rsidRPr="00171DED" w14:paraId="2F1D4E8E" w14:textId="77777777" w:rsidTr="00B74077">
        <w:trPr>
          <w:jc w:val="center"/>
        </w:trPr>
        <w:tc>
          <w:tcPr>
            <w:tcW w:w="1176" w:type="dxa"/>
            <w:vMerge/>
          </w:tcPr>
          <w:p w14:paraId="634EE2C7" w14:textId="77777777" w:rsidR="00541E40" w:rsidRPr="00171DED" w:rsidRDefault="00541E40" w:rsidP="00584F2A">
            <w:pPr>
              <w:spacing w:before="120" w:after="120"/>
              <w:jc w:val="both"/>
              <w:rPr>
                <w:rFonts w:ascii="Times New Roman" w:eastAsia="Calibri" w:hAnsi="Times New Roman" w:cs="Times New Roman"/>
                <w:noProof/>
                <w:sz w:val="16"/>
                <w:szCs w:val="16"/>
              </w:rPr>
            </w:pPr>
            <w:bookmarkStart w:id="15" w:name="_Hlk62571345"/>
          </w:p>
        </w:tc>
        <w:tc>
          <w:tcPr>
            <w:tcW w:w="1109" w:type="dxa"/>
            <w:vMerge/>
          </w:tcPr>
          <w:p w14:paraId="645EE945"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438" w:type="dxa"/>
            <w:vMerge/>
          </w:tcPr>
          <w:p w14:paraId="2827FB5F"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003" w:type="dxa"/>
            <w:vMerge/>
          </w:tcPr>
          <w:p w14:paraId="20E3364B"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140" w:type="dxa"/>
          </w:tcPr>
          <w:p w14:paraId="132FEDD2" w14:textId="5AA69B52" w:rsidR="00541E40" w:rsidRPr="00171DED" w:rsidRDefault="00541E40" w:rsidP="00584F2A">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 xml:space="preserve">Преход </w:t>
            </w:r>
          </w:p>
          <w:p w14:paraId="47A6995D" w14:textId="6859DC63" w:rsidR="00541E40" w:rsidRPr="00171DED" w:rsidRDefault="00541E40" w:rsidP="00584F2A">
            <w:pPr>
              <w:spacing w:before="120" w:after="120"/>
              <w:jc w:val="both"/>
              <w:rPr>
                <w:rFonts w:ascii="Times New Roman" w:eastAsia="Calibri" w:hAnsi="Times New Roman" w:cs="Times New Roman"/>
                <w:noProof/>
                <w:sz w:val="16"/>
                <w:szCs w:val="16"/>
              </w:rPr>
            </w:pPr>
          </w:p>
        </w:tc>
        <w:tc>
          <w:tcPr>
            <w:tcW w:w="833" w:type="dxa"/>
          </w:tcPr>
          <w:p w14:paraId="5D564E83" w14:textId="7477A017"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297 816 243,00</w:t>
            </w:r>
          </w:p>
        </w:tc>
        <w:tc>
          <w:tcPr>
            <w:tcW w:w="997" w:type="dxa"/>
          </w:tcPr>
          <w:p w14:paraId="629E9508" w14:textId="77777777" w:rsidR="00541E40" w:rsidRPr="00541E40" w:rsidRDefault="00541E40" w:rsidP="00F77217">
            <w:pPr>
              <w:spacing w:before="120" w:after="120"/>
              <w:jc w:val="both"/>
              <w:rPr>
                <w:rFonts w:ascii="Times New Roman" w:eastAsia="Calibri" w:hAnsi="Times New Roman" w:cs="Times New Roman"/>
                <w:noProof/>
                <w:sz w:val="16"/>
                <w:szCs w:val="16"/>
              </w:rPr>
            </w:pPr>
          </w:p>
        </w:tc>
        <w:tc>
          <w:tcPr>
            <w:tcW w:w="881" w:type="dxa"/>
          </w:tcPr>
          <w:p w14:paraId="01FC6207" w14:textId="51E1E86E" w:rsidR="00541E40" w:rsidRPr="00541E40" w:rsidRDefault="00541E40" w:rsidP="00F77217">
            <w:pPr>
              <w:spacing w:before="120" w:after="120"/>
              <w:jc w:val="both"/>
              <w:rPr>
                <w:rFonts w:ascii="Times New Roman" w:eastAsia="Calibri" w:hAnsi="Times New Roman" w:cs="Times New Roman"/>
                <w:noProof/>
                <w:sz w:val="16"/>
                <w:szCs w:val="16"/>
              </w:rPr>
            </w:pPr>
          </w:p>
        </w:tc>
        <w:tc>
          <w:tcPr>
            <w:tcW w:w="1220" w:type="dxa"/>
          </w:tcPr>
          <w:p w14:paraId="15192830" w14:textId="61EE85CB"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127 635 533,00</w:t>
            </w:r>
          </w:p>
        </w:tc>
        <w:tc>
          <w:tcPr>
            <w:tcW w:w="911" w:type="dxa"/>
          </w:tcPr>
          <w:p w14:paraId="7EBE0A01" w14:textId="00638E65"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127 635 533,00</w:t>
            </w:r>
          </w:p>
        </w:tc>
        <w:tc>
          <w:tcPr>
            <w:tcW w:w="708" w:type="dxa"/>
          </w:tcPr>
          <w:p w14:paraId="5B92B921" w14:textId="065A6428"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0,00</w:t>
            </w:r>
          </w:p>
        </w:tc>
        <w:tc>
          <w:tcPr>
            <w:tcW w:w="1097" w:type="dxa"/>
          </w:tcPr>
          <w:p w14:paraId="26D50F11" w14:textId="54C10421"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425 451 776,00</w:t>
            </w:r>
          </w:p>
        </w:tc>
        <w:tc>
          <w:tcPr>
            <w:tcW w:w="1481" w:type="dxa"/>
          </w:tcPr>
          <w:p w14:paraId="56AFBE1D" w14:textId="0BC83906"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69,9999999530%</w:t>
            </w:r>
          </w:p>
        </w:tc>
      </w:tr>
      <w:tr w:rsidR="00C10173" w:rsidRPr="00171DED" w14:paraId="1EB05F74" w14:textId="77777777" w:rsidTr="00B74077">
        <w:trPr>
          <w:jc w:val="center"/>
        </w:trPr>
        <w:tc>
          <w:tcPr>
            <w:tcW w:w="1176" w:type="dxa"/>
            <w:vMerge/>
          </w:tcPr>
          <w:p w14:paraId="125B6645"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109" w:type="dxa"/>
            <w:vMerge/>
          </w:tcPr>
          <w:p w14:paraId="576F1FE2"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438" w:type="dxa"/>
            <w:vMerge/>
          </w:tcPr>
          <w:p w14:paraId="5D27117E"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003" w:type="dxa"/>
            <w:vMerge/>
          </w:tcPr>
          <w:p w14:paraId="3ED6FA4C"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140" w:type="dxa"/>
          </w:tcPr>
          <w:p w14:paraId="584D022F" w14:textId="1C59E4FE" w:rsidR="00541E40" w:rsidRPr="00171DED" w:rsidRDefault="00541E40" w:rsidP="00584F2A">
            <w:pPr>
              <w:spacing w:before="120" w:after="120"/>
              <w:jc w:val="both"/>
              <w:rPr>
                <w:rFonts w:ascii="Times New Roman" w:eastAsia="Times New Roman" w:hAnsi="Times New Roman" w:cs="Times New Roman"/>
                <w:iCs/>
                <w:noProof/>
                <w:sz w:val="16"/>
                <w:szCs w:val="16"/>
              </w:rPr>
            </w:pPr>
            <w:r w:rsidRPr="00171DED">
              <w:rPr>
                <w:rFonts w:ascii="Times New Roman" w:eastAsia="Times New Roman" w:hAnsi="Times New Roman" w:cs="Times New Roman"/>
                <w:iCs/>
                <w:noProof/>
                <w:sz w:val="16"/>
                <w:szCs w:val="16"/>
              </w:rPr>
              <w:t>По-слабо развити региони</w:t>
            </w:r>
          </w:p>
        </w:tc>
        <w:tc>
          <w:tcPr>
            <w:tcW w:w="833" w:type="dxa"/>
          </w:tcPr>
          <w:p w14:paraId="1D59B758" w14:textId="2C458E4A"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255 266 395,00</w:t>
            </w:r>
          </w:p>
        </w:tc>
        <w:tc>
          <w:tcPr>
            <w:tcW w:w="997" w:type="dxa"/>
          </w:tcPr>
          <w:p w14:paraId="15E6CA0C" w14:textId="77777777" w:rsidR="00541E40" w:rsidRPr="00541E40" w:rsidRDefault="00541E40" w:rsidP="00F77217">
            <w:pPr>
              <w:spacing w:before="120" w:after="120"/>
              <w:jc w:val="both"/>
              <w:rPr>
                <w:rFonts w:ascii="Times New Roman" w:eastAsia="Calibri" w:hAnsi="Times New Roman" w:cs="Times New Roman"/>
                <w:noProof/>
                <w:sz w:val="16"/>
                <w:szCs w:val="16"/>
              </w:rPr>
            </w:pPr>
          </w:p>
        </w:tc>
        <w:tc>
          <w:tcPr>
            <w:tcW w:w="881" w:type="dxa"/>
          </w:tcPr>
          <w:p w14:paraId="7B0F437D" w14:textId="3FEA2DAB" w:rsidR="00541E40" w:rsidRPr="00541E40" w:rsidRDefault="00541E40" w:rsidP="00F77217">
            <w:pPr>
              <w:spacing w:before="120" w:after="120"/>
              <w:jc w:val="both"/>
              <w:rPr>
                <w:rFonts w:ascii="Times New Roman" w:eastAsia="Calibri" w:hAnsi="Times New Roman" w:cs="Times New Roman"/>
                <w:noProof/>
                <w:sz w:val="16"/>
                <w:szCs w:val="16"/>
              </w:rPr>
            </w:pPr>
          </w:p>
        </w:tc>
        <w:tc>
          <w:tcPr>
            <w:tcW w:w="1220" w:type="dxa"/>
          </w:tcPr>
          <w:p w14:paraId="6455B2F7" w14:textId="168F9936"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45 047 011,00</w:t>
            </w:r>
          </w:p>
        </w:tc>
        <w:tc>
          <w:tcPr>
            <w:tcW w:w="911" w:type="dxa"/>
          </w:tcPr>
          <w:p w14:paraId="1BC5ECF6" w14:textId="16FB291E"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45 047 011,00</w:t>
            </w:r>
          </w:p>
        </w:tc>
        <w:tc>
          <w:tcPr>
            <w:tcW w:w="708" w:type="dxa"/>
          </w:tcPr>
          <w:p w14:paraId="13204846" w14:textId="3C651F04"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0,00</w:t>
            </w:r>
          </w:p>
        </w:tc>
        <w:tc>
          <w:tcPr>
            <w:tcW w:w="1097" w:type="dxa"/>
          </w:tcPr>
          <w:p w14:paraId="58817407" w14:textId="0E63C25C"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300 313 406,00</w:t>
            </w:r>
          </w:p>
        </w:tc>
        <w:tc>
          <w:tcPr>
            <w:tcW w:w="1481" w:type="dxa"/>
          </w:tcPr>
          <w:p w14:paraId="794D1F22" w14:textId="2423F819"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84,9999999667%</w:t>
            </w:r>
          </w:p>
        </w:tc>
      </w:tr>
      <w:bookmarkEnd w:id="15"/>
      <w:tr w:rsidR="00C10173" w:rsidRPr="0010575B" w14:paraId="7688F4A0" w14:textId="77777777" w:rsidTr="00B74077">
        <w:trPr>
          <w:jc w:val="center"/>
        </w:trPr>
        <w:tc>
          <w:tcPr>
            <w:tcW w:w="1176" w:type="dxa"/>
            <w:vMerge/>
          </w:tcPr>
          <w:p w14:paraId="6F4AA19B"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109" w:type="dxa"/>
            <w:vMerge/>
          </w:tcPr>
          <w:p w14:paraId="1D26A78E"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438" w:type="dxa"/>
            <w:vMerge/>
          </w:tcPr>
          <w:p w14:paraId="6EF6A9F5"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003" w:type="dxa"/>
            <w:vMerge/>
          </w:tcPr>
          <w:p w14:paraId="07E2FEC3"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140" w:type="dxa"/>
          </w:tcPr>
          <w:p w14:paraId="2A5441E7" w14:textId="77777777" w:rsidR="00B531BE" w:rsidRPr="00171DED" w:rsidRDefault="00B531BE"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Специално разпределен</w:t>
            </w:r>
            <w:r w:rsidRPr="00171DED">
              <w:rPr>
                <w:rFonts w:ascii="Times New Roman" w:eastAsia="Calibri" w:hAnsi="Times New Roman" w:cs="Times New Roman"/>
                <w:noProof/>
                <w:sz w:val="16"/>
                <w:szCs w:val="20"/>
              </w:rPr>
              <w:lastRenderedPageBreak/>
              <w:t>и средства за най-отдалечените региони или северните слабо населени региони</w:t>
            </w:r>
          </w:p>
        </w:tc>
        <w:tc>
          <w:tcPr>
            <w:tcW w:w="833" w:type="dxa"/>
          </w:tcPr>
          <w:p w14:paraId="7D710432"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997" w:type="dxa"/>
          </w:tcPr>
          <w:p w14:paraId="62DFD48E"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881" w:type="dxa"/>
          </w:tcPr>
          <w:p w14:paraId="09815E00" w14:textId="24120894" w:rsidR="00B531BE" w:rsidRPr="00171DED" w:rsidRDefault="00B531BE" w:rsidP="00584F2A">
            <w:pPr>
              <w:spacing w:before="120" w:after="120"/>
              <w:jc w:val="both"/>
              <w:rPr>
                <w:rFonts w:ascii="Times New Roman" w:eastAsia="Calibri" w:hAnsi="Times New Roman" w:cs="Times New Roman"/>
                <w:noProof/>
                <w:sz w:val="16"/>
                <w:szCs w:val="16"/>
              </w:rPr>
            </w:pPr>
          </w:p>
        </w:tc>
        <w:tc>
          <w:tcPr>
            <w:tcW w:w="1220" w:type="dxa"/>
          </w:tcPr>
          <w:p w14:paraId="40A91C2B"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911" w:type="dxa"/>
          </w:tcPr>
          <w:p w14:paraId="63E5A96E" w14:textId="46BFA1A5" w:rsidR="00B531BE" w:rsidRPr="00171DED" w:rsidRDefault="00B531BE" w:rsidP="00584F2A">
            <w:pPr>
              <w:spacing w:before="120" w:after="120"/>
              <w:jc w:val="both"/>
              <w:rPr>
                <w:rFonts w:ascii="Times New Roman" w:eastAsia="Calibri" w:hAnsi="Times New Roman" w:cs="Times New Roman"/>
                <w:noProof/>
                <w:sz w:val="16"/>
                <w:szCs w:val="16"/>
              </w:rPr>
            </w:pPr>
          </w:p>
        </w:tc>
        <w:tc>
          <w:tcPr>
            <w:tcW w:w="708" w:type="dxa"/>
          </w:tcPr>
          <w:p w14:paraId="7CA1D685"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097" w:type="dxa"/>
          </w:tcPr>
          <w:p w14:paraId="67AFAC4B"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481" w:type="dxa"/>
          </w:tcPr>
          <w:p w14:paraId="59719C60"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r>
      <w:tr w:rsidR="00C10173" w:rsidRPr="00171DED" w14:paraId="5438C0ED" w14:textId="77777777" w:rsidTr="00B74077">
        <w:trPr>
          <w:jc w:val="center"/>
        </w:trPr>
        <w:tc>
          <w:tcPr>
            <w:tcW w:w="1176" w:type="dxa"/>
            <w:vMerge w:val="restart"/>
          </w:tcPr>
          <w:p w14:paraId="7F1D9196" w14:textId="77777777" w:rsidR="00C10173" w:rsidRPr="00171DED" w:rsidRDefault="00C10173" w:rsidP="00F77217">
            <w:pPr>
              <w:spacing w:before="120" w:after="120"/>
              <w:jc w:val="both"/>
              <w:rPr>
                <w:rFonts w:ascii="Times New Roman" w:eastAsia="Calibri" w:hAnsi="Times New Roman" w:cs="Times New Roman"/>
                <w:noProof/>
                <w:sz w:val="16"/>
                <w:szCs w:val="16"/>
              </w:rPr>
            </w:pPr>
          </w:p>
        </w:tc>
        <w:tc>
          <w:tcPr>
            <w:tcW w:w="1109" w:type="dxa"/>
          </w:tcPr>
          <w:p w14:paraId="2C672440" w14:textId="77777777" w:rsidR="00C10173" w:rsidRPr="00171DED" w:rsidRDefault="00C10173" w:rsidP="00F7721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2</w:t>
            </w:r>
          </w:p>
        </w:tc>
        <w:tc>
          <w:tcPr>
            <w:tcW w:w="1438" w:type="dxa"/>
          </w:tcPr>
          <w:p w14:paraId="0BE66F5D" w14:textId="7128DD0F" w:rsidR="00C10173" w:rsidRPr="00171DED" w:rsidRDefault="00C10173" w:rsidP="00F7721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tcPr>
          <w:p w14:paraId="224AFA89" w14:textId="7EDD9A70" w:rsidR="00C10173" w:rsidRPr="00F77217" w:rsidRDefault="00C10173" w:rsidP="00F77217">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1140" w:type="dxa"/>
          </w:tcPr>
          <w:p w14:paraId="317A12A4" w14:textId="1EFC44B4" w:rsidR="00C10173" w:rsidRPr="00171DED" w:rsidRDefault="00C10173" w:rsidP="00F77217">
            <w:pPr>
              <w:spacing w:before="120" w:after="120"/>
              <w:jc w:val="both"/>
              <w:rPr>
                <w:rFonts w:ascii="Times New Roman" w:eastAsia="Calibri" w:hAnsi="Times New Roman" w:cs="Times New Roman"/>
                <w:noProof/>
                <w:sz w:val="16"/>
                <w:szCs w:val="16"/>
              </w:rPr>
            </w:pPr>
          </w:p>
        </w:tc>
        <w:tc>
          <w:tcPr>
            <w:tcW w:w="833" w:type="dxa"/>
          </w:tcPr>
          <w:p w14:paraId="3329F240" w14:textId="527B6C9C"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195 501 800,00</w:t>
            </w:r>
          </w:p>
        </w:tc>
        <w:tc>
          <w:tcPr>
            <w:tcW w:w="997" w:type="dxa"/>
          </w:tcPr>
          <w:p w14:paraId="25916E27" w14:textId="77777777" w:rsidR="00C10173" w:rsidRPr="00F77217" w:rsidRDefault="00C10173" w:rsidP="00F77217">
            <w:pPr>
              <w:spacing w:before="120" w:after="120"/>
              <w:rPr>
                <w:rFonts w:ascii="Times New Roman" w:eastAsia="Calibri" w:hAnsi="Times New Roman" w:cs="Times New Roman"/>
                <w:noProof/>
                <w:sz w:val="16"/>
                <w:szCs w:val="16"/>
              </w:rPr>
            </w:pPr>
          </w:p>
        </w:tc>
        <w:tc>
          <w:tcPr>
            <w:tcW w:w="881" w:type="dxa"/>
          </w:tcPr>
          <w:p w14:paraId="6A4A25E1" w14:textId="280010CE" w:rsidR="00C10173" w:rsidRPr="00F77217" w:rsidRDefault="00C10173" w:rsidP="00F77217">
            <w:pPr>
              <w:spacing w:before="120" w:after="120"/>
              <w:rPr>
                <w:rFonts w:ascii="Times New Roman" w:eastAsia="Calibri" w:hAnsi="Times New Roman" w:cs="Times New Roman"/>
                <w:noProof/>
                <w:sz w:val="16"/>
                <w:szCs w:val="16"/>
              </w:rPr>
            </w:pPr>
          </w:p>
        </w:tc>
        <w:tc>
          <w:tcPr>
            <w:tcW w:w="1220" w:type="dxa"/>
          </w:tcPr>
          <w:p w14:paraId="52FD4149" w14:textId="6402912F"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34 500 318,00</w:t>
            </w:r>
          </w:p>
        </w:tc>
        <w:tc>
          <w:tcPr>
            <w:tcW w:w="911" w:type="dxa"/>
          </w:tcPr>
          <w:p w14:paraId="744C446D" w14:textId="5188A339"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34 500 318,00</w:t>
            </w:r>
          </w:p>
        </w:tc>
        <w:tc>
          <w:tcPr>
            <w:tcW w:w="708" w:type="dxa"/>
          </w:tcPr>
          <w:p w14:paraId="2CEA0AB3" w14:textId="01EA91CF"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0,00</w:t>
            </w:r>
          </w:p>
        </w:tc>
        <w:tc>
          <w:tcPr>
            <w:tcW w:w="1097" w:type="dxa"/>
          </w:tcPr>
          <w:p w14:paraId="29A94DAB" w14:textId="1EE86C59"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230 002 118,00</w:t>
            </w:r>
          </w:p>
        </w:tc>
        <w:tc>
          <w:tcPr>
            <w:tcW w:w="1481" w:type="dxa"/>
          </w:tcPr>
          <w:p w14:paraId="5F156E63" w14:textId="55914403"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84,9999998696%</w:t>
            </w:r>
          </w:p>
        </w:tc>
      </w:tr>
      <w:tr w:rsidR="00C10173" w:rsidRPr="00171DED" w14:paraId="28A07FD4" w14:textId="77777777" w:rsidTr="002A6306">
        <w:trPr>
          <w:trHeight w:val="140"/>
          <w:jc w:val="center"/>
        </w:trPr>
        <w:tc>
          <w:tcPr>
            <w:tcW w:w="1176" w:type="dxa"/>
            <w:vMerge/>
          </w:tcPr>
          <w:p w14:paraId="204E32B2"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val="restart"/>
          </w:tcPr>
          <w:p w14:paraId="72FB8E09" w14:textId="0D7828AE"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3</w:t>
            </w:r>
          </w:p>
        </w:tc>
        <w:tc>
          <w:tcPr>
            <w:tcW w:w="1438" w:type="dxa"/>
            <w:vMerge w:val="restart"/>
          </w:tcPr>
          <w:p w14:paraId="3784D207" w14:textId="47B574DF"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vMerge w:val="restart"/>
          </w:tcPr>
          <w:p w14:paraId="7D7A199A" w14:textId="70A69C54"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20"/>
              </w:rPr>
              <w:t>ЕФРР</w:t>
            </w:r>
          </w:p>
        </w:tc>
        <w:tc>
          <w:tcPr>
            <w:tcW w:w="1140" w:type="dxa"/>
          </w:tcPr>
          <w:p w14:paraId="7C9605E3" w14:textId="77777777" w:rsidR="00C10173" w:rsidRPr="00171DED" w:rsidRDefault="00C10173" w:rsidP="00735374">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 xml:space="preserve">Преход </w:t>
            </w:r>
          </w:p>
          <w:p w14:paraId="50351896" w14:textId="4EE471BA" w:rsidR="00C10173" w:rsidRPr="00171DED" w:rsidRDefault="00C10173" w:rsidP="00C10173">
            <w:pPr>
              <w:spacing w:before="120" w:after="120"/>
              <w:jc w:val="both"/>
              <w:rPr>
                <w:rFonts w:ascii="Times New Roman" w:eastAsia="Calibri" w:hAnsi="Times New Roman" w:cs="Times New Roman"/>
                <w:noProof/>
                <w:sz w:val="16"/>
                <w:szCs w:val="16"/>
              </w:rPr>
            </w:pPr>
          </w:p>
        </w:tc>
        <w:tc>
          <w:tcPr>
            <w:tcW w:w="833" w:type="dxa"/>
          </w:tcPr>
          <w:p w14:paraId="1FFD2536" w14:textId="6A27A47B" w:rsidR="00C10173" w:rsidRPr="002A6306" w:rsidRDefault="00C10173" w:rsidP="00C10173">
            <w:pPr>
              <w:spacing w:before="120" w:after="120"/>
              <w:rPr>
                <w:rFonts w:ascii="Times New Roman" w:eastAsia="Calibri" w:hAnsi="Times New Roman" w:cs="Times New Roman"/>
                <w:noProof/>
                <w:sz w:val="16"/>
                <w:szCs w:val="16"/>
              </w:rPr>
            </w:pPr>
            <w:r w:rsidRPr="002A6306">
              <w:rPr>
                <w:rFonts w:ascii="Times New Roman" w:hAnsi="Times New Roman" w:cs="Times New Roman"/>
                <w:sz w:val="16"/>
                <w:szCs w:val="16"/>
              </w:rPr>
              <w:t>10 635 172,00</w:t>
            </w:r>
          </w:p>
        </w:tc>
        <w:tc>
          <w:tcPr>
            <w:tcW w:w="997" w:type="dxa"/>
          </w:tcPr>
          <w:p w14:paraId="182A40A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36DE5718" w14:textId="66F9CC94"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1C9B5A12" w14:textId="68342A14"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4 557 931,00</w:t>
            </w:r>
          </w:p>
        </w:tc>
        <w:tc>
          <w:tcPr>
            <w:tcW w:w="911" w:type="dxa"/>
          </w:tcPr>
          <w:p w14:paraId="255A5050" w14:textId="497FEDC5"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4 557 931,00</w:t>
            </w:r>
          </w:p>
        </w:tc>
        <w:tc>
          <w:tcPr>
            <w:tcW w:w="708" w:type="dxa"/>
          </w:tcPr>
          <w:p w14:paraId="14C7E495" w14:textId="3F616488"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5398E199" w14:textId="65A0F33E"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15 193 103,00</w:t>
            </w:r>
          </w:p>
        </w:tc>
        <w:tc>
          <w:tcPr>
            <w:tcW w:w="1481" w:type="dxa"/>
          </w:tcPr>
          <w:p w14:paraId="2B1390A3" w14:textId="10C5620E"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69,9999993418%</w:t>
            </w:r>
          </w:p>
        </w:tc>
      </w:tr>
      <w:tr w:rsidR="00C10173" w:rsidRPr="00171DED" w14:paraId="66AA632D" w14:textId="77777777" w:rsidTr="00B74077">
        <w:trPr>
          <w:trHeight w:val="140"/>
          <w:jc w:val="center"/>
        </w:trPr>
        <w:tc>
          <w:tcPr>
            <w:tcW w:w="1176" w:type="dxa"/>
            <w:vMerge/>
          </w:tcPr>
          <w:p w14:paraId="59C6E01B"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tcPr>
          <w:p w14:paraId="3D904CB1"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438" w:type="dxa"/>
            <w:vMerge/>
          </w:tcPr>
          <w:p w14:paraId="63DAF6D1"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003" w:type="dxa"/>
            <w:vMerge/>
          </w:tcPr>
          <w:p w14:paraId="623BABEE" w14:textId="77777777" w:rsidR="00C10173" w:rsidRDefault="00C10173" w:rsidP="00C10173">
            <w:pPr>
              <w:spacing w:before="120" w:after="120"/>
              <w:jc w:val="both"/>
              <w:rPr>
                <w:rFonts w:ascii="Times New Roman" w:eastAsia="Calibri" w:hAnsi="Times New Roman" w:cs="Times New Roman"/>
                <w:noProof/>
                <w:sz w:val="16"/>
                <w:szCs w:val="20"/>
              </w:rPr>
            </w:pPr>
          </w:p>
        </w:tc>
        <w:tc>
          <w:tcPr>
            <w:tcW w:w="1140" w:type="dxa"/>
          </w:tcPr>
          <w:p w14:paraId="263FBAE7" w14:textId="226CD18C"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Times New Roman" w:hAnsi="Times New Roman" w:cs="Times New Roman"/>
                <w:iCs/>
                <w:noProof/>
                <w:sz w:val="16"/>
                <w:szCs w:val="16"/>
              </w:rPr>
              <w:t>По-слабо развити региони</w:t>
            </w:r>
          </w:p>
        </w:tc>
        <w:tc>
          <w:tcPr>
            <w:tcW w:w="833" w:type="dxa"/>
          </w:tcPr>
          <w:p w14:paraId="75F209E7" w14:textId="0DDDF33B" w:rsidR="00C10173" w:rsidRPr="002A6306" w:rsidRDefault="00C10173" w:rsidP="00C10173">
            <w:pPr>
              <w:spacing w:before="120" w:after="120"/>
              <w:rPr>
                <w:rFonts w:ascii="Times New Roman" w:eastAsia="Calibri" w:hAnsi="Times New Roman" w:cs="Times New Roman"/>
                <w:noProof/>
                <w:sz w:val="16"/>
                <w:szCs w:val="16"/>
              </w:rPr>
            </w:pPr>
            <w:r w:rsidRPr="002A6306">
              <w:rPr>
                <w:rFonts w:ascii="Times New Roman" w:hAnsi="Times New Roman" w:cs="Times New Roman"/>
                <w:sz w:val="16"/>
                <w:szCs w:val="16"/>
              </w:rPr>
              <w:t>86 425 368,00</w:t>
            </w:r>
          </w:p>
        </w:tc>
        <w:tc>
          <w:tcPr>
            <w:tcW w:w="997" w:type="dxa"/>
          </w:tcPr>
          <w:p w14:paraId="6172E8E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105D43FB"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65059CCB" w14:textId="343F399A"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15 251 536,00</w:t>
            </w:r>
          </w:p>
        </w:tc>
        <w:tc>
          <w:tcPr>
            <w:tcW w:w="911" w:type="dxa"/>
          </w:tcPr>
          <w:p w14:paraId="235D02D2" w14:textId="4BD18871"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15 251 536,00</w:t>
            </w:r>
          </w:p>
        </w:tc>
        <w:tc>
          <w:tcPr>
            <w:tcW w:w="708" w:type="dxa"/>
          </w:tcPr>
          <w:p w14:paraId="4241FB6B" w14:textId="165A81E9"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78571C7F" w14:textId="6AA08D9A"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101 676 904,00</w:t>
            </w:r>
          </w:p>
        </w:tc>
        <w:tc>
          <w:tcPr>
            <w:tcW w:w="1481" w:type="dxa"/>
          </w:tcPr>
          <w:p w14:paraId="40ED322B" w14:textId="7F4F5C5E"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84,9999996066%</w:t>
            </w:r>
          </w:p>
        </w:tc>
      </w:tr>
      <w:tr w:rsidR="00C10173" w:rsidRPr="00171DED" w14:paraId="73961C32" w14:textId="77777777" w:rsidTr="00C10173">
        <w:trPr>
          <w:trHeight w:val="140"/>
          <w:jc w:val="center"/>
        </w:trPr>
        <w:tc>
          <w:tcPr>
            <w:tcW w:w="1176" w:type="dxa"/>
            <w:vMerge/>
          </w:tcPr>
          <w:p w14:paraId="3054ADDA"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val="restart"/>
          </w:tcPr>
          <w:p w14:paraId="3B9E42C3" w14:textId="274229D1"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Приоритет 4</w:t>
            </w:r>
          </w:p>
        </w:tc>
        <w:tc>
          <w:tcPr>
            <w:tcW w:w="1438" w:type="dxa"/>
            <w:vMerge w:val="restart"/>
          </w:tcPr>
          <w:p w14:paraId="41740004" w14:textId="1751628F"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vMerge w:val="restart"/>
          </w:tcPr>
          <w:p w14:paraId="1A3176BE" w14:textId="2420485E"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20"/>
              </w:rPr>
              <w:t>ЕФРР</w:t>
            </w:r>
          </w:p>
        </w:tc>
        <w:tc>
          <w:tcPr>
            <w:tcW w:w="1140" w:type="dxa"/>
          </w:tcPr>
          <w:p w14:paraId="76A50FF7" w14:textId="0B1DE6D3"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Преход </w:t>
            </w:r>
          </w:p>
        </w:tc>
        <w:tc>
          <w:tcPr>
            <w:tcW w:w="833" w:type="dxa"/>
          </w:tcPr>
          <w:p w14:paraId="356278BB" w14:textId="1C47C0B4"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25 409 932,00</w:t>
            </w:r>
          </w:p>
        </w:tc>
        <w:tc>
          <w:tcPr>
            <w:tcW w:w="997" w:type="dxa"/>
          </w:tcPr>
          <w:p w14:paraId="1ADB37D6" w14:textId="77777777" w:rsidR="00C10173" w:rsidRPr="00C10173" w:rsidRDefault="00C10173" w:rsidP="00C10173">
            <w:pPr>
              <w:spacing w:before="120" w:after="120"/>
              <w:rPr>
                <w:rFonts w:ascii="Times New Roman" w:eastAsia="Calibri" w:hAnsi="Times New Roman" w:cs="Times New Roman"/>
                <w:noProof/>
                <w:sz w:val="16"/>
                <w:szCs w:val="16"/>
              </w:rPr>
            </w:pPr>
          </w:p>
        </w:tc>
        <w:tc>
          <w:tcPr>
            <w:tcW w:w="881" w:type="dxa"/>
          </w:tcPr>
          <w:p w14:paraId="0425A084" w14:textId="10C619DF" w:rsidR="00C10173" w:rsidRPr="00C10173" w:rsidRDefault="00C10173" w:rsidP="00C10173">
            <w:pPr>
              <w:spacing w:before="120" w:after="120"/>
              <w:rPr>
                <w:rFonts w:ascii="Times New Roman" w:eastAsia="Calibri" w:hAnsi="Times New Roman" w:cs="Times New Roman"/>
                <w:noProof/>
                <w:sz w:val="16"/>
                <w:szCs w:val="16"/>
              </w:rPr>
            </w:pPr>
          </w:p>
        </w:tc>
        <w:tc>
          <w:tcPr>
            <w:tcW w:w="1220" w:type="dxa"/>
          </w:tcPr>
          <w:p w14:paraId="06324342" w14:textId="2F5F428A"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10 889 971,00</w:t>
            </w:r>
          </w:p>
        </w:tc>
        <w:tc>
          <w:tcPr>
            <w:tcW w:w="911" w:type="dxa"/>
          </w:tcPr>
          <w:p w14:paraId="2FE02EC6" w14:textId="52AA0618"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10 889 971,00</w:t>
            </w:r>
          </w:p>
        </w:tc>
        <w:tc>
          <w:tcPr>
            <w:tcW w:w="708" w:type="dxa"/>
          </w:tcPr>
          <w:p w14:paraId="466F3506" w14:textId="57058B3B"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335211E1" w14:textId="26C09026"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36 299 903,00</w:t>
            </w:r>
          </w:p>
        </w:tc>
        <w:tc>
          <w:tcPr>
            <w:tcW w:w="1481" w:type="dxa"/>
          </w:tcPr>
          <w:p w14:paraId="6E84B163" w14:textId="2430BF32"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69,9999997245%</w:t>
            </w:r>
          </w:p>
        </w:tc>
      </w:tr>
      <w:tr w:rsidR="00C10173" w:rsidRPr="00171DED" w14:paraId="0AE1C6F5" w14:textId="77777777" w:rsidTr="00B74077">
        <w:trPr>
          <w:trHeight w:val="140"/>
          <w:jc w:val="center"/>
        </w:trPr>
        <w:tc>
          <w:tcPr>
            <w:tcW w:w="1176" w:type="dxa"/>
            <w:vMerge/>
          </w:tcPr>
          <w:p w14:paraId="31DFA6D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tcPr>
          <w:p w14:paraId="6C11587B" w14:textId="77777777" w:rsidR="00C10173" w:rsidRDefault="00C10173" w:rsidP="00C10173">
            <w:pPr>
              <w:spacing w:before="120" w:after="120"/>
              <w:jc w:val="both"/>
              <w:rPr>
                <w:rFonts w:ascii="Times New Roman" w:eastAsia="Calibri" w:hAnsi="Times New Roman" w:cs="Times New Roman"/>
                <w:noProof/>
                <w:sz w:val="16"/>
                <w:szCs w:val="16"/>
              </w:rPr>
            </w:pPr>
          </w:p>
        </w:tc>
        <w:tc>
          <w:tcPr>
            <w:tcW w:w="1438" w:type="dxa"/>
            <w:vMerge/>
          </w:tcPr>
          <w:p w14:paraId="707C4B9C"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003" w:type="dxa"/>
            <w:vMerge/>
          </w:tcPr>
          <w:p w14:paraId="6B6D9349" w14:textId="77777777" w:rsidR="00C10173" w:rsidRDefault="00C10173" w:rsidP="00C10173">
            <w:pPr>
              <w:spacing w:before="120" w:after="120"/>
              <w:jc w:val="both"/>
              <w:rPr>
                <w:rFonts w:ascii="Times New Roman" w:eastAsia="Calibri" w:hAnsi="Times New Roman" w:cs="Times New Roman"/>
                <w:noProof/>
                <w:sz w:val="16"/>
                <w:szCs w:val="20"/>
              </w:rPr>
            </w:pPr>
          </w:p>
        </w:tc>
        <w:tc>
          <w:tcPr>
            <w:tcW w:w="1140" w:type="dxa"/>
          </w:tcPr>
          <w:p w14:paraId="65B83BD9" w14:textId="0B3D4217"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По-слабо развити региони </w:t>
            </w:r>
          </w:p>
        </w:tc>
        <w:tc>
          <w:tcPr>
            <w:tcW w:w="833" w:type="dxa"/>
          </w:tcPr>
          <w:p w14:paraId="67DCD610" w14:textId="07B87616"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206 490 589,00</w:t>
            </w:r>
          </w:p>
        </w:tc>
        <w:tc>
          <w:tcPr>
            <w:tcW w:w="997" w:type="dxa"/>
          </w:tcPr>
          <w:p w14:paraId="1E0D02AD" w14:textId="77777777" w:rsidR="00C10173" w:rsidRPr="00C10173" w:rsidRDefault="00C10173" w:rsidP="00C10173">
            <w:pPr>
              <w:spacing w:before="120" w:after="120"/>
              <w:rPr>
                <w:rFonts w:ascii="Times New Roman" w:eastAsia="Calibri" w:hAnsi="Times New Roman" w:cs="Times New Roman"/>
                <w:noProof/>
                <w:sz w:val="16"/>
                <w:szCs w:val="16"/>
              </w:rPr>
            </w:pPr>
          </w:p>
        </w:tc>
        <w:tc>
          <w:tcPr>
            <w:tcW w:w="881" w:type="dxa"/>
          </w:tcPr>
          <w:p w14:paraId="742C58AC" w14:textId="77777777" w:rsidR="00C10173" w:rsidRPr="00C10173" w:rsidRDefault="00C10173" w:rsidP="00C10173">
            <w:pPr>
              <w:spacing w:before="120" w:after="120"/>
              <w:rPr>
                <w:rFonts w:ascii="Times New Roman" w:eastAsia="Calibri" w:hAnsi="Times New Roman" w:cs="Times New Roman"/>
                <w:noProof/>
                <w:sz w:val="16"/>
                <w:szCs w:val="16"/>
              </w:rPr>
            </w:pPr>
          </w:p>
        </w:tc>
        <w:tc>
          <w:tcPr>
            <w:tcW w:w="1220" w:type="dxa"/>
          </w:tcPr>
          <w:p w14:paraId="6452B6AB" w14:textId="74887502"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36 439 517,00</w:t>
            </w:r>
          </w:p>
        </w:tc>
        <w:tc>
          <w:tcPr>
            <w:tcW w:w="911" w:type="dxa"/>
          </w:tcPr>
          <w:p w14:paraId="5436A572" w14:textId="5FB8A6B3"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36 439 517,00</w:t>
            </w:r>
          </w:p>
        </w:tc>
        <w:tc>
          <w:tcPr>
            <w:tcW w:w="708" w:type="dxa"/>
          </w:tcPr>
          <w:p w14:paraId="4F75F2C2" w14:textId="0ABB3F69"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7AEEEF57" w14:textId="4466D114"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242 930 106,00</w:t>
            </w:r>
          </w:p>
        </w:tc>
        <w:tc>
          <w:tcPr>
            <w:tcW w:w="1481" w:type="dxa"/>
          </w:tcPr>
          <w:p w14:paraId="3B60C7E7" w14:textId="7D239696"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84,9999995472%</w:t>
            </w:r>
          </w:p>
        </w:tc>
      </w:tr>
      <w:tr w:rsidR="00E5335A" w:rsidRPr="00171DED" w14:paraId="2457AD5A" w14:textId="77777777" w:rsidTr="00034722">
        <w:trPr>
          <w:jc w:val="center"/>
        </w:trPr>
        <w:tc>
          <w:tcPr>
            <w:tcW w:w="1176" w:type="dxa"/>
            <w:vMerge/>
          </w:tcPr>
          <w:p w14:paraId="60C4A678" w14:textId="77777777" w:rsidR="00E5335A" w:rsidRPr="00171DED" w:rsidRDefault="00E5335A" w:rsidP="00E5335A">
            <w:pPr>
              <w:spacing w:before="120" w:after="120"/>
              <w:jc w:val="both"/>
              <w:rPr>
                <w:rFonts w:ascii="Times New Roman" w:eastAsia="Calibri" w:hAnsi="Times New Roman" w:cs="Times New Roman"/>
                <w:noProof/>
                <w:sz w:val="16"/>
                <w:szCs w:val="16"/>
              </w:rPr>
            </w:pPr>
          </w:p>
        </w:tc>
        <w:tc>
          <w:tcPr>
            <w:tcW w:w="1109" w:type="dxa"/>
          </w:tcPr>
          <w:p w14:paraId="7333309E" w14:textId="5BF4DFDB" w:rsidR="00E5335A" w:rsidRPr="00171DED" w:rsidRDefault="00E5335A" w:rsidP="00E5335A">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Приоритет 5</w:t>
            </w:r>
          </w:p>
        </w:tc>
        <w:tc>
          <w:tcPr>
            <w:tcW w:w="1438" w:type="dxa"/>
          </w:tcPr>
          <w:p w14:paraId="0DDD143D" w14:textId="283ECFBB" w:rsidR="00E5335A" w:rsidRPr="00171DED" w:rsidRDefault="00E5335A" w:rsidP="00E5335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tcPr>
          <w:p w14:paraId="755E1EEE" w14:textId="59A9281D" w:rsidR="00E5335A" w:rsidRPr="00171DED" w:rsidRDefault="00E5335A" w:rsidP="00E5335A">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1140" w:type="dxa"/>
          </w:tcPr>
          <w:p w14:paraId="36D58832" w14:textId="6A2D9293" w:rsidR="00E5335A" w:rsidRPr="00171DED" w:rsidRDefault="00E5335A" w:rsidP="00E5335A">
            <w:pPr>
              <w:spacing w:before="120" w:after="120"/>
              <w:jc w:val="both"/>
              <w:rPr>
                <w:rFonts w:ascii="Times New Roman" w:eastAsia="Calibri" w:hAnsi="Times New Roman" w:cs="Times New Roman"/>
                <w:noProof/>
                <w:sz w:val="16"/>
                <w:szCs w:val="16"/>
              </w:rPr>
            </w:pPr>
          </w:p>
        </w:tc>
        <w:tc>
          <w:tcPr>
            <w:tcW w:w="833" w:type="dxa"/>
          </w:tcPr>
          <w:p w14:paraId="38D6CA32" w14:textId="774949AC" w:rsidR="00E5335A" w:rsidRPr="00E5335A" w:rsidRDefault="00E5335A" w:rsidP="00E5335A">
            <w:pPr>
              <w:rPr>
                <w:rFonts w:ascii="Times New Roman" w:hAnsi="Times New Roman" w:cs="Times New Roman"/>
                <w:color w:val="000000"/>
                <w:sz w:val="16"/>
                <w:szCs w:val="16"/>
              </w:rPr>
            </w:pPr>
            <w:r w:rsidRPr="00E5335A">
              <w:rPr>
                <w:rFonts w:ascii="Times New Roman" w:hAnsi="Times New Roman" w:cs="Times New Roman"/>
                <w:color w:val="000000"/>
                <w:sz w:val="16"/>
                <w:szCs w:val="16"/>
              </w:rPr>
              <w:t>442 314 500,00</w:t>
            </w:r>
          </w:p>
        </w:tc>
        <w:tc>
          <w:tcPr>
            <w:tcW w:w="997" w:type="dxa"/>
          </w:tcPr>
          <w:p w14:paraId="12137D99" w14:textId="77777777" w:rsidR="00E5335A" w:rsidRPr="00E5335A" w:rsidRDefault="00E5335A" w:rsidP="00E5335A">
            <w:pPr>
              <w:spacing w:before="120" w:after="120"/>
              <w:rPr>
                <w:rFonts w:ascii="Times New Roman" w:eastAsia="Calibri" w:hAnsi="Times New Roman" w:cs="Times New Roman"/>
                <w:noProof/>
                <w:sz w:val="16"/>
                <w:szCs w:val="16"/>
              </w:rPr>
            </w:pPr>
          </w:p>
        </w:tc>
        <w:tc>
          <w:tcPr>
            <w:tcW w:w="881" w:type="dxa"/>
          </w:tcPr>
          <w:p w14:paraId="2E331B07" w14:textId="18C67F6F" w:rsidR="00E5335A" w:rsidRPr="00E5335A" w:rsidRDefault="00E5335A" w:rsidP="00E5335A">
            <w:pPr>
              <w:spacing w:before="120" w:after="120"/>
              <w:rPr>
                <w:rFonts w:ascii="Times New Roman" w:eastAsia="Calibri" w:hAnsi="Times New Roman" w:cs="Times New Roman"/>
                <w:noProof/>
                <w:sz w:val="16"/>
                <w:szCs w:val="16"/>
              </w:rPr>
            </w:pPr>
          </w:p>
        </w:tc>
        <w:tc>
          <w:tcPr>
            <w:tcW w:w="1220" w:type="dxa"/>
            <w:vAlign w:val="center"/>
          </w:tcPr>
          <w:p w14:paraId="4337837A" w14:textId="4F092B58"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78 055 500,00</w:t>
            </w:r>
          </w:p>
        </w:tc>
        <w:tc>
          <w:tcPr>
            <w:tcW w:w="911" w:type="dxa"/>
            <w:vAlign w:val="center"/>
          </w:tcPr>
          <w:p w14:paraId="5D594BCA" w14:textId="2DD0B40C"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78 055 500,00</w:t>
            </w:r>
          </w:p>
        </w:tc>
        <w:tc>
          <w:tcPr>
            <w:tcW w:w="708" w:type="dxa"/>
            <w:vAlign w:val="center"/>
          </w:tcPr>
          <w:p w14:paraId="45BD5F32" w14:textId="723F89F8"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0,00</w:t>
            </w:r>
          </w:p>
        </w:tc>
        <w:tc>
          <w:tcPr>
            <w:tcW w:w="1097" w:type="dxa"/>
            <w:vAlign w:val="center"/>
          </w:tcPr>
          <w:p w14:paraId="0CF9E0B3" w14:textId="0A9CF4D8"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520 370 000,00</w:t>
            </w:r>
          </w:p>
        </w:tc>
        <w:tc>
          <w:tcPr>
            <w:tcW w:w="1481" w:type="dxa"/>
            <w:vAlign w:val="center"/>
          </w:tcPr>
          <w:p w14:paraId="692DFD34" w14:textId="4269BEC9"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sz w:val="16"/>
                <w:szCs w:val="16"/>
              </w:rPr>
              <w:t>85,0000000000%</w:t>
            </w:r>
          </w:p>
        </w:tc>
      </w:tr>
      <w:tr w:rsidR="008B6597" w:rsidRPr="0010575B" w14:paraId="2388C3D7" w14:textId="77777777" w:rsidTr="00034722">
        <w:trPr>
          <w:jc w:val="center"/>
        </w:trPr>
        <w:tc>
          <w:tcPr>
            <w:tcW w:w="1176" w:type="dxa"/>
          </w:tcPr>
          <w:p w14:paraId="4B815FEA" w14:textId="77777777"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Техническа помощ</w:t>
            </w:r>
          </w:p>
        </w:tc>
        <w:tc>
          <w:tcPr>
            <w:tcW w:w="1109" w:type="dxa"/>
          </w:tcPr>
          <w:p w14:paraId="3D497484" w14:textId="27DBA6CA"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Приоритет 4, съгласно чл.30, параграф 4 </w:t>
            </w:r>
          </w:p>
        </w:tc>
        <w:tc>
          <w:tcPr>
            <w:tcW w:w="1438" w:type="dxa"/>
          </w:tcPr>
          <w:p w14:paraId="4607C3FE" w14:textId="3203EC87" w:rsidR="008B6597" w:rsidRPr="00171DED" w:rsidRDefault="004756F8" w:rsidP="008B6597">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публично</w:t>
            </w:r>
          </w:p>
        </w:tc>
        <w:tc>
          <w:tcPr>
            <w:tcW w:w="1003" w:type="dxa"/>
          </w:tcPr>
          <w:p w14:paraId="32F6D186" w14:textId="7F7BE241"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w:t>
            </w:r>
          </w:p>
        </w:tc>
        <w:tc>
          <w:tcPr>
            <w:tcW w:w="1140" w:type="dxa"/>
          </w:tcPr>
          <w:p w14:paraId="41D0CAE3" w14:textId="176BCC00" w:rsidR="008B6597" w:rsidRPr="00171DED" w:rsidRDefault="008B6597" w:rsidP="008B6597">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Преход </w:t>
            </w:r>
          </w:p>
        </w:tc>
        <w:tc>
          <w:tcPr>
            <w:tcW w:w="833" w:type="dxa"/>
            <w:vAlign w:val="center"/>
          </w:tcPr>
          <w:p w14:paraId="02042BB4" w14:textId="6E9CA6C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37 640 001,00</w:t>
            </w:r>
          </w:p>
        </w:tc>
        <w:tc>
          <w:tcPr>
            <w:tcW w:w="997" w:type="dxa"/>
            <w:vAlign w:val="center"/>
          </w:tcPr>
          <w:p w14:paraId="0BE5FFA2" w14:textId="0AB6F6EA"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 </w:t>
            </w:r>
          </w:p>
        </w:tc>
        <w:tc>
          <w:tcPr>
            <w:tcW w:w="881" w:type="dxa"/>
            <w:vAlign w:val="center"/>
          </w:tcPr>
          <w:p w14:paraId="4BA716B3" w14:textId="282B219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 </w:t>
            </w:r>
          </w:p>
        </w:tc>
        <w:tc>
          <w:tcPr>
            <w:tcW w:w="1220" w:type="dxa"/>
            <w:vAlign w:val="center"/>
          </w:tcPr>
          <w:p w14:paraId="0942B4D1" w14:textId="19B4424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16 131 429,00</w:t>
            </w:r>
          </w:p>
        </w:tc>
        <w:tc>
          <w:tcPr>
            <w:tcW w:w="911" w:type="dxa"/>
            <w:vAlign w:val="center"/>
          </w:tcPr>
          <w:p w14:paraId="1932E030" w14:textId="335F358C"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16 131 429,00</w:t>
            </w:r>
          </w:p>
        </w:tc>
        <w:tc>
          <w:tcPr>
            <w:tcW w:w="708" w:type="dxa"/>
            <w:vAlign w:val="center"/>
          </w:tcPr>
          <w:p w14:paraId="4FCF5C71" w14:textId="6696059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0,00</w:t>
            </w:r>
          </w:p>
        </w:tc>
        <w:tc>
          <w:tcPr>
            <w:tcW w:w="1097" w:type="dxa"/>
            <w:vAlign w:val="center"/>
          </w:tcPr>
          <w:p w14:paraId="611A2E12" w14:textId="24614182"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53 771 430,00</w:t>
            </w:r>
          </w:p>
        </w:tc>
        <w:tc>
          <w:tcPr>
            <w:tcW w:w="1481" w:type="dxa"/>
            <w:vAlign w:val="center"/>
          </w:tcPr>
          <w:p w14:paraId="44664C45" w14:textId="421ACEED"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70,0000000000%</w:t>
            </w:r>
          </w:p>
        </w:tc>
      </w:tr>
      <w:tr w:rsidR="00C10173" w:rsidRPr="0010575B" w14:paraId="750E6A79" w14:textId="77777777" w:rsidTr="00B74077">
        <w:trPr>
          <w:jc w:val="center"/>
        </w:trPr>
        <w:tc>
          <w:tcPr>
            <w:tcW w:w="1176" w:type="dxa"/>
          </w:tcPr>
          <w:p w14:paraId="50CDE19A"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tcPr>
          <w:p w14:paraId="1A46B132" w14:textId="556D2307" w:rsidR="00C10173" w:rsidRPr="00171DED" w:rsidRDefault="00C10173" w:rsidP="00C10173">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Приоритет 4, ТП, съгласно чл. 32</w:t>
            </w:r>
          </w:p>
          <w:p w14:paraId="0554AA44" w14:textId="309A515A"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tcBorders>
              <w:bottom w:val="single" w:sz="4" w:space="0" w:color="auto"/>
            </w:tcBorders>
          </w:tcPr>
          <w:p w14:paraId="1C149399"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03" w:type="dxa"/>
            <w:tcBorders>
              <w:bottom w:val="single" w:sz="4" w:space="0" w:color="auto"/>
            </w:tcBorders>
          </w:tcPr>
          <w:p w14:paraId="5C6F2474"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 или ЕСФ+ или КФ</w:t>
            </w:r>
          </w:p>
        </w:tc>
        <w:tc>
          <w:tcPr>
            <w:tcW w:w="1140" w:type="dxa"/>
          </w:tcPr>
          <w:p w14:paraId="2ED6681C"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33" w:type="dxa"/>
          </w:tcPr>
          <w:p w14:paraId="7264B836"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
          <w:p w14:paraId="79F9F695"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054372B5" w14:textId="5C27B28F"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50ABA22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
          <w:p w14:paraId="04B6C4DF" w14:textId="5F1F5924"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
          <w:p w14:paraId="72AB5C4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
          <w:p w14:paraId="3300E624"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
          <w:p w14:paraId="4489C9C5"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C10173" w:rsidRPr="00171DED" w14:paraId="06F61037" w14:textId="77777777" w:rsidTr="00B74077">
        <w:trPr>
          <w:jc w:val="center"/>
        </w:trPr>
        <w:tc>
          <w:tcPr>
            <w:tcW w:w="2285" w:type="dxa"/>
            <w:gridSpan w:val="2"/>
            <w:vMerge w:val="restart"/>
          </w:tcPr>
          <w:p w14:paraId="451790FA"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lastRenderedPageBreak/>
              <w:t>Общо ЕФРР</w:t>
            </w:r>
          </w:p>
          <w:p w14:paraId="3421ABC0"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0AC6B1EE" w14:textId="77777777" w:rsidR="00C10173" w:rsidRPr="00171DED" w:rsidRDefault="00C10173" w:rsidP="00C10173">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03A4AE6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40" w:type="dxa"/>
          </w:tcPr>
          <w:p w14:paraId="5FC2C4E9"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По-силно развити региони</w:t>
            </w:r>
          </w:p>
        </w:tc>
        <w:tc>
          <w:tcPr>
            <w:tcW w:w="833" w:type="dxa"/>
          </w:tcPr>
          <w:p w14:paraId="4E08FA48"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
          <w:p w14:paraId="60D8119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5C6E1892" w14:textId="5DFA27DC"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2457C69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
          <w:p w14:paraId="61711F9B" w14:textId="63789778"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
          <w:p w14:paraId="4BD67AE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
          <w:p w14:paraId="7E3540C9"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
          <w:p w14:paraId="5C03558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0E541D" w:rsidRPr="00171DED" w14:paraId="2E64303F" w14:textId="77777777" w:rsidTr="00034722">
        <w:trPr>
          <w:jc w:val="center"/>
        </w:trPr>
        <w:tc>
          <w:tcPr>
            <w:tcW w:w="2285" w:type="dxa"/>
            <w:gridSpan w:val="2"/>
            <w:vMerge/>
          </w:tcPr>
          <w:p w14:paraId="28D8C97A" w14:textId="77777777" w:rsidR="000E541D" w:rsidRPr="00171DED" w:rsidRDefault="000E541D" w:rsidP="000E541D">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1FB60957" w14:textId="77777777" w:rsidR="000E541D" w:rsidRPr="00171DED" w:rsidRDefault="000E541D" w:rsidP="000E541D">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2591150A" w14:textId="77777777" w:rsidR="000E541D" w:rsidRPr="00171DED" w:rsidRDefault="000E541D" w:rsidP="000E541D">
            <w:pPr>
              <w:spacing w:before="120" w:after="120"/>
              <w:jc w:val="both"/>
              <w:rPr>
                <w:rFonts w:ascii="Times New Roman" w:eastAsia="Calibri" w:hAnsi="Times New Roman" w:cs="Times New Roman"/>
                <w:noProof/>
                <w:sz w:val="16"/>
                <w:szCs w:val="16"/>
              </w:rPr>
            </w:pPr>
          </w:p>
        </w:tc>
        <w:tc>
          <w:tcPr>
            <w:tcW w:w="1140" w:type="dxa"/>
          </w:tcPr>
          <w:p w14:paraId="49E0F095" w14:textId="77777777" w:rsidR="000E541D" w:rsidRPr="00171DED" w:rsidRDefault="000E541D" w:rsidP="000E541D">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Преход</w:t>
            </w:r>
          </w:p>
        </w:tc>
        <w:tc>
          <w:tcPr>
            <w:tcW w:w="833" w:type="dxa"/>
          </w:tcPr>
          <w:p w14:paraId="557A56B3" w14:textId="327336B4"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371 501 348,00</w:t>
            </w:r>
          </w:p>
        </w:tc>
        <w:tc>
          <w:tcPr>
            <w:tcW w:w="997" w:type="dxa"/>
          </w:tcPr>
          <w:p w14:paraId="4342350E" w14:textId="77777777" w:rsidR="000E541D" w:rsidRPr="000E541D" w:rsidRDefault="000E541D" w:rsidP="000E541D">
            <w:pPr>
              <w:spacing w:before="120" w:after="120"/>
              <w:rPr>
                <w:rFonts w:ascii="Times New Roman" w:eastAsia="Calibri" w:hAnsi="Times New Roman" w:cs="Times New Roman"/>
                <w:noProof/>
                <w:sz w:val="16"/>
                <w:szCs w:val="16"/>
              </w:rPr>
            </w:pPr>
          </w:p>
        </w:tc>
        <w:tc>
          <w:tcPr>
            <w:tcW w:w="881" w:type="dxa"/>
          </w:tcPr>
          <w:p w14:paraId="62A1DB9D" w14:textId="66A0D618" w:rsidR="000E541D" w:rsidRPr="000E541D" w:rsidRDefault="000E541D" w:rsidP="000E541D">
            <w:pPr>
              <w:spacing w:before="120" w:after="120"/>
              <w:rPr>
                <w:rFonts w:ascii="Times New Roman" w:eastAsia="Calibri" w:hAnsi="Times New Roman" w:cs="Times New Roman"/>
                <w:noProof/>
                <w:sz w:val="16"/>
                <w:szCs w:val="16"/>
              </w:rPr>
            </w:pPr>
          </w:p>
        </w:tc>
        <w:tc>
          <w:tcPr>
            <w:tcW w:w="1220" w:type="dxa"/>
            <w:vAlign w:val="center"/>
          </w:tcPr>
          <w:p w14:paraId="6B2B76A9" w14:textId="3CFF93EB"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159 214 864,00</w:t>
            </w:r>
          </w:p>
        </w:tc>
        <w:tc>
          <w:tcPr>
            <w:tcW w:w="911" w:type="dxa"/>
            <w:vAlign w:val="center"/>
          </w:tcPr>
          <w:p w14:paraId="75A24D32" w14:textId="3736FD64"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159 214 864,00</w:t>
            </w:r>
          </w:p>
        </w:tc>
        <w:tc>
          <w:tcPr>
            <w:tcW w:w="708" w:type="dxa"/>
            <w:vAlign w:val="center"/>
          </w:tcPr>
          <w:p w14:paraId="6E786DC6" w14:textId="6A1FCCF4"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0,00</w:t>
            </w:r>
          </w:p>
        </w:tc>
        <w:tc>
          <w:tcPr>
            <w:tcW w:w="1097" w:type="dxa"/>
            <w:vAlign w:val="center"/>
          </w:tcPr>
          <w:p w14:paraId="1D183374" w14:textId="7E2ADD9E"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530 716 212,00</w:t>
            </w:r>
          </w:p>
        </w:tc>
        <w:tc>
          <w:tcPr>
            <w:tcW w:w="1481" w:type="dxa"/>
            <w:vAlign w:val="center"/>
          </w:tcPr>
          <w:p w14:paraId="447A999F" w14:textId="18201EF7"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69,9999999246%</w:t>
            </w:r>
          </w:p>
        </w:tc>
      </w:tr>
      <w:tr w:rsidR="000E541D" w:rsidRPr="00171DED" w14:paraId="76D7DBDF" w14:textId="77777777" w:rsidTr="00034722">
        <w:trPr>
          <w:jc w:val="center"/>
        </w:trPr>
        <w:tc>
          <w:tcPr>
            <w:tcW w:w="2285" w:type="dxa"/>
            <w:gridSpan w:val="2"/>
            <w:vMerge/>
          </w:tcPr>
          <w:p w14:paraId="549B9F4D" w14:textId="77777777" w:rsidR="000E541D" w:rsidRPr="00171DED" w:rsidRDefault="000E541D" w:rsidP="00584F2A">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713B3293" w14:textId="77777777" w:rsidR="000E541D" w:rsidRPr="00171DED" w:rsidRDefault="000E541D" w:rsidP="00584F2A">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071016EF" w14:textId="77777777" w:rsidR="000E541D" w:rsidRPr="00171DED" w:rsidRDefault="000E541D" w:rsidP="00584F2A">
            <w:pPr>
              <w:spacing w:before="120" w:after="120"/>
              <w:jc w:val="both"/>
              <w:rPr>
                <w:rFonts w:ascii="Times New Roman" w:eastAsia="Calibri" w:hAnsi="Times New Roman" w:cs="Times New Roman"/>
                <w:noProof/>
                <w:sz w:val="16"/>
                <w:szCs w:val="16"/>
              </w:rPr>
            </w:pPr>
          </w:p>
        </w:tc>
        <w:tc>
          <w:tcPr>
            <w:tcW w:w="1140" w:type="dxa"/>
          </w:tcPr>
          <w:p w14:paraId="0F4C8719" w14:textId="77777777" w:rsidR="000E541D" w:rsidRPr="00171DED" w:rsidRDefault="000E541D"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По-слабо развити региони</w:t>
            </w:r>
          </w:p>
        </w:tc>
        <w:tc>
          <w:tcPr>
            <w:tcW w:w="833" w:type="dxa"/>
          </w:tcPr>
          <w:p w14:paraId="05E78D5F" w14:textId="090654C3"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548 182 352,00</w:t>
            </w:r>
          </w:p>
        </w:tc>
        <w:tc>
          <w:tcPr>
            <w:tcW w:w="997" w:type="dxa"/>
          </w:tcPr>
          <w:p w14:paraId="41654F52" w14:textId="77777777" w:rsidR="000E541D" w:rsidRPr="000E541D" w:rsidRDefault="000E541D" w:rsidP="00735374">
            <w:pPr>
              <w:spacing w:before="120" w:after="120"/>
              <w:rPr>
                <w:rFonts w:ascii="Times New Roman" w:eastAsia="Calibri" w:hAnsi="Times New Roman" w:cs="Times New Roman"/>
                <w:noProof/>
                <w:sz w:val="16"/>
                <w:szCs w:val="16"/>
              </w:rPr>
            </w:pPr>
          </w:p>
        </w:tc>
        <w:tc>
          <w:tcPr>
            <w:tcW w:w="881" w:type="dxa"/>
          </w:tcPr>
          <w:p w14:paraId="33B0E74E" w14:textId="0998AE59" w:rsidR="000E541D" w:rsidRPr="000E541D" w:rsidRDefault="000E541D" w:rsidP="00735374">
            <w:pPr>
              <w:spacing w:before="120" w:after="120"/>
              <w:rPr>
                <w:rFonts w:ascii="Times New Roman" w:eastAsia="Calibri" w:hAnsi="Times New Roman" w:cs="Times New Roman"/>
                <w:noProof/>
                <w:sz w:val="16"/>
                <w:szCs w:val="16"/>
              </w:rPr>
            </w:pPr>
          </w:p>
        </w:tc>
        <w:tc>
          <w:tcPr>
            <w:tcW w:w="1220" w:type="dxa"/>
            <w:vAlign w:val="center"/>
          </w:tcPr>
          <w:p w14:paraId="6B41078A" w14:textId="33DA68C7"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96 738 064,00</w:t>
            </w:r>
          </w:p>
        </w:tc>
        <w:tc>
          <w:tcPr>
            <w:tcW w:w="911" w:type="dxa"/>
            <w:vAlign w:val="center"/>
          </w:tcPr>
          <w:p w14:paraId="3D02FC15" w14:textId="53A3BF2B"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96 738 064,00</w:t>
            </w:r>
          </w:p>
        </w:tc>
        <w:tc>
          <w:tcPr>
            <w:tcW w:w="708" w:type="dxa"/>
            <w:vAlign w:val="center"/>
          </w:tcPr>
          <w:p w14:paraId="368D822D" w14:textId="61069EC1"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0,00</w:t>
            </w:r>
          </w:p>
        </w:tc>
        <w:tc>
          <w:tcPr>
            <w:tcW w:w="1097" w:type="dxa"/>
            <w:vAlign w:val="center"/>
          </w:tcPr>
          <w:p w14:paraId="6DC7DC4D" w14:textId="4D84FB5C"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644 920 416,00</w:t>
            </w:r>
          </w:p>
        </w:tc>
        <w:tc>
          <w:tcPr>
            <w:tcW w:w="1481" w:type="dxa"/>
            <w:vAlign w:val="center"/>
          </w:tcPr>
          <w:p w14:paraId="275B5BA7" w14:textId="2350A05B"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84,9999997519%</w:t>
            </w:r>
          </w:p>
        </w:tc>
      </w:tr>
      <w:tr w:rsidR="00C10173" w:rsidRPr="0010575B" w14:paraId="0F546385" w14:textId="77777777" w:rsidTr="00B74077">
        <w:trPr>
          <w:jc w:val="center"/>
        </w:trPr>
        <w:tc>
          <w:tcPr>
            <w:tcW w:w="2285" w:type="dxa"/>
            <w:gridSpan w:val="2"/>
            <w:vMerge/>
          </w:tcPr>
          <w:p w14:paraId="521B01C8" w14:textId="77777777" w:rsidR="00C10173" w:rsidRPr="00171DED" w:rsidRDefault="00C10173" w:rsidP="00584F2A">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71203496"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03" w:type="dxa"/>
            <w:shd w:val="clear" w:color="auto" w:fill="7F7F7F" w:themeFill="text1" w:themeFillTint="80"/>
          </w:tcPr>
          <w:p w14:paraId="7B8E6403" w14:textId="77777777" w:rsidR="00C10173" w:rsidRPr="00171DED" w:rsidRDefault="00C10173" w:rsidP="00584F2A">
            <w:pPr>
              <w:spacing w:before="120" w:after="120"/>
              <w:jc w:val="both"/>
              <w:rPr>
                <w:rFonts w:ascii="Times New Roman" w:eastAsia="Times New Roman" w:hAnsi="Times New Roman" w:cs="Times New Roman"/>
                <w:iCs/>
                <w:noProof/>
                <w:sz w:val="16"/>
                <w:szCs w:val="16"/>
              </w:rPr>
            </w:pPr>
          </w:p>
        </w:tc>
        <w:tc>
          <w:tcPr>
            <w:tcW w:w="1140" w:type="dxa"/>
          </w:tcPr>
          <w:p w14:paraId="209FBB4E"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833" w:type="dxa"/>
          </w:tcPr>
          <w:p w14:paraId="2AE16EB0"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026C2373"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1F6EA218" w14:textId="71847AE9"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656980C0"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72640183" w14:textId="38CB2C26"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019AE519"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2E538FC7"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56BF98C3"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C10173" w:rsidRPr="00171DED" w14:paraId="0B40394D" w14:textId="77777777" w:rsidTr="00B74077">
        <w:trPr>
          <w:jc w:val="center"/>
        </w:trPr>
        <w:tc>
          <w:tcPr>
            <w:tcW w:w="2285" w:type="dxa"/>
            <w:gridSpan w:val="2"/>
            <w:vMerge w:val="restart"/>
          </w:tcPr>
          <w:p w14:paraId="337AAC0D"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ЕСФ+</w:t>
            </w:r>
          </w:p>
          <w:p w14:paraId="0427342F"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6F09B129" w14:textId="77777777" w:rsidR="00C10173" w:rsidRPr="00171DED" w:rsidRDefault="00C10173" w:rsidP="00C10173">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61DE53A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40" w:type="dxa"/>
          </w:tcPr>
          <w:p w14:paraId="293CEF56"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По-силно развити региони</w:t>
            </w:r>
          </w:p>
        </w:tc>
        <w:tc>
          <w:tcPr>
            <w:tcW w:w="833" w:type="dxa"/>
          </w:tcPr>
          <w:p w14:paraId="21B687C4"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
          <w:p w14:paraId="6440F671"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15B652B7" w14:textId="67207BF9"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2AA1D07C"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
          <w:p w14:paraId="2EAE4480" w14:textId="1B7D2284"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
          <w:p w14:paraId="6E86ADA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
          <w:p w14:paraId="3FC0C0A0"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
          <w:p w14:paraId="60AA95C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C10173" w:rsidRPr="00171DED" w14:paraId="5EFA679E" w14:textId="77777777" w:rsidTr="00B74077">
        <w:trPr>
          <w:jc w:val="center"/>
        </w:trPr>
        <w:tc>
          <w:tcPr>
            <w:tcW w:w="2285" w:type="dxa"/>
            <w:gridSpan w:val="2"/>
            <w:vMerge/>
          </w:tcPr>
          <w:p w14:paraId="39E3022F"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54D79C4A" w14:textId="77777777" w:rsidR="00C10173" w:rsidRPr="00171DED" w:rsidRDefault="00C10173" w:rsidP="00584F2A">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6E93AD34"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140" w:type="dxa"/>
          </w:tcPr>
          <w:p w14:paraId="32689A6E"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Преход</w:t>
            </w:r>
          </w:p>
        </w:tc>
        <w:tc>
          <w:tcPr>
            <w:tcW w:w="833" w:type="dxa"/>
          </w:tcPr>
          <w:p w14:paraId="71F92F39"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2F3A356E"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465EFC04" w14:textId="3865AA12"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3E620975"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254B99D8" w14:textId="1CC7F72C"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6059C7E9"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6F572AAE"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7E0D4AC5"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C10173" w:rsidRPr="00171DED" w14:paraId="317EE3F8" w14:textId="77777777" w:rsidTr="00B74077">
        <w:trPr>
          <w:jc w:val="center"/>
        </w:trPr>
        <w:tc>
          <w:tcPr>
            <w:tcW w:w="2285" w:type="dxa"/>
            <w:gridSpan w:val="2"/>
            <w:vMerge/>
          </w:tcPr>
          <w:p w14:paraId="47660292" w14:textId="77777777" w:rsidR="00C10173" w:rsidRPr="00171DED" w:rsidRDefault="00C10173" w:rsidP="00584F2A">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2F7D83A4"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03" w:type="dxa"/>
            <w:shd w:val="clear" w:color="auto" w:fill="7F7F7F" w:themeFill="text1" w:themeFillTint="80"/>
          </w:tcPr>
          <w:p w14:paraId="7D2FF3EE" w14:textId="77777777" w:rsidR="00C10173" w:rsidRPr="00171DED" w:rsidRDefault="00C10173" w:rsidP="00584F2A">
            <w:pPr>
              <w:spacing w:before="120" w:after="120"/>
              <w:jc w:val="both"/>
              <w:rPr>
                <w:rFonts w:ascii="Times New Roman" w:eastAsia="Times New Roman" w:hAnsi="Times New Roman" w:cs="Times New Roman"/>
                <w:iCs/>
                <w:noProof/>
                <w:sz w:val="16"/>
                <w:szCs w:val="16"/>
              </w:rPr>
            </w:pPr>
          </w:p>
        </w:tc>
        <w:tc>
          <w:tcPr>
            <w:tcW w:w="1140" w:type="dxa"/>
          </w:tcPr>
          <w:p w14:paraId="33ADEAFF"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По-слабо развити региони</w:t>
            </w:r>
          </w:p>
        </w:tc>
        <w:tc>
          <w:tcPr>
            <w:tcW w:w="833" w:type="dxa"/>
          </w:tcPr>
          <w:p w14:paraId="321D0417"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21EA665C"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512B833F" w14:textId="7708A68D"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0A9B4927"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1B82B5A8" w14:textId="5211A95D"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007FC10E"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401DF374"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581179EA"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C10173" w:rsidRPr="00171DED" w14:paraId="31EFD109" w14:textId="77777777" w:rsidTr="00B74077">
        <w:trPr>
          <w:jc w:val="center"/>
        </w:trPr>
        <w:tc>
          <w:tcPr>
            <w:tcW w:w="2285" w:type="dxa"/>
            <w:gridSpan w:val="2"/>
            <w:vMerge/>
          </w:tcPr>
          <w:p w14:paraId="6BFC7263" w14:textId="77777777" w:rsidR="00C10173" w:rsidRPr="00171DED" w:rsidRDefault="00C10173" w:rsidP="00584F2A">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4EBD433D" w14:textId="77777777" w:rsidR="00C10173" w:rsidRPr="00171DED" w:rsidRDefault="00C10173" w:rsidP="00584F2A">
            <w:pPr>
              <w:spacing w:before="120" w:after="120"/>
              <w:jc w:val="both"/>
              <w:rPr>
                <w:rFonts w:ascii="Times New Roman" w:eastAsia="Calibri" w:hAnsi="Times New Roman" w:cs="Times New Roman"/>
                <w:noProof/>
                <w:sz w:val="18"/>
                <w:szCs w:val="18"/>
              </w:rPr>
            </w:pPr>
          </w:p>
        </w:tc>
        <w:tc>
          <w:tcPr>
            <w:tcW w:w="1003" w:type="dxa"/>
            <w:shd w:val="clear" w:color="auto" w:fill="7F7F7F" w:themeFill="text1" w:themeFillTint="80"/>
          </w:tcPr>
          <w:p w14:paraId="4DC95DFD"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140" w:type="dxa"/>
          </w:tcPr>
          <w:p w14:paraId="4127A327"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Най-отдалечени региони</w:t>
            </w:r>
          </w:p>
        </w:tc>
        <w:tc>
          <w:tcPr>
            <w:tcW w:w="833" w:type="dxa"/>
          </w:tcPr>
          <w:p w14:paraId="28AAECC1"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03949AF0"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5B51D4E5" w14:textId="543154F2"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21D6B5CC"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5E4AA7FA" w14:textId="02521405"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711B02C6"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344667C8"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0C083542"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4214EA" w:rsidRPr="00171DED" w14:paraId="1E0D9F9E" w14:textId="77777777" w:rsidTr="00034722">
        <w:trPr>
          <w:jc w:val="center"/>
        </w:trPr>
        <w:tc>
          <w:tcPr>
            <w:tcW w:w="2285" w:type="dxa"/>
            <w:gridSpan w:val="2"/>
          </w:tcPr>
          <w:p w14:paraId="5833189D"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КФ</w:t>
            </w:r>
          </w:p>
        </w:tc>
        <w:tc>
          <w:tcPr>
            <w:tcW w:w="1438" w:type="dxa"/>
            <w:tcBorders>
              <w:bottom w:val="single" w:sz="4" w:space="0" w:color="auto"/>
            </w:tcBorders>
            <w:shd w:val="clear" w:color="auto" w:fill="7F7F7F" w:themeFill="text1" w:themeFillTint="80"/>
          </w:tcPr>
          <w:p w14:paraId="3B4430C7"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003" w:type="dxa"/>
          </w:tcPr>
          <w:p w14:paraId="421011CB"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Не е приложимо</w:t>
            </w:r>
          </w:p>
        </w:tc>
        <w:tc>
          <w:tcPr>
            <w:tcW w:w="1140" w:type="dxa"/>
          </w:tcPr>
          <w:p w14:paraId="7D8767DE"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833" w:type="dxa"/>
            <w:vAlign w:val="center"/>
          </w:tcPr>
          <w:p w14:paraId="4EA8A8A8" w14:textId="2697A19D"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637 816 300,00</w:t>
            </w:r>
          </w:p>
        </w:tc>
        <w:tc>
          <w:tcPr>
            <w:tcW w:w="997" w:type="dxa"/>
            <w:vAlign w:val="center"/>
          </w:tcPr>
          <w:p w14:paraId="1ADE10A5" w14:textId="221FC573"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881" w:type="dxa"/>
            <w:vAlign w:val="center"/>
          </w:tcPr>
          <w:p w14:paraId="43F45BFA" w14:textId="37E69635"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220" w:type="dxa"/>
            <w:vAlign w:val="center"/>
          </w:tcPr>
          <w:p w14:paraId="0731A6F4" w14:textId="241D4965"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112 555 818,00</w:t>
            </w:r>
          </w:p>
        </w:tc>
        <w:tc>
          <w:tcPr>
            <w:tcW w:w="911" w:type="dxa"/>
            <w:vAlign w:val="center"/>
          </w:tcPr>
          <w:p w14:paraId="3D5BBB68" w14:textId="12956EE0"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112 555 818,00</w:t>
            </w:r>
          </w:p>
        </w:tc>
        <w:tc>
          <w:tcPr>
            <w:tcW w:w="708" w:type="dxa"/>
            <w:vAlign w:val="center"/>
          </w:tcPr>
          <w:p w14:paraId="03315149" w14:textId="09CB5049"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097" w:type="dxa"/>
            <w:vAlign w:val="center"/>
          </w:tcPr>
          <w:p w14:paraId="16082275" w14:textId="57D3A9E1"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750 372 118,00</w:t>
            </w:r>
          </w:p>
        </w:tc>
        <w:tc>
          <w:tcPr>
            <w:tcW w:w="1481" w:type="dxa"/>
            <w:vAlign w:val="center"/>
          </w:tcPr>
          <w:p w14:paraId="511E9A2D" w14:textId="6E2900C4"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84,9999999600%</w:t>
            </w:r>
          </w:p>
        </w:tc>
      </w:tr>
      <w:tr w:rsidR="004214EA" w:rsidRPr="00171DED" w14:paraId="74F6B506" w14:textId="77777777" w:rsidTr="00034722">
        <w:trPr>
          <w:jc w:val="center"/>
        </w:trPr>
        <w:tc>
          <w:tcPr>
            <w:tcW w:w="2285" w:type="dxa"/>
            <w:gridSpan w:val="2"/>
          </w:tcPr>
          <w:p w14:paraId="0BB14020"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lastRenderedPageBreak/>
              <w:t>Всичко</w:t>
            </w:r>
          </w:p>
        </w:tc>
        <w:tc>
          <w:tcPr>
            <w:tcW w:w="1438" w:type="dxa"/>
            <w:shd w:val="clear" w:color="auto" w:fill="7F7F7F" w:themeFill="text1" w:themeFillTint="80"/>
          </w:tcPr>
          <w:p w14:paraId="29F5C94B"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003" w:type="dxa"/>
          </w:tcPr>
          <w:p w14:paraId="55380887"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140" w:type="dxa"/>
          </w:tcPr>
          <w:p w14:paraId="61AC0B6B"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833" w:type="dxa"/>
            <w:vAlign w:val="center"/>
          </w:tcPr>
          <w:p w14:paraId="203EE2B0" w14:textId="7187B76E"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1 557 500 000,00</w:t>
            </w:r>
          </w:p>
        </w:tc>
        <w:tc>
          <w:tcPr>
            <w:tcW w:w="997" w:type="dxa"/>
            <w:vAlign w:val="center"/>
          </w:tcPr>
          <w:p w14:paraId="53422140" w14:textId="7E94DC99"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881" w:type="dxa"/>
            <w:vAlign w:val="center"/>
          </w:tcPr>
          <w:p w14:paraId="1946BFDD" w14:textId="2FDFD5E4"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220" w:type="dxa"/>
            <w:vAlign w:val="center"/>
          </w:tcPr>
          <w:p w14:paraId="751F48FB" w14:textId="391D4C7E"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368 508 746,00</w:t>
            </w:r>
          </w:p>
        </w:tc>
        <w:tc>
          <w:tcPr>
            <w:tcW w:w="911" w:type="dxa"/>
            <w:vAlign w:val="center"/>
          </w:tcPr>
          <w:p w14:paraId="2234835A" w14:textId="340C4E3F"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368 508 746,00</w:t>
            </w:r>
          </w:p>
        </w:tc>
        <w:tc>
          <w:tcPr>
            <w:tcW w:w="708" w:type="dxa"/>
            <w:vAlign w:val="center"/>
          </w:tcPr>
          <w:p w14:paraId="539FE6CA" w14:textId="5722A3DF"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097" w:type="dxa"/>
            <w:vAlign w:val="center"/>
          </w:tcPr>
          <w:p w14:paraId="3865BE15" w14:textId="66F58BCF"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1 926 008 746,00</w:t>
            </w:r>
          </w:p>
        </w:tc>
        <w:tc>
          <w:tcPr>
            <w:tcW w:w="1481" w:type="dxa"/>
            <w:vAlign w:val="center"/>
          </w:tcPr>
          <w:p w14:paraId="3239F848" w14:textId="75017051"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1 557 500 000,00</w:t>
            </w:r>
          </w:p>
        </w:tc>
      </w:tr>
    </w:tbl>
    <w:p w14:paraId="378BA356" w14:textId="77777777" w:rsidR="00722757" w:rsidRPr="00171DED" w:rsidRDefault="00722757" w:rsidP="00722757">
      <w:pPr>
        <w:spacing w:before="120" w:after="0" w:line="240" w:lineRule="auto"/>
        <w:jc w:val="both"/>
        <w:rPr>
          <w:rFonts w:ascii="Times New Roman" w:eastAsia="Times New Roman" w:hAnsi="Times New Roman" w:cs="Times New Roman"/>
          <w:iCs/>
          <w:noProof/>
          <w:sz w:val="16"/>
          <w:szCs w:val="16"/>
          <w:lang w:val="bg-BG" w:eastAsia="bg-BG" w:bidi="bg-BG"/>
        </w:rPr>
      </w:pPr>
      <w:r w:rsidRPr="00171DED">
        <w:rPr>
          <w:rFonts w:ascii="Times New Roman" w:eastAsia="Calibri" w:hAnsi="Times New Roman" w:cs="Times New Roman"/>
          <w:b/>
          <w:noProof/>
          <w:sz w:val="16"/>
          <w:szCs w:val="20"/>
          <w:lang w:val="bg-BG" w:eastAsia="bg-BG" w:bidi="bg-BG"/>
        </w:rPr>
        <w:t xml:space="preserve">* </w:t>
      </w:r>
      <w:r w:rsidRPr="00171DED">
        <w:rPr>
          <w:rFonts w:ascii="Times New Roman" w:eastAsia="Calibri" w:hAnsi="Times New Roman" w:cs="Times New Roman"/>
          <w:noProof/>
          <w:sz w:val="16"/>
          <w:szCs w:val="20"/>
          <w:lang w:val="bg-B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4C2D60A8" w14:textId="423C385A" w:rsidR="003E570F" w:rsidRPr="00171DED" w:rsidRDefault="00722757" w:rsidP="00722757">
      <w:pPr>
        <w:spacing w:before="240" w:after="240" w:line="240" w:lineRule="auto"/>
        <w:jc w:val="both"/>
        <w:rPr>
          <w:b/>
          <w:bCs/>
          <w:i/>
          <w:iCs/>
          <w:sz w:val="23"/>
          <w:szCs w:val="23"/>
          <w:lang w:val="bg-BG"/>
        </w:rPr>
      </w:pPr>
      <w:r w:rsidRPr="00171DED">
        <w:rPr>
          <w:rFonts w:ascii="Times New Roman" w:eastAsia="Calibri" w:hAnsi="Times New Roman" w:cs="Times New Roman"/>
          <w:noProof/>
          <w:sz w:val="16"/>
          <w:szCs w:val="20"/>
          <w:lang w:val="bg-BG" w:eastAsia="bg-BG" w:bidi="bg-BG"/>
        </w:rPr>
        <w:t>** Където е приложимо за всички категории региони.</w:t>
      </w:r>
    </w:p>
    <w:p w14:paraId="0ABF1D92" w14:textId="77777777" w:rsidR="003E570F" w:rsidRPr="00171DED" w:rsidRDefault="003E570F" w:rsidP="00722757">
      <w:pPr>
        <w:spacing w:before="240" w:after="240" w:line="240" w:lineRule="auto"/>
        <w:jc w:val="both"/>
        <w:rPr>
          <w:b/>
          <w:bCs/>
          <w:i/>
          <w:iCs/>
          <w:sz w:val="23"/>
          <w:szCs w:val="23"/>
          <w:lang w:val="bg-BG"/>
        </w:rPr>
      </w:pPr>
    </w:p>
    <w:p w14:paraId="4E86F29B" w14:textId="03E1DBEF" w:rsidR="00722757" w:rsidRPr="00171DED" w:rsidRDefault="00FE2D83" w:rsidP="00722757">
      <w:pPr>
        <w:spacing w:before="240" w:after="240" w:line="240" w:lineRule="auto"/>
        <w:jc w:val="both"/>
        <w:rPr>
          <w:b/>
          <w:bCs/>
          <w:i/>
          <w:iCs/>
          <w:color w:val="A6A6A6" w:themeColor="background1" w:themeShade="A6"/>
          <w:sz w:val="23"/>
          <w:szCs w:val="23"/>
        </w:rPr>
      </w:pPr>
      <w:r w:rsidRPr="00171DED">
        <w:rPr>
          <w:b/>
          <w:bCs/>
          <w:i/>
          <w:iCs/>
          <w:color w:val="A6A6A6" w:themeColor="background1" w:themeShade="A6"/>
          <w:sz w:val="23"/>
          <w:szCs w:val="23"/>
        </w:rPr>
        <w:t>For the Investment for Jobs and Growth goal: programmes using technical assistance according to Article 30(5) in accordance with the choice made in part 4 bis of the Partnership Agreement.</w:t>
      </w:r>
    </w:p>
    <w:p w14:paraId="2A6496BA" w14:textId="77777777" w:rsidR="00FE2D83" w:rsidRPr="00171DED" w:rsidRDefault="00FE2D83" w:rsidP="00722757">
      <w:pPr>
        <w:spacing w:before="240" w:after="240" w:line="240" w:lineRule="auto"/>
        <w:jc w:val="both"/>
        <w:rPr>
          <w:b/>
          <w:bCs/>
          <w:i/>
          <w:iCs/>
          <w:color w:val="A6A6A6" w:themeColor="background1" w:themeShade="A6"/>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
        <w:gridCol w:w="1224"/>
        <w:gridCol w:w="1224"/>
        <w:gridCol w:w="1224"/>
        <w:gridCol w:w="1224"/>
        <w:gridCol w:w="1224"/>
        <w:gridCol w:w="1224"/>
        <w:gridCol w:w="612"/>
        <w:gridCol w:w="612"/>
        <w:gridCol w:w="1224"/>
        <w:gridCol w:w="1224"/>
        <w:gridCol w:w="1228"/>
      </w:tblGrid>
      <w:tr w:rsidR="00211A2A" w:rsidRPr="00171DED" w14:paraId="566F7570" w14:textId="77777777" w:rsidTr="00B70CC2">
        <w:trPr>
          <w:trHeight w:val="71"/>
        </w:trPr>
        <w:tc>
          <w:tcPr>
            <w:tcW w:w="13468" w:type="dxa"/>
            <w:gridSpan w:val="12"/>
            <w:tcBorders>
              <w:bottom w:val="single" w:sz="4" w:space="0" w:color="auto"/>
            </w:tcBorders>
          </w:tcPr>
          <w:p w14:paraId="5AAA6848" w14:textId="18763119" w:rsidR="00FE2D83" w:rsidRPr="00171DED" w:rsidRDefault="00FE2D83"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171DED">
              <w:rPr>
                <w:rFonts w:ascii="Times New Roman" w:hAnsi="Times New Roman" w:cs="Times New Roman"/>
                <w:b/>
                <w:bCs/>
                <w:color w:val="A6A6A6" w:themeColor="background1" w:themeShade="A6"/>
                <w:sz w:val="16"/>
                <w:szCs w:val="16"/>
              </w:rPr>
              <w:t xml:space="preserve">Table 11: Total financial allocations by fund and national contribution </w:t>
            </w:r>
          </w:p>
        </w:tc>
      </w:tr>
      <w:tr w:rsidR="00211A2A" w:rsidRPr="00171DED" w14:paraId="1C8F34F0" w14:textId="77777777" w:rsidTr="007B49B2">
        <w:trPr>
          <w:trHeight w:val="675"/>
        </w:trPr>
        <w:tc>
          <w:tcPr>
            <w:tcW w:w="1224" w:type="dxa"/>
            <w:tcBorders>
              <w:top w:val="single" w:sz="4" w:space="0" w:color="auto"/>
              <w:left w:val="single" w:sz="4" w:space="0" w:color="auto"/>
              <w:bottom w:val="single" w:sz="4" w:space="0" w:color="auto"/>
              <w:right w:val="single" w:sz="4" w:space="0" w:color="auto"/>
            </w:tcBorders>
          </w:tcPr>
          <w:p w14:paraId="0CF9227B"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Policy objective No or TA </w:t>
            </w:r>
          </w:p>
        </w:tc>
        <w:tc>
          <w:tcPr>
            <w:tcW w:w="1224" w:type="dxa"/>
            <w:tcBorders>
              <w:top w:val="single" w:sz="4" w:space="0" w:color="auto"/>
              <w:left w:val="single" w:sz="4" w:space="0" w:color="auto"/>
              <w:bottom w:val="single" w:sz="4" w:space="0" w:color="auto"/>
              <w:right w:val="single" w:sz="4" w:space="0" w:color="auto"/>
            </w:tcBorders>
          </w:tcPr>
          <w:p w14:paraId="4CAC8586"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Priority </w:t>
            </w:r>
          </w:p>
        </w:tc>
        <w:tc>
          <w:tcPr>
            <w:tcW w:w="1224" w:type="dxa"/>
            <w:tcBorders>
              <w:top w:val="single" w:sz="4" w:space="0" w:color="auto"/>
              <w:left w:val="single" w:sz="4" w:space="0" w:color="auto"/>
              <w:bottom w:val="single" w:sz="4" w:space="0" w:color="auto"/>
              <w:right w:val="single" w:sz="4" w:space="0" w:color="auto"/>
            </w:tcBorders>
          </w:tcPr>
          <w:p w14:paraId="118B5267"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Basis for calculation EU support (total or public) </w:t>
            </w:r>
          </w:p>
        </w:tc>
        <w:tc>
          <w:tcPr>
            <w:tcW w:w="1224" w:type="dxa"/>
            <w:tcBorders>
              <w:top w:val="single" w:sz="4" w:space="0" w:color="auto"/>
              <w:left w:val="single" w:sz="4" w:space="0" w:color="auto"/>
              <w:bottom w:val="single" w:sz="4" w:space="0" w:color="auto"/>
              <w:right w:val="single" w:sz="4" w:space="0" w:color="auto"/>
            </w:tcBorders>
          </w:tcPr>
          <w:p w14:paraId="28E50266"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Fund </w:t>
            </w:r>
          </w:p>
        </w:tc>
        <w:tc>
          <w:tcPr>
            <w:tcW w:w="1224" w:type="dxa"/>
            <w:tcBorders>
              <w:top w:val="single" w:sz="4" w:space="0" w:color="auto"/>
              <w:left w:val="single" w:sz="4" w:space="0" w:color="auto"/>
              <w:bottom w:val="single" w:sz="4" w:space="0" w:color="auto"/>
              <w:right w:val="single" w:sz="4" w:space="0" w:color="auto"/>
            </w:tcBorders>
          </w:tcPr>
          <w:p w14:paraId="7499D9BE"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Category of region* </w:t>
            </w:r>
          </w:p>
        </w:tc>
        <w:tc>
          <w:tcPr>
            <w:tcW w:w="1224" w:type="dxa"/>
            <w:vMerge w:val="restart"/>
            <w:tcBorders>
              <w:top w:val="single" w:sz="4" w:space="0" w:color="auto"/>
              <w:left w:val="single" w:sz="4" w:space="0" w:color="auto"/>
              <w:right w:val="single" w:sz="4" w:space="0" w:color="auto"/>
            </w:tcBorders>
          </w:tcPr>
          <w:p w14:paraId="4D43544B" w14:textId="0F2BF0DB"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Union contribution </w:t>
            </w:r>
          </w:p>
          <w:p w14:paraId="7013A394"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2B05AE45"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171DED">
              <w:rPr>
                <w:rFonts w:ascii="Times New Roman" w:hAnsi="Times New Roman" w:cs="Times New Roman"/>
                <w:b/>
                <w:bCs/>
                <w:color w:val="A6A6A6" w:themeColor="background1" w:themeShade="A6"/>
                <w:sz w:val="16"/>
                <w:szCs w:val="16"/>
              </w:rPr>
              <w:t>(a)=(b)+(c)+(</w:t>
            </w:r>
            <w:proofErr w:type="spellStart"/>
            <w:r w:rsidRPr="00171DED">
              <w:rPr>
                <w:rFonts w:ascii="Times New Roman" w:hAnsi="Times New Roman" w:cs="Times New Roman"/>
                <w:b/>
                <w:bCs/>
                <w:color w:val="A6A6A6" w:themeColor="background1" w:themeShade="A6"/>
                <w:sz w:val="16"/>
                <w:szCs w:val="16"/>
              </w:rPr>
              <w:t>i</w:t>
            </w:r>
            <w:proofErr w:type="spellEnd"/>
            <w:r w:rsidRPr="00171DED">
              <w:rPr>
                <w:rFonts w:ascii="Times New Roman" w:hAnsi="Times New Roman" w:cs="Times New Roman"/>
                <w:b/>
                <w:bCs/>
                <w:color w:val="A6A6A6" w:themeColor="background1" w:themeShade="A6"/>
                <w:sz w:val="16"/>
                <w:szCs w:val="16"/>
              </w:rPr>
              <w:t xml:space="preserve">) </w:t>
            </w:r>
          </w:p>
        </w:tc>
        <w:tc>
          <w:tcPr>
            <w:tcW w:w="1224" w:type="dxa"/>
            <w:tcBorders>
              <w:top w:val="single" w:sz="4" w:space="0" w:color="auto"/>
              <w:left w:val="single" w:sz="4" w:space="0" w:color="auto"/>
              <w:bottom w:val="single" w:sz="4" w:space="0" w:color="auto"/>
              <w:right w:val="single" w:sz="4" w:space="0" w:color="auto"/>
            </w:tcBorders>
          </w:tcPr>
          <w:p w14:paraId="13FB4B8F"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Breakdown of Union contribution </w:t>
            </w:r>
          </w:p>
        </w:tc>
        <w:tc>
          <w:tcPr>
            <w:tcW w:w="1224" w:type="dxa"/>
            <w:gridSpan w:val="2"/>
            <w:tcBorders>
              <w:top w:val="single" w:sz="4" w:space="0" w:color="auto"/>
              <w:left w:val="single" w:sz="4" w:space="0" w:color="auto"/>
              <w:bottom w:val="single" w:sz="4" w:space="0" w:color="auto"/>
              <w:right w:val="single" w:sz="4" w:space="0" w:color="auto"/>
            </w:tcBorders>
          </w:tcPr>
          <w:p w14:paraId="438F92CD" w14:textId="77777777" w:rsidR="00B70CC2" w:rsidRPr="00171DED" w:rsidRDefault="00B70CC2" w:rsidP="00FE2D83">
            <w:pPr>
              <w:autoSpaceDE w:val="0"/>
              <w:autoSpaceDN w:val="0"/>
              <w:adjustRightInd w:val="0"/>
              <w:spacing w:after="0" w:line="240" w:lineRule="auto"/>
              <w:rPr>
                <w:rFonts w:ascii="Times New Roman" w:hAnsi="Times New Roman"/>
                <w:b/>
                <w:color w:val="A6A6A6" w:themeColor="background1" w:themeShade="A6"/>
                <w:sz w:val="18"/>
                <w:lang w:val="fr-FR"/>
              </w:rPr>
            </w:pPr>
            <w:r w:rsidRPr="00171DED">
              <w:rPr>
                <w:rFonts w:ascii="Times New Roman" w:hAnsi="Times New Roman"/>
                <w:b/>
                <w:color w:val="A6A6A6" w:themeColor="background1" w:themeShade="A6"/>
                <w:sz w:val="18"/>
                <w:lang w:val="fr-FR"/>
              </w:rPr>
              <w:t xml:space="preserve">National contribution </w:t>
            </w:r>
          </w:p>
          <w:p w14:paraId="6CC89BF4" w14:textId="77777777" w:rsidR="00B70CC2" w:rsidRPr="00171DED" w:rsidRDefault="00B70CC2" w:rsidP="00FE2D83">
            <w:pPr>
              <w:autoSpaceDE w:val="0"/>
              <w:autoSpaceDN w:val="0"/>
              <w:adjustRightInd w:val="0"/>
              <w:spacing w:after="0" w:line="240" w:lineRule="auto"/>
              <w:rPr>
                <w:rFonts w:ascii="Times New Roman" w:hAnsi="Times New Roman"/>
                <w:b/>
                <w:color w:val="A6A6A6" w:themeColor="background1" w:themeShade="A6"/>
                <w:sz w:val="18"/>
                <w:lang w:val="fr-FR"/>
              </w:rPr>
            </w:pPr>
          </w:p>
          <w:p w14:paraId="2A8E7329" w14:textId="19A20CD2" w:rsidR="00B70CC2" w:rsidRPr="00171DED" w:rsidRDefault="00B70CC2" w:rsidP="00FE2D83">
            <w:pPr>
              <w:autoSpaceDE w:val="0"/>
              <w:autoSpaceDN w:val="0"/>
              <w:adjustRightInd w:val="0"/>
              <w:spacing w:after="0" w:line="240" w:lineRule="auto"/>
              <w:rPr>
                <w:rFonts w:ascii="Times New Roman" w:hAnsi="Times New Roman"/>
                <w:color w:val="A6A6A6" w:themeColor="background1" w:themeShade="A6"/>
                <w:sz w:val="18"/>
                <w:lang w:val="fr-FR"/>
              </w:rPr>
            </w:pPr>
            <w:r w:rsidRPr="00171DED">
              <w:rPr>
                <w:rFonts w:ascii="Times New Roman" w:hAnsi="Times New Roman"/>
                <w:color w:val="A6A6A6" w:themeColor="background1" w:themeShade="A6"/>
                <w:sz w:val="18"/>
                <w:lang w:val="fr-FR"/>
              </w:rPr>
              <w:t>(</w:t>
            </w:r>
            <w:proofErr w:type="gramStart"/>
            <w:r w:rsidRPr="00171DED">
              <w:rPr>
                <w:rFonts w:ascii="Times New Roman" w:hAnsi="Times New Roman"/>
                <w:color w:val="A6A6A6" w:themeColor="background1" w:themeShade="A6"/>
                <w:sz w:val="18"/>
                <w:lang w:val="fr-FR"/>
              </w:rPr>
              <w:t>d</w:t>
            </w:r>
            <w:proofErr w:type="gramEnd"/>
            <w:r w:rsidRPr="00171DED">
              <w:rPr>
                <w:rFonts w:ascii="Times New Roman" w:hAnsi="Times New Roman"/>
                <w:color w:val="A6A6A6" w:themeColor="background1" w:themeShade="A6"/>
                <w:sz w:val="18"/>
                <w:lang w:val="fr-FR"/>
              </w:rPr>
              <w:t>)=(e)+(f)</w:t>
            </w:r>
          </w:p>
        </w:tc>
        <w:tc>
          <w:tcPr>
            <w:tcW w:w="1224" w:type="dxa"/>
            <w:tcBorders>
              <w:top w:val="single" w:sz="4" w:space="0" w:color="auto"/>
              <w:left w:val="single" w:sz="4" w:space="0" w:color="auto"/>
              <w:bottom w:val="single" w:sz="4" w:space="0" w:color="auto"/>
              <w:right w:val="single" w:sz="4" w:space="0" w:color="auto"/>
            </w:tcBorders>
          </w:tcPr>
          <w:p w14:paraId="35E4A6F0"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Indicative breakdown of national contribution </w:t>
            </w:r>
          </w:p>
        </w:tc>
        <w:tc>
          <w:tcPr>
            <w:tcW w:w="1224" w:type="dxa"/>
            <w:vMerge w:val="restart"/>
            <w:tcBorders>
              <w:top w:val="single" w:sz="4" w:space="0" w:color="auto"/>
              <w:left w:val="single" w:sz="4" w:space="0" w:color="auto"/>
              <w:right w:val="single" w:sz="4" w:space="0" w:color="auto"/>
            </w:tcBorders>
          </w:tcPr>
          <w:p w14:paraId="627D0401" w14:textId="2CE5D717"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Total </w:t>
            </w:r>
          </w:p>
          <w:p w14:paraId="08795451" w14:textId="77777777"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1FE52420" w14:textId="582318C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color w:val="A6A6A6" w:themeColor="background1" w:themeShade="A6"/>
                <w:sz w:val="18"/>
                <w:szCs w:val="18"/>
              </w:rPr>
              <w:t>(g)=(a)+(d)**</w:t>
            </w:r>
          </w:p>
        </w:tc>
        <w:tc>
          <w:tcPr>
            <w:tcW w:w="1228" w:type="dxa"/>
            <w:vMerge w:val="restart"/>
            <w:tcBorders>
              <w:top w:val="single" w:sz="4" w:space="0" w:color="auto"/>
              <w:left w:val="single" w:sz="4" w:space="0" w:color="auto"/>
              <w:right w:val="single" w:sz="4" w:space="0" w:color="auto"/>
            </w:tcBorders>
          </w:tcPr>
          <w:p w14:paraId="72FA6CE2" w14:textId="2B2A61E3"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Co-financing rate </w:t>
            </w:r>
          </w:p>
          <w:p w14:paraId="13FA141D"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34A7986C" w14:textId="0C300CAC" w:rsidR="00B70CC2" w:rsidRPr="00171DED" w:rsidRDefault="00B70CC2" w:rsidP="00B70CC2">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(h)=(a)/(g)**</w:t>
            </w:r>
          </w:p>
        </w:tc>
      </w:tr>
      <w:tr w:rsidR="00211A2A" w:rsidRPr="00171DED" w14:paraId="66B83639"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70C9A529"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2D200F9"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D7BF34C"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7319636"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45C59CE"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vMerge/>
            <w:tcBorders>
              <w:left w:val="single" w:sz="4" w:space="0" w:color="auto"/>
              <w:bottom w:val="single" w:sz="4" w:space="0" w:color="auto"/>
              <w:right w:val="single" w:sz="4" w:space="0" w:color="auto"/>
            </w:tcBorders>
          </w:tcPr>
          <w:p w14:paraId="55EDF28D"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47EE656" w14:textId="77777777" w:rsidR="00B70CC2" w:rsidRPr="00171DED" w:rsidRDefault="00B70CC2"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650BEF8B"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r w:rsidRPr="00171DED">
              <w:rPr>
                <w:b/>
                <w:bCs/>
                <w:color w:val="A6A6A6" w:themeColor="background1" w:themeShade="A6"/>
                <w:sz w:val="16"/>
                <w:szCs w:val="16"/>
              </w:rPr>
              <w:t xml:space="preserve">public </w:t>
            </w:r>
          </w:p>
          <w:p w14:paraId="1E48631C"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71EC0AAF" w14:textId="7048E7CB"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(e)</w:t>
            </w:r>
          </w:p>
        </w:tc>
        <w:tc>
          <w:tcPr>
            <w:tcW w:w="612" w:type="dxa"/>
            <w:tcBorders>
              <w:top w:val="single" w:sz="4" w:space="0" w:color="auto"/>
              <w:left w:val="single" w:sz="4" w:space="0" w:color="auto"/>
              <w:bottom w:val="single" w:sz="4" w:space="0" w:color="auto"/>
            </w:tcBorders>
          </w:tcPr>
          <w:p w14:paraId="662D3E71"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r w:rsidRPr="00171DED">
              <w:rPr>
                <w:b/>
                <w:bCs/>
                <w:color w:val="A6A6A6" w:themeColor="background1" w:themeShade="A6"/>
                <w:sz w:val="16"/>
                <w:szCs w:val="16"/>
              </w:rPr>
              <w:t xml:space="preserve">private </w:t>
            </w:r>
          </w:p>
          <w:p w14:paraId="47631FCE"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p>
          <w:p w14:paraId="33574649" w14:textId="263A0F45"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b/>
                <w:bCs/>
                <w:color w:val="A6A6A6" w:themeColor="background1" w:themeShade="A6"/>
                <w:sz w:val="16"/>
                <w:szCs w:val="16"/>
              </w:rPr>
              <w:t>(f)</w:t>
            </w:r>
          </w:p>
        </w:tc>
        <w:tc>
          <w:tcPr>
            <w:tcW w:w="1224" w:type="dxa"/>
            <w:tcBorders>
              <w:top w:val="single" w:sz="4" w:space="0" w:color="auto"/>
              <w:left w:val="single" w:sz="4" w:space="0" w:color="auto"/>
              <w:bottom w:val="single" w:sz="4" w:space="0" w:color="auto"/>
              <w:right w:val="single" w:sz="4" w:space="0" w:color="auto"/>
            </w:tcBorders>
          </w:tcPr>
          <w:p w14:paraId="36303E94" w14:textId="026B5045"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(g)=(a)+(d)**</w:t>
            </w:r>
          </w:p>
        </w:tc>
        <w:tc>
          <w:tcPr>
            <w:tcW w:w="1224" w:type="dxa"/>
            <w:vMerge/>
            <w:tcBorders>
              <w:left w:val="single" w:sz="4" w:space="0" w:color="auto"/>
              <w:bottom w:val="single" w:sz="4" w:space="0" w:color="auto"/>
              <w:right w:val="single" w:sz="4" w:space="0" w:color="auto"/>
            </w:tcBorders>
          </w:tcPr>
          <w:p w14:paraId="73DD885B"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vMerge/>
            <w:tcBorders>
              <w:left w:val="single" w:sz="4" w:space="0" w:color="auto"/>
              <w:bottom w:val="single" w:sz="4" w:space="0" w:color="auto"/>
              <w:right w:val="single" w:sz="4" w:space="0" w:color="auto"/>
            </w:tcBorders>
          </w:tcPr>
          <w:p w14:paraId="14C50E09" w14:textId="58E56256"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171DED" w14:paraId="10D51F81"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1C15C3BB"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A02A63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2AF582F"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D6D280"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5640A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6FB43CC"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064CFFD" w14:textId="77777777" w:rsidR="006B56D4" w:rsidRPr="00171DED"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68BDF85"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4F0ADD83"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6EE0CF84"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185EE7E"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4A1B3535"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171DED" w14:paraId="2C9C9C7B"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36C30854"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32349BE"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BD0E5F3"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81272B9"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6C7D5B5"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B5E6AED"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038EEB2" w14:textId="77777777" w:rsidR="006B56D4" w:rsidRPr="00171DED"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32A1262"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10100CDA"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52C9B31A"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1EE8D73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659552F6"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bl>
    <w:p w14:paraId="509F8F75" w14:textId="2A160904" w:rsidR="00FE2D83" w:rsidRPr="00171DED" w:rsidRDefault="00FE2D83" w:rsidP="00722757">
      <w:pPr>
        <w:spacing w:before="240" w:after="240" w:line="240" w:lineRule="auto"/>
        <w:jc w:val="both"/>
        <w:rPr>
          <w:rFonts w:ascii="Times New Roman" w:eastAsia="Times New Roman" w:hAnsi="Times New Roman" w:cs="Times New Roman"/>
          <w:i/>
          <w:iCs/>
          <w:noProof/>
          <w:sz w:val="24"/>
          <w:szCs w:val="24"/>
          <w:lang w:val="bg-BG" w:eastAsia="bg-BG" w:bidi="bg-BG"/>
        </w:rPr>
        <w:sectPr w:rsidR="00FE2D83" w:rsidRPr="00171D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38" w:h="11906" w:orient="landscape" w:code="9"/>
          <w:pgMar w:top="1417" w:right="1417" w:bottom="1417" w:left="1417" w:header="709" w:footer="709" w:gutter="0"/>
          <w:cols w:space="708"/>
          <w:titlePg/>
          <w:docGrid w:linePitch="360"/>
        </w:sectPr>
      </w:pPr>
    </w:p>
    <w:p w14:paraId="144F5CFD" w14:textId="77777777" w:rsidR="00722757" w:rsidRPr="00171DED"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lastRenderedPageBreak/>
        <w:t>За ЕФМДР:</w:t>
      </w:r>
    </w:p>
    <w:p w14:paraId="43AF1573" w14:textId="77777777" w:rsidR="00722757" w:rsidRPr="00171DED"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буква e), iii)</w:t>
      </w:r>
    </w:p>
    <w:tbl>
      <w:tblPr>
        <w:tblStyle w:val="TableGrid"/>
        <w:tblW w:w="5000" w:type="pct"/>
        <w:tblLook w:val="04A0" w:firstRow="1" w:lastRow="0" w:firstColumn="1" w:lastColumn="0" w:noHBand="0" w:noVBand="1"/>
      </w:tblPr>
      <w:tblGrid>
        <w:gridCol w:w="1234"/>
        <w:gridCol w:w="1553"/>
        <w:gridCol w:w="1441"/>
        <w:gridCol w:w="1599"/>
        <w:gridCol w:w="1222"/>
        <w:gridCol w:w="968"/>
        <w:gridCol w:w="1611"/>
      </w:tblGrid>
      <w:tr w:rsidR="00722757" w:rsidRPr="00171DED" w14:paraId="7E569AFF" w14:textId="77777777" w:rsidTr="006E541D">
        <w:tc>
          <w:tcPr>
            <w:tcW w:w="5000" w:type="pct"/>
            <w:gridSpan w:val="7"/>
          </w:tcPr>
          <w:p w14:paraId="2ED6B7D1" w14:textId="77777777" w:rsidR="00722757" w:rsidRPr="00171DED" w:rsidRDefault="00722757" w:rsidP="00E222F7">
            <w:pPr>
              <w:spacing w:before="120" w:after="120"/>
              <w:jc w:val="both"/>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Таблица 11 A</w:t>
            </w:r>
          </w:p>
        </w:tc>
      </w:tr>
      <w:tr w:rsidR="00722757" w:rsidRPr="00171DED" w14:paraId="002168BE"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5B85332E"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0094002"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Вид на областта на подпомагане</w:t>
            </w:r>
            <w:r w:rsidRPr="00171DED">
              <w:rPr>
                <w:rFonts w:ascii="Times New Roman" w:eastAsia="Calibri" w:hAnsi="Times New Roman" w:cs="Times New Roman"/>
                <w:noProof/>
                <w:color w:val="A6A6A6" w:themeColor="background1" w:themeShade="A6"/>
                <w:sz w:val="24"/>
                <w:szCs w:val="20"/>
              </w:rPr>
              <w:t xml:space="preserve"> </w:t>
            </w:r>
            <w:r w:rsidRPr="00171DED">
              <w:rPr>
                <w:rFonts w:ascii="Times New Roman" w:eastAsia="Calibri" w:hAnsi="Times New Roman" w:cs="Times New Roman"/>
                <w:noProof/>
                <w:color w:val="A6A6A6" w:themeColor="background1" w:themeShade="A6"/>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1DE94D78"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Основа за изчисление</w:t>
            </w:r>
          </w:p>
          <w:p w14:paraId="1A4DA5AD"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2FD9905A"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48839081"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A4B8D76"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Общо</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3F7ED796"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Процент на съфинансиране</w:t>
            </w:r>
          </w:p>
        </w:tc>
      </w:tr>
      <w:tr w:rsidR="00722757" w:rsidRPr="00171DED" w14:paraId="01DE847F" w14:textId="77777777" w:rsidTr="006E541D">
        <w:trPr>
          <w:trHeight w:val="294"/>
        </w:trPr>
        <w:tc>
          <w:tcPr>
            <w:tcW w:w="654" w:type="pct"/>
            <w:vMerge w:val="restart"/>
            <w:tcBorders>
              <w:top w:val="single" w:sz="4" w:space="0" w:color="auto"/>
              <w:left w:val="single" w:sz="4" w:space="0" w:color="auto"/>
              <w:right w:val="single" w:sz="4" w:space="0" w:color="auto"/>
            </w:tcBorders>
            <w:shd w:val="clear" w:color="auto" w:fill="auto"/>
          </w:tcPr>
          <w:p w14:paraId="1CBBECE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1</w:t>
            </w:r>
          </w:p>
        </w:tc>
        <w:tc>
          <w:tcPr>
            <w:tcW w:w="819" w:type="pct"/>
            <w:tcBorders>
              <w:top w:val="single" w:sz="4" w:space="0" w:color="auto"/>
              <w:left w:val="single" w:sz="4" w:space="0" w:color="auto"/>
              <w:right w:val="single" w:sz="4" w:space="0" w:color="auto"/>
            </w:tcBorders>
            <w:shd w:val="clear" w:color="auto" w:fill="auto"/>
          </w:tcPr>
          <w:p w14:paraId="707D513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1.1</w:t>
            </w:r>
          </w:p>
        </w:tc>
        <w:tc>
          <w:tcPr>
            <w:tcW w:w="719" w:type="pct"/>
            <w:tcBorders>
              <w:top w:val="single" w:sz="4" w:space="0" w:color="auto"/>
              <w:left w:val="single" w:sz="4" w:space="0" w:color="auto"/>
              <w:right w:val="single" w:sz="4" w:space="0" w:color="auto"/>
            </w:tcBorders>
            <w:shd w:val="clear" w:color="auto" w:fill="auto"/>
          </w:tcPr>
          <w:p w14:paraId="12A24CC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776944C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1C80DDF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16CF110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0CD5FB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35022053" w14:textId="77777777" w:rsidTr="006E541D">
        <w:trPr>
          <w:trHeight w:val="284"/>
        </w:trPr>
        <w:tc>
          <w:tcPr>
            <w:tcW w:w="654" w:type="pct"/>
            <w:vMerge/>
            <w:tcBorders>
              <w:left w:val="single" w:sz="4" w:space="0" w:color="auto"/>
              <w:right w:val="single" w:sz="4" w:space="0" w:color="auto"/>
            </w:tcBorders>
            <w:shd w:val="clear" w:color="auto" w:fill="auto"/>
          </w:tcPr>
          <w:p w14:paraId="508D9D6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63DC6B2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1.2</w:t>
            </w:r>
          </w:p>
        </w:tc>
        <w:tc>
          <w:tcPr>
            <w:tcW w:w="719" w:type="pct"/>
            <w:tcBorders>
              <w:left w:val="single" w:sz="4" w:space="0" w:color="auto"/>
              <w:right w:val="single" w:sz="4" w:space="0" w:color="auto"/>
            </w:tcBorders>
            <w:shd w:val="clear" w:color="auto" w:fill="auto"/>
          </w:tcPr>
          <w:p w14:paraId="1A06EBB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168DA8B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538D66A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72A7815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1F199F5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5338D801" w14:textId="77777777" w:rsidTr="006E541D">
        <w:trPr>
          <w:trHeight w:val="260"/>
        </w:trPr>
        <w:tc>
          <w:tcPr>
            <w:tcW w:w="654" w:type="pct"/>
            <w:vMerge/>
            <w:tcBorders>
              <w:left w:val="single" w:sz="4" w:space="0" w:color="auto"/>
              <w:right w:val="single" w:sz="4" w:space="0" w:color="auto"/>
            </w:tcBorders>
            <w:shd w:val="clear" w:color="auto" w:fill="auto"/>
          </w:tcPr>
          <w:p w14:paraId="2D9EDC9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4280FE1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1.3</w:t>
            </w:r>
          </w:p>
        </w:tc>
        <w:tc>
          <w:tcPr>
            <w:tcW w:w="719" w:type="pct"/>
            <w:tcBorders>
              <w:left w:val="single" w:sz="4" w:space="0" w:color="auto"/>
              <w:right w:val="single" w:sz="4" w:space="0" w:color="auto"/>
            </w:tcBorders>
            <w:shd w:val="clear" w:color="auto" w:fill="auto"/>
          </w:tcPr>
          <w:p w14:paraId="69A0C0D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5714294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3B7FF20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67454E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27E9E66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EB4353C" w14:textId="77777777" w:rsidTr="006E541D">
        <w:trPr>
          <w:trHeight w:val="277"/>
        </w:trPr>
        <w:tc>
          <w:tcPr>
            <w:tcW w:w="654" w:type="pct"/>
            <w:vMerge/>
            <w:tcBorders>
              <w:left w:val="single" w:sz="4" w:space="0" w:color="auto"/>
              <w:right w:val="single" w:sz="4" w:space="0" w:color="auto"/>
            </w:tcBorders>
            <w:shd w:val="clear" w:color="auto" w:fill="auto"/>
          </w:tcPr>
          <w:p w14:paraId="46C38F5B"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575F6C9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1.4</w:t>
            </w:r>
          </w:p>
        </w:tc>
        <w:tc>
          <w:tcPr>
            <w:tcW w:w="719" w:type="pct"/>
            <w:tcBorders>
              <w:left w:val="single" w:sz="4" w:space="0" w:color="auto"/>
              <w:right w:val="single" w:sz="4" w:space="0" w:color="auto"/>
            </w:tcBorders>
            <w:shd w:val="clear" w:color="auto" w:fill="auto"/>
          </w:tcPr>
          <w:p w14:paraId="02D621E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6BE0034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BEA522D"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75F465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D194D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CA74CC3" w14:textId="77777777" w:rsidTr="006E541D">
        <w:trPr>
          <w:trHeight w:val="277"/>
        </w:trPr>
        <w:tc>
          <w:tcPr>
            <w:tcW w:w="654" w:type="pct"/>
            <w:vMerge/>
            <w:tcBorders>
              <w:left w:val="single" w:sz="4" w:space="0" w:color="auto"/>
              <w:right w:val="single" w:sz="4" w:space="0" w:color="auto"/>
            </w:tcBorders>
            <w:shd w:val="clear" w:color="auto" w:fill="auto"/>
          </w:tcPr>
          <w:p w14:paraId="526B1B1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71FBD29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1.5</w:t>
            </w:r>
          </w:p>
        </w:tc>
        <w:tc>
          <w:tcPr>
            <w:tcW w:w="719" w:type="pct"/>
            <w:tcBorders>
              <w:left w:val="single" w:sz="4" w:space="0" w:color="auto"/>
              <w:right w:val="single" w:sz="4" w:space="0" w:color="auto"/>
            </w:tcBorders>
            <w:shd w:val="clear" w:color="auto" w:fill="auto"/>
          </w:tcPr>
          <w:p w14:paraId="64CBE23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7CB3659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94E83B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241EEBC1"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147056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5212AA68" w14:textId="77777777" w:rsidTr="006E541D">
        <w:trPr>
          <w:trHeight w:val="290"/>
        </w:trPr>
        <w:tc>
          <w:tcPr>
            <w:tcW w:w="654" w:type="pct"/>
            <w:tcBorders>
              <w:top w:val="single" w:sz="4" w:space="0" w:color="auto"/>
              <w:left w:val="single" w:sz="4" w:space="0" w:color="auto"/>
              <w:right w:val="single" w:sz="4" w:space="0" w:color="auto"/>
            </w:tcBorders>
            <w:shd w:val="clear" w:color="auto" w:fill="auto"/>
          </w:tcPr>
          <w:p w14:paraId="2938907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2</w:t>
            </w:r>
          </w:p>
        </w:tc>
        <w:tc>
          <w:tcPr>
            <w:tcW w:w="819" w:type="pct"/>
            <w:tcBorders>
              <w:top w:val="single" w:sz="4" w:space="0" w:color="auto"/>
              <w:left w:val="single" w:sz="4" w:space="0" w:color="auto"/>
              <w:right w:val="single" w:sz="4" w:space="0" w:color="auto"/>
            </w:tcBorders>
            <w:shd w:val="clear" w:color="auto" w:fill="auto"/>
          </w:tcPr>
          <w:p w14:paraId="7A0BAEF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2.1</w:t>
            </w:r>
          </w:p>
        </w:tc>
        <w:tc>
          <w:tcPr>
            <w:tcW w:w="719" w:type="pct"/>
            <w:tcBorders>
              <w:top w:val="single" w:sz="4" w:space="0" w:color="auto"/>
              <w:left w:val="single" w:sz="4" w:space="0" w:color="auto"/>
              <w:right w:val="single" w:sz="4" w:space="0" w:color="auto"/>
            </w:tcBorders>
            <w:shd w:val="clear" w:color="auto" w:fill="auto"/>
          </w:tcPr>
          <w:p w14:paraId="2D45778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5D08536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2375A2C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2F2F493"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6D9D996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189B26A7" w14:textId="77777777" w:rsidTr="006E541D">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14:paraId="312035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3</w:t>
            </w:r>
          </w:p>
        </w:tc>
        <w:tc>
          <w:tcPr>
            <w:tcW w:w="819" w:type="pct"/>
            <w:tcBorders>
              <w:top w:val="single" w:sz="4" w:space="0" w:color="auto"/>
              <w:left w:val="single" w:sz="4" w:space="0" w:color="auto"/>
              <w:right w:val="single" w:sz="4" w:space="0" w:color="auto"/>
            </w:tcBorders>
            <w:shd w:val="clear" w:color="auto" w:fill="auto"/>
          </w:tcPr>
          <w:p w14:paraId="3BA66C3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3.1</w:t>
            </w:r>
          </w:p>
        </w:tc>
        <w:tc>
          <w:tcPr>
            <w:tcW w:w="719" w:type="pct"/>
            <w:tcBorders>
              <w:top w:val="single" w:sz="4" w:space="0" w:color="auto"/>
              <w:left w:val="single" w:sz="4" w:space="0" w:color="auto"/>
              <w:right w:val="single" w:sz="4" w:space="0" w:color="auto"/>
            </w:tcBorders>
            <w:shd w:val="clear" w:color="auto" w:fill="auto"/>
          </w:tcPr>
          <w:p w14:paraId="7A92C076"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6AEE757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591C2C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28D934C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FCAF80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6E6DBCD2" w14:textId="77777777" w:rsidTr="006E541D">
        <w:trPr>
          <w:trHeight w:val="270"/>
        </w:trPr>
        <w:tc>
          <w:tcPr>
            <w:tcW w:w="654" w:type="pct"/>
            <w:tcBorders>
              <w:top w:val="single" w:sz="4" w:space="0" w:color="auto"/>
              <w:left w:val="single" w:sz="4" w:space="0" w:color="auto"/>
              <w:right w:val="single" w:sz="4" w:space="0" w:color="auto"/>
            </w:tcBorders>
            <w:shd w:val="clear" w:color="auto" w:fill="auto"/>
          </w:tcPr>
          <w:p w14:paraId="132687E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4</w:t>
            </w:r>
          </w:p>
        </w:tc>
        <w:tc>
          <w:tcPr>
            <w:tcW w:w="819" w:type="pct"/>
            <w:tcBorders>
              <w:top w:val="single" w:sz="4" w:space="0" w:color="auto"/>
              <w:left w:val="single" w:sz="4" w:space="0" w:color="auto"/>
              <w:right w:val="single" w:sz="4" w:space="0" w:color="auto"/>
            </w:tcBorders>
            <w:shd w:val="clear" w:color="auto" w:fill="auto"/>
          </w:tcPr>
          <w:p w14:paraId="4839258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4.1</w:t>
            </w:r>
          </w:p>
        </w:tc>
        <w:tc>
          <w:tcPr>
            <w:tcW w:w="719" w:type="pct"/>
            <w:tcBorders>
              <w:top w:val="single" w:sz="4" w:space="0" w:color="auto"/>
              <w:left w:val="single" w:sz="4" w:space="0" w:color="auto"/>
              <w:right w:val="single" w:sz="4" w:space="0" w:color="auto"/>
            </w:tcBorders>
            <w:shd w:val="clear" w:color="auto" w:fill="auto"/>
          </w:tcPr>
          <w:p w14:paraId="5360854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38E4DBB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3ECDD1C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8F6628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1F2F2366"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F8F2687"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02F1AA0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C15354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A8962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294D54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2C62F0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075DA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6DA0093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bl>
    <w:p w14:paraId="21C5D9E5"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Благоприятстващи условия</w:t>
      </w:r>
    </w:p>
    <w:p w14:paraId="3E44D94B" w14:textId="1B4AAFE3"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w:t>
      </w:r>
      <w:r w:rsidR="00B70CC2" w:rsidRPr="00171DED">
        <w:rPr>
          <w:rFonts w:ascii="Times New Roman" w:eastAsia="Calibri" w:hAnsi="Times New Roman" w:cs="Times New Roman"/>
          <w:i/>
          <w:noProof/>
          <w:sz w:val="24"/>
          <w:szCs w:val="20"/>
          <w:lang w:val="bg-BG" w:eastAsia="bg-BG" w:bidi="bg-BG"/>
        </w:rPr>
        <w:t>7</w:t>
      </w:r>
      <w:r w:rsidRPr="00171DED">
        <w:rPr>
          <w:rFonts w:ascii="Times New Roman" w:eastAsia="Calibri" w:hAnsi="Times New Roman" w:cs="Times New Roman"/>
          <w:i/>
          <w:noProof/>
          <w:sz w:val="24"/>
          <w:szCs w:val="20"/>
          <w:lang w:val="bg-BG" w:eastAsia="bg-BG" w:bidi="bg-BG"/>
        </w:rPr>
        <w:t>, параграф 3, буква з)</w:t>
      </w:r>
    </w:p>
    <w:tbl>
      <w:tblPr>
        <w:tblStyle w:val="TableGrid"/>
        <w:tblW w:w="0" w:type="auto"/>
        <w:tblLook w:val="04A0" w:firstRow="1" w:lastRow="0" w:firstColumn="1" w:lastColumn="0" w:noHBand="0" w:noVBand="1"/>
      </w:tblPr>
      <w:tblGrid>
        <w:gridCol w:w="1459"/>
        <w:gridCol w:w="571"/>
        <w:gridCol w:w="1315"/>
        <w:gridCol w:w="1568"/>
        <w:gridCol w:w="1365"/>
        <w:gridCol w:w="994"/>
        <w:gridCol w:w="1128"/>
        <w:gridCol w:w="1228"/>
      </w:tblGrid>
      <w:tr w:rsidR="00722757" w:rsidRPr="00171DED" w14:paraId="24CBA1AF" w14:textId="77777777" w:rsidTr="009638D3">
        <w:tc>
          <w:tcPr>
            <w:tcW w:w="9628" w:type="dxa"/>
            <w:gridSpan w:val="8"/>
          </w:tcPr>
          <w:p w14:paraId="7250E770"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12: Благоприятстващи условия</w:t>
            </w:r>
          </w:p>
        </w:tc>
      </w:tr>
      <w:tr w:rsidR="008A1E13" w:rsidRPr="00171DED" w14:paraId="6C326314" w14:textId="77777777" w:rsidTr="008A1E13">
        <w:tc>
          <w:tcPr>
            <w:tcW w:w="1459" w:type="dxa"/>
          </w:tcPr>
          <w:p w14:paraId="330682ED"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Благоприятстващи условия</w:t>
            </w:r>
          </w:p>
        </w:tc>
        <w:tc>
          <w:tcPr>
            <w:tcW w:w="571" w:type="dxa"/>
          </w:tcPr>
          <w:p w14:paraId="1BD99B76"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5" w:type="dxa"/>
          </w:tcPr>
          <w:p w14:paraId="062DBDC9"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p w14:paraId="23D6792D"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noProof/>
                <w:sz w:val="20"/>
                <w:szCs w:val="20"/>
              </w:rPr>
              <w:t>(не е приложимо за ЕФМДР)</w:t>
            </w:r>
          </w:p>
        </w:tc>
        <w:tc>
          <w:tcPr>
            <w:tcW w:w="1568" w:type="dxa"/>
          </w:tcPr>
          <w:p w14:paraId="75F36CD1"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Изпълнение на благоприятстващите условия</w:t>
            </w:r>
          </w:p>
        </w:tc>
        <w:tc>
          <w:tcPr>
            <w:tcW w:w="1365" w:type="dxa"/>
          </w:tcPr>
          <w:p w14:paraId="16A273FB"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Критерии </w:t>
            </w:r>
          </w:p>
        </w:tc>
        <w:tc>
          <w:tcPr>
            <w:tcW w:w="994" w:type="dxa"/>
          </w:tcPr>
          <w:p w14:paraId="714826F1"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Изпълнение на критериите</w:t>
            </w:r>
          </w:p>
        </w:tc>
        <w:tc>
          <w:tcPr>
            <w:tcW w:w="1128" w:type="dxa"/>
          </w:tcPr>
          <w:p w14:paraId="780AE5AE"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Позоване на съответната документация </w:t>
            </w:r>
          </w:p>
        </w:tc>
        <w:tc>
          <w:tcPr>
            <w:tcW w:w="1228" w:type="dxa"/>
          </w:tcPr>
          <w:p w14:paraId="551A4769"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Обосновка </w:t>
            </w:r>
          </w:p>
        </w:tc>
      </w:tr>
      <w:tr w:rsidR="008A1E13" w:rsidRPr="00171DED" w14:paraId="78EBDE3F" w14:textId="77777777" w:rsidTr="008A1E13">
        <w:tc>
          <w:tcPr>
            <w:tcW w:w="1459" w:type="dxa"/>
          </w:tcPr>
          <w:p w14:paraId="640FF19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571" w:type="dxa"/>
          </w:tcPr>
          <w:p w14:paraId="52B453D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1315" w:type="dxa"/>
          </w:tcPr>
          <w:p w14:paraId="6B0085F0"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1568" w:type="dxa"/>
          </w:tcPr>
          <w:p w14:paraId="0E1F428C"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1365" w:type="dxa"/>
          </w:tcPr>
          <w:p w14:paraId="6048C02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Критерий 1</w:t>
            </w:r>
          </w:p>
        </w:tc>
        <w:tc>
          <w:tcPr>
            <w:tcW w:w="994" w:type="dxa"/>
          </w:tcPr>
          <w:p w14:paraId="6200D3C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1128" w:type="dxa"/>
          </w:tcPr>
          <w:p w14:paraId="54C9BFA1"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[500]</w:t>
            </w:r>
          </w:p>
        </w:tc>
        <w:tc>
          <w:tcPr>
            <w:tcW w:w="1228" w:type="dxa"/>
          </w:tcPr>
          <w:p w14:paraId="5AC955C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[1 000]</w:t>
            </w:r>
          </w:p>
        </w:tc>
      </w:tr>
      <w:tr w:rsidR="008A1E13" w:rsidRPr="00171DED" w14:paraId="5646CF2F" w14:textId="77777777" w:rsidTr="008A1E13">
        <w:tc>
          <w:tcPr>
            <w:tcW w:w="1459" w:type="dxa"/>
          </w:tcPr>
          <w:p w14:paraId="0BBA10E0" w14:textId="73C228F5"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Актуализирано планиране за необходимите инвестиции</w:t>
            </w:r>
            <w:r w:rsidR="00430589">
              <w:rPr>
                <w:rFonts w:ascii="Times New Roman" w:eastAsia="Times New Roman" w:hAnsi="Times New Roman" w:cs="Times New Roman"/>
                <w:iCs/>
                <w:noProof/>
                <w:sz w:val="20"/>
                <w:szCs w:val="20"/>
                <w:lang w:val="en-US"/>
              </w:rPr>
              <w:t xml:space="preserve"> </w:t>
            </w:r>
            <w:r w:rsidRPr="00171DED">
              <w:rPr>
                <w:rFonts w:ascii="Times New Roman" w:eastAsia="Times New Roman" w:hAnsi="Times New Roman" w:cs="Times New Roman"/>
                <w:iCs/>
                <w:noProof/>
                <w:sz w:val="20"/>
                <w:szCs w:val="20"/>
              </w:rPr>
              <w:t>в секторите на водите и на отпадъчните води</w:t>
            </w:r>
          </w:p>
        </w:tc>
        <w:tc>
          <w:tcPr>
            <w:tcW w:w="571" w:type="dxa"/>
          </w:tcPr>
          <w:p w14:paraId="7C2609C2" w14:textId="52653DA6"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5" w:type="dxa"/>
          </w:tcPr>
          <w:p w14:paraId="5A515402" w14:textId="0DD215D0"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устойчиво управление на водите</w:t>
            </w:r>
          </w:p>
        </w:tc>
        <w:tc>
          <w:tcPr>
            <w:tcW w:w="1568" w:type="dxa"/>
          </w:tcPr>
          <w:p w14:paraId="7D10A65E" w14:textId="4C681659"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Не</w:t>
            </w:r>
          </w:p>
        </w:tc>
        <w:tc>
          <w:tcPr>
            <w:tcW w:w="1365" w:type="dxa"/>
          </w:tcPr>
          <w:p w14:paraId="502E35D0"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2C6EA398"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1. Оценка на текущото състояние на прилагането на Директивата за пречистването на градските отпадъчни води (ДПГОВ) 91/271/ЕИО [и на преработения текст на Директивата за питейната вода (ДПВ) 98/83/ЕО]</w:t>
            </w:r>
            <w:r w:rsidR="000A55F1"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cr/>
            </w:r>
          </w:p>
          <w:p w14:paraId="210F7A45"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а. Изисква се изпълнение на Директивата за пречистването на градските отпадъчни води, включително определяне на</w:t>
            </w:r>
          </w:p>
          <w:p w14:paraId="4A318442"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w:t>
            </w:r>
            <w:r w:rsidRPr="00171DED">
              <w:rPr>
                <w:rFonts w:ascii="Times New Roman" w:eastAsia="Calibri" w:hAnsi="Times New Roman" w:cs="Times New Roman"/>
                <w:noProof/>
                <w:sz w:val="20"/>
                <w:szCs w:val="20"/>
              </w:rPr>
              <w:lastRenderedPageBreak/>
              <w:t>ието на инвестициите по агломерации на отпадъчни води.</w:t>
            </w:r>
          </w:p>
          <w:p w14:paraId="68ABAC32"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b. Изисква се за изпълнение на Директивата относно питейната вода (98/83/ЕО) </w:t>
            </w:r>
            <w:r w:rsidRPr="00171DED">
              <w:rPr>
                <w:rFonts w:ascii="Times New Roman" w:eastAsia="Calibri" w:hAnsi="Times New Roman" w:cs="Times New Roman"/>
                <w:noProof/>
                <w:sz w:val="20"/>
                <w:szCs w:val="20"/>
              </w:rPr>
              <w:cr/>
              <w:t>c.</w:t>
            </w:r>
            <w:r w:rsidRPr="00171DED">
              <w:t xml:space="preserve"> </w:t>
            </w:r>
            <w:r w:rsidRPr="00171DED">
              <w:rPr>
                <w:rFonts w:ascii="Times New Roman" w:eastAsia="Calibri" w:hAnsi="Times New Roman" w:cs="Times New Roman"/>
                <w:noProof/>
                <w:sz w:val="20"/>
                <w:szCs w:val="20"/>
              </w:rPr>
              <w:t>[Изисква се, за да може да се отговори на нуждите,</w:t>
            </w:r>
          </w:p>
          <w:p w14:paraId="1CF9DA4D"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произтичащи от предложения преработен текст (COM(2017)753</w:t>
            </w:r>
            <w:r w:rsidRPr="00171DED">
              <w:t xml:space="preserve"> </w:t>
            </w:r>
            <w:r w:rsidRPr="00171DED">
              <w:rPr>
                <w:rFonts w:ascii="Times New Roman" w:eastAsia="Calibri" w:hAnsi="Times New Roman" w:cs="Times New Roman"/>
                <w:noProof/>
                <w:sz w:val="20"/>
                <w:szCs w:val="20"/>
              </w:rPr>
              <w:t>final), по-специално във връзка с преразгледаните качествени параметри, описани подробно в приложение I]</w:t>
            </w:r>
          </w:p>
          <w:p w14:paraId="3838712C"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инвестициите,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в зависимост от тяхната възраст и </w:t>
            </w:r>
            <w:r w:rsidRPr="00171DED">
              <w:rPr>
                <w:rFonts w:ascii="Times New Roman" w:eastAsia="Calibri" w:hAnsi="Times New Roman" w:cs="Times New Roman"/>
                <w:noProof/>
                <w:sz w:val="20"/>
                <w:szCs w:val="20"/>
              </w:rPr>
              <w:lastRenderedPageBreak/>
              <w:t>амортизационни планове.</w:t>
            </w:r>
          </w:p>
          <w:p w14:paraId="02CB5598" w14:textId="36F6848D" w:rsidR="009638D3" w:rsidRPr="00735374"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4.</w:t>
            </w:r>
            <w:r w:rsidR="000A55F1" w:rsidRPr="0010575B">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r w:rsidR="009D6893" w:rsidRPr="0010575B">
              <w:rPr>
                <w:rFonts w:ascii="Times New Roman" w:eastAsia="Calibri" w:hAnsi="Times New Roman" w:cs="Times New Roman"/>
                <w:noProof/>
                <w:sz w:val="20"/>
                <w:szCs w:val="20"/>
              </w:rPr>
              <w:t>.</w:t>
            </w:r>
          </w:p>
        </w:tc>
        <w:tc>
          <w:tcPr>
            <w:tcW w:w="994" w:type="dxa"/>
          </w:tcPr>
          <w:p w14:paraId="4D9F5BFE" w14:textId="4FD07930"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lastRenderedPageBreak/>
              <w:t>Не</w:t>
            </w:r>
          </w:p>
        </w:tc>
        <w:tc>
          <w:tcPr>
            <w:tcW w:w="1128" w:type="dxa"/>
          </w:tcPr>
          <w:p w14:paraId="75990CD1"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tc>
        <w:tc>
          <w:tcPr>
            <w:tcW w:w="1228" w:type="dxa"/>
          </w:tcPr>
          <w:p w14:paraId="18F5BAE5" w14:textId="4BA64A73"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т.1. и 2. Подготовка на актуализирана оценка за изпълнение на Директива 91/271/ЕИО и </w:t>
            </w:r>
            <w:r w:rsidRPr="00171DED">
              <w:rPr>
                <w:rFonts w:ascii="Times New Roman" w:eastAsia="Times New Roman" w:hAnsi="Times New Roman" w:cs="Times New Roman"/>
                <w:iCs/>
                <w:noProof/>
                <w:sz w:val="20"/>
                <w:szCs w:val="20"/>
              </w:rPr>
              <w:lastRenderedPageBreak/>
              <w:t>Директива</w:t>
            </w:r>
            <w:r w:rsidR="00BA0DAB" w:rsidRPr="0010575B">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98/83/ЕО, в</w:t>
            </w:r>
            <w:r w:rsidR="00BA0DAB" w:rsidRPr="0010575B">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 xml:space="preserve">т.ч.  на изискванията за изменение на директивата. </w:t>
            </w:r>
          </w:p>
          <w:p w14:paraId="260F9E9D"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3. Актуализация на оценката на необходимите инвестиции за реконструкция на съществуващата ВиК инфраструктура. </w:t>
            </w:r>
          </w:p>
          <w:p w14:paraId="4044A216"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4. Подготовка на анализ за потенциалните източници и начини за публично финансиране. </w:t>
            </w:r>
          </w:p>
          <w:p w14:paraId="240AF08C"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p w14:paraId="52BAFA6F" w14:textId="682A863B"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Срок: </w:t>
            </w:r>
            <w:r w:rsidR="0071134D" w:rsidRPr="00171DED">
              <w:rPr>
                <w:rFonts w:ascii="Times New Roman" w:eastAsia="Times New Roman" w:hAnsi="Times New Roman" w:cs="Times New Roman"/>
                <w:iCs/>
                <w:noProof/>
                <w:sz w:val="20"/>
                <w:szCs w:val="20"/>
              </w:rPr>
              <w:t>12</w:t>
            </w:r>
            <w:r w:rsidRPr="00171DED">
              <w:rPr>
                <w:rFonts w:ascii="Times New Roman" w:eastAsia="Times New Roman" w:hAnsi="Times New Roman" w:cs="Times New Roman"/>
                <w:iCs/>
                <w:noProof/>
                <w:sz w:val="20"/>
                <w:szCs w:val="20"/>
              </w:rPr>
              <w:t xml:space="preserve">.2020 </w:t>
            </w:r>
          </w:p>
          <w:p w14:paraId="0B8DB433"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tc>
      </w:tr>
      <w:tr w:rsidR="00236674" w:rsidRPr="0010575B" w14:paraId="72F4F306" w14:textId="77777777" w:rsidTr="008A1E13">
        <w:tc>
          <w:tcPr>
            <w:tcW w:w="1459" w:type="dxa"/>
          </w:tcPr>
          <w:p w14:paraId="758722ED" w14:textId="6D5C739E"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 xml:space="preserve">Актуализирани планове за </w:t>
            </w:r>
            <w:r w:rsidR="00430589">
              <w:rPr>
                <w:rFonts w:ascii="Times New Roman" w:eastAsia="Times New Roman" w:hAnsi="Times New Roman" w:cs="Times New Roman"/>
                <w:iCs/>
                <w:noProof/>
                <w:sz w:val="20"/>
                <w:szCs w:val="20"/>
              </w:rPr>
              <w:t>у</w:t>
            </w:r>
            <w:r w:rsidRPr="00171DED">
              <w:rPr>
                <w:rFonts w:ascii="Times New Roman" w:eastAsia="Times New Roman" w:hAnsi="Times New Roman" w:cs="Times New Roman"/>
                <w:iCs/>
                <w:noProof/>
                <w:sz w:val="20"/>
                <w:szCs w:val="20"/>
              </w:rPr>
              <w:t>правление на отпадъците</w:t>
            </w:r>
          </w:p>
        </w:tc>
        <w:tc>
          <w:tcPr>
            <w:tcW w:w="571" w:type="dxa"/>
          </w:tcPr>
          <w:p w14:paraId="5C53CAAB" w14:textId="2A3084FA" w:rsidR="00236674" w:rsidRPr="00171DED" w:rsidRDefault="00981219" w:rsidP="00E222F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w:t>
            </w:r>
            <w:r w:rsidR="00236674" w:rsidRPr="00171DED">
              <w:rPr>
                <w:rFonts w:ascii="Times New Roman" w:eastAsia="Times New Roman" w:hAnsi="Times New Roman" w:cs="Times New Roman"/>
                <w:iCs/>
                <w:noProof/>
                <w:sz w:val="20"/>
                <w:szCs w:val="20"/>
              </w:rPr>
              <w:t>Ф</w:t>
            </w:r>
          </w:p>
        </w:tc>
        <w:tc>
          <w:tcPr>
            <w:tcW w:w="1315" w:type="dxa"/>
          </w:tcPr>
          <w:p w14:paraId="1592E39B" w14:textId="5EA1B526"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прехода към кръгова икономика</w:t>
            </w:r>
          </w:p>
        </w:tc>
        <w:tc>
          <w:tcPr>
            <w:tcW w:w="1568" w:type="dxa"/>
          </w:tcPr>
          <w:p w14:paraId="3F3270D9" w14:textId="6EA8AA41"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1365" w:type="dxa"/>
          </w:tcPr>
          <w:p w14:paraId="09F5566B" w14:textId="226A3D65"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r w:rsidR="00402EEA">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Директива 2008/98/ЕО, изменена с Директива (ЕС) 2018/851, обхващащи цялата територия на държавата членка, които включват:</w:t>
            </w:r>
          </w:p>
          <w:p w14:paraId="24010D9B" w14:textId="7AA08A30"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w:t>
            </w:r>
            <w:r w:rsidRPr="00171DED">
              <w:rPr>
                <w:rFonts w:ascii="Times New Roman" w:eastAsia="Calibri" w:hAnsi="Times New Roman" w:cs="Times New Roman"/>
                <w:noProof/>
                <w:sz w:val="20"/>
                <w:szCs w:val="20"/>
              </w:rPr>
              <w:lastRenderedPageBreak/>
              <w:t xml:space="preserve">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 изменена с Директива </w:t>
            </w:r>
            <w:r w:rsidR="006874B7" w:rsidRPr="00171DED">
              <w:rPr>
                <w:rFonts w:ascii="Times New Roman" w:eastAsia="Calibri" w:hAnsi="Times New Roman" w:cs="Times New Roman"/>
                <w:noProof/>
                <w:sz w:val="20"/>
                <w:szCs w:val="20"/>
              </w:rPr>
              <w:t xml:space="preserve">(ЕС) </w:t>
            </w:r>
            <w:r w:rsidRPr="00171DED">
              <w:rPr>
                <w:rFonts w:ascii="Times New Roman" w:eastAsia="Calibri" w:hAnsi="Times New Roman" w:cs="Times New Roman"/>
                <w:noProof/>
                <w:sz w:val="20"/>
                <w:szCs w:val="20"/>
              </w:rPr>
              <w:t>2018/</w:t>
            </w:r>
            <w:r w:rsidR="006874B7" w:rsidRPr="00171DED">
              <w:rPr>
                <w:rFonts w:ascii="Times New Roman" w:eastAsia="Calibri" w:hAnsi="Times New Roman" w:cs="Times New Roman"/>
                <w:noProof/>
                <w:sz w:val="20"/>
                <w:szCs w:val="20"/>
              </w:rPr>
              <w:t>851</w:t>
            </w:r>
            <w:r w:rsidR="00055EA7" w:rsidRPr="0010575B">
              <w:rPr>
                <w:rFonts w:ascii="Times New Roman" w:eastAsia="Calibri" w:hAnsi="Times New Roman" w:cs="Times New Roman"/>
                <w:noProof/>
                <w:sz w:val="20"/>
                <w:szCs w:val="20"/>
              </w:rPr>
              <w:t>.</w:t>
            </w:r>
          </w:p>
          <w:p w14:paraId="5773B8C4" w14:textId="77777777"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Оценка на съществуващите схеми за събиране на отпадъци, включително съответното 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p>
          <w:p w14:paraId="0D841FA8" w14:textId="5B81F4CA"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3. Оценка на недостига на инвестиции, обосноваваща необходимостта от закриване на съществуващи отпадни инсталации и допълнителна или модернизирана </w:t>
            </w:r>
            <w:r w:rsidRPr="00171DED">
              <w:rPr>
                <w:rFonts w:ascii="Times New Roman" w:eastAsia="Calibri" w:hAnsi="Times New Roman" w:cs="Times New Roman"/>
                <w:noProof/>
                <w:sz w:val="20"/>
                <w:szCs w:val="20"/>
              </w:rPr>
              <w:lastRenderedPageBreak/>
              <w:t>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r w:rsidR="00774449"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w:t>
            </w:r>
          </w:p>
          <w:p w14:paraId="0D200FE0" w14:textId="1EC94CC7"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4. </w:t>
            </w:r>
            <w:r w:rsidR="00FB4998">
              <w:rPr>
                <w:rFonts w:ascii="Times New Roman" w:eastAsia="Calibri" w:hAnsi="Times New Roman" w:cs="Times New Roman"/>
                <w:noProof/>
                <w:sz w:val="20"/>
                <w:szCs w:val="20"/>
              </w:rPr>
              <w:t>И</w:t>
            </w:r>
            <w:r w:rsidRPr="00171DED">
              <w:rPr>
                <w:rFonts w:ascii="Times New Roman" w:eastAsia="Calibri" w:hAnsi="Times New Roman" w:cs="Times New Roman"/>
                <w:noProof/>
                <w:sz w:val="20"/>
                <w:szCs w:val="20"/>
              </w:rPr>
              <w:t>нформация за това как ще се определят бъдещите местоположения на обектите, както и за капацитета на бъдещите инсталации за третиране на отпадъци.</w:t>
            </w:r>
          </w:p>
        </w:tc>
        <w:tc>
          <w:tcPr>
            <w:tcW w:w="994" w:type="dxa"/>
          </w:tcPr>
          <w:p w14:paraId="220DAC17" w14:textId="5A44405A"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Не</w:t>
            </w:r>
          </w:p>
        </w:tc>
        <w:tc>
          <w:tcPr>
            <w:tcW w:w="1128" w:type="dxa"/>
          </w:tcPr>
          <w:p w14:paraId="018FAC2D" w14:textId="77777777" w:rsidR="00236674" w:rsidRPr="00171DED"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0365D925"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Разработване и приемане на</w:t>
            </w:r>
          </w:p>
          <w:p w14:paraId="7547FF9C"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Национален план управление на</w:t>
            </w:r>
          </w:p>
          <w:p w14:paraId="6625F317"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отпадъците за периода 2021-2028 г.,</w:t>
            </w:r>
          </w:p>
          <w:p w14:paraId="58EB9717"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включително:</w:t>
            </w:r>
          </w:p>
          <w:p w14:paraId="6110301C"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Анализ на ситуацията с</w:t>
            </w:r>
          </w:p>
          <w:p w14:paraId="45128B72"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управлението на отпадъците;</w:t>
            </w:r>
          </w:p>
          <w:p w14:paraId="737C761E"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Изготвяне на оценка на</w:t>
            </w:r>
          </w:p>
          <w:p w14:paraId="08CC57B6"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съществуващите схеми за събиране на</w:t>
            </w:r>
            <w:r w:rsidRPr="00171DED">
              <w:t xml:space="preserve"> </w:t>
            </w:r>
            <w:r w:rsidRPr="00171DED">
              <w:rPr>
                <w:rFonts w:ascii="Times New Roman" w:eastAsia="Times New Roman" w:hAnsi="Times New Roman" w:cs="Times New Roman"/>
                <w:iCs/>
                <w:noProof/>
                <w:sz w:val="20"/>
                <w:szCs w:val="20"/>
              </w:rPr>
              <w:t>отпадъци;</w:t>
            </w:r>
          </w:p>
          <w:p w14:paraId="224D8981"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и т. 4 - Подготовка на оценка</w:t>
            </w:r>
          </w:p>
          <w:p w14:paraId="13A0F009"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 недостига на инвестиции и</w:t>
            </w:r>
          </w:p>
          <w:p w14:paraId="20253867"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информация за </w:t>
            </w:r>
            <w:r w:rsidRPr="00171DED">
              <w:rPr>
                <w:rFonts w:ascii="Times New Roman" w:eastAsia="Times New Roman" w:hAnsi="Times New Roman" w:cs="Times New Roman"/>
                <w:iCs/>
                <w:noProof/>
                <w:sz w:val="20"/>
                <w:szCs w:val="20"/>
              </w:rPr>
              <w:lastRenderedPageBreak/>
              <w:t>бъдещите обекти за</w:t>
            </w:r>
          </w:p>
          <w:p w14:paraId="4EF1848F"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третиране на отпадъци.</w:t>
            </w:r>
          </w:p>
          <w:p w14:paraId="2277442F" w14:textId="77777777" w:rsidR="00236674" w:rsidRPr="00171DED" w:rsidRDefault="00236674" w:rsidP="00735374">
            <w:pPr>
              <w:rPr>
                <w:rFonts w:ascii="Times New Roman" w:eastAsia="Times New Roman" w:hAnsi="Times New Roman" w:cs="Times New Roman"/>
                <w:iCs/>
                <w:noProof/>
                <w:sz w:val="20"/>
                <w:szCs w:val="20"/>
              </w:rPr>
            </w:pPr>
          </w:p>
          <w:p w14:paraId="7FCCE833" w14:textId="547F7792" w:rsidR="00236674" w:rsidRPr="00735374" w:rsidRDefault="00236674" w:rsidP="0073537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Срок – м. 12.2020 </w:t>
            </w:r>
          </w:p>
        </w:tc>
      </w:tr>
      <w:tr w:rsidR="00236674" w:rsidRPr="0010575B" w14:paraId="66FBDB81" w14:textId="77777777" w:rsidTr="008A1E13">
        <w:tc>
          <w:tcPr>
            <w:tcW w:w="1459" w:type="dxa"/>
          </w:tcPr>
          <w:p w14:paraId="3A1C145B" w14:textId="60C2059C" w:rsidR="00236674" w:rsidRPr="00171DED" w:rsidRDefault="00236674" w:rsidP="007353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Ефективната рамка за управление</w:t>
            </w:r>
            <w:r w:rsidR="000811DA">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на риска от бедствия</w:t>
            </w:r>
          </w:p>
        </w:tc>
        <w:tc>
          <w:tcPr>
            <w:tcW w:w="571" w:type="dxa"/>
          </w:tcPr>
          <w:p w14:paraId="6245C58B" w14:textId="72D63C24"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5" w:type="dxa"/>
          </w:tcPr>
          <w:p w14:paraId="29B84136" w14:textId="4A1251FC"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приспособяването към изменението на климата, управление на риска и устойчивост на бедствия</w:t>
            </w:r>
          </w:p>
        </w:tc>
        <w:tc>
          <w:tcPr>
            <w:tcW w:w="1568" w:type="dxa"/>
          </w:tcPr>
          <w:p w14:paraId="1CAA74AF" w14:textId="244CEE65"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1365" w:type="dxa"/>
          </w:tcPr>
          <w:p w14:paraId="0B98B9F6" w14:textId="4B45373B" w:rsidR="00236674" w:rsidRPr="00171DED" w:rsidRDefault="002B0324" w:rsidP="00236674">
            <w:pPr>
              <w:jc w:val="both"/>
              <w:rPr>
                <w:rFonts w:ascii="Times New Roman" w:eastAsia="Calibri" w:hAnsi="Times New Roman" w:cs="Times New Roman"/>
                <w:noProof/>
                <w:sz w:val="20"/>
                <w:szCs w:val="20"/>
              </w:rPr>
            </w:pPr>
            <w:r w:rsidRPr="00D4649A">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4649A">
              <w:rPr>
                <w:rFonts w:ascii="Times New Roman" w:eastAsia="Calibri" w:hAnsi="Times New Roman" w:cs="Times New Roman"/>
                <w:noProof/>
                <w:sz w:val="20"/>
                <w:szCs w:val="20"/>
              </w:rPr>
              <w:t>:</w:t>
            </w:r>
          </w:p>
          <w:p w14:paraId="7D22D08E" w14:textId="3964C0E1"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 xml:space="preserve">1. Описание на основните рискове, оценени в съответствие с разпоредбите на член 6, буква а) от Решение № 1313/2013/ЕС, с отразяване на текущия и развиващ се рисков </w:t>
            </w:r>
            <w:r w:rsidRPr="00D4649A">
              <w:rPr>
                <w:rFonts w:ascii="Times New Roman" w:eastAsia="Calibri" w:hAnsi="Times New Roman" w:cs="Times New Roman"/>
                <w:noProof/>
                <w:sz w:val="20"/>
                <w:szCs w:val="20"/>
              </w:rPr>
              <w:t>профил</w:t>
            </w:r>
            <w:r w:rsidR="002B0324" w:rsidRPr="00D4649A">
              <w:t xml:space="preserve"> </w:t>
            </w:r>
            <w:r w:rsidR="002B0324" w:rsidRPr="00D4649A">
              <w:rPr>
                <w:rFonts w:ascii="Times New Roman" w:eastAsia="Calibri" w:hAnsi="Times New Roman" w:cs="Times New Roman"/>
                <w:noProof/>
                <w:sz w:val="20"/>
                <w:szCs w:val="20"/>
              </w:rPr>
              <w:t>с индикативен времеви обхват 25-30 години</w:t>
            </w:r>
            <w:r w:rsidR="00D4649A" w:rsidRPr="00D4649A">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Описание на мерките за превенция, готовност и реагиране при бедствия, насочени към идентифицираните основни рискове. Мерките се</w:t>
            </w:r>
          </w:p>
          <w:p w14:paraId="2FAF81E9" w14:textId="77777777"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степенуват по важност в зависимост от рисковете и икономическото им въздействие, пропуски по отношение на капацитета, ефективността и </w:t>
            </w:r>
            <w:r w:rsidRPr="00171DED">
              <w:rPr>
                <w:rFonts w:ascii="Times New Roman" w:eastAsia="Calibri" w:hAnsi="Times New Roman" w:cs="Times New Roman"/>
                <w:noProof/>
                <w:sz w:val="20"/>
                <w:szCs w:val="20"/>
              </w:rPr>
              <w:lastRenderedPageBreak/>
              <w:t>ефикасността, като се вземат под внимание възможни алтернативи.</w:t>
            </w:r>
          </w:p>
          <w:p w14:paraId="524B1CAA" w14:textId="7B1785AF"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Информация относно финансовите средства и механизми, които са</w:t>
            </w:r>
            <w:r w:rsidRPr="00171DED">
              <w:t xml:space="preserve"> </w:t>
            </w:r>
            <w:r w:rsidRPr="00171DED">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994" w:type="dxa"/>
          </w:tcPr>
          <w:p w14:paraId="26977D5A" w14:textId="014654EE"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Не</w:t>
            </w:r>
          </w:p>
        </w:tc>
        <w:tc>
          <w:tcPr>
            <w:tcW w:w="1128" w:type="dxa"/>
          </w:tcPr>
          <w:p w14:paraId="1CB0A623" w14:textId="77777777" w:rsidR="00236674" w:rsidRPr="00171DED"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78559024"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Изготвяне и приемане на Национален план за управление на риска от бедствия, включително:</w:t>
            </w:r>
          </w:p>
          <w:p w14:paraId="0587B117"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1 - Разработване на методология за оценка на риска; събиране на данни за щетите и загубите от възникнали бедствия и идентифициране на опасностите и </w:t>
            </w:r>
            <w:r w:rsidRPr="00171DED">
              <w:rPr>
                <w:rFonts w:ascii="Times New Roman" w:eastAsia="Times New Roman" w:hAnsi="Times New Roman" w:cs="Times New Roman"/>
                <w:iCs/>
                <w:noProof/>
                <w:sz w:val="20"/>
                <w:szCs w:val="20"/>
              </w:rPr>
              <w:lastRenderedPageBreak/>
              <w:t>рисковете на национално ниво;</w:t>
            </w:r>
          </w:p>
          <w:p w14:paraId="41A16425"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Разработване на Национална програма за намаляване на риска от бедствия;</w:t>
            </w:r>
          </w:p>
          <w:p w14:paraId="678BC066"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 Осигуряване на механизми за финансово обезпечаване на дейностите по превенция, готовност и реагиране.</w:t>
            </w:r>
          </w:p>
          <w:p w14:paraId="7760E48A" w14:textId="77777777" w:rsidR="00236674" w:rsidRPr="00171DED" w:rsidRDefault="00236674" w:rsidP="00236674">
            <w:pPr>
              <w:jc w:val="both"/>
              <w:rPr>
                <w:rFonts w:ascii="Times New Roman" w:eastAsia="Times New Roman" w:hAnsi="Times New Roman" w:cs="Times New Roman"/>
                <w:iCs/>
                <w:noProof/>
                <w:sz w:val="20"/>
                <w:szCs w:val="20"/>
              </w:rPr>
            </w:pPr>
          </w:p>
          <w:p w14:paraId="0EE912D7" w14:textId="14ED3DC5" w:rsidR="00236674" w:rsidRPr="004E097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Срок т.</w:t>
            </w:r>
            <w:r w:rsidRPr="004E097D">
              <w:rPr>
                <w:rFonts w:ascii="Times New Roman" w:eastAsia="Times New Roman" w:hAnsi="Times New Roman" w:cs="Times New Roman"/>
                <w:iCs/>
                <w:noProof/>
                <w:sz w:val="20"/>
                <w:szCs w:val="20"/>
              </w:rPr>
              <w:t>1</w:t>
            </w:r>
            <w:r w:rsidR="002B0324" w:rsidRPr="004E097D">
              <w:rPr>
                <w:rFonts w:ascii="Times New Roman" w:eastAsia="Times New Roman" w:hAnsi="Times New Roman" w:cs="Times New Roman"/>
                <w:iCs/>
                <w:noProof/>
                <w:sz w:val="20"/>
                <w:szCs w:val="20"/>
              </w:rPr>
              <w:t xml:space="preserve">и т. </w:t>
            </w:r>
            <w:r w:rsidRPr="004E097D">
              <w:rPr>
                <w:rFonts w:ascii="Times New Roman" w:eastAsia="Times New Roman" w:hAnsi="Times New Roman" w:cs="Times New Roman"/>
                <w:iCs/>
                <w:noProof/>
                <w:sz w:val="20"/>
                <w:szCs w:val="20"/>
              </w:rPr>
              <w:t>3 – 12.</w:t>
            </w:r>
            <w:r w:rsidR="002B0324" w:rsidRPr="004E097D">
              <w:rPr>
                <w:rFonts w:ascii="Times New Roman" w:eastAsia="Times New Roman" w:hAnsi="Times New Roman" w:cs="Times New Roman"/>
                <w:iCs/>
                <w:noProof/>
                <w:sz w:val="20"/>
                <w:szCs w:val="20"/>
              </w:rPr>
              <w:t>2021 г.</w:t>
            </w:r>
          </w:p>
          <w:p w14:paraId="3FE24848" w14:textId="51EF78CA" w:rsidR="002B0324" w:rsidRPr="00171DED" w:rsidRDefault="002B0324" w:rsidP="00E222F7">
            <w:pPr>
              <w:spacing w:before="120" w:after="120"/>
              <w:jc w:val="both"/>
              <w:rPr>
                <w:rFonts w:ascii="Times New Roman" w:eastAsia="Times New Roman" w:hAnsi="Times New Roman" w:cs="Times New Roman"/>
                <w:iCs/>
                <w:noProof/>
                <w:sz w:val="20"/>
                <w:szCs w:val="20"/>
              </w:rPr>
            </w:pPr>
            <w:r w:rsidRPr="004E097D">
              <w:rPr>
                <w:rFonts w:ascii="Times New Roman" w:eastAsia="Times New Roman" w:hAnsi="Times New Roman" w:cs="Times New Roman"/>
                <w:iCs/>
                <w:noProof/>
                <w:sz w:val="20"/>
                <w:szCs w:val="20"/>
              </w:rPr>
              <w:t>Срок т. 2 – 12.2020 г.</w:t>
            </w:r>
          </w:p>
        </w:tc>
      </w:tr>
    </w:tbl>
    <w:p w14:paraId="3C2BEED1" w14:textId="77777777" w:rsidR="005D0D37" w:rsidRPr="00171DED" w:rsidRDefault="005D0D37" w:rsidP="005D0D37">
      <w:pPr>
        <w:spacing w:before="240" w:after="240" w:line="240" w:lineRule="auto"/>
        <w:ind w:left="502"/>
        <w:jc w:val="both"/>
        <w:rPr>
          <w:rFonts w:ascii="Times New Roman" w:eastAsia="Times New Roman" w:hAnsi="Times New Roman" w:cs="Times New Roman"/>
          <w:b/>
          <w:iCs/>
          <w:noProof/>
          <w:sz w:val="24"/>
          <w:szCs w:val="24"/>
          <w:lang w:val="bg-BG" w:eastAsia="bg-BG" w:bidi="bg-BG"/>
        </w:rPr>
      </w:pPr>
    </w:p>
    <w:p w14:paraId="42218054" w14:textId="54397AE1"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Органи, които отговарят за програмата </w:t>
      </w:r>
    </w:p>
    <w:p w14:paraId="1A44F4B4"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355"/>
        <w:gridCol w:w="2339"/>
        <w:gridCol w:w="1979"/>
        <w:gridCol w:w="2955"/>
      </w:tblGrid>
      <w:tr w:rsidR="00722757" w:rsidRPr="0010575B" w14:paraId="724170FB" w14:textId="77777777" w:rsidTr="00E222F7">
        <w:tc>
          <w:tcPr>
            <w:tcW w:w="9628" w:type="dxa"/>
            <w:gridSpan w:val="4"/>
          </w:tcPr>
          <w:p w14:paraId="626C5D3A"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Таблица 13: Органи, които отговарят за програмата</w:t>
            </w:r>
          </w:p>
        </w:tc>
      </w:tr>
      <w:tr w:rsidR="00722757" w:rsidRPr="00171DED" w14:paraId="452374AB" w14:textId="77777777" w:rsidTr="00E222F7">
        <w:tc>
          <w:tcPr>
            <w:tcW w:w="2355" w:type="dxa"/>
          </w:tcPr>
          <w:p w14:paraId="53983123"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Органи, които отговарят за програмата </w:t>
            </w:r>
          </w:p>
        </w:tc>
        <w:tc>
          <w:tcPr>
            <w:tcW w:w="2339" w:type="dxa"/>
          </w:tcPr>
          <w:p w14:paraId="10A1F18C"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Наименование на институцията </w:t>
            </w:r>
            <w:r w:rsidRPr="00171DED">
              <w:rPr>
                <w:rFonts w:ascii="Times New Roman" w:eastAsia="Calibri" w:hAnsi="Times New Roman" w:cs="Times New Roman"/>
                <w:noProof/>
                <w:sz w:val="20"/>
                <w:szCs w:val="20"/>
              </w:rPr>
              <w:t>[500]</w:t>
            </w:r>
          </w:p>
        </w:tc>
        <w:tc>
          <w:tcPr>
            <w:tcW w:w="1979" w:type="dxa"/>
          </w:tcPr>
          <w:p w14:paraId="2FBC3591"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Име на лицето за контакт</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p w14:paraId="625FCDDF" w14:textId="77777777" w:rsidR="00722757" w:rsidRPr="00171DED" w:rsidRDefault="00722757" w:rsidP="00E222F7">
            <w:pPr>
              <w:spacing w:before="120" w:after="120"/>
              <w:jc w:val="both"/>
              <w:rPr>
                <w:rFonts w:ascii="Times New Roman" w:eastAsia="Calibri" w:hAnsi="Times New Roman" w:cs="Times New Roman"/>
                <w:b/>
                <w:noProof/>
                <w:sz w:val="20"/>
                <w:szCs w:val="20"/>
              </w:rPr>
            </w:pPr>
          </w:p>
        </w:tc>
        <w:tc>
          <w:tcPr>
            <w:tcW w:w="2955" w:type="dxa"/>
          </w:tcPr>
          <w:p w14:paraId="1069C7D2"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Електронна поща</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tc>
      </w:tr>
      <w:tr w:rsidR="00722757" w:rsidRPr="00171DED" w14:paraId="6AB7F0F7" w14:textId="77777777" w:rsidTr="00E222F7">
        <w:tc>
          <w:tcPr>
            <w:tcW w:w="2355" w:type="dxa"/>
          </w:tcPr>
          <w:p w14:paraId="7C3F927E"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Управляващ орган</w:t>
            </w:r>
          </w:p>
        </w:tc>
        <w:tc>
          <w:tcPr>
            <w:tcW w:w="2339" w:type="dxa"/>
          </w:tcPr>
          <w:p w14:paraId="2DE3EBD4" w14:textId="1EBF42DC" w:rsidR="00722757" w:rsidRPr="00171DED" w:rsidRDefault="001F695F"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Главна дирекция „Оперативна програма „Околна среда“ на Министерството на околната среда и водите</w:t>
            </w:r>
          </w:p>
        </w:tc>
        <w:tc>
          <w:tcPr>
            <w:tcW w:w="1979" w:type="dxa"/>
          </w:tcPr>
          <w:p w14:paraId="1BDAE7D4" w14:textId="7677AC9B" w:rsidR="00722757" w:rsidRPr="00171DED" w:rsidRDefault="001F695F"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Валерия Калчева</w:t>
            </w:r>
          </w:p>
        </w:tc>
        <w:tc>
          <w:tcPr>
            <w:tcW w:w="2955" w:type="dxa"/>
          </w:tcPr>
          <w:p w14:paraId="37FC7241" w14:textId="68D6B024" w:rsidR="00722757" w:rsidRPr="00171DED" w:rsidRDefault="001F695F" w:rsidP="00E222F7">
            <w:pPr>
              <w:spacing w:before="120" w:after="120"/>
              <w:jc w:val="both"/>
              <w:rPr>
                <w:rFonts w:ascii="Times New Roman" w:eastAsia="Calibri" w:hAnsi="Times New Roman" w:cs="Times New Roman"/>
                <w:noProof/>
                <w:sz w:val="20"/>
                <w:szCs w:val="20"/>
                <w:lang w:val="en-US"/>
              </w:rPr>
            </w:pPr>
            <w:r w:rsidRPr="00171DED">
              <w:rPr>
                <w:rFonts w:ascii="Times New Roman" w:eastAsia="Calibri" w:hAnsi="Times New Roman" w:cs="Times New Roman"/>
                <w:noProof/>
                <w:sz w:val="20"/>
                <w:szCs w:val="20"/>
              </w:rPr>
              <w:t>vkalcheva@moew.government.bg</w:t>
            </w:r>
          </w:p>
        </w:tc>
      </w:tr>
      <w:tr w:rsidR="00722757" w:rsidRPr="00171DED" w14:paraId="03BCFE0F" w14:textId="77777777" w:rsidTr="00E222F7">
        <w:tc>
          <w:tcPr>
            <w:tcW w:w="2355" w:type="dxa"/>
          </w:tcPr>
          <w:p w14:paraId="2DA42D44"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Одитен орган</w:t>
            </w:r>
          </w:p>
        </w:tc>
        <w:tc>
          <w:tcPr>
            <w:tcW w:w="2339" w:type="dxa"/>
          </w:tcPr>
          <w:p w14:paraId="0E695502" w14:textId="1D14BA1E"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Изпълнителна агенция „Одит на средствата от Европейския съюз“</w:t>
            </w:r>
          </w:p>
        </w:tc>
        <w:tc>
          <w:tcPr>
            <w:tcW w:w="1979" w:type="dxa"/>
          </w:tcPr>
          <w:p w14:paraId="79EEF641" w14:textId="34BA374F"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Людмила Рангелова</w:t>
            </w:r>
          </w:p>
        </w:tc>
        <w:tc>
          <w:tcPr>
            <w:tcW w:w="2955" w:type="dxa"/>
          </w:tcPr>
          <w:p w14:paraId="5F6A1538" w14:textId="2D90B903"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aeuf@minfin.bg</w:t>
            </w:r>
          </w:p>
        </w:tc>
      </w:tr>
      <w:tr w:rsidR="00722757" w:rsidRPr="00171DED" w14:paraId="2CA2C50C" w14:textId="77777777" w:rsidTr="00E222F7">
        <w:tc>
          <w:tcPr>
            <w:tcW w:w="2355" w:type="dxa"/>
          </w:tcPr>
          <w:p w14:paraId="046B2A78"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Орган, който получава плащания от Комисията</w:t>
            </w:r>
          </w:p>
        </w:tc>
        <w:tc>
          <w:tcPr>
            <w:tcW w:w="2339" w:type="dxa"/>
          </w:tcPr>
          <w:p w14:paraId="1E48E6BB" w14:textId="5D29776C"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 на Министерството на финансите</w:t>
            </w:r>
          </w:p>
        </w:tc>
        <w:tc>
          <w:tcPr>
            <w:tcW w:w="1979" w:type="dxa"/>
          </w:tcPr>
          <w:p w14:paraId="6DC8630E" w14:textId="10537D0C"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2955" w:type="dxa"/>
          </w:tcPr>
          <w:p w14:paraId="3B8D0919" w14:textId="7949CA34"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r w:rsidR="008D3CEC" w:rsidRPr="00171DED" w14:paraId="50F65BA3" w14:textId="77777777" w:rsidTr="008D3CEC">
        <w:tc>
          <w:tcPr>
            <w:tcW w:w="2355" w:type="dxa"/>
          </w:tcPr>
          <w:p w14:paraId="71D3B164" w14:textId="01B0DF5F"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Счетоводен орган</w:t>
            </w:r>
          </w:p>
        </w:tc>
        <w:tc>
          <w:tcPr>
            <w:tcW w:w="2339" w:type="dxa"/>
          </w:tcPr>
          <w:p w14:paraId="61494BED" w14:textId="372871B0"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 на Министерството на финансите</w:t>
            </w:r>
          </w:p>
        </w:tc>
        <w:tc>
          <w:tcPr>
            <w:tcW w:w="1979" w:type="dxa"/>
          </w:tcPr>
          <w:p w14:paraId="53F2B404" w14:textId="259E3B77"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2955" w:type="dxa"/>
          </w:tcPr>
          <w:p w14:paraId="20F0CD07" w14:textId="425C057E"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bl>
    <w:p w14:paraId="42FADCCD" w14:textId="77777777" w:rsidR="00B70CC2" w:rsidRPr="00171DED"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Times New Roman" w:hAnsi="Times New Roman" w:cs="Times New Roman"/>
          <w:b/>
          <w:iCs/>
          <w:noProof/>
          <w:sz w:val="24"/>
          <w:szCs w:val="24"/>
          <w:lang w:val="bg-BG" w:eastAsia="bg-BG" w:bidi="bg-BG"/>
        </w:rPr>
        <w:lastRenderedPageBreak/>
        <w:t>Reference: 4th subparagraph of Article 17(3) CPR</w:t>
      </w:r>
    </w:p>
    <w:p w14:paraId="0B9B0694" w14:textId="2CF5771F" w:rsidR="00B70CC2" w:rsidRPr="00171DED"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Times New Roman" w:hAnsi="Times New Roman" w:cs="Times New Roman"/>
          <w:b/>
          <w:iCs/>
          <w:noProof/>
          <w:sz w:val="24"/>
          <w:szCs w:val="24"/>
          <w:lang w:val="bg-BG" w:eastAsia="bg-BG" w:bidi="bg-BG"/>
        </w:rPr>
        <w:t>The repartition of the reimbursed amounts for technical assistance pursuant to Article 30(5) if more bodies are identified to receive payments from the Commission</w:t>
      </w:r>
    </w:p>
    <w:p w14:paraId="7B6E2357" w14:textId="6B17D032"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Партньорство </w:t>
      </w:r>
    </w:p>
    <w:p w14:paraId="4B4EB378" w14:textId="0931D5A9"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ж)</w:t>
      </w:r>
      <w:r w:rsidR="00B70CC2" w:rsidRPr="00171DED">
        <w:rPr>
          <w:rFonts w:ascii="Times New Roman" w:eastAsia="Calibri" w:hAnsi="Times New Roman" w:cs="Times New Roman"/>
          <w:i/>
          <w:noProof/>
          <w:sz w:val="24"/>
          <w:szCs w:val="20"/>
          <w:lang w:val="bg-BG" w:eastAsia="bg-BG" w:bidi="bg-BG"/>
        </w:rPr>
        <w:t xml:space="preserve"> от ОР</w:t>
      </w:r>
    </w:p>
    <w:tbl>
      <w:tblPr>
        <w:tblStyle w:val="TableGrid"/>
        <w:tblW w:w="0" w:type="auto"/>
        <w:tblLook w:val="04A0" w:firstRow="1" w:lastRow="0" w:firstColumn="1" w:lastColumn="0" w:noHBand="0" w:noVBand="1"/>
      </w:tblPr>
      <w:tblGrid>
        <w:gridCol w:w="9288"/>
      </w:tblGrid>
      <w:tr w:rsidR="00722757" w:rsidRPr="0010575B" w14:paraId="538101BC" w14:textId="77777777" w:rsidTr="006E541D">
        <w:tc>
          <w:tcPr>
            <w:tcW w:w="9288" w:type="dxa"/>
          </w:tcPr>
          <w:p w14:paraId="18490EA7" w14:textId="77777777"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[10 000]</w:t>
            </w:r>
            <w:r w:rsidR="00E97DB6" w:rsidRPr="00171DED">
              <w:rPr>
                <w:rFonts w:ascii="Times New Roman" w:eastAsia="Calibri" w:hAnsi="Times New Roman" w:cs="Times New Roman"/>
                <w:iCs/>
                <w:noProof/>
                <w:sz w:val="24"/>
                <w:szCs w:val="20"/>
              </w:rPr>
              <w:t xml:space="preserve"> </w:t>
            </w:r>
          </w:p>
          <w:p w14:paraId="043C5F37" w14:textId="3E705855"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В изпълнение на разпоредбите на чл. 6 от Общия Регламент за периода 2021-2027 г. и предвид с</w:t>
            </w:r>
            <w:r w:rsidR="00762FF0" w:rsidRPr="00171DED">
              <w:rPr>
                <w:rFonts w:ascii="Times New Roman" w:eastAsia="Times New Roman" w:hAnsi="Times New Roman" w:cs="Times New Roman"/>
                <w:iCs/>
                <w:noProof/>
                <w:sz w:val="24"/>
                <w:szCs w:val="20"/>
              </w:rPr>
              <w:t xml:space="preserve">пецификата на </w:t>
            </w:r>
            <w:r w:rsidR="00860B49" w:rsidRPr="00171DED">
              <w:rPr>
                <w:rFonts w:ascii="Times New Roman" w:eastAsia="Times New Roman" w:hAnsi="Times New Roman" w:cs="Times New Roman"/>
                <w:iCs/>
                <w:noProof/>
                <w:sz w:val="24"/>
                <w:szCs w:val="20"/>
              </w:rPr>
              <w:t xml:space="preserve">Програма </w:t>
            </w:r>
            <w:r w:rsidR="00762FF0" w:rsidRPr="00171DED">
              <w:rPr>
                <w:rFonts w:ascii="Times New Roman" w:eastAsia="Times New Roman" w:hAnsi="Times New Roman" w:cs="Times New Roman"/>
                <w:iCs/>
                <w:noProof/>
                <w:sz w:val="24"/>
                <w:szCs w:val="20"/>
              </w:rPr>
              <w:t>„Околна среда“ партньорство</w:t>
            </w:r>
            <w:r w:rsidRPr="00171DED">
              <w:rPr>
                <w:rFonts w:ascii="Times New Roman" w:eastAsia="Times New Roman" w:hAnsi="Times New Roman" w:cs="Times New Roman"/>
                <w:iCs/>
                <w:noProof/>
                <w:sz w:val="24"/>
                <w:szCs w:val="20"/>
              </w:rPr>
              <w:t>то</w:t>
            </w:r>
            <w:r w:rsidR="00762FF0" w:rsidRPr="00171DED">
              <w:rPr>
                <w:rFonts w:ascii="Times New Roman" w:eastAsia="Times New Roman" w:hAnsi="Times New Roman" w:cs="Times New Roman"/>
                <w:iCs/>
                <w:noProof/>
                <w:sz w:val="24"/>
                <w:szCs w:val="20"/>
              </w:rPr>
              <w:t xml:space="preserve"> с широк кръг организации </w:t>
            </w:r>
            <w:r w:rsidRPr="00171DED">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171DED">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171DED">
              <w:rPr>
                <w:rFonts w:ascii="Times New Roman" w:eastAsia="Calibri" w:hAnsi="Times New Roman" w:cs="Times New Roman"/>
                <w:sz w:val="24"/>
                <w:szCs w:val="20"/>
              </w:rPr>
              <w:t xml:space="preserve"> Постановление на МС № 142/7.06.2019 г. за разработване на стратегическите и програмните документи на Р</w:t>
            </w:r>
            <w:r w:rsidR="00981DC6">
              <w:rPr>
                <w:rFonts w:ascii="Times New Roman" w:eastAsia="Calibri" w:hAnsi="Times New Roman" w:cs="Times New Roman"/>
                <w:sz w:val="24"/>
                <w:szCs w:val="20"/>
                <w:lang w:val="en-US"/>
              </w:rPr>
              <w:t xml:space="preserve"> </w:t>
            </w:r>
            <w:r w:rsidRPr="00171DED">
              <w:rPr>
                <w:rFonts w:ascii="Times New Roman" w:eastAsia="Calibri" w:hAnsi="Times New Roman" w:cs="Times New Roman"/>
                <w:sz w:val="24"/>
                <w:szCs w:val="20"/>
              </w:rPr>
              <w:t xml:space="preserve">България за управление на средствата от фондовете на ЕС за програмния период 2021 – 2027 г. </w:t>
            </w:r>
            <w:r w:rsidR="00762FF0" w:rsidRPr="00171DED">
              <w:rPr>
                <w:rFonts w:ascii="Times New Roman" w:eastAsia="Times New Roman" w:hAnsi="Times New Roman" w:cs="Times New Roman"/>
                <w:iCs/>
                <w:noProof/>
                <w:sz w:val="24"/>
                <w:szCs w:val="20"/>
              </w:rPr>
              <w:t xml:space="preserve"> Опитът от двата програмни периода 2007-2013 г</w:t>
            </w:r>
            <w:r w:rsidR="006378AC" w:rsidRPr="00171DED">
              <w:rPr>
                <w:rFonts w:ascii="Times New Roman" w:eastAsia="Times New Roman" w:hAnsi="Times New Roman" w:cs="Times New Roman"/>
                <w:iCs/>
                <w:noProof/>
                <w:sz w:val="24"/>
                <w:szCs w:val="20"/>
              </w:rPr>
              <w:t>.</w:t>
            </w:r>
            <w:r w:rsidR="00762FF0" w:rsidRPr="00171DED">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59874DA"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вкл. специфичните цели на всеки приоритет.</w:t>
            </w:r>
          </w:p>
          <w:p w14:paraId="53D2E0A2" w14:textId="6F605370"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октомври 2019 г. е проведена среща на ВВРГ, в рамките на която са обсъдени основните параметри на програмен период 2021–2027 г., ангажиментите на всеки ресор, сроковете и начина на работа на ВВРГ. В резултат от дейноста на тази работна група са изготвени всички документи, необходими за изготвяне на първи проект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xml:space="preserve">. </w:t>
            </w:r>
          </w:p>
          <w:p w14:paraId="3BB23B3F" w14:textId="5DE52606"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Като следваща стъпка, УО на ОПОС инициира сформиране ТРГ за разработване ПОС 2021-2027 г., в изпълнение на чл. 7, ал. 1 от ПМС 142/07.06.2019 г. и със състав в съответствие с разпоредбите на чл. 7 ал. 4</w:t>
            </w:r>
            <w:r w:rsidR="0046175F" w:rsidRPr="00171DED">
              <w:rPr>
                <w:rFonts w:ascii="Times New Roman" w:eastAsia="Times New Roman" w:hAnsi="Times New Roman" w:cs="Times New Roman"/>
                <w:iCs/>
                <w:noProof/>
                <w:sz w:val="24"/>
                <w:szCs w:val="20"/>
              </w:rPr>
              <w:t xml:space="preserve"> същото ПМС, </w:t>
            </w:r>
            <w:r w:rsidR="0046175F" w:rsidRPr="00171DED">
              <w:rPr>
                <w:rFonts w:ascii="Times New Roman" w:eastAsia="Calibri" w:hAnsi="Times New Roman" w:cs="Times New Roman"/>
                <w:sz w:val="24"/>
                <w:szCs w:val="20"/>
              </w:rPr>
              <w:t xml:space="preserve">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 тематичните работни групи. </w:t>
            </w:r>
          </w:p>
          <w:p w14:paraId="39F8A207" w14:textId="3DD964F8"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lastRenderedPageBreak/>
              <w:t xml:space="preserve"> 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171DED">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 – 2027 г. Поканата бе качена на сайта на Единния информационен портал и в нея бяха посочени сроковете за кандидатстване, документите за попълване и критериите, на които трябва да отговарят кандидатстващите организации, като:</w:t>
            </w:r>
            <w:r w:rsidR="0046175F" w:rsidRPr="00171DED">
              <w:rPr>
                <w:rFonts w:ascii="Times New Roman" w:eastAsia="Calibri" w:hAnsi="Times New Roman" w:cs="Times New Roman"/>
                <w:sz w:val="24"/>
                <w:szCs w:val="20"/>
              </w:rPr>
              <w:t xml:space="preserve"> </w:t>
            </w:r>
          </w:p>
          <w:p w14:paraId="5CFEE066"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работещи в сферата на равенството между мъжете и жените, недискриминацията и равните възможности;</w:t>
            </w:r>
          </w:p>
          <w:p w14:paraId="38F3975A"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работещи в сферата на социалното включване и интегрирането на маргинализираните групи;</w:t>
            </w:r>
          </w:p>
          <w:p w14:paraId="7402198E"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Екологични организации;</w:t>
            </w:r>
          </w:p>
          <w:p w14:paraId="0F9B4FD4"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работещи в сферата на образованието, науката и културата;</w:t>
            </w:r>
          </w:p>
          <w:p w14:paraId="258E3E75" w14:textId="2AF48EAE" w:rsidR="0046175F" w:rsidRPr="001400FE" w:rsidRDefault="0046175F" w:rsidP="00794942">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5C0081D0" w14:textId="580342E0"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 Подадени са заявления от съответните представители на НПО сектора, като поради липса на зявка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p>
          <w:p w14:paraId="1A80F609" w14:textId="6A43DB21"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Програмата е добра практика, която УО на ПОС продължава да следва. Съставът на ТРГ </w:t>
            </w:r>
            <w:r w:rsidRPr="00171DED">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Pr="00171DED">
              <w:rPr>
                <w:rFonts w:ascii="Times New Roman" w:eastAsia="Times New Roman" w:hAnsi="Times New Roman" w:cs="Times New Roman"/>
                <w:iCs/>
                <w:noProof/>
                <w:sz w:val="24"/>
                <w:szCs w:val="20"/>
              </w:rPr>
              <w:t>и е</w:t>
            </w:r>
            <w:r w:rsidR="00762FF0" w:rsidRPr="00171DED">
              <w:rPr>
                <w:rFonts w:ascii="Times New Roman" w:eastAsia="Times New Roman" w:hAnsi="Times New Roman" w:cs="Times New Roman"/>
                <w:iCs/>
                <w:noProof/>
                <w:sz w:val="24"/>
                <w:szCs w:val="20"/>
              </w:rPr>
              <w:t xml:space="preserve">съгласуван на национално ниво с ЦКЗ. </w:t>
            </w:r>
          </w:p>
          <w:p w14:paraId="5A6FE976" w14:textId="0D84A78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color w:val="000000"/>
                <w:sz w:val="24"/>
                <w:szCs w:val="20"/>
              </w:rPr>
              <w:t>Заповедта е измен</w:t>
            </w:r>
            <w:r w:rsidR="00794942" w:rsidRPr="00171DED">
              <w:rPr>
                <w:rFonts w:ascii="Times New Roman" w:eastAsia="Times New Roman" w:hAnsi="Times New Roman" w:cs="Times New Roman"/>
                <w:iCs/>
                <w:noProof/>
                <w:color w:val="000000"/>
                <w:sz w:val="24"/>
                <w:szCs w:val="20"/>
              </w:rPr>
              <w:t>я</w:t>
            </w:r>
            <w:r w:rsidRPr="00171DED">
              <w:rPr>
                <w:rFonts w:ascii="Times New Roman" w:eastAsia="Times New Roman" w:hAnsi="Times New Roman" w:cs="Times New Roman"/>
                <w:iCs/>
                <w:noProof/>
                <w:color w:val="000000"/>
                <w:sz w:val="24"/>
                <w:szCs w:val="20"/>
              </w:rPr>
              <w:t>на</w:t>
            </w:r>
            <w:r w:rsidRPr="00171DED">
              <w:rPr>
                <w:rFonts w:ascii="Times New Roman" w:eastAsia="Calibri" w:hAnsi="Times New Roman" w:cs="Times New Roman"/>
                <w:sz w:val="24"/>
                <w:szCs w:val="20"/>
              </w:rPr>
              <w:t xml:space="preserve"> и </w:t>
            </w:r>
            <w:r w:rsidRPr="00735374">
              <w:rPr>
                <w:rFonts w:ascii="Times New Roman" w:eastAsia="Calibri" w:hAnsi="Times New Roman" w:cs="Times New Roman"/>
                <w:sz w:val="24"/>
                <w:szCs w:val="20"/>
              </w:rPr>
              <w:t>допъл</w:t>
            </w:r>
            <w:r w:rsidR="00794942" w:rsidRPr="00735374">
              <w:rPr>
                <w:rFonts w:ascii="Times New Roman" w:eastAsia="Calibri" w:hAnsi="Times New Roman" w:cs="Times New Roman"/>
                <w:sz w:val="24"/>
                <w:szCs w:val="20"/>
              </w:rPr>
              <w:t>вана</w:t>
            </w:r>
            <w:r w:rsidR="00794942" w:rsidRPr="00171DED">
              <w:rPr>
                <w:rFonts w:ascii="Times New Roman" w:eastAsia="Calibri" w:hAnsi="Times New Roman" w:cs="Times New Roman"/>
                <w:sz w:val="24"/>
                <w:szCs w:val="20"/>
              </w:rPr>
              <w:t>, като са</w:t>
            </w:r>
            <w:r w:rsidRPr="00171DED">
              <w:rPr>
                <w:rFonts w:ascii="Times New Roman" w:eastAsia="Calibri" w:hAnsi="Times New Roman" w:cs="Times New Roman"/>
                <w:sz w:val="24"/>
                <w:szCs w:val="20"/>
              </w:rPr>
              <w:t xml:space="preserve"> </w:t>
            </w:r>
            <w:r w:rsidR="00794942" w:rsidRPr="00171DED">
              <w:rPr>
                <w:rFonts w:ascii="Times New Roman" w:eastAsia="Calibri" w:hAnsi="Times New Roman" w:cs="Times New Roman"/>
                <w:sz w:val="24"/>
                <w:szCs w:val="20"/>
              </w:rPr>
              <w:t xml:space="preserve">включени </w:t>
            </w:r>
            <w:r w:rsidRPr="00171DED">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околната среда и водите:</w:t>
            </w:r>
          </w:p>
          <w:p w14:paraId="768E7C32"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Главна дирекция “Оперативна програма “Околна среда” 2014-2020 г.,</w:t>
            </w:r>
          </w:p>
          <w:p w14:paraId="533F90F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„Национална служба за защита на природата”,</w:t>
            </w:r>
          </w:p>
          <w:p w14:paraId="48A8FE84"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„Координация по въпросите на европейския съюз и международно сътрудничество“,</w:t>
            </w:r>
          </w:p>
          <w:p w14:paraId="1638DCEE"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„Политики по околната среда и координация на контролната дейност“,</w:t>
            </w:r>
          </w:p>
          <w:p w14:paraId="1E805B2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„Управление на отпадъците и опазване на почвите“,</w:t>
            </w:r>
          </w:p>
          <w:p w14:paraId="3D36701D"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Дирекция „Управление на водите“,</w:t>
            </w:r>
          </w:p>
          <w:p w14:paraId="6C77ED29"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„Опазване чистотата на въздуха“,</w:t>
            </w:r>
          </w:p>
          <w:p w14:paraId="4FD23BE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bookmarkStart w:id="16" w:name="_Hlk60305363"/>
            <w:r w:rsidRPr="00171DED">
              <w:rPr>
                <w:rFonts w:ascii="Times New Roman" w:eastAsia="Calibri" w:hAnsi="Times New Roman" w:cs="Times New Roman"/>
                <w:sz w:val="24"/>
                <w:szCs w:val="20"/>
              </w:rPr>
              <w:t>Изпълнителна агенция по околна среда</w:t>
            </w:r>
            <w:bookmarkEnd w:id="16"/>
            <w:r w:rsidRPr="00171DED">
              <w:rPr>
                <w:rFonts w:ascii="Times New Roman" w:eastAsia="Calibri" w:hAnsi="Times New Roman" w:cs="Times New Roman"/>
                <w:sz w:val="24"/>
                <w:szCs w:val="20"/>
              </w:rPr>
              <w:t xml:space="preserve">, </w:t>
            </w:r>
          </w:p>
          <w:p w14:paraId="7D4EB7F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Администрация на МС</w:t>
            </w:r>
          </w:p>
          <w:p w14:paraId="4FF54AD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„Добро управление“,</w:t>
            </w:r>
          </w:p>
          <w:p w14:paraId="183F2A0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социална политика“,</w:t>
            </w:r>
          </w:p>
          <w:p w14:paraId="4A3BE5F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финансите</w:t>
            </w:r>
          </w:p>
          <w:p w14:paraId="76F33BDA"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lastRenderedPageBreak/>
              <w:t>-</w:t>
            </w:r>
            <w:r w:rsidRPr="00171DED">
              <w:rPr>
                <w:rFonts w:ascii="Times New Roman" w:eastAsia="Calibri" w:hAnsi="Times New Roman" w:cs="Times New Roman"/>
                <w:sz w:val="24"/>
                <w:szCs w:val="20"/>
              </w:rPr>
              <w:tab/>
              <w:t>Дирекция „Държавни помощи и реален сектор“,</w:t>
            </w:r>
          </w:p>
          <w:p w14:paraId="3F8F01F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„Национален фонд“, </w:t>
            </w:r>
          </w:p>
          <w:p w14:paraId="6C4A33B8"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„Одит на средствата от европейския съюз“,</w:t>
            </w:r>
          </w:p>
          <w:p w14:paraId="75AF0A62"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572E4B36"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социално подпомагане,</w:t>
            </w:r>
          </w:p>
          <w:p w14:paraId="260828F7"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Фонд мениджър на финансовите инструменти в България,</w:t>
            </w:r>
          </w:p>
          <w:p w14:paraId="2218571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Държавен фонд „Земеделие“,</w:t>
            </w:r>
          </w:p>
          <w:p w14:paraId="1AD29CA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МВР,</w:t>
            </w:r>
          </w:p>
          <w:p w14:paraId="1CD1419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МРРБ,</w:t>
            </w:r>
          </w:p>
          <w:p w14:paraId="22CED05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МВнР,</w:t>
            </w:r>
          </w:p>
          <w:p w14:paraId="731A9AAD"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МТСП,</w:t>
            </w:r>
          </w:p>
          <w:p w14:paraId="5EACC43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хората с увреждания,</w:t>
            </w:r>
          </w:p>
          <w:p w14:paraId="24F0B5C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младежта и спорта,</w:t>
            </w:r>
          </w:p>
          <w:p w14:paraId="417A121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енергетиката,</w:t>
            </w:r>
          </w:p>
          <w:p w14:paraId="0315002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МЗ,</w:t>
            </w:r>
          </w:p>
          <w:p w14:paraId="57B3C56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МЗХГ</w:t>
            </w:r>
          </w:p>
          <w:p w14:paraId="26A946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икономиката,</w:t>
            </w:r>
          </w:p>
          <w:p w14:paraId="4712032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МОН,</w:t>
            </w:r>
          </w:p>
          <w:p w14:paraId="190EE27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МТИТС,</w:t>
            </w:r>
          </w:p>
          <w:p w14:paraId="6B12515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АПИ,</w:t>
            </w:r>
          </w:p>
          <w:p w14:paraId="38C717E0"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туризма,</w:t>
            </w:r>
          </w:p>
          <w:p w14:paraId="48EBB8B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културата,</w:t>
            </w:r>
          </w:p>
          <w:p w14:paraId="161A94E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НСИ,</w:t>
            </w:r>
          </w:p>
          <w:p w14:paraId="14D054B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Комисия за защита от дискриминация,</w:t>
            </w:r>
          </w:p>
          <w:p w14:paraId="174FAE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търговско-промишлена палата,</w:t>
            </w:r>
          </w:p>
          <w:p w14:paraId="1FE1F7D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стопанска камара,</w:t>
            </w:r>
          </w:p>
          <w:p w14:paraId="2A5E416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независимите синдикати в България,</w:t>
            </w:r>
          </w:p>
          <w:p w14:paraId="7CFFFFF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представителни организации на и за хората с увреждане,</w:t>
            </w:r>
          </w:p>
          <w:p w14:paraId="040B37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БАН,</w:t>
            </w:r>
          </w:p>
          <w:p w14:paraId="7EB8A04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Съвет на ректорите,</w:t>
            </w:r>
          </w:p>
          <w:p w14:paraId="0BEAD20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Селскостопанска академия (ССА),</w:t>
            </w:r>
          </w:p>
          <w:p w14:paraId="4A888D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екологичните организации,</w:t>
            </w:r>
          </w:p>
          <w:p w14:paraId="73A150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образованието, науката и културата,</w:t>
            </w:r>
          </w:p>
          <w:p w14:paraId="0EA9CC3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равенството между мъжете и жените, недискриминацията и равните възможности,</w:t>
            </w:r>
          </w:p>
          <w:p w14:paraId="230D3906"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социалното включване и интегрирането на маргинализираните групи.</w:t>
            </w:r>
          </w:p>
          <w:p w14:paraId="4D514E2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изготви проект на програма Околна среда за програмен период 2021-2027;</w:t>
            </w:r>
          </w:p>
          <w:p w14:paraId="0528718D"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lastRenderedPageBreak/>
              <w:t>•</w:t>
            </w:r>
            <w:r w:rsidRPr="00171DED">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Европейската комисия по представения проект на програма „Околна среда“ 2021-2027 г.</w:t>
            </w:r>
          </w:p>
          <w:p w14:paraId="30F53A46"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23" w:history="1">
              <w:r w:rsidRPr="00171DED">
                <w:rPr>
                  <w:rStyle w:val="Hyperlink"/>
                  <w:rFonts w:ascii="Times New Roman" w:eastAsia="Calibri" w:hAnsi="Times New Roman" w:cs="Times New Roman"/>
                  <w:sz w:val="24"/>
                  <w:szCs w:val="20"/>
                </w:rPr>
                <w:t>www.eufunds.bg</w:t>
              </w:r>
            </w:hyperlink>
            <w:r w:rsidRPr="0010575B">
              <w:rPr>
                <w:rFonts w:ascii="Times New Roman" w:eastAsia="Calibri" w:hAnsi="Times New Roman" w:cs="Times New Roman"/>
                <w:sz w:val="24"/>
                <w:szCs w:val="20"/>
                <w:lang w:val="en-US" w:eastAsia="en-US" w:bidi="ar-SA"/>
              </w:rPr>
              <w:t>.</w:t>
            </w:r>
          </w:p>
          <w:p w14:paraId="4AC9523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Съгласно вътрешните правила,  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171DED"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171DED">
              <w:rPr>
                <w:rFonts w:ascii="Times New Roman" w:eastAsia="Calibri" w:hAnsi="Times New Roman" w:cs="Times New Roman"/>
                <w:color w:val="000000"/>
                <w:sz w:val="24"/>
                <w:szCs w:val="24"/>
              </w:rPr>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615D4714" w:rsidR="0046175F"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0"/>
              </w:rPr>
              <w:t>Едновременно с разработването на програмата, съгласно чл. 20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заинтересуваните органи и трети лица, за което е осигурен публичен достъп до документацията на интернет страницата на ОПОС за нормативно определените срокове</w:t>
            </w:r>
          </w:p>
          <w:p w14:paraId="383A38F7" w14:textId="4D04C93C"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Съблюдавайки принципа за партньорство и приемственост, съставът на Тематичната работна група в последствие се „прелива“ в състав на Комитет за наблюдение на ПОС </w:t>
            </w:r>
            <w:r w:rsidR="009270E8" w:rsidRPr="00171DED">
              <w:rPr>
                <w:rFonts w:ascii="Times New Roman" w:eastAsia="Times New Roman" w:hAnsi="Times New Roman" w:cs="Times New Roman"/>
                <w:iCs/>
                <w:noProof/>
                <w:sz w:val="24"/>
                <w:szCs w:val="20"/>
              </w:rPr>
              <w:t>2021</w:t>
            </w:r>
            <w:r w:rsidRPr="00171DED">
              <w:rPr>
                <w:rFonts w:ascii="Times New Roman" w:eastAsia="Times New Roman" w:hAnsi="Times New Roman" w:cs="Times New Roman"/>
                <w:iCs/>
                <w:noProof/>
                <w:sz w:val="24"/>
                <w:szCs w:val="20"/>
              </w:rPr>
              <w:t>-202</w:t>
            </w:r>
            <w:r w:rsidR="009270E8" w:rsidRPr="00171DED">
              <w:rPr>
                <w:rFonts w:ascii="Times New Roman" w:eastAsia="Times New Roman" w:hAnsi="Times New Roman" w:cs="Times New Roman"/>
                <w:iCs/>
                <w:noProof/>
                <w:sz w:val="24"/>
                <w:szCs w:val="20"/>
              </w:rPr>
              <w:t>7</w:t>
            </w:r>
            <w:r w:rsidRPr="00171DED">
              <w:rPr>
                <w:rFonts w:ascii="Times New Roman" w:eastAsia="Times New Roman" w:hAnsi="Times New Roman" w:cs="Times New Roman"/>
                <w:iCs/>
                <w:noProof/>
                <w:sz w:val="24"/>
                <w:szCs w:val="20"/>
              </w:rPr>
              <w:t xml:space="preserve"> г.</w:t>
            </w:r>
            <w:r w:rsidR="0046175F" w:rsidRPr="00171DED">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2CA83BA4" w:rsidR="00DA005E" w:rsidRPr="00171DED" w:rsidRDefault="0046175F"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Принципите за партньоство,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17" w:name="_Hlk34653814"/>
      <w:r w:rsidRPr="00171DED">
        <w:rPr>
          <w:rFonts w:ascii="Times New Roman" w:eastAsia="Calibri" w:hAnsi="Times New Roman" w:cs="Times New Roman"/>
          <w:b/>
          <w:noProof/>
          <w:sz w:val="24"/>
          <w:szCs w:val="20"/>
          <w:lang w:val="bg-BG" w:eastAsia="bg-BG" w:bidi="bg-BG"/>
        </w:rPr>
        <w:lastRenderedPageBreak/>
        <w:t>Комуникация и прозрачност</w:t>
      </w:r>
    </w:p>
    <w:p w14:paraId="1C099138" w14:textId="77777777"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i), член 42, параграф 2, РОР </w:t>
      </w:r>
    </w:p>
    <w:tbl>
      <w:tblPr>
        <w:tblStyle w:val="TableGrid"/>
        <w:tblW w:w="0" w:type="auto"/>
        <w:tblLook w:val="04A0" w:firstRow="1" w:lastRow="0" w:firstColumn="1" w:lastColumn="0" w:noHBand="0" w:noVBand="1"/>
      </w:tblPr>
      <w:tblGrid>
        <w:gridCol w:w="9288"/>
      </w:tblGrid>
      <w:tr w:rsidR="00722757" w:rsidRPr="0010575B" w14:paraId="56AFB3DF" w14:textId="77777777" w:rsidTr="006E541D">
        <w:tc>
          <w:tcPr>
            <w:tcW w:w="9288" w:type="dxa"/>
          </w:tcPr>
          <w:p w14:paraId="5652070D" w14:textId="742E5ADE"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[4 500]</w:t>
            </w:r>
            <w:r w:rsidR="00E97DB6" w:rsidRPr="00171DED">
              <w:rPr>
                <w:rFonts w:ascii="Times New Roman" w:eastAsia="Calibri" w:hAnsi="Times New Roman" w:cs="Times New Roman"/>
                <w:iCs/>
                <w:noProof/>
                <w:sz w:val="24"/>
                <w:szCs w:val="20"/>
              </w:rPr>
              <w:t xml:space="preserve"> </w:t>
            </w:r>
          </w:p>
          <w:p w14:paraId="6C6A034A" w14:textId="7A24CA8D" w:rsidR="0046175F" w:rsidRPr="007C49C1"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lastRenderedPageBreak/>
              <w:t>Усилията ще са насочени към информиране на широката общественост и потенциалните бен</w:t>
            </w:r>
            <w:r w:rsidRPr="003942A0">
              <w:rPr>
                <w:rFonts w:ascii="Times New Roman" w:eastAsia="Times New Roman" w:hAnsi="Times New Roman" w:cs="Times New Roman"/>
                <w:sz w:val="24"/>
                <w:szCs w:val="20"/>
              </w:rPr>
              <w:t xml:space="preserve">ефициенти за възможностите </w:t>
            </w:r>
            <w:r w:rsidRPr="007C49C1">
              <w:rPr>
                <w:rFonts w:ascii="Times New Roman" w:eastAsia="Times New Roman" w:hAnsi="Times New Roman" w:cs="Times New Roman"/>
                <w:sz w:val="24"/>
                <w:szCs w:val="20"/>
              </w:rPr>
              <w:t>по ПОС</w:t>
            </w:r>
            <w:r w:rsidR="00FA1136"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7C49C1">
              <w:rPr>
                <w:rFonts w:ascii="Times New Roman" w:eastAsia="Times New Roman" w:hAnsi="Times New Roman" w:cs="Times New Roman"/>
                <w:sz w:val="24"/>
                <w:szCs w:val="20"/>
              </w:rPr>
              <w:t xml:space="preserve"> и активното участие</w:t>
            </w:r>
            <w:r w:rsidRPr="007C49C1">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7E433B" w:rsidRPr="007C49C1">
              <w:rPr>
                <w:rFonts w:ascii="Times New Roman" w:eastAsia="Times New Roman" w:hAnsi="Times New Roman" w:cs="Times New Roman"/>
                <w:sz w:val="24"/>
                <w:szCs w:val="20"/>
              </w:rPr>
              <w:t>По аналог на дейностите от “</w:t>
            </w:r>
            <w:proofErr w:type="spellStart"/>
            <w:r w:rsidR="007E433B" w:rsidRPr="007C49C1">
              <w:rPr>
                <w:rFonts w:ascii="Times New Roman" w:eastAsia="Times New Roman" w:hAnsi="Times New Roman" w:cs="Times New Roman"/>
                <w:sz w:val="24"/>
                <w:szCs w:val="20"/>
              </w:rPr>
              <w:t>At</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school</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of</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open</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cohesion</w:t>
            </w:r>
            <w:proofErr w:type="spellEnd"/>
            <w:r w:rsidR="007E433B" w:rsidRPr="007C49C1">
              <w:rPr>
                <w:rFonts w:ascii="Times New Roman" w:eastAsia="Times New Roman" w:hAnsi="Times New Roman" w:cs="Times New Roman"/>
                <w:sz w:val="24"/>
                <w:szCs w:val="20"/>
              </w:rPr>
              <w:t>“, по които България има някои добри практики, ще се търсят възможности за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FA1136" w:rsidRPr="007C49C1">
              <w:rPr>
                <w:rFonts w:ascii="Times New Roman" w:eastAsia="Times New Roman" w:hAnsi="Times New Roman" w:cs="Times New Roman"/>
                <w:sz w:val="24"/>
                <w:szCs w:val="20"/>
              </w:rPr>
              <w:t xml:space="preserve"> (КП)</w:t>
            </w:r>
            <w:r w:rsidR="003942A0">
              <w:rPr>
                <w:rFonts w:ascii="Times New Roman" w:eastAsia="Times New Roman" w:hAnsi="Times New Roman" w:cs="Times New Roman"/>
                <w:sz w:val="24"/>
                <w:szCs w:val="20"/>
              </w:rPr>
              <w:t>.</w:t>
            </w:r>
            <w:r w:rsidR="007E433B" w:rsidRPr="003942A0">
              <w:rPr>
                <w:rFonts w:ascii="Times New Roman" w:eastAsia="Times New Roman" w:hAnsi="Times New Roman" w:cs="Times New Roman"/>
                <w:sz w:val="24"/>
                <w:szCs w:val="20"/>
              </w:rPr>
              <w:t xml:space="preserve"> </w:t>
            </w:r>
            <w:r w:rsidR="007E433B" w:rsidRPr="007C49C1">
              <w:rPr>
                <w:rFonts w:ascii="Times New Roman" w:eastAsia="Times New Roman" w:hAnsi="Times New Roman" w:cs="Times New Roman"/>
                <w:sz w:val="24"/>
                <w:szCs w:val="20"/>
              </w:rPr>
              <w:t xml:space="preserve">Ще бъдат търсени и възможности за прилагане на резултатите от проект „Пакт за почтеност – Механизъм за граждански контрол </w:t>
            </w:r>
            <w:r w:rsidR="00FA1136" w:rsidRPr="007C49C1">
              <w:rPr>
                <w:rFonts w:ascii="Times New Roman" w:eastAsia="Times New Roman" w:hAnsi="Times New Roman" w:cs="Times New Roman"/>
                <w:sz w:val="24"/>
                <w:szCs w:val="20"/>
              </w:rPr>
              <w:t xml:space="preserve">за защита на </w:t>
            </w:r>
            <w:r w:rsidR="007E433B" w:rsidRPr="007C49C1">
              <w:rPr>
                <w:rFonts w:ascii="Times New Roman" w:eastAsia="Times New Roman" w:hAnsi="Times New Roman" w:cs="Times New Roman"/>
                <w:sz w:val="24"/>
                <w:szCs w:val="20"/>
              </w:rPr>
              <w:t>средства</w:t>
            </w:r>
            <w:r w:rsidR="00FA1136" w:rsidRPr="007C49C1">
              <w:rPr>
                <w:rFonts w:ascii="Times New Roman" w:eastAsia="Times New Roman" w:hAnsi="Times New Roman" w:cs="Times New Roman"/>
                <w:sz w:val="24"/>
                <w:szCs w:val="20"/>
              </w:rPr>
              <w:t>та от ЕС</w:t>
            </w:r>
            <w:r w:rsidR="007E433B" w:rsidRPr="007C49C1">
              <w:rPr>
                <w:rFonts w:ascii="Times New Roman" w:eastAsia="Times New Roman" w:hAnsi="Times New Roman" w:cs="Times New Roman"/>
                <w:sz w:val="24"/>
                <w:szCs w:val="20"/>
              </w:rPr>
              <w:t xml:space="preserve">“.  </w:t>
            </w:r>
          </w:p>
          <w:p w14:paraId="3A0D2206" w14:textId="6F64100A" w:rsidR="0046175F" w:rsidRPr="002B0935"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В изпълнение на чл. 43 (2) от РОР 2021-2027 г. служителят по комуникация следи за навременното изпълнение на планираните мерки, осигурява обмен на информация </w:t>
            </w:r>
            <w:r w:rsidR="002B0935" w:rsidRPr="003942A0">
              <w:rPr>
                <w:rFonts w:ascii="Times New Roman" w:eastAsia="Times New Roman" w:hAnsi="Times New Roman" w:cs="Times New Roman"/>
                <w:sz w:val="24"/>
                <w:szCs w:val="20"/>
              </w:rPr>
              <w:t xml:space="preserve">и добри практики </w:t>
            </w:r>
            <w:r w:rsidRPr="003942A0">
              <w:rPr>
                <w:rFonts w:ascii="Times New Roman" w:eastAsia="Times New Roman" w:hAnsi="Times New Roman" w:cs="Times New Roman"/>
                <w:sz w:val="24"/>
                <w:szCs w:val="20"/>
              </w:rPr>
              <w:t>със служите</w:t>
            </w:r>
            <w:r w:rsidRPr="002B0935">
              <w:rPr>
                <w:rFonts w:ascii="Times New Roman" w:eastAsia="Times New Roman" w:hAnsi="Times New Roman" w:cs="Times New Roman"/>
                <w:sz w:val="24"/>
                <w:szCs w:val="20"/>
              </w:rPr>
              <w:t xml:space="preserve">ли в страната и </w:t>
            </w:r>
            <w:r w:rsidRPr="007C49C1">
              <w:rPr>
                <w:rFonts w:ascii="Times New Roman" w:eastAsia="Times New Roman" w:hAnsi="Times New Roman" w:cs="Times New Roman"/>
                <w:sz w:val="24"/>
                <w:szCs w:val="20"/>
              </w:rPr>
              <w:t>другите държави-членки</w:t>
            </w:r>
            <w:r w:rsidR="002B0935" w:rsidRPr="002B0935">
              <w:rPr>
                <w:rFonts w:ascii="Times New Roman" w:eastAsia="Times New Roman" w:hAnsi="Times New Roman" w:cs="Times New Roman"/>
                <w:sz w:val="24"/>
                <w:szCs w:val="20"/>
              </w:rPr>
              <w:t xml:space="preserve"> в рамките на мрежата INFORM</w:t>
            </w:r>
            <w:r w:rsidR="002B0935" w:rsidRPr="007C49C1">
              <w:rPr>
                <w:rFonts w:ascii="Times New Roman" w:eastAsia="Times New Roman" w:hAnsi="Times New Roman" w:cs="Times New Roman"/>
                <w:sz w:val="24"/>
                <w:szCs w:val="20"/>
              </w:rPr>
              <w:t>.</w:t>
            </w:r>
          </w:p>
          <w:p w14:paraId="24DF08A3" w14:textId="6C5E7767" w:rsidR="0046175F" w:rsidRPr="002B0935"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През 2014-2020 г. програмата се открояваше като най-разпознаваемата сред останалите</w:t>
            </w:r>
            <w:r w:rsidR="00DB343C">
              <w:rPr>
                <w:rFonts w:ascii="Times New Roman" w:eastAsia="Times New Roman" w:hAnsi="Times New Roman" w:cs="Times New Roman"/>
                <w:sz w:val="24"/>
                <w:szCs w:val="20"/>
              </w:rPr>
              <w:t>.</w:t>
            </w:r>
            <w:r w:rsidRPr="003942A0">
              <w:rPr>
                <w:rFonts w:ascii="Times New Roman" w:eastAsia="Times New Roman" w:hAnsi="Times New Roman" w:cs="Times New Roman"/>
                <w:sz w:val="24"/>
                <w:szCs w:val="20"/>
              </w:rPr>
              <w:t xml:space="preserve"> </w:t>
            </w:r>
            <w:r w:rsidRPr="00471D8F">
              <w:rPr>
                <w:rFonts w:ascii="Times New Roman" w:eastAsia="Times New Roman" w:hAnsi="Times New Roman" w:cs="Times New Roman"/>
                <w:sz w:val="24"/>
                <w:szCs w:val="20"/>
              </w:rPr>
              <w:t>УО отново ще насочи усилията си към повишаване на осведомеността за ползит</w:t>
            </w:r>
            <w:r w:rsidRPr="003942A0">
              <w:rPr>
                <w:rFonts w:ascii="Times New Roman" w:eastAsia="Times New Roman" w:hAnsi="Times New Roman" w:cs="Times New Roman"/>
                <w:sz w:val="24"/>
                <w:szCs w:val="20"/>
              </w:rPr>
              <w:t>е от програмата за</w:t>
            </w:r>
            <w:r w:rsidRPr="002B0935">
              <w:rPr>
                <w:rFonts w:ascii="Times New Roman" w:eastAsia="Times New Roman" w:hAnsi="Times New Roman" w:cs="Times New Roman"/>
                <w:sz w:val="24"/>
                <w:szCs w:val="20"/>
              </w:rPr>
              <w:t xml:space="preserve"> отделния гражданин.</w:t>
            </w:r>
          </w:p>
          <w:p w14:paraId="701BAB11" w14:textId="59C46D4C" w:rsidR="001C6917" w:rsidRPr="007C49C1" w:rsidRDefault="00961DF2" w:rsidP="00E222F7">
            <w:pPr>
              <w:shd w:val="clear" w:color="auto" w:fill="FFFFFF"/>
              <w:spacing w:before="60"/>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Ц</w:t>
            </w:r>
            <w:r w:rsidR="00F43B52" w:rsidRPr="007C49C1">
              <w:rPr>
                <w:rFonts w:ascii="Times New Roman" w:eastAsia="Times New Roman" w:hAnsi="Times New Roman" w:cs="Times New Roman"/>
                <w:b/>
                <w:sz w:val="24"/>
                <w:szCs w:val="20"/>
              </w:rPr>
              <w:t>ели</w:t>
            </w:r>
            <w:r w:rsidRPr="007C49C1">
              <w:rPr>
                <w:rFonts w:ascii="Times New Roman" w:eastAsia="Times New Roman" w:hAnsi="Times New Roman" w:cs="Times New Roman"/>
                <w:b/>
                <w:sz w:val="24"/>
                <w:szCs w:val="20"/>
              </w:rPr>
              <w:t>:</w:t>
            </w:r>
          </w:p>
          <w:p w14:paraId="707E8EFA" w14:textId="714C0B8F" w:rsidR="001C6917" w:rsidRPr="007C49C1" w:rsidRDefault="00961DF2" w:rsidP="007C49C1">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1: </w:t>
            </w:r>
            <w:r w:rsidR="0046175F" w:rsidRPr="007C49C1">
              <w:rPr>
                <w:rFonts w:ascii="Times New Roman" w:eastAsia="Times New Roman" w:hAnsi="Times New Roman" w:cs="Times New Roman"/>
                <w:sz w:val="24"/>
                <w:szCs w:val="20"/>
              </w:rPr>
              <w:t>Осигуряване на прозрачност при изпълнението</w:t>
            </w:r>
            <w:r w:rsidR="007E433B"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на ПОС, п</w:t>
            </w:r>
            <w:r w:rsidR="001C6917" w:rsidRPr="007C49C1">
              <w:rPr>
                <w:rFonts w:ascii="Times New Roman" w:eastAsia="Times New Roman" w:hAnsi="Times New Roman" w:cs="Times New Roman"/>
                <w:sz w:val="24"/>
                <w:szCs w:val="20"/>
              </w:rPr>
              <w:t xml:space="preserve">овишаване информираността </w:t>
            </w:r>
            <w:r w:rsidR="0046175F" w:rsidRPr="007C49C1">
              <w:rPr>
                <w:rFonts w:ascii="Times New Roman" w:eastAsia="Times New Roman" w:hAnsi="Times New Roman" w:cs="Times New Roman"/>
                <w:sz w:val="24"/>
                <w:szCs w:val="20"/>
              </w:rPr>
              <w:t>и повишаване на доверието във възможностите, предоставени от ЕС чрез Европейските фондове;</w:t>
            </w:r>
          </w:p>
          <w:p w14:paraId="42400AED" w14:textId="5C35D6F5" w:rsidR="001C6917" w:rsidRPr="007C49C1" w:rsidRDefault="001C6917" w:rsidP="007C49C1">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2: Информиране на потенциалните бенефициенти, партньорски организации и други заинтересовани групи за възможностите за финансиране;</w:t>
            </w:r>
          </w:p>
          <w:p w14:paraId="69857F84" w14:textId="19AEF299" w:rsidR="001C6917" w:rsidRPr="007C49C1" w:rsidRDefault="0046175F" w:rsidP="007C49C1">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3</w:t>
            </w:r>
            <w:r w:rsidR="001C6917" w:rsidRPr="007C49C1">
              <w:rPr>
                <w:rFonts w:ascii="Times New Roman" w:eastAsia="Times New Roman" w:hAnsi="Times New Roman" w:cs="Times New Roman"/>
                <w:sz w:val="24"/>
                <w:szCs w:val="20"/>
                <w:lang w:val="ru-RU"/>
              </w:rPr>
              <w:t xml:space="preserve">: </w:t>
            </w:r>
            <w:r w:rsidR="001C6917" w:rsidRPr="007C49C1">
              <w:rPr>
                <w:rFonts w:ascii="Times New Roman" w:eastAsia="Times New Roman" w:hAnsi="Times New Roman" w:cs="Times New Roman"/>
                <w:sz w:val="24"/>
                <w:szCs w:val="20"/>
              </w:rPr>
              <w:t xml:space="preserve">Формиране на екологично съзнание </w:t>
            </w:r>
            <w:r w:rsidRPr="007C49C1">
              <w:rPr>
                <w:rFonts w:ascii="Times New Roman" w:eastAsia="Times New Roman" w:hAnsi="Times New Roman" w:cs="Times New Roman"/>
                <w:sz w:val="24"/>
                <w:szCs w:val="20"/>
              </w:rPr>
              <w:t xml:space="preserve">сред подрастващото поколение и </w:t>
            </w:r>
            <w:r w:rsidR="001C6917" w:rsidRPr="007C49C1">
              <w:rPr>
                <w:rFonts w:ascii="Times New Roman" w:eastAsia="Times New Roman" w:hAnsi="Times New Roman" w:cs="Times New Roman"/>
                <w:sz w:val="24"/>
                <w:szCs w:val="20"/>
              </w:rPr>
              <w:t xml:space="preserve">всички граждани на страната като гаранция за устойчивост на предприеманите мерки </w:t>
            </w:r>
          </w:p>
          <w:p w14:paraId="79511C77" w14:textId="11840EDA" w:rsidR="001C6917" w:rsidRPr="007C49C1" w:rsidRDefault="001C6917"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shd w:val="clear" w:color="auto" w:fill="FFFFFF"/>
              </w:rPr>
              <w:t>Ц</w:t>
            </w:r>
            <w:r w:rsidR="00F43B52" w:rsidRPr="007C49C1">
              <w:rPr>
                <w:rFonts w:ascii="Times New Roman" w:eastAsia="Times New Roman" w:hAnsi="Times New Roman" w:cs="Times New Roman"/>
                <w:b/>
                <w:sz w:val="24"/>
                <w:szCs w:val="20"/>
              </w:rPr>
              <w:t>елеви аудитории</w:t>
            </w:r>
          </w:p>
          <w:p w14:paraId="37BDF18C" w14:textId="22E0E52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Широка общественост – пълнолетни граждани в активна възраст</w:t>
            </w:r>
            <w:r w:rsidR="0046175F" w:rsidRPr="007C49C1">
              <w:rPr>
                <w:rFonts w:ascii="Times New Roman" w:eastAsia="Times New Roman" w:hAnsi="Times New Roman" w:cs="Times New Roman"/>
                <w:sz w:val="24"/>
                <w:szCs w:val="20"/>
              </w:rPr>
              <w:t>;</w:t>
            </w:r>
          </w:p>
          <w:p w14:paraId="0CE86C7E" w14:textId="55EBF9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Деца и подрастващи – ученици и студенти;</w:t>
            </w:r>
          </w:p>
          <w:p w14:paraId="4B96CF13" w14:textId="5A984C2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Потенциални бенефициенти</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бенефициенти и техни партньори;</w:t>
            </w:r>
          </w:p>
          <w:p w14:paraId="6881194B" w14:textId="53BDDD4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Администрация</w:t>
            </w:r>
            <w:r w:rsidR="006E1082" w:rsidRPr="007C49C1">
              <w:rPr>
                <w:rFonts w:ascii="Times New Roman" w:eastAsia="Times New Roman" w:hAnsi="Times New Roman" w:cs="Times New Roman"/>
                <w:sz w:val="24"/>
                <w:szCs w:val="20"/>
              </w:rPr>
              <w:t xml:space="preserve"> - </w:t>
            </w:r>
            <w:r w:rsidRPr="007C49C1">
              <w:rPr>
                <w:rFonts w:ascii="Times New Roman" w:eastAsia="Times New Roman" w:hAnsi="Times New Roman" w:cs="Times New Roman"/>
                <w:sz w:val="24"/>
                <w:szCs w:val="20"/>
              </w:rPr>
              <w:t>звена и органи</w:t>
            </w:r>
            <w:r w:rsidR="006E1082" w:rsidRPr="007C49C1">
              <w:rPr>
                <w:rFonts w:ascii="Times New Roman" w:eastAsia="Times New Roman" w:hAnsi="Times New Roman" w:cs="Times New Roman"/>
                <w:sz w:val="24"/>
                <w:szCs w:val="20"/>
              </w:rPr>
              <w:t xml:space="preserve">, ангажирани с управлението на фондовете на ЕС в </w:t>
            </w:r>
            <w:r w:rsidR="0046175F" w:rsidRPr="007C49C1">
              <w:rPr>
                <w:rFonts w:ascii="Times New Roman" w:eastAsia="Times New Roman" w:hAnsi="Times New Roman" w:cs="Times New Roman"/>
                <w:sz w:val="24"/>
                <w:szCs w:val="20"/>
              </w:rPr>
              <w:t>сектор околна среда и</w:t>
            </w:r>
            <w:r w:rsidR="006E1082" w:rsidRPr="007C49C1">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с функции в управлението и администрирането на програм</w:t>
            </w:r>
            <w:r w:rsidR="0046175F" w:rsidRPr="007C49C1">
              <w:rPr>
                <w:rFonts w:ascii="Times New Roman" w:eastAsia="Times New Roman" w:hAnsi="Times New Roman" w:cs="Times New Roman"/>
                <w:sz w:val="24"/>
                <w:szCs w:val="20"/>
              </w:rPr>
              <w:t>ата</w:t>
            </w:r>
          </w:p>
          <w:p w14:paraId="3BB43BF8" w14:textId="1E14FB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Медиатори/разпространители на информация. </w:t>
            </w:r>
          </w:p>
          <w:p w14:paraId="0C6D7E40" w14:textId="1FA35386"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дейности</w:t>
            </w:r>
          </w:p>
          <w:p w14:paraId="6B077D83" w14:textId="2AEA6077" w:rsidR="00961DF2" w:rsidRPr="007C49C1" w:rsidRDefault="0046175F" w:rsidP="00E222F7">
            <w:pPr>
              <w:shd w:val="clear" w:color="auto" w:fill="FFFFFF"/>
              <w:spacing w:before="60"/>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За ефективно изпълнение на дейностите</w:t>
            </w:r>
            <w:r w:rsidR="00FA1136" w:rsidRPr="003942A0">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 xml:space="preserve">се разработват </w:t>
            </w:r>
            <w:r w:rsidR="0010575B">
              <w:rPr>
                <w:rFonts w:ascii="Times New Roman" w:eastAsia="Times New Roman" w:hAnsi="Times New Roman" w:cs="Times New Roman"/>
                <w:sz w:val="24"/>
                <w:szCs w:val="20"/>
              </w:rPr>
              <w:t>Г</w:t>
            </w:r>
            <w:r w:rsidRPr="007C49C1">
              <w:rPr>
                <w:rFonts w:ascii="Times New Roman" w:eastAsia="Times New Roman" w:hAnsi="Times New Roman" w:cs="Times New Roman"/>
                <w:sz w:val="24"/>
                <w:szCs w:val="20"/>
              </w:rPr>
              <w:t xml:space="preserve">одишни </w:t>
            </w:r>
            <w:r w:rsidR="0010575B">
              <w:rPr>
                <w:rFonts w:ascii="Times New Roman" w:eastAsia="Times New Roman" w:hAnsi="Times New Roman" w:cs="Times New Roman"/>
                <w:sz w:val="24"/>
                <w:szCs w:val="20"/>
              </w:rPr>
              <w:t>п</w:t>
            </w:r>
            <w:r w:rsidRPr="007C49C1">
              <w:rPr>
                <w:rFonts w:ascii="Times New Roman" w:eastAsia="Times New Roman" w:hAnsi="Times New Roman" w:cs="Times New Roman"/>
                <w:sz w:val="24"/>
                <w:szCs w:val="20"/>
              </w:rPr>
              <w:t>ланове</w:t>
            </w:r>
            <w:r w:rsidR="0010575B">
              <w:rPr>
                <w:rFonts w:ascii="Times New Roman" w:eastAsia="Times New Roman" w:hAnsi="Times New Roman" w:cs="Times New Roman"/>
                <w:sz w:val="24"/>
                <w:szCs w:val="20"/>
              </w:rPr>
              <w:t xml:space="preserve"> за действие (ГПД)</w:t>
            </w:r>
            <w:r w:rsidRPr="007C49C1">
              <w:rPr>
                <w:rFonts w:ascii="Times New Roman" w:eastAsia="Times New Roman" w:hAnsi="Times New Roman" w:cs="Times New Roman"/>
                <w:sz w:val="24"/>
                <w:szCs w:val="20"/>
              </w:rPr>
              <w:t>, които описват конкретн</w:t>
            </w:r>
            <w:r w:rsidR="003942A0">
              <w:rPr>
                <w:rFonts w:ascii="Times New Roman" w:eastAsia="Times New Roman" w:hAnsi="Times New Roman" w:cs="Times New Roman"/>
                <w:sz w:val="24"/>
                <w:szCs w:val="20"/>
              </w:rPr>
              <w:t xml:space="preserve">ите мерки, </w:t>
            </w:r>
            <w:r w:rsidRPr="003942A0">
              <w:rPr>
                <w:rFonts w:ascii="Times New Roman" w:eastAsia="Times New Roman" w:hAnsi="Times New Roman" w:cs="Times New Roman"/>
                <w:sz w:val="24"/>
                <w:szCs w:val="20"/>
              </w:rPr>
              <w:t>като се вземат предвид спецификите на всеки етап от изпълнението на програмата, с подходящи ключови послания и канали до съответната целева аудитория</w:t>
            </w:r>
            <w:r w:rsidR="0010575B" w:rsidRPr="0010575B">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w:t>
            </w:r>
          </w:p>
          <w:p w14:paraId="5C77B304" w14:textId="5E1FF6B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образователно-информационни кампании;</w:t>
            </w:r>
          </w:p>
          <w:p w14:paraId="771B80E2" w14:textId="489C8BA6"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информационни събития;</w:t>
            </w:r>
          </w:p>
          <w:p w14:paraId="40DA574A" w14:textId="5ED9505C" w:rsidR="001C6917" w:rsidRPr="007C49C1" w:rsidRDefault="0046175F"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у</w:t>
            </w:r>
            <w:r w:rsidR="001C6917" w:rsidRPr="007C49C1">
              <w:rPr>
                <w:rFonts w:ascii="Times New Roman" w:eastAsia="Times New Roman" w:hAnsi="Times New Roman" w:cs="Times New Roman"/>
                <w:sz w:val="24"/>
                <w:szCs w:val="20"/>
              </w:rPr>
              <w:t xml:space="preserve">правление на интернет страницата на ПОС </w:t>
            </w:r>
            <w:hyperlink r:id="rId24" w:history="1">
              <w:r w:rsidRPr="003942A0">
                <w:rPr>
                  <w:rStyle w:val="Hyperlink"/>
                  <w:rFonts w:ascii="Times New Roman" w:eastAsia="Times New Roman" w:hAnsi="Times New Roman" w:cs="Times New Roman"/>
                  <w:sz w:val="24"/>
                  <w:szCs w:val="20"/>
                </w:rPr>
                <w:t>www.eufunds.bg/bg/opos</w:t>
              </w:r>
            </w:hyperlink>
            <w:r w:rsidRPr="00471D8F">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и присъствие в социални мрежи;</w:t>
            </w:r>
          </w:p>
          <w:p w14:paraId="06B10F0E" w14:textId="53D87CB0" w:rsidR="001C6917" w:rsidRPr="007C49C1" w:rsidRDefault="0046175F">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с</w:t>
            </w:r>
            <w:r w:rsidR="001C6917" w:rsidRPr="007C49C1">
              <w:rPr>
                <w:rFonts w:ascii="Times New Roman" w:eastAsia="Times New Roman" w:hAnsi="Times New Roman" w:cs="Times New Roman"/>
                <w:sz w:val="24"/>
                <w:szCs w:val="20"/>
              </w:rPr>
              <w:t xml:space="preserve">рещи и информационни дни с </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потенциални</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 xml:space="preserve"> бенефициенти, </w:t>
            </w:r>
            <w:r w:rsidRPr="003942A0">
              <w:rPr>
                <w:rFonts w:ascii="Times New Roman" w:eastAsia="Times New Roman" w:hAnsi="Times New Roman" w:cs="Times New Roman"/>
                <w:sz w:val="24"/>
                <w:szCs w:val="20"/>
              </w:rPr>
              <w:t>о</w:t>
            </w:r>
            <w:r w:rsidR="001C6917" w:rsidRPr="007C49C1">
              <w:rPr>
                <w:rFonts w:ascii="Times New Roman" w:eastAsia="Times New Roman" w:hAnsi="Times New Roman" w:cs="Times New Roman"/>
                <w:sz w:val="24"/>
                <w:szCs w:val="20"/>
              </w:rPr>
              <w:t>бучителни семинари за бенефициенти, обществени обсъждания</w:t>
            </w:r>
            <w:r w:rsidRPr="007C49C1">
              <w:rPr>
                <w:rFonts w:ascii="Times New Roman" w:eastAsia="Times New Roman" w:hAnsi="Times New Roman" w:cs="Times New Roman"/>
                <w:sz w:val="24"/>
                <w:szCs w:val="20"/>
              </w:rPr>
              <w:t>,</w:t>
            </w:r>
            <w:r w:rsidRPr="007C49C1">
              <w:t xml:space="preserve"> </w:t>
            </w:r>
            <w:r w:rsidRPr="007C49C1">
              <w:rPr>
                <w:rFonts w:ascii="Times New Roman" w:eastAsia="Times New Roman" w:hAnsi="Times New Roman" w:cs="Times New Roman"/>
                <w:sz w:val="24"/>
                <w:szCs w:val="20"/>
              </w:rPr>
              <w:t>както и участие и ангажираност на местните общности в редовни онлайн проучвания, социологически проучвания, кръгли маси, фокус групи</w:t>
            </w:r>
            <w:r w:rsidR="009A2290" w:rsidRPr="00735374">
              <w:rPr>
                <w:rFonts w:ascii="Times New Roman" w:eastAsia="Times New Roman" w:hAnsi="Times New Roman" w:cs="Times New Roman"/>
                <w:sz w:val="24"/>
                <w:szCs w:val="20"/>
              </w:rPr>
              <w:t>,</w:t>
            </w:r>
            <w:r w:rsidRPr="00471D8F">
              <w:rPr>
                <w:rFonts w:ascii="Times New Roman" w:eastAsia="Times New Roman" w:hAnsi="Times New Roman" w:cs="Times New Roman"/>
                <w:sz w:val="24"/>
                <w:szCs w:val="20"/>
              </w:rPr>
              <w:t xml:space="preserve"> открити</w:t>
            </w:r>
            <w:r w:rsidRPr="003942A0">
              <w:rPr>
                <w:rFonts w:ascii="Times New Roman" w:eastAsia="Times New Roman" w:hAnsi="Times New Roman" w:cs="Times New Roman"/>
                <w:sz w:val="24"/>
                <w:szCs w:val="20"/>
              </w:rPr>
              <w:t xml:space="preserve"> дискусии и др.</w:t>
            </w:r>
          </w:p>
          <w:p w14:paraId="519B4A80" w14:textId="5EB6D0D8"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lastRenderedPageBreak/>
              <w:t>Комуникационни канали</w:t>
            </w:r>
          </w:p>
          <w:p w14:paraId="273F28FA" w14:textId="26E129C3" w:rsidR="001C6917" w:rsidRPr="007C49C1" w:rsidRDefault="001C691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 xml:space="preserve">Електронни </w:t>
            </w:r>
            <w:r w:rsidR="0046175F" w:rsidRPr="003942A0">
              <w:rPr>
                <w:rFonts w:ascii="Times New Roman" w:eastAsia="Times New Roman" w:hAnsi="Times New Roman" w:cs="Times New Roman"/>
                <w:sz w:val="24"/>
                <w:szCs w:val="20"/>
              </w:rPr>
              <w:t xml:space="preserve">и печатни </w:t>
            </w:r>
            <w:r w:rsidRPr="002B0935">
              <w:rPr>
                <w:rFonts w:ascii="Times New Roman" w:eastAsia="Times New Roman" w:hAnsi="Times New Roman" w:cs="Times New Roman"/>
                <w:sz w:val="24"/>
                <w:szCs w:val="20"/>
              </w:rPr>
              <w:t>медии</w:t>
            </w:r>
            <w:r w:rsidR="0046175F" w:rsidRPr="007C49C1">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7C49C1">
              <w:rPr>
                <w:rFonts w:ascii="Times New Roman" w:eastAsia="Times New Roman" w:hAnsi="Times New Roman" w:cs="Times New Roman"/>
                <w:sz w:val="24"/>
                <w:szCs w:val="20"/>
              </w:rPr>
              <w:t>;</w:t>
            </w:r>
          </w:p>
          <w:p w14:paraId="4F130012" w14:textId="0CA613E0" w:rsidR="0046175F" w:rsidRPr="003942A0" w:rsidRDefault="001C6917" w:rsidP="0046175F">
            <w:pPr>
              <w:numPr>
                <w:ilvl w:val="0"/>
                <w:numId w:val="36"/>
              </w:numPr>
              <w:shd w:val="clear" w:color="auto" w:fill="FFFFFF"/>
              <w:spacing w:before="60"/>
              <w:ind w:left="306" w:hanging="284"/>
              <w:contextualSpacing/>
              <w:jc w:val="both"/>
            </w:pPr>
            <w:r w:rsidRPr="007C49C1">
              <w:rPr>
                <w:rFonts w:ascii="Times New Roman" w:eastAsia="Times New Roman" w:hAnsi="Times New Roman" w:cs="Times New Roman"/>
                <w:sz w:val="24"/>
                <w:szCs w:val="20"/>
              </w:rPr>
              <w:t xml:space="preserve">Онлайн </w:t>
            </w:r>
            <w:r w:rsidR="00FA1136" w:rsidRPr="007C49C1">
              <w:rPr>
                <w:rFonts w:ascii="Times New Roman" w:eastAsia="Times New Roman" w:hAnsi="Times New Roman" w:cs="Times New Roman"/>
                <w:sz w:val="24"/>
                <w:szCs w:val="20"/>
              </w:rPr>
              <w:t>комуникация</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w:t>
            </w:r>
            <w:r w:rsidR="0046175F" w:rsidRPr="007C49C1">
              <w:rPr>
                <w:rFonts w:ascii="Times New Roman" w:hAnsi="Times New Roman" w:cs="Times New Roman"/>
                <w:sz w:val="24"/>
                <w:szCs w:val="24"/>
                <w:lang w:val="ru-RU"/>
              </w:rPr>
              <w:t xml:space="preserve">напр. </w:t>
            </w:r>
            <w:proofErr w:type="spellStart"/>
            <w:r w:rsidR="0046175F" w:rsidRPr="007C49C1">
              <w:rPr>
                <w:rFonts w:ascii="Times New Roman" w:hAnsi="Times New Roman" w:cs="Times New Roman"/>
                <w:sz w:val="24"/>
                <w:szCs w:val="24"/>
              </w:rPr>
              <w:t>Youtube</w:t>
            </w:r>
            <w:proofErr w:type="spellEnd"/>
            <w:r w:rsidR="0046175F" w:rsidRPr="007C49C1">
              <w:rPr>
                <w:rFonts w:ascii="Times New Roman" w:hAnsi="Times New Roman" w:cs="Times New Roman"/>
                <w:sz w:val="24"/>
                <w:szCs w:val="24"/>
              </w:rPr>
              <w:t xml:space="preserve"> – за визуализиране на атрактивни проекти; </w:t>
            </w:r>
            <w:proofErr w:type="spellStart"/>
            <w:r w:rsidR="0046175F" w:rsidRPr="007C49C1">
              <w:rPr>
                <w:rFonts w:ascii="Times New Roman" w:hAnsi="Times New Roman" w:cs="Times New Roman"/>
                <w:sz w:val="24"/>
                <w:szCs w:val="24"/>
              </w:rPr>
              <w:t>Facebook</w:t>
            </w:r>
            <w:proofErr w:type="spellEnd"/>
            <w:r w:rsidR="0046175F" w:rsidRPr="007C49C1">
              <w:rPr>
                <w:rFonts w:ascii="Times New Roman" w:hAnsi="Times New Roman" w:cs="Times New Roman"/>
                <w:sz w:val="24"/>
                <w:szCs w:val="24"/>
              </w:rPr>
              <w:t xml:space="preserve">, </w:t>
            </w:r>
            <w:proofErr w:type="spellStart"/>
            <w:r w:rsidR="0046175F" w:rsidRPr="007C49C1">
              <w:rPr>
                <w:rFonts w:ascii="Times New Roman" w:hAnsi="Times New Roman" w:cs="Times New Roman"/>
                <w:sz w:val="24"/>
                <w:szCs w:val="24"/>
              </w:rPr>
              <w:t>Instagram</w:t>
            </w:r>
            <w:proofErr w:type="spellEnd"/>
            <w:r w:rsidR="0046175F" w:rsidRPr="007C49C1">
              <w:rPr>
                <w:rFonts w:ascii="Times New Roman" w:hAnsi="Times New Roman" w:cs="Times New Roman"/>
                <w:sz w:val="24"/>
                <w:szCs w:val="24"/>
              </w:rPr>
              <w:t xml:space="preserve"> – възможности за предаване на посланията на програмата към широката общественост; </w:t>
            </w:r>
            <w:proofErr w:type="spellStart"/>
            <w:r w:rsidR="0046175F" w:rsidRPr="007C49C1">
              <w:rPr>
                <w:rFonts w:ascii="Times New Roman" w:hAnsi="Times New Roman" w:cs="Times New Roman"/>
                <w:sz w:val="24"/>
                <w:szCs w:val="24"/>
              </w:rPr>
              <w:t>TikTok</w:t>
            </w:r>
            <w:proofErr w:type="spellEnd"/>
            <w:r w:rsidR="0046175F" w:rsidRPr="007C49C1">
              <w:rPr>
                <w:rFonts w:ascii="Times New Roman" w:hAnsi="Times New Roman" w:cs="Times New Roman"/>
                <w:sz w:val="24"/>
                <w:szCs w:val="24"/>
              </w:rPr>
              <w:t xml:space="preserve"> – кампании, насочени към подрастващите</w:t>
            </w:r>
            <w:r w:rsidR="00FA1136" w:rsidRPr="007C49C1">
              <w:rPr>
                <w:rFonts w:ascii="Times New Roman" w:hAnsi="Times New Roman" w:cs="Times New Roman"/>
                <w:sz w:val="24"/>
                <w:szCs w:val="24"/>
              </w:rPr>
              <w:t xml:space="preserve">),  </w:t>
            </w:r>
            <w:r w:rsidR="00FA1136" w:rsidRPr="007C49C1">
              <w:rPr>
                <w:rFonts w:ascii="Times New Roman" w:eastAsia="Times New Roman" w:hAnsi="Times New Roman" w:cs="Times New Roman"/>
                <w:sz w:val="24"/>
                <w:szCs w:val="20"/>
              </w:rPr>
              <w:t xml:space="preserve">Интернет страница на ПОС </w:t>
            </w:r>
            <w:hyperlink r:id="rId25" w:history="1">
              <w:r w:rsidR="00FA1136" w:rsidRPr="003942A0">
                <w:rPr>
                  <w:rStyle w:val="Hyperlink"/>
                  <w:rFonts w:ascii="Times New Roman" w:eastAsia="Times New Roman" w:hAnsi="Times New Roman" w:cs="Times New Roman"/>
                  <w:sz w:val="24"/>
                  <w:szCs w:val="20"/>
                </w:rPr>
                <w:t>www.eufunds.bg/bg/opos</w:t>
              </w:r>
            </w:hyperlink>
            <w:r w:rsidR="00FA1136" w:rsidRPr="00471D8F">
              <w:rPr>
                <w:rFonts w:ascii="Times New Roman" w:eastAsia="Times New Roman" w:hAnsi="Times New Roman" w:cs="Times New Roman"/>
                <w:sz w:val="24"/>
                <w:szCs w:val="20"/>
              </w:rPr>
              <w:t>, ИСУН</w:t>
            </w:r>
            <w:r w:rsidR="0046175F" w:rsidRPr="003942A0">
              <w:rPr>
                <w:rFonts w:ascii="Times New Roman" w:hAnsi="Times New Roman" w:cs="Times New Roman"/>
                <w:sz w:val="24"/>
                <w:szCs w:val="24"/>
                <w:lang w:val="ru-RU"/>
              </w:rPr>
              <w:t>;</w:t>
            </w:r>
          </w:p>
          <w:p w14:paraId="3860F722" w14:textId="440BDA25"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Директна комуникация (събития, информационни дни, дискусии, обучения и др.);</w:t>
            </w:r>
          </w:p>
          <w:p w14:paraId="0D7AE54B" w14:textId="10D6211B"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Мрежата от </w:t>
            </w:r>
            <w:r w:rsidR="0046175F" w:rsidRPr="007C49C1">
              <w:rPr>
                <w:rFonts w:ascii="Times New Roman" w:eastAsia="Times New Roman" w:hAnsi="Times New Roman" w:cs="Times New Roman"/>
                <w:sz w:val="24"/>
                <w:szCs w:val="20"/>
              </w:rPr>
              <w:t>областни</w:t>
            </w:r>
            <w:r w:rsidRPr="007C49C1">
              <w:rPr>
                <w:rFonts w:ascii="Times New Roman" w:eastAsia="Times New Roman" w:hAnsi="Times New Roman" w:cs="Times New Roman"/>
                <w:sz w:val="24"/>
                <w:szCs w:val="20"/>
              </w:rPr>
              <w:t xml:space="preserve"> информационни цент</w:t>
            </w:r>
            <w:r w:rsidR="0046175F" w:rsidRPr="007C49C1">
              <w:rPr>
                <w:rFonts w:ascii="Times New Roman" w:eastAsia="Times New Roman" w:hAnsi="Times New Roman" w:cs="Times New Roman"/>
                <w:sz w:val="24"/>
                <w:szCs w:val="20"/>
              </w:rPr>
              <w:t>рове</w:t>
            </w:r>
            <w:r w:rsidRPr="007C49C1">
              <w:rPr>
                <w:rFonts w:ascii="Times New Roman" w:eastAsia="Times New Roman" w:hAnsi="Times New Roman" w:cs="Times New Roman"/>
                <w:sz w:val="24"/>
                <w:szCs w:val="20"/>
              </w:rPr>
              <w:t xml:space="preserve"> за популяризиране на </w:t>
            </w:r>
            <w:r w:rsidR="00FA1136" w:rsidRPr="007C49C1">
              <w:rPr>
                <w:rFonts w:ascii="Times New Roman" w:eastAsia="Times New Roman" w:hAnsi="Times New Roman" w:cs="Times New Roman"/>
                <w:sz w:val="24"/>
                <w:szCs w:val="20"/>
              </w:rPr>
              <w:t xml:space="preserve">КП </w:t>
            </w:r>
            <w:r w:rsidRPr="007C49C1">
              <w:rPr>
                <w:rFonts w:ascii="Times New Roman" w:eastAsia="Times New Roman" w:hAnsi="Times New Roman" w:cs="Times New Roman"/>
                <w:sz w:val="24"/>
                <w:szCs w:val="20"/>
              </w:rPr>
              <w:t>на ЕС в България;</w:t>
            </w:r>
          </w:p>
          <w:p w14:paraId="509EDDEF" w14:textId="79B4F05D" w:rsidR="0046175F" w:rsidRPr="007C49C1" w:rsidRDefault="0046175F"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Мрежата “Европа Директно“;</w:t>
            </w:r>
          </w:p>
          <w:p w14:paraId="3EBB2000"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Икономически и социални партньори;</w:t>
            </w:r>
          </w:p>
          <w:p w14:paraId="2BC76ADB"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Други</w:t>
            </w:r>
          </w:p>
          <w:p w14:paraId="1C5B18A5" w14:textId="713FA184"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Бюджет</w:t>
            </w:r>
          </w:p>
          <w:p w14:paraId="6DCD378C" w14:textId="1577245B" w:rsidR="001C6917" w:rsidRPr="007C49C1" w:rsidRDefault="001C6917" w:rsidP="007C49C1">
            <w:pPr>
              <w:shd w:val="clear" w:color="auto" w:fill="FFFFFF"/>
              <w:spacing w:before="60"/>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0,3% от европейското финансиране по програмата</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p>
          <w:p w14:paraId="74D8EC3E" w14:textId="16BA830A" w:rsidR="001C6917" w:rsidRPr="007C49C1" w:rsidRDefault="00F43B52">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Мониторинг и оценка</w:t>
            </w:r>
          </w:p>
          <w:p w14:paraId="5ED2C44C" w14:textId="53BF14DA" w:rsidR="00471D8F" w:rsidRPr="00735374" w:rsidRDefault="00471D8F" w:rsidP="007C49C1">
            <w:pPr>
              <w:shd w:val="clear" w:color="auto" w:fill="FFFFFF"/>
              <w:spacing w:before="120"/>
              <w:contextualSpacing/>
              <w:jc w:val="both"/>
              <w:rPr>
                <w:rFonts w:ascii="Times New Roman" w:eastAsia="Times New Roman" w:hAnsi="Times New Roman" w:cs="Times New Roman"/>
                <w:bCs/>
                <w:sz w:val="24"/>
                <w:szCs w:val="20"/>
              </w:rPr>
            </w:pPr>
            <w:r w:rsidRPr="007C49C1">
              <w:rPr>
                <w:rFonts w:ascii="Times New Roman" w:eastAsia="Times New Roman" w:hAnsi="Times New Roman" w:cs="Times New Roman"/>
                <w:bCs/>
                <w:sz w:val="24"/>
                <w:szCs w:val="20"/>
              </w:rPr>
              <w:t>Индикаторите ще бъдат</w:t>
            </w:r>
            <w:r w:rsidR="003942A0">
              <w:rPr>
                <w:rFonts w:ascii="Times New Roman" w:eastAsia="Times New Roman" w:hAnsi="Times New Roman" w:cs="Times New Roman"/>
                <w:bCs/>
                <w:sz w:val="24"/>
                <w:szCs w:val="20"/>
              </w:rPr>
              <w:t xml:space="preserve"> </w:t>
            </w:r>
            <w:r w:rsidR="0010575B">
              <w:rPr>
                <w:rFonts w:ascii="Times New Roman" w:eastAsia="Times New Roman" w:hAnsi="Times New Roman" w:cs="Times New Roman"/>
                <w:bCs/>
                <w:sz w:val="24"/>
                <w:szCs w:val="20"/>
              </w:rPr>
              <w:t>отчитани в отчета на всеки ГПД</w:t>
            </w:r>
            <w:r w:rsidRPr="007C49C1">
              <w:rPr>
                <w:rFonts w:ascii="Times New Roman" w:eastAsia="Times New Roman" w:hAnsi="Times New Roman" w:cs="Times New Roman"/>
                <w:bCs/>
                <w:sz w:val="24"/>
                <w:szCs w:val="20"/>
              </w:rPr>
              <w:t>.</w:t>
            </w:r>
          </w:p>
          <w:p w14:paraId="0FF0231A" w14:textId="66E5B12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17453222"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обучителни семинари/информационни срещи за бенефициенти за изпълнение на проекти;</w:t>
            </w:r>
          </w:p>
          <w:p w14:paraId="246DD651" w14:textId="3FF272E6" w:rsidR="001C6917" w:rsidRPr="007C49C1" w:rsidRDefault="001C6917" w:rsidP="00471D8F">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проведени кампании</w:t>
            </w:r>
            <w:r w:rsidR="00471D8F" w:rsidRPr="007C49C1">
              <w:rPr>
                <w:rFonts w:ascii="Times New Roman" w:eastAsia="Times New Roman" w:hAnsi="Times New Roman" w:cs="Times New Roman"/>
                <w:sz w:val="24"/>
                <w:szCs w:val="20"/>
                <w:lang w:val="en-US"/>
              </w:rPr>
              <w:t xml:space="preserve"> </w:t>
            </w:r>
            <w:r w:rsidR="00471D8F" w:rsidRPr="007C49C1">
              <w:rPr>
                <w:rFonts w:ascii="Times New Roman" w:eastAsia="Times New Roman" w:hAnsi="Times New Roman" w:cs="Times New Roman"/>
                <w:sz w:val="24"/>
                <w:szCs w:val="20"/>
              </w:rPr>
              <w:t xml:space="preserve">и </w:t>
            </w:r>
            <w:r w:rsidRPr="007C49C1">
              <w:rPr>
                <w:rFonts w:ascii="Times New Roman" w:eastAsia="Times New Roman" w:hAnsi="Times New Roman" w:cs="Times New Roman"/>
                <w:sz w:val="24"/>
                <w:szCs w:val="20"/>
              </w:rPr>
              <w:t>информационни събития (вкл. онлайн);</w:t>
            </w:r>
          </w:p>
          <w:p w14:paraId="24C3955A" w14:textId="4284871D"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публикации в </w:t>
            </w:r>
            <w:r w:rsidR="00FA1136" w:rsidRPr="007C49C1">
              <w:rPr>
                <w:rFonts w:ascii="Times New Roman" w:eastAsia="Times New Roman" w:hAnsi="Times New Roman" w:cs="Times New Roman"/>
                <w:sz w:val="24"/>
                <w:szCs w:val="20"/>
              </w:rPr>
              <w:t>сайта на ПОС</w:t>
            </w:r>
            <w:r w:rsidRPr="007C49C1">
              <w:rPr>
                <w:rFonts w:ascii="Times New Roman" w:eastAsia="Times New Roman" w:hAnsi="Times New Roman" w:cs="Times New Roman"/>
                <w:sz w:val="24"/>
                <w:szCs w:val="20"/>
              </w:rPr>
              <w:t xml:space="preserve">; </w:t>
            </w:r>
          </w:p>
          <w:p w14:paraId="7E4572CF" w14:textId="2DC88988"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посещения </w:t>
            </w:r>
            <w:r w:rsidR="0046175F" w:rsidRPr="007C49C1">
              <w:rPr>
                <w:rFonts w:ascii="Times New Roman" w:eastAsia="Times New Roman" w:hAnsi="Times New Roman" w:cs="Times New Roman"/>
                <w:sz w:val="24"/>
                <w:szCs w:val="20"/>
              </w:rPr>
              <w:t>на</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 xml:space="preserve">сайта </w:t>
            </w:r>
            <w:r w:rsidRPr="007C49C1">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7C49C1"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излъчвания/публикации в електронните/печатните медии</w:t>
            </w:r>
          </w:p>
          <w:p w14:paraId="252756DA" w14:textId="7ADEE4B4" w:rsidR="00961DF2" w:rsidRPr="002209C9"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2209C9">
              <w:rPr>
                <w:rFonts w:ascii="Times New Roman" w:eastAsia="Times New Roman" w:hAnsi="Times New Roman" w:cs="Times New Roman"/>
                <w:bCs/>
                <w:sz w:val="24"/>
                <w:szCs w:val="20"/>
              </w:rPr>
              <w:t>брой хора, обхванати от информационни кампании и от комуникационни мерки.</w:t>
            </w:r>
          </w:p>
          <w:p w14:paraId="3614CAAA" w14:textId="3DAA8373" w:rsidR="00F077D1" w:rsidRPr="00171DED" w:rsidRDefault="0046175F" w:rsidP="00F90B83">
            <w:pPr>
              <w:rPr>
                <w:rFonts w:ascii="Times New Roman" w:eastAsia="Times New Roman" w:hAnsi="Times New Roman" w:cs="Times New Roman"/>
                <w:iCs/>
                <w:noProof/>
                <w:sz w:val="24"/>
                <w:szCs w:val="20"/>
              </w:rPr>
            </w:pPr>
            <w:r w:rsidRPr="002209C9">
              <w:rPr>
                <w:rFonts w:ascii="Times New Roman" w:eastAsia="Times New Roman" w:hAnsi="Times New Roman" w:cs="Times New Roman"/>
                <w:bCs/>
                <w:sz w:val="24"/>
                <w:szCs w:val="20"/>
              </w:rPr>
              <w:t xml:space="preserve"> </w:t>
            </w:r>
          </w:p>
        </w:tc>
      </w:tr>
    </w:tbl>
    <w:bookmarkEnd w:id="17"/>
    <w:p w14:paraId="2D94633B"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Използването на единични разходи, еднократни суми, единни ставки и финансиране, което не е свързано с разходи</w:t>
      </w:r>
    </w:p>
    <w:p w14:paraId="3A6A9DBC" w14:textId="27320EFD" w:rsidR="00BD6800" w:rsidRPr="00171DED"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Членове 88 и 89, РОР</w:t>
      </w:r>
    </w:p>
    <w:p w14:paraId="5ABB1AEC" w14:textId="4675C3A5" w:rsidR="00722757" w:rsidRPr="00171DED" w:rsidRDefault="00722757" w:rsidP="00722757">
      <w:pPr>
        <w:spacing w:before="120" w:after="0" w:line="240" w:lineRule="auto"/>
        <w:jc w:val="both"/>
        <w:rPr>
          <w:rFonts w:ascii="Times New Roman" w:eastAsia="Calibri"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Таблица 14: Използване на единични разходи, еднократни суми, единни ставки и финансиране, което не е свързано с разходи</w:t>
      </w:r>
    </w:p>
    <w:p w14:paraId="2EDF7293" w14:textId="4D3B3EE1"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2126"/>
        <w:gridCol w:w="2268"/>
      </w:tblGrid>
      <w:tr w:rsidR="00BD6800" w:rsidRPr="00171DED" w14:paraId="3FC4A07C" w14:textId="77777777" w:rsidTr="00BD6800">
        <w:trPr>
          <w:trHeight w:val="88"/>
        </w:trPr>
        <w:tc>
          <w:tcPr>
            <w:tcW w:w="5348" w:type="dxa"/>
          </w:tcPr>
          <w:p w14:paraId="69D50498" w14:textId="288406A5" w:rsidR="00BD6800" w:rsidRPr="00171DED" w:rsidRDefault="002D50B2" w:rsidP="00BD6800">
            <w:pPr>
              <w:autoSpaceDE w:val="0"/>
              <w:autoSpaceDN w:val="0"/>
              <w:adjustRightInd w:val="0"/>
              <w:spacing w:after="0" w:line="240" w:lineRule="auto"/>
              <w:rPr>
                <w:rFonts w:ascii="Times New Roman" w:hAnsi="Times New Roman" w:cs="Times New Roman"/>
                <w:color w:val="000000"/>
                <w:sz w:val="20"/>
                <w:szCs w:val="20"/>
                <w:lang w:val="bg-BG"/>
              </w:rPr>
            </w:pPr>
            <w:r w:rsidRPr="00171DED">
              <w:rPr>
                <w:rFonts w:ascii="Times New Roman" w:eastAsia="Times New Roman" w:hAnsi="Times New Roman" w:cs="Times New Roman"/>
                <w:b/>
                <w:noProof/>
                <w:sz w:val="20"/>
                <w:szCs w:val="20"/>
                <w:lang w:val="bg-BG"/>
              </w:rPr>
              <w:t xml:space="preserve">Показания за прилагане на чл. </w:t>
            </w:r>
            <w:r w:rsidR="00BD6800" w:rsidRPr="00171DED">
              <w:rPr>
                <w:rFonts w:ascii="Times New Roman" w:hAnsi="Times New Roman" w:cs="Times New Roman"/>
                <w:b/>
                <w:bCs/>
                <w:color w:val="000000"/>
                <w:sz w:val="20"/>
                <w:szCs w:val="20"/>
                <w:lang w:val="bg-BG"/>
              </w:rPr>
              <w:t xml:space="preserve">88 </w:t>
            </w:r>
            <w:r w:rsidRPr="00171DED">
              <w:rPr>
                <w:rFonts w:ascii="Times New Roman" w:hAnsi="Times New Roman" w:cs="Times New Roman"/>
                <w:b/>
                <w:bCs/>
                <w:color w:val="000000"/>
                <w:sz w:val="20"/>
                <w:szCs w:val="20"/>
                <w:lang w:val="bg-BG"/>
              </w:rPr>
              <w:t>и</w:t>
            </w:r>
            <w:r w:rsidR="00BD6800" w:rsidRPr="00171DED">
              <w:rPr>
                <w:rFonts w:ascii="Times New Roman" w:hAnsi="Times New Roman" w:cs="Times New Roman"/>
                <w:b/>
                <w:bCs/>
                <w:color w:val="000000"/>
                <w:sz w:val="20"/>
                <w:szCs w:val="20"/>
                <w:lang w:val="bg-BG"/>
              </w:rPr>
              <w:t xml:space="preserve"> 89 </w:t>
            </w:r>
          </w:p>
        </w:tc>
        <w:tc>
          <w:tcPr>
            <w:tcW w:w="2126" w:type="dxa"/>
          </w:tcPr>
          <w:p w14:paraId="2C1E1C07" w14:textId="77777777" w:rsidR="00BD6800" w:rsidRPr="00171DED"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YES </w:t>
            </w:r>
          </w:p>
        </w:tc>
        <w:tc>
          <w:tcPr>
            <w:tcW w:w="2268" w:type="dxa"/>
          </w:tcPr>
          <w:p w14:paraId="1A260619" w14:textId="77777777" w:rsidR="00BD6800" w:rsidRPr="00171DED"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NO </w:t>
            </w:r>
          </w:p>
        </w:tc>
      </w:tr>
      <w:tr w:rsidR="00BD6800" w:rsidRPr="00171DED" w14:paraId="14FED607" w14:textId="77777777" w:rsidTr="00BD6800">
        <w:trPr>
          <w:trHeight w:val="88"/>
        </w:trPr>
        <w:tc>
          <w:tcPr>
            <w:tcW w:w="5348" w:type="dxa"/>
          </w:tcPr>
          <w:p w14:paraId="0BB1260F" w14:textId="6DF9B8D6" w:rsidR="00885A41" w:rsidRPr="00171DED" w:rsidRDefault="00C32808" w:rsidP="00BD6800">
            <w:pPr>
              <w:autoSpaceDE w:val="0"/>
              <w:autoSpaceDN w:val="0"/>
              <w:adjustRightInd w:val="0"/>
              <w:spacing w:after="0" w:line="240" w:lineRule="auto"/>
              <w:rPr>
                <w:rFonts w:ascii="Times New Roman" w:hAnsi="Times New Roman" w:cs="Times New Roman"/>
                <w:color w:val="000000"/>
                <w:sz w:val="20"/>
                <w:szCs w:val="20"/>
                <w:lang w:val="bg-BG"/>
              </w:rPr>
            </w:pPr>
            <w:r w:rsidRPr="00171DED">
              <w:rPr>
                <w:rFonts w:ascii="Times New Roman" w:hAnsi="Times New Roman" w:cs="Times New Roman"/>
                <w:color w:val="000000"/>
                <w:sz w:val="20"/>
                <w:szCs w:val="20"/>
                <w:lang w:val="bg-BG"/>
              </w:rPr>
              <w:t>След одобряване</w:t>
            </w:r>
            <w:r w:rsidR="00CA6B00" w:rsidRPr="00171DED">
              <w:rPr>
                <w:rFonts w:ascii="Times New Roman" w:hAnsi="Times New Roman" w:cs="Times New Roman"/>
                <w:color w:val="000000"/>
                <w:sz w:val="20"/>
                <w:szCs w:val="20"/>
                <w:lang w:val="bg-BG"/>
              </w:rPr>
              <w:t>, по</w:t>
            </w:r>
            <w:r w:rsidRPr="00171DED">
              <w:rPr>
                <w:rFonts w:ascii="Times New Roman" w:hAnsi="Times New Roman" w:cs="Times New Roman"/>
                <w:color w:val="000000"/>
                <w:sz w:val="20"/>
                <w:szCs w:val="20"/>
                <w:lang w:val="bg-BG"/>
              </w:rPr>
              <w:t xml:space="preserve"> програмата ще се </w:t>
            </w:r>
            <w:r w:rsidR="00CA6B00" w:rsidRPr="00171DED">
              <w:rPr>
                <w:rFonts w:ascii="Times New Roman" w:hAnsi="Times New Roman" w:cs="Times New Roman"/>
                <w:color w:val="000000"/>
                <w:sz w:val="20"/>
                <w:szCs w:val="20"/>
                <w:lang w:val="bg-BG"/>
              </w:rPr>
              <w:t>и</w:t>
            </w:r>
            <w:r w:rsidRPr="00171DED">
              <w:rPr>
                <w:rFonts w:ascii="Times New Roman" w:hAnsi="Times New Roman" w:cs="Times New Roman"/>
                <w:color w:val="000000"/>
                <w:sz w:val="20"/>
                <w:szCs w:val="20"/>
                <w:lang w:val="bg-BG"/>
              </w:rPr>
              <w:t>зползва възстановяване на приноса на Съюза</w:t>
            </w:r>
            <w:r w:rsidR="00CA6B00" w:rsidRPr="00171DED">
              <w:rPr>
                <w:rFonts w:ascii="Times New Roman" w:hAnsi="Times New Roman" w:cs="Times New Roman"/>
                <w:color w:val="000000"/>
                <w:sz w:val="20"/>
                <w:szCs w:val="20"/>
                <w:lang w:val="bg-BG"/>
              </w:rPr>
              <w:t xml:space="preserve"> въз основа на единични разходи, еднократни суми и </w:t>
            </w:r>
            <w:r w:rsidR="006F68BD" w:rsidRPr="00171DED">
              <w:rPr>
                <w:rFonts w:ascii="Times New Roman" w:hAnsi="Times New Roman" w:cs="Times New Roman"/>
                <w:color w:val="000000"/>
                <w:sz w:val="20"/>
                <w:szCs w:val="20"/>
                <w:lang w:val="bg-BG"/>
              </w:rPr>
              <w:t>единни</w:t>
            </w:r>
            <w:r w:rsidR="00CA6B00" w:rsidRPr="00171DED">
              <w:rPr>
                <w:rFonts w:ascii="Times New Roman" w:hAnsi="Times New Roman" w:cs="Times New Roman"/>
                <w:color w:val="000000"/>
                <w:sz w:val="20"/>
                <w:szCs w:val="20"/>
                <w:lang w:val="bg-BG"/>
              </w:rPr>
              <w:t xml:space="preserve"> ставки по приоритета, съгласно член 88 от Общия регламент (ако да, попълнете допълнение 1)</w:t>
            </w:r>
          </w:p>
        </w:tc>
        <w:tc>
          <w:tcPr>
            <w:tcW w:w="2126" w:type="dxa"/>
          </w:tcPr>
          <w:p w14:paraId="260DCD37" w14:textId="48E654DC"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720732">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59264" behindDoc="0" locked="0" layoutInCell="1" allowOverlap="1" wp14:anchorId="2DAE1410" wp14:editId="4A1FE4AF">
                      <wp:simplePos x="0" y="0"/>
                      <wp:positionH relativeFrom="column">
                        <wp:posOffset>-469</wp:posOffset>
                      </wp:positionH>
                      <wp:positionV relativeFrom="paragraph">
                        <wp:posOffset>40392</wp:posOffset>
                      </wp:positionV>
                      <wp:extent cx="166977" cy="143123"/>
                      <wp:effectExtent l="0" t="0" r="24130" b="28575"/>
                      <wp:wrapNone/>
                      <wp:docPr id="1" name="Rectangle 1"/>
                      <wp:cNvGraphicFramePr/>
                      <a:graphic xmlns:a="http://schemas.openxmlformats.org/drawingml/2006/main">
                        <a:graphicData uri="http://schemas.microsoft.com/office/word/2010/wordprocessingShape">
                          <wps:wsp>
                            <wps:cNvSpPr/>
                            <wps:spPr>
                              <a:xfrm>
                                <a:off x="0" y="0"/>
                                <a:ext cx="166977" cy="1431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1A7FD" id="Rectangle 1" o:spid="_x0000_s1026" style="position:absolute;margin-left:-.05pt;margin-top:3.2pt;width:13.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" fillcolor="#4f81bd [3204]" strokecolor="#243f60 [1604]" strokeweight="2pt"/>
                  </w:pict>
                </mc:Fallback>
              </mc:AlternateContent>
            </w:r>
          </w:p>
        </w:tc>
        <w:tc>
          <w:tcPr>
            <w:tcW w:w="2268" w:type="dxa"/>
          </w:tcPr>
          <w:p w14:paraId="7A86808F" w14:textId="56576B2C"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720732">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60288" behindDoc="0" locked="0" layoutInCell="1" allowOverlap="1" wp14:anchorId="7B3FCA6C" wp14:editId="2BAAD37D">
                      <wp:simplePos x="0" y="0"/>
                      <wp:positionH relativeFrom="column">
                        <wp:posOffset>25096</wp:posOffset>
                      </wp:positionH>
                      <wp:positionV relativeFrom="paragraph">
                        <wp:posOffset>40392</wp:posOffset>
                      </wp:positionV>
                      <wp:extent cx="174929" cy="151074"/>
                      <wp:effectExtent l="0" t="0" r="15875" b="20955"/>
                      <wp:wrapNone/>
                      <wp:docPr id="2" name="Rectangle 2"/>
                      <wp:cNvGraphicFramePr/>
                      <a:graphic xmlns:a="http://schemas.openxmlformats.org/drawingml/2006/main">
                        <a:graphicData uri="http://schemas.microsoft.com/office/word/2010/wordprocessingShape">
                          <wps:wsp>
                            <wps:cNvSpPr/>
                            <wps:spPr>
                              <a:xfrm>
                                <a:off x="0" y="0"/>
                                <a:ext cx="174929" cy="1510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3B9EA" id="Rectangle 2" o:spid="_x0000_s1026" style="position:absolute;margin-left:2pt;margin-top:3.2pt;width:13.7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" fillcolor="#4f81bd [3204]" strokecolor="#243f60 [1604]" strokeweight="2pt"/>
                  </w:pict>
                </mc:Fallback>
              </mc:AlternateContent>
            </w:r>
          </w:p>
        </w:tc>
      </w:tr>
      <w:tr w:rsidR="00BD6800" w:rsidRPr="00171DED" w14:paraId="2234FE86" w14:textId="77777777" w:rsidTr="00BD6800">
        <w:trPr>
          <w:trHeight w:val="88"/>
        </w:trPr>
        <w:tc>
          <w:tcPr>
            <w:tcW w:w="5348" w:type="dxa"/>
          </w:tcPr>
          <w:p w14:paraId="03A3D8EE" w14:textId="4D553BD5" w:rsidR="00BF6C47" w:rsidRPr="00171DED" w:rsidRDefault="00CA6B00" w:rsidP="00BD6800">
            <w:pPr>
              <w:autoSpaceDE w:val="0"/>
              <w:autoSpaceDN w:val="0"/>
              <w:adjustRightInd w:val="0"/>
              <w:spacing w:after="0" w:line="240" w:lineRule="auto"/>
              <w:rPr>
                <w:rFonts w:ascii="Times New Roman" w:hAnsi="Times New Roman" w:cs="Times New Roman"/>
                <w:color w:val="A6A6A6" w:themeColor="background1" w:themeShade="A6"/>
                <w:sz w:val="20"/>
                <w:szCs w:val="20"/>
              </w:rPr>
            </w:pPr>
            <w:r w:rsidRPr="00171DED">
              <w:rPr>
                <w:rFonts w:ascii="Times New Roman" w:hAnsi="Times New Roman" w:cs="Times New Roman"/>
                <w:color w:val="A6A6A6" w:themeColor="background1" w:themeShade="A6"/>
                <w:sz w:val="20"/>
                <w:szCs w:val="20"/>
                <w:lang w:val="bg-BG"/>
              </w:rPr>
              <w:t xml:space="preserve">След одобряване, по програмата ще се използва възстановяване на приноса на Съюза, въз основа </w:t>
            </w:r>
            <w:r w:rsidR="00BF6C47" w:rsidRPr="00171DED">
              <w:rPr>
                <w:rFonts w:ascii="Times New Roman" w:hAnsi="Times New Roman" w:cs="Times New Roman"/>
                <w:color w:val="A6A6A6" w:themeColor="background1" w:themeShade="A6"/>
                <w:sz w:val="20"/>
                <w:szCs w:val="20"/>
                <w:lang w:val="bg-BG"/>
              </w:rPr>
              <w:t>на финансиране, което не е свързано с разходите съгласно член 89 от РЗП (ако да, попълнете допълнение 2)</w:t>
            </w:r>
          </w:p>
        </w:tc>
        <w:tc>
          <w:tcPr>
            <w:tcW w:w="2126" w:type="dxa"/>
          </w:tcPr>
          <w:p w14:paraId="3FC5C29B" w14:textId="1D79AFDD" w:rsidR="00BD6800" w:rsidRPr="00171DED"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720732">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1312" behindDoc="0" locked="0" layoutInCell="1" allowOverlap="1" wp14:anchorId="036E6C88" wp14:editId="2ACEE323">
                      <wp:simplePos x="0" y="0"/>
                      <wp:positionH relativeFrom="column">
                        <wp:posOffset>7482</wp:posOffset>
                      </wp:positionH>
                      <wp:positionV relativeFrom="paragraph">
                        <wp:posOffset>54141</wp:posOffset>
                      </wp:positionV>
                      <wp:extent cx="166977" cy="135172"/>
                      <wp:effectExtent l="0" t="0" r="24130" b="17780"/>
                      <wp:wrapNone/>
                      <wp:docPr id="3" name="Rectangle 3"/>
                      <wp:cNvGraphicFramePr/>
                      <a:graphic xmlns:a="http://schemas.openxmlformats.org/drawingml/2006/main">
                        <a:graphicData uri="http://schemas.microsoft.com/office/word/2010/wordprocessingShape">
                          <wps:wsp>
                            <wps:cNvSpPr/>
                            <wps:spPr>
                              <a:xfrm>
                                <a:off x="0" y="0"/>
                                <a:ext cx="166977"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C48CE" id="Rectangle 3" o:spid="_x0000_s1026" style="position:absolute;margin-left:.6pt;margin-top:4.25pt;width:13.1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" fillcolor="#4f81bd [3204]" strokecolor="#243f60 [1604]" strokeweight="2pt"/>
                  </w:pict>
                </mc:Fallback>
              </mc:AlternateContent>
            </w:r>
          </w:p>
        </w:tc>
        <w:tc>
          <w:tcPr>
            <w:tcW w:w="2268" w:type="dxa"/>
          </w:tcPr>
          <w:p w14:paraId="20C78B3A" w14:textId="1064C0B7" w:rsidR="00BD6800" w:rsidRPr="00171DED"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720732">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2336" behindDoc="0" locked="0" layoutInCell="1" allowOverlap="1" wp14:anchorId="030B6D4C" wp14:editId="2BCE3FD7">
                      <wp:simplePos x="0" y="0"/>
                      <wp:positionH relativeFrom="column">
                        <wp:posOffset>1242</wp:posOffset>
                      </wp:positionH>
                      <wp:positionV relativeFrom="paragraph">
                        <wp:posOffset>62092</wp:posOffset>
                      </wp:positionV>
                      <wp:extent cx="182880" cy="159026"/>
                      <wp:effectExtent l="0" t="0" r="26670" b="12700"/>
                      <wp:wrapNone/>
                      <wp:docPr id="4" name="Rectangle 4"/>
                      <wp:cNvGraphicFramePr/>
                      <a:graphic xmlns:a="http://schemas.openxmlformats.org/drawingml/2006/main">
                        <a:graphicData uri="http://schemas.microsoft.com/office/word/2010/wordprocessingShape">
                          <wps:wsp>
                            <wps:cNvSpPr/>
                            <wps:spPr>
                              <a:xfrm>
                                <a:off x="0" y="0"/>
                                <a:ext cx="182880"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BDE8D" id="Rectangle 4" o:spid="_x0000_s1026" style="position:absolute;margin-left:.1pt;margin-top:4.9pt;width:14.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" fillcolor="#4f81bd [3204]" strokecolor="#243f60 [1604]" strokeweight="2pt"/>
                  </w:pict>
                </mc:Fallback>
              </mc:AlternateContent>
            </w:r>
          </w:p>
        </w:tc>
      </w:tr>
      <w:tr w:rsidR="00BD6800" w:rsidRPr="00171DED" w14:paraId="3A8FF7F3" w14:textId="77777777" w:rsidTr="00BD6800">
        <w:trPr>
          <w:trHeight w:val="88"/>
        </w:trPr>
        <w:tc>
          <w:tcPr>
            <w:tcW w:w="5348" w:type="dxa"/>
          </w:tcPr>
          <w:p w14:paraId="7EBE44D4"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126" w:type="dxa"/>
          </w:tcPr>
          <w:p w14:paraId="646383EE"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268" w:type="dxa"/>
          </w:tcPr>
          <w:p w14:paraId="58C938AC"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r>
    </w:tbl>
    <w:p w14:paraId="74E81088" w14:textId="05CF2699"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Style w:val="TableGrid"/>
        <w:tblW w:w="0" w:type="auto"/>
        <w:tblLook w:val="04A0" w:firstRow="1" w:lastRow="0" w:firstColumn="1" w:lastColumn="0" w:noHBand="0" w:noVBand="1"/>
      </w:tblPr>
      <w:tblGrid>
        <w:gridCol w:w="5214"/>
        <w:gridCol w:w="1445"/>
        <w:gridCol w:w="1066"/>
        <w:gridCol w:w="1903"/>
      </w:tblGrid>
      <w:tr w:rsidR="00722757" w:rsidRPr="00171DED" w14:paraId="2CA32C0A" w14:textId="77777777" w:rsidTr="00BC7759">
        <w:trPr>
          <w:trHeight w:val="484"/>
        </w:trPr>
        <w:tc>
          <w:tcPr>
            <w:tcW w:w="5214" w:type="dxa"/>
          </w:tcPr>
          <w:p w14:paraId="5704C61F" w14:textId="42DE1625" w:rsidR="00722757" w:rsidRPr="00171DED" w:rsidRDefault="006F68BD"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lastRenderedPageBreak/>
              <w:t>Показания за прилагане на чл.</w:t>
            </w:r>
            <w:r w:rsidR="0092569E" w:rsidRPr="00171DED">
              <w:rPr>
                <w:rFonts w:ascii="Times New Roman" w:eastAsia="Times New Roman" w:hAnsi="Times New Roman" w:cs="Times New Roman"/>
                <w:b/>
                <w:noProof/>
                <w:sz w:val="20"/>
                <w:szCs w:val="20"/>
              </w:rPr>
              <w:t xml:space="preserve"> 88 </w:t>
            </w:r>
            <w:r w:rsidRPr="00171DED">
              <w:rPr>
                <w:rFonts w:ascii="Times New Roman" w:eastAsia="Times New Roman" w:hAnsi="Times New Roman" w:cs="Times New Roman"/>
                <w:b/>
                <w:noProof/>
                <w:sz w:val="20"/>
                <w:szCs w:val="20"/>
              </w:rPr>
              <w:t>и</w:t>
            </w:r>
            <w:r w:rsidR="0092569E" w:rsidRPr="00171DED">
              <w:rPr>
                <w:rFonts w:ascii="Times New Roman" w:eastAsia="Times New Roman" w:hAnsi="Times New Roman" w:cs="Times New Roman"/>
                <w:b/>
                <w:noProof/>
                <w:sz w:val="20"/>
                <w:szCs w:val="20"/>
              </w:rPr>
              <w:t xml:space="preserve"> 89:*</w:t>
            </w:r>
            <w:r w:rsidR="0092569E" w:rsidRPr="00171DED">
              <w:rPr>
                <w:rFonts w:ascii="Times New Roman" w:eastAsia="Times New Roman" w:hAnsi="Times New Roman" w:cs="Times New Roman"/>
                <w:b/>
                <w:noProof/>
                <w:sz w:val="20"/>
                <w:szCs w:val="20"/>
              </w:rPr>
              <w:tab/>
            </w:r>
          </w:p>
        </w:tc>
        <w:tc>
          <w:tcPr>
            <w:tcW w:w="1445" w:type="dxa"/>
          </w:tcPr>
          <w:p w14:paraId="6D316CCC" w14:textId="070D829C"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Priority No</w:t>
            </w:r>
            <w:r w:rsidRPr="00171DED">
              <w:rPr>
                <w:rFonts w:ascii="Times New Roman" w:eastAsia="Times New Roman" w:hAnsi="Times New Roman" w:cs="Times New Roman"/>
                <w:b/>
                <w:noProof/>
                <w:sz w:val="20"/>
                <w:szCs w:val="20"/>
              </w:rPr>
              <w:tab/>
            </w:r>
          </w:p>
        </w:tc>
        <w:tc>
          <w:tcPr>
            <w:tcW w:w="1066" w:type="dxa"/>
          </w:tcPr>
          <w:p w14:paraId="1C27D0A3" w14:textId="7702EA38"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Fund</w:t>
            </w:r>
            <w:r w:rsidRPr="00171DED">
              <w:rPr>
                <w:rFonts w:ascii="Times New Roman" w:eastAsia="Times New Roman" w:hAnsi="Times New Roman" w:cs="Times New Roman"/>
                <w:b/>
                <w:noProof/>
                <w:sz w:val="20"/>
                <w:szCs w:val="20"/>
              </w:rPr>
              <w:tab/>
            </w:r>
          </w:p>
        </w:tc>
        <w:tc>
          <w:tcPr>
            <w:tcW w:w="1903" w:type="dxa"/>
          </w:tcPr>
          <w:p w14:paraId="3E7BC0E0" w14:textId="0A772015"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Specific objective (Jobs and growth goal) or area of support (EMFF)</w:t>
            </w:r>
          </w:p>
        </w:tc>
      </w:tr>
      <w:tr w:rsidR="00BC7759" w:rsidRPr="00171DED" w14:paraId="76EE3AE4" w14:textId="77777777" w:rsidTr="00BC7759">
        <w:trPr>
          <w:trHeight w:val="1640"/>
        </w:trPr>
        <w:tc>
          <w:tcPr>
            <w:tcW w:w="5214" w:type="dxa"/>
            <w:vMerge w:val="restart"/>
          </w:tcPr>
          <w:p w14:paraId="0ADD4D3C" w14:textId="04FEC5A6" w:rsidR="00F947A7" w:rsidRPr="00171DED" w:rsidRDefault="00F947A7" w:rsidP="005D12B5">
            <w:pPr>
              <w:spacing w:before="240" w:after="240"/>
              <w:jc w:val="both"/>
              <w:rPr>
                <w:rFonts w:ascii="Times New Roman" w:eastAsia="Times New Roman" w:hAnsi="Times New Roman" w:cs="Times New Roman"/>
                <w:noProof/>
                <w:sz w:val="20"/>
                <w:szCs w:val="20"/>
              </w:rPr>
            </w:pPr>
          </w:p>
        </w:tc>
        <w:tc>
          <w:tcPr>
            <w:tcW w:w="1445" w:type="dxa"/>
          </w:tcPr>
          <w:p w14:paraId="66E8A2DA" w14:textId="3CF1373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05BC7DE9" w14:textId="0CDFFE84"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2B36F8A9" w14:textId="0833D703"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00A9E5F4" w14:textId="77777777" w:rsidTr="00BC7759">
        <w:trPr>
          <w:trHeight w:val="1990"/>
        </w:trPr>
        <w:tc>
          <w:tcPr>
            <w:tcW w:w="5214" w:type="dxa"/>
            <w:vMerge/>
          </w:tcPr>
          <w:p w14:paraId="53C76E16"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4D72460" w14:textId="5124DD43"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6C9B3D4E" w14:textId="028EC2C2"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1A8BCFA6" w14:textId="2B2E4EAA"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470B768E" w14:textId="77777777" w:rsidTr="00BC7759">
        <w:trPr>
          <w:trHeight w:val="319"/>
        </w:trPr>
        <w:tc>
          <w:tcPr>
            <w:tcW w:w="5214" w:type="dxa"/>
            <w:vMerge/>
          </w:tcPr>
          <w:p w14:paraId="29FB3B3E"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61C7698"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2CFE5A1F" w14:textId="3010EEA1"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34D413E1" w14:textId="149F6697"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14DD3E53" w14:textId="77777777" w:rsidTr="00BC7759">
        <w:trPr>
          <w:trHeight w:val="319"/>
        </w:trPr>
        <w:tc>
          <w:tcPr>
            <w:tcW w:w="5214" w:type="dxa"/>
            <w:vMerge/>
          </w:tcPr>
          <w:p w14:paraId="4B65F8A6"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200D225"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148AA71E" w14:textId="258752E2"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2639DCED" w14:textId="5383714E"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0BBB25B3" w14:textId="77777777" w:rsidTr="00BC7759">
        <w:trPr>
          <w:trHeight w:val="319"/>
        </w:trPr>
        <w:tc>
          <w:tcPr>
            <w:tcW w:w="5214" w:type="dxa"/>
            <w:vMerge/>
          </w:tcPr>
          <w:p w14:paraId="06ACC1E9"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C97AD43"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51DE9DDC"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645AD570" w14:textId="3EB8805E" w:rsidR="00BC7759" w:rsidRPr="00171DED" w:rsidRDefault="00BC7759" w:rsidP="005D12B5">
            <w:pPr>
              <w:spacing w:before="120" w:after="120"/>
              <w:jc w:val="both"/>
              <w:rPr>
                <w:rFonts w:ascii="Times New Roman" w:eastAsia="Times New Roman" w:hAnsi="Times New Roman" w:cs="Times New Roman"/>
                <w:noProof/>
                <w:sz w:val="20"/>
                <w:szCs w:val="20"/>
              </w:rPr>
            </w:pPr>
          </w:p>
        </w:tc>
      </w:tr>
    </w:tbl>
    <w:p w14:paraId="1470CCE8" w14:textId="77777777" w:rsidR="00722757" w:rsidRPr="00171DED" w:rsidRDefault="00722757" w:rsidP="00722757">
      <w:pPr>
        <w:spacing w:before="120" w:after="120" w:line="240" w:lineRule="auto"/>
        <w:jc w:val="both"/>
        <w:rPr>
          <w:rFonts w:ascii="Times New Roman" w:eastAsia="Times New Roman" w:hAnsi="Times New Roman" w:cs="Times New Roman"/>
          <w:noProof/>
          <w:sz w:val="16"/>
          <w:szCs w:val="16"/>
          <w:lang w:val="bg-BG" w:eastAsia="bg-BG" w:bidi="bg-BG"/>
        </w:rPr>
      </w:pPr>
      <w:r w:rsidRPr="00171DED">
        <w:rPr>
          <w:rFonts w:ascii="Times New Roman" w:eastAsia="Calibri" w:hAnsi="Times New Roman" w:cs="Times New Roman"/>
          <w:noProof/>
          <w:sz w:val="16"/>
          <w:szCs w:val="20"/>
          <w:lang w:val="bg-BG" w:eastAsia="bg-BG" w:bidi="bg-BG"/>
        </w:rPr>
        <w:t>* Цялата информация ще бъде предоставена в съответствие с образците, приложени към РОР.</w:t>
      </w:r>
    </w:p>
    <w:p w14:paraId="46719B1A" w14:textId="77777777" w:rsidR="00722757" w:rsidRPr="00171DED"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171DED"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7472ECBE" w:rsidR="00BD6800"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noProof/>
          <w:sz w:val="24"/>
          <w:szCs w:val="20"/>
          <w:lang w:val="bg-BG" w:eastAsia="bg-BG" w:bidi="bg-BG"/>
        </w:rPr>
        <w:br w:type="page"/>
      </w:r>
      <w:r w:rsidRPr="00171DED">
        <w:rPr>
          <w:rFonts w:ascii="Times New Roman" w:eastAsia="Calibri" w:hAnsi="Times New Roman" w:cs="Times New Roman"/>
          <w:b/>
          <w:i/>
          <w:noProof/>
          <w:sz w:val="24"/>
          <w:szCs w:val="20"/>
          <w:lang w:val="bg-BG" w:eastAsia="bg-BG" w:bidi="bg-BG"/>
        </w:rPr>
        <w:lastRenderedPageBreak/>
        <w:t>Допълнение 1:</w:t>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ab/>
      </w:r>
    </w:p>
    <w:p w14:paraId="4026599F" w14:textId="15B86DC4" w:rsidR="00722757" w:rsidRPr="00171DED" w:rsidRDefault="00722757" w:rsidP="00722757">
      <w:pPr>
        <w:spacing w:before="120" w:after="120" w:line="240" w:lineRule="auto"/>
        <w:jc w:val="both"/>
        <w:rPr>
          <w:rFonts w:ascii="Times New Roman" w:eastAsia="Calibri" w:hAnsi="Times New Roman" w:cs="Times New Roman"/>
          <w:b/>
          <w:i/>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 </w:t>
      </w:r>
      <w:bookmarkStart w:id="18" w:name="_Toc380656957"/>
      <w:r w:rsidR="00BD6800" w:rsidRPr="00171DED">
        <w:rPr>
          <w:rFonts w:ascii="Times New Roman" w:eastAsia="Calibri" w:hAnsi="Times New Roman" w:cs="Times New Roman"/>
          <w:b/>
          <w:noProof/>
          <w:sz w:val="24"/>
          <w:szCs w:val="20"/>
          <w:lang w:val="bg-BG" w:eastAsia="bg-BG" w:bidi="bg-BG"/>
        </w:rPr>
        <w:t>Template for submitting data for the consideration of the Commission</w:t>
      </w:r>
    </w:p>
    <w:p w14:paraId="1A48F0FF" w14:textId="77777777" w:rsidR="00722757" w:rsidRPr="00171DED" w:rsidRDefault="00722757" w:rsidP="00722757">
      <w:pPr>
        <w:spacing w:before="120" w:after="120" w:line="240" w:lineRule="auto"/>
        <w:jc w:val="center"/>
        <w:rPr>
          <w:rFonts w:ascii="Times New Roman" w:eastAsia="Calibri" w:hAnsi="Times New Roman" w:cs="Times New Roman"/>
          <w:b/>
          <w:noProof/>
          <w:sz w:val="24"/>
          <w:szCs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Образец за представянето на данните за разглеждане на Комисията</w:t>
      </w:r>
    </w:p>
    <w:p w14:paraId="7B521E01" w14:textId="77777777" w:rsidR="00722757" w:rsidRPr="00171DED" w:rsidRDefault="00722757" w:rsidP="00722757">
      <w:pPr>
        <w:spacing w:before="120" w:after="120" w:line="240" w:lineRule="auto"/>
        <w:jc w:val="center"/>
        <w:rPr>
          <w:rFonts w:ascii="Times New Roman" w:eastAsia="Calibri" w:hAnsi="Times New Roman" w:cs="Times New Roman"/>
          <w:b/>
          <w:i/>
          <w:noProof/>
          <w:sz w:val="24"/>
          <w:szCs w:val="24"/>
          <w:lang w:val="bg-BG" w:eastAsia="bg-BG" w:bidi="bg-BG"/>
        </w:rPr>
      </w:pPr>
      <w:r w:rsidRPr="00171DED">
        <w:rPr>
          <w:rFonts w:ascii="Times New Roman" w:eastAsia="Calibri" w:hAnsi="Times New Roman" w:cs="Times New Roman"/>
          <w:b/>
          <w:noProof/>
          <w:sz w:val="24"/>
          <w:szCs w:val="20"/>
          <w:u w:val="single"/>
          <w:lang w:val="bg-BG" w:eastAsia="bg-BG" w:bidi="bg-BG"/>
        </w:rPr>
        <w:t>(член 88)</w:t>
      </w:r>
    </w:p>
    <w:bookmarkEnd w:id="18"/>
    <w:p w14:paraId="1856157C" w14:textId="77777777" w:rsidR="00722757" w:rsidRPr="00171DED" w:rsidRDefault="00722757" w:rsidP="00722757">
      <w:pPr>
        <w:spacing w:before="120" w:after="240" w:line="240" w:lineRule="auto"/>
        <w:jc w:val="center"/>
        <w:rPr>
          <w:rFonts w:ascii="Times New Roman" w:eastAsia="Calibri" w:hAnsi="Times New Roman" w:cs="Times New Roman"/>
          <w:noProof/>
          <w:sz w:val="24"/>
          <w:szCs w:val="24"/>
          <w:lang w:val="bg-BG" w:eastAsia="bg-BG" w:bidi="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1635DE58" w14:textId="77777777" w:rsidTr="00E86C9E">
        <w:tc>
          <w:tcPr>
            <w:tcW w:w="4644" w:type="dxa"/>
            <w:shd w:val="clear" w:color="auto" w:fill="auto"/>
          </w:tcPr>
          <w:p w14:paraId="3982F91C"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r w:rsidRPr="00171DED">
              <w:rPr>
                <w:rFonts w:ascii="Times New Roman" w:eastAsia="Calibri" w:hAnsi="Times New Roman" w:cs="Times New Roman"/>
                <w:noProof/>
                <w:sz w:val="24"/>
                <w:szCs w:val="20"/>
                <w:lang w:val="bg-BG" w:eastAsia="bg-BG" w:bidi="bg-BG"/>
              </w:rPr>
              <w:t>Дата на изпращане на предложението</w:t>
            </w:r>
          </w:p>
        </w:tc>
        <w:tc>
          <w:tcPr>
            <w:tcW w:w="4644" w:type="dxa"/>
            <w:shd w:val="clear" w:color="auto" w:fill="auto"/>
          </w:tcPr>
          <w:p w14:paraId="709B7073"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171DED" w14:paraId="3F7D547D" w14:textId="77777777" w:rsidTr="00E86C9E">
        <w:tc>
          <w:tcPr>
            <w:tcW w:w="4644" w:type="dxa"/>
            <w:shd w:val="clear" w:color="auto" w:fill="auto"/>
          </w:tcPr>
          <w:p w14:paraId="2B9FA57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r w:rsidRPr="00171DED">
              <w:rPr>
                <w:rFonts w:ascii="Times New Roman" w:eastAsia="Calibri" w:hAnsi="Times New Roman" w:cs="Times New Roman"/>
                <w:noProof/>
                <w:sz w:val="24"/>
                <w:szCs w:val="20"/>
                <w:lang w:val="bg-BG" w:eastAsia="bg-BG" w:bidi="bg-BG"/>
              </w:rPr>
              <w:t xml:space="preserve">Настояща версия </w:t>
            </w:r>
          </w:p>
        </w:tc>
        <w:tc>
          <w:tcPr>
            <w:tcW w:w="4644" w:type="dxa"/>
            <w:shd w:val="clear" w:color="auto" w:fill="auto"/>
          </w:tcPr>
          <w:p w14:paraId="269BBBB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341B06C6" w14:textId="77777777" w:rsidR="00722757" w:rsidRPr="00171DED" w:rsidRDefault="00722757" w:rsidP="00722757">
      <w:pPr>
        <w:spacing w:before="120" w:after="120" w:line="240" w:lineRule="auto"/>
        <w:jc w:val="both"/>
        <w:rPr>
          <w:rFonts w:ascii="Times New Roman" w:eastAsia="Calibri" w:hAnsi="Times New Roman" w:cs="Times New Roman"/>
          <w:noProof/>
          <w:sz w:val="20"/>
          <w:szCs w:val="20"/>
          <w:lang w:val="bg-BG" w:eastAsia="bg-BG" w:bidi="bg-BG"/>
        </w:rPr>
        <w:sectPr w:rsidR="00722757" w:rsidRPr="00171DED">
          <w:headerReference w:type="even" r:id="rId26"/>
          <w:headerReference w:type="default" r:id="rId27"/>
          <w:footerReference w:type="even" r:id="rId28"/>
          <w:footerReference w:type="default" r:id="rId29"/>
          <w:headerReference w:type="first" r:id="rId30"/>
          <w:footerReference w:type="first" r:id="rId31"/>
          <w:pgSz w:w="11906" w:h="16838" w:code="9"/>
          <w:pgMar w:top="567" w:right="1134" w:bottom="567" w:left="1134" w:header="709" w:footer="709" w:gutter="0"/>
          <w:cols w:space="708"/>
          <w:titlePg/>
          <w:docGrid w:linePitch="360"/>
        </w:sectPr>
      </w:pPr>
    </w:p>
    <w:p w14:paraId="0BDFAA8E" w14:textId="77777777" w:rsidR="00722757" w:rsidRPr="00171DED" w:rsidRDefault="00722757" w:rsidP="00722757">
      <w:pPr>
        <w:spacing w:before="120" w:after="240" w:line="240" w:lineRule="auto"/>
        <w:jc w:val="both"/>
        <w:rPr>
          <w:rFonts w:ascii="Times New Roman" w:eastAsia="Calibri" w:hAnsi="Times New Roman" w:cs="Times New Roman"/>
          <w:b/>
          <w:noProof/>
          <w:sz w:val="24"/>
          <w:szCs w:val="20"/>
          <w:u w:val="single"/>
          <w:lang w:val="bg-BG" w:eastAsia="bg-BG" w:bidi="bg-BG"/>
        </w:rPr>
      </w:pPr>
      <w:r w:rsidRPr="00171DED">
        <w:rPr>
          <w:rFonts w:ascii="Times New Roman" w:eastAsia="Calibri" w:hAnsi="Times New Roman" w:cs="Times New Roman"/>
          <w:b/>
          <w:noProof/>
          <w:sz w:val="24"/>
          <w:szCs w:val="20"/>
          <w:u w:val="single"/>
          <w:lang w:val="bg-BG" w:eastAsia="bg-BG" w:bidi="bg-BG"/>
        </w:rPr>
        <w:lastRenderedPageBreak/>
        <w:t>A.</w:t>
      </w:r>
      <w:r w:rsidRPr="00171DED">
        <w:rPr>
          <w:rFonts w:ascii="Times New Roman" w:eastAsia="Calibri" w:hAnsi="Times New Roman" w:cs="Times New Roman"/>
          <w:noProof/>
          <w:sz w:val="24"/>
          <w:szCs w:val="20"/>
          <w:lang w:val="bg-BG" w:eastAsia="bg-BG" w:bidi="bg-BG"/>
        </w:rPr>
        <w:tab/>
      </w:r>
      <w:r w:rsidRPr="00171DED">
        <w:rPr>
          <w:rFonts w:ascii="Times New Roman" w:eastAsia="Calibri" w:hAnsi="Times New Roman" w:cs="Times New Roman"/>
          <w:b/>
          <w:noProof/>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60"/>
        <w:gridCol w:w="1830"/>
        <w:gridCol w:w="1299"/>
        <w:gridCol w:w="1491"/>
        <w:gridCol w:w="669"/>
        <w:gridCol w:w="1394"/>
        <w:gridCol w:w="1161"/>
        <w:gridCol w:w="1441"/>
        <w:gridCol w:w="1645"/>
        <w:gridCol w:w="1227"/>
        <w:gridCol w:w="1246"/>
      </w:tblGrid>
      <w:tr w:rsidR="00BE032C" w:rsidRPr="00171DED" w14:paraId="4E306306" w14:textId="77777777" w:rsidTr="0021014C">
        <w:tc>
          <w:tcPr>
            <w:tcW w:w="488" w:type="pct"/>
          </w:tcPr>
          <w:p w14:paraId="1E9ECE26"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Приоритет </w:t>
            </w:r>
          </w:p>
        </w:tc>
        <w:tc>
          <w:tcPr>
            <w:tcW w:w="242" w:type="pct"/>
          </w:tcPr>
          <w:p w14:paraId="4D5742F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Фонд</w:t>
            </w:r>
          </w:p>
        </w:tc>
        <w:tc>
          <w:tcPr>
            <w:tcW w:w="583" w:type="pct"/>
          </w:tcPr>
          <w:p w14:paraId="27B21D82" w14:textId="5D416AEC"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Специфична цел </w:t>
            </w:r>
          </w:p>
        </w:tc>
        <w:tc>
          <w:tcPr>
            <w:tcW w:w="414" w:type="pct"/>
          </w:tcPr>
          <w:p w14:paraId="7722DB24"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Категория региони </w:t>
            </w:r>
          </w:p>
        </w:tc>
        <w:tc>
          <w:tcPr>
            <w:tcW w:w="475" w:type="pct"/>
          </w:tcPr>
          <w:p w14:paraId="0F3DE8E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657" w:type="pct"/>
            <w:gridSpan w:val="2"/>
            <w:shd w:val="clear" w:color="auto" w:fill="auto"/>
          </w:tcPr>
          <w:p w14:paraId="551C538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Вид операция</w:t>
            </w:r>
          </w:p>
        </w:tc>
        <w:tc>
          <w:tcPr>
            <w:tcW w:w="829" w:type="pct"/>
            <w:gridSpan w:val="2"/>
            <w:shd w:val="clear" w:color="auto" w:fill="auto"/>
          </w:tcPr>
          <w:p w14:paraId="3ABE81E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Наименование на съответния показател</w:t>
            </w:r>
          </w:p>
        </w:tc>
        <w:tc>
          <w:tcPr>
            <w:tcW w:w="524" w:type="pct"/>
            <w:shd w:val="clear" w:color="auto" w:fill="auto"/>
          </w:tcPr>
          <w:p w14:paraId="398A0C14"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Мерна единица на показателя</w:t>
            </w:r>
          </w:p>
        </w:tc>
        <w:tc>
          <w:tcPr>
            <w:tcW w:w="391" w:type="pct"/>
          </w:tcPr>
          <w:p w14:paraId="7FFE2597"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Вид на ОВР (стандартна таблица за единичните разходи, еднократни суми или единни ставки)</w:t>
            </w:r>
          </w:p>
        </w:tc>
        <w:tc>
          <w:tcPr>
            <w:tcW w:w="397" w:type="pct"/>
            <w:shd w:val="clear" w:color="auto" w:fill="auto"/>
          </w:tcPr>
          <w:p w14:paraId="53F51940"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Съответни разходи за единица продукт, еднократни суми или единни ставки</w:t>
            </w:r>
          </w:p>
          <w:p w14:paraId="7CD68EC7"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 национална валута)</w:t>
            </w:r>
          </w:p>
        </w:tc>
      </w:tr>
      <w:tr w:rsidR="00BE032C" w:rsidRPr="00171DED" w14:paraId="0B40E77E" w14:textId="77777777" w:rsidTr="0021014C">
        <w:tc>
          <w:tcPr>
            <w:tcW w:w="488" w:type="pct"/>
          </w:tcPr>
          <w:p w14:paraId="3153CB6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76AEE94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2F39731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49FFEDED"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tcPr>
          <w:p w14:paraId="7A57710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0797911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Код</w:t>
            </w:r>
          </w:p>
        </w:tc>
        <w:tc>
          <w:tcPr>
            <w:tcW w:w="443" w:type="pct"/>
          </w:tcPr>
          <w:p w14:paraId="5CA57206"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Описание</w:t>
            </w:r>
          </w:p>
        </w:tc>
        <w:tc>
          <w:tcPr>
            <w:tcW w:w="370" w:type="pct"/>
            <w:shd w:val="clear" w:color="auto" w:fill="auto"/>
          </w:tcPr>
          <w:p w14:paraId="52142E2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 xml:space="preserve">Код </w:t>
            </w:r>
          </w:p>
        </w:tc>
        <w:tc>
          <w:tcPr>
            <w:tcW w:w="458" w:type="pct"/>
          </w:tcPr>
          <w:p w14:paraId="6B3AEC5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Описание</w:t>
            </w:r>
          </w:p>
        </w:tc>
        <w:tc>
          <w:tcPr>
            <w:tcW w:w="524" w:type="pct"/>
            <w:shd w:val="clear" w:color="auto" w:fill="auto"/>
          </w:tcPr>
          <w:p w14:paraId="4E8AFBC9"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44EA30D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6760E513"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747C00" w:rsidRPr="00171DED" w14:paraId="0F8BFCE2" w14:textId="77777777" w:rsidTr="0021014C">
        <w:trPr>
          <w:trHeight w:val="2460"/>
        </w:trPr>
        <w:tc>
          <w:tcPr>
            <w:tcW w:w="488" w:type="pct"/>
            <w:vMerge w:val="restart"/>
          </w:tcPr>
          <w:p w14:paraId="53FD7B3A" w14:textId="77777777" w:rsidR="00747C00" w:rsidRPr="00171DED"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242" w:type="pct"/>
            <w:vMerge w:val="restart"/>
          </w:tcPr>
          <w:p w14:paraId="3E6D5196" w14:textId="69EEA1C7" w:rsidR="00747C00" w:rsidRPr="00171DED"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583" w:type="pct"/>
            <w:vMerge w:val="restart"/>
          </w:tcPr>
          <w:p w14:paraId="02DFC874" w14:textId="495C179D" w:rsidR="00747C00" w:rsidRPr="00584F2A"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414" w:type="pct"/>
          </w:tcPr>
          <w:p w14:paraId="5E19BF43" w14:textId="6D02D0C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vMerge w:val="restart"/>
          </w:tcPr>
          <w:p w14:paraId="1CCB653B" w14:textId="77777777" w:rsidR="00747C00" w:rsidRPr="00171DED" w:rsidRDefault="00747C00"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vMerge w:val="restart"/>
            <w:shd w:val="clear" w:color="auto" w:fill="auto"/>
          </w:tcPr>
          <w:p w14:paraId="41F74487"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460CBC72"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71A62D3D"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0F227679"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3827B66E"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169534A7" w14:textId="77777777" w:rsidR="00747C00" w:rsidRPr="00171DED" w:rsidRDefault="00747C00" w:rsidP="005D12B5">
            <w:pPr>
              <w:rPr>
                <w:rFonts w:ascii="Times New Roman" w:eastAsia="Calibri" w:hAnsi="Times New Roman" w:cs="Times New Roman"/>
                <w:sz w:val="18"/>
                <w:szCs w:val="18"/>
                <w:lang w:val="bg-BG" w:eastAsia="bg-BG" w:bidi="bg-BG"/>
              </w:rPr>
            </w:pPr>
          </w:p>
        </w:tc>
        <w:tc>
          <w:tcPr>
            <w:tcW w:w="397" w:type="pct"/>
            <w:vMerge w:val="restart"/>
            <w:shd w:val="clear" w:color="auto" w:fill="auto"/>
          </w:tcPr>
          <w:p w14:paraId="024AEDA8" w14:textId="436FEBA9" w:rsidR="00747C00" w:rsidRPr="00171DED" w:rsidRDefault="00747C00" w:rsidP="005D12B5">
            <w:pPr>
              <w:spacing w:before="120" w:after="120" w:line="240" w:lineRule="auto"/>
              <w:rPr>
                <w:rFonts w:ascii="Times New Roman" w:eastAsia="Calibri" w:hAnsi="Times New Roman" w:cs="Times New Roman"/>
                <w:i/>
                <w:noProof/>
                <w:sz w:val="18"/>
                <w:szCs w:val="18"/>
                <w:lang w:val="bg-BG" w:eastAsia="bg-BG" w:bidi="bg-BG"/>
              </w:rPr>
            </w:pPr>
          </w:p>
        </w:tc>
      </w:tr>
      <w:tr w:rsidR="00747C00" w:rsidRPr="00171DED" w14:paraId="3CF0DCD7" w14:textId="77777777" w:rsidTr="0021014C">
        <w:trPr>
          <w:trHeight w:val="1650"/>
        </w:trPr>
        <w:tc>
          <w:tcPr>
            <w:tcW w:w="488" w:type="pct"/>
            <w:vMerge/>
          </w:tcPr>
          <w:p w14:paraId="4A05ED5B"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tcPr>
          <w:p w14:paraId="606F96A5"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tcPr>
          <w:p w14:paraId="33F328EF" w14:textId="77777777" w:rsidR="00747C00" w:rsidRPr="00584F2A"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5296A222" w14:textId="77777777" w:rsidR="00747C00" w:rsidRPr="00171DED" w:rsidRDefault="00747C00" w:rsidP="005D12B5">
            <w:pPr>
              <w:jc w:val="center"/>
              <w:rPr>
                <w:rFonts w:ascii="Times New Roman" w:hAnsi="Times New Roman"/>
                <w:sz w:val="16"/>
                <w:szCs w:val="16"/>
                <w:lang w:val="bg-BG" w:eastAsia="bg-BG" w:bidi="bg-BG"/>
              </w:rPr>
            </w:pPr>
          </w:p>
        </w:tc>
        <w:tc>
          <w:tcPr>
            <w:tcW w:w="475" w:type="pct"/>
            <w:vMerge/>
          </w:tcPr>
          <w:p w14:paraId="5B03FB1E" w14:textId="77777777" w:rsidR="00747C00" w:rsidRPr="00171DED" w:rsidRDefault="00747C00" w:rsidP="00584F2A">
            <w:pPr>
              <w:tabs>
                <w:tab w:val="left" w:pos="429"/>
                <w:tab w:val="center" w:pos="637"/>
              </w:tabs>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42C5A329"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tcPr>
          <w:p w14:paraId="33114000"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20"/>
                <w:lang w:val="bg-BG" w:eastAsia="bg-BG" w:bidi="bg-BG"/>
              </w:rPr>
            </w:pPr>
          </w:p>
        </w:tc>
        <w:tc>
          <w:tcPr>
            <w:tcW w:w="370" w:type="pct"/>
            <w:vMerge/>
            <w:shd w:val="clear" w:color="auto" w:fill="auto"/>
          </w:tcPr>
          <w:p w14:paraId="37D10D40"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tcPr>
          <w:p w14:paraId="69F63480"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20"/>
                <w:lang w:val="bg-BG" w:eastAsia="bg-BG" w:bidi="bg-BG"/>
              </w:rPr>
            </w:pPr>
          </w:p>
        </w:tc>
        <w:tc>
          <w:tcPr>
            <w:tcW w:w="524" w:type="pct"/>
            <w:vMerge/>
            <w:shd w:val="clear" w:color="auto" w:fill="auto"/>
          </w:tcPr>
          <w:p w14:paraId="2549140E"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tcPr>
          <w:p w14:paraId="7F9312BB"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4842923C" w14:textId="77777777" w:rsidR="00747C00" w:rsidRPr="00171DED" w:rsidRDefault="00747C00" w:rsidP="00584F2A">
            <w:pPr>
              <w:spacing w:before="120" w:after="120" w:line="240" w:lineRule="auto"/>
              <w:rPr>
                <w:rFonts w:ascii="Times New Roman" w:eastAsia="Calibri" w:hAnsi="Times New Roman" w:cs="Times New Roman"/>
                <w:noProof/>
                <w:sz w:val="18"/>
                <w:szCs w:val="18"/>
              </w:rPr>
            </w:pPr>
          </w:p>
        </w:tc>
      </w:tr>
      <w:tr w:rsidR="00F32C46" w:rsidRPr="00171DED" w14:paraId="4917679C" w14:textId="77777777" w:rsidTr="0021014C">
        <w:tc>
          <w:tcPr>
            <w:tcW w:w="488" w:type="pct"/>
          </w:tcPr>
          <w:p w14:paraId="08711C16" w14:textId="77777777" w:rsidR="00722757" w:rsidRPr="00171DED"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242" w:type="pct"/>
          </w:tcPr>
          <w:p w14:paraId="764F2206" w14:textId="5BE6021E" w:rsidR="00722757" w:rsidRPr="00171DED"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583" w:type="pct"/>
          </w:tcPr>
          <w:p w14:paraId="54D93C8F" w14:textId="524F4D69" w:rsidR="00722757" w:rsidRPr="00584F2A"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414" w:type="pct"/>
          </w:tcPr>
          <w:p w14:paraId="2CF527D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475" w:type="pct"/>
          </w:tcPr>
          <w:p w14:paraId="54075B6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94A132D"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69CE64E2"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2E013381"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7F21A9E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4981405E"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7E8F2A7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555C1827" w14:textId="6D27D075"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r>
      <w:tr w:rsidR="00F32C46" w:rsidRPr="00171DED" w14:paraId="30B6E610" w14:textId="77777777" w:rsidTr="0021014C">
        <w:tc>
          <w:tcPr>
            <w:tcW w:w="488" w:type="pct"/>
          </w:tcPr>
          <w:p w14:paraId="21EEA48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5B2B05F1" w14:textId="77777777"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c>
          <w:tcPr>
            <w:tcW w:w="583" w:type="pct"/>
          </w:tcPr>
          <w:p w14:paraId="1C8FD727" w14:textId="3FD87350"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076A8935" w14:textId="77777777" w:rsidR="00722757" w:rsidRPr="00171DED" w:rsidRDefault="00722757" w:rsidP="005D12B5">
            <w:pPr>
              <w:jc w:val="center"/>
              <w:rPr>
                <w:rFonts w:ascii="Times New Roman" w:eastAsia="Calibri" w:hAnsi="Times New Roman" w:cs="Times New Roman"/>
                <w:sz w:val="18"/>
                <w:szCs w:val="18"/>
                <w:lang w:val="bg-BG" w:eastAsia="bg-BG" w:bidi="bg-BG"/>
              </w:rPr>
            </w:pPr>
          </w:p>
        </w:tc>
        <w:tc>
          <w:tcPr>
            <w:tcW w:w="475" w:type="pct"/>
          </w:tcPr>
          <w:p w14:paraId="3C7633D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DAFFD8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3143C627" w14:textId="77777777" w:rsidR="00722757" w:rsidRPr="00171DED" w:rsidRDefault="00722757" w:rsidP="005D12B5">
            <w:pPr>
              <w:jc w:val="center"/>
              <w:rPr>
                <w:rFonts w:ascii="Times New Roman" w:eastAsia="Calibri" w:hAnsi="Times New Roman" w:cs="Times New Roman"/>
                <w:sz w:val="18"/>
                <w:szCs w:val="18"/>
                <w:lang w:val="bg-BG" w:eastAsia="bg-BG" w:bidi="bg-BG"/>
              </w:rPr>
            </w:pPr>
          </w:p>
        </w:tc>
        <w:tc>
          <w:tcPr>
            <w:tcW w:w="370" w:type="pct"/>
            <w:shd w:val="clear" w:color="auto" w:fill="auto"/>
          </w:tcPr>
          <w:p w14:paraId="344B662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4B9AB87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09A28B7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3BCD017D" w14:textId="24A02575"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42BEE729" w14:textId="439F7EA4"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r>
      <w:tr w:rsidR="00F32C46" w:rsidRPr="00171DED" w14:paraId="3EDA5C99" w14:textId="77777777" w:rsidTr="0021014C">
        <w:trPr>
          <w:trHeight w:val="870"/>
        </w:trPr>
        <w:tc>
          <w:tcPr>
            <w:tcW w:w="488" w:type="pct"/>
            <w:vMerge w:val="restart"/>
          </w:tcPr>
          <w:p w14:paraId="73A4C94E"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val="restart"/>
          </w:tcPr>
          <w:p w14:paraId="13CB98D8" w14:textId="6FC1FC56"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val="restart"/>
          </w:tcPr>
          <w:p w14:paraId="04B35257" w14:textId="441C8AF9" w:rsidR="00F32C46" w:rsidRPr="00584F2A"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6E6A8C19" w14:textId="160C518B"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vMerge w:val="restart"/>
          </w:tcPr>
          <w:p w14:paraId="088D99A4"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val="restart"/>
            <w:shd w:val="clear" w:color="auto" w:fill="auto"/>
          </w:tcPr>
          <w:p w14:paraId="3B4BD41D"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67152477"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3124D175"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6C844261"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28F36B04"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1D5D41F6"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val="restart"/>
            <w:shd w:val="clear" w:color="auto" w:fill="auto"/>
          </w:tcPr>
          <w:p w14:paraId="1DB8351D" w14:textId="6C4ABF2D"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36090174" w14:textId="77777777" w:rsidTr="0021014C">
        <w:trPr>
          <w:trHeight w:val="1155"/>
        </w:trPr>
        <w:tc>
          <w:tcPr>
            <w:tcW w:w="488" w:type="pct"/>
            <w:vMerge/>
          </w:tcPr>
          <w:p w14:paraId="0D9DD9AD"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tcPr>
          <w:p w14:paraId="7BB4849B"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tcPr>
          <w:p w14:paraId="57502871"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392C53E3" w14:textId="77777777" w:rsidR="00F32C46" w:rsidRPr="00171DED" w:rsidRDefault="00F32C46" w:rsidP="00584F2A">
            <w:pPr>
              <w:spacing w:before="120" w:after="120" w:line="240" w:lineRule="auto"/>
              <w:jc w:val="center"/>
              <w:rPr>
                <w:rFonts w:ascii="Times New Roman" w:hAnsi="Times New Roman"/>
                <w:noProof/>
                <w:sz w:val="16"/>
                <w:szCs w:val="16"/>
                <w:lang w:val="bg-BG" w:eastAsia="bg-BG" w:bidi="bg-BG"/>
              </w:rPr>
            </w:pPr>
          </w:p>
        </w:tc>
        <w:tc>
          <w:tcPr>
            <w:tcW w:w="475" w:type="pct"/>
            <w:vMerge/>
          </w:tcPr>
          <w:p w14:paraId="749B0753"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7A74EF83"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tcPr>
          <w:p w14:paraId="7315783C"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shd w:val="clear" w:color="auto" w:fill="auto"/>
          </w:tcPr>
          <w:p w14:paraId="19B29B8C"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tcPr>
          <w:p w14:paraId="7406062C"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shd w:val="clear" w:color="auto" w:fill="auto"/>
          </w:tcPr>
          <w:p w14:paraId="2627CEA8"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tcPr>
          <w:p w14:paraId="602FC27E"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23455635"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3704C23C" w14:textId="77777777" w:rsidTr="0021014C">
        <w:tc>
          <w:tcPr>
            <w:tcW w:w="488" w:type="pct"/>
          </w:tcPr>
          <w:p w14:paraId="5A1F22DC" w14:textId="1243FD4A"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7789447C" w14:textId="5558CDF5"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68153ED5" w14:textId="4AE2142F"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12185FE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tcPr>
          <w:p w14:paraId="4C23D152"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5221DAB"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58D8EBA8" w14:textId="687368CC"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14D57143"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5B66DA06" w14:textId="3A4D13A8"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13C70B59"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560B0FC6"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016912D9" w14:textId="2F199CC1"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7FD36C62" w14:textId="77777777" w:rsidTr="0021014C">
        <w:tc>
          <w:tcPr>
            <w:tcW w:w="488" w:type="pct"/>
          </w:tcPr>
          <w:p w14:paraId="56D11E1A" w14:textId="049F5748"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2F7CBF70" w14:textId="6FE41D5A"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5FC8E60E" w14:textId="444D8D42"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392E9408" w14:textId="77777777" w:rsidR="00F32C46" w:rsidRPr="00171DED" w:rsidRDefault="00F32C46"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475" w:type="pct"/>
          </w:tcPr>
          <w:p w14:paraId="4AF1D4CB" w14:textId="77777777" w:rsidR="00F32C46" w:rsidRPr="00171DED" w:rsidRDefault="00F32C46"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A7D3A13"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7129CBEF"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6B817247"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600A01B5"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7AF05697" w14:textId="77777777" w:rsidR="00F32C46" w:rsidRPr="00171DED" w:rsidRDefault="00F32C46" w:rsidP="005D12B5">
            <w:pPr>
              <w:tabs>
                <w:tab w:val="left" w:pos="411"/>
                <w:tab w:val="center" w:pos="690"/>
              </w:tabs>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405A45EA" w14:textId="77777777" w:rsidR="00F32C46" w:rsidRPr="00171DED" w:rsidRDefault="00F32C46" w:rsidP="005D12B5">
            <w:pPr>
              <w:rPr>
                <w:rFonts w:ascii="Times New Roman" w:eastAsia="Calibri" w:hAnsi="Times New Roman" w:cs="Times New Roman"/>
                <w:sz w:val="18"/>
                <w:szCs w:val="18"/>
                <w:lang w:val="bg-BG" w:eastAsia="bg-BG" w:bidi="bg-BG"/>
              </w:rPr>
            </w:pPr>
          </w:p>
        </w:tc>
        <w:tc>
          <w:tcPr>
            <w:tcW w:w="397" w:type="pct"/>
            <w:shd w:val="clear" w:color="auto" w:fill="auto"/>
          </w:tcPr>
          <w:p w14:paraId="5FDEC25E" w14:textId="03F6F116" w:rsidR="00F32C46" w:rsidRPr="00171DED" w:rsidRDefault="00F32C46" w:rsidP="005D12B5">
            <w:pPr>
              <w:spacing w:before="120" w:after="120" w:line="24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171DED"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171DED">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567" w:bottom="1134" w:left="567" w:header="709" w:footer="709" w:gutter="0"/>
          <w:cols w:space="708"/>
          <w:titlePg/>
          <w:docGrid w:linePitch="360"/>
        </w:sectPr>
      </w:pPr>
    </w:p>
    <w:p w14:paraId="21B0117A"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bookmarkStart w:id="19" w:name="_Hlk28873825"/>
      <w:r w:rsidRPr="00171DED">
        <w:rPr>
          <w:rFonts w:ascii="Times New Roman" w:eastAsia="Calibri" w:hAnsi="Times New Roman" w:cs="Times New Roman"/>
          <w:b/>
          <w:noProof/>
          <w:sz w:val="24"/>
          <w:szCs w:val="20"/>
          <w:u w:val="single"/>
          <w:lang w:val="bg-BG" w:eastAsia="bg-BG" w:bidi="bg-BG"/>
        </w:rPr>
        <w:lastRenderedPageBreak/>
        <w:t>Б. Подробности за вида операция (попълва се за всеки вид операция)</w:t>
      </w:r>
    </w:p>
    <w:p w14:paraId="7A9B3B26"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Подпомаган ли е управляващият орган от страна на външно дружество за определяне на опростените разходи по-долу? </w:t>
      </w:r>
    </w:p>
    <w:p w14:paraId="30392C19"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Ако отговорът е „да“, моля, посочете външното дружество: </w:t>
      </w:r>
      <w:r w:rsidRPr="00171DED">
        <w:rPr>
          <w:rFonts w:ascii="Times New Roman" w:eastAsia="Calibri" w:hAnsi="Times New Roman" w:cs="Times New Roman"/>
          <w:noProof/>
          <w:sz w:val="24"/>
          <w:szCs w:val="20"/>
          <w:lang w:val="bg-BG" w:eastAsia="bg-BG" w:bidi="bg-BG"/>
        </w:rPr>
        <w:tab/>
      </w:r>
      <w:r w:rsidRPr="00171DED">
        <w:rPr>
          <w:rFonts w:ascii="Times New Roman" w:eastAsia="Calibri" w:hAnsi="Times New Roman" w:cs="Times New Roman"/>
          <w:b/>
          <w:noProof/>
          <w:sz w:val="24"/>
          <w:szCs w:val="20"/>
          <w:bdr w:val="single" w:sz="4" w:space="0" w:color="auto"/>
          <w:lang w:val="bg-BG" w:eastAsia="bg-BG" w:bidi="bg-BG"/>
        </w:rPr>
        <w:t>Да/Не — Наименование на външното дружество</w:t>
      </w:r>
    </w:p>
    <w:p w14:paraId="1C5D8856"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22757" w:rsidRPr="0010575B" w14:paraId="24C8E226" w14:textId="77777777" w:rsidTr="00E86C9E">
        <w:trPr>
          <w:trHeight w:val="300"/>
        </w:trPr>
        <w:tc>
          <w:tcPr>
            <w:tcW w:w="3417" w:type="dxa"/>
            <w:shd w:val="clear" w:color="auto" w:fill="auto"/>
            <w:noWrap/>
            <w:vAlign w:val="center"/>
          </w:tcPr>
          <w:p w14:paraId="4B440922"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 Описание на вида на операцията </w:t>
            </w:r>
          </w:p>
        </w:tc>
        <w:tc>
          <w:tcPr>
            <w:tcW w:w="5670" w:type="dxa"/>
            <w:vAlign w:val="center"/>
          </w:tcPr>
          <w:p w14:paraId="0C1F388B"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17A49EAF" w14:textId="77777777" w:rsidTr="00E86C9E">
        <w:trPr>
          <w:trHeight w:val="300"/>
        </w:trPr>
        <w:tc>
          <w:tcPr>
            <w:tcW w:w="3417" w:type="dxa"/>
            <w:shd w:val="clear" w:color="auto" w:fill="auto"/>
            <w:noWrap/>
            <w:vAlign w:val="center"/>
          </w:tcPr>
          <w:p w14:paraId="49988161" w14:textId="587E4579"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1.2 специфична цел </w:t>
            </w:r>
          </w:p>
        </w:tc>
        <w:tc>
          <w:tcPr>
            <w:tcW w:w="5670" w:type="dxa"/>
            <w:vAlign w:val="center"/>
          </w:tcPr>
          <w:p w14:paraId="7AA83B34"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p w14:paraId="22F43959"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p w14:paraId="0E48BDC3"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5B119787" w14:textId="77777777" w:rsidTr="00E86C9E">
        <w:trPr>
          <w:trHeight w:val="300"/>
        </w:trPr>
        <w:tc>
          <w:tcPr>
            <w:tcW w:w="3417" w:type="dxa"/>
            <w:shd w:val="clear" w:color="auto" w:fill="auto"/>
            <w:noWrap/>
            <w:vAlign w:val="center"/>
          </w:tcPr>
          <w:p w14:paraId="216865EF"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1.3 Наименование на показателя</w:t>
            </w:r>
            <w:r w:rsidRPr="00171DED">
              <w:rPr>
                <w:rFonts w:ascii="Times New Roman" w:eastAsia="Calibri" w:hAnsi="Times New Roman" w:cs="Times New Roman"/>
                <w:noProof/>
                <w:sz w:val="24"/>
                <w:szCs w:val="20"/>
                <w:vertAlign w:val="superscript"/>
                <w:lang w:val="bg-BG" w:eastAsia="bg-BG" w:bidi="bg-BG"/>
              </w:rPr>
              <w:footnoteReference w:id="19"/>
            </w:r>
          </w:p>
        </w:tc>
        <w:tc>
          <w:tcPr>
            <w:tcW w:w="5670" w:type="dxa"/>
            <w:vAlign w:val="center"/>
          </w:tcPr>
          <w:p w14:paraId="3D1B4ACE"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C6E4076" w14:textId="77777777" w:rsidTr="00E86C9E">
        <w:trPr>
          <w:trHeight w:val="300"/>
        </w:trPr>
        <w:tc>
          <w:tcPr>
            <w:tcW w:w="3417" w:type="dxa"/>
            <w:shd w:val="clear" w:color="auto" w:fill="auto"/>
            <w:noWrap/>
            <w:vAlign w:val="center"/>
          </w:tcPr>
          <w:p w14:paraId="4CEEF5F3"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1.4 Мерна единица на показателя</w:t>
            </w:r>
          </w:p>
        </w:tc>
        <w:tc>
          <w:tcPr>
            <w:tcW w:w="5670" w:type="dxa"/>
            <w:vAlign w:val="center"/>
          </w:tcPr>
          <w:p w14:paraId="065E584D"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4B40C86" w14:textId="77777777" w:rsidTr="00E86C9E">
        <w:trPr>
          <w:trHeight w:val="300"/>
        </w:trPr>
        <w:tc>
          <w:tcPr>
            <w:tcW w:w="3417" w:type="dxa"/>
            <w:shd w:val="clear" w:color="auto" w:fill="auto"/>
            <w:noWrap/>
            <w:vAlign w:val="center"/>
          </w:tcPr>
          <w:p w14:paraId="5CABDB70"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1.5 Стандартна таблица на единичните разходи, еднократни суми или единни ставки</w:t>
            </w:r>
          </w:p>
        </w:tc>
        <w:tc>
          <w:tcPr>
            <w:tcW w:w="5670" w:type="dxa"/>
            <w:vAlign w:val="center"/>
          </w:tcPr>
          <w:p w14:paraId="480E392B"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p>
        </w:tc>
      </w:tr>
      <w:tr w:rsidR="00722757" w:rsidRPr="00171DED" w14:paraId="6A4DDE8C" w14:textId="77777777" w:rsidTr="00E86C9E">
        <w:trPr>
          <w:trHeight w:val="300"/>
        </w:trPr>
        <w:tc>
          <w:tcPr>
            <w:tcW w:w="3417" w:type="dxa"/>
            <w:shd w:val="clear" w:color="auto" w:fill="auto"/>
            <w:noWrap/>
            <w:vAlign w:val="center"/>
          </w:tcPr>
          <w:p w14:paraId="6A514BB7"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1.6 Размер </w:t>
            </w:r>
          </w:p>
        </w:tc>
        <w:tc>
          <w:tcPr>
            <w:tcW w:w="5670" w:type="dxa"/>
            <w:vAlign w:val="center"/>
          </w:tcPr>
          <w:p w14:paraId="4BD29FEB"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F21CCA2" w14:textId="77777777" w:rsidTr="00E86C9E">
        <w:trPr>
          <w:trHeight w:val="300"/>
        </w:trPr>
        <w:tc>
          <w:tcPr>
            <w:tcW w:w="3417" w:type="dxa"/>
            <w:shd w:val="clear" w:color="auto" w:fill="auto"/>
            <w:noWrap/>
            <w:vAlign w:val="center"/>
          </w:tcPr>
          <w:p w14:paraId="485F9B71"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1.7 Категории обхванати единични разходи, еднократни суми или единни ставки</w:t>
            </w:r>
          </w:p>
        </w:tc>
        <w:tc>
          <w:tcPr>
            <w:tcW w:w="5670" w:type="dxa"/>
            <w:vAlign w:val="center"/>
          </w:tcPr>
          <w:p w14:paraId="16DB1E30"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B1916C7" w14:textId="77777777" w:rsidTr="00E86C9E">
        <w:trPr>
          <w:trHeight w:val="300"/>
        </w:trPr>
        <w:tc>
          <w:tcPr>
            <w:tcW w:w="3417" w:type="dxa"/>
            <w:shd w:val="clear" w:color="auto" w:fill="auto"/>
            <w:noWrap/>
            <w:vAlign w:val="center"/>
          </w:tcPr>
          <w:p w14:paraId="7EB461B4"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1.8 Дали тези категории разходи покриват всички допустими разходи за операцията? ДА/НЕ</w:t>
            </w:r>
          </w:p>
        </w:tc>
        <w:tc>
          <w:tcPr>
            <w:tcW w:w="5670" w:type="dxa"/>
            <w:vAlign w:val="center"/>
          </w:tcPr>
          <w:p w14:paraId="69152429" w14:textId="77777777" w:rsidR="00722757" w:rsidRPr="00171DED" w:rsidRDefault="00722757" w:rsidP="005D12B5">
            <w:pPr>
              <w:spacing w:before="120" w:after="0" w:line="240" w:lineRule="auto"/>
              <w:jc w:val="center"/>
              <w:rPr>
                <w:rFonts w:ascii="Times New Roman" w:eastAsia="Calibri" w:hAnsi="Times New Roman" w:cs="Times New Roman"/>
                <w:i/>
                <w:noProof/>
                <w:sz w:val="24"/>
                <w:szCs w:val="20"/>
                <w:lang w:val="bg-BG" w:eastAsia="bg-BG" w:bidi="bg-BG"/>
              </w:rPr>
            </w:pPr>
          </w:p>
        </w:tc>
      </w:tr>
      <w:tr w:rsidR="00722757" w:rsidRPr="00171DED" w14:paraId="775A6438" w14:textId="77777777" w:rsidTr="00E86C9E">
        <w:trPr>
          <w:trHeight w:val="300"/>
        </w:trPr>
        <w:tc>
          <w:tcPr>
            <w:tcW w:w="3417" w:type="dxa"/>
            <w:shd w:val="clear" w:color="auto" w:fill="auto"/>
            <w:noWrap/>
            <w:vAlign w:val="center"/>
          </w:tcPr>
          <w:p w14:paraId="3C8BC0FC"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1.9 Метод за корекция </w:t>
            </w:r>
          </w:p>
        </w:tc>
        <w:tc>
          <w:tcPr>
            <w:tcW w:w="5670" w:type="dxa"/>
            <w:vAlign w:val="center"/>
          </w:tcPr>
          <w:p w14:paraId="58776494"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2A8E2A85" w14:textId="77777777" w:rsidTr="00E86C9E">
        <w:trPr>
          <w:trHeight w:val="300"/>
        </w:trPr>
        <w:tc>
          <w:tcPr>
            <w:tcW w:w="3417" w:type="dxa"/>
            <w:shd w:val="clear" w:color="auto" w:fill="auto"/>
            <w:noWrap/>
            <w:vAlign w:val="center"/>
          </w:tcPr>
          <w:p w14:paraId="61C3AC1B"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11.10 Проверка на постигането на мерната единица  </w:t>
            </w:r>
          </w:p>
          <w:p w14:paraId="2AAE7A13"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какви документи ще бъдат използвани, за да се докаже постигането на мерна единица?</w:t>
            </w:r>
          </w:p>
          <w:p w14:paraId="028E04D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 опишете какво ще бъде проверявано по време на проверките на управлението (включително на място), и от кого.  </w:t>
            </w:r>
          </w:p>
          <w:p w14:paraId="1D5B9E9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lastRenderedPageBreak/>
              <w:t>– какви са механизмите за събиране и съхраняване на описаните данни/документи?</w:t>
            </w:r>
          </w:p>
        </w:tc>
        <w:tc>
          <w:tcPr>
            <w:tcW w:w="5670" w:type="dxa"/>
            <w:vAlign w:val="center"/>
          </w:tcPr>
          <w:p w14:paraId="5EDEF5F2"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1DDACD35" w14:textId="77777777" w:rsidTr="00E86C9E">
        <w:trPr>
          <w:trHeight w:val="300"/>
        </w:trPr>
        <w:tc>
          <w:tcPr>
            <w:tcW w:w="3417" w:type="dxa"/>
            <w:shd w:val="clear" w:color="auto" w:fill="auto"/>
            <w:noWrap/>
            <w:vAlign w:val="center"/>
          </w:tcPr>
          <w:p w14:paraId="2B01EF7C"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14:paraId="044D203F"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0EAFB16C" w14:textId="77777777" w:rsidTr="00E86C9E">
        <w:trPr>
          <w:trHeight w:val="300"/>
        </w:trPr>
        <w:tc>
          <w:tcPr>
            <w:tcW w:w="3417" w:type="dxa"/>
            <w:shd w:val="clear" w:color="auto" w:fill="auto"/>
            <w:noWrap/>
            <w:vAlign w:val="center"/>
          </w:tcPr>
          <w:p w14:paraId="6DFF263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1.12 Обща сума (национални и европейски), която се очаква да бъде възстановена </w:t>
            </w:r>
          </w:p>
        </w:tc>
        <w:tc>
          <w:tcPr>
            <w:tcW w:w="5670" w:type="dxa"/>
            <w:vAlign w:val="center"/>
          </w:tcPr>
          <w:p w14:paraId="706931FD"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bl>
    <w:p w14:paraId="05362F1D"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p>
    <w:p w14:paraId="0ABA2BD4"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r w:rsidRPr="00171DED">
        <w:rPr>
          <w:rFonts w:ascii="Times New Roman" w:eastAsia="Calibri" w:hAnsi="Times New Roman" w:cs="Times New Roman"/>
          <w:b/>
          <w:noProof/>
          <w:sz w:val="24"/>
          <w:szCs w:val="20"/>
          <w:u w:val="single"/>
          <w:lang w:val="bg-BG" w:eastAsia="bg-BG" w:bidi="bg-BG"/>
        </w:rPr>
        <w:t>В: Изчисляване на стандартната таблица за единичните разходи, еднократни суми или единни ставки</w:t>
      </w:r>
    </w:p>
    <w:p w14:paraId="233011A6"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1.</w:t>
      </w:r>
      <w:r w:rsidRPr="00171DED">
        <w:rPr>
          <w:rFonts w:ascii="Times New Roman" w:eastAsia="Calibri" w:hAnsi="Times New Roman" w:cs="Times New Roman"/>
          <w:noProof/>
          <w:sz w:val="24"/>
          <w:szCs w:val="20"/>
          <w:lang w:val="bg-BG" w:eastAsia="bg-BG" w:bidi="bg-BG"/>
        </w:rPr>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14:paraId="0621D889" w14:textId="77777777" w:rsidR="00722757" w:rsidRPr="00171DED"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5B7CC155"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2.</w:t>
      </w:r>
      <w:r w:rsidRPr="00171DED">
        <w:rPr>
          <w:rFonts w:ascii="Times New Roman" w:eastAsia="Calibri" w:hAnsi="Times New Roman" w:cs="Times New Roman"/>
          <w:noProof/>
          <w:sz w:val="24"/>
          <w:szCs w:val="20"/>
          <w:lang w:val="bg-BG" w:eastAsia="bg-BG" w:bidi="bg-BG"/>
        </w:rPr>
        <w:t xml:space="preserve"> Моля, уточнете защо предложеният метод и изчисление са подходящи за вида операция:</w:t>
      </w:r>
    </w:p>
    <w:p w14:paraId="5C11B13E" w14:textId="77777777" w:rsidR="00722757" w:rsidRPr="00171DED"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2DC98FC9"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3.</w:t>
      </w:r>
      <w:r w:rsidRPr="00171DED">
        <w:rPr>
          <w:rFonts w:ascii="Times New Roman" w:eastAsia="Calibri" w:hAnsi="Times New Roman" w:cs="Times New Roman"/>
          <w:noProof/>
          <w:sz w:val="24"/>
          <w:szCs w:val="20"/>
          <w:lang w:val="bg-BG" w:eastAsia="bg-BG" w:bidi="bg-BG"/>
        </w:rPr>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14:paraId="289DD9F4"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4ABF2781"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4</w:t>
      </w:r>
      <w:r w:rsidRPr="00171DED">
        <w:rPr>
          <w:rFonts w:ascii="Times New Roman" w:eastAsia="Calibri" w:hAnsi="Times New Roman" w:cs="Times New Roman"/>
          <w:noProof/>
          <w:sz w:val="24"/>
          <w:szCs w:val="20"/>
          <w:lang w:val="bg-BG" w:eastAsia="bg-BG" w:bidi="bg-BG"/>
        </w:rPr>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14:paraId="225B4CBE"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bookmarkEnd w:id="19"/>
    <w:p w14:paraId="239BD670" w14:textId="77777777" w:rsidR="00722757" w:rsidRPr="00171DED" w:rsidRDefault="00722757" w:rsidP="00722757">
      <w:pPr>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5</w:t>
      </w:r>
      <w:r w:rsidRPr="00171DED">
        <w:rPr>
          <w:rFonts w:ascii="Times New Roman" w:eastAsia="Calibri" w:hAnsi="Times New Roman" w:cs="Times New Roman"/>
          <w:noProof/>
          <w:sz w:val="24"/>
          <w:szCs w:val="20"/>
          <w:lang w:val="bg-BG" w:eastAsia="bg-BG" w:bidi="bg-BG"/>
        </w:rPr>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14:paraId="2C7E501E"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63CE6BD0" w14:textId="603CAC83" w:rsidR="00722757" w:rsidRPr="00171DED"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p>
    <w:p w14:paraId="010AF9D6"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i/>
          <w:noProof/>
          <w:color w:val="A6A6A6" w:themeColor="background1" w:themeShade="A6"/>
          <w:sz w:val="24"/>
          <w:szCs w:val="20"/>
          <w:lang w:val="bg-BG" w:eastAsia="bg-BG" w:bidi="bg-BG"/>
        </w:rPr>
        <w:t>Допълнение 2:</w:t>
      </w:r>
      <w:r w:rsidRPr="00171DED">
        <w:rPr>
          <w:rFonts w:ascii="Times New Roman" w:eastAsia="Calibri" w:hAnsi="Times New Roman" w:cs="Times New Roman"/>
          <w:b/>
          <w:noProof/>
          <w:color w:val="A6A6A6" w:themeColor="background1" w:themeShade="A6"/>
          <w:sz w:val="24"/>
          <w:szCs w:val="20"/>
          <w:lang w:val="bg-BG" w:eastAsia="bg-BG" w:bidi="bg-BG"/>
        </w:rPr>
        <w:t xml:space="preserve"> Финансиране, което не е свързано с разходи</w:t>
      </w:r>
    </w:p>
    <w:p w14:paraId="1D1F301B"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5085397A"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p w14:paraId="21FACF1B" w14:textId="77777777" w:rsidR="00722757" w:rsidRPr="00171DED" w:rsidRDefault="00722757" w:rsidP="00722757">
      <w:pPr>
        <w:spacing w:before="120" w:after="120" w:line="240" w:lineRule="auto"/>
        <w:jc w:val="center"/>
        <w:rPr>
          <w:rFonts w:ascii="Times New Roman" w:eastAsia="Calibri" w:hAnsi="Times New Roman" w:cs="Times New Roman"/>
          <w:b/>
          <w:i/>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722757" w:rsidRPr="0010575B" w14:paraId="614794A8" w14:textId="77777777" w:rsidTr="00E86C9E">
        <w:tc>
          <w:tcPr>
            <w:tcW w:w="4644" w:type="dxa"/>
            <w:shd w:val="clear" w:color="auto" w:fill="auto"/>
          </w:tcPr>
          <w:p w14:paraId="2DE80F6F"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3AA4D9E2"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6D068931" w14:textId="77777777" w:rsidTr="00E86C9E">
        <w:tc>
          <w:tcPr>
            <w:tcW w:w="4644" w:type="dxa"/>
            <w:shd w:val="clear" w:color="auto" w:fill="auto"/>
          </w:tcPr>
          <w:p w14:paraId="121EDDE8"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4533BDD6"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60D57A2"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171DED">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6" w:h="16838"/>
          <w:pgMar w:top="1417" w:right="1417" w:bottom="1417" w:left="1417" w:header="708" w:footer="708" w:gutter="0"/>
          <w:cols w:space="708"/>
          <w:docGrid w:linePitch="360"/>
        </w:sectPr>
      </w:pPr>
    </w:p>
    <w:p w14:paraId="18E7AB6F"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lastRenderedPageBreak/>
        <w:t>A.</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75"/>
        <w:gridCol w:w="1276"/>
        <w:gridCol w:w="1276"/>
        <w:gridCol w:w="1443"/>
        <w:gridCol w:w="2149"/>
        <w:gridCol w:w="2197"/>
        <w:gridCol w:w="770"/>
        <w:gridCol w:w="1403"/>
        <w:gridCol w:w="1594"/>
      </w:tblGrid>
      <w:tr w:rsidR="00BE032C" w:rsidRPr="00171DED" w14:paraId="50C325DD" w14:textId="77777777" w:rsidTr="00722757">
        <w:tc>
          <w:tcPr>
            <w:tcW w:w="358" w:type="pct"/>
          </w:tcPr>
          <w:p w14:paraId="0AA8830A"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 xml:space="preserve">Приоритет </w:t>
            </w:r>
          </w:p>
        </w:tc>
        <w:tc>
          <w:tcPr>
            <w:tcW w:w="287" w:type="pct"/>
          </w:tcPr>
          <w:p w14:paraId="7DB7D592"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Фонд</w:t>
            </w:r>
          </w:p>
        </w:tc>
        <w:tc>
          <w:tcPr>
            <w:tcW w:w="466" w:type="pct"/>
          </w:tcPr>
          <w:p w14:paraId="1089320F"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Специфична цел (заетост и растеж) или област на подпомагане (ЕФМДР)</w:t>
            </w:r>
          </w:p>
        </w:tc>
        <w:tc>
          <w:tcPr>
            <w:tcW w:w="466" w:type="pct"/>
          </w:tcPr>
          <w:p w14:paraId="7A52323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 xml:space="preserve">Категория региони </w:t>
            </w:r>
          </w:p>
        </w:tc>
        <w:tc>
          <w:tcPr>
            <w:tcW w:w="475" w:type="pct"/>
          </w:tcPr>
          <w:p w14:paraId="3E5CDD0B"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i/>
                <w:noProof/>
                <w:color w:val="A6A6A6" w:themeColor="background1" w:themeShade="A6"/>
                <w:sz w:val="20"/>
                <w:szCs w:val="20"/>
                <w:lang w:val="bg-BG" w:eastAsia="bg-BG" w:bidi="bg-BG"/>
              </w:rPr>
              <w:t>Сумата, покрита от финансиране, което не е свързано с разходи</w:t>
            </w:r>
          </w:p>
        </w:tc>
        <w:tc>
          <w:tcPr>
            <w:tcW w:w="778" w:type="pct"/>
            <w:shd w:val="clear" w:color="auto" w:fill="auto"/>
          </w:tcPr>
          <w:p w14:paraId="0B98B50F"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Вид операция</w:t>
            </w:r>
          </w:p>
        </w:tc>
        <w:tc>
          <w:tcPr>
            <w:tcW w:w="795" w:type="pct"/>
          </w:tcPr>
          <w:p w14:paraId="7C66AD8D"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Условия, които трябва да бъдат изпълнени/резултатите, които трябва да бъдат постигнати</w:t>
            </w:r>
          </w:p>
        </w:tc>
        <w:tc>
          <w:tcPr>
            <w:tcW w:w="796" w:type="pct"/>
            <w:gridSpan w:val="2"/>
            <w:shd w:val="clear" w:color="auto" w:fill="auto"/>
          </w:tcPr>
          <w:p w14:paraId="0A1D07C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Наименование на съответния показател</w:t>
            </w:r>
          </w:p>
        </w:tc>
        <w:tc>
          <w:tcPr>
            <w:tcW w:w="579" w:type="pct"/>
            <w:shd w:val="clear" w:color="auto" w:fill="auto"/>
          </w:tcPr>
          <w:p w14:paraId="16BFA25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Мерна единица на показателя</w:t>
            </w:r>
          </w:p>
        </w:tc>
      </w:tr>
      <w:tr w:rsidR="00BE032C" w:rsidRPr="00171DED" w14:paraId="4E9BE0BB" w14:textId="77777777" w:rsidTr="00722757">
        <w:tc>
          <w:tcPr>
            <w:tcW w:w="358" w:type="pct"/>
          </w:tcPr>
          <w:p w14:paraId="699075B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6600AC9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42E934A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0794EB4B"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71357D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C1CAFEA"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33956678"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588E7D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 xml:space="preserve">Код </w:t>
            </w:r>
          </w:p>
        </w:tc>
        <w:tc>
          <w:tcPr>
            <w:tcW w:w="511" w:type="pct"/>
          </w:tcPr>
          <w:p w14:paraId="7033835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Описание</w:t>
            </w:r>
          </w:p>
        </w:tc>
        <w:tc>
          <w:tcPr>
            <w:tcW w:w="579" w:type="pct"/>
            <w:shd w:val="clear" w:color="auto" w:fill="auto"/>
          </w:tcPr>
          <w:p w14:paraId="03437994"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77C74E7E" w14:textId="77777777" w:rsidTr="00722757">
        <w:tc>
          <w:tcPr>
            <w:tcW w:w="358" w:type="pct"/>
          </w:tcPr>
          <w:p w14:paraId="4D094817"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781F893F"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6CE12F7E"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15E7ED7C"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7D8E797F"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5DD7F9F7"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19D6A3F"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4F01D3D8"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1428E0F6"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7F4AE886"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171DED" w14:paraId="6B680E94" w14:textId="77777777" w:rsidTr="00722757">
        <w:tc>
          <w:tcPr>
            <w:tcW w:w="358" w:type="pct"/>
          </w:tcPr>
          <w:p w14:paraId="341B34AE"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12C0C943"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08F5BED9"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56A74473"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69F9E3C4"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32A3B6F0"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DADDBC5"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21D4F274"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01661679"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4478DAA0"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171DED" w14:paraId="40E75EAB" w14:textId="77777777" w:rsidTr="00722757">
        <w:tc>
          <w:tcPr>
            <w:tcW w:w="358" w:type="pct"/>
          </w:tcPr>
          <w:p w14:paraId="120442FF"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488AF499"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5D661C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5C71109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89644C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7D94A8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260DEF59"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7FA3E0E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4CF8DBC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2137E77"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3F423023" w14:textId="77777777" w:rsidTr="00722757">
        <w:tc>
          <w:tcPr>
            <w:tcW w:w="358" w:type="pct"/>
          </w:tcPr>
          <w:p w14:paraId="07278BE3"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132E2BB4"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6D4F609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93A918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6EC97F7"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6D8ECEF8"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1AA7043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1458AEA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293046B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3C165185"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4D8E9ECC" w14:textId="77777777" w:rsidTr="00722757">
        <w:tc>
          <w:tcPr>
            <w:tcW w:w="358" w:type="pct"/>
          </w:tcPr>
          <w:p w14:paraId="693D79D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Обща обхваната сума</w:t>
            </w:r>
          </w:p>
        </w:tc>
        <w:tc>
          <w:tcPr>
            <w:tcW w:w="287" w:type="pct"/>
          </w:tcPr>
          <w:p w14:paraId="76791A9A"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EFE87C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25AC6EB5"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631FE82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5A1AD8B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52F7F00B"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CC0A58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5599C843"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7A484F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bl>
    <w:p w14:paraId="736EDD7C"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7F33D508"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171DED">
          <w:headerReference w:type="even" r:id="rId44"/>
          <w:headerReference w:type="default" r:id="rId45"/>
          <w:footerReference w:type="even" r:id="rId46"/>
          <w:footerReference w:type="default" r:id="rId47"/>
          <w:headerReference w:type="first" r:id="rId48"/>
          <w:footerReference w:type="first" r:id="rId49"/>
          <w:pgSz w:w="16838" w:h="11906" w:orient="landscape"/>
          <w:pgMar w:top="1417" w:right="1417" w:bottom="1417" w:left="1417" w:header="708" w:footer="708" w:gutter="0"/>
          <w:cols w:space="708"/>
          <w:docGrid w:linePitch="360"/>
        </w:sectPr>
      </w:pPr>
    </w:p>
    <w:p w14:paraId="02807ED5"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lastRenderedPageBreak/>
        <w:t>Б. Подробности за вида операция (попълва се за всеки вид операция)</w:t>
      </w:r>
    </w:p>
    <w:p w14:paraId="168E6CA6" w14:textId="7777777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Видове операции:</w:t>
      </w:r>
    </w:p>
    <w:tbl>
      <w:tblPr>
        <w:tblW w:w="8946" w:type="dxa"/>
        <w:tblInd w:w="93" w:type="dxa"/>
        <w:tblLook w:val="0000" w:firstRow="0" w:lastRow="0" w:firstColumn="0" w:lastColumn="0" w:noHBand="0" w:noVBand="0"/>
      </w:tblPr>
      <w:tblGrid>
        <w:gridCol w:w="4095"/>
        <w:gridCol w:w="2280"/>
        <w:gridCol w:w="1474"/>
        <w:gridCol w:w="1097"/>
      </w:tblGrid>
      <w:tr w:rsidR="00722757" w:rsidRPr="0010575B" w14:paraId="44B45943"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E9C8"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17877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E149BE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3D6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72C642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5D0A91DE"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798AD4DA"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43734DC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4F6D"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529E642"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9AC23F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1F3C"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6A2221"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F5FC3AC"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C2AEC"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E376D0F"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4CC2A021"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749F"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5A1017B"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096EC8CD" w14:textId="77777777" w:rsidTr="006E541D">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6185E0A9"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14:paraId="6808A8F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14:paraId="2F46989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w:t>
            </w:r>
          </w:p>
        </w:tc>
        <w:tc>
          <w:tcPr>
            <w:tcW w:w="1097" w:type="dxa"/>
            <w:tcBorders>
              <w:top w:val="single" w:sz="4" w:space="0" w:color="auto"/>
              <w:left w:val="single" w:sz="4" w:space="0" w:color="auto"/>
              <w:bottom w:val="single" w:sz="4" w:space="0" w:color="auto"/>
              <w:right w:val="single" w:sz="4" w:space="0" w:color="auto"/>
            </w:tcBorders>
            <w:vAlign w:val="center"/>
          </w:tcPr>
          <w:p w14:paraId="4259C887"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Суми</w:t>
            </w:r>
          </w:p>
        </w:tc>
      </w:tr>
      <w:tr w:rsidR="00722757" w:rsidRPr="00171DED" w14:paraId="26B6585B" w14:textId="77777777" w:rsidTr="006E541D">
        <w:trPr>
          <w:trHeight w:val="360"/>
        </w:trPr>
        <w:tc>
          <w:tcPr>
            <w:tcW w:w="4095" w:type="dxa"/>
            <w:vMerge/>
            <w:tcBorders>
              <w:left w:val="single" w:sz="4" w:space="0" w:color="auto"/>
              <w:right w:val="single" w:sz="4" w:space="0" w:color="auto"/>
            </w:tcBorders>
            <w:shd w:val="clear" w:color="auto" w:fill="auto"/>
            <w:noWrap/>
            <w:vAlign w:val="center"/>
          </w:tcPr>
          <w:p w14:paraId="7A1A0735"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539378E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5B934C41"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3CE134E0"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656D9195" w14:textId="77777777" w:rsidTr="006E541D">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3C6872E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0E0BD0B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7652F86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6810BE9E"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6C39D18D"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E755"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795786D"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75AECC08"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8F3E8"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B21AB21" w14:textId="77777777" w:rsidR="00722757" w:rsidRPr="00171DED" w:rsidRDefault="00722757" w:rsidP="005D12B5">
            <w:pPr>
              <w:spacing w:before="120" w:after="60" w:line="240" w:lineRule="auto"/>
              <w:jc w:val="center"/>
              <w:rPr>
                <w:rFonts w:ascii="Times New Roman" w:eastAsia="Calibri" w:hAnsi="Times New Roman" w:cs="Times New Roman"/>
                <w:i/>
                <w:noProof/>
                <w:color w:val="A6A6A6" w:themeColor="background1" w:themeShade="A6"/>
                <w:sz w:val="24"/>
                <w:szCs w:val="20"/>
                <w:lang w:val="bg-BG" w:eastAsia="bg-BG" w:bidi="bg-BG"/>
              </w:rPr>
            </w:pPr>
          </w:p>
        </w:tc>
      </w:tr>
      <w:tr w:rsidR="00722757" w:rsidRPr="0010575B" w14:paraId="247AE427"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3957"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1.10 Проверка на постигането на резултат или условие (и когато е приложимо — на междинните предвидени престации)</w:t>
            </w:r>
          </w:p>
          <w:p w14:paraId="2E62AC87"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опишете какви документи ще бъдат използвани, за да се докаже постигането на резултат или условие</w:t>
            </w:r>
          </w:p>
          <w:p w14:paraId="1A817C6E"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 опишете какво ще бъде проверявано по време на проверките на </w:t>
            </w:r>
            <w:r w:rsidRPr="00171DED">
              <w:rPr>
                <w:rFonts w:ascii="Times New Roman" w:eastAsia="Calibri" w:hAnsi="Times New Roman" w:cs="Times New Roman"/>
                <w:noProof/>
                <w:color w:val="A6A6A6" w:themeColor="background1" w:themeShade="A6"/>
                <w:sz w:val="24"/>
                <w:szCs w:val="20"/>
                <w:lang w:val="bg-BG" w:eastAsia="bg-BG" w:bidi="bg-BG"/>
              </w:rPr>
              <w:lastRenderedPageBreak/>
              <w:t>управлението (включително на място), и от кого.</w:t>
            </w:r>
          </w:p>
          <w:p w14:paraId="748F4314"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 опишете какви са механизмите за събиране и съхраняване на данните/документите  </w:t>
            </w:r>
          </w:p>
          <w:p w14:paraId="370D3C2B"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CA18AA"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1120D97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3443B4C6"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7EBC52D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F65F1"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1.11 Механизми за осигуряване на одитна следа </w:t>
            </w:r>
          </w:p>
          <w:p w14:paraId="2D4683C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539353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bl>
    <w:p w14:paraId="19C37267"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7A08A0F9" w14:textId="7777777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br w:type="page"/>
      </w:r>
    </w:p>
    <w:p w14:paraId="38145C34"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i/>
          <w:noProof/>
          <w:color w:val="A6A6A6" w:themeColor="background1" w:themeShade="A6"/>
          <w:sz w:val="24"/>
          <w:szCs w:val="20"/>
          <w:lang w:val="bg-BG" w:eastAsia="bg-BG" w:bidi="bg-BG"/>
        </w:rPr>
        <w:lastRenderedPageBreak/>
        <w:t xml:space="preserve">Допълнение 3: </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дребномащабния крайбрежен риболов</w:t>
      </w:r>
    </w:p>
    <w:p w14:paraId="00221887"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37139A28"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213E99EA" w14:textId="77777777" w:rsidTr="006E541D">
        <w:tc>
          <w:tcPr>
            <w:tcW w:w="4644" w:type="dxa"/>
            <w:shd w:val="clear" w:color="auto" w:fill="auto"/>
          </w:tcPr>
          <w:p w14:paraId="060DC355"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590B4ABA"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276508AC" w14:textId="77777777" w:rsidTr="006E541D">
        <w:tc>
          <w:tcPr>
            <w:tcW w:w="4644" w:type="dxa"/>
            <w:shd w:val="clear" w:color="auto" w:fill="auto"/>
          </w:tcPr>
          <w:p w14:paraId="79A35F66"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0B8FD181"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6A0A7AE9"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1. Описание на дребномащабните крайбрежни флоти</w:t>
      </w:r>
    </w:p>
    <w:tbl>
      <w:tblPr>
        <w:tblStyle w:val="TableGrid"/>
        <w:tblW w:w="0" w:type="auto"/>
        <w:tblLook w:val="04A0" w:firstRow="1" w:lastRow="0" w:firstColumn="1" w:lastColumn="0" w:noHBand="0" w:noVBand="1"/>
      </w:tblPr>
      <w:tblGrid>
        <w:gridCol w:w="9288"/>
      </w:tblGrid>
      <w:tr w:rsidR="00722757" w:rsidRPr="00171DED" w14:paraId="186FD29E"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F1A20FA"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[5 000]</w:t>
            </w:r>
          </w:p>
        </w:tc>
      </w:tr>
    </w:tbl>
    <w:p w14:paraId="14EFA8EE"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 Общо описание на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9288"/>
      </w:tblGrid>
      <w:tr w:rsidR="00722757" w:rsidRPr="0010575B" w14:paraId="61225597"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49306869"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[5 000] и индикативната обща сума, отпусната по ЕФМДР</w:t>
            </w:r>
          </w:p>
        </w:tc>
      </w:tr>
    </w:tbl>
    <w:p w14:paraId="7D3A6CB3"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3. Описание на специфичните действия по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6487"/>
        <w:gridCol w:w="2801"/>
      </w:tblGrid>
      <w:tr w:rsidR="00722757" w:rsidRPr="0010575B" w14:paraId="385813FA" w14:textId="77777777" w:rsidTr="006E541D">
        <w:tc>
          <w:tcPr>
            <w:tcW w:w="6487" w:type="dxa"/>
          </w:tcPr>
          <w:p w14:paraId="45690FFB"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Pr>
          <w:p w14:paraId="6A96DAE3"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 xml:space="preserve">Индикативна заделена сума по ЕФМДР (евро) </w:t>
            </w:r>
          </w:p>
        </w:tc>
      </w:tr>
      <w:tr w:rsidR="00722757" w:rsidRPr="00171DED" w14:paraId="54523975" w14:textId="77777777" w:rsidTr="006E541D">
        <w:tc>
          <w:tcPr>
            <w:tcW w:w="6487" w:type="dxa"/>
          </w:tcPr>
          <w:p w14:paraId="26032BAC"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Адаптиране и управление на риболовния капацитет</w:t>
            </w:r>
          </w:p>
          <w:p w14:paraId="62AF34C2"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7687D70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2931AF30" w14:textId="77777777" w:rsidTr="006E541D">
        <w:tc>
          <w:tcPr>
            <w:tcW w:w="6487" w:type="dxa"/>
          </w:tcPr>
          <w:p w14:paraId="717323A1"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 xml:space="preserve">Насърчаване на устойчиви нисковъглеродни, устойчиви на изменението на климата риболовни практики, които свеждат до минимум вредите за околната среда </w:t>
            </w: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692AC76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6A4F77C7" w14:textId="77777777" w:rsidTr="006E541D">
        <w:tc>
          <w:tcPr>
            <w:tcW w:w="6487" w:type="dxa"/>
          </w:tcPr>
          <w:p w14:paraId="721A9150"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Укрепване на веригата на стойността на сектора и насърчаването на стратегии за предлагане на пазара</w:t>
            </w:r>
          </w:p>
          <w:p w14:paraId="004591D8"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07F8AE9D"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7DBDAEA2" w14:textId="77777777" w:rsidTr="006E541D">
        <w:tc>
          <w:tcPr>
            <w:tcW w:w="6487" w:type="dxa"/>
          </w:tcPr>
          <w:p w14:paraId="05B30519"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Насърчаване на знания, умения, иновации и изграждане на капацитет</w:t>
            </w:r>
          </w:p>
          <w:p w14:paraId="3FD7454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089B3A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592E5E86" w14:textId="77777777" w:rsidTr="006E541D">
        <w:tc>
          <w:tcPr>
            <w:tcW w:w="6487" w:type="dxa"/>
          </w:tcPr>
          <w:p w14:paraId="70E17A0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Подобряване на здравето, безопасността и условията на труд на борда на риболовни кораби</w:t>
            </w:r>
          </w:p>
          <w:p w14:paraId="15145902"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8A7672F"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000EBFB2" w14:textId="77777777" w:rsidTr="006E541D">
        <w:tc>
          <w:tcPr>
            <w:tcW w:w="6487" w:type="dxa"/>
          </w:tcPr>
          <w:p w14:paraId="62ED1C7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Засилване на спазването на изискванията за събиране на данни, проследяване, наблюдение, контрол и надзор</w:t>
            </w:r>
          </w:p>
          <w:p w14:paraId="3D69B64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lastRenderedPageBreak/>
              <w:t>Текстово поле [10 000]</w:t>
            </w:r>
          </w:p>
        </w:tc>
        <w:tc>
          <w:tcPr>
            <w:tcW w:w="2801" w:type="dxa"/>
          </w:tcPr>
          <w:p w14:paraId="1B82B2B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46C0A9A1" w14:textId="77777777" w:rsidTr="006E541D">
        <w:tc>
          <w:tcPr>
            <w:tcW w:w="6487" w:type="dxa"/>
          </w:tcPr>
          <w:p w14:paraId="50DCBF65"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Участието на малките оператори в основаното на участието управление на морското пространство, включително защитените морски зони и зоните по „Натура 2000“</w:t>
            </w:r>
          </w:p>
          <w:p w14:paraId="3FA7543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1156B73F"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41E8162D" w14:textId="77777777" w:rsidTr="006E541D">
        <w:tc>
          <w:tcPr>
            <w:tcW w:w="6487" w:type="dxa"/>
          </w:tcPr>
          <w:p w14:paraId="683852BD"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Диверсификация на дейностите в по-широка устойчива „синя икономика“</w:t>
            </w:r>
          </w:p>
          <w:p w14:paraId="53CB00EA"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2DEEEC32"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27B72FF5" w14:textId="77777777" w:rsidTr="006E541D">
        <w:tc>
          <w:tcPr>
            <w:tcW w:w="6487" w:type="dxa"/>
          </w:tcPr>
          <w:p w14:paraId="7FA79848"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Колективна организация и участие на дребните оператори в процесите на вземане на решения и в консултативните процеси</w:t>
            </w:r>
          </w:p>
          <w:p w14:paraId="5B89FD7D"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57CE7DA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bl>
    <w:p w14:paraId="39B79E00" w14:textId="77777777" w:rsidR="00722757" w:rsidRPr="00171DED" w:rsidRDefault="00722757" w:rsidP="00722757">
      <w:pPr>
        <w:spacing w:after="0" w:line="240" w:lineRule="auto"/>
        <w:jc w:val="both"/>
        <w:rPr>
          <w:rFonts w:ascii="Times New Roman" w:eastAsia="Times New Roman" w:hAnsi="Times New Roman" w:cs="Times New Roman"/>
          <w:i/>
          <w:iCs/>
          <w:noProof/>
          <w:color w:val="A6A6A6" w:themeColor="background1" w:themeShade="A6"/>
          <w:sz w:val="24"/>
          <w:szCs w:val="20"/>
          <w:lang w:val="bg-BG" w:eastAsia="bg-BG" w:bidi="bg-BG"/>
        </w:rPr>
      </w:pPr>
    </w:p>
    <w:p w14:paraId="5435313A"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4. Когато е целесъобразно — прилагане на незадължителните насоки на ФАО за гарантиране на устойчив дребномащабен риболов</w:t>
      </w:r>
    </w:p>
    <w:p w14:paraId="17AE6600"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171DED" w14:paraId="442B5B43" w14:textId="77777777" w:rsidTr="006E541D">
        <w:tc>
          <w:tcPr>
            <w:tcW w:w="9854" w:type="dxa"/>
          </w:tcPr>
          <w:p w14:paraId="188BBF01" w14:textId="77777777" w:rsidR="00722757" w:rsidRPr="00171DED" w:rsidRDefault="00722757" w:rsidP="005D12B5">
            <w:pPr>
              <w:spacing w:before="120" w:after="12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 xml:space="preserve">Текстово поле [10 000] </w:t>
            </w:r>
          </w:p>
        </w:tc>
      </w:tr>
    </w:tbl>
    <w:p w14:paraId="4E58E145" w14:textId="77777777" w:rsidR="00722757" w:rsidRPr="00171DED" w:rsidRDefault="00722757" w:rsidP="00722757">
      <w:pPr>
        <w:spacing w:after="0" w:line="240" w:lineRule="auto"/>
        <w:ind w:left="720"/>
        <w:jc w:val="both"/>
        <w:rPr>
          <w:rFonts w:ascii="Times New Roman" w:eastAsia="Times New Roman" w:hAnsi="Times New Roman" w:cs="Times New Roman"/>
          <w:b/>
          <w:noProof/>
          <w:color w:val="A6A6A6" w:themeColor="background1" w:themeShade="A6"/>
          <w:sz w:val="24"/>
          <w:szCs w:val="24"/>
          <w:lang w:val="bg-BG" w:eastAsia="bg-BG" w:bidi="bg-BG"/>
        </w:rPr>
      </w:pPr>
    </w:p>
    <w:p w14:paraId="42C6FC4B" w14:textId="77777777" w:rsidR="00722757" w:rsidRPr="00171DED" w:rsidRDefault="00722757" w:rsidP="00722757">
      <w:pPr>
        <w:spacing w:after="0" w:line="240" w:lineRule="auto"/>
        <w:jc w:val="both"/>
        <w:rPr>
          <w:rFonts w:ascii="Times New Roman" w:eastAsia="Times New Roman" w:hAnsi="Times New Roman" w:cs="Times New Roman"/>
          <w:b/>
          <w:iCs/>
          <w:noProof/>
          <w:color w:val="A6A6A6" w:themeColor="background1" w:themeShade="A6"/>
          <w:sz w:val="24"/>
          <w:szCs w:val="20"/>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5. Когато е уместно, изпълнението на регионалния план за действие за дребномащабния риболов от Генералната комисия по рибарство за Средиземно море</w:t>
      </w:r>
    </w:p>
    <w:p w14:paraId="66C9961F"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171DED" w14:paraId="7D61480F" w14:textId="77777777" w:rsidTr="006E541D">
        <w:tc>
          <w:tcPr>
            <w:tcW w:w="9854" w:type="dxa"/>
          </w:tcPr>
          <w:p w14:paraId="5E910B09" w14:textId="77777777" w:rsidR="00722757" w:rsidRPr="00171DED" w:rsidRDefault="00722757" w:rsidP="005D12B5">
            <w:pPr>
              <w:spacing w:before="120" w:after="12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 xml:space="preserve">Текстово поле [10 000] </w:t>
            </w:r>
          </w:p>
        </w:tc>
      </w:tr>
    </w:tbl>
    <w:p w14:paraId="181667F4"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6.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1291"/>
        <w:gridCol w:w="1289"/>
        <w:gridCol w:w="1528"/>
      </w:tblGrid>
      <w:tr w:rsidR="00722757" w:rsidRPr="0010575B" w14:paraId="1BA7C16E" w14:textId="77777777" w:rsidTr="006E541D">
        <w:trPr>
          <w:trHeight w:val="425"/>
        </w:trPr>
        <w:tc>
          <w:tcPr>
            <w:tcW w:w="5000" w:type="pct"/>
            <w:gridSpan w:val="4"/>
          </w:tcPr>
          <w:p w14:paraId="2E9EC2E6"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20"/>
                <w:szCs w:val="20"/>
                <w:lang w:val="bg-BG" w:eastAsia="bg-BG" w:bidi="bg-BG"/>
              </w:rPr>
            </w:pPr>
            <w:r w:rsidRPr="00171DED">
              <w:rPr>
                <w:rFonts w:ascii="Times New Roman" w:hAnsi="Times New Roman"/>
                <w:b/>
                <w:noProof/>
                <w:color w:val="A6A6A6" w:themeColor="background1" w:themeShade="A6"/>
                <w:sz w:val="20"/>
                <w:lang w:val="bg-BG" w:eastAsia="bg-BG" w:bidi="bg-BG"/>
              </w:rPr>
              <w:t>Таблица 1: Показатели за крайни продукти</w:t>
            </w:r>
          </w:p>
        </w:tc>
      </w:tr>
      <w:tr w:rsidR="00722757" w:rsidRPr="00171DED" w14:paraId="46D330EB" w14:textId="77777777" w:rsidTr="006E541D">
        <w:trPr>
          <w:trHeight w:val="758"/>
        </w:trPr>
        <w:tc>
          <w:tcPr>
            <w:tcW w:w="2814" w:type="pct"/>
          </w:tcPr>
          <w:p w14:paraId="0DB4649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 xml:space="preserve">Наименование на показателя за краен продукт </w:t>
            </w:r>
          </w:p>
        </w:tc>
        <w:tc>
          <w:tcPr>
            <w:tcW w:w="687" w:type="pct"/>
          </w:tcPr>
          <w:p w14:paraId="5C82CCB7"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Мерна единица</w:t>
            </w:r>
          </w:p>
        </w:tc>
        <w:tc>
          <w:tcPr>
            <w:tcW w:w="686" w:type="pct"/>
            <w:shd w:val="clear" w:color="auto" w:fill="auto"/>
          </w:tcPr>
          <w:p w14:paraId="20F4719B"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Етапна цел (2024 г.)</w:t>
            </w:r>
          </w:p>
          <w:p w14:paraId="5CB71B14"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796AAF3"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Целева стойност (2029 г.)</w:t>
            </w:r>
          </w:p>
          <w:p w14:paraId="6A292090"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r>
      <w:tr w:rsidR="00722757" w:rsidRPr="00171DED" w14:paraId="2BFFF7B3" w14:textId="77777777" w:rsidTr="006E541D">
        <w:trPr>
          <w:trHeight w:val="579"/>
        </w:trPr>
        <w:tc>
          <w:tcPr>
            <w:tcW w:w="2814" w:type="pct"/>
          </w:tcPr>
          <w:p w14:paraId="2F0883D5"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74B661C2"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13D15873"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813" w:type="pct"/>
            <w:shd w:val="clear" w:color="auto" w:fill="auto"/>
          </w:tcPr>
          <w:p w14:paraId="613AE8C0"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r>
      <w:tr w:rsidR="00722757" w:rsidRPr="00171DED" w14:paraId="14DC70AF" w14:textId="77777777" w:rsidTr="006E541D">
        <w:trPr>
          <w:trHeight w:val="579"/>
        </w:trPr>
        <w:tc>
          <w:tcPr>
            <w:tcW w:w="2814" w:type="pct"/>
          </w:tcPr>
          <w:p w14:paraId="15CE61BA"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2987CBED"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59A71525"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9E3024E"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r>
    </w:tbl>
    <w:p w14:paraId="67DBB746" w14:textId="77777777" w:rsidR="00722757" w:rsidRPr="00171DED" w:rsidRDefault="00722757" w:rsidP="00722757">
      <w:pPr>
        <w:spacing w:after="0"/>
        <w:ind w:left="720"/>
        <w:contextualSpacing/>
        <w:rPr>
          <w:rFonts w:eastAsia="Times New Roman"/>
          <w:b/>
          <w:iCs/>
          <w:noProof/>
          <w:color w:val="A6A6A6" w:themeColor="background1" w:themeShade="A6"/>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7"/>
        <w:gridCol w:w="1291"/>
        <w:gridCol w:w="1148"/>
        <w:gridCol w:w="1434"/>
        <w:gridCol w:w="1686"/>
      </w:tblGrid>
      <w:tr w:rsidR="00722757" w:rsidRPr="00171DED" w14:paraId="362D3AD0" w14:textId="77777777" w:rsidTr="006E541D">
        <w:trPr>
          <w:trHeight w:val="480"/>
        </w:trPr>
        <w:tc>
          <w:tcPr>
            <w:tcW w:w="5000" w:type="pct"/>
            <w:gridSpan w:val="5"/>
          </w:tcPr>
          <w:p w14:paraId="7312E02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20"/>
                <w:lang w:val="bg-BG" w:eastAsia="bg-BG" w:bidi="bg-BG"/>
              </w:rPr>
              <w:t>Таблица 2: Показатели за резултатите</w:t>
            </w:r>
          </w:p>
        </w:tc>
      </w:tr>
      <w:tr w:rsidR="00722757" w:rsidRPr="00171DED" w14:paraId="32BE1160" w14:textId="77777777" w:rsidTr="006E541D">
        <w:trPr>
          <w:trHeight w:val="854"/>
        </w:trPr>
        <w:tc>
          <w:tcPr>
            <w:tcW w:w="2042" w:type="pct"/>
          </w:tcPr>
          <w:p w14:paraId="00361BE7"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 xml:space="preserve">Наименование на показателя за резултат </w:t>
            </w:r>
          </w:p>
        </w:tc>
        <w:tc>
          <w:tcPr>
            <w:tcW w:w="687" w:type="pct"/>
          </w:tcPr>
          <w:p w14:paraId="36D91455"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Мерна единица</w:t>
            </w:r>
          </w:p>
        </w:tc>
        <w:tc>
          <w:tcPr>
            <w:tcW w:w="611" w:type="pct"/>
          </w:tcPr>
          <w:p w14:paraId="40EDC930"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Базова линия</w:t>
            </w:r>
          </w:p>
        </w:tc>
        <w:tc>
          <w:tcPr>
            <w:tcW w:w="763" w:type="pct"/>
          </w:tcPr>
          <w:p w14:paraId="7D4C0329"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Референтна година</w:t>
            </w:r>
          </w:p>
        </w:tc>
        <w:tc>
          <w:tcPr>
            <w:tcW w:w="897" w:type="pct"/>
            <w:shd w:val="clear" w:color="auto" w:fill="auto"/>
          </w:tcPr>
          <w:p w14:paraId="68223C18"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Целева стойност (2029 г.)</w:t>
            </w:r>
          </w:p>
          <w:p w14:paraId="04685CD5" w14:textId="77777777" w:rsidR="00722757" w:rsidRPr="00171DED" w:rsidRDefault="00722757" w:rsidP="005D12B5">
            <w:pPr>
              <w:spacing w:before="120" w:after="120" w:line="480" w:lineRule="auto"/>
              <w:jc w:val="both"/>
              <w:rPr>
                <w:rFonts w:ascii="Times New Roman" w:hAnsi="Times New Roman"/>
                <w:b/>
                <w:noProof/>
                <w:color w:val="A6A6A6" w:themeColor="background1" w:themeShade="A6"/>
                <w:sz w:val="16"/>
                <w:szCs w:val="16"/>
                <w:lang w:val="bg-BG" w:eastAsia="bg-BG" w:bidi="bg-BG"/>
              </w:rPr>
            </w:pPr>
          </w:p>
        </w:tc>
      </w:tr>
      <w:tr w:rsidR="00722757" w:rsidRPr="00171DED" w14:paraId="05085513" w14:textId="77777777" w:rsidTr="006E541D">
        <w:trPr>
          <w:trHeight w:val="629"/>
        </w:trPr>
        <w:tc>
          <w:tcPr>
            <w:tcW w:w="2042" w:type="pct"/>
          </w:tcPr>
          <w:p w14:paraId="40AD59FB"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5561BE4F"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21CECB85"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15627999"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7DDF929C" w14:textId="77777777" w:rsidR="00722757" w:rsidRPr="00171DED" w:rsidRDefault="00722757" w:rsidP="005D12B5">
            <w:pPr>
              <w:spacing w:before="120" w:after="120"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r w:rsidR="00722757" w:rsidRPr="00171DED" w14:paraId="1E450B2D" w14:textId="77777777" w:rsidTr="006E541D">
        <w:trPr>
          <w:trHeight w:val="629"/>
        </w:trPr>
        <w:tc>
          <w:tcPr>
            <w:tcW w:w="2042" w:type="pct"/>
          </w:tcPr>
          <w:p w14:paraId="2BB46AAF"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436D7891"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59B726F8"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625EDF3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6CA5589A" w14:textId="77777777" w:rsidR="00722757" w:rsidRPr="00171DED" w:rsidRDefault="00722757" w:rsidP="005D12B5">
            <w:pPr>
              <w:spacing w:before="120" w:after="120"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bl>
    <w:p w14:paraId="59CA814E"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48CF83DF"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br w:type="page"/>
      </w:r>
      <w:r w:rsidRPr="00171DED">
        <w:rPr>
          <w:rFonts w:ascii="Times New Roman" w:eastAsia="Calibri" w:hAnsi="Times New Roman" w:cs="Times New Roman"/>
          <w:b/>
          <w:i/>
          <w:noProof/>
          <w:color w:val="A6A6A6" w:themeColor="background1" w:themeShade="A6"/>
          <w:sz w:val="24"/>
          <w:szCs w:val="20"/>
          <w:lang w:val="bg-BG" w:eastAsia="bg-BG" w:bidi="bg-BG"/>
        </w:rPr>
        <w:lastRenderedPageBreak/>
        <w:t xml:space="preserve">Допълнение 4: </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всеки най-отдалечен регион</w:t>
      </w:r>
    </w:p>
    <w:p w14:paraId="5C02E97C" w14:textId="77777777" w:rsidR="00722757" w:rsidRPr="00171DED"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76C43454"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73BA7EB3" w14:textId="77777777" w:rsidTr="006E541D">
        <w:tc>
          <w:tcPr>
            <w:tcW w:w="4644" w:type="dxa"/>
            <w:shd w:val="clear" w:color="auto" w:fill="auto"/>
          </w:tcPr>
          <w:p w14:paraId="60186523"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22ECDBD7"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02CD238A" w14:textId="77777777" w:rsidTr="006E541D">
        <w:tc>
          <w:tcPr>
            <w:tcW w:w="4644" w:type="dxa"/>
            <w:shd w:val="clear" w:color="auto" w:fill="auto"/>
          </w:tcPr>
          <w:p w14:paraId="549B90B0"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6F0A8CEC"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2D90488" w14:textId="77777777" w:rsidR="00722757" w:rsidRPr="00171DED"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2A8F8D02" w14:textId="77777777" w:rsidR="00722757" w:rsidRPr="00171DED" w:rsidRDefault="00722757" w:rsidP="00722757">
      <w:pPr>
        <w:spacing w:before="120" w:after="12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1. 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22757" w:rsidRPr="00171DED" w14:paraId="77C71899"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602147A9"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[30 000]</w:t>
            </w:r>
          </w:p>
        </w:tc>
      </w:tr>
    </w:tbl>
    <w:p w14:paraId="2C07AF9A"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DE870E6"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 Описание на основните планирани дейности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22757" w:rsidRPr="0010575B" w14:paraId="06CD5C8B"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19400C1C"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hideMark/>
          </w:tcPr>
          <w:p w14:paraId="491D5EDF"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 xml:space="preserve">Заделена сума по ЕФМДР (евро) </w:t>
            </w:r>
          </w:p>
        </w:tc>
      </w:tr>
      <w:tr w:rsidR="00722757" w:rsidRPr="00171DED" w14:paraId="1A459133"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0F63F792"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 xml:space="preserve">Структурна подкрепа за сектора на рибарството и аквакултурите по линия на ЕФМДР </w:t>
            </w:r>
          </w:p>
          <w:p w14:paraId="091D62ED"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768CB21"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r w:rsidR="00722757" w:rsidRPr="00171DED" w14:paraId="65E333E1"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79E00DB1" w14:textId="77777777" w:rsidR="00722757" w:rsidRPr="00171DED" w:rsidRDefault="00722757" w:rsidP="005D12B5">
            <w:pPr>
              <w:spacing w:before="240" w:after="24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noProof/>
                <w:color w:val="A6A6A6" w:themeColor="background1" w:themeShade="A6"/>
                <w:sz w:val="24"/>
                <w:szCs w:val="20"/>
              </w:rPr>
              <w:t>Компенсация за допълнителните разходи по член 21 от ЕФМДР</w:t>
            </w:r>
            <w:r w:rsidRPr="00171DED">
              <w:rPr>
                <w:rFonts w:ascii="Times New Roman" w:eastAsia="Calibri" w:hAnsi="Times New Roman" w:cs="Times New Roman"/>
                <w:i/>
                <w:noProof/>
                <w:color w:val="A6A6A6" w:themeColor="background1" w:themeShade="A6"/>
                <w:sz w:val="24"/>
                <w:szCs w:val="20"/>
              </w:rPr>
              <w:t xml:space="preserve"> </w:t>
            </w:r>
          </w:p>
          <w:p w14:paraId="237A3A09"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23113321"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r w:rsidR="00722757" w:rsidRPr="00171DED" w14:paraId="3842C662"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584A3619" w14:textId="77777777" w:rsidR="00722757" w:rsidRPr="00171DED" w:rsidRDefault="00722757" w:rsidP="005D12B5">
            <w:pPr>
              <w:spacing w:before="240" w:after="24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noProof/>
                <w:color w:val="A6A6A6" w:themeColor="background1" w:themeShade="A6"/>
                <w:sz w:val="24"/>
                <w:szCs w:val="20"/>
              </w:rPr>
              <w:t>Други инвестиции в устойчива „синя икономика“, необходими за постигане на устойчиво развитие на крайбрежните зони</w:t>
            </w:r>
            <w:r w:rsidRPr="00171DED">
              <w:rPr>
                <w:rFonts w:ascii="Times New Roman" w:eastAsia="Calibri" w:hAnsi="Times New Roman" w:cs="Times New Roman"/>
                <w:i/>
                <w:noProof/>
                <w:color w:val="A6A6A6" w:themeColor="background1" w:themeShade="A6"/>
                <w:sz w:val="24"/>
                <w:szCs w:val="20"/>
              </w:rPr>
              <w:t xml:space="preserve"> </w:t>
            </w:r>
          </w:p>
          <w:p w14:paraId="320A447C"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EF215FF"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bl>
    <w:p w14:paraId="74C162E8"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9FC5F29"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3. 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22757" w:rsidRPr="00171DED" w14:paraId="79BA013F"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DB6B8F"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[10 000]</w:t>
            </w:r>
          </w:p>
        </w:tc>
      </w:tr>
    </w:tbl>
    <w:p w14:paraId="6FCEC5D8"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6A88E853"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lastRenderedPageBreak/>
        <w:t>4. Описание на синергиите с плана за действие за дребномащабния крайбрежен риболов</w:t>
      </w:r>
    </w:p>
    <w:tbl>
      <w:tblPr>
        <w:tblStyle w:val="TableGrid"/>
        <w:tblW w:w="0" w:type="auto"/>
        <w:tblLook w:val="04A0" w:firstRow="1" w:lastRow="0" w:firstColumn="1" w:lastColumn="0" w:noHBand="0" w:noVBand="1"/>
      </w:tblPr>
      <w:tblGrid>
        <w:gridCol w:w="9288"/>
      </w:tblGrid>
      <w:tr w:rsidR="00722757" w:rsidRPr="00064B44" w14:paraId="0AAD0D83"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45B7E8" w14:textId="77777777" w:rsidR="00722757" w:rsidRPr="00064B44"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[10 000]</w:t>
            </w:r>
          </w:p>
        </w:tc>
      </w:tr>
    </w:tbl>
    <w:p w14:paraId="2BEBFFFB" w14:textId="77777777" w:rsidR="00722757" w:rsidRPr="00064B44"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17C80C2A" w14:textId="77777777" w:rsidR="00592345" w:rsidRPr="00735374" w:rsidRDefault="00592345">
      <w:pPr>
        <w:rPr>
          <w:lang w:val="bg-BG"/>
        </w:rPr>
      </w:pPr>
    </w:p>
    <w:sectPr w:rsidR="00592345" w:rsidRPr="0073537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D960C" w14:textId="77777777" w:rsidR="00D47FDE" w:rsidRDefault="00D47FDE" w:rsidP="00722757">
      <w:pPr>
        <w:spacing w:after="0" w:line="240" w:lineRule="auto"/>
      </w:pPr>
      <w:r>
        <w:separator/>
      </w:r>
    </w:p>
  </w:endnote>
  <w:endnote w:type="continuationSeparator" w:id="0">
    <w:p w14:paraId="66875E93" w14:textId="77777777" w:rsidR="00D47FDE" w:rsidRDefault="00D47FDE" w:rsidP="00722757">
      <w:pPr>
        <w:spacing w:after="0" w:line="240" w:lineRule="auto"/>
      </w:pPr>
      <w:r>
        <w:continuationSeparator/>
      </w:r>
    </w:p>
  </w:endnote>
  <w:endnote w:type="continuationNotice" w:id="1">
    <w:p w14:paraId="39ADE67A" w14:textId="77777777" w:rsidR="00D47FDE" w:rsidRDefault="00D47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1726"/>
      <w:docPartObj>
        <w:docPartGallery w:val="Page Numbers (Bottom of Page)"/>
        <w:docPartUnique/>
      </w:docPartObj>
    </w:sdtPr>
    <w:sdtEndPr>
      <w:rPr>
        <w:noProof/>
      </w:rPr>
    </w:sdtEndPr>
    <w:sdtContent>
      <w:p w14:paraId="28BD0065" w14:textId="07E996FE" w:rsidR="00A005AA" w:rsidRDefault="00A005A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5C4E154" w14:textId="77777777" w:rsidR="00A005AA" w:rsidRDefault="00A005AA">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47065"/>
      <w:docPartObj>
        <w:docPartGallery w:val="Page Numbers (Bottom of Page)"/>
        <w:docPartUnique/>
      </w:docPartObj>
    </w:sdtPr>
    <w:sdtEndPr>
      <w:rPr>
        <w:noProof/>
      </w:rPr>
    </w:sdtEndPr>
    <w:sdtContent>
      <w:p w14:paraId="624A85F0" w14:textId="6F2F15DA" w:rsidR="00A005AA" w:rsidRDefault="00A005AA">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60012BD7" w14:textId="77777777" w:rsidR="00A005AA" w:rsidRDefault="00A005AA">
    <w:pPr>
      <w:pStyle w:val="Footer"/>
      <w:pBdr>
        <w:top w:val="single" w:sz="4" w:space="1" w:color="808080"/>
      </w:pBdr>
      <w:jc w:val="right"/>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590"/>
      <w:docPartObj>
        <w:docPartGallery w:val="Page Numbers (Bottom of Page)"/>
        <w:docPartUnique/>
      </w:docPartObj>
    </w:sdtPr>
    <w:sdtEndPr>
      <w:rPr>
        <w:noProof/>
      </w:rPr>
    </w:sdtEndPr>
    <w:sdtContent>
      <w:p w14:paraId="46A01CC1" w14:textId="46C32562" w:rsidR="00A005AA" w:rsidRDefault="00A005AA">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077BE1BC" w14:textId="77777777" w:rsidR="00A005AA" w:rsidRDefault="00A005A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8916" w14:textId="77777777" w:rsidR="00A005AA" w:rsidRDefault="00A005A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5993" w14:textId="67D622C1" w:rsidR="00A005AA" w:rsidRDefault="00A005AA">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83940"/>
      <w:docPartObj>
        <w:docPartGallery w:val="Page Numbers (Bottom of Page)"/>
        <w:docPartUnique/>
      </w:docPartObj>
    </w:sdtPr>
    <w:sdtEndPr>
      <w:rPr>
        <w:noProof/>
      </w:rPr>
    </w:sdtEndPr>
    <w:sdtContent>
      <w:p w14:paraId="086DBC66" w14:textId="3423115D" w:rsidR="00A005AA" w:rsidRDefault="00A005AA">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74E157F6" w14:textId="77777777" w:rsidR="00A005AA" w:rsidRDefault="00A005A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F100" w14:textId="77777777" w:rsidR="00A005AA" w:rsidRDefault="00A005A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42795"/>
      <w:docPartObj>
        <w:docPartGallery w:val="Page Numbers (Bottom of Page)"/>
        <w:docPartUnique/>
      </w:docPartObj>
    </w:sdtPr>
    <w:sdtEndPr>
      <w:rPr>
        <w:noProof/>
      </w:rPr>
    </w:sdtEndPr>
    <w:sdtContent>
      <w:p w14:paraId="5F830B3F" w14:textId="6C09945D" w:rsidR="00A005AA" w:rsidRDefault="00A005AA">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41536633" w14:textId="77777777" w:rsidR="00A005AA" w:rsidRDefault="00A005AA">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05C4" w14:textId="77777777" w:rsidR="00A005AA" w:rsidRDefault="00A005A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1455" w14:textId="77777777" w:rsidR="00A005AA" w:rsidRDefault="00A005A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013743"/>
      <w:docPartObj>
        <w:docPartGallery w:val="Page Numbers (Bottom of Page)"/>
        <w:docPartUnique/>
      </w:docPartObj>
    </w:sdtPr>
    <w:sdtEndPr>
      <w:rPr>
        <w:noProof/>
      </w:rPr>
    </w:sdtEndPr>
    <w:sdtContent>
      <w:p w14:paraId="73FC775D" w14:textId="1ACF99B9" w:rsidR="00A005AA" w:rsidRDefault="00A005AA">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14:paraId="377C0F1D" w14:textId="77777777" w:rsidR="00A005AA" w:rsidRDefault="00A005A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424542"/>
      <w:docPartObj>
        <w:docPartGallery w:val="Page Numbers (Bottom of Page)"/>
        <w:docPartUnique/>
      </w:docPartObj>
    </w:sdtPr>
    <w:sdtEndPr>
      <w:rPr>
        <w:noProof/>
      </w:rPr>
    </w:sdtEndPr>
    <w:sdtContent>
      <w:p w14:paraId="6F8F156B" w14:textId="084C050C" w:rsidR="00A005AA" w:rsidRDefault="00A005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359085" w14:textId="77777777" w:rsidR="00A005AA" w:rsidRDefault="00A005A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8D2F" w14:textId="77777777" w:rsidR="00A005AA" w:rsidRDefault="00A0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A53F" w14:textId="77777777" w:rsidR="00A005AA" w:rsidRDefault="00A00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306367"/>
      <w:docPartObj>
        <w:docPartGallery w:val="Page Numbers (Bottom of Page)"/>
        <w:docPartUnique/>
      </w:docPartObj>
    </w:sdtPr>
    <w:sdtEndPr>
      <w:rPr>
        <w:noProof/>
      </w:rPr>
    </w:sdtEndPr>
    <w:sdtContent>
      <w:p w14:paraId="264CC2E7" w14:textId="295E5DB9" w:rsidR="00A005AA" w:rsidRDefault="00A005AA">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9DDE937" w14:textId="77777777" w:rsidR="00A005AA" w:rsidRDefault="00A005AA">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600870"/>
      <w:docPartObj>
        <w:docPartGallery w:val="Page Numbers (Bottom of Page)"/>
        <w:docPartUnique/>
      </w:docPartObj>
    </w:sdtPr>
    <w:sdtEndPr>
      <w:rPr>
        <w:noProof/>
      </w:rPr>
    </w:sdtEndPr>
    <w:sdtContent>
      <w:p w14:paraId="306BDF7B" w14:textId="0B79FC3E" w:rsidR="00A005AA" w:rsidRDefault="00A005AA">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5693E7C" w14:textId="77777777" w:rsidR="00A005AA" w:rsidRDefault="00A005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8D54" w14:textId="77777777" w:rsidR="00A005AA" w:rsidRDefault="00A005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593941"/>
      <w:docPartObj>
        <w:docPartGallery w:val="Page Numbers (Bottom of Page)"/>
        <w:docPartUnique/>
      </w:docPartObj>
    </w:sdtPr>
    <w:sdtEndPr>
      <w:rPr>
        <w:noProof/>
      </w:rPr>
    </w:sdtEndPr>
    <w:sdtContent>
      <w:p w14:paraId="4CBA7314" w14:textId="4C7E1601" w:rsidR="00A005AA" w:rsidRDefault="00A005AA">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27DDA1C1" w14:textId="77777777" w:rsidR="00A005AA" w:rsidRDefault="00A005AA">
    <w:pPr>
      <w:pStyle w:val="Footer"/>
      <w:pBdr>
        <w:top w:val="single" w:sz="4" w:space="1" w:color="808080"/>
      </w:pBdr>
      <w:jc w:val="righ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280199"/>
      <w:docPartObj>
        <w:docPartGallery w:val="Page Numbers (Bottom of Page)"/>
        <w:docPartUnique/>
      </w:docPartObj>
    </w:sdtPr>
    <w:sdtEndPr>
      <w:rPr>
        <w:noProof/>
      </w:rPr>
    </w:sdtEndPr>
    <w:sdtContent>
      <w:p w14:paraId="026443BC" w14:textId="193237EE" w:rsidR="00A005AA" w:rsidRDefault="00A005AA">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14:paraId="5B872BD5" w14:textId="77777777" w:rsidR="00A005AA" w:rsidRDefault="00A005A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91B8" w14:textId="77777777" w:rsidR="00A005AA" w:rsidRDefault="00A0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81984" w14:textId="77777777" w:rsidR="00D47FDE" w:rsidRDefault="00D47FDE" w:rsidP="00722757">
      <w:pPr>
        <w:spacing w:after="0" w:line="240" w:lineRule="auto"/>
      </w:pPr>
      <w:r>
        <w:separator/>
      </w:r>
    </w:p>
  </w:footnote>
  <w:footnote w:type="continuationSeparator" w:id="0">
    <w:p w14:paraId="7B1B7336" w14:textId="77777777" w:rsidR="00D47FDE" w:rsidRDefault="00D47FDE" w:rsidP="00722757">
      <w:pPr>
        <w:spacing w:after="0" w:line="240" w:lineRule="auto"/>
      </w:pPr>
      <w:r>
        <w:continuationSeparator/>
      </w:r>
    </w:p>
  </w:footnote>
  <w:footnote w:type="continuationNotice" w:id="1">
    <w:p w14:paraId="4B49C055" w14:textId="77777777" w:rsidR="00D47FDE" w:rsidRDefault="00D47FDE">
      <w:pPr>
        <w:spacing w:after="0" w:line="240" w:lineRule="auto"/>
      </w:pPr>
    </w:p>
  </w:footnote>
  <w:footnote w:id="2">
    <w:p w14:paraId="24313FEC" w14:textId="7EC2473C" w:rsidR="00A005AA" w:rsidRDefault="00A005AA" w:rsidP="00722757">
      <w:pPr>
        <w:pStyle w:val="FootnoteText"/>
      </w:pPr>
      <w:r>
        <w:rPr>
          <w:rStyle w:val="FootnoteReference"/>
        </w:rPr>
        <w:footnoteRef/>
      </w:r>
      <w:r>
        <w:t xml:space="preserve"> Числата в квадратните скоби се отнасят до броя на знаците, без интервали</w:t>
      </w:r>
    </w:p>
  </w:footnote>
  <w:footnote w:id="3">
    <w:p w14:paraId="106E05AC" w14:textId="53642BCA" w:rsidR="00A005AA" w:rsidRDefault="00A005AA" w:rsidP="00722757">
      <w:pPr>
        <w:pStyle w:val="FootnoteText"/>
        <w:rPr>
          <w:sz w:val="18"/>
        </w:rPr>
      </w:pPr>
      <w:r>
        <w:rPr>
          <w:rStyle w:val="FootnoteReference"/>
        </w:rPr>
        <w:footnoteRef/>
      </w:r>
      <w:r>
        <w:rPr>
          <w:sz w:val="18"/>
          <w:lang w:val="en-US"/>
        </w:rPr>
        <w:t xml:space="preserve"> </w:t>
      </w:r>
      <w:r>
        <w:rPr>
          <w:sz w:val="18"/>
        </w:rPr>
        <w:t xml:space="preserve">Седми доклад за икономическо, социално и териториално сближаване, </w:t>
      </w:r>
      <w:hyperlink r:id="rId1" w:history="1">
        <w:r w:rsidRPr="00A71427">
          <w:rPr>
            <w:rStyle w:val="Hyperlink"/>
            <w:sz w:val="18"/>
          </w:rPr>
          <w:t>https://ec.europa.eu/regional_policy/sources/docoffic/official/reports/cohesion7/7cr_bg.pdf</w:t>
        </w:r>
      </w:hyperlink>
      <w:r>
        <w:rPr>
          <w:sz w:val="18"/>
        </w:rPr>
        <w:t xml:space="preserve"> </w:t>
      </w:r>
    </w:p>
  </w:footnote>
  <w:footnote w:id="4">
    <w:p w14:paraId="6A459832" w14:textId="1366F75F" w:rsidR="00A005AA" w:rsidRDefault="00A005AA" w:rsidP="00722757">
      <w:pPr>
        <w:pStyle w:val="FootnoteText"/>
      </w:pPr>
      <w:r w:rsidRPr="00144B43">
        <w:rPr>
          <w:rStyle w:val="FootnoteReference"/>
        </w:rPr>
        <w:footnoteRef/>
      </w:r>
      <w:r w:rsidRPr="00144B43">
        <w:t xml:space="preserve"> С изключение на специфичната цел, посочена в член 4, </w:t>
      </w:r>
      <w:r w:rsidRPr="00964E5E">
        <w:t>параграф 1</w:t>
      </w:r>
      <w:r w:rsidRPr="00584F2A">
        <w:t xml:space="preserve">, </w:t>
      </w:r>
      <w:bookmarkStart w:id="1" w:name="_Hlk27407812"/>
      <w:r w:rsidRPr="00584F2A">
        <w:t xml:space="preserve">(xi) </w:t>
      </w:r>
      <w:bookmarkEnd w:id="1"/>
      <w:r w:rsidRPr="00584F2A">
        <w:t>от Регламента за ЕСФ+ .</w:t>
      </w:r>
    </w:p>
  </w:footnote>
  <w:footnote w:id="5">
    <w:p w14:paraId="1F5D3219" w14:textId="77777777" w:rsidR="00A005AA" w:rsidRPr="00E561BE" w:rsidRDefault="00A005AA" w:rsidP="00681536">
      <w:pPr>
        <w:pStyle w:val="FootnoteText"/>
      </w:pPr>
      <w:r>
        <w:rPr>
          <w:rStyle w:val="FootnoteReference"/>
        </w:rPr>
        <w:footnoteRef/>
      </w:r>
      <w:r>
        <w:t xml:space="preserve"> Преди междинния преглед през 2025 г. за ЕФРР, ЕСФ+ и КФ, разбивка за 2021 – 2025 г.</w:t>
      </w:r>
    </w:p>
    <w:p w14:paraId="76BEAC66" w14:textId="5557ACF7" w:rsidR="00A005AA" w:rsidRPr="00681536" w:rsidRDefault="00A005AA">
      <w:pPr>
        <w:pStyle w:val="FootnoteText"/>
        <w:rPr>
          <w:lang w:val="en-US"/>
        </w:rPr>
      </w:pPr>
    </w:p>
  </w:footnote>
  <w:footnote w:id="6">
    <w:p w14:paraId="1602AA82" w14:textId="5C4C957F" w:rsidR="00A005AA" w:rsidRPr="00681536" w:rsidRDefault="00A005AA" w:rsidP="00681536">
      <w:pPr>
        <w:pStyle w:val="FootnoteText"/>
      </w:pPr>
      <w:r>
        <w:rPr>
          <w:rStyle w:val="FootnoteReference"/>
        </w:rPr>
        <w:footnoteRef/>
      </w:r>
      <w:r>
        <w:t xml:space="preserve"> Преди междинния преглед през 2025 г. за ЕФРР, ЕСФ+ и КФ, разбивка за 2021 – 2025 г.</w:t>
      </w:r>
    </w:p>
  </w:footnote>
  <w:footnote w:id="7">
    <w:p w14:paraId="2849DD7F" w14:textId="6AA3045D" w:rsidR="00A005AA" w:rsidRPr="00584F2A" w:rsidRDefault="00A005AA" w:rsidP="009347AE">
      <w:pPr>
        <w:pStyle w:val="FootnoteText"/>
        <w:ind w:left="0" w:hanging="11"/>
        <w:rPr>
          <w:lang w:val="en-US"/>
        </w:rPr>
      </w:pPr>
      <w:r w:rsidRPr="000172CA">
        <w:rPr>
          <w:rStyle w:val="FootnoteReference"/>
        </w:rPr>
        <w:footnoteRef/>
      </w:r>
      <w:r w:rsidRPr="000172CA">
        <w:t xml:space="preserve"> </w:t>
      </w:r>
      <w:r w:rsidRPr="00584F2A">
        <w:t>Само за програми, ограничени до специфична цел, посочена в член 4, параграф 1,  (xi) буква в), точка vii)  от регламента за ЕСФ +</w:t>
      </w:r>
      <w:r w:rsidRPr="000172CA">
        <w:rPr>
          <w:lang w:val="en-US"/>
        </w:rPr>
        <w:t>.</w:t>
      </w:r>
    </w:p>
  </w:footnote>
  <w:footnote w:id="8">
    <w:p w14:paraId="021AE388" w14:textId="7798B47E" w:rsidR="00A005AA" w:rsidRDefault="00A005AA" w:rsidP="00011DE0">
      <w:pPr>
        <w:pStyle w:val="FootnoteText"/>
        <w:ind w:left="0" w:hanging="11"/>
      </w:pPr>
      <w:r w:rsidRPr="00584F2A">
        <w:rPr>
          <w:rStyle w:val="FootnoteReference"/>
        </w:rPr>
        <w:footnoteRef/>
      </w:r>
      <w:r w:rsidRPr="00584F2A">
        <w:rPr>
          <w:lang w:val="en-US"/>
        </w:rPr>
        <w:t xml:space="preserve"> </w:t>
      </w:r>
      <w:r w:rsidRPr="00584F2A">
        <w:t>С изключение на специфичната цел, посочена в член 4, параграф 1, (xi) буква в), от регламента за ЕСФ+.</w:t>
      </w:r>
    </w:p>
    <w:p w14:paraId="34C30716" w14:textId="5C978CB4" w:rsidR="00A005AA" w:rsidRDefault="00A005AA" w:rsidP="009347AE">
      <w:pPr>
        <w:pStyle w:val="FootnoteText"/>
        <w:ind w:left="0" w:hanging="11"/>
      </w:pPr>
    </w:p>
  </w:footnote>
  <w:footnote w:id="9">
    <w:p w14:paraId="36D7047F" w14:textId="77777777" w:rsidR="00A005AA" w:rsidRDefault="00A005AA" w:rsidP="00B819DB">
      <w:pPr>
        <w:pStyle w:val="FootnoteText"/>
        <w:ind w:left="142" w:hanging="142"/>
      </w:pPr>
      <w:r w:rsidRPr="00820D13">
        <w:rPr>
          <w:rStyle w:val="FootnoteReference"/>
        </w:rPr>
        <w:footnoteRef/>
      </w:r>
      <w:r w:rsidRPr="00820D13">
        <w:t xml:space="preserve">  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p>
  </w:footnote>
  <w:footnote w:id="10">
    <w:p w14:paraId="75D18343" w14:textId="6884BA62" w:rsidR="00A005AA" w:rsidRPr="00E561BE" w:rsidRDefault="00A005AA">
      <w:pPr>
        <w:pStyle w:val="FootnoteText"/>
      </w:pPr>
      <w:r>
        <w:rPr>
          <w:rStyle w:val="FootnoteReference"/>
        </w:rPr>
        <w:footnoteRef/>
      </w:r>
      <w:r>
        <w:t xml:space="preserve"> </w:t>
      </w:r>
      <w:bookmarkStart w:id="7" w:name="_Hlk62567513"/>
      <w:r>
        <w:t>Преди междинния преглед през 2025 г. за ЕФРР, ЕСФ+ и КФ, разбивка за 2021 – 2025 г.</w:t>
      </w:r>
    </w:p>
    <w:bookmarkEnd w:id="7"/>
  </w:footnote>
  <w:footnote w:id="11">
    <w:p w14:paraId="4FD4515B" w14:textId="77777777" w:rsidR="00A005AA" w:rsidRDefault="00A005AA"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2">
    <w:p w14:paraId="1F420121" w14:textId="77777777" w:rsidR="00A005AA" w:rsidRDefault="00A005AA"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3">
    <w:p w14:paraId="002D9BF4" w14:textId="77777777" w:rsidR="00A005AA" w:rsidRDefault="00A005AA"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70C499DB" w14:textId="77777777" w:rsidR="00A005AA" w:rsidRDefault="00A005AA" w:rsidP="00380438">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5">
    <w:p w14:paraId="71A9A49A" w14:textId="77777777" w:rsidR="00A005AA" w:rsidRDefault="00A005AA" w:rsidP="00BB5697">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6">
    <w:p w14:paraId="141C9E69" w14:textId="77777777" w:rsidR="00A005AA" w:rsidRDefault="00A005AA" w:rsidP="00BB5697">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7">
    <w:p w14:paraId="3EF1E3E0" w14:textId="77777777" w:rsidR="00A005AA" w:rsidRDefault="00A005AA" w:rsidP="001F38AE">
      <w:pPr>
        <w:pStyle w:val="FootnoteText"/>
        <w:ind w:left="0" w:firstLine="0"/>
      </w:pPr>
      <w:r>
        <w:rPr>
          <w:rStyle w:val="FootnoteReference"/>
        </w:rPr>
        <w:footnoteRef/>
      </w:r>
      <w:r>
        <w:t xml:space="preserve"> </w:t>
      </w:r>
      <w:r>
        <w:t>Само за програми, ограничени до специфична цел, посочена в член 4, параграф 1, буква в), точка vii) от регламента за ЕСФ + .</w:t>
      </w:r>
    </w:p>
  </w:footnote>
  <w:footnote w:id="18">
    <w:p w14:paraId="60BFD207" w14:textId="77777777" w:rsidR="00A005AA" w:rsidRDefault="00A005AA" w:rsidP="00722757">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19">
    <w:p w14:paraId="6198F2E0" w14:textId="77777777" w:rsidR="00A005AA" w:rsidRDefault="00A005AA" w:rsidP="00722757">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45CC" w14:textId="77777777" w:rsidR="00A005AA" w:rsidRDefault="00A005AA">
    <w:pPr>
      <w:pStyle w:val="Footer"/>
      <w:pBdr>
        <w:bottom w:val="single" w:sz="4" w:space="1" w:color="7B6F46"/>
      </w:pBdr>
      <w:tabs>
        <w:tab w:val="right" w:pos="8820"/>
      </w:tabs>
      <w:ind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9F0D" w14:textId="77777777" w:rsidR="00A005AA" w:rsidRDefault="00A005AA">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8C0F" w14:textId="77777777" w:rsidR="00A005AA" w:rsidRDefault="00A005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079D" w14:textId="77777777" w:rsidR="00A005AA" w:rsidRDefault="00A005AA">
    <w:pPr>
      <w:pStyle w:val="Footer"/>
      <w:pBdr>
        <w:bottom w:val="single" w:sz="4" w:space="1" w:color="7B6F46"/>
      </w:pBdr>
      <w:tabs>
        <w:tab w:val="right" w:pos="8820"/>
      </w:tabs>
      <w:ind w:right="3027"/>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8D98" w14:textId="77777777" w:rsidR="00A005AA" w:rsidRDefault="00A005AA">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41D21" w14:textId="77777777" w:rsidR="00A005AA" w:rsidRDefault="00A005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8BE5" w14:textId="77777777" w:rsidR="00A005AA" w:rsidRDefault="00A005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F05D" w14:textId="77777777" w:rsidR="00A005AA" w:rsidRDefault="00A005AA">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961A" w14:textId="77777777" w:rsidR="00A005AA" w:rsidRDefault="00A005A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2D94" w14:textId="77777777" w:rsidR="00A005AA" w:rsidRDefault="00A005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1710" w14:textId="77777777" w:rsidR="00A005AA" w:rsidRDefault="00A005A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CFD2" w14:textId="77777777" w:rsidR="00A005AA" w:rsidRDefault="00A0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CCA" w14:textId="77777777" w:rsidR="00A005AA" w:rsidRDefault="00A005AA">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70A8" w14:textId="77777777" w:rsidR="00A005AA" w:rsidRDefault="00A00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CE1D" w14:textId="77777777" w:rsidR="00A005AA" w:rsidRDefault="00A005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7EE4" w14:textId="77777777" w:rsidR="00A005AA" w:rsidRDefault="00A005AA">
    <w:pPr>
      <w:pStyle w:val="Footer"/>
      <w:pBdr>
        <w:bottom w:val="single" w:sz="4" w:space="1" w:color="7B6F46"/>
      </w:pBdr>
      <w:tabs>
        <w:tab w:val="right" w:pos="8820"/>
      </w:tabs>
      <w:ind w:right="302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4AAB" w14:textId="77777777" w:rsidR="00A005AA" w:rsidRDefault="00A005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6F4D" w14:textId="77777777" w:rsidR="00A005AA" w:rsidRDefault="00A005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98A7" w14:textId="77777777" w:rsidR="00A005AA" w:rsidRDefault="00A005AA">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8274B7"/>
    <w:multiLevelType w:val="hybridMultilevel"/>
    <w:tmpl w:val="A73C3F98"/>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9"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3B0583"/>
    <w:multiLevelType w:val="hybridMultilevel"/>
    <w:tmpl w:val="243A512E"/>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BD62995"/>
    <w:multiLevelType w:val="hybridMultilevel"/>
    <w:tmpl w:val="F2B6D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212F44C0"/>
    <w:multiLevelType w:val="hybridMultilevel"/>
    <w:tmpl w:val="93D4B0A4"/>
    <w:lvl w:ilvl="0" w:tplc="53626858">
      <w:start w:val="1"/>
      <w:numFmt w:val="bullet"/>
      <w:lvlText w:val="-"/>
      <w:lvlJc w:val="left"/>
      <w:pPr>
        <w:ind w:left="385" w:hanging="360"/>
      </w:pPr>
      <w:rPr>
        <w:rFonts w:ascii="Times New Roman" w:eastAsia="Times New Roman" w:hAnsi="Times New Roman" w:cs="Times New Roman" w:hint="default"/>
      </w:rPr>
    </w:lvl>
    <w:lvl w:ilvl="1" w:tplc="04020003" w:tentative="1">
      <w:start w:val="1"/>
      <w:numFmt w:val="bullet"/>
      <w:lvlText w:val="o"/>
      <w:lvlJc w:val="left"/>
      <w:pPr>
        <w:ind w:left="1105" w:hanging="360"/>
      </w:pPr>
      <w:rPr>
        <w:rFonts w:ascii="Courier New" w:hAnsi="Courier New" w:cs="Courier New" w:hint="default"/>
      </w:rPr>
    </w:lvl>
    <w:lvl w:ilvl="2" w:tplc="04020005" w:tentative="1">
      <w:start w:val="1"/>
      <w:numFmt w:val="bullet"/>
      <w:lvlText w:val=""/>
      <w:lvlJc w:val="left"/>
      <w:pPr>
        <w:ind w:left="1825" w:hanging="360"/>
      </w:pPr>
      <w:rPr>
        <w:rFonts w:ascii="Wingdings" w:hAnsi="Wingdings" w:hint="default"/>
      </w:rPr>
    </w:lvl>
    <w:lvl w:ilvl="3" w:tplc="04020001" w:tentative="1">
      <w:start w:val="1"/>
      <w:numFmt w:val="bullet"/>
      <w:lvlText w:val=""/>
      <w:lvlJc w:val="left"/>
      <w:pPr>
        <w:ind w:left="2545" w:hanging="360"/>
      </w:pPr>
      <w:rPr>
        <w:rFonts w:ascii="Symbol" w:hAnsi="Symbol" w:hint="default"/>
      </w:rPr>
    </w:lvl>
    <w:lvl w:ilvl="4" w:tplc="04020003" w:tentative="1">
      <w:start w:val="1"/>
      <w:numFmt w:val="bullet"/>
      <w:lvlText w:val="o"/>
      <w:lvlJc w:val="left"/>
      <w:pPr>
        <w:ind w:left="3265" w:hanging="360"/>
      </w:pPr>
      <w:rPr>
        <w:rFonts w:ascii="Courier New" w:hAnsi="Courier New" w:cs="Courier New" w:hint="default"/>
      </w:rPr>
    </w:lvl>
    <w:lvl w:ilvl="5" w:tplc="04020005" w:tentative="1">
      <w:start w:val="1"/>
      <w:numFmt w:val="bullet"/>
      <w:lvlText w:val=""/>
      <w:lvlJc w:val="left"/>
      <w:pPr>
        <w:ind w:left="3985" w:hanging="360"/>
      </w:pPr>
      <w:rPr>
        <w:rFonts w:ascii="Wingdings" w:hAnsi="Wingdings" w:hint="default"/>
      </w:rPr>
    </w:lvl>
    <w:lvl w:ilvl="6" w:tplc="04020001" w:tentative="1">
      <w:start w:val="1"/>
      <w:numFmt w:val="bullet"/>
      <w:lvlText w:val=""/>
      <w:lvlJc w:val="left"/>
      <w:pPr>
        <w:ind w:left="4705" w:hanging="360"/>
      </w:pPr>
      <w:rPr>
        <w:rFonts w:ascii="Symbol" w:hAnsi="Symbol" w:hint="default"/>
      </w:rPr>
    </w:lvl>
    <w:lvl w:ilvl="7" w:tplc="04020003" w:tentative="1">
      <w:start w:val="1"/>
      <w:numFmt w:val="bullet"/>
      <w:lvlText w:val="o"/>
      <w:lvlJc w:val="left"/>
      <w:pPr>
        <w:ind w:left="5425" w:hanging="360"/>
      </w:pPr>
      <w:rPr>
        <w:rFonts w:ascii="Courier New" w:hAnsi="Courier New" w:cs="Courier New" w:hint="default"/>
      </w:rPr>
    </w:lvl>
    <w:lvl w:ilvl="8" w:tplc="04020005" w:tentative="1">
      <w:start w:val="1"/>
      <w:numFmt w:val="bullet"/>
      <w:lvlText w:val=""/>
      <w:lvlJc w:val="left"/>
      <w:pPr>
        <w:ind w:left="6145" w:hanging="360"/>
      </w:pPr>
      <w:rPr>
        <w:rFonts w:ascii="Wingdings" w:hAnsi="Wingdings" w:hint="default"/>
      </w:rPr>
    </w:lvl>
  </w:abstractNum>
  <w:abstractNum w:abstractNumId="2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2595D"/>
    <w:multiLevelType w:val="hybridMultilevel"/>
    <w:tmpl w:val="3C8E9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9C76EF2"/>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C765FFF"/>
    <w:multiLevelType w:val="hybridMultilevel"/>
    <w:tmpl w:val="0C9AD6D4"/>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2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15:restartNumberingAfterBreak="0">
    <w:nsid w:val="2D704AB6"/>
    <w:multiLevelType w:val="hybridMultilevel"/>
    <w:tmpl w:val="ECFAFC1A"/>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2" w15:restartNumberingAfterBreak="0">
    <w:nsid w:val="35A24B46"/>
    <w:multiLevelType w:val="hybridMultilevel"/>
    <w:tmpl w:val="EE9EC4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66B6433"/>
    <w:multiLevelType w:val="hybridMultilevel"/>
    <w:tmpl w:val="72EEA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9" w15:restartNumberingAfterBreak="0">
    <w:nsid w:val="45297738"/>
    <w:multiLevelType w:val="hybridMultilevel"/>
    <w:tmpl w:val="F35C9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29D087F"/>
    <w:multiLevelType w:val="hybridMultilevel"/>
    <w:tmpl w:val="4E84AF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CFA20AE"/>
    <w:multiLevelType w:val="hybridMultilevel"/>
    <w:tmpl w:val="CA584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5F7E1E15"/>
    <w:multiLevelType w:val="hybridMultilevel"/>
    <w:tmpl w:val="CDF6D3E6"/>
    <w:lvl w:ilvl="0" w:tplc="E8DE14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09D36EB"/>
    <w:multiLevelType w:val="hybridMultilevel"/>
    <w:tmpl w:val="276CB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0"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1" w15:restartNumberingAfterBreak="0">
    <w:nsid w:val="69355768"/>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C50760D"/>
    <w:multiLevelType w:val="hybridMultilevel"/>
    <w:tmpl w:val="328EE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65"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773B6D50"/>
    <w:multiLevelType w:val="hybridMultilevel"/>
    <w:tmpl w:val="4E58FA84"/>
    <w:lvl w:ilvl="0" w:tplc="3D9C0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9"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4"/>
  </w:num>
  <w:num w:numId="2">
    <w:abstractNumId w:val="44"/>
  </w:num>
  <w:num w:numId="3">
    <w:abstractNumId w:val="6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55"/>
  </w:num>
  <w:num w:numId="12">
    <w:abstractNumId w:val="58"/>
  </w:num>
  <w:num w:numId="13">
    <w:abstractNumId w:val="57"/>
  </w:num>
  <w:num w:numId="14">
    <w:abstractNumId w:val="63"/>
  </w:num>
  <w:num w:numId="15">
    <w:abstractNumId w:val="26"/>
  </w:num>
  <w:num w:numId="16">
    <w:abstractNumId w:val="37"/>
  </w:num>
  <w:num w:numId="17">
    <w:abstractNumId w:val="42"/>
  </w:num>
  <w:num w:numId="18">
    <w:abstractNumId w:val="40"/>
  </w:num>
  <w:num w:numId="19">
    <w:abstractNumId w:val="7"/>
  </w:num>
  <w:num w:numId="20">
    <w:abstractNumId w:val="43"/>
  </w:num>
  <w:num w:numId="21">
    <w:abstractNumId w:val="15"/>
  </w:num>
  <w:num w:numId="22">
    <w:abstractNumId w:val="41"/>
    <w:lvlOverride w:ilvl="0">
      <w:startOverride w:val="1"/>
    </w:lvlOverride>
  </w:num>
  <w:num w:numId="23">
    <w:abstractNumId w:val="50"/>
    <w:lvlOverride w:ilvl="0">
      <w:startOverride w:val="1"/>
    </w:lvlOverride>
  </w:num>
  <w:num w:numId="24">
    <w:abstractNumId w:val="36"/>
  </w:num>
  <w:num w:numId="25">
    <w:abstractNumId w:val="59"/>
  </w:num>
  <w:num w:numId="26">
    <w:abstractNumId w:val="30"/>
  </w:num>
  <w:num w:numId="27">
    <w:abstractNumId w:val="38"/>
  </w:num>
  <w:num w:numId="28">
    <w:abstractNumId w:val="48"/>
  </w:num>
  <w:num w:numId="29">
    <w:abstractNumId w:val="49"/>
  </w:num>
  <w:num w:numId="30">
    <w:abstractNumId w:val="29"/>
  </w:num>
  <w:num w:numId="31">
    <w:abstractNumId w:val="47"/>
  </w:num>
  <w:num w:numId="32">
    <w:abstractNumId w:val="6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4"/>
  </w:num>
  <w:num w:numId="36">
    <w:abstractNumId w:val="12"/>
  </w:num>
  <w:num w:numId="37">
    <w:abstractNumId w:val="16"/>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9"/>
  </w:num>
  <w:num w:numId="42">
    <w:abstractNumId w:val="13"/>
  </w:num>
  <w:num w:numId="43">
    <w:abstractNumId w:val="10"/>
  </w:num>
  <w:num w:numId="44">
    <w:abstractNumId w:val="60"/>
  </w:num>
  <w:num w:numId="45">
    <w:abstractNumId w:val="56"/>
  </w:num>
  <w:num w:numId="46">
    <w:abstractNumId w:val="34"/>
  </w:num>
  <w:num w:numId="47">
    <w:abstractNumId w:val="27"/>
  </w:num>
  <w:num w:numId="48">
    <w:abstractNumId w:val="23"/>
  </w:num>
  <w:num w:numId="49">
    <w:abstractNumId w:val="61"/>
  </w:num>
  <w:num w:numId="50">
    <w:abstractNumId w:val="46"/>
  </w:num>
  <w:num w:numId="51">
    <w:abstractNumId w:val="52"/>
  </w:num>
  <w:num w:numId="52">
    <w:abstractNumId w:val="33"/>
  </w:num>
  <w:num w:numId="53">
    <w:abstractNumId w:val="67"/>
  </w:num>
  <w:num w:numId="54">
    <w:abstractNumId w:val="54"/>
  </w:num>
  <w:num w:numId="55">
    <w:abstractNumId w:val="21"/>
  </w:num>
  <w:num w:numId="56">
    <w:abstractNumId w:val="17"/>
  </w:num>
  <w:num w:numId="57">
    <w:abstractNumId w:val="45"/>
  </w:num>
  <w:num w:numId="58">
    <w:abstractNumId w:val="32"/>
  </w:num>
  <w:num w:numId="59">
    <w:abstractNumId w:val="53"/>
  </w:num>
  <w:num w:numId="60">
    <w:abstractNumId w:val="28"/>
  </w:num>
  <w:num w:numId="61">
    <w:abstractNumId w:val="31"/>
  </w:num>
  <w:num w:numId="62">
    <w:abstractNumId w:val="8"/>
  </w:num>
  <w:num w:numId="63">
    <w:abstractNumId w:val="25"/>
  </w:num>
  <w:num w:numId="64">
    <w:abstractNumId w:val="51"/>
  </w:num>
  <w:num w:numId="65">
    <w:abstractNumId w:val="19"/>
  </w:num>
  <w:num w:numId="66">
    <w:abstractNumId w:val="62"/>
  </w:num>
  <w:num w:numId="67">
    <w:abstractNumId w:val="39"/>
  </w:num>
  <w:num w:numId="68">
    <w:abstractNumId w:val="69"/>
  </w:num>
  <w:num w:numId="69">
    <w:abstractNumId w:val="66"/>
  </w:num>
  <w:num w:numId="70">
    <w:abstractNumId w:val="35"/>
  </w:num>
  <w:num w:numId="71">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2089"/>
    <w:rsid w:val="000022B4"/>
    <w:rsid w:val="000048BB"/>
    <w:rsid w:val="00005318"/>
    <w:rsid w:val="00006673"/>
    <w:rsid w:val="00011383"/>
    <w:rsid w:val="000114AF"/>
    <w:rsid w:val="00011B96"/>
    <w:rsid w:val="00011DE0"/>
    <w:rsid w:val="00012B71"/>
    <w:rsid w:val="0001342E"/>
    <w:rsid w:val="0001545D"/>
    <w:rsid w:val="000172CA"/>
    <w:rsid w:val="00017A4B"/>
    <w:rsid w:val="00020D67"/>
    <w:rsid w:val="000212E1"/>
    <w:rsid w:val="00022769"/>
    <w:rsid w:val="0002412D"/>
    <w:rsid w:val="000245ED"/>
    <w:rsid w:val="00024A84"/>
    <w:rsid w:val="00025158"/>
    <w:rsid w:val="00027396"/>
    <w:rsid w:val="00027847"/>
    <w:rsid w:val="00027C38"/>
    <w:rsid w:val="00027E58"/>
    <w:rsid w:val="00031CBD"/>
    <w:rsid w:val="000320EC"/>
    <w:rsid w:val="0003234E"/>
    <w:rsid w:val="00032AAA"/>
    <w:rsid w:val="00033E9F"/>
    <w:rsid w:val="0003411D"/>
    <w:rsid w:val="0003429C"/>
    <w:rsid w:val="00034722"/>
    <w:rsid w:val="00035882"/>
    <w:rsid w:val="0003687B"/>
    <w:rsid w:val="00037EE4"/>
    <w:rsid w:val="000408A8"/>
    <w:rsid w:val="00040945"/>
    <w:rsid w:val="00041035"/>
    <w:rsid w:val="00041FB6"/>
    <w:rsid w:val="000420F3"/>
    <w:rsid w:val="000421DC"/>
    <w:rsid w:val="000427DF"/>
    <w:rsid w:val="00043D39"/>
    <w:rsid w:val="000442AF"/>
    <w:rsid w:val="00044557"/>
    <w:rsid w:val="000448C9"/>
    <w:rsid w:val="00045DC0"/>
    <w:rsid w:val="00046144"/>
    <w:rsid w:val="00051412"/>
    <w:rsid w:val="000514F0"/>
    <w:rsid w:val="000521A6"/>
    <w:rsid w:val="00053EB6"/>
    <w:rsid w:val="0005400D"/>
    <w:rsid w:val="000554DD"/>
    <w:rsid w:val="00055821"/>
    <w:rsid w:val="00055DD7"/>
    <w:rsid w:val="00055EA7"/>
    <w:rsid w:val="00056133"/>
    <w:rsid w:val="00057345"/>
    <w:rsid w:val="00057EAA"/>
    <w:rsid w:val="0006046F"/>
    <w:rsid w:val="0006163C"/>
    <w:rsid w:val="000617E3"/>
    <w:rsid w:val="00061B89"/>
    <w:rsid w:val="00062241"/>
    <w:rsid w:val="0006364C"/>
    <w:rsid w:val="0006474C"/>
    <w:rsid w:val="00064B44"/>
    <w:rsid w:val="00064DF9"/>
    <w:rsid w:val="000659E5"/>
    <w:rsid w:val="00065AE8"/>
    <w:rsid w:val="000674F3"/>
    <w:rsid w:val="00071A32"/>
    <w:rsid w:val="00072501"/>
    <w:rsid w:val="00072555"/>
    <w:rsid w:val="000735CD"/>
    <w:rsid w:val="000753FC"/>
    <w:rsid w:val="00075875"/>
    <w:rsid w:val="000811AF"/>
    <w:rsid w:val="000811DA"/>
    <w:rsid w:val="000811FA"/>
    <w:rsid w:val="00081521"/>
    <w:rsid w:val="00081A1D"/>
    <w:rsid w:val="0008203E"/>
    <w:rsid w:val="0008367C"/>
    <w:rsid w:val="00083D7C"/>
    <w:rsid w:val="00084E76"/>
    <w:rsid w:val="000863EF"/>
    <w:rsid w:val="00086D9D"/>
    <w:rsid w:val="00087217"/>
    <w:rsid w:val="00091FBF"/>
    <w:rsid w:val="00092F00"/>
    <w:rsid w:val="00093C61"/>
    <w:rsid w:val="00093C7A"/>
    <w:rsid w:val="00093CA7"/>
    <w:rsid w:val="00094251"/>
    <w:rsid w:val="0009593D"/>
    <w:rsid w:val="00095F50"/>
    <w:rsid w:val="000976C8"/>
    <w:rsid w:val="0009789B"/>
    <w:rsid w:val="00097982"/>
    <w:rsid w:val="000A0215"/>
    <w:rsid w:val="000A06C6"/>
    <w:rsid w:val="000A2124"/>
    <w:rsid w:val="000A46D6"/>
    <w:rsid w:val="000A55F1"/>
    <w:rsid w:val="000A59E1"/>
    <w:rsid w:val="000A6564"/>
    <w:rsid w:val="000A6E76"/>
    <w:rsid w:val="000A798B"/>
    <w:rsid w:val="000B0323"/>
    <w:rsid w:val="000B0D99"/>
    <w:rsid w:val="000B1DCA"/>
    <w:rsid w:val="000B312B"/>
    <w:rsid w:val="000B3A50"/>
    <w:rsid w:val="000B3B67"/>
    <w:rsid w:val="000B480B"/>
    <w:rsid w:val="000B4964"/>
    <w:rsid w:val="000B4B5A"/>
    <w:rsid w:val="000B562D"/>
    <w:rsid w:val="000B57A4"/>
    <w:rsid w:val="000C115D"/>
    <w:rsid w:val="000C419C"/>
    <w:rsid w:val="000C4AB7"/>
    <w:rsid w:val="000C5A82"/>
    <w:rsid w:val="000C6451"/>
    <w:rsid w:val="000C7029"/>
    <w:rsid w:val="000D108A"/>
    <w:rsid w:val="000D1E7B"/>
    <w:rsid w:val="000D26BE"/>
    <w:rsid w:val="000D32AF"/>
    <w:rsid w:val="000D3A18"/>
    <w:rsid w:val="000D5423"/>
    <w:rsid w:val="000D5D8F"/>
    <w:rsid w:val="000E228D"/>
    <w:rsid w:val="000E377D"/>
    <w:rsid w:val="000E3914"/>
    <w:rsid w:val="000E3CA6"/>
    <w:rsid w:val="000E417F"/>
    <w:rsid w:val="000E466A"/>
    <w:rsid w:val="000E541D"/>
    <w:rsid w:val="000E5473"/>
    <w:rsid w:val="000E6052"/>
    <w:rsid w:val="000E6D91"/>
    <w:rsid w:val="000F0072"/>
    <w:rsid w:val="000F0786"/>
    <w:rsid w:val="000F12E0"/>
    <w:rsid w:val="000F1D9A"/>
    <w:rsid w:val="000F24F7"/>
    <w:rsid w:val="000F305B"/>
    <w:rsid w:val="000F7A8A"/>
    <w:rsid w:val="00100799"/>
    <w:rsid w:val="001013EF"/>
    <w:rsid w:val="00103977"/>
    <w:rsid w:val="00103AD4"/>
    <w:rsid w:val="00103BED"/>
    <w:rsid w:val="00103F3F"/>
    <w:rsid w:val="0010575B"/>
    <w:rsid w:val="00105903"/>
    <w:rsid w:val="00106D13"/>
    <w:rsid w:val="00107BF5"/>
    <w:rsid w:val="00110485"/>
    <w:rsid w:val="0011221F"/>
    <w:rsid w:val="0011293E"/>
    <w:rsid w:val="00115651"/>
    <w:rsid w:val="00117728"/>
    <w:rsid w:val="0011785E"/>
    <w:rsid w:val="00117DE8"/>
    <w:rsid w:val="0012010A"/>
    <w:rsid w:val="0012164D"/>
    <w:rsid w:val="00121E93"/>
    <w:rsid w:val="001220A2"/>
    <w:rsid w:val="001223DF"/>
    <w:rsid w:val="00123557"/>
    <w:rsid w:val="00123BA4"/>
    <w:rsid w:val="00124E41"/>
    <w:rsid w:val="0012596C"/>
    <w:rsid w:val="00125A49"/>
    <w:rsid w:val="0013039C"/>
    <w:rsid w:val="00130DAA"/>
    <w:rsid w:val="0013133C"/>
    <w:rsid w:val="001322BA"/>
    <w:rsid w:val="00133980"/>
    <w:rsid w:val="00133FC0"/>
    <w:rsid w:val="00134584"/>
    <w:rsid w:val="00134F48"/>
    <w:rsid w:val="00136A15"/>
    <w:rsid w:val="00136F34"/>
    <w:rsid w:val="00137181"/>
    <w:rsid w:val="001378E5"/>
    <w:rsid w:val="00137F6C"/>
    <w:rsid w:val="001400FE"/>
    <w:rsid w:val="0014095F"/>
    <w:rsid w:val="00140D4E"/>
    <w:rsid w:val="00142822"/>
    <w:rsid w:val="00143731"/>
    <w:rsid w:val="00144373"/>
    <w:rsid w:val="00144B43"/>
    <w:rsid w:val="001517A5"/>
    <w:rsid w:val="00151D1C"/>
    <w:rsid w:val="00152DD6"/>
    <w:rsid w:val="0015490E"/>
    <w:rsid w:val="001550FB"/>
    <w:rsid w:val="001556CA"/>
    <w:rsid w:val="00155F76"/>
    <w:rsid w:val="001560F4"/>
    <w:rsid w:val="00156B48"/>
    <w:rsid w:val="00160176"/>
    <w:rsid w:val="001609B4"/>
    <w:rsid w:val="001633A3"/>
    <w:rsid w:val="00164805"/>
    <w:rsid w:val="00165034"/>
    <w:rsid w:val="0016751B"/>
    <w:rsid w:val="00170951"/>
    <w:rsid w:val="001711DA"/>
    <w:rsid w:val="00171DED"/>
    <w:rsid w:val="00172120"/>
    <w:rsid w:val="001737E9"/>
    <w:rsid w:val="001738FB"/>
    <w:rsid w:val="00175299"/>
    <w:rsid w:val="0017676B"/>
    <w:rsid w:val="00180B1E"/>
    <w:rsid w:val="00182611"/>
    <w:rsid w:val="00182D6C"/>
    <w:rsid w:val="00183BFE"/>
    <w:rsid w:val="00184B98"/>
    <w:rsid w:val="00185F4A"/>
    <w:rsid w:val="001861AE"/>
    <w:rsid w:val="00190BA4"/>
    <w:rsid w:val="00192256"/>
    <w:rsid w:val="001935D9"/>
    <w:rsid w:val="0019521A"/>
    <w:rsid w:val="00196744"/>
    <w:rsid w:val="00196BBD"/>
    <w:rsid w:val="0019732B"/>
    <w:rsid w:val="001977B0"/>
    <w:rsid w:val="001A0244"/>
    <w:rsid w:val="001A089C"/>
    <w:rsid w:val="001A0EF4"/>
    <w:rsid w:val="001A1722"/>
    <w:rsid w:val="001A1B96"/>
    <w:rsid w:val="001A24B6"/>
    <w:rsid w:val="001A2CA2"/>
    <w:rsid w:val="001A4431"/>
    <w:rsid w:val="001A496C"/>
    <w:rsid w:val="001A4A80"/>
    <w:rsid w:val="001A514C"/>
    <w:rsid w:val="001A69D1"/>
    <w:rsid w:val="001B1DEC"/>
    <w:rsid w:val="001B1FC1"/>
    <w:rsid w:val="001B26A1"/>
    <w:rsid w:val="001B48FB"/>
    <w:rsid w:val="001B58C4"/>
    <w:rsid w:val="001B5E1C"/>
    <w:rsid w:val="001B709B"/>
    <w:rsid w:val="001B7C99"/>
    <w:rsid w:val="001B7CFA"/>
    <w:rsid w:val="001C05F6"/>
    <w:rsid w:val="001C25BC"/>
    <w:rsid w:val="001C328D"/>
    <w:rsid w:val="001C5C82"/>
    <w:rsid w:val="001C6917"/>
    <w:rsid w:val="001C7089"/>
    <w:rsid w:val="001C76D3"/>
    <w:rsid w:val="001D01F6"/>
    <w:rsid w:val="001D091E"/>
    <w:rsid w:val="001D3980"/>
    <w:rsid w:val="001D4D6D"/>
    <w:rsid w:val="001D6CE5"/>
    <w:rsid w:val="001D716F"/>
    <w:rsid w:val="001E0A49"/>
    <w:rsid w:val="001E0C07"/>
    <w:rsid w:val="001E1618"/>
    <w:rsid w:val="001E1C9F"/>
    <w:rsid w:val="001E28EB"/>
    <w:rsid w:val="001E3242"/>
    <w:rsid w:val="001E3E7E"/>
    <w:rsid w:val="001E3E7F"/>
    <w:rsid w:val="001E415D"/>
    <w:rsid w:val="001E41F5"/>
    <w:rsid w:val="001E504E"/>
    <w:rsid w:val="001E591A"/>
    <w:rsid w:val="001E5F5C"/>
    <w:rsid w:val="001E7F56"/>
    <w:rsid w:val="001F1458"/>
    <w:rsid w:val="001F2B9B"/>
    <w:rsid w:val="001F38AE"/>
    <w:rsid w:val="001F4CC9"/>
    <w:rsid w:val="001F5E1B"/>
    <w:rsid w:val="001F683A"/>
    <w:rsid w:val="001F695F"/>
    <w:rsid w:val="001F7885"/>
    <w:rsid w:val="001F7C23"/>
    <w:rsid w:val="0020057E"/>
    <w:rsid w:val="00201C92"/>
    <w:rsid w:val="00201F82"/>
    <w:rsid w:val="00201FC9"/>
    <w:rsid w:val="00202C1E"/>
    <w:rsid w:val="00202D54"/>
    <w:rsid w:val="0020470D"/>
    <w:rsid w:val="0020475A"/>
    <w:rsid w:val="002048D8"/>
    <w:rsid w:val="00204E75"/>
    <w:rsid w:val="00205100"/>
    <w:rsid w:val="0020608F"/>
    <w:rsid w:val="0020643E"/>
    <w:rsid w:val="00206C97"/>
    <w:rsid w:val="002071E4"/>
    <w:rsid w:val="002072D9"/>
    <w:rsid w:val="00210108"/>
    <w:rsid w:val="0021014C"/>
    <w:rsid w:val="00210569"/>
    <w:rsid w:val="0021158C"/>
    <w:rsid w:val="00211A2A"/>
    <w:rsid w:val="00211B9A"/>
    <w:rsid w:val="0021276E"/>
    <w:rsid w:val="002127B4"/>
    <w:rsid w:val="00212B72"/>
    <w:rsid w:val="0021376F"/>
    <w:rsid w:val="00213E29"/>
    <w:rsid w:val="002157D2"/>
    <w:rsid w:val="0021665F"/>
    <w:rsid w:val="002179E8"/>
    <w:rsid w:val="002209C9"/>
    <w:rsid w:val="00220C43"/>
    <w:rsid w:val="002229A9"/>
    <w:rsid w:val="002243D6"/>
    <w:rsid w:val="002245E4"/>
    <w:rsid w:val="00225227"/>
    <w:rsid w:val="0022545E"/>
    <w:rsid w:val="00225583"/>
    <w:rsid w:val="00226299"/>
    <w:rsid w:val="002271D6"/>
    <w:rsid w:val="0022791F"/>
    <w:rsid w:val="002309D9"/>
    <w:rsid w:val="00230D17"/>
    <w:rsid w:val="00231763"/>
    <w:rsid w:val="00231A91"/>
    <w:rsid w:val="00232176"/>
    <w:rsid w:val="0023221E"/>
    <w:rsid w:val="002322A1"/>
    <w:rsid w:val="002333FB"/>
    <w:rsid w:val="00235260"/>
    <w:rsid w:val="0023556D"/>
    <w:rsid w:val="00235D09"/>
    <w:rsid w:val="00236674"/>
    <w:rsid w:val="002374E7"/>
    <w:rsid w:val="00237AA2"/>
    <w:rsid w:val="002412A1"/>
    <w:rsid w:val="002421EB"/>
    <w:rsid w:val="0024371E"/>
    <w:rsid w:val="00244A5A"/>
    <w:rsid w:val="0024579F"/>
    <w:rsid w:val="00246263"/>
    <w:rsid w:val="00250902"/>
    <w:rsid w:val="00250B95"/>
    <w:rsid w:val="002514D4"/>
    <w:rsid w:val="00252048"/>
    <w:rsid w:val="00252A42"/>
    <w:rsid w:val="00252EAE"/>
    <w:rsid w:val="00253537"/>
    <w:rsid w:val="00254179"/>
    <w:rsid w:val="00254900"/>
    <w:rsid w:val="00254A91"/>
    <w:rsid w:val="0025520A"/>
    <w:rsid w:val="00255312"/>
    <w:rsid w:val="00257205"/>
    <w:rsid w:val="00257955"/>
    <w:rsid w:val="002648C1"/>
    <w:rsid w:val="00265509"/>
    <w:rsid w:val="00265F59"/>
    <w:rsid w:val="002677FB"/>
    <w:rsid w:val="00270347"/>
    <w:rsid w:val="00270F28"/>
    <w:rsid w:val="00271B6B"/>
    <w:rsid w:val="00272CEC"/>
    <w:rsid w:val="0027341F"/>
    <w:rsid w:val="002743BE"/>
    <w:rsid w:val="002755CC"/>
    <w:rsid w:val="00277D7B"/>
    <w:rsid w:val="00280644"/>
    <w:rsid w:val="00280E1F"/>
    <w:rsid w:val="00280F74"/>
    <w:rsid w:val="002818C3"/>
    <w:rsid w:val="00284F87"/>
    <w:rsid w:val="002856AF"/>
    <w:rsid w:val="00285B82"/>
    <w:rsid w:val="00286369"/>
    <w:rsid w:val="00287366"/>
    <w:rsid w:val="00290B5A"/>
    <w:rsid w:val="00290CF7"/>
    <w:rsid w:val="002919A4"/>
    <w:rsid w:val="00293C9E"/>
    <w:rsid w:val="00294BE1"/>
    <w:rsid w:val="0029560B"/>
    <w:rsid w:val="0029626B"/>
    <w:rsid w:val="0029668F"/>
    <w:rsid w:val="00296AEC"/>
    <w:rsid w:val="00297834"/>
    <w:rsid w:val="002A34F4"/>
    <w:rsid w:val="002A4551"/>
    <w:rsid w:val="002A468C"/>
    <w:rsid w:val="002A4A47"/>
    <w:rsid w:val="002A5A71"/>
    <w:rsid w:val="002A6306"/>
    <w:rsid w:val="002A6B79"/>
    <w:rsid w:val="002A7CD6"/>
    <w:rsid w:val="002B0324"/>
    <w:rsid w:val="002B0935"/>
    <w:rsid w:val="002B1471"/>
    <w:rsid w:val="002B5043"/>
    <w:rsid w:val="002B5751"/>
    <w:rsid w:val="002B5E49"/>
    <w:rsid w:val="002C114D"/>
    <w:rsid w:val="002C12A2"/>
    <w:rsid w:val="002C1870"/>
    <w:rsid w:val="002C22FD"/>
    <w:rsid w:val="002C255A"/>
    <w:rsid w:val="002C2B03"/>
    <w:rsid w:val="002C392B"/>
    <w:rsid w:val="002C40B8"/>
    <w:rsid w:val="002C417E"/>
    <w:rsid w:val="002C5FB9"/>
    <w:rsid w:val="002C6902"/>
    <w:rsid w:val="002C6E41"/>
    <w:rsid w:val="002D0636"/>
    <w:rsid w:val="002D1B2F"/>
    <w:rsid w:val="002D2FC1"/>
    <w:rsid w:val="002D355C"/>
    <w:rsid w:val="002D367A"/>
    <w:rsid w:val="002D3707"/>
    <w:rsid w:val="002D3E66"/>
    <w:rsid w:val="002D4480"/>
    <w:rsid w:val="002D50B2"/>
    <w:rsid w:val="002D5236"/>
    <w:rsid w:val="002D6636"/>
    <w:rsid w:val="002D728D"/>
    <w:rsid w:val="002D76F4"/>
    <w:rsid w:val="002D7F1D"/>
    <w:rsid w:val="002E1DD1"/>
    <w:rsid w:val="002E2B64"/>
    <w:rsid w:val="002E400B"/>
    <w:rsid w:val="002E5F36"/>
    <w:rsid w:val="002E6799"/>
    <w:rsid w:val="002E6C46"/>
    <w:rsid w:val="002E6FE3"/>
    <w:rsid w:val="002E7954"/>
    <w:rsid w:val="002F171B"/>
    <w:rsid w:val="002F3D87"/>
    <w:rsid w:val="002F41B0"/>
    <w:rsid w:val="002F4C9A"/>
    <w:rsid w:val="002F4E5B"/>
    <w:rsid w:val="002F7966"/>
    <w:rsid w:val="002F7D0E"/>
    <w:rsid w:val="00302DB8"/>
    <w:rsid w:val="00302DC9"/>
    <w:rsid w:val="00302FC9"/>
    <w:rsid w:val="003030D6"/>
    <w:rsid w:val="00303E24"/>
    <w:rsid w:val="00305D85"/>
    <w:rsid w:val="0030640A"/>
    <w:rsid w:val="0030678E"/>
    <w:rsid w:val="00307597"/>
    <w:rsid w:val="00307ABA"/>
    <w:rsid w:val="00310263"/>
    <w:rsid w:val="00311294"/>
    <w:rsid w:val="00311C5A"/>
    <w:rsid w:val="00312A37"/>
    <w:rsid w:val="003146B0"/>
    <w:rsid w:val="0031616A"/>
    <w:rsid w:val="003164F7"/>
    <w:rsid w:val="0032087C"/>
    <w:rsid w:val="0032281B"/>
    <w:rsid w:val="003240FF"/>
    <w:rsid w:val="0032577F"/>
    <w:rsid w:val="0033049F"/>
    <w:rsid w:val="00330A37"/>
    <w:rsid w:val="003327E4"/>
    <w:rsid w:val="00332BEE"/>
    <w:rsid w:val="00332C27"/>
    <w:rsid w:val="00332E03"/>
    <w:rsid w:val="00335E6A"/>
    <w:rsid w:val="00336A11"/>
    <w:rsid w:val="003403BB"/>
    <w:rsid w:val="00340876"/>
    <w:rsid w:val="00342504"/>
    <w:rsid w:val="00342B8B"/>
    <w:rsid w:val="00342E03"/>
    <w:rsid w:val="00343A8E"/>
    <w:rsid w:val="00343B5C"/>
    <w:rsid w:val="00344CBF"/>
    <w:rsid w:val="0034676D"/>
    <w:rsid w:val="003471BF"/>
    <w:rsid w:val="00351467"/>
    <w:rsid w:val="00352BD6"/>
    <w:rsid w:val="00352E22"/>
    <w:rsid w:val="00353814"/>
    <w:rsid w:val="00353832"/>
    <w:rsid w:val="0035476A"/>
    <w:rsid w:val="00355CC3"/>
    <w:rsid w:val="003560C6"/>
    <w:rsid w:val="00356BE0"/>
    <w:rsid w:val="00356CA8"/>
    <w:rsid w:val="0035761A"/>
    <w:rsid w:val="00357CCD"/>
    <w:rsid w:val="00357F13"/>
    <w:rsid w:val="00357FFA"/>
    <w:rsid w:val="00360294"/>
    <w:rsid w:val="00360838"/>
    <w:rsid w:val="003616E2"/>
    <w:rsid w:val="00362AA1"/>
    <w:rsid w:val="00363698"/>
    <w:rsid w:val="00364B75"/>
    <w:rsid w:val="00365C8E"/>
    <w:rsid w:val="00370219"/>
    <w:rsid w:val="00372971"/>
    <w:rsid w:val="00373554"/>
    <w:rsid w:val="00373F7D"/>
    <w:rsid w:val="003747F3"/>
    <w:rsid w:val="003757DE"/>
    <w:rsid w:val="00376828"/>
    <w:rsid w:val="00376AE6"/>
    <w:rsid w:val="00380438"/>
    <w:rsid w:val="00381478"/>
    <w:rsid w:val="003823B4"/>
    <w:rsid w:val="0038352C"/>
    <w:rsid w:val="00384EF0"/>
    <w:rsid w:val="0038585B"/>
    <w:rsid w:val="00385A61"/>
    <w:rsid w:val="0038747C"/>
    <w:rsid w:val="00387751"/>
    <w:rsid w:val="00387E10"/>
    <w:rsid w:val="0039017A"/>
    <w:rsid w:val="003907F4"/>
    <w:rsid w:val="00390AB8"/>
    <w:rsid w:val="00390D27"/>
    <w:rsid w:val="00391530"/>
    <w:rsid w:val="003920DA"/>
    <w:rsid w:val="00392113"/>
    <w:rsid w:val="003927F0"/>
    <w:rsid w:val="00392C98"/>
    <w:rsid w:val="003931D3"/>
    <w:rsid w:val="003942A0"/>
    <w:rsid w:val="00394310"/>
    <w:rsid w:val="0039566C"/>
    <w:rsid w:val="003965C2"/>
    <w:rsid w:val="003976FA"/>
    <w:rsid w:val="003A132E"/>
    <w:rsid w:val="003A1E83"/>
    <w:rsid w:val="003A2C6F"/>
    <w:rsid w:val="003A2E8B"/>
    <w:rsid w:val="003A2F0D"/>
    <w:rsid w:val="003A3231"/>
    <w:rsid w:val="003A3A39"/>
    <w:rsid w:val="003A476F"/>
    <w:rsid w:val="003A48B0"/>
    <w:rsid w:val="003A4944"/>
    <w:rsid w:val="003A5CE3"/>
    <w:rsid w:val="003A5E7B"/>
    <w:rsid w:val="003A6110"/>
    <w:rsid w:val="003A72D8"/>
    <w:rsid w:val="003B04F1"/>
    <w:rsid w:val="003B3109"/>
    <w:rsid w:val="003B31A4"/>
    <w:rsid w:val="003B45F9"/>
    <w:rsid w:val="003B47E1"/>
    <w:rsid w:val="003B5300"/>
    <w:rsid w:val="003C0778"/>
    <w:rsid w:val="003C1046"/>
    <w:rsid w:val="003C17B1"/>
    <w:rsid w:val="003C193B"/>
    <w:rsid w:val="003C3715"/>
    <w:rsid w:val="003C3895"/>
    <w:rsid w:val="003C52EF"/>
    <w:rsid w:val="003C70CD"/>
    <w:rsid w:val="003C7FDC"/>
    <w:rsid w:val="003D0315"/>
    <w:rsid w:val="003D0E7E"/>
    <w:rsid w:val="003D0F2D"/>
    <w:rsid w:val="003D132A"/>
    <w:rsid w:val="003D1D43"/>
    <w:rsid w:val="003D45DF"/>
    <w:rsid w:val="003D4C7D"/>
    <w:rsid w:val="003D69FD"/>
    <w:rsid w:val="003D6DBA"/>
    <w:rsid w:val="003D77A7"/>
    <w:rsid w:val="003E0C7E"/>
    <w:rsid w:val="003E162D"/>
    <w:rsid w:val="003E1BF5"/>
    <w:rsid w:val="003E2AE8"/>
    <w:rsid w:val="003E3621"/>
    <w:rsid w:val="003E4672"/>
    <w:rsid w:val="003E570F"/>
    <w:rsid w:val="003E6C61"/>
    <w:rsid w:val="003F0816"/>
    <w:rsid w:val="003F35EE"/>
    <w:rsid w:val="003F3B08"/>
    <w:rsid w:val="003F4B8A"/>
    <w:rsid w:val="003F5619"/>
    <w:rsid w:val="003F5707"/>
    <w:rsid w:val="003F61C3"/>
    <w:rsid w:val="0040028A"/>
    <w:rsid w:val="00402EEA"/>
    <w:rsid w:val="00403A7C"/>
    <w:rsid w:val="00404D8A"/>
    <w:rsid w:val="00405094"/>
    <w:rsid w:val="00405A82"/>
    <w:rsid w:val="0040658D"/>
    <w:rsid w:val="00406F99"/>
    <w:rsid w:val="00411826"/>
    <w:rsid w:val="004118CC"/>
    <w:rsid w:val="00411BBC"/>
    <w:rsid w:val="00411C97"/>
    <w:rsid w:val="00412140"/>
    <w:rsid w:val="00412DE1"/>
    <w:rsid w:val="00413772"/>
    <w:rsid w:val="00413816"/>
    <w:rsid w:val="00413A7C"/>
    <w:rsid w:val="00414628"/>
    <w:rsid w:val="004148FC"/>
    <w:rsid w:val="00414F6B"/>
    <w:rsid w:val="004155B5"/>
    <w:rsid w:val="00416452"/>
    <w:rsid w:val="00417C0E"/>
    <w:rsid w:val="0042045A"/>
    <w:rsid w:val="004206C9"/>
    <w:rsid w:val="004214EA"/>
    <w:rsid w:val="00421F10"/>
    <w:rsid w:val="00430589"/>
    <w:rsid w:val="00430C0F"/>
    <w:rsid w:val="004334B6"/>
    <w:rsid w:val="00433D30"/>
    <w:rsid w:val="00434159"/>
    <w:rsid w:val="00435321"/>
    <w:rsid w:val="004353F4"/>
    <w:rsid w:val="00435ABA"/>
    <w:rsid w:val="00436485"/>
    <w:rsid w:val="0044100D"/>
    <w:rsid w:val="00441726"/>
    <w:rsid w:val="004428AF"/>
    <w:rsid w:val="00442A2A"/>
    <w:rsid w:val="00443515"/>
    <w:rsid w:val="00443B29"/>
    <w:rsid w:val="00444370"/>
    <w:rsid w:val="00444779"/>
    <w:rsid w:val="00446088"/>
    <w:rsid w:val="004462D2"/>
    <w:rsid w:val="004474C4"/>
    <w:rsid w:val="00453F95"/>
    <w:rsid w:val="00454190"/>
    <w:rsid w:val="00454F7E"/>
    <w:rsid w:val="00455249"/>
    <w:rsid w:val="004557A8"/>
    <w:rsid w:val="004563AB"/>
    <w:rsid w:val="00456C31"/>
    <w:rsid w:val="00456C39"/>
    <w:rsid w:val="00456F75"/>
    <w:rsid w:val="00460072"/>
    <w:rsid w:val="004602EF"/>
    <w:rsid w:val="004602F4"/>
    <w:rsid w:val="00460CA9"/>
    <w:rsid w:val="004611D4"/>
    <w:rsid w:val="0046175F"/>
    <w:rsid w:val="004628D7"/>
    <w:rsid w:val="0046339B"/>
    <w:rsid w:val="004635AC"/>
    <w:rsid w:val="004653AF"/>
    <w:rsid w:val="00466C54"/>
    <w:rsid w:val="00467E3C"/>
    <w:rsid w:val="00471D8F"/>
    <w:rsid w:val="0047224F"/>
    <w:rsid w:val="00473073"/>
    <w:rsid w:val="00473FFF"/>
    <w:rsid w:val="004745D5"/>
    <w:rsid w:val="00475516"/>
    <w:rsid w:val="004756F8"/>
    <w:rsid w:val="00475C4D"/>
    <w:rsid w:val="0047785D"/>
    <w:rsid w:val="00477E07"/>
    <w:rsid w:val="0048098A"/>
    <w:rsid w:val="0048255A"/>
    <w:rsid w:val="004838E3"/>
    <w:rsid w:val="00483CB5"/>
    <w:rsid w:val="0048472A"/>
    <w:rsid w:val="00485936"/>
    <w:rsid w:val="00485F4B"/>
    <w:rsid w:val="00485F7E"/>
    <w:rsid w:val="004877D7"/>
    <w:rsid w:val="004879EF"/>
    <w:rsid w:val="004908C1"/>
    <w:rsid w:val="00491957"/>
    <w:rsid w:val="0049273B"/>
    <w:rsid w:val="00493F20"/>
    <w:rsid w:val="004960AA"/>
    <w:rsid w:val="004A0657"/>
    <w:rsid w:val="004A33D9"/>
    <w:rsid w:val="004A3A8D"/>
    <w:rsid w:val="004A4AD7"/>
    <w:rsid w:val="004A7777"/>
    <w:rsid w:val="004B0344"/>
    <w:rsid w:val="004B121D"/>
    <w:rsid w:val="004B240A"/>
    <w:rsid w:val="004B2EFF"/>
    <w:rsid w:val="004B301E"/>
    <w:rsid w:val="004B485C"/>
    <w:rsid w:val="004B4A66"/>
    <w:rsid w:val="004B4D4F"/>
    <w:rsid w:val="004B4F5D"/>
    <w:rsid w:val="004B7BB3"/>
    <w:rsid w:val="004B7C41"/>
    <w:rsid w:val="004C092D"/>
    <w:rsid w:val="004C2584"/>
    <w:rsid w:val="004C30E1"/>
    <w:rsid w:val="004C401A"/>
    <w:rsid w:val="004C4413"/>
    <w:rsid w:val="004C4490"/>
    <w:rsid w:val="004C5C5C"/>
    <w:rsid w:val="004D1A39"/>
    <w:rsid w:val="004D1E24"/>
    <w:rsid w:val="004D207C"/>
    <w:rsid w:val="004D27FE"/>
    <w:rsid w:val="004D375A"/>
    <w:rsid w:val="004D4A0D"/>
    <w:rsid w:val="004E0162"/>
    <w:rsid w:val="004E097D"/>
    <w:rsid w:val="004E13AE"/>
    <w:rsid w:val="004E2BD8"/>
    <w:rsid w:val="004E35F0"/>
    <w:rsid w:val="004E495F"/>
    <w:rsid w:val="004E5C28"/>
    <w:rsid w:val="004E6690"/>
    <w:rsid w:val="004E7C0C"/>
    <w:rsid w:val="004F148D"/>
    <w:rsid w:val="004F1FE1"/>
    <w:rsid w:val="004F3DB1"/>
    <w:rsid w:val="004F4AB5"/>
    <w:rsid w:val="004F55B6"/>
    <w:rsid w:val="0050072B"/>
    <w:rsid w:val="00501115"/>
    <w:rsid w:val="00501410"/>
    <w:rsid w:val="00501E9F"/>
    <w:rsid w:val="00503337"/>
    <w:rsid w:val="00503C7A"/>
    <w:rsid w:val="00504E42"/>
    <w:rsid w:val="005055D1"/>
    <w:rsid w:val="00505983"/>
    <w:rsid w:val="00506D13"/>
    <w:rsid w:val="00506F4E"/>
    <w:rsid w:val="00507010"/>
    <w:rsid w:val="005071BA"/>
    <w:rsid w:val="00510A02"/>
    <w:rsid w:val="00513434"/>
    <w:rsid w:val="00514180"/>
    <w:rsid w:val="0051441F"/>
    <w:rsid w:val="005159E5"/>
    <w:rsid w:val="00516735"/>
    <w:rsid w:val="00516FF4"/>
    <w:rsid w:val="0052052A"/>
    <w:rsid w:val="00520692"/>
    <w:rsid w:val="00521D06"/>
    <w:rsid w:val="005224D5"/>
    <w:rsid w:val="00523E6D"/>
    <w:rsid w:val="00524829"/>
    <w:rsid w:val="00525360"/>
    <w:rsid w:val="00527581"/>
    <w:rsid w:val="005275C6"/>
    <w:rsid w:val="00530C2D"/>
    <w:rsid w:val="005313B3"/>
    <w:rsid w:val="0053185E"/>
    <w:rsid w:val="005339CA"/>
    <w:rsid w:val="005360CC"/>
    <w:rsid w:val="00536758"/>
    <w:rsid w:val="0053691C"/>
    <w:rsid w:val="005373BA"/>
    <w:rsid w:val="00537936"/>
    <w:rsid w:val="0054069C"/>
    <w:rsid w:val="00540A40"/>
    <w:rsid w:val="00540E90"/>
    <w:rsid w:val="00540E9E"/>
    <w:rsid w:val="00541E40"/>
    <w:rsid w:val="0054268A"/>
    <w:rsid w:val="00542948"/>
    <w:rsid w:val="0054338A"/>
    <w:rsid w:val="00544017"/>
    <w:rsid w:val="005440B6"/>
    <w:rsid w:val="00546DFA"/>
    <w:rsid w:val="00547F50"/>
    <w:rsid w:val="005512EB"/>
    <w:rsid w:val="005525EC"/>
    <w:rsid w:val="0055347E"/>
    <w:rsid w:val="005537BC"/>
    <w:rsid w:val="005544DC"/>
    <w:rsid w:val="00555B96"/>
    <w:rsid w:val="00556CC1"/>
    <w:rsid w:val="005575C3"/>
    <w:rsid w:val="00557E29"/>
    <w:rsid w:val="0056097B"/>
    <w:rsid w:val="00560A72"/>
    <w:rsid w:val="005619CC"/>
    <w:rsid w:val="00561B5F"/>
    <w:rsid w:val="00563CA9"/>
    <w:rsid w:val="00563F63"/>
    <w:rsid w:val="00564E34"/>
    <w:rsid w:val="00567875"/>
    <w:rsid w:val="00570CF6"/>
    <w:rsid w:val="00570E68"/>
    <w:rsid w:val="00571DD8"/>
    <w:rsid w:val="00572A83"/>
    <w:rsid w:val="00574486"/>
    <w:rsid w:val="00580FC3"/>
    <w:rsid w:val="0058227E"/>
    <w:rsid w:val="0058282A"/>
    <w:rsid w:val="0058333C"/>
    <w:rsid w:val="00584F2A"/>
    <w:rsid w:val="0058690C"/>
    <w:rsid w:val="0059072D"/>
    <w:rsid w:val="005922A0"/>
    <w:rsid w:val="00592345"/>
    <w:rsid w:val="00592797"/>
    <w:rsid w:val="005933A6"/>
    <w:rsid w:val="0059619D"/>
    <w:rsid w:val="00597EE4"/>
    <w:rsid w:val="005A103F"/>
    <w:rsid w:val="005A10C8"/>
    <w:rsid w:val="005A41F5"/>
    <w:rsid w:val="005A456C"/>
    <w:rsid w:val="005A5E55"/>
    <w:rsid w:val="005A6491"/>
    <w:rsid w:val="005A6A73"/>
    <w:rsid w:val="005A6EA0"/>
    <w:rsid w:val="005A738B"/>
    <w:rsid w:val="005B2492"/>
    <w:rsid w:val="005B3480"/>
    <w:rsid w:val="005B3A41"/>
    <w:rsid w:val="005B4990"/>
    <w:rsid w:val="005B56AC"/>
    <w:rsid w:val="005B56CF"/>
    <w:rsid w:val="005B68A9"/>
    <w:rsid w:val="005C05D5"/>
    <w:rsid w:val="005C12F1"/>
    <w:rsid w:val="005C1619"/>
    <w:rsid w:val="005C2D0D"/>
    <w:rsid w:val="005C3737"/>
    <w:rsid w:val="005C3CAB"/>
    <w:rsid w:val="005C4877"/>
    <w:rsid w:val="005D00DF"/>
    <w:rsid w:val="005D0D37"/>
    <w:rsid w:val="005D12B5"/>
    <w:rsid w:val="005D18B4"/>
    <w:rsid w:val="005D1CC4"/>
    <w:rsid w:val="005D30BD"/>
    <w:rsid w:val="005D4BE6"/>
    <w:rsid w:val="005D4FF4"/>
    <w:rsid w:val="005D51BB"/>
    <w:rsid w:val="005D560E"/>
    <w:rsid w:val="005D677E"/>
    <w:rsid w:val="005D6C10"/>
    <w:rsid w:val="005D7020"/>
    <w:rsid w:val="005D73C0"/>
    <w:rsid w:val="005E10A6"/>
    <w:rsid w:val="005E1111"/>
    <w:rsid w:val="005E3ADF"/>
    <w:rsid w:val="005E60BE"/>
    <w:rsid w:val="005F0464"/>
    <w:rsid w:val="005F1DA7"/>
    <w:rsid w:val="005F282B"/>
    <w:rsid w:val="005F333C"/>
    <w:rsid w:val="005F3D04"/>
    <w:rsid w:val="005F3E62"/>
    <w:rsid w:val="005F3F68"/>
    <w:rsid w:val="005F68FC"/>
    <w:rsid w:val="005F6FB3"/>
    <w:rsid w:val="005F7407"/>
    <w:rsid w:val="00600638"/>
    <w:rsid w:val="0060379F"/>
    <w:rsid w:val="00603FA9"/>
    <w:rsid w:val="00604104"/>
    <w:rsid w:val="006057C1"/>
    <w:rsid w:val="006060D4"/>
    <w:rsid w:val="00606F11"/>
    <w:rsid w:val="00610D2C"/>
    <w:rsid w:val="006110F5"/>
    <w:rsid w:val="00611A4D"/>
    <w:rsid w:val="00612300"/>
    <w:rsid w:val="0061271E"/>
    <w:rsid w:val="006137A2"/>
    <w:rsid w:val="0061399E"/>
    <w:rsid w:val="00616E0F"/>
    <w:rsid w:val="00617F1E"/>
    <w:rsid w:val="00620FB0"/>
    <w:rsid w:val="0062224C"/>
    <w:rsid w:val="006227EE"/>
    <w:rsid w:val="00623E10"/>
    <w:rsid w:val="00624C0E"/>
    <w:rsid w:val="00625E5F"/>
    <w:rsid w:val="00627484"/>
    <w:rsid w:val="00627787"/>
    <w:rsid w:val="006278D1"/>
    <w:rsid w:val="00631520"/>
    <w:rsid w:val="00631D5A"/>
    <w:rsid w:val="00632B4D"/>
    <w:rsid w:val="00634312"/>
    <w:rsid w:val="00634419"/>
    <w:rsid w:val="00634936"/>
    <w:rsid w:val="0063528B"/>
    <w:rsid w:val="00635419"/>
    <w:rsid w:val="00635F76"/>
    <w:rsid w:val="006378AC"/>
    <w:rsid w:val="00643024"/>
    <w:rsid w:val="0064512D"/>
    <w:rsid w:val="00645E53"/>
    <w:rsid w:val="006460DB"/>
    <w:rsid w:val="006506EF"/>
    <w:rsid w:val="006507E9"/>
    <w:rsid w:val="00651B98"/>
    <w:rsid w:val="00653C47"/>
    <w:rsid w:val="00656598"/>
    <w:rsid w:val="00656F2B"/>
    <w:rsid w:val="006572ED"/>
    <w:rsid w:val="006577C4"/>
    <w:rsid w:val="00663B43"/>
    <w:rsid w:val="0066511D"/>
    <w:rsid w:val="006654C8"/>
    <w:rsid w:val="00665EF2"/>
    <w:rsid w:val="0066667B"/>
    <w:rsid w:val="006679AC"/>
    <w:rsid w:val="00667F35"/>
    <w:rsid w:val="00670F97"/>
    <w:rsid w:val="00671604"/>
    <w:rsid w:val="00672E53"/>
    <w:rsid w:val="00677AC3"/>
    <w:rsid w:val="00681536"/>
    <w:rsid w:val="006817EF"/>
    <w:rsid w:val="006826A5"/>
    <w:rsid w:val="00682E53"/>
    <w:rsid w:val="00684AC5"/>
    <w:rsid w:val="0068514F"/>
    <w:rsid w:val="0068545B"/>
    <w:rsid w:val="006871E1"/>
    <w:rsid w:val="006874B7"/>
    <w:rsid w:val="006877D8"/>
    <w:rsid w:val="00687889"/>
    <w:rsid w:val="006879DD"/>
    <w:rsid w:val="006914F2"/>
    <w:rsid w:val="006919C8"/>
    <w:rsid w:val="006927E3"/>
    <w:rsid w:val="00693920"/>
    <w:rsid w:val="00693FF4"/>
    <w:rsid w:val="00695475"/>
    <w:rsid w:val="00695DCE"/>
    <w:rsid w:val="0069606B"/>
    <w:rsid w:val="0069618F"/>
    <w:rsid w:val="006967C6"/>
    <w:rsid w:val="00697076"/>
    <w:rsid w:val="0069723E"/>
    <w:rsid w:val="00697D6B"/>
    <w:rsid w:val="006A1646"/>
    <w:rsid w:val="006A40D0"/>
    <w:rsid w:val="006A43A6"/>
    <w:rsid w:val="006A45DF"/>
    <w:rsid w:val="006A4B8D"/>
    <w:rsid w:val="006A5FF7"/>
    <w:rsid w:val="006A627C"/>
    <w:rsid w:val="006A795F"/>
    <w:rsid w:val="006B1841"/>
    <w:rsid w:val="006B27DD"/>
    <w:rsid w:val="006B3072"/>
    <w:rsid w:val="006B3451"/>
    <w:rsid w:val="006B399A"/>
    <w:rsid w:val="006B56D4"/>
    <w:rsid w:val="006B5BCE"/>
    <w:rsid w:val="006B6FF9"/>
    <w:rsid w:val="006C0BA0"/>
    <w:rsid w:val="006C2B1A"/>
    <w:rsid w:val="006C36B2"/>
    <w:rsid w:val="006C397C"/>
    <w:rsid w:val="006C70E0"/>
    <w:rsid w:val="006D1B59"/>
    <w:rsid w:val="006D1C65"/>
    <w:rsid w:val="006D1C99"/>
    <w:rsid w:val="006D1DB4"/>
    <w:rsid w:val="006D2979"/>
    <w:rsid w:val="006D2EDC"/>
    <w:rsid w:val="006D3329"/>
    <w:rsid w:val="006D361E"/>
    <w:rsid w:val="006D3743"/>
    <w:rsid w:val="006D3DD5"/>
    <w:rsid w:val="006D3E2D"/>
    <w:rsid w:val="006D4409"/>
    <w:rsid w:val="006D4842"/>
    <w:rsid w:val="006D501D"/>
    <w:rsid w:val="006D5C6D"/>
    <w:rsid w:val="006D68D2"/>
    <w:rsid w:val="006D775E"/>
    <w:rsid w:val="006D7DF3"/>
    <w:rsid w:val="006D7F68"/>
    <w:rsid w:val="006E0CA8"/>
    <w:rsid w:val="006E0CBB"/>
    <w:rsid w:val="006E1082"/>
    <w:rsid w:val="006E10F9"/>
    <w:rsid w:val="006E309D"/>
    <w:rsid w:val="006E3CE2"/>
    <w:rsid w:val="006E44CD"/>
    <w:rsid w:val="006E4654"/>
    <w:rsid w:val="006E4AF1"/>
    <w:rsid w:val="006E4C8D"/>
    <w:rsid w:val="006E541D"/>
    <w:rsid w:val="006E5BEB"/>
    <w:rsid w:val="006E76F2"/>
    <w:rsid w:val="006F02E3"/>
    <w:rsid w:val="006F124D"/>
    <w:rsid w:val="006F35C5"/>
    <w:rsid w:val="006F49DE"/>
    <w:rsid w:val="006F60C9"/>
    <w:rsid w:val="006F65F3"/>
    <w:rsid w:val="006F68BD"/>
    <w:rsid w:val="006F6FF0"/>
    <w:rsid w:val="00700FE5"/>
    <w:rsid w:val="00701BC2"/>
    <w:rsid w:val="00701E3D"/>
    <w:rsid w:val="00701FBA"/>
    <w:rsid w:val="00702943"/>
    <w:rsid w:val="007037FE"/>
    <w:rsid w:val="00704451"/>
    <w:rsid w:val="00704EEE"/>
    <w:rsid w:val="00705D6D"/>
    <w:rsid w:val="00706368"/>
    <w:rsid w:val="00707AD3"/>
    <w:rsid w:val="00707E28"/>
    <w:rsid w:val="00710983"/>
    <w:rsid w:val="0071134D"/>
    <w:rsid w:val="0071410D"/>
    <w:rsid w:val="0071448F"/>
    <w:rsid w:val="007149EE"/>
    <w:rsid w:val="0071515C"/>
    <w:rsid w:val="0071546A"/>
    <w:rsid w:val="00715CFB"/>
    <w:rsid w:val="00716866"/>
    <w:rsid w:val="0071686E"/>
    <w:rsid w:val="00716AE7"/>
    <w:rsid w:val="0071726A"/>
    <w:rsid w:val="00717EC4"/>
    <w:rsid w:val="00720732"/>
    <w:rsid w:val="00722590"/>
    <w:rsid w:val="00722757"/>
    <w:rsid w:val="00722F21"/>
    <w:rsid w:val="00723990"/>
    <w:rsid w:val="00724A0F"/>
    <w:rsid w:val="00724A4A"/>
    <w:rsid w:val="007256EC"/>
    <w:rsid w:val="00726EA6"/>
    <w:rsid w:val="00730A33"/>
    <w:rsid w:val="00731068"/>
    <w:rsid w:val="00731E1E"/>
    <w:rsid w:val="00732765"/>
    <w:rsid w:val="0073530B"/>
    <w:rsid w:val="00735374"/>
    <w:rsid w:val="007377D1"/>
    <w:rsid w:val="00741392"/>
    <w:rsid w:val="007414E2"/>
    <w:rsid w:val="007416B3"/>
    <w:rsid w:val="007423BA"/>
    <w:rsid w:val="00742A82"/>
    <w:rsid w:val="00742E23"/>
    <w:rsid w:val="00743661"/>
    <w:rsid w:val="00744282"/>
    <w:rsid w:val="00744A2C"/>
    <w:rsid w:val="00746E17"/>
    <w:rsid w:val="00747C00"/>
    <w:rsid w:val="007523C3"/>
    <w:rsid w:val="00752AB5"/>
    <w:rsid w:val="00753101"/>
    <w:rsid w:val="00755025"/>
    <w:rsid w:val="00755134"/>
    <w:rsid w:val="0075584D"/>
    <w:rsid w:val="007566B4"/>
    <w:rsid w:val="00757551"/>
    <w:rsid w:val="007618CD"/>
    <w:rsid w:val="007623BD"/>
    <w:rsid w:val="00762E89"/>
    <w:rsid w:val="00762FF0"/>
    <w:rsid w:val="00763354"/>
    <w:rsid w:val="007640B2"/>
    <w:rsid w:val="007644D7"/>
    <w:rsid w:val="007656F8"/>
    <w:rsid w:val="00766FB5"/>
    <w:rsid w:val="00767BD5"/>
    <w:rsid w:val="00767E02"/>
    <w:rsid w:val="00767F54"/>
    <w:rsid w:val="00770420"/>
    <w:rsid w:val="0077072F"/>
    <w:rsid w:val="00770DDC"/>
    <w:rsid w:val="00771F94"/>
    <w:rsid w:val="007721B0"/>
    <w:rsid w:val="00772665"/>
    <w:rsid w:val="007739A1"/>
    <w:rsid w:val="00773D20"/>
    <w:rsid w:val="00774449"/>
    <w:rsid w:val="00775EEE"/>
    <w:rsid w:val="0077606A"/>
    <w:rsid w:val="0078000F"/>
    <w:rsid w:val="00780A3E"/>
    <w:rsid w:val="007841B8"/>
    <w:rsid w:val="00784A40"/>
    <w:rsid w:val="00785292"/>
    <w:rsid w:val="00786DE5"/>
    <w:rsid w:val="00787337"/>
    <w:rsid w:val="00787C65"/>
    <w:rsid w:val="00790148"/>
    <w:rsid w:val="00792879"/>
    <w:rsid w:val="00792ADE"/>
    <w:rsid w:val="00792ADF"/>
    <w:rsid w:val="00794942"/>
    <w:rsid w:val="007955FD"/>
    <w:rsid w:val="00795AF9"/>
    <w:rsid w:val="007963E6"/>
    <w:rsid w:val="00796DB3"/>
    <w:rsid w:val="007A2A61"/>
    <w:rsid w:val="007A2F67"/>
    <w:rsid w:val="007A3317"/>
    <w:rsid w:val="007A3AF5"/>
    <w:rsid w:val="007A58FF"/>
    <w:rsid w:val="007A5F4B"/>
    <w:rsid w:val="007B0DD0"/>
    <w:rsid w:val="007B14F5"/>
    <w:rsid w:val="007B49B2"/>
    <w:rsid w:val="007B564B"/>
    <w:rsid w:val="007B6FA0"/>
    <w:rsid w:val="007B7C19"/>
    <w:rsid w:val="007C0460"/>
    <w:rsid w:val="007C13D4"/>
    <w:rsid w:val="007C1B24"/>
    <w:rsid w:val="007C2655"/>
    <w:rsid w:val="007C3C6F"/>
    <w:rsid w:val="007C4159"/>
    <w:rsid w:val="007C4682"/>
    <w:rsid w:val="007C49C1"/>
    <w:rsid w:val="007C5F43"/>
    <w:rsid w:val="007C639B"/>
    <w:rsid w:val="007D1C5B"/>
    <w:rsid w:val="007D293F"/>
    <w:rsid w:val="007D2D19"/>
    <w:rsid w:val="007D3CA8"/>
    <w:rsid w:val="007D63BF"/>
    <w:rsid w:val="007D64B2"/>
    <w:rsid w:val="007D6841"/>
    <w:rsid w:val="007D6A13"/>
    <w:rsid w:val="007D6A35"/>
    <w:rsid w:val="007D6C25"/>
    <w:rsid w:val="007D6D54"/>
    <w:rsid w:val="007D7D43"/>
    <w:rsid w:val="007E10A1"/>
    <w:rsid w:val="007E11FD"/>
    <w:rsid w:val="007E4109"/>
    <w:rsid w:val="007E433B"/>
    <w:rsid w:val="007E4908"/>
    <w:rsid w:val="007E4D1B"/>
    <w:rsid w:val="007E4F89"/>
    <w:rsid w:val="007E5478"/>
    <w:rsid w:val="007E562F"/>
    <w:rsid w:val="007E5D63"/>
    <w:rsid w:val="007E67D9"/>
    <w:rsid w:val="007E71A0"/>
    <w:rsid w:val="007E73A9"/>
    <w:rsid w:val="007E7BFC"/>
    <w:rsid w:val="007F0313"/>
    <w:rsid w:val="007F10E3"/>
    <w:rsid w:val="007F2DC2"/>
    <w:rsid w:val="007F2F41"/>
    <w:rsid w:val="007F36FB"/>
    <w:rsid w:val="007F37D7"/>
    <w:rsid w:val="007F3D7D"/>
    <w:rsid w:val="007F48B8"/>
    <w:rsid w:val="007F5193"/>
    <w:rsid w:val="007F592A"/>
    <w:rsid w:val="007F6471"/>
    <w:rsid w:val="00800CCA"/>
    <w:rsid w:val="00801B5E"/>
    <w:rsid w:val="0080232F"/>
    <w:rsid w:val="00803356"/>
    <w:rsid w:val="00806083"/>
    <w:rsid w:val="008060AA"/>
    <w:rsid w:val="00806313"/>
    <w:rsid w:val="008065E4"/>
    <w:rsid w:val="008079F2"/>
    <w:rsid w:val="00810248"/>
    <w:rsid w:val="008115D1"/>
    <w:rsid w:val="008122C5"/>
    <w:rsid w:val="00812A33"/>
    <w:rsid w:val="00813DEE"/>
    <w:rsid w:val="0081478D"/>
    <w:rsid w:val="00815639"/>
    <w:rsid w:val="00816449"/>
    <w:rsid w:val="00816A96"/>
    <w:rsid w:val="00820D13"/>
    <w:rsid w:val="00821156"/>
    <w:rsid w:val="008217D2"/>
    <w:rsid w:val="008226D6"/>
    <w:rsid w:val="008237EC"/>
    <w:rsid w:val="00823970"/>
    <w:rsid w:val="008338E2"/>
    <w:rsid w:val="00833DDD"/>
    <w:rsid w:val="0083406C"/>
    <w:rsid w:val="008376AA"/>
    <w:rsid w:val="00841098"/>
    <w:rsid w:val="008411ED"/>
    <w:rsid w:val="00841377"/>
    <w:rsid w:val="00842C04"/>
    <w:rsid w:val="00842E57"/>
    <w:rsid w:val="00845C3F"/>
    <w:rsid w:val="00845F8D"/>
    <w:rsid w:val="008473DD"/>
    <w:rsid w:val="00847631"/>
    <w:rsid w:val="008509E6"/>
    <w:rsid w:val="00851CEF"/>
    <w:rsid w:val="00852396"/>
    <w:rsid w:val="00852434"/>
    <w:rsid w:val="008601AB"/>
    <w:rsid w:val="00860B49"/>
    <w:rsid w:val="00861DE1"/>
    <w:rsid w:val="008631E8"/>
    <w:rsid w:val="00863632"/>
    <w:rsid w:val="00864820"/>
    <w:rsid w:val="00865207"/>
    <w:rsid w:val="00867782"/>
    <w:rsid w:val="00867DD6"/>
    <w:rsid w:val="00870263"/>
    <w:rsid w:val="008702D5"/>
    <w:rsid w:val="00870825"/>
    <w:rsid w:val="00871528"/>
    <w:rsid w:val="00873607"/>
    <w:rsid w:val="00873B7E"/>
    <w:rsid w:val="00874B2A"/>
    <w:rsid w:val="008758E9"/>
    <w:rsid w:val="00877BB7"/>
    <w:rsid w:val="008809AE"/>
    <w:rsid w:val="00882C86"/>
    <w:rsid w:val="0088556E"/>
    <w:rsid w:val="00885A41"/>
    <w:rsid w:val="00885DA0"/>
    <w:rsid w:val="00885FC6"/>
    <w:rsid w:val="00890793"/>
    <w:rsid w:val="00890BC5"/>
    <w:rsid w:val="0089102C"/>
    <w:rsid w:val="0089141F"/>
    <w:rsid w:val="0089459C"/>
    <w:rsid w:val="00895941"/>
    <w:rsid w:val="008A0344"/>
    <w:rsid w:val="008A0ADC"/>
    <w:rsid w:val="008A139F"/>
    <w:rsid w:val="008A1E13"/>
    <w:rsid w:val="008A1E6A"/>
    <w:rsid w:val="008A22E9"/>
    <w:rsid w:val="008A2DC2"/>
    <w:rsid w:val="008A3128"/>
    <w:rsid w:val="008A36AC"/>
    <w:rsid w:val="008A3D57"/>
    <w:rsid w:val="008A422D"/>
    <w:rsid w:val="008A426A"/>
    <w:rsid w:val="008A4B4B"/>
    <w:rsid w:val="008A6833"/>
    <w:rsid w:val="008A684F"/>
    <w:rsid w:val="008A72C2"/>
    <w:rsid w:val="008A7A40"/>
    <w:rsid w:val="008A7E5C"/>
    <w:rsid w:val="008B5126"/>
    <w:rsid w:val="008B5CA3"/>
    <w:rsid w:val="008B6597"/>
    <w:rsid w:val="008B6823"/>
    <w:rsid w:val="008B747C"/>
    <w:rsid w:val="008C2102"/>
    <w:rsid w:val="008C2510"/>
    <w:rsid w:val="008C2D1E"/>
    <w:rsid w:val="008C49F3"/>
    <w:rsid w:val="008C5657"/>
    <w:rsid w:val="008C67C5"/>
    <w:rsid w:val="008C6CE4"/>
    <w:rsid w:val="008C79B3"/>
    <w:rsid w:val="008C7B28"/>
    <w:rsid w:val="008D11AD"/>
    <w:rsid w:val="008D2B67"/>
    <w:rsid w:val="008D3074"/>
    <w:rsid w:val="008D36C7"/>
    <w:rsid w:val="008D3CEC"/>
    <w:rsid w:val="008D59EC"/>
    <w:rsid w:val="008D7275"/>
    <w:rsid w:val="008D741F"/>
    <w:rsid w:val="008D79C8"/>
    <w:rsid w:val="008E042E"/>
    <w:rsid w:val="008E158B"/>
    <w:rsid w:val="008E25E4"/>
    <w:rsid w:val="008E2A70"/>
    <w:rsid w:val="008E35E2"/>
    <w:rsid w:val="008E4C2D"/>
    <w:rsid w:val="008E6E82"/>
    <w:rsid w:val="008E723C"/>
    <w:rsid w:val="008F07CB"/>
    <w:rsid w:val="008F4A42"/>
    <w:rsid w:val="008F4A43"/>
    <w:rsid w:val="008F606A"/>
    <w:rsid w:val="008F680A"/>
    <w:rsid w:val="008F7A93"/>
    <w:rsid w:val="009047BC"/>
    <w:rsid w:val="0090606F"/>
    <w:rsid w:val="009074CB"/>
    <w:rsid w:val="00910879"/>
    <w:rsid w:val="00910E54"/>
    <w:rsid w:val="00911974"/>
    <w:rsid w:val="00911A21"/>
    <w:rsid w:val="00912F7F"/>
    <w:rsid w:val="009143C1"/>
    <w:rsid w:val="00914A72"/>
    <w:rsid w:val="0091573A"/>
    <w:rsid w:val="009176D9"/>
    <w:rsid w:val="00920347"/>
    <w:rsid w:val="00920CF5"/>
    <w:rsid w:val="00921261"/>
    <w:rsid w:val="00921700"/>
    <w:rsid w:val="0092200B"/>
    <w:rsid w:val="00922161"/>
    <w:rsid w:val="009226BD"/>
    <w:rsid w:val="00923288"/>
    <w:rsid w:val="00924ECF"/>
    <w:rsid w:val="0092569E"/>
    <w:rsid w:val="009259E4"/>
    <w:rsid w:val="00925AC8"/>
    <w:rsid w:val="009270E8"/>
    <w:rsid w:val="00930154"/>
    <w:rsid w:val="00930431"/>
    <w:rsid w:val="00930EFD"/>
    <w:rsid w:val="0093264F"/>
    <w:rsid w:val="00933747"/>
    <w:rsid w:val="00933C05"/>
    <w:rsid w:val="00934213"/>
    <w:rsid w:val="009347AE"/>
    <w:rsid w:val="009359FA"/>
    <w:rsid w:val="009361FE"/>
    <w:rsid w:val="00937969"/>
    <w:rsid w:val="0094144C"/>
    <w:rsid w:val="0094170B"/>
    <w:rsid w:val="009457E7"/>
    <w:rsid w:val="009464B0"/>
    <w:rsid w:val="00946755"/>
    <w:rsid w:val="00946B3A"/>
    <w:rsid w:val="009470FC"/>
    <w:rsid w:val="009474BD"/>
    <w:rsid w:val="00950173"/>
    <w:rsid w:val="00952916"/>
    <w:rsid w:val="0095408C"/>
    <w:rsid w:val="00954BAC"/>
    <w:rsid w:val="00957056"/>
    <w:rsid w:val="00957F8F"/>
    <w:rsid w:val="009600CC"/>
    <w:rsid w:val="009601D3"/>
    <w:rsid w:val="009617EB"/>
    <w:rsid w:val="00961DF2"/>
    <w:rsid w:val="009621B4"/>
    <w:rsid w:val="0096241F"/>
    <w:rsid w:val="009638D3"/>
    <w:rsid w:val="00963956"/>
    <w:rsid w:val="00964E5E"/>
    <w:rsid w:val="00965934"/>
    <w:rsid w:val="00966363"/>
    <w:rsid w:val="00966A4C"/>
    <w:rsid w:val="00966DC4"/>
    <w:rsid w:val="009716EB"/>
    <w:rsid w:val="00971D4B"/>
    <w:rsid w:val="009734FC"/>
    <w:rsid w:val="00973FBD"/>
    <w:rsid w:val="009747F3"/>
    <w:rsid w:val="009748F1"/>
    <w:rsid w:val="00975C9D"/>
    <w:rsid w:val="00976D51"/>
    <w:rsid w:val="0098026C"/>
    <w:rsid w:val="00980333"/>
    <w:rsid w:val="00981219"/>
    <w:rsid w:val="009816E7"/>
    <w:rsid w:val="00981DC6"/>
    <w:rsid w:val="00983BE6"/>
    <w:rsid w:val="00983E67"/>
    <w:rsid w:val="0098501D"/>
    <w:rsid w:val="00985BF4"/>
    <w:rsid w:val="00986576"/>
    <w:rsid w:val="00987595"/>
    <w:rsid w:val="00991687"/>
    <w:rsid w:val="009917C4"/>
    <w:rsid w:val="00991F87"/>
    <w:rsid w:val="0099214A"/>
    <w:rsid w:val="00992393"/>
    <w:rsid w:val="00993EF1"/>
    <w:rsid w:val="00995095"/>
    <w:rsid w:val="009A0644"/>
    <w:rsid w:val="009A2290"/>
    <w:rsid w:val="009A22F3"/>
    <w:rsid w:val="009A42D8"/>
    <w:rsid w:val="009A498D"/>
    <w:rsid w:val="009A53AB"/>
    <w:rsid w:val="009A57BA"/>
    <w:rsid w:val="009A5988"/>
    <w:rsid w:val="009A64FE"/>
    <w:rsid w:val="009A72E7"/>
    <w:rsid w:val="009A79A3"/>
    <w:rsid w:val="009A7FAF"/>
    <w:rsid w:val="009B0914"/>
    <w:rsid w:val="009B0B8D"/>
    <w:rsid w:val="009B299F"/>
    <w:rsid w:val="009B2DCC"/>
    <w:rsid w:val="009B3741"/>
    <w:rsid w:val="009B3C1B"/>
    <w:rsid w:val="009B4D4B"/>
    <w:rsid w:val="009B528C"/>
    <w:rsid w:val="009B725E"/>
    <w:rsid w:val="009B7565"/>
    <w:rsid w:val="009C0108"/>
    <w:rsid w:val="009C05E5"/>
    <w:rsid w:val="009C282F"/>
    <w:rsid w:val="009C2EDE"/>
    <w:rsid w:val="009C4791"/>
    <w:rsid w:val="009C60BC"/>
    <w:rsid w:val="009C6AC2"/>
    <w:rsid w:val="009C7AAC"/>
    <w:rsid w:val="009D0941"/>
    <w:rsid w:val="009D2896"/>
    <w:rsid w:val="009D28FF"/>
    <w:rsid w:val="009D3644"/>
    <w:rsid w:val="009D5D56"/>
    <w:rsid w:val="009D6893"/>
    <w:rsid w:val="009E03BA"/>
    <w:rsid w:val="009E2935"/>
    <w:rsid w:val="009E4F15"/>
    <w:rsid w:val="009E5B44"/>
    <w:rsid w:val="009E7356"/>
    <w:rsid w:val="009E7385"/>
    <w:rsid w:val="009F0FD5"/>
    <w:rsid w:val="009F1D71"/>
    <w:rsid w:val="009F2C92"/>
    <w:rsid w:val="009F45A3"/>
    <w:rsid w:val="009F51C0"/>
    <w:rsid w:val="009F56A4"/>
    <w:rsid w:val="009F5EF5"/>
    <w:rsid w:val="009F5F2A"/>
    <w:rsid w:val="00A00458"/>
    <w:rsid w:val="00A005AA"/>
    <w:rsid w:val="00A01296"/>
    <w:rsid w:val="00A016D4"/>
    <w:rsid w:val="00A01BE7"/>
    <w:rsid w:val="00A02032"/>
    <w:rsid w:val="00A0305B"/>
    <w:rsid w:val="00A04103"/>
    <w:rsid w:val="00A04876"/>
    <w:rsid w:val="00A06483"/>
    <w:rsid w:val="00A068BB"/>
    <w:rsid w:val="00A06D3B"/>
    <w:rsid w:val="00A1210E"/>
    <w:rsid w:val="00A1391E"/>
    <w:rsid w:val="00A14668"/>
    <w:rsid w:val="00A1553B"/>
    <w:rsid w:val="00A15D7C"/>
    <w:rsid w:val="00A1626C"/>
    <w:rsid w:val="00A1783D"/>
    <w:rsid w:val="00A1795E"/>
    <w:rsid w:val="00A202CD"/>
    <w:rsid w:val="00A20DAB"/>
    <w:rsid w:val="00A2111D"/>
    <w:rsid w:val="00A21AAB"/>
    <w:rsid w:val="00A21B2C"/>
    <w:rsid w:val="00A21E69"/>
    <w:rsid w:val="00A22DC7"/>
    <w:rsid w:val="00A253A8"/>
    <w:rsid w:val="00A25D60"/>
    <w:rsid w:val="00A302E3"/>
    <w:rsid w:val="00A31091"/>
    <w:rsid w:val="00A313FC"/>
    <w:rsid w:val="00A31C00"/>
    <w:rsid w:val="00A3225C"/>
    <w:rsid w:val="00A329BC"/>
    <w:rsid w:val="00A32DBB"/>
    <w:rsid w:val="00A32E52"/>
    <w:rsid w:val="00A34873"/>
    <w:rsid w:val="00A358EC"/>
    <w:rsid w:val="00A3614C"/>
    <w:rsid w:val="00A3634C"/>
    <w:rsid w:val="00A375C2"/>
    <w:rsid w:val="00A377CB"/>
    <w:rsid w:val="00A40960"/>
    <w:rsid w:val="00A435E7"/>
    <w:rsid w:val="00A44408"/>
    <w:rsid w:val="00A503AE"/>
    <w:rsid w:val="00A50655"/>
    <w:rsid w:val="00A51F29"/>
    <w:rsid w:val="00A5283B"/>
    <w:rsid w:val="00A52A7D"/>
    <w:rsid w:val="00A548BE"/>
    <w:rsid w:val="00A54EE6"/>
    <w:rsid w:val="00A56B6C"/>
    <w:rsid w:val="00A56C92"/>
    <w:rsid w:val="00A57241"/>
    <w:rsid w:val="00A579F1"/>
    <w:rsid w:val="00A60B2E"/>
    <w:rsid w:val="00A617C0"/>
    <w:rsid w:val="00A6382A"/>
    <w:rsid w:val="00A652D0"/>
    <w:rsid w:val="00A65DA0"/>
    <w:rsid w:val="00A6736E"/>
    <w:rsid w:val="00A706EC"/>
    <w:rsid w:val="00A70753"/>
    <w:rsid w:val="00A73BE1"/>
    <w:rsid w:val="00A774DB"/>
    <w:rsid w:val="00A77C30"/>
    <w:rsid w:val="00A807AB"/>
    <w:rsid w:val="00A80D52"/>
    <w:rsid w:val="00A813F6"/>
    <w:rsid w:val="00A814B3"/>
    <w:rsid w:val="00A81F46"/>
    <w:rsid w:val="00A832F8"/>
    <w:rsid w:val="00A837F2"/>
    <w:rsid w:val="00A83C74"/>
    <w:rsid w:val="00A85476"/>
    <w:rsid w:val="00A865F0"/>
    <w:rsid w:val="00A87529"/>
    <w:rsid w:val="00A90FCC"/>
    <w:rsid w:val="00A91E1D"/>
    <w:rsid w:val="00A9333C"/>
    <w:rsid w:val="00A935B6"/>
    <w:rsid w:val="00A94B8F"/>
    <w:rsid w:val="00A975B3"/>
    <w:rsid w:val="00AA1A1D"/>
    <w:rsid w:val="00AA1D91"/>
    <w:rsid w:val="00AA3442"/>
    <w:rsid w:val="00AA500F"/>
    <w:rsid w:val="00AA5189"/>
    <w:rsid w:val="00AA63FE"/>
    <w:rsid w:val="00AB0727"/>
    <w:rsid w:val="00AB1731"/>
    <w:rsid w:val="00AB1A69"/>
    <w:rsid w:val="00AB2291"/>
    <w:rsid w:val="00AB2600"/>
    <w:rsid w:val="00AB3623"/>
    <w:rsid w:val="00AB5895"/>
    <w:rsid w:val="00AB5CC2"/>
    <w:rsid w:val="00AB71D3"/>
    <w:rsid w:val="00AB76AF"/>
    <w:rsid w:val="00AC10B3"/>
    <w:rsid w:val="00AC1805"/>
    <w:rsid w:val="00AC260D"/>
    <w:rsid w:val="00AC3248"/>
    <w:rsid w:val="00AC41C2"/>
    <w:rsid w:val="00AC4BCD"/>
    <w:rsid w:val="00AC57F7"/>
    <w:rsid w:val="00AC62D3"/>
    <w:rsid w:val="00AC779D"/>
    <w:rsid w:val="00AC7E5D"/>
    <w:rsid w:val="00AD00A3"/>
    <w:rsid w:val="00AD232F"/>
    <w:rsid w:val="00AD23B0"/>
    <w:rsid w:val="00AD2473"/>
    <w:rsid w:val="00AD28D3"/>
    <w:rsid w:val="00AD29F2"/>
    <w:rsid w:val="00AD5647"/>
    <w:rsid w:val="00AD5B5B"/>
    <w:rsid w:val="00AD68E5"/>
    <w:rsid w:val="00AD6FB7"/>
    <w:rsid w:val="00AD7B4A"/>
    <w:rsid w:val="00AE0F0F"/>
    <w:rsid w:val="00AE1176"/>
    <w:rsid w:val="00AE251C"/>
    <w:rsid w:val="00AE2D88"/>
    <w:rsid w:val="00AE3C41"/>
    <w:rsid w:val="00AE4803"/>
    <w:rsid w:val="00AE6D8D"/>
    <w:rsid w:val="00AE7F4F"/>
    <w:rsid w:val="00AF02C9"/>
    <w:rsid w:val="00AF2610"/>
    <w:rsid w:val="00AF290B"/>
    <w:rsid w:val="00AF2C5D"/>
    <w:rsid w:val="00AF3D3F"/>
    <w:rsid w:val="00AF66FA"/>
    <w:rsid w:val="00AF7023"/>
    <w:rsid w:val="00B0133C"/>
    <w:rsid w:val="00B02F5C"/>
    <w:rsid w:val="00B03552"/>
    <w:rsid w:val="00B03DC6"/>
    <w:rsid w:val="00B04F36"/>
    <w:rsid w:val="00B0636C"/>
    <w:rsid w:val="00B071AF"/>
    <w:rsid w:val="00B07CDA"/>
    <w:rsid w:val="00B10D11"/>
    <w:rsid w:val="00B111C0"/>
    <w:rsid w:val="00B113F8"/>
    <w:rsid w:val="00B1341D"/>
    <w:rsid w:val="00B139E7"/>
    <w:rsid w:val="00B13DDF"/>
    <w:rsid w:val="00B14A28"/>
    <w:rsid w:val="00B15E31"/>
    <w:rsid w:val="00B16CAC"/>
    <w:rsid w:val="00B16DFA"/>
    <w:rsid w:val="00B230A9"/>
    <w:rsid w:val="00B24A9D"/>
    <w:rsid w:val="00B276E6"/>
    <w:rsid w:val="00B27A8E"/>
    <w:rsid w:val="00B30308"/>
    <w:rsid w:val="00B3065F"/>
    <w:rsid w:val="00B31F7E"/>
    <w:rsid w:val="00B32F15"/>
    <w:rsid w:val="00B33EE8"/>
    <w:rsid w:val="00B35B72"/>
    <w:rsid w:val="00B36317"/>
    <w:rsid w:val="00B36C48"/>
    <w:rsid w:val="00B37339"/>
    <w:rsid w:val="00B37701"/>
    <w:rsid w:val="00B37EFD"/>
    <w:rsid w:val="00B40D43"/>
    <w:rsid w:val="00B40F06"/>
    <w:rsid w:val="00B4195C"/>
    <w:rsid w:val="00B41EEA"/>
    <w:rsid w:val="00B42B85"/>
    <w:rsid w:val="00B42D01"/>
    <w:rsid w:val="00B42E54"/>
    <w:rsid w:val="00B43101"/>
    <w:rsid w:val="00B4361F"/>
    <w:rsid w:val="00B43D2C"/>
    <w:rsid w:val="00B445C4"/>
    <w:rsid w:val="00B449B0"/>
    <w:rsid w:val="00B45000"/>
    <w:rsid w:val="00B4514A"/>
    <w:rsid w:val="00B456BD"/>
    <w:rsid w:val="00B45962"/>
    <w:rsid w:val="00B46ECE"/>
    <w:rsid w:val="00B46F36"/>
    <w:rsid w:val="00B47B0E"/>
    <w:rsid w:val="00B47F33"/>
    <w:rsid w:val="00B50EB0"/>
    <w:rsid w:val="00B50F4A"/>
    <w:rsid w:val="00B50F54"/>
    <w:rsid w:val="00B51EAC"/>
    <w:rsid w:val="00B52624"/>
    <w:rsid w:val="00B52F89"/>
    <w:rsid w:val="00B531BE"/>
    <w:rsid w:val="00B532E4"/>
    <w:rsid w:val="00B53B9B"/>
    <w:rsid w:val="00B53F19"/>
    <w:rsid w:val="00B54508"/>
    <w:rsid w:val="00B5573D"/>
    <w:rsid w:val="00B566B7"/>
    <w:rsid w:val="00B56B5E"/>
    <w:rsid w:val="00B5701C"/>
    <w:rsid w:val="00B640EA"/>
    <w:rsid w:val="00B64808"/>
    <w:rsid w:val="00B64D28"/>
    <w:rsid w:val="00B64F44"/>
    <w:rsid w:val="00B654B6"/>
    <w:rsid w:val="00B662CB"/>
    <w:rsid w:val="00B7095A"/>
    <w:rsid w:val="00B70ABE"/>
    <w:rsid w:val="00B70CC2"/>
    <w:rsid w:val="00B713E3"/>
    <w:rsid w:val="00B71EFA"/>
    <w:rsid w:val="00B7318E"/>
    <w:rsid w:val="00B7373B"/>
    <w:rsid w:val="00B74077"/>
    <w:rsid w:val="00B746A5"/>
    <w:rsid w:val="00B7612E"/>
    <w:rsid w:val="00B76B60"/>
    <w:rsid w:val="00B76EEE"/>
    <w:rsid w:val="00B77293"/>
    <w:rsid w:val="00B77B86"/>
    <w:rsid w:val="00B80107"/>
    <w:rsid w:val="00B8130F"/>
    <w:rsid w:val="00B81352"/>
    <w:rsid w:val="00B81708"/>
    <w:rsid w:val="00B819DB"/>
    <w:rsid w:val="00B8259D"/>
    <w:rsid w:val="00B82B45"/>
    <w:rsid w:val="00B84549"/>
    <w:rsid w:val="00B846ED"/>
    <w:rsid w:val="00B84E07"/>
    <w:rsid w:val="00B85AC6"/>
    <w:rsid w:val="00B90A79"/>
    <w:rsid w:val="00B91C8C"/>
    <w:rsid w:val="00B93A82"/>
    <w:rsid w:val="00B94321"/>
    <w:rsid w:val="00B9472D"/>
    <w:rsid w:val="00B948DC"/>
    <w:rsid w:val="00B94A17"/>
    <w:rsid w:val="00B968AD"/>
    <w:rsid w:val="00B96E09"/>
    <w:rsid w:val="00B97238"/>
    <w:rsid w:val="00BA0541"/>
    <w:rsid w:val="00BA0CB7"/>
    <w:rsid w:val="00BA0D6B"/>
    <w:rsid w:val="00BA0DAB"/>
    <w:rsid w:val="00BA11FC"/>
    <w:rsid w:val="00BA1EC9"/>
    <w:rsid w:val="00BA209C"/>
    <w:rsid w:val="00BA228A"/>
    <w:rsid w:val="00BA22B7"/>
    <w:rsid w:val="00BA327C"/>
    <w:rsid w:val="00BA3774"/>
    <w:rsid w:val="00BA3936"/>
    <w:rsid w:val="00BA424A"/>
    <w:rsid w:val="00BA4E52"/>
    <w:rsid w:val="00BB0EA4"/>
    <w:rsid w:val="00BB1564"/>
    <w:rsid w:val="00BB2990"/>
    <w:rsid w:val="00BB2B1B"/>
    <w:rsid w:val="00BB2E31"/>
    <w:rsid w:val="00BB2EE4"/>
    <w:rsid w:val="00BB3B5C"/>
    <w:rsid w:val="00BB3C87"/>
    <w:rsid w:val="00BB5697"/>
    <w:rsid w:val="00BB57C4"/>
    <w:rsid w:val="00BB59E2"/>
    <w:rsid w:val="00BB64D1"/>
    <w:rsid w:val="00BB7297"/>
    <w:rsid w:val="00BC2778"/>
    <w:rsid w:val="00BC2D31"/>
    <w:rsid w:val="00BC67E7"/>
    <w:rsid w:val="00BC6A96"/>
    <w:rsid w:val="00BC7759"/>
    <w:rsid w:val="00BD0BB0"/>
    <w:rsid w:val="00BD1A5D"/>
    <w:rsid w:val="00BD3323"/>
    <w:rsid w:val="00BD6800"/>
    <w:rsid w:val="00BD71CD"/>
    <w:rsid w:val="00BD7B39"/>
    <w:rsid w:val="00BD7DCE"/>
    <w:rsid w:val="00BE032C"/>
    <w:rsid w:val="00BE1886"/>
    <w:rsid w:val="00BE2D7A"/>
    <w:rsid w:val="00BE5EEE"/>
    <w:rsid w:val="00BE75C1"/>
    <w:rsid w:val="00BE7807"/>
    <w:rsid w:val="00BF01A2"/>
    <w:rsid w:val="00BF0AF5"/>
    <w:rsid w:val="00BF23D7"/>
    <w:rsid w:val="00BF3598"/>
    <w:rsid w:val="00BF3A5E"/>
    <w:rsid w:val="00BF4958"/>
    <w:rsid w:val="00BF4C23"/>
    <w:rsid w:val="00BF63BE"/>
    <w:rsid w:val="00BF6C02"/>
    <w:rsid w:val="00BF6C47"/>
    <w:rsid w:val="00C00973"/>
    <w:rsid w:val="00C00BF6"/>
    <w:rsid w:val="00C01F73"/>
    <w:rsid w:val="00C01FE7"/>
    <w:rsid w:val="00C042E6"/>
    <w:rsid w:val="00C04566"/>
    <w:rsid w:val="00C04FB5"/>
    <w:rsid w:val="00C05760"/>
    <w:rsid w:val="00C06863"/>
    <w:rsid w:val="00C07602"/>
    <w:rsid w:val="00C10173"/>
    <w:rsid w:val="00C105BC"/>
    <w:rsid w:val="00C10C81"/>
    <w:rsid w:val="00C11015"/>
    <w:rsid w:val="00C12224"/>
    <w:rsid w:val="00C13979"/>
    <w:rsid w:val="00C13A9A"/>
    <w:rsid w:val="00C144FB"/>
    <w:rsid w:val="00C16403"/>
    <w:rsid w:val="00C169E0"/>
    <w:rsid w:val="00C175F9"/>
    <w:rsid w:val="00C17F3A"/>
    <w:rsid w:val="00C218AB"/>
    <w:rsid w:val="00C21D5C"/>
    <w:rsid w:val="00C22A43"/>
    <w:rsid w:val="00C22D95"/>
    <w:rsid w:val="00C23497"/>
    <w:rsid w:val="00C24418"/>
    <w:rsid w:val="00C2501F"/>
    <w:rsid w:val="00C252C1"/>
    <w:rsid w:val="00C25349"/>
    <w:rsid w:val="00C262C4"/>
    <w:rsid w:val="00C278B4"/>
    <w:rsid w:val="00C27EBD"/>
    <w:rsid w:val="00C3017B"/>
    <w:rsid w:val="00C3025D"/>
    <w:rsid w:val="00C30491"/>
    <w:rsid w:val="00C30A36"/>
    <w:rsid w:val="00C32808"/>
    <w:rsid w:val="00C33DED"/>
    <w:rsid w:val="00C3406D"/>
    <w:rsid w:val="00C34404"/>
    <w:rsid w:val="00C3653E"/>
    <w:rsid w:val="00C373EA"/>
    <w:rsid w:val="00C37C9F"/>
    <w:rsid w:val="00C40C27"/>
    <w:rsid w:val="00C41041"/>
    <w:rsid w:val="00C43B66"/>
    <w:rsid w:val="00C4517C"/>
    <w:rsid w:val="00C45207"/>
    <w:rsid w:val="00C45308"/>
    <w:rsid w:val="00C4571E"/>
    <w:rsid w:val="00C457A9"/>
    <w:rsid w:val="00C45CF0"/>
    <w:rsid w:val="00C45D16"/>
    <w:rsid w:val="00C4684C"/>
    <w:rsid w:val="00C518E3"/>
    <w:rsid w:val="00C52DFF"/>
    <w:rsid w:val="00C53158"/>
    <w:rsid w:val="00C5456F"/>
    <w:rsid w:val="00C54832"/>
    <w:rsid w:val="00C55447"/>
    <w:rsid w:val="00C57470"/>
    <w:rsid w:val="00C64850"/>
    <w:rsid w:val="00C65024"/>
    <w:rsid w:val="00C65FC5"/>
    <w:rsid w:val="00C66658"/>
    <w:rsid w:val="00C66EA1"/>
    <w:rsid w:val="00C70C5A"/>
    <w:rsid w:val="00C712E9"/>
    <w:rsid w:val="00C71B38"/>
    <w:rsid w:val="00C727CC"/>
    <w:rsid w:val="00C74486"/>
    <w:rsid w:val="00C74C30"/>
    <w:rsid w:val="00C74FD4"/>
    <w:rsid w:val="00C759C8"/>
    <w:rsid w:val="00C75BD1"/>
    <w:rsid w:val="00C77939"/>
    <w:rsid w:val="00C806F8"/>
    <w:rsid w:val="00C82A78"/>
    <w:rsid w:val="00C838B0"/>
    <w:rsid w:val="00C83DD0"/>
    <w:rsid w:val="00C84235"/>
    <w:rsid w:val="00C857C6"/>
    <w:rsid w:val="00C85E27"/>
    <w:rsid w:val="00C85F12"/>
    <w:rsid w:val="00C8676F"/>
    <w:rsid w:val="00C868E3"/>
    <w:rsid w:val="00C90B68"/>
    <w:rsid w:val="00C90E14"/>
    <w:rsid w:val="00C91436"/>
    <w:rsid w:val="00C91EFC"/>
    <w:rsid w:val="00C9294E"/>
    <w:rsid w:val="00C95689"/>
    <w:rsid w:val="00C97735"/>
    <w:rsid w:val="00CA1215"/>
    <w:rsid w:val="00CA12A9"/>
    <w:rsid w:val="00CA1EEA"/>
    <w:rsid w:val="00CA46A5"/>
    <w:rsid w:val="00CA6B00"/>
    <w:rsid w:val="00CA70FB"/>
    <w:rsid w:val="00CA7A17"/>
    <w:rsid w:val="00CB09F6"/>
    <w:rsid w:val="00CB23CE"/>
    <w:rsid w:val="00CB32CC"/>
    <w:rsid w:val="00CB604A"/>
    <w:rsid w:val="00CB7033"/>
    <w:rsid w:val="00CB72F8"/>
    <w:rsid w:val="00CC0996"/>
    <w:rsid w:val="00CC0D7F"/>
    <w:rsid w:val="00CC22F0"/>
    <w:rsid w:val="00CC2446"/>
    <w:rsid w:val="00CC4832"/>
    <w:rsid w:val="00CC5404"/>
    <w:rsid w:val="00CC58FD"/>
    <w:rsid w:val="00CC5A31"/>
    <w:rsid w:val="00CC5CE6"/>
    <w:rsid w:val="00CC723D"/>
    <w:rsid w:val="00CD0D80"/>
    <w:rsid w:val="00CD1119"/>
    <w:rsid w:val="00CD1A42"/>
    <w:rsid w:val="00CD2D92"/>
    <w:rsid w:val="00CD3C1E"/>
    <w:rsid w:val="00CD4786"/>
    <w:rsid w:val="00CD4A68"/>
    <w:rsid w:val="00CD4AF7"/>
    <w:rsid w:val="00CD5180"/>
    <w:rsid w:val="00CD5E3D"/>
    <w:rsid w:val="00CD78CF"/>
    <w:rsid w:val="00CE0207"/>
    <w:rsid w:val="00CE09DD"/>
    <w:rsid w:val="00CE0B2D"/>
    <w:rsid w:val="00CE1439"/>
    <w:rsid w:val="00CE2512"/>
    <w:rsid w:val="00CE2AEB"/>
    <w:rsid w:val="00CE36B7"/>
    <w:rsid w:val="00CE3BC8"/>
    <w:rsid w:val="00CE4D46"/>
    <w:rsid w:val="00CE5FD6"/>
    <w:rsid w:val="00CE7C00"/>
    <w:rsid w:val="00CF0E0A"/>
    <w:rsid w:val="00CF1462"/>
    <w:rsid w:val="00CF21D4"/>
    <w:rsid w:val="00CF2D3E"/>
    <w:rsid w:val="00CF37AC"/>
    <w:rsid w:val="00CF7479"/>
    <w:rsid w:val="00D00915"/>
    <w:rsid w:val="00D00AA7"/>
    <w:rsid w:val="00D03F68"/>
    <w:rsid w:val="00D05884"/>
    <w:rsid w:val="00D1225E"/>
    <w:rsid w:val="00D13390"/>
    <w:rsid w:val="00D1363B"/>
    <w:rsid w:val="00D13700"/>
    <w:rsid w:val="00D14484"/>
    <w:rsid w:val="00D145C3"/>
    <w:rsid w:val="00D1512A"/>
    <w:rsid w:val="00D157BD"/>
    <w:rsid w:val="00D16224"/>
    <w:rsid w:val="00D17003"/>
    <w:rsid w:val="00D17350"/>
    <w:rsid w:val="00D20023"/>
    <w:rsid w:val="00D20747"/>
    <w:rsid w:val="00D20B4E"/>
    <w:rsid w:val="00D210D1"/>
    <w:rsid w:val="00D21984"/>
    <w:rsid w:val="00D21A6E"/>
    <w:rsid w:val="00D240DA"/>
    <w:rsid w:val="00D24A90"/>
    <w:rsid w:val="00D25C1F"/>
    <w:rsid w:val="00D2765E"/>
    <w:rsid w:val="00D30235"/>
    <w:rsid w:val="00D30E37"/>
    <w:rsid w:val="00D31242"/>
    <w:rsid w:val="00D32D73"/>
    <w:rsid w:val="00D32E63"/>
    <w:rsid w:val="00D3416D"/>
    <w:rsid w:val="00D34950"/>
    <w:rsid w:val="00D3640D"/>
    <w:rsid w:val="00D36DBE"/>
    <w:rsid w:val="00D407DD"/>
    <w:rsid w:val="00D40D53"/>
    <w:rsid w:val="00D40F71"/>
    <w:rsid w:val="00D413BD"/>
    <w:rsid w:val="00D422C3"/>
    <w:rsid w:val="00D42773"/>
    <w:rsid w:val="00D44E6D"/>
    <w:rsid w:val="00D4649A"/>
    <w:rsid w:val="00D46D47"/>
    <w:rsid w:val="00D47FDE"/>
    <w:rsid w:val="00D508C8"/>
    <w:rsid w:val="00D531DE"/>
    <w:rsid w:val="00D533A7"/>
    <w:rsid w:val="00D533D0"/>
    <w:rsid w:val="00D538E2"/>
    <w:rsid w:val="00D53E2F"/>
    <w:rsid w:val="00D549C9"/>
    <w:rsid w:val="00D56861"/>
    <w:rsid w:val="00D57139"/>
    <w:rsid w:val="00D57A98"/>
    <w:rsid w:val="00D60BEE"/>
    <w:rsid w:val="00D60F89"/>
    <w:rsid w:val="00D61C1E"/>
    <w:rsid w:val="00D61F76"/>
    <w:rsid w:val="00D622A9"/>
    <w:rsid w:val="00D63DF4"/>
    <w:rsid w:val="00D65324"/>
    <w:rsid w:val="00D66442"/>
    <w:rsid w:val="00D67743"/>
    <w:rsid w:val="00D67AC3"/>
    <w:rsid w:val="00D67C93"/>
    <w:rsid w:val="00D714C6"/>
    <w:rsid w:val="00D7225B"/>
    <w:rsid w:val="00D72935"/>
    <w:rsid w:val="00D753B4"/>
    <w:rsid w:val="00D7576E"/>
    <w:rsid w:val="00D76A06"/>
    <w:rsid w:val="00D80344"/>
    <w:rsid w:val="00D83183"/>
    <w:rsid w:val="00D835FE"/>
    <w:rsid w:val="00D83921"/>
    <w:rsid w:val="00D84A63"/>
    <w:rsid w:val="00D85622"/>
    <w:rsid w:val="00D85A48"/>
    <w:rsid w:val="00D85B8B"/>
    <w:rsid w:val="00D8675E"/>
    <w:rsid w:val="00D86E21"/>
    <w:rsid w:val="00D8749D"/>
    <w:rsid w:val="00D87934"/>
    <w:rsid w:val="00D9116B"/>
    <w:rsid w:val="00D9290F"/>
    <w:rsid w:val="00D92B96"/>
    <w:rsid w:val="00D92EDE"/>
    <w:rsid w:val="00D93B16"/>
    <w:rsid w:val="00D941D5"/>
    <w:rsid w:val="00D95889"/>
    <w:rsid w:val="00D95B8F"/>
    <w:rsid w:val="00D9767D"/>
    <w:rsid w:val="00DA005E"/>
    <w:rsid w:val="00DA0A02"/>
    <w:rsid w:val="00DA1074"/>
    <w:rsid w:val="00DA1221"/>
    <w:rsid w:val="00DA1F7A"/>
    <w:rsid w:val="00DA3444"/>
    <w:rsid w:val="00DA4B81"/>
    <w:rsid w:val="00DA637A"/>
    <w:rsid w:val="00DA68CE"/>
    <w:rsid w:val="00DA7F08"/>
    <w:rsid w:val="00DB10F6"/>
    <w:rsid w:val="00DB1217"/>
    <w:rsid w:val="00DB1593"/>
    <w:rsid w:val="00DB3057"/>
    <w:rsid w:val="00DB343C"/>
    <w:rsid w:val="00DB35A7"/>
    <w:rsid w:val="00DB3720"/>
    <w:rsid w:val="00DB3C3C"/>
    <w:rsid w:val="00DB4160"/>
    <w:rsid w:val="00DB53D7"/>
    <w:rsid w:val="00DB6275"/>
    <w:rsid w:val="00DB6A2E"/>
    <w:rsid w:val="00DB6E13"/>
    <w:rsid w:val="00DB71D7"/>
    <w:rsid w:val="00DB7254"/>
    <w:rsid w:val="00DC06FB"/>
    <w:rsid w:val="00DC1772"/>
    <w:rsid w:val="00DC1795"/>
    <w:rsid w:val="00DC20EB"/>
    <w:rsid w:val="00DC4CB6"/>
    <w:rsid w:val="00DC4FCB"/>
    <w:rsid w:val="00DC591B"/>
    <w:rsid w:val="00DC5CD0"/>
    <w:rsid w:val="00DC6723"/>
    <w:rsid w:val="00DC687F"/>
    <w:rsid w:val="00DC6A61"/>
    <w:rsid w:val="00DD01C0"/>
    <w:rsid w:val="00DD2825"/>
    <w:rsid w:val="00DD28DC"/>
    <w:rsid w:val="00DD29C8"/>
    <w:rsid w:val="00DD3871"/>
    <w:rsid w:val="00DD4A0F"/>
    <w:rsid w:val="00DD4EBE"/>
    <w:rsid w:val="00DD5A8D"/>
    <w:rsid w:val="00DD620E"/>
    <w:rsid w:val="00DD6C38"/>
    <w:rsid w:val="00DD722F"/>
    <w:rsid w:val="00DD7B4E"/>
    <w:rsid w:val="00DE0F47"/>
    <w:rsid w:val="00DE13CA"/>
    <w:rsid w:val="00DE2DA7"/>
    <w:rsid w:val="00DE406B"/>
    <w:rsid w:val="00DE5A22"/>
    <w:rsid w:val="00DE6EF5"/>
    <w:rsid w:val="00DF1780"/>
    <w:rsid w:val="00DF1D9A"/>
    <w:rsid w:val="00DF1E1E"/>
    <w:rsid w:val="00DF228E"/>
    <w:rsid w:val="00DF45D8"/>
    <w:rsid w:val="00DF5919"/>
    <w:rsid w:val="00DF63F9"/>
    <w:rsid w:val="00DF6832"/>
    <w:rsid w:val="00DF6E64"/>
    <w:rsid w:val="00DF7D61"/>
    <w:rsid w:val="00E01C65"/>
    <w:rsid w:val="00E066A5"/>
    <w:rsid w:val="00E076E1"/>
    <w:rsid w:val="00E0795E"/>
    <w:rsid w:val="00E103D7"/>
    <w:rsid w:val="00E1056A"/>
    <w:rsid w:val="00E10F62"/>
    <w:rsid w:val="00E11208"/>
    <w:rsid w:val="00E118CB"/>
    <w:rsid w:val="00E12B4E"/>
    <w:rsid w:val="00E12E65"/>
    <w:rsid w:val="00E13125"/>
    <w:rsid w:val="00E1373C"/>
    <w:rsid w:val="00E145A8"/>
    <w:rsid w:val="00E15CC9"/>
    <w:rsid w:val="00E167A2"/>
    <w:rsid w:val="00E16AA2"/>
    <w:rsid w:val="00E20CEE"/>
    <w:rsid w:val="00E222F7"/>
    <w:rsid w:val="00E22629"/>
    <w:rsid w:val="00E22A46"/>
    <w:rsid w:val="00E22E93"/>
    <w:rsid w:val="00E272FD"/>
    <w:rsid w:val="00E27F66"/>
    <w:rsid w:val="00E30261"/>
    <w:rsid w:val="00E317DF"/>
    <w:rsid w:val="00E31B0F"/>
    <w:rsid w:val="00E33252"/>
    <w:rsid w:val="00E34706"/>
    <w:rsid w:val="00E35CC7"/>
    <w:rsid w:val="00E35EC2"/>
    <w:rsid w:val="00E369F6"/>
    <w:rsid w:val="00E36B20"/>
    <w:rsid w:val="00E36FF4"/>
    <w:rsid w:val="00E37761"/>
    <w:rsid w:val="00E377BE"/>
    <w:rsid w:val="00E37DE1"/>
    <w:rsid w:val="00E40AF9"/>
    <w:rsid w:val="00E40CB1"/>
    <w:rsid w:val="00E410CC"/>
    <w:rsid w:val="00E4123B"/>
    <w:rsid w:val="00E412E5"/>
    <w:rsid w:val="00E4144D"/>
    <w:rsid w:val="00E415FE"/>
    <w:rsid w:val="00E426E2"/>
    <w:rsid w:val="00E42983"/>
    <w:rsid w:val="00E42C39"/>
    <w:rsid w:val="00E444C4"/>
    <w:rsid w:val="00E452D3"/>
    <w:rsid w:val="00E454BF"/>
    <w:rsid w:val="00E465A6"/>
    <w:rsid w:val="00E50210"/>
    <w:rsid w:val="00E516AA"/>
    <w:rsid w:val="00E5335A"/>
    <w:rsid w:val="00E53623"/>
    <w:rsid w:val="00E539E4"/>
    <w:rsid w:val="00E5464F"/>
    <w:rsid w:val="00E548E1"/>
    <w:rsid w:val="00E55E16"/>
    <w:rsid w:val="00E561BE"/>
    <w:rsid w:val="00E56B85"/>
    <w:rsid w:val="00E57DBD"/>
    <w:rsid w:val="00E61AB9"/>
    <w:rsid w:val="00E62098"/>
    <w:rsid w:val="00E65634"/>
    <w:rsid w:val="00E65778"/>
    <w:rsid w:val="00E65B87"/>
    <w:rsid w:val="00E66844"/>
    <w:rsid w:val="00E67C3F"/>
    <w:rsid w:val="00E70DA1"/>
    <w:rsid w:val="00E713A3"/>
    <w:rsid w:val="00E71DDE"/>
    <w:rsid w:val="00E72035"/>
    <w:rsid w:val="00E7286D"/>
    <w:rsid w:val="00E72E99"/>
    <w:rsid w:val="00E73B3B"/>
    <w:rsid w:val="00E74FF0"/>
    <w:rsid w:val="00E750DF"/>
    <w:rsid w:val="00E77830"/>
    <w:rsid w:val="00E82534"/>
    <w:rsid w:val="00E82932"/>
    <w:rsid w:val="00E82EE2"/>
    <w:rsid w:val="00E82F15"/>
    <w:rsid w:val="00E83887"/>
    <w:rsid w:val="00E83A8C"/>
    <w:rsid w:val="00E83BDA"/>
    <w:rsid w:val="00E8400D"/>
    <w:rsid w:val="00E84599"/>
    <w:rsid w:val="00E84844"/>
    <w:rsid w:val="00E84B64"/>
    <w:rsid w:val="00E86245"/>
    <w:rsid w:val="00E86AA2"/>
    <w:rsid w:val="00E86C9E"/>
    <w:rsid w:val="00E9010F"/>
    <w:rsid w:val="00E92335"/>
    <w:rsid w:val="00E938D5"/>
    <w:rsid w:val="00E94B0D"/>
    <w:rsid w:val="00E9528B"/>
    <w:rsid w:val="00E95B1F"/>
    <w:rsid w:val="00E9729F"/>
    <w:rsid w:val="00E97DB6"/>
    <w:rsid w:val="00EA05CC"/>
    <w:rsid w:val="00EA250D"/>
    <w:rsid w:val="00EA2BC7"/>
    <w:rsid w:val="00EA2CF8"/>
    <w:rsid w:val="00EA3459"/>
    <w:rsid w:val="00EA3D1F"/>
    <w:rsid w:val="00EA4200"/>
    <w:rsid w:val="00EA429F"/>
    <w:rsid w:val="00EA45C8"/>
    <w:rsid w:val="00EA53FC"/>
    <w:rsid w:val="00EA5F85"/>
    <w:rsid w:val="00EA7BBD"/>
    <w:rsid w:val="00EB1DCA"/>
    <w:rsid w:val="00EB20BB"/>
    <w:rsid w:val="00EB3CE8"/>
    <w:rsid w:val="00EB492A"/>
    <w:rsid w:val="00EB6A71"/>
    <w:rsid w:val="00EB74A7"/>
    <w:rsid w:val="00EC17EA"/>
    <w:rsid w:val="00EC19A7"/>
    <w:rsid w:val="00EC207B"/>
    <w:rsid w:val="00EC2682"/>
    <w:rsid w:val="00EC54D9"/>
    <w:rsid w:val="00EC5B8E"/>
    <w:rsid w:val="00EC6E78"/>
    <w:rsid w:val="00ED0B8D"/>
    <w:rsid w:val="00ED135A"/>
    <w:rsid w:val="00ED25D4"/>
    <w:rsid w:val="00ED2A52"/>
    <w:rsid w:val="00ED2BC8"/>
    <w:rsid w:val="00ED4B98"/>
    <w:rsid w:val="00ED4BB8"/>
    <w:rsid w:val="00ED6C7F"/>
    <w:rsid w:val="00EE0403"/>
    <w:rsid w:val="00EE049F"/>
    <w:rsid w:val="00EE1836"/>
    <w:rsid w:val="00EE1E49"/>
    <w:rsid w:val="00EE3315"/>
    <w:rsid w:val="00EE406A"/>
    <w:rsid w:val="00EE5FFF"/>
    <w:rsid w:val="00EE64C3"/>
    <w:rsid w:val="00EE65F3"/>
    <w:rsid w:val="00EE6F05"/>
    <w:rsid w:val="00EE7626"/>
    <w:rsid w:val="00EE779D"/>
    <w:rsid w:val="00EE793D"/>
    <w:rsid w:val="00EF0303"/>
    <w:rsid w:val="00EF0986"/>
    <w:rsid w:val="00EF103D"/>
    <w:rsid w:val="00EF18B3"/>
    <w:rsid w:val="00EF2140"/>
    <w:rsid w:val="00EF5840"/>
    <w:rsid w:val="00EF6CE9"/>
    <w:rsid w:val="00F000A9"/>
    <w:rsid w:val="00F002B6"/>
    <w:rsid w:val="00F0042C"/>
    <w:rsid w:val="00F00517"/>
    <w:rsid w:val="00F01A1E"/>
    <w:rsid w:val="00F024C6"/>
    <w:rsid w:val="00F0262C"/>
    <w:rsid w:val="00F03411"/>
    <w:rsid w:val="00F0372F"/>
    <w:rsid w:val="00F037B6"/>
    <w:rsid w:val="00F03B2B"/>
    <w:rsid w:val="00F04311"/>
    <w:rsid w:val="00F047C0"/>
    <w:rsid w:val="00F04A6D"/>
    <w:rsid w:val="00F0520E"/>
    <w:rsid w:val="00F06AF0"/>
    <w:rsid w:val="00F075C7"/>
    <w:rsid w:val="00F077D1"/>
    <w:rsid w:val="00F10306"/>
    <w:rsid w:val="00F123DD"/>
    <w:rsid w:val="00F1256C"/>
    <w:rsid w:val="00F12ABE"/>
    <w:rsid w:val="00F13400"/>
    <w:rsid w:val="00F1467E"/>
    <w:rsid w:val="00F16B67"/>
    <w:rsid w:val="00F17F91"/>
    <w:rsid w:val="00F20215"/>
    <w:rsid w:val="00F208D8"/>
    <w:rsid w:val="00F20EEB"/>
    <w:rsid w:val="00F2309D"/>
    <w:rsid w:val="00F24CFA"/>
    <w:rsid w:val="00F2730D"/>
    <w:rsid w:val="00F302E1"/>
    <w:rsid w:val="00F304AB"/>
    <w:rsid w:val="00F31605"/>
    <w:rsid w:val="00F32C46"/>
    <w:rsid w:val="00F33DA4"/>
    <w:rsid w:val="00F348FC"/>
    <w:rsid w:val="00F36D16"/>
    <w:rsid w:val="00F410A2"/>
    <w:rsid w:val="00F4110A"/>
    <w:rsid w:val="00F43B52"/>
    <w:rsid w:val="00F44878"/>
    <w:rsid w:val="00F46AD4"/>
    <w:rsid w:val="00F4718D"/>
    <w:rsid w:val="00F472B2"/>
    <w:rsid w:val="00F474BC"/>
    <w:rsid w:val="00F47D65"/>
    <w:rsid w:val="00F51311"/>
    <w:rsid w:val="00F51725"/>
    <w:rsid w:val="00F5272C"/>
    <w:rsid w:val="00F54813"/>
    <w:rsid w:val="00F54DE0"/>
    <w:rsid w:val="00F553EB"/>
    <w:rsid w:val="00F56274"/>
    <w:rsid w:val="00F57D48"/>
    <w:rsid w:val="00F6047B"/>
    <w:rsid w:val="00F617DB"/>
    <w:rsid w:val="00F6336E"/>
    <w:rsid w:val="00F65DD9"/>
    <w:rsid w:val="00F6738F"/>
    <w:rsid w:val="00F67731"/>
    <w:rsid w:val="00F718DD"/>
    <w:rsid w:val="00F71AAC"/>
    <w:rsid w:val="00F7219C"/>
    <w:rsid w:val="00F728C9"/>
    <w:rsid w:val="00F73058"/>
    <w:rsid w:val="00F73686"/>
    <w:rsid w:val="00F76F50"/>
    <w:rsid w:val="00F77217"/>
    <w:rsid w:val="00F77231"/>
    <w:rsid w:val="00F777FE"/>
    <w:rsid w:val="00F8102D"/>
    <w:rsid w:val="00F811CC"/>
    <w:rsid w:val="00F812C0"/>
    <w:rsid w:val="00F81D3D"/>
    <w:rsid w:val="00F81DAF"/>
    <w:rsid w:val="00F829CC"/>
    <w:rsid w:val="00F832A0"/>
    <w:rsid w:val="00F83CAC"/>
    <w:rsid w:val="00F83E59"/>
    <w:rsid w:val="00F85FAD"/>
    <w:rsid w:val="00F86A3E"/>
    <w:rsid w:val="00F90B83"/>
    <w:rsid w:val="00F9259B"/>
    <w:rsid w:val="00F93DB0"/>
    <w:rsid w:val="00F947A7"/>
    <w:rsid w:val="00F96169"/>
    <w:rsid w:val="00F9635C"/>
    <w:rsid w:val="00FA0037"/>
    <w:rsid w:val="00FA0AFF"/>
    <w:rsid w:val="00FA0E5A"/>
    <w:rsid w:val="00FA1136"/>
    <w:rsid w:val="00FA1300"/>
    <w:rsid w:val="00FA29B7"/>
    <w:rsid w:val="00FA362E"/>
    <w:rsid w:val="00FA4289"/>
    <w:rsid w:val="00FA4E0B"/>
    <w:rsid w:val="00FA6157"/>
    <w:rsid w:val="00FB00FB"/>
    <w:rsid w:val="00FB135C"/>
    <w:rsid w:val="00FB18BF"/>
    <w:rsid w:val="00FB1AA6"/>
    <w:rsid w:val="00FB232A"/>
    <w:rsid w:val="00FB2453"/>
    <w:rsid w:val="00FB2C99"/>
    <w:rsid w:val="00FB31FF"/>
    <w:rsid w:val="00FB4998"/>
    <w:rsid w:val="00FB508F"/>
    <w:rsid w:val="00FB55A0"/>
    <w:rsid w:val="00FB68C8"/>
    <w:rsid w:val="00FB746B"/>
    <w:rsid w:val="00FB7F57"/>
    <w:rsid w:val="00FC002A"/>
    <w:rsid w:val="00FC200B"/>
    <w:rsid w:val="00FC360A"/>
    <w:rsid w:val="00FC4FCC"/>
    <w:rsid w:val="00FC60DF"/>
    <w:rsid w:val="00FC7A49"/>
    <w:rsid w:val="00FD0E74"/>
    <w:rsid w:val="00FD119A"/>
    <w:rsid w:val="00FD1922"/>
    <w:rsid w:val="00FD291F"/>
    <w:rsid w:val="00FD2BA7"/>
    <w:rsid w:val="00FD313C"/>
    <w:rsid w:val="00FD3405"/>
    <w:rsid w:val="00FD5AD8"/>
    <w:rsid w:val="00FD68DF"/>
    <w:rsid w:val="00FE02CF"/>
    <w:rsid w:val="00FE1320"/>
    <w:rsid w:val="00FE15A8"/>
    <w:rsid w:val="00FE2D83"/>
    <w:rsid w:val="00FE3395"/>
    <w:rsid w:val="00FE54EF"/>
    <w:rsid w:val="00FE654D"/>
    <w:rsid w:val="00FE6A3A"/>
    <w:rsid w:val="00FE73D4"/>
    <w:rsid w:val="00FF04AF"/>
    <w:rsid w:val="00FF277D"/>
    <w:rsid w:val="00FF3129"/>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45"/>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3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styleId="UnresolvedMention">
    <w:name w:val="Unresolved Mention"/>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eufunds.bg/bg/opos" TargetMode="Externa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ufunds.bg/bg/opos" TargetMode="Externa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ufunds.bg" TargetMode="Externa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9.xml"/><Relationship Id="rId8" Type="http://schemas.openxmlformats.org/officeDocument/2006/relationships/header" Target="head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docoffic/official/reports/cohesion7/7cr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8BF3-C879-4E88-A372-C91EC60D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25571</Words>
  <Characters>145757</Characters>
  <Application>Microsoft Office Word</Application>
  <DocSecurity>0</DocSecurity>
  <Lines>1214</Lines>
  <Paragraphs>341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 BG31</cp:lastModifiedBy>
  <cp:revision>3</cp:revision>
  <cp:lastPrinted>2019-10-30T10:11:00Z</cp:lastPrinted>
  <dcterms:created xsi:type="dcterms:W3CDTF">2021-02-09T11:43:00Z</dcterms:created>
  <dcterms:modified xsi:type="dcterms:W3CDTF">2021-02-09T11:43:00Z</dcterms:modified>
</cp:coreProperties>
</file>