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F2F1" w14:textId="77777777" w:rsidR="006657B2" w:rsidRDefault="006657B2" w:rsidP="00D037D8">
      <w:pPr>
        <w:pStyle w:val="Title"/>
        <w:rPr>
          <w:rFonts w:ascii="Arial" w:hAnsi="Arial" w:cs="Arial"/>
          <w:noProof/>
          <w:color w:val="auto"/>
          <w:spacing w:val="0"/>
          <w:kern w:val="0"/>
          <w:sz w:val="44"/>
          <w:szCs w:val="44"/>
          <w:lang w:val="en-GB"/>
        </w:rPr>
      </w:pPr>
    </w:p>
    <w:p w14:paraId="599AE309" w14:textId="77777777" w:rsidR="006657B2" w:rsidRDefault="006657B2" w:rsidP="00D80F90">
      <w:pPr>
        <w:pStyle w:val="Title"/>
        <w:jc w:val="center"/>
        <w:rPr>
          <w:rFonts w:ascii="Arial" w:hAnsi="Arial" w:cs="Arial"/>
          <w:noProof/>
          <w:color w:val="auto"/>
          <w:spacing w:val="0"/>
          <w:kern w:val="0"/>
          <w:sz w:val="44"/>
          <w:szCs w:val="44"/>
          <w:lang w:val="en-GB"/>
        </w:rPr>
      </w:pPr>
    </w:p>
    <w:p w14:paraId="2604C828" w14:textId="77777777" w:rsidR="006657B2" w:rsidRDefault="006657B2" w:rsidP="00D80F90">
      <w:pPr>
        <w:pStyle w:val="Title"/>
        <w:jc w:val="center"/>
        <w:rPr>
          <w:rFonts w:ascii="Arial" w:hAnsi="Arial" w:cs="Arial"/>
          <w:noProof/>
          <w:color w:val="auto"/>
          <w:spacing w:val="0"/>
          <w:kern w:val="0"/>
          <w:sz w:val="44"/>
          <w:szCs w:val="44"/>
          <w:lang w:val="en-GB"/>
        </w:rPr>
      </w:pPr>
    </w:p>
    <w:p w14:paraId="207F71FC" w14:textId="77777777" w:rsidR="00E55F93" w:rsidRDefault="00E55F93" w:rsidP="00D80F90">
      <w:pPr>
        <w:pStyle w:val="Title"/>
        <w:jc w:val="center"/>
        <w:rPr>
          <w:rFonts w:ascii="Arial" w:hAnsi="Arial" w:cs="Arial"/>
          <w:b/>
          <w:noProof/>
          <w:color w:val="auto"/>
          <w:spacing w:val="0"/>
          <w:kern w:val="0"/>
          <w:sz w:val="44"/>
          <w:szCs w:val="44"/>
        </w:rPr>
      </w:pPr>
    </w:p>
    <w:p w14:paraId="5444A703" w14:textId="77777777" w:rsidR="00E55F93" w:rsidRDefault="00E55F93" w:rsidP="00D80F90">
      <w:pPr>
        <w:pStyle w:val="Title"/>
        <w:jc w:val="center"/>
        <w:rPr>
          <w:rFonts w:ascii="Arial" w:hAnsi="Arial" w:cs="Arial"/>
          <w:b/>
          <w:noProof/>
          <w:color w:val="auto"/>
          <w:spacing w:val="0"/>
          <w:kern w:val="0"/>
          <w:sz w:val="44"/>
          <w:szCs w:val="44"/>
        </w:rPr>
      </w:pPr>
    </w:p>
    <w:p w14:paraId="68C80F74" w14:textId="77777777" w:rsidR="00D80F90" w:rsidRPr="00CD1030" w:rsidRDefault="00CD1030" w:rsidP="00D80F90">
      <w:pPr>
        <w:pStyle w:val="Title"/>
        <w:jc w:val="center"/>
        <w:rPr>
          <w:rFonts w:ascii="Arial" w:hAnsi="Arial" w:cs="Arial"/>
          <w:b/>
          <w:noProof/>
          <w:color w:val="auto"/>
          <w:spacing w:val="0"/>
          <w:kern w:val="0"/>
          <w:sz w:val="44"/>
          <w:szCs w:val="44"/>
          <w:lang w:val="bg-BG"/>
        </w:rPr>
      </w:pPr>
      <w:r>
        <w:rPr>
          <w:rFonts w:ascii="Arial" w:hAnsi="Arial" w:cs="Arial"/>
          <w:b/>
          <w:noProof/>
          <w:color w:val="auto"/>
          <w:spacing w:val="0"/>
          <w:kern w:val="0"/>
          <w:sz w:val="44"/>
          <w:szCs w:val="44"/>
          <w:lang w:val="bg-BG"/>
        </w:rPr>
        <w:t>Инвестиционна стратегия</w:t>
      </w:r>
    </w:p>
    <w:p w14:paraId="5E05CE86" w14:textId="77777777" w:rsidR="0029140D" w:rsidRPr="00BC7695" w:rsidRDefault="00CD1030" w:rsidP="001A70B8">
      <w:pPr>
        <w:jc w:val="center"/>
        <w:rPr>
          <w:b/>
          <w:sz w:val="36"/>
          <w:szCs w:val="36"/>
          <w:lang w:val="bg-BG"/>
        </w:rPr>
      </w:pPr>
      <w:r>
        <w:rPr>
          <w:b/>
          <w:sz w:val="36"/>
          <w:szCs w:val="36"/>
          <w:lang w:val="bg-BG"/>
        </w:rPr>
        <w:t>Финансови инструменти по</w:t>
      </w:r>
      <w:r w:rsidR="002828FA">
        <w:rPr>
          <w:b/>
          <w:sz w:val="36"/>
          <w:szCs w:val="36"/>
          <w:lang w:val="bg-BG"/>
        </w:rPr>
        <w:t xml:space="preserve"> ПО 1 „Води“</w:t>
      </w:r>
    </w:p>
    <w:p w14:paraId="1FD0CE69" w14:textId="77777777" w:rsidR="00AB70E9" w:rsidRPr="00CD1030" w:rsidRDefault="00CD1030" w:rsidP="001A70B8">
      <w:pPr>
        <w:jc w:val="center"/>
        <w:rPr>
          <w:b/>
          <w:sz w:val="36"/>
          <w:szCs w:val="36"/>
          <w:lang w:val="bg-BG"/>
        </w:rPr>
      </w:pPr>
      <w:r>
        <w:rPr>
          <w:b/>
          <w:sz w:val="36"/>
          <w:szCs w:val="36"/>
          <w:lang w:val="bg-BG"/>
        </w:rPr>
        <w:t>ОП</w:t>
      </w:r>
      <w:r w:rsidR="00AB70E9" w:rsidRPr="00CD1030">
        <w:rPr>
          <w:b/>
          <w:sz w:val="36"/>
          <w:szCs w:val="36"/>
          <w:lang w:val="bg-BG"/>
        </w:rPr>
        <w:t xml:space="preserve"> </w:t>
      </w:r>
      <w:r>
        <w:rPr>
          <w:b/>
          <w:sz w:val="36"/>
          <w:szCs w:val="36"/>
          <w:lang w:val="bg-BG"/>
        </w:rPr>
        <w:t>„Околна среда“</w:t>
      </w:r>
      <w:r w:rsidR="00AB70E9" w:rsidRPr="00CD1030">
        <w:rPr>
          <w:b/>
          <w:sz w:val="36"/>
          <w:szCs w:val="36"/>
          <w:lang w:val="bg-BG"/>
        </w:rPr>
        <w:t xml:space="preserve"> 2014-2020</w:t>
      </w:r>
      <w:r>
        <w:rPr>
          <w:b/>
          <w:sz w:val="36"/>
          <w:szCs w:val="36"/>
          <w:lang w:val="bg-BG"/>
        </w:rPr>
        <w:t xml:space="preserve"> г.</w:t>
      </w:r>
    </w:p>
    <w:p w14:paraId="288B62EB" w14:textId="77777777" w:rsidR="001A70B8" w:rsidRPr="00CD1030" w:rsidRDefault="001A70B8">
      <w:pPr>
        <w:rPr>
          <w:lang w:val="bg-BG"/>
        </w:rPr>
      </w:pPr>
      <w:r w:rsidRPr="00CD1030">
        <w:rPr>
          <w:lang w:val="bg-BG"/>
        </w:rPr>
        <w:br w:type="page"/>
      </w:r>
    </w:p>
    <w:p w14:paraId="065EA3DF" w14:textId="77777777" w:rsidR="001A70B8" w:rsidRPr="00CD1030" w:rsidRDefault="001A70B8" w:rsidP="001A70B8">
      <w:pPr>
        <w:rPr>
          <w:lang w:val="bg-BG"/>
        </w:rPr>
      </w:pPr>
    </w:p>
    <w:sdt>
      <w:sdtPr>
        <w:rPr>
          <w:rFonts w:asciiTheme="minorHAnsi" w:eastAsiaTheme="minorHAnsi" w:hAnsiTheme="minorHAnsi" w:cstheme="minorBidi"/>
          <w:color w:val="auto"/>
          <w:sz w:val="22"/>
          <w:szCs w:val="22"/>
          <w:lang w:val="en-GB"/>
        </w:rPr>
        <w:id w:val="-1261764941"/>
        <w:docPartObj>
          <w:docPartGallery w:val="Table of Contents"/>
          <w:docPartUnique/>
        </w:docPartObj>
      </w:sdtPr>
      <w:sdtEndPr>
        <w:rPr>
          <w:b/>
          <w:bCs/>
          <w:noProof/>
        </w:rPr>
      </w:sdtEndPr>
      <w:sdtContent>
        <w:p w14:paraId="77C154F6" w14:textId="77777777" w:rsidR="001A70B8" w:rsidRPr="00782954" w:rsidRDefault="00782954">
          <w:pPr>
            <w:pStyle w:val="TOCHeading"/>
            <w:rPr>
              <w:lang w:val="bg-BG"/>
            </w:rPr>
          </w:pPr>
          <w:r>
            <w:rPr>
              <w:lang w:val="bg-BG"/>
            </w:rPr>
            <w:t>Съдържание</w:t>
          </w:r>
        </w:p>
        <w:p w14:paraId="4EE54EFD" w14:textId="77777777" w:rsidR="008850B9" w:rsidRPr="008850B9" w:rsidRDefault="008850B9" w:rsidP="008850B9">
          <w:pPr>
            <w:rPr>
              <w:lang w:val="en-US"/>
            </w:rPr>
          </w:pPr>
        </w:p>
        <w:p w14:paraId="4E140FDC" w14:textId="77777777" w:rsidR="008B5547" w:rsidRDefault="001A70B8">
          <w:pPr>
            <w:pStyle w:val="TOC3"/>
            <w:tabs>
              <w:tab w:val="right" w:leader="dot" w:pos="9742"/>
            </w:tabs>
            <w:rPr>
              <w:rFonts w:eastAsiaTheme="minorEastAsia"/>
              <w:noProof/>
              <w:lang w:eastAsia="en-GB"/>
            </w:rPr>
          </w:pPr>
          <w:r>
            <w:fldChar w:fldCharType="begin"/>
          </w:r>
          <w:r>
            <w:instrText xml:space="preserve"> TOC \o "1-3" \h \z \u </w:instrText>
          </w:r>
          <w:r>
            <w:fldChar w:fldCharType="separate"/>
          </w:r>
          <w:hyperlink w:anchor="_Toc503798463" w:history="1">
            <w:r w:rsidR="008B5547" w:rsidRPr="00E5362E">
              <w:rPr>
                <w:rStyle w:val="Hyperlink"/>
                <w:rFonts w:ascii="Arial" w:hAnsi="Arial" w:cs="Arial"/>
                <w:b/>
                <w:noProof/>
                <w:lang w:val="bg-BG"/>
              </w:rPr>
              <w:t>Списък на съкращенията</w:t>
            </w:r>
            <w:r w:rsidR="008B5547">
              <w:rPr>
                <w:noProof/>
                <w:webHidden/>
              </w:rPr>
              <w:tab/>
            </w:r>
            <w:r w:rsidR="008B5547">
              <w:rPr>
                <w:noProof/>
                <w:webHidden/>
              </w:rPr>
              <w:fldChar w:fldCharType="begin"/>
            </w:r>
            <w:r w:rsidR="008B5547">
              <w:rPr>
                <w:noProof/>
                <w:webHidden/>
              </w:rPr>
              <w:instrText xml:space="preserve"> PAGEREF _Toc503798463 \h </w:instrText>
            </w:r>
            <w:r w:rsidR="008B5547">
              <w:rPr>
                <w:noProof/>
                <w:webHidden/>
              </w:rPr>
            </w:r>
            <w:r w:rsidR="008B5547">
              <w:rPr>
                <w:noProof/>
                <w:webHidden/>
              </w:rPr>
              <w:fldChar w:fldCharType="separate"/>
            </w:r>
            <w:r w:rsidR="008B5547">
              <w:rPr>
                <w:noProof/>
                <w:webHidden/>
              </w:rPr>
              <w:t>3</w:t>
            </w:r>
            <w:r w:rsidR="008B5547">
              <w:rPr>
                <w:noProof/>
                <w:webHidden/>
              </w:rPr>
              <w:fldChar w:fldCharType="end"/>
            </w:r>
          </w:hyperlink>
        </w:p>
        <w:p w14:paraId="72B13D7D" w14:textId="77777777" w:rsidR="008B5547" w:rsidRDefault="00864EA2">
          <w:pPr>
            <w:pStyle w:val="TOC3"/>
            <w:tabs>
              <w:tab w:val="left" w:pos="880"/>
              <w:tab w:val="right" w:leader="dot" w:pos="9742"/>
            </w:tabs>
            <w:rPr>
              <w:rFonts w:eastAsiaTheme="minorEastAsia"/>
              <w:noProof/>
              <w:lang w:eastAsia="en-GB"/>
            </w:rPr>
          </w:pPr>
          <w:hyperlink w:anchor="_Toc503798464" w:history="1">
            <w:r w:rsidR="008B5547" w:rsidRPr="00E5362E">
              <w:rPr>
                <w:rStyle w:val="Hyperlink"/>
                <w:rFonts w:ascii="Arial" w:hAnsi="Arial" w:cs="Arial"/>
                <w:b/>
                <w:noProof/>
              </w:rPr>
              <w:t>1.</w:t>
            </w:r>
            <w:r w:rsidR="008B5547">
              <w:rPr>
                <w:rFonts w:eastAsiaTheme="minorEastAsia"/>
                <w:noProof/>
                <w:lang w:eastAsia="en-GB"/>
              </w:rPr>
              <w:tab/>
            </w:r>
            <w:r w:rsidR="008B5547" w:rsidRPr="00E5362E">
              <w:rPr>
                <w:rStyle w:val="Hyperlink"/>
                <w:rFonts w:ascii="Arial" w:hAnsi="Arial" w:cs="Arial"/>
                <w:b/>
                <w:noProof/>
                <w:lang w:val="bg-BG"/>
              </w:rPr>
              <w:t>Въведение</w:t>
            </w:r>
            <w:r w:rsidR="008B5547">
              <w:rPr>
                <w:noProof/>
                <w:webHidden/>
              </w:rPr>
              <w:tab/>
            </w:r>
            <w:r w:rsidR="008B5547">
              <w:rPr>
                <w:noProof/>
                <w:webHidden/>
              </w:rPr>
              <w:fldChar w:fldCharType="begin"/>
            </w:r>
            <w:r w:rsidR="008B5547">
              <w:rPr>
                <w:noProof/>
                <w:webHidden/>
              </w:rPr>
              <w:instrText xml:space="preserve"> PAGEREF _Toc503798464 \h </w:instrText>
            </w:r>
            <w:r w:rsidR="008B5547">
              <w:rPr>
                <w:noProof/>
                <w:webHidden/>
              </w:rPr>
            </w:r>
            <w:r w:rsidR="008B5547">
              <w:rPr>
                <w:noProof/>
                <w:webHidden/>
              </w:rPr>
              <w:fldChar w:fldCharType="separate"/>
            </w:r>
            <w:r w:rsidR="008B5547">
              <w:rPr>
                <w:noProof/>
                <w:webHidden/>
              </w:rPr>
              <w:t>5</w:t>
            </w:r>
            <w:r w:rsidR="008B5547">
              <w:rPr>
                <w:noProof/>
                <w:webHidden/>
              </w:rPr>
              <w:fldChar w:fldCharType="end"/>
            </w:r>
          </w:hyperlink>
        </w:p>
        <w:p w14:paraId="1490EB0F" w14:textId="77777777" w:rsidR="008B5547" w:rsidRDefault="00864EA2">
          <w:pPr>
            <w:pStyle w:val="TOC3"/>
            <w:tabs>
              <w:tab w:val="right" w:leader="dot" w:pos="9742"/>
            </w:tabs>
            <w:rPr>
              <w:rFonts w:eastAsiaTheme="minorEastAsia"/>
              <w:noProof/>
              <w:lang w:eastAsia="en-GB"/>
            </w:rPr>
          </w:pPr>
          <w:hyperlink w:anchor="_Toc503798465" w:history="1">
            <w:r w:rsidR="008B5547" w:rsidRPr="00E5362E">
              <w:rPr>
                <w:rStyle w:val="Hyperlink"/>
                <w:rFonts w:ascii="Arial" w:hAnsi="Arial" w:cs="Arial"/>
                <w:b/>
                <w:noProof/>
                <w:lang w:val="bg-BG"/>
              </w:rPr>
              <w:t>2. Стратегически контекст</w:t>
            </w:r>
            <w:r w:rsidR="008B5547">
              <w:rPr>
                <w:noProof/>
                <w:webHidden/>
              </w:rPr>
              <w:tab/>
            </w:r>
            <w:r w:rsidR="008B5547">
              <w:rPr>
                <w:noProof/>
                <w:webHidden/>
              </w:rPr>
              <w:fldChar w:fldCharType="begin"/>
            </w:r>
            <w:r w:rsidR="008B5547">
              <w:rPr>
                <w:noProof/>
                <w:webHidden/>
              </w:rPr>
              <w:instrText xml:space="preserve"> PAGEREF _Toc503798465 \h </w:instrText>
            </w:r>
            <w:r w:rsidR="008B5547">
              <w:rPr>
                <w:noProof/>
                <w:webHidden/>
              </w:rPr>
            </w:r>
            <w:r w:rsidR="008B5547">
              <w:rPr>
                <w:noProof/>
                <w:webHidden/>
              </w:rPr>
              <w:fldChar w:fldCharType="separate"/>
            </w:r>
            <w:r w:rsidR="008B5547">
              <w:rPr>
                <w:noProof/>
                <w:webHidden/>
              </w:rPr>
              <w:t>6</w:t>
            </w:r>
            <w:r w:rsidR="008B5547">
              <w:rPr>
                <w:noProof/>
                <w:webHidden/>
              </w:rPr>
              <w:fldChar w:fldCharType="end"/>
            </w:r>
          </w:hyperlink>
        </w:p>
        <w:p w14:paraId="169661AA" w14:textId="77777777" w:rsidR="008B5547" w:rsidRDefault="00864EA2">
          <w:pPr>
            <w:pStyle w:val="TOC3"/>
            <w:tabs>
              <w:tab w:val="right" w:leader="dot" w:pos="9742"/>
            </w:tabs>
            <w:rPr>
              <w:rFonts w:eastAsiaTheme="minorEastAsia"/>
              <w:noProof/>
              <w:lang w:eastAsia="en-GB"/>
            </w:rPr>
          </w:pPr>
          <w:hyperlink w:anchor="_Toc503798466" w:history="1">
            <w:r w:rsidR="008B5547" w:rsidRPr="00E5362E">
              <w:rPr>
                <w:rStyle w:val="Hyperlink"/>
                <w:rFonts w:ascii="Arial" w:hAnsi="Arial" w:cs="Arial"/>
                <w:b/>
                <w:noProof/>
                <w:lang w:val="bg-BG"/>
              </w:rPr>
              <w:t>2.1 Пазарен контекст</w:t>
            </w:r>
            <w:r w:rsidR="008B5547">
              <w:rPr>
                <w:noProof/>
                <w:webHidden/>
              </w:rPr>
              <w:tab/>
            </w:r>
            <w:r w:rsidR="008B5547">
              <w:rPr>
                <w:noProof/>
                <w:webHidden/>
              </w:rPr>
              <w:fldChar w:fldCharType="begin"/>
            </w:r>
            <w:r w:rsidR="008B5547">
              <w:rPr>
                <w:noProof/>
                <w:webHidden/>
              </w:rPr>
              <w:instrText xml:space="preserve"> PAGEREF _Toc503798466 \h </w:instrText>
            </w:r>
            <w:r w:rsidR="008B5547">
              <w:rPr>
                <w:noProof/>
                <w:webHidden/>
              </w:rPr>
            </w:r>
            <w:r w:rsidR="008B5547">
              <w:rPr>
                <w:noProof/>
                <w:webHidden/>
              </w:rPr>
              <w:fldChar w:fldCharType="separate"/>
            </w:r>
            <w:r w:rsidR="008B5547">
              <w:rPr>
                <w:noProof/>
                <w:webHidden/>
              </w:rPr>
              <w:t>6</w:t>
            </w:r>
            <w:r w:rsidR="008B5547">
              <w:rPr>
                <w:noProof/>
                <w:webHidden/>
              </w:rPr>
              <w:fldChar w:fldCharType="end"/>
            </w:r>
          </w:hyperlink>
        </w:p>
        <w:p w14:paraId="222D679D" w14:textId="77777777" w:rsidR="008B5547" w:rsidRDefault="00864EA2">
          <w:pPr>
            <w:pStyle w:val="TOC3"/>
            <w:tabs>
              <w:tab w:val="right" w:leader="dot" w:pos="9742"/>
            </w:tabs>
            <w:rPr>
              <w:rFonts w:eastAsiaTheme="minorEastAsia"/>
              <w:noProof/>
              <w:lang w:eastAsia="en-GB"/>
            </w:rPr>
          </w:pPr>
          <w:hyperlink w:anchor="_Toc503798467" w:history="1">
            <w:r w:rsidR="008B5547" w:rsidRPr="00E5362E">
              <w:rPr>
                <w:rStyle w:val="Hyperlink"/>
                <w:rFonts w:ascii="Arial" w:hAnsi="Arial" w:cs="Arial"/>
                <w:b/>
                <w:noProof/>
                <w:lang w:val="bg-BG"/>
              </w:rPr>
              <w:t>2.2 Обхват на ОПОС 2014 – 2020 г.</w:t>
            </w:r>
            <w:r w:rsidR="008B5547">
              <w:rPr>
                <w:noProof/>
                <w:webHidden/>
              </w:rPr>
              <w:tab/>
            </w:r>
            <w:r w:rsidR="008B5547">
              <w:rPr>
                <w:noProof/>
                <w:webHidden/>
              </w:rPr>
              <w:fldChar w:fldCharType="begin"/>
            </w:r>
            <w:r w:rsidR="008B5547">
              <w:rPr>
                <w:noProof/>
                <w:webHidden/>
              </w:rPr>
              <w:instrText xml:space="preserve"> PAGEREF _Toc503798467 \h </w:instrText>
            </w:r>
            <w:r w:rsidR="008B5547">
              <w:rPr>
                <w:noProof/>
                <w:webHidden/>
              </w:rPr>
            </w:r>
            <w:r w:rsidR="008B5547">
              <w:rPr>
                <w:noProof/>
                <w:webHidden/>
              </w:rPr>
              <w:fldChar w:fldCharType="separate"/>
            </w:r>
            <w:r w:rsidR="008B5547">
              <w:rPr>
                <w:noProof/>
                <w:webHidden/>
              </w:rPr>
              <w:t>9</w:t>
            </w:r>
            <w:r w:rsidR="008B5547">
              <w:rPr>
                <w:noProof/>
                <w:webHidden/>
              </w:rPr>
              <w:fldChar w:fldCharType="end"/>
            </w:r>
          </w:hyperlink>
        </w:p>
        <w:p w14:paraId="42ECB5FF" w14:textId="77777777" w:rsidR="008B5547" w:rsidRDefault="00864EA2">
          <w:pPr>
            <w:pStyle w:val="TOC3"/>
            <w:tabs>
              <w:tab w:val="right" w:leader="dot" w:pos="9742"/>
            </w:tabs>
            <w:rPr>
              <w:rFonts w:eastAsiaTheme="minorEastAsia"/>
              <w:noProof/>
              <w:lang w:eastAsia="en-GB"/>
            </w:rPr>
          </w:pPr>
          <w:hyperlink w:anchor="_Toc503798468" w:history="1">
            <w:r w:rsidR="008B5547" w:rsidRPr="00E5362E">
              <w:rPr>
                <w:rStyle w:val="Hyperlink"/>
                <w:rFonts w:ascii="Arial" w:hAnsi="Arial" w:cs="Arial"/>
                <w:b/>
                <w:noProof/>
                <w:lang w:val="bg-BG"/>
              </w:rPr>
              <w:t>2.3 Регулаторна рамка и стратегически документи</w:t>
            </w:r>
            <w:r w:rsidR="008B5547">
              <w:rPr>
                <w:noProof/>
                <w:webHidden/>
              </w:rPr>
              <w:tab/>
            </w:r>
            <w:r w:rsidR="008B5547">
              <w:rPr>
                <w:noProof/>
                <w:webHidden/>
              </w:rPr>
              <w:fldChar w:fldCharType="begin"/>
            </w:r>
            <w:r w:rsidR="008B5547">
              <w:rPr>
                <w:noProof/>
                <w:webHidden/>
              </w:rPr>
              <w:instrText xml:space="preserve"> PAGEREF _Toc503798468 \h </w:instrText>
            </w:r>
            <w:r w:rsidR="008B5547">
              <w:rPr>
                <w:noProof/>
                <w:webHidden/>
              </w:rPr>
            </w:r>
            <w:r w:rsidR="008B5547">
              <w:rPr>
                <w:noProof/>
                <w:webHidden/>
              </w:rPr>
              <w:fldChar w:fldCharType="separate"/>
            </w:r>
            <w:r w:rsidR="008B5547">
              <w:rPr>
                <w:noProof/>
                <w:webHidden/>
              </w:rPr>
              <w:t>11</w:t>
            </w:r>
            <w:r w:rsidR="008B5547">
              <w:rPr>
                <w:noProof/>
                <w:webHidden/>
              </w:rPr>
              <w:fldChar w:fldCharType="end"/>
            </w:r>
          </w:hyperlink>
        </w:p>
        <w:p w14:paraId="0E0EC7D0" w14:textId="77777777" w:rsidR="008B5547" w:rsidRDefault="00864EA2">
          <w:pPr>
            <w:pStyle w:val="TOC3"/>
            <w:tabs>
              <w:tab w:val="left" w:pos="880"/>
              <w:tab w:val="right" w:leader="dot" w:pos="9742"/>
            </w:tabs>
            <w:rPr>
              <w:rFonts w:eastAsiaTheme="minorEastAsia"/>
              <w:noProof/>
              <w:lang w:eastAsia="en-GB"/>
            </w:rPr>
          </w:pPr>
          <w:hyperlink w:anchor="_Toc503798469" w:history="1">
            <w:r w:rsidR="008B5547" w:rsidRPr="00E5362E">
              <w:rPr>
                <w:rStyle w:val="Hyperlink"/>
                <w:rFonts w:ascii="Arial" w:hAnsi="Arial" w:cs="Arial"/>
                <w:b/>
                <w:noProof/>
                <w:lang w:val="bg-BG"/>
              </w:rPr>
              <w:t>3.</w:t>
            </w:r>
            <w:r w:rsidR="008B5547">
              <w:rPr>
                <w:rFonts w:eastAsiaTheme="minorEastAsia"/>
                <w:noProof/>
                <w:lang w:eastAsia="en-GB"/>
              </w:rPr>
              <w:tab/>
            </w:r>
            <w:r w:rsidR="008B5547" w:rsidRPr="00E5362E">
              <w:rPr>
                <w:rStyle w:val="Hyperlink"/>
                <w:rFonts w:ascii="Arial" w:hAnsi="Arial" w:cs="Arial"/>
                <w:b/>
                <w:noProof/>
                <w:lang w:val="bg-BG"/>
              </w:rPr>
              <w:t>Структура за прилагане на ФИ по ПО 1 на ОПОС 2014-2020 г.</w:t>
            </w:r>
            <w:r w:rsidR="008B5547">
              <w:rPr>
                <w:noProof/>
                <w:webHidden/>
              </w:rPr>
              <w:tab/>
            </w:r>
            <w:r w:rsidR="008B5547">
              <w:rPr>
                <w:noProof/>
                <w:webHidden/>
              </w:rPr>
              <w:fldChar w:fldCharType="begin"/>
            </w:r>
            <w:r w:rsidR="008B5547">
              <w:rPr>
                <w:noProof/>
                <w:webHidden/>
              </w:rPr>
              <w:instrText xml:space="preserve"> PAGEREF _Toc503798469 \h </w:instrText>
            </w:r>
            <w:r w:rsidR="008B5547">
              <w:rPr>
                <w:noProof/>
                <w:webHidden/>
              </w:rPr>
            </w:r>
            <w:r w:rsidR="008B5547">
              <w:rPr>
                <w:noProof/>
                <w:webHidden/>
              </w:rPr>
              <w:fldChar w:fldCharType="separate"/>
            </w:r>
            <w:r w:rsidR="008B5547">
              <w:rPr>
                <w:noProof/>
                <w:webHidden/>
              </w:rPr>
              <w:t>11</w:t>
            </w:r>
            <w:r w:rsidR="008B5547">
              <w:rPr>
                <w:noProof/>
                <w:webHidden/>
              </w:rPr>
              <w:fldChar w:fldCharType="end"/>
            </w:r>
          </w:hyperlink>
        </w:p>
        <w:p w14:paraId="681437AC" w14:textId="77777777" w:rsidR="008B5547" w:rsidRDefault="00864EA2">
          <w:pPr>
            <w:pStyle w:val="TOC3"/>
            <w:tabs>
              <w:tab w:val="right" w:leader="dot" w:pos="9742"/>
            </w:tabs>
            <w:rPr>
              <w:rFonts w:eastAsiaTheme="minorEastAsia"/>
              <w:noProof/>
              <w:lang w:eastAsia="en-GB"/>
            </w:rPr>
          </w:pPr>
          <w:hyperlink w:anchor="_Toc503798470" w:history="1">
            <w:r w:rsidR="008B5547" w:rsidRPr="00E5362E">
              <w:rPr>
                <w:rStyle w:val="Hyperlink"/>
                <w:rFonts w:ascii="Arial" w:hAnsi="Arial" w:cs="Arial"/>
                <w:b/>
                <w:noProof/>
                <w:lang w:val="bg-BG"/>
              </w:rPr>
              <w:t>3.1. Вариант 1 - Специална инвестиционна структура за прилагане на ФИ</w:t>
            </w:r>
            <w:r w:rsidR="008B5547">
              <w:rPr>
                <w:noProof/>
                <w:webHidden/>
              </w:rPr>
              <w:tab/>
            </w:r>
            <w:r w:rsidR="008B5547">
              <w:rPr>
                <w:noProof/>
                <w:webHidden/>
              </w:rPr>
              <w:fldChar w:fldCharType="begin"/>
            </w:r>
            <w:r w:rsidR="008B5547">
              <w:rPr>
                <w:noProof/>
                <w:webHidden/>
              </w:rPr>
              <w:instrText xml:space="preserve"> PAGEREF _Toc503798470 \h </w:instrText>
            </w:r>
            <w:r w:rsidR="008B5547">
              <w:rPr>
                <w:noProof/>
                <w:webHidden/>
              </w:rPr>
            </w:r>
            <w:r w:rsidR="008B5547">
              <w:rPr>
                <w:noProof/>
                <w:webHidden/>
              </w:rPr>
              <w:fldChar w:fldCharType="separate"/>
            </w:r>
            <w:r w:rsidR="008B5547">
              <w:rPr>
                <w:noProof/>
                <w:webHidden/>
              </w:rPr>
              <w:t>12</w:t>
            </w:r>
            <w:r w:rsidR="008B5547">
              <w:rPr>
                <w:noProof/>
                <w:webHidden/>
              </w:rPr>
              <w:fldChar w:fldCharType="end"/>
            </w:r>
          </w:hyperlink>
        </w:p>
        <w:p w14:paraId="6AA8BBC4" w14:textId="77777777" w:rsidR="008B5547" w:rsidRDefault="00864EA2">
          <w:pPr>
            <w:pStyle w:val="TOC3"/>
            <w:tabs>
              <w:tab w:val="right" w:leader="dot" w:pos="9742"/>
            </w:tabs>
            <w:rPr>
              <w:rFonts w:eastAsiaTheme="minorEastAsia"/>
              <w:noProof/>
              <w:lang w:eastAsia="en-GB"/>
            </w:rPr>
          </w:pPr>
          <w:hyperlink w:anchor="_Toc503798471" w:history="1">
            <w:r w:rsidR="008B5547" w:rsidRPr="00E5362E">
              <w:rPr>
                <w:rStyle w:val="Hyperlink"/>
                <w:rFonts w:ascii="Arial" w:hAnsi="Arial" w:cs="Arial"/>
                <w:b/>
                <w:noProof/>
                <w:lang w:val="bg-BG"/>
              </w:rPr>
              <w:t>3.2. Вариант 2 – Пряко прилагане на ФИ от ФМФИБ ЕАД</w:t>
            </w:r>
            <w:r w:rsidR="008B5547">
              <w:rPr>
                <w:noProof/>
                <w:webHidden/>
              </w:rPr>
              <w:tab/>
            </w:r>
            <w:r w:rsidR="008B5547">
              <w:rPr>
                <w:noProof/>
                <w:webHidden/>
              </w:rPr>
              <w:fldChar w:fldCharType="begin"/>
            </w:r>
            <w:r w:rsidR="008B5547">
              <w:rPr>
                <w:noProof/>
                <w:webHidden/>
              </w:rPr>
              <w:instrText xml:space="preserve"> PAGEREF _Toc503798471 \h </w:instrText>
            </w:r>
            <w:r w:rsidR="008B5547">
              <w:rPr>
                <w:noProof/>
                <w:webHidden/>
              </w:rPr>
            </w:r>
            <w:r w:rsidR="008B5547">
              <w:rPr>
                <w:noProof/>
                <w:webHidden/>
              </w:rPr>
              <w:fldChar w:fldCharType="separate"/>
            </w:r>
            <w:r w:rsidR="008B5547">
              <w:rPr>
                <w:noProof/>
                <w:webHidden/>
              </w:rPr>
              <w:t>15</w:t>
            </w:r>
            <w:r w:rsidR="008B5547">
              <w:rPr>
                <w:noProof/>
                <w:webHidden/>
              </w:rPr>
              <w:fldChar w:fldCharType="end"/>
            </w:r>
          </w:hyperlink>
        </w:p>
        <w:p w14:paraId="663838D3" w14:textId="77777777" w:rsidR="008B5547" w:rsidRDefault="00864EA2">
          <w:pPr>
            <w:pStyle w:val="TOC3"/>
            <w:tabs>
              <w:tab w:val="right" w:leader="dot" w:pos="9742"/>
            </w:tabs>
            <w:rPr>
              <w:rFonts w:eastAsiaTheme="minorEastAsia"/>
              <w:noProof/>
              <w:lang w:eastAsia="en-GB"/>
            </w:rPr>
          </w:pPr>
          <w:hyperlink w:anchor="_Toc503798472" w:history="1">
            <w:r w:rsidR="008B5547" w:rsidRPr="00E5362E">
              <w:rPr>
                <w:rStyle w:val="Hyperlink"/>
                <w:rFonts w:ascii="Arial" w:hAnsi="Arial" w:cs="Arial"/>
                <w:b/>
                <w:noProof/>
                <w:lang w:val="bg-BG"/>
              </w:rPr>
              <w:t>3.3 Други аспекти на прилагането на ФИ</w:t>
            </w:r>
            <w:r w:rsidR="008B5547">
              <w:rPr>
                <w:noProof/>
                <w:webHidden/>
              </w:rPr>
              <w:tab/>
            </w:r>
            <w:r w:rsidR="008B5547">
              <w:rPr>
                <w:noProof/>
                <w:webHidden/>
              </w:rPr>
              <w:fldChar w:fldCharType="begin"/>
            </w:r>
            <w:r w:rsidR="008B5547">
              <w:rPr>
                <w:noProof/>
                <w:webHidden/>
              </w:rPr>
              <w:instrText xml:space="preserve"> PAGEREF _Toc503798472 \h </w:instrText>
            </w:r>
            <w:r w:rsidR="008B5547">
              <w:rPr>
                <w:noProof/>
                <w:webHidden/>
              </w:rPr>
            </w:r>
            <w:r w:rsidR="008B5547">
              <w:rPr>
                <w:noProof/>
                <w:webHidden/>
              </w:rPr>
              <w:fldChar w:fldCharType="separate"/>
            </w:r>
            <w:r w:rsidR="008B5547">
              <w:rPr>
                <w:noProof/>
                <w:webHidden/>
              </w:rPr>
              <w:t>16</w:t>
            </w:r>
            <w:r w:rsidR="008B5547">
              <w:rPr>
                <w:noProof/>
                <w:webHidden/>
              </w:rPr>
              <w:fldChar w:fldCharType="end"/>
            </w:r>
          </w:hyperlink>
        </w:p>
        <w:p w14:paraId="15E8E2B4" w14:textId="77777777" w:rsidR="008B5547" w:rsidRDefault="00864EA2">
          <w:pPr>
            <w:pStyle w:val="TOC3"/>
            <w:tabs>
              <w:tab w:val="left" w:pos="880"/>
              <w:tab w:val="right" w:leader="dot" w:pos="9742"/>
            </w:tabs>
            <w:rPr>
              <w:rFonts w:eastAsiaTheme="minorEastAsia"/>
              <w:noProof/>
              <w:lang w:eastAsia="en-GB"/>
            </w:rPr>
          </w:pPr>
          <w:hyperlink w:anchor="_Toc503798473" w:history="1">
            <w:r w:rsidR="008B5547" w:rsidRPr="00E5362E">
              <w:rPr>
                <w:rStyle w:val="Hyperlink"/>
                <w:rFonts w:ascii="Arial" w:hAnsi="Arial" w:cs="Arial"/>
                <w:b/>
                <w:noProof/>
              </w:rPr>
              <w:t>4.</w:t>
            </w:r>
            <w:r w:rsidR="008B5547">
              <w:rPr>
                <w:rFonts w:eastAsiaTheme="minorEastAsia"/>
                <w:noProof/>
                <w:lang w:eastAsia="en-GB"/>
              </w:rPr>
              <w:tab/>
            </w:r>
            <w:r w:rsidR="008B5547" w:rsidRPr="00E5362E">
              <w:rPr>
                <w:rStyle w:val="Hyperlink"/>
                <w:rFonts w:ascii="Arial" w:hAnsi="Arial" w:cs="Arial"/>
                <w:b/>
                <w:noProof/>
                <w:lang w:val="bg-BG"/>
              </w:rPr>
              <w:t>Финансови продукти</w:t>
            </w:r>
            <w:r w:rsidR="008B5547">
              <w:rPr>
                <w:noProof/>
                <w:webHidden/>
              </w:rPr>
              <w:tab/>
            </w:r>
            <w:r w:rsidR="008B5547">
              <w:rPr>
                <w:noProof/>
                <w:webHidden/>
              </w:rPr>
              <w:fldChar w:fldCharType="begin"/>
            </w:r>
            <w:r w:rsidR="008B5547">
              <w:rPr>
                <w:noProof/>
                <w:webHidden/>
              </w:rPr>
              <w:instrText xml:space="preserve"> PAGEREF _Toc503798473 \h </w:instrText>
            </w:r>
            <w:r w:rsidR="008B5547">
              <w:rPr>
                <w:noProof/>
                <w:webHidden/>
              </w:rPr>
            </w:r>
            <w:r w:rsidR="008B5547">
              <w:rPr>
                <w:noProof/>
                <w:webHidden/>
              </w:rPr>
              <w:fldChar w:fldCharType="separate"/>
            </w:r>
            <w:r w:rsidR="008B5547">
              <w:rPr>
                <w:noProof/>
                <w:webHidden/>
              </w:rPr>
              <w:t>19</w:t>
            </w:r>
            <w:r w:rsidR="008B5547">
              <w:rPr>
                <w:noProof/>
                <w:webHidden/>
              </w:rPr>
              <w:fldChar w:fldCharType="end"/>
            </w:r>
          </w:hyperlink>
        </w:p>
        <w:p w14:paraId="224DC405" w14:textId="77777777" w:rsidR="008B5547" w:rsidRDefault="00864EA2">
          <w:pPr>
            <w:pStyle w:val="TOC3"/>
            <w:tabs>
              <w:tab w:val="left" w:pos="880"/>
              <w:tab w:val="right" w:leader="dot" w:pos="9742"/>
            </w:tabs>
            <w:rPr>
              <w:rFonts w:eastAsiaTheme="minorEastAsia"/>
              <w:noProof/>
              <w:lang w:eastAsia="en-GB"/>
            </w:rPr>
          </w:pPr>
          <w:hyperlink w:anchor="_Toc503798474" w:history="1">
            <w:r w:rsidR="008B5547" w:rsidRPr="00E5362E">
              <w:rPr>
                <w:rStyle w:val="Hyperlink"/>
                <w:rFonts w:ascii="Arial" w:hAnsi="Arial" w:cs="Arial"/>
                <w:b/>
                <w:noProof/>
                <w:lang w:val="bg-BG"/>
              </w:rPr>
              <w:t>5.</w:t>
            </w:r>
            <w:r w:rsidR="008B5547">
              <w:rPr>
                <w:rFonts w:eastAsiaTheme="minorEastAsia"/>
                <w:noProof/>
                <w:lang w:eastAsia="en-GB"/>
              </w:rPr>
              <w:tab/>
            </w:r>
            <w:r w:rsidR="008B5547" w:rsidRPr="00E5362E">
              <w:rPr>
                <w:rStyle w:val="Hyperlink"/>
                <w:rFonts w:ascii="Arial" w:hAnsi="Arial" w:cs="Arial"/>
                <w:b/>
                <w:noProof/>
                <w:lang w:val="bg-BG"/>
              </w:rPr>
              <w:t>Важни изисквания и условия за успешното прилагане на ФИ</w:t>
            </w:r>
            <w:r w:rsidR="008B5547">
              <w:rPr>
                <w:noProof/>
                <w:webHidden/>
              </w:rPr>
              <w:tab/>
            </w:r>
            <w:r w:rsidR="008B5547">
              <w:rPr>
                <w:noProof/>
                <w:webHidden/>
              </w:rPr>
              <w:fldChar w:fldCharType="begin"/>
            </w:r>
            <w:r w:rsidR="008B5547">
              <w:rPr>
                <w:noProof/>
                <w:webHidden/>
              </w:rPr>
              <w:instrText xml:space="preserve"> PAGEREF _Toc503798474 \h </w:instrText>
            </w:r>
            <w:r w:rsidR="008B5547">
              <w:rPr>
                <w:noProof/>
                <w:webHidden/>
              </w:rPr>
            </w:r>
            <w:r w:rsidR="008B5547">
              <w:rPr>
                <w:noProof/>
                <w:webHidden/>
              </w:rPr>
              <w:fldChar w:fldCharType="separate"/>
            </w:r>
            <w:r w:rsidR="008B5547">
              <w:rPr>
                <w:noProof/>
                <w:webHidden/>
              </w:rPr>
              <w:t>22</w:t>
            </w:r>
            <w:r w:rsidR="008B5547">
              <w:rPr>
                <w:noProof/>
                <w:webHidden/>
              </w:rPr>
              <w:fldChar w:fldCharType="end"/>
            </w:r>
          </w:hyperlink>
        </w:p>
        <w:p w14:paraId="1C65C93D" w14:textId="77777777" w:rsidR="008B5547" w:rsidRDefault="00864EA2">
          <w:pPr>
            <w:pStyle w:val="TOC3"/>
            <w:tabs>
              <w:tab w:val="left" w:pos="880"/>
              <w:tab w:val="right" w:leader="dot" w:pos="9742"/>
            </w:tabs>
            <w:rPr>
              <w:rFonts w:eastAsiaTheme="minorEastAsia"/>
              <w:noProof/>
              <w:lang w:eastAsia="en-GB"/>
            </w:rPr>
          </w:pPr>
          <w:hyperlink w:anchor="_Toc503798475" w:history="1">
            <w:r w:rsidR="008B5547" w:rsidRPr="00E5362E">
              <w:rPr>
                <w:rStyle w:val="Hyperlink"/>
                <w:rFonts w:ascii="Arial" w:hAnsi="Arial" w:cs="Arial"/>
                <w:b/>
                <w:noProof/>
                <w:lang w:val="bg-BG"/>
              </w:rPr>
              <w:t>6.</w:t>
            </w:r>
            <w:r w:rsidR="008B5547">
              <w:rPr>
                <w:rFonts w:eastAsiaTheme="minorEastAsia"/>
                <w:noProof/>
                <w:lang w:eastAsia="en-GB"/>
              </w:rPr>
              <w:tab/>
            </w:r>
            <w:r w:rsidR="008B5547" w:rsidRPr="00E5362E">
              <w:rPr>
                <w:rStyle w:val="Hyperlink"/>
                <w:rFonts w:ascii="Arial" w:hAnsi="Arial" w:cs="Arial"/>
                <w:b/>
                <w:noProof/>
                <w:lang w:val="bg-BG"/>
              </w:rPr>
              <w:t>Източници на съинвестиране (</w:t>
            </w:r>
            <w:r w:rsidR="008B5547" w:rsidRPr="00E5362E">
              <w:rPr>
                <w:rStyle w:val="Hyperlink"/>
                <w:rFonts w:ascii="Arial" w:hAnsi="Arial" w:cs="Arial"/>
                <w:b/>
                <w:noProof/>
              </w:rPr>
              <w:t>co</w:t>
            </w:r>
            <w:r w:rsidR="008B5547" w:rsidRPr="00E5362E">
              <w:rPr>
                <w:rStyle w:val="Hyperlink"/>
                <w:rFonts w:ascii="Arial" w:hAnsi="Arial" w:cs="Arial"/>
                <w:b/>
                <w:noProof/>
                <w:lang w:val="bg-BG"/>
              </w:rPr>
              <w:t>-</w:t>
            </w:r>
            <w:r w:rsidR="008B5547" w:rsidRPr="00E5362E">
              <w:rPr>
                <w:rStyle w:val="Hyperlink"/>
                <w:rFonts w:ascii="Arial" w:hAnsi="Arial" w:cs="Arial"/>
                <w:b/>
                <w:noProof/>
              </w:rPr>
              <w:t>investment</w:t>
            </w:r>
            <w:r w:rsidR="008B5547" w:rsidRPr="00E5362E">
              <w:rPr>
                <w:rStyle w:val="Hyperlink"/>
                <w:rFonts w:ascii="Arial" w:hAnsi="Arial" w:cs="Arial"/>
                <w:b/>
                <w:noProof/>
                <w:lang w:val="bg-BG"/>
              </w:rPr>
              <w:t>) и съфинансиране (</w:t>
            </w:r>
            <w:r w:rsidR="008B5547" w:rsidRPr="00E5362E">
              <w:rPr>
                <w:rStyle w:val="Hyperlink"/>
                <w:rFonts w:ascii="Arial" w:hAnsi="Arial" w:cs="Arial"/>
                <w:b/>
                <w:noProof/>
              </w:rPr>
              <w:t>co</w:t>
            </w:r>
            <w:r w:rsidR="008B5547" w:rsidRPr="00E5362E">
              <w:rPr>
                <w:rStyle w:val="Hyperlink"/>
                <w:rFonts w:ascii="Arial" w:hAnsi="Arial" w:cs="Arial"/>
                <w:b/>
                <w:noProof/>
                <w:lang w:val="bg-BG"/>
              </w:rPr>
              <w:t>-</w:t>
            </w:r>
            <w:r w:rsidR="008B5547" w:rsidRPr="00E5362E">
              <w:rPr>
                <w:rStyle w:val="Hyperlink"/>
                <w:rFonts w:ascii="Arial" w:hAnsi="Arial" w:cs="Arial"/>
                <w:b/>
                <w:noProof/>
              </w:rPr>
              <w:t>financing</w:t>
            </w:r>
            <w:r w:rsidR="008B5547" w:rsidRPr="00E5362E">
              <w:rPr>
                <w:rStyle w:val="Hyperlink"/>
                <w:rFonts w:ascii="Arial" w:hAnsi="Arial" w:cs="Arial"/>
                <w:b/>
                <w:noProof/>
                <w:lang w:val="bg-BG"/>
              </w:rPr>
              <w:t>)</w:t>
            </w:r>
            <w:r w:rsidR="008B5547">
              <w:rPr>
                <w:noProof/>
                <w:webHidden/>
              </w:rPr>
              <w:tab/>
            </w:r>
            <w:r w:rsidR="008B5547">
              <w:rPr>
                <w:noProof/>
                <w:webHidden/>
              </w:rPr>
              <w:fldChar w:fldCharType="begin"/>
            </w:r>
            <w:r w:rsidR="008B5547">
              <w:rPr>
                <w:noProof/>
                <w:webHidden/>
              </w:rPr>
              <w:instrText xml:space="preserve"> PAGEREF _Toc503798475 \h </w:instrText>
            </w:r>
            <w:r w:rsidR="008B5547">
              <w:rPr>
                <w:noProof/>
                <w:webHidden/>
              </w:rPr>
            </w:r>
            <w:r w:rsidR="008B5547">
              <w:rPr>
                <w:noProof/>
                <w:webHidden/>
              </w:rPr>
              <w:fldChar w:fldCharType="separate"/>
            </w:r>
            <w:r w:rsidR="008B5547">
              <w:rPr>
                <w:noProof/>
                <w:webHidden/>
              </w:rPr>
              <w:t>23</w:t>
            </w:r>
            <w:r w:rsidR="008B5547">
              <w:rPr>
                <w:noProof/>
                <w:webHidden/>
              </w:rPr>
              <w:fldChar w:fldCharType="end"/>
            </w:r>
          </w:hyperlink>
        </w:p>
        <w:p w14:paraId="07E5DF56" w14:textId="77777777" w:rsidR="008B5547" w:rsidRDefault="00864EA2">
          <w:pPr>
            <w:pStyle w:val="TOC3"/>
            <w:tabs>
              <w:tab w:val="left" w:pos="880"/>
              <w:tab w:val="right" w:leader="dot" w:pos="9742"/>
            </w:tabs>
            <w:rPr>
              <w:rFonts w:eastAsiaTheme="minorEastAsia"/>
              <w:noProof/>
              <w:lang w:eastAsia="en-GB"/>
            </w:rPr>
          </w:pPr>
          <w:hyperlink w:anchor="_Toc503798476" w:history="1">
            <w:r w:rsidR="008B5547" w:rsidRPr="00E5362E">
              <w:rPr>
                <w:rStyle w:val="Hyperlink"/>
                <w:rFonts w:ascii="Arial" w:hAnsi="Arial" w:cs="Arial"/>
                <w:b/>
                <w:noProof/>
              </w:rPr>
              <w:t>7.</w:t>
            </w:r>
            <w:r w:rsidR="008B5547">
              <w:rPr>
                <w:rFonts w:eastAsiaTheme="minorEastAsia"/>
                <w:noProof/>
                <w:lang w:eastAsia="en-GB"/>
              </w:rPr>
              <w:tab/>
            </w:r>
            <w:r w:rsidR="008B5547" w:rsidRPr="00E5362E">
              <w:rPr>
                <w:rStyle w:val="Hyperlink"/>
                <w:rFonts w:ascii="Arial" w:hAnsi="Arial" w:cs="Arial"/>
                <w:b/>
                <w:noProof/>
                <w:lang w:val="bg-BG"/>
              </w:rPr>
              <w:t>Показатели</w:t>
            </w:r>
            <w:r w:rsidR="008B5547">
              <w:rPr>
                <w:noProof/>
                <w:webHidden/>
              </w:rPr>
              <w:tab/>
            </w:r>
            <w:r w:rsidR="008B5547">
              <w:rPr>
                <w:noProof/>
                <w:webHidden/>
              </w:rPr>
              <w:fldChar w:fldCharType="begin"/>
            </w:r>
            <w:r w:rsidR="008B5547">
              <w:rPr>
                <w:noProof/>
                <w:webHidden/>
              </w:rPr>
              <w:instrText xml:space="preserve"> PAGEREF _Toc503798476 \h </w:instrText>
            </w:r>
            <w:r w:rsidR="008B5547">
              <w:rPr>
                <w:noProof/>
                <w:webHidden/>
              </w:rPr>
            </w:r>
            <w:r w:rsidR="008B5547">
              <w:rPr>
                <w:noProof/>
                <w:webHidden/>
              </w:rPr>
              <w:fldChar w:fldCharType="separate"/>
            </w:r>
            <w:r w:rsidR="008B5547">
              <w:rPr>
                <w:noProof/>
                <w:webHidden/>
              </w:rPr>
              <w:t>25</w:t>
            </w:r>
            <w:r w:rsidR="008B5547">
              <w:rPr>
                <w:noProof/>
                <w:webHidden/>
              </w:rPr>
              <w:fldChar w:fldCharType="end"/>
            </w:r>
          </w:hyperlink>
        </w:p>
        <w:p w14:paraId="18B5A63C" w14:textId="77777777" w:rsidR="008B5547" w:rsidRDefault="00864EA2">
          <w:pPr>
            <w:pStyle w:val="TOC3"/>
            <w:tabs>
              <w:tab w:val="left" w:pos="880"/>
              <w:tab w:val="right" w:leader="dot" w:pos="9742"/>
            </w:tabs>
            <w:rPr>
              <w:rFonts w:eastAsiaTheme="minorEastAsia"/>
              <w:noProof/>
              <w:lang w:eastAsia="en-GB"/>
            </w:rPr>
          </w:pPr>
          <w:hyperlink w:anchor="_Toc503798477" w:history="1">
            <w:r w:rsidR="008B5547" w:rsidRPr="00E5362E">
              <w:rPr>
                <w:rStyle w:val="Hyperlink"/>
                <w:rFonts w:ascii="Arial" w:hAnsi="Arial" w:cs="Arial"/>
                <w:b/>
                <w:noProof/>
                <w:lang w:val="bg-BG"/>
              </w:rPr>
              <w:t>8.</w:t>
            </w:r>
            <w:r w:rsidR="008B5547">
              <w:rPr>
                <w:rFonts w:eastAsiaTheme="minorEastAsia"/>
                <w:noProof/>
                <w:lang w:eastAsia="en-GB"/>
              </w:rPr>
              <w:tab/>
            </w:r>
            <w:r w:rsidR="008B5547" w:rsidRPr="00E5362E">
              <w:rPr>
                <w:rStyle w:val="Hyperlink"/>
                <w:rFonts w:ascii="Arial" w:hAnsi="Arial" w:cs="Arial"/>
                <w:b/>
                <w:noProof/>
                <w:lang w:val="bg-BG"/>
              </w:rPr>
              <w:t>Комбинация с безвъзмездна финансова помощ</w:t>
            </w:r>
            <w:r w:rsidR="008B5547">
              <w:rPr>
                <w:noProof/>
                <w:webHidden/>
              </w:rPr>
              <w:tab/>
            </w:r>
            <w:r w:rsidR="008B5547">
              <w:rPr>
                <w:noProof/>
                <w:webHidden/>
              </w:rPr>
              <w:fldChar w:fldCharType="begin"/>
            </w:r>
            <w:r w:rsidR="008B5547">
              <w:rPr>
                <w:noProof/>
                <w:webHidden/>
              </w:rPr>
              <w:instrText xml:space="preserve"> PAGEREF _Toc503798477 \h </w:instrText>
            </w:r>
            <w:r w:rsidR="008B5547">
              <w:rPr>
                <w:noProof/>
                <w:webHidden/>
              </w:rPr>
            </w:r>
            <w:r w:rsidR="008B5547">
              <w:rPr>
                <w:noProof/>
                <w:webHidden/>
              </w:rPr>
              <w:fldChar w:fldCharType="separate"/>
            </w:r>
            <w:r w:rsidR="008B5547">
              <w:rPr>
                <w:noProof/>
                <w:webHidden/>
              </w:rPr>
              <w:t>26</w:t>
            </w:r>
            <w:r w:rsidR="008B5547">
              <w:rPr>
                <w:noProof/>
                <w:webHidden/>
              </w:rPr>
              <w:fldChar w:fldCharType="end"/>
            </w:r>
          </w:hyperlink>
        </w:p>
        <w:p w14:paraId="0BB703EC" w14:textId="77777777" w:rsidR="008B5547" w:rsidRDefault="00864EA2">
          <w:pPr>
            <w:pStyle w:val="TOC3"/>
            <w:tabs>
              <w:tab w:val="left" w:pos="880"/>
              <w:tab w:val="right" w:leader="dot" w:pos="9742"/>
            </w:tabs>
            <w:rPr>
              <w:rFonts w:eastAsiaTheme="minorEastAsia"/>
              <w:noProof/>
              <w:lang w:eastAsia="en-GB"/>
            </w:rPr>
          </w:pPr>
          <w:hyperlink w:anchor="_Toc503798478" w:history="1">
            <w:r w:rsidR="008B5547" w:rsidRPr="00E5362E">
              <w:rPr>
                <w:rStyle w:val="Hyperlink"/>
                <w:rFonts w:ascii="Arial" w:hAnsi="Arial" w:cs="Arial"/>
                <w:b/>
                <w:noProof/>
                <w:lang w:val="bg-BG"/>
              </w:rPr>
              <w:t>9.</w:t>
            </w:r>
            <w:r w:rsidR="008B5547">
              <w:rPr>
                <w:rFonts w:eastAsiaTheme="minorEastAsia"/>
                <w:noProof/>
                <w:lang w:eastAsia="en-GB"/>
              </w:rPr>
              <w:tab/>
            </w:r>
            <w:r w:rsidR="008B5547" w:rsidRPr="00E5362E">
              <w:rPr>
                <w:rStyle w:val="Hyperlink"/>
                <w:rFonts w:ascii="Arial" w:hAnsi="Arial" w:cs="Arial"/>
                <w:b/>
                <w:noProof/>
                <w:lang w:val="bg-BG"/>
              </w:rPr>
              <w:t>Стратегия за изход</w:t>
            </w:r>
            <w:r w:rsidR="008B5547">
              <w:rPr>
                <w:noProof/>
                <w:webHidden/>
              </w:rPr>
              <w:tab/>
            </w:r>
            <w:r w:rsidR="008B5547">
              <w:rPr>
                <w:noProof/>
                <w:webHidden/>
              </w:rPr>
              <w:fldChar w:fldCharType="begin"/>
            </w:r>
            <w:r w:rsidR="008B5547">
              <w:rPr>
                <w:noProof/>
                <w:webHidden/>
              </w:rPr>
              <w:instrText xml:space="preserve"> PAGEREF _Toc503798478 \h </w:instrText>
            </w:r>
            <w:r w:rsidR="008B5547">
              <w:rPr>
                <w:noProof/>
                <w:webHidden/>
              </w:rPr>
            </w:r>
            <w:r w:rsidR="008B5547">
              <w:rPr>
                <w:noProof/>
                <w:webHidden/>
              </w:rPr>
              <w:fldChar w:fldCharType="separate"/>
            </w:r>
            <w:r w:rsidR="008B5547">
              <w:rPr>
                <w:noProof/>
                <w:webHidden/>
              </w:rPr>
              <w:t>27</w:t>
            </w:r>
            <w:r w:rsidR="008B5547">
              <w:rPr>
                <w:noProof/>
                <w:webHidden/>
              </w:rPr>
              <w:fldChar w:fldCharType="end"/>
            </w:r>
          </w:hyperlink>
        </w:p>
        <w:p w14:paraId="071E2A16" w14:textId="77777777" w:rsidR="001A70B8" w:rsidRDefault="001A70B8">
          <w:r>
            <w:rPr>
              <w:b/>
              <w:bCs/>
              <w:noProof/>
            </w:rPr>
            <w:fldChar w:fldCharType="end"/>
          </w:r>
        </w:p>
      </w:sdtContent>
    </w:sdt>
    <w:p w14:paraId="2B414E0F" w14:textId="77777777" w:rsidR="001A70B8" w:rsidRDefault="001A70B8">
      <w:r>
        <w:br w:type="page"/>
      </w:r>
    </w:p>
    <w:p w14:paraId="035C548B" w14:textId="77777777" w:rsidR="007C72A8" w:rsidRPr="00CD1030" w:rsidRDefault="00CD1030" w:rsidP="00A368AC">
      <w:pPr>
        <w:pStyle w:val="Heading3"/>
        <w:ind w:left="720" w:hanging="436"/>
        <w:rPr>
          <w:lang w:val="bg-BG"/>
        </w:rPr>
      </w:pPr>
      <w:bookmarkStart w:id="0" w:name="_Toc503798463"/>
      <w:r>
        <w:rPr>
          <w:rFonts w:ascii="Arial" w:hAnsi="Arial" w:cs="Arial"/>
          <w:b/>
          <w:color w:val="4F81BD" w:themeColor="accent1"/>
          <w:sz w:val="20"/>
          <w:szCs w:val="20"/>
          <w:lang w:val="bg-BG"/>
        </w:rPr>
        <w:lastRenderedPageBreak/>
        <w:t>Списък на съкращенията</w:t>
      </w:r>
      <w:bookmarkEnd w:id="0"/>
    </w:p>
    <w:tbl>
      <w:tblPr>
        <w:tblStyle w:val="TableGrid"/>
        <w:tblW w:w="0" w:type="auto"/>
        <w:tblInd w:w="360" w:type="dxa"/>
        <w:tblLook w:val="04A0" w:firstRow="1" w:lastRow="0" w:firstColumn="1" w:lastColumn="0" w:noHBand="0" w:noVBand="1"/>
      </w:tblPr>
      <w:tblGrid>
        <w:gridCol w:w="4660"/>
        <w:gridCol w:w="4686"/>
      </w:tblGrid>
      <w:tr w:rsidR="00AB70E9" w14:paraId="367F5FA9" w14:textId="77777777" w:rsidTr="00F72DFB">
        <w:tc>
          <w:tcPr>
            <w:tcW w:w="4802" w:type="dxa"/>
            <w:shd w:val="clear" w:color="auto" w:fill="BFBFBF" w:themeFill="background1" w:themeFillShade="BF"/>
          </w:tcPr>
          <w:p w14:paraId="082409BA" w14:textId="77777777" w:rsidR="00AB70E9" w:rsidRPr="00CD1030" w:rsidRDefault="00CD1030" w:rsidP="00AB70E9">
            <w:pPr>
              <w:spacing w:after="0"/>
              <w:rPr>
                <w:rFonts w:ascii="Arial" w:eastAsia="Calibri" w:hAnsi="Arial" w:cs="Arial"/>
                <w:b/>
                <w:sz w:val="18"/>
                <w:szCs w:val="18"/>
                <w:lang w:val="bg-BG"/>
              </w:rPr>
            </w:pPr>
            <w:r>
              <w:rPr>
                <w:rFonts w:ascii="Arial" w:eastAsia="Calibri" w:hAnsi="Arial" w:cs="Arial"/>
                <w:b/>
                <w:sz w:val="18"/>
                <w:szCs w:val="18"/>
                <w:lang w:val="bg-BG"/>
              </w:rPr>
              <w:t>Съкращение</w:t>
            </w:r>
          </w:p>
        </w:tc>
        <w:tc>
          <w:tcPr>
            <w:tcW w:w="4806" w:type="dxa"/>
            <w:shd w:val="clear" w:color="auto" w:fill="BFBFBF" w:themeFill="background1" w:themeFillShade="BF"/>
          </w:tcPr>
          <w:p w14:paraId="6995E502" w14:textId="77777777" w:rsidR="00AB70E9" w:rsidRPr="00CD1030" w:rsidRDefault="00CD1030" w:rsidP="00AB70E9">
            <w:pPr>
              <w:spacing w:after="0"/>
              <w:rPr>
                <w:rFonts w:ascii="Arial" w:eastAsia="Calibri" w:hAnsi="Arial" w:cs="Arial"/>
                <w:b/>
                <w:sz w:val="18"/>
                <w:szCs w:val="18"/>
                <w:lang w:val="bg-BG"/>
              </w:rPr>
            </w:pPr>
            <w:r>
              <w:rPr>
                <w:rFonts w:ascii="Arial" w:eastAsia="Calibri" w:hAnsi="Arial" w:cs="Arial"/>
                <w:b/>
                <w:sz w:val="18"/>
                <w:szCs w:val="18"/>
                <w:lang w:val="bg-BG"/>
              </w:rPr>
              <w:t>Термин</w:t>
            </w:r>
          </w:p>
        </w:tc>
      </w:tr>
      <w:tr w:rsidR="00252F7A" w:rsidRPr="007B6C31" w14:paraId="3FC80F55" w14:textId="77777777" w:rsidTr="00F72DFB">
        <w:tc>
          <w:tcPr>
            <w:tcW w:w="4802" w:type="dxa"/>
          </w:tcPr>
          <w:p w14:paraId="4F859961" w14:textId="77777777" w:rsidR="00252F7A" w:rsidRPr="00707D56" w:rsidRDefault="00252F7A" w:rsidP="00CF1725">
            <w:pPr>
              <w:spacing w:after="0"/>
              <w:rPr>
                <w:rFonts w:ascii="Arial" w:eastAsia="Calibri" w:hAnsi="Arial" w:cs="Arial"/>
                <w:sz w:val="18"/>
                <w:szCs w:val="18"/>
              </w:rPr>
            </w:pPr>
            <w:r w:rsidRPr="00FC2663">
              <w:rPr>
                <w:rFonts w:ascii="Arial" w:eastAsia="Calibri" w:hAnsi="Arial" w:cs="Arial"/>
                <w:sz w:val="18"/>
                <w:szCs w:val="18"/>
                <w:lang w:val="bg-BG"/>
              </w:rPr>
              <w:t>АВиК</w:t>
            </w:r>
          </w:p>
        </w:tc>
        <w:tc>
          <w:tcPr>
            <w:tcW w:w="4806" w:type="dxa"/>
          </w:tcPr>
          <w:p w14:paraId="535A06EA" w14:textId="77777777" w:rsidR="00252F7A" w:rsidRPr="00707D56" w:rsidRDefault="00252F7A" w:rsidP="00CF1725">
            <w:pPr>
              <w:spacing w:after="0"/>
              <w:rPr>
                <w:rFonts w:ascii="Arial" w:eastAsia="Calibri" w:hAnsi="Arial" w:cs="Arial"/>
                <w:sz w:val="18"/>
                <w:szCs w:val="18"/>
              </w:rPr>
            </w:pPr>
            <w:r w:rsidRPr="00FC2663">
              <w:rPr>
                <w:rFonts w:ascii="Arial" w:hAnsi="Arial" w:cs="Arial"/>
                <w:sz w:val="18"/>
                <w:szCs w:val="18"/>
                <w:lang w:val="bg-BG"/>
              </w:rPr>
              <w:t>Асоциация по водоснабдяване и канализация</w:t>
            </w:r>
          </w:p>
        </w:tc>
      </w:tr>
      <w:tr w:rsidR="00252F7A" w:rsidRPr="00CF1725" w14:paraId="6C7E763C" w14:textId="77777777" w:rsidTr="00F72DFB">
        <w:tc>
          <w:tcPr>
            <w:tcW w:w="4802" w:type="dxa"/>
          </w:tcPr>
          <w:p w14:paraId="7900FEED" w14:textId="77777777" w:rsidR="00252F7A" w:rsidRPr="00FC2663" w:rsidRDefault="00252F7A" w:rsidP="00680029">
            <w:pPr>
              <w:spacing w:after="0"/>
              <w:rPr>
                <w:rFonts w:ascii="Arial" w:eastAsia="Calibri" w:hAnsi="Arial" w:cs="Arial"/>
                <w:sz w:val="18"/>
                <w:szCs w:val="18"/>
                <w:lang w:val="bg-BG"/>
              </w:rPr>
            </w:pPr>
            <w:r>
              <w:rPr>
                <w:rFonts w:ascii="Arial" w:eastAsia="Calibri" w:hAnsi="Arial" w:cs="Arial"/>
                <w:sz w:val="18"/>
                <w:szCs w:val="18"/>
                <w:lang w:val="bg-BG"/>
              </w:rPr>
              <w:t>БНБ</w:t>
            </w:r>
          </w:p>
        </w:tc>
        <w:tc>
          <w:tcPr>
            <w:tcW w:w="4806" w:type="dxa"/>
          </w:tcPr>
          <w:p w14:paraId="3640BC24" w14:textId="77777777" w:rsidR="00252F7A" w:rsidRPr="00680029" w:rsidRDefault="00252F7A" w:rsidP="00680029">
            <w:pPr>
              <w:spacing w:after="0"/>
              <w:rPr>
                <w:rFonts w:ascii="Arial" w:eastAsia="Calibri" w:hAnsi="Arial" w:cs="Arial"/>
                <w:sz w:val="18"/>
                <w:szCs w:val="18"/>
                <w:lang w:val="bg-BG"/>
              </w:rPr>
            </w:pPr>
            <w:r>
              <w:rPr>
                <w:rFonts w:ascii="Arial" w:eastAsia="Calibri" w:hAnsi="Arial" w:cs="Arial"/>
                <w:sz w:val="18"/>
                <w:szCs w:val="18"/>
                <w:lang w:val="bg-BG"/>
              </w:rPr>
              <w:t>Българска народна банка</w:t>
            </w:r>
          </w:p>
        </w:tc>
      </w:tr>
      <w:tr w:rsidR="00252F7A" w14:paraId="469DD1F8" w14:textId="77777777" w:rsidTr="00F72DFB">
        <w:tc>
          <w:tcPr>
            <w:tcW w:w="4802" w:type="dxa"/>
          </w:tcPr>
          <w:p w14:paraId="4A8ACEBD" w14:textId="77777777" w:rsidR="00252F7A" w:rsidRPr="00707D56" w:rsidRDefault="00252F7A" w:rsidP="00CF1725">
            <w:pPr>
              <w:spacing w:after="0"/>
              <w:rPr>
                <w:rFonts w:ascii="Arial" w:eastAsia="Calibri" w:hAnsi="Arial" w:cs="Arial"/>
                <w:sz w:val="18"/>
                <w:szCs w:val="18"/>
              </w:rPr>
            </w:pPr>
            <w:r w:rsidRPr="00FC2663">
              <w:rPr>
                <w:rFonts w:ascii="Arial" w:eastAsia="Calibri" w:hAnsi="Arial" w:cs="Arial"/>
                <w:sz w:val="18"/>
                <w:szCs w:val="18"/>
                <w:lang w:val="bg-BG"/>
              </w:rPr>
              <w:t>ВиК</w:t>
            </w:r>
          </w:p>
        </w:tc>
        <w:tc>
          <w:tcPr>
            <w:tcW w:w="4806" w:type="dxa"/>
          </w:tcPr>
          <w:p w14:paraId="4A29F4B6" w14:textId="77777777" w:rsidR="00252F7A" w:rsidRPr="00707D56" w:rsidRDefault="00252F7A" w:rsidP="00CF1725">
            <w:pPr>
              <w:spacing w:after="0"/>
              <w:rPr>
                <w:rFonts w:ascii="Arial" w:eastAsia="Calibri" w:hAnsi="Arial" w:cs="Arial"/>
                <w:sz w:val="18"/>
                <w:szCs w:val="18"/>
              </w:rPr>
            </w:pPr>
            <w:r>
              <w:rPr>
                <w:rFonts w:ascii="Arial" w:eastAsia="Calibri" w:hAnsi="Arial" w:cs="Arial"/>
                <w:sz w:val="18"/>
                <w:szCs w:val="18"/>
                <w:lang w:val="bg-BG"/>
              </w:rPr>
              <w:t>Водоснабдяване и к</w:t>
            </w:r>
            <w:r w:rsidRPr="00FC2663">
              <w:rPr>
                <w:rFonts w:ascii="Arial" w:eastAsia="Calibri" w:hAnsi="Arial" w:cs="Arial"/>
                <w:sz w:val="18"/>
                <w:szCs w:val="18"/>
                <w:lang w:val="bg-BG"/>
              </w:rPr>
              <w:t>анализация</w:t>
            </w:r>
          </w:p>
        </w:tc>
      </w:tr>
      <w:tr w:rsidR="00252F7A" w:rsidRPr="007B6C31" w14:paraId="60070D4D" w14:textId="77777777" w:rsidTr="00F72DFB">
        <w:tc>
          <w:tcPr>
            <w:tcW w:w="4802" w:type="dxa"/>
          </w:tcPr>
          <w:p w14:paraId="2F8CE77E" w14:textId="77777777" w:rsidR="00252F7A" w:rsidRPr="00707D56" w:rsidRDefault="00252F7A" w:rsidP="00CF1725">
            <w:pPr>
              <w:spacing w:after="0"/>
              <w:rPr>
                <w:rFonts w:ascii="Arial" w:eastAsia="Calibri" w:hAnsi="Arial" w:cs="Arial"/>
                <w:sz w:val="18"/>
                <w:szCs w:val="18"/>
              </w:rPr>
            </w:pPr>
            <w:r w:rsidRPr="00FC2663">
              <w:rPr>
                <w:rFonts w:ascii="Arial" w:eastAsia="Calibri" w:hAnsi="Arial" w:cs="Arial"/>
                <w:sz w:val="18"/>
                <w:szCs w:val="18"/>
                <w:lang w:val="bg-BG"/>
              </w:rPr>
              <w:t>ВиКО</w:t>
            </w:r>
          </w:p>
        </w:tc>
        <w:tc>
          <w:tcPr>
            <w:tcW w:w="4806" w:type="dxa"/>
          </w:tcPr>
          <w:p w14:paraId="4B99A2CA" w14:textId="77777777" w:rsidR="00252F7A" w:rsidRPr="00707D56" w:rsidRDefault="00252F7A" w:rsidP="00CF1725">
            <w:pPr>
              <w:spacing w:after="0"/>
              <w:rPr>
                <w:rFonts w:ascii="Arial" w:eastAsia="Calibri" w:hAnsi="Arial" w:cs="Arial"/>
                <w:sz w:val="18"/>
                <w:szCs w:val="18"/>
              </w:rPr>
            </w:pPr>
            <w:r>
              <w:rPr>
                <w:rFonts w:ascii="Arial" w:eastAsia="Calibri" w:hAnsi="Arial" w:cs="Arial"/>
                <w:sz w:val="18"/>
                <w:szCs w:val="18"/>
                <w:lang w:val="bg-BG"/>
              </w:rPr>
              <w:t>ВиК оператор (оператор на водоснабдителна и канализационна инфраструктура)</w:t>
            </w:r>
          </w:p>
        </w:tc>
      </w:tr>
      <w:tr w:rsidR="00252F7A" w:rsidRPr="007B6C31" w14:paraId="32E3980E" w14:textId="77777777" w:rsidTr="00F72DFB">
        <w:tc>
          <w:tcPr>
            <w:tcW w:w="4802" w:type="dxa"/>
          </w:tcPr>
          <w:p w14:paraId="09962EB9" w14:textId="77777777" w:rsidR="00252F7A" w:rsidRPr="00CD1030" w:rsidRDefault="00252F7A" w:rsidP="00F72DFB">
            <w:pPr>
              <w:spacing w:after="0"/>
              <w:rPr>
                <w:rFonts w:ascii="Arial" w:eastAsia="Calibri" w:hAnsi="Arial" w:cs="Arial"/>
                <w:sz w:val="18"/>
                <w:szCs w:val="18"/>
                <w:lang w:val="bg-BG"/>
              </w:rPr>
            </w:pPr>
            <w:r>
              <w:rPr>
                <w:rFonts w:ascii="Arial" w:eastAsia="Calibri" w:hAnsi="Arial" w:cs="Arial"/>
                <w:sz w:val="18"/>
                <w:szCs w:val="18"/>
                <w:lang w:val="bg-BG"/>
              </w:rPr>
              <w:t>ЕБВР</w:t>
            </w:r>
          </w:p>
        </w:tc>
        <w:tc>
          <w:tcPr>
            <w:tcW w:w="4806" w:type="dxa"/>
          </w:tcPr>
          <w:p w14:paraId="618B2A53" w14:textId="77777777" w:rsidR="00252F7A" w:rsidRPr="00CD1030" w:rsidRDefault="00252F7A" w:rsidP="00F72DFB">
            <w:pPr>
              <w:spacing w:after="0"/>
              <w:rPr>
                <w:rFonts w:ascii="Arial" w:eastAsia="Calibri" w:hAnsi="Arial" w:cs="Arial"/>
                <w:sz w:val="18"/>
                <w:szCs w:val="18"/>
                <w:lang w:val="bg-BG"/>
              </w:rPr>
            </w:pPr>
            <w:r>
              <w:rPr>
                <w:rFonts w:ascii="Arial" w:eastAsia="Calibri" w:hAnsi="Arial" w:cs="Arial"/>
                <w:sz w:val="18"/>
                <w:szCs w:val="18"/>
                <w:lang w:val="bg-BG"/>
              </w:rPr>
              <w:t>Европейска банка за възстановяване и развитие</w:t>
            </w:r>
          </w:p>
        </w:tc>
      </w:tr>
      <w:tr w:rsidR="00252F7A" w14:paraId="7755D834" w14:textId="77777777" w:rsidTr="00F72DFB">
        <w:tc>
          <w:tcPr>
            <w:tcW w:w="4802" w:type="dxa"/>
          </w:tcPr>
          <w:p w14:paraId="604D2C1F" w14:textId="77777777" w:rsidR="00252F7A" w:rsidRPr="00CD1030" w:rsidRDefault="00252F7A" w:rsidP="00F72DFB">
            <w:pPr>
              <w:spacing w:after="0"/>
              <w:rPr>
                <w:rFonts w:ascii="Arial" w:eastAsia="Calibri" w:hAnsi="Arial" w:cs="Arial"/>
                <w:sz w:val="18"/>
                <w:szCs w:val="18"/>
                <w:lang w:val="bg-BG"/>
              </w:rPr>
            </w:pPr>
            <w:r>
              <w:rPr>
                <w:rFonts w:ascii="Arial" w:eastAsia="Calibri" w:hAnsi="Arial" w:cs="Arial"/>
                <w:sz w:val="18"/>
                <w:szCs w:val="18"/>
                <w:lang w:val="bg-BG"/>
              </w:rPr>
              <w:t>ЕИБ</w:t>
            </w:r>
          </w:p>
        </w:tc>
        <w:tc>
          <w:tcPr>
            <w:tcW w:w="4806" w:type="dxa"/>
          </w:tcPr>
          <w:p w14:paraId="0BA295B4" w14:textId="77777777" w:rsidR="00252F7A" w:rsidRPr="00CD1030" w:rsidRDefault="00252F7A" w:rsidP="00F72DFB">
            <w:pPr>
              <w:spacing w:after="0"/>
              <w:rPr>
                <w:rFonts w:ascii="Arial" w:eastAsia="Calibri" w:hAnsi="Arial" w:cs="Arial"/>
                <w:sz w:val="18"/>
                <w:szCs w:val="18"/>
                <w:lang w:val="bg-BG"/>
              </w:rPr>
            </w:pPr>
            <w:r>
              <w:rPr>
                <w:rFonts w:ascii="Arial" w:eastAsia="Calibri" w:hAnsi="Arial" w:cs="Arial"/>
                <w:sz w:val="18"/>
                <w:szCs w:val="18"/>
                <w:lang w:val="bg-BG"/>
              </w:rPr>
              <w:t>Европейска инвестиционна банка</w:t>
            </w:r>
          </w:p>
        </w:tc>
      </w:tr>
      <w:tr w:rsidR="00252F7A" w14:paraId="10CCECEC" w14:textId="77777777" w:rsidTr="00F72DFB">
        <w:tc>
          <w:tcPr>
            <w:tcW w:w="4802" w:type="dxa"/>
          </w:tcPr>
          <w:p w14:paraId="33543D79" w14:textId="77777777" w:rsidR="00252F7A" w:rsidRPr="00FC2663" w:rsidRDefault="00252F7A" w:rsidP="00252F7A">
            <w:pPr>
              <w:spacing w:after="0"/>
              <w:rPr>
                <w:rFonts w:ascii="Arial" w:eastAsia="Calibri" w:hAnsi="Arial" w:cs="Arial"/>
                <w:sz w:val="18"/>
                <w:szCs w:val="18"/>
                <w:lang w:val="bg-BG"/>
              </w:rPr>
            </w:pPr>
            <w:r>
              <w:rPr>
                <w:rFonts w:ascii="Arial" w:eastAsia="Calibri" w:hAnsi="Arial" w:cs="Arial"/>
                <w:sz w:val="18"/>
                <w:szCs w:val="18"/>
                <w:lang w:val="bg-BG"/>
              </w:rPr>
              <w:t>ЕК</w:t>
            </w:r>
          </w:p>
        </w:tc>
        <w:tc>
          <w:tcPr>
            <w:tcW w:w="4806" w:type="dxa"/>
          </w:tcPr>
          <w:p w14:paraId="41C72B17" w14:textId="77777777" w:rsidR="00252F7A" w:rsidRPr="00252F7A" w:rsidRDefault="00252F7A" w:rsidP="00252F7A">
            <w:pPr>
              <w:spacing w:after="0"/>
              <w:rPr>
                <w:rFonts w:ascii="Arial" w:eastAsia="Calibri" w:hAnsi="Arial" w:cs="Arial"/>
                <w:sz w:val="18"/>
                <w:szCs w:val="18"/>
                <w:lang w:val="bg-BG"/>
              </w:rPr>
            </w:pPr>
            <w:r>
              <w:rPr>
                <w:rFonts w:ascii="Arial" w:eastAsia="Calibri" w:hAnsi="Arial" w:cs="Arial"/>
                <w:sz w:val="18"/>
                <w:szCs w:val="18"/>
                <w:lang w:val="bg-BG"/>
              </w:rPr>
              <w:t>Европейска комисия</w:t>
            </w:r>
          </w:p>
        </w:tc>
      </w:tr>
      <w:tr w:rsidR="00252F7A" w14:paraId="3FFE183E" w14:textId="77777777" w:rsidTr="00F72DFB">
        <w:tc>
          <w:tcPr>
            <w:tcW w:w="4802" w:type="dxa"/>
          </w:tcPr>
          <w:p w14:paraId="20A9CBDD" w14:textId="77777777" w:rsidR="00252F7A" w:rsidRPr="00A306CB" w:rsidRDefault="00252F7A" w:rsidP="00A306CB">
            <w:pPr>
              <w:spacing w:after="0"/>
              <w:rPr>
                <w:rFonts w:ascii="Arial" w:eastAsia="Calibri" w:hAnsi="Arial" w:cs="Arial"/>
                <w:sz w:val="18"/>
                <w:szCs w:val="18"/>
                <w:lang w:val="bg-BG"/>
              </w:rPr>
            </w:pPr>
            <w:r w:rsidRPr="00FC2663">
              <w:rPr>
                <w:rFonts w:ascii="Arial" w:eastAsia="Calibri" w:hAnsi="Arial" w:cs="Arial"/>
                <w:sz w:val="18"/>
                <w:szCs w:val="18"/>
                <w:lang w:val="bg-BG"/>
              </w:rPr>
              <w:t>екв. ж.</w:t>
            </w:r>
          </w:p>
        </w:tc>
        <w:tc>
          <w:tcPr>
            <w:tcW w:w="4806" w:type="dxa"/>
          </w:tcPr>
          <w:p w14:paraId="2CFEA49E" w14:textId="77777777" w:rsidR="00252F7A" w:rsidRPr="00707D56" w:rsidRDefault="00252F7A" w:rsidP="00A306CB">
            <w:pPr>
              <w:spacing w:after="0"/>
              <w:rPr>
                <w:rFonts w:ascii="Arial" w:eastAsia="Calibri" w:hAnsi="Arial" w:cs="Arial"/>
                <w:sz w:val="18"/>
                <w:szCs w:val="18"/>
              </w:rPr>
            </w:pPr>
            <w:r w:rsidRPr="00FC2663">
              <w:rPr>
                <w:rFonts w:ascii="Arial" w:eastAsia="Calibri" w:hAnsi="Arial" w:cs="Arial"/>
                <w:sz w:val="18"/>
                <w:szCs w:val="18"/>
              </w:rPr>
              <w:t>Еквивалент жители</w:t>
            </w:r>
          </w:p>
        </w:tc>
      </w:tr>
      <w:tr w:rsidR="00252F7A" w14:paraId="66C5E3AE" w14:textId="77777777" w:rsidTr="00F72DFB">
        <w:tc>
          <w:tcPr>
            <w:tcW w:w="4802" w:type="dxa"/>
          </w:tcPr>
          <w:p w14:paraId="11F4CA02" w14:textId="77777777" w:rsidR="00252F7A" w:rsidRPr="00707D56" w:rsidRDefault="00252F7A" w:rsidP="00CD1030">
            <w:pPr>
              <w:spacing w:after="0"/>
              <w:rPr>
                <w:rFonts w:ascii="Arial" w:eastAsia="Calibri" w:hAnsi="Arial" w:cs="Arial"/>
                <w:sz w:val="18"/>
                <w:szCs w:val="18"/>
              </w:rPr>
            </w:pPr>
            <w:r w:rsidRPr="00FC2663">
              <w:rPr>
                <w:rFonts w:ascii="Arial" w:eastAsia="Calibri" w:hAnsi="Arial" w:cs="Arial"/>
                <w:sz w:val="18"/>
                <w:szCs w:val="18"/>
                <w:lang w:val="bg-BG"/>
              </w:rPr>
              <w:t>ЕС</w:t>
            </w:r>
          </w:p>
        </w:tc>
        <w:tc>
          <w:tcPr>
            <w:tcW w:w="4806" w:type="dxa"/>
          </w:tcPr>
          <w:p w14:paraId="76F66D24" w14:textId="77777777" w:rsidR="00252F7A" w:rsidRPr="00707D56" w:rsidRDefault="00252F7A" w:rsidP="00CD1030">
            <w:pPr>
              <w:spacing w:after="0"/>
              <w:rPr>
                <w:rFonts w:ascii="Arial" w:eastAsia="Calibri" w:hAnsi="Arial" w:cs="Arial"/>
                <w:sz w:val="18"/>
                <w:szCs w:val="18"/>
              </w:rPr>
            </w:pPr>
            <w:r w:rsidRPr="00FC2663">
              <w:rPr>
                <w:rFonts w:ascii="Arial" w:eastAsia="Calibri" w:hAnsi="Arial" w:cs="Arial"/>
                <w:sz w:val="18"/>
                <w:szCs w:val="18"/>
              </w:rPr>
              <w:t>Европейски съюз</w:t>
            </w:r>
          </w:p>
        </w:tc>
      </w:tr>
      <w:tr w:rsidR="00252F7A" w:rsidRPr="007B6C31" w14:paraId="69383B06" w14:textId="77777777" w:rsidTr="00F72DFB">
        <w:tc>
          <w:tcPr>
            <w:tcW w:w="4802" w:type="dxa"/>
          </w:tcPr>
          <w:p w14:paraId="50BC6FBD" w14:textId="77777777" w:rsidR="00252F7A" w:rsidRPr="00707D56" w:rsidRDefault="00252F7A" w:rsidP="00CD1030">
            <w:pPr>
              <w:spacing w:after="0"/>
              <w:rPr>
                <w:rFonts w:ascii="Arial" w:eastAsia="Calibri" w:hAnsi="Arial" w:cs="Arial"/>
                <w:sz w:val="18"/>
                <w:szCs w:val="18"/>
              </w:rPr>
            </w:pPr>
            <w:r w:rsidRPr="00FC2663">
              <w:rPr>
                <w:rFonts w:ascii="Arial" w:eastAsia="Calibri" w:hAnsi="Arial" w:cs="Arial"/>
                <w:sz w:val="18"/>
                <w:szCs w:val="18"/>
                <w:lang w:val="bg-BG"/>
              </w:rPr>
              <w:t>ЕСИФ</w:t>
            </w:r>
          </w:p>
        </w:tc>
        <w:tc>
          <w:tcPr>
            <w:tcW w:w="4806" w:type="dxa"/>
          </w:tcPr>
          <w:p w14:paraId="68178438" w14:textId="77777777" w:rsidR="00252F7A" w:rsidRPr="00707D56" w:rsidRDefault="00252F7A" w:rsidP="00CD1030">
            <w:pPr>
              <w:spacing w:after="0"/>
              <w:rPr>
                <w:rFonts w:ascii="Arial" w:eastAsia="Calibri" w:hAnsi="Arial" w:cs="Arial"/>
                <w:sz w:val="18"/>
                <w:szCs w:val="18"/>
              </w:rPr>
            </w:pPr>
            <w:r w:rsidRPr="00FC2663">
              <w:rPr>
                <w:rFonts w:ascii="Arial" w:eastAsia="Calibri" w:hAnsi="Arial" w:cs="Arial"/>
                <w:sz w:val="18"/>
                <w:szCs w:val="18"/>
              </w:rPr>
              <w:t>Европейски структурни и инвестиционни фондове</w:t>
            </w:r>
          </w:p>
        </w:tc>
      </w:tr>
      <w:tr w:rsidR="00252F7A" w:rsidRPr="007B6C31" w14:paraId="6164E671" w14:textId="77777777" w:rsidTr="00F72DFB">
        <w:tc>
          <w:tcPr>
            <w:tcW w:w="4802" w:type="dxa"/>
          </w:tcPr>
          <w:p w14:paraId="2D3D377D" w14:textId="77777777" w:rsidR="00252F7A" w:rsidRPr="00707D56" w:rsidRDefault="00252F7A" w:rsidP="00CD1030">
            <w:pPr>
              <w:spacing w:after="0"/>
              <w:rPr>
                <w:rFonts w:ascii="Arial" w:eastAsia="Calibri" w:hAnsi="Arial" w:cs="Arial"/>
                <w:sz w:val="18"/>
                <w:szCs w:val="18"/>
              </w:rPr>
            </w:pPr>
            <w:r w:rsidRPr="00FC2663">
              <w:rPr>
                <w:rFonts w:ascii="Arial" w:hAnsi="Arial" w:cs="Arial"/>
                <w:sz w:val="18"/>
                <w:szCs w:val="18"/>
                <w:lang w:val="bg-BG"/>
              </w:rPr>
              <w:t>ЕФРР</w:t>
            </w:r>
          </w:p>
        </w:tc>
        <w:tc>
          <w:tcPr>
            <w:tcW w:w="4806" w:type="dxa"/>
          </w:tcPr>
          <w:p w14:paraId="208675E0" w14:textId="77777777" w:rsidR="00252F7A" w:rsidRPr="00707D56" w:rsidRDefault="00252F7A" w:rsidP="00CD1030">
            <w:pPr>
              <w:spacing w:after="0"/>
              <w:rPr>
                <w:rFonts w:ascii="Arial" w:eastAsia="Calibri" w:hAnsi="Arial" w:cs="Arial"/>
                <w:sz w:val="18"/>
                <w:szCs w:val="18"/>
              </w:rPr>
            </w:pPr>
            <w:r w:rsidRPr="00FC2663">
              <w:rPr>
                <w:rFonts w:ascii="Arial" w:eastAsia="Calibri" w:hAnsi="Arial" w:cs="Arial"/>
                <w:sz w:val="18"/>
                <w:szCs w:val="18"/>
              </w:rPr>
              <w:t>Европейски фонд за регионално развитие</w:t>
            </w:r>
          </w:p>
        </w:tc>
      </w:tr>
      <w:tr w:rsidR="00252F7A" w:rsidRPr="00CF1725" w14:paraId="5D11B10F" w14:textId="77777777" w:rsidTr="00F72DFB">
        <w:tc>
          <w:tcPr>
            <w:tcW w:w="4802" w:type="dxa"/>
          </w:tcPr>
          <w:p w14:paraId="76E9759B" w14:textId="77777777" w:rsidR="00252F7A" w:rsidRPr="00CF1725" w:rsidRDefault="00252F7A" w:rsidP="00CF1725">
            <w:pPr>
              <w:spacing w:after="0"/>
              <w:rPr>
                <w:rFonts w:ascii="Arial" w:hAnsi="Arial" w:cs="Arial"/>
                <w:sz w:val="18"/>
                <w:szCs w:val="18"/>
                <w:lang w:val="bg-BG"/>
              </w:rPr>
            </w:pPr>
            <w:r>
              <w:rPr>
                <w:rFonts w:ascii="Arial" w:hAnsi="Arial" w:cs="Arial"/>
                <w:sz w:val="18"/>
                <w:szCs w:val="18"/>
                <w:lang w:val="bg-BG"/>
              </w:rPr>
              <w:t>ЗВ</w:t>
            </w:r>
          </w:p>
        </w:tc>
        <w:tc>
          <w:tcPr>
            <w:tcW w:w="4806" w:type="dxa"/>
          </w:tcPr>
          <w:p w14:paraId="7551C579" w14:textId="77777777" w:rsidR="00252F7A" w:rsidRPr="00CF1725" w:rsidRDefault="00252F7A" w:rsidP="00CF1725">
            <w:pPr>
              <w:spacing w:after="0"/>
              <w:rPr>
                <w:rFonts w:ascii="Arial" w:hAnsi="Arial" w:cs="Arial"/>
                <w:sz w:val="18"/>
                <w:szCs w:val="18"/>
                <w:lang w:val="bg-BG"/>
              </w:rPr>
            </w:pPr>
            <w:r>
              <w:rPr>
                <w:rFonts w:ascii="Arial" w:hAnsi="Arial" w:cs="Arial"/>
                <w:sz w:val="18"/>
                <w:szCs w:val="18"/>
                <w:lang w:val="bg-BG"/>
              </w:rPr>
              <w:t>Закон за водите</w:t>
            </w:r>
          </w:p>
        </w:tc>
      </w:tr>
      <w:tr w:rsidR="00252F7A" w:rsidRPr="00CD1030" w14:paraId="2436679E" w14:textId="77777777" w:rsidTr="00F72DFB">
        <w:tc>
          <w:tcPr>
            <w:tcW w:w="4802" w:type="dxa"/>
          </w:tcPr>
          <w:p w14:paraId="0AC28144" w14:textId="77777777" w:rsidR="00252F7A" w:rsidRPr="00FC2663" w:rsidRDefault="00252F7A" w:rsidP="009018C7">
            <w:pPr>
              <w:spacing w:after="0"/>
              <w:rPr>
                <w:rFonts w:ascii="Arial" w:hAnsi="Arial" w:cs="Arial"/>
                <w:sz w:val="18"/>
                <w:szCs w:val="18"/>
                <w:lang w:val="bg-BG"/>
              </w:rPr>
            </w:pPr>
            <w:r>
              <w:rPr>
                <w:rFonts w:ascii="Arial" w:hAnsi="Arial" w:cs="Arial"/>
                <w:sz w:val="18"/>
                <w:szCs w:val="18"/>
                <w:lang w:val="bg-BG"/>
              </w:rPr>
              <w:t>ИС</w:t>
            </w:r>
          </w:p>
        </w:tc>
        <w:tc>
          <w:tcPr>
            <w:tcW w:w="4806" w:type="dxa"/>
          </w:tcPr>
          <w:p w14:paraId="62E5C7FF" w14:textId="77777777" w:rsidR="00252F7A" w:rsidRPr="009018C7" w:rsidRDefault="00252F7A" w:rsidP="009018C7">
            <w:pPr>
              <w:spacing w:after="0"/>
              <w:rPr>
                <w:rFonts w:ascii="Arial" w:hAnsi="Arial" w:cs="Arial"/>
                <w:sz w:val="18"/>
                <w:szCs w:val="18"/>
                <w:lang w:val="bg-BG"/>
              </w:rPr>
            </w:pPr>
            <w:r>
              <w:rPr>
                <w:rFonts w:ascii="Arial" w:hAnsi="Arial" w:cs="Arial"/>
                <w:sz w:val="18"/>
                <w:szCs w:val="18"/>
                <w:lang w:val="bg-BG"/>
              </w:rPr>
              <w:t>Инвестиционна стратегия</w:t>
            </w:r>
          </w:p>
        </w:tc>
      </w:tr>
      <w:tr w:rsidR="00252F7A" w:rsidRPr="007B6C31" w14:paraId="368D15D5" w14:textId="77777777" w:rsidTr="00F72DFB">
        <w:tc>
          <w:tcPr>
            <w:tcW w:w="4802" w:type="dxa"/>
          </w:tcPr>
          <w:p w14:paraId="5631D40A" w14:textId="77777777" w:rsidR="00252F7A" w:rsidRPr="00CD1030" w:rsidRDefault="00252F7A" w:rsidP="00AF459F">
            <w:pPr>
              <w:spacing w:after="0"/>
              <w:rPr>
                <w:rFonts w:ascii="Arial" w:eastAsia="Calibri" w:hAnsi="Arial" w:cs="Arial"/>
                <w:sz w:val="18"/>
                <w:szCs w:val="18"/>
                <w:lang w:val="bg-BG"/>
              </w:rPr>
            </w:pPr>
            <w:r>
              <w:rPr>
                <w:rFonts w:ascii="Arial" w:eastAsia="Calibri" w:hAnsi="Arial" w:cs="Arial"/>
                <w:sz w:val="18"/>
                <w:szCs w:val="18"/>
                <w:lang w:val="bg-BG"/>
              </w:rPr>
              <w:t>КЕВР</w:t>
            </w:r>
          </w:p>
        </w:tc>
        <w:tc>
          <w:tcPr>
            <w:tcW w:w="4806" w:type="dxa"/>
          </w:tcPr>
          <w:p w14:paraId="50A073F3" w14:textId="77777777" w:rsidR="00252F7A" w:rsidRPr="00CD1030" w:rsidRDefault="00252F7A" w:rsidP="00AF459F">
            <w:pPr>
              <w:spacing w:after="0"/>
              <w:rPr>
                <w:rFonts w:ascii="Arial" w:eastAsia="Calibri" w:hAnsi="Arial" w:cs="Arial"/>
                <w:sz w:val="18"/>
                <w:szCs w:val="18"/>
                <w:lang w:val="bg-BG"/>
              </w:rPr>
            </w:pPr>
            <w:r>
              <w:rPr>
                <w:rFonts w:ascii="Arial" w:eastAsia="Calibri" w:hAnsi="Arial" w:cs="Arial"/>
                <w:sz w:val="18"/>
                <w:szCs w:val="18"/>
                <w:lang w:val="bg-BG"/>
              </w:rPr>
              <w:t>Комисия за енергийно и водно регулиране</w:t>
            </w:r>
          </w:p>
        </w:tc>
      </w:tr>
      <w:tr w:rsidR="00252F7A" w14:paraId="00F8B030" w14:textId="77777777" w:rsidTr="00F72DFB">
        <w:tc>
          <w:tcPr>
            <w:tcW w:w="4802" w:type="dxa"/>
          </w:tcPr>
          <w:p w14:paraId="5D8B5D13" w14:textId="77777777" w:rsidR="00252F7A" w:rsidRPr="00CD1030" w:rsidRDefault="00252F7A" w:rsidP="00F72DFB">
            <w:pPr>
              <w:spacing w:after="0"/>
              <w:rPr>
                <w:rFonts w:ascii="Arial" w:hAnsi="Arial" w:cs="Arial"/>
                <w:sz w:val="18"/>
                <w:szCs w:val="18"/>
                <w:lang w:val="bg-BG"/>
              </w:rPr>
            </w:pPr>
            <w:r>
              <w:rPr>
                <w:rFonts w:ascii="Arial" w:eastAsia="Calibri" w:hAnsi="Arial" w:cs="Arial"/>
                <w:sz w:val="18"/>
                <w:szCs w:val="18"/>
                <w:lang w:val="bg-BG"/>
              </w:rPr>
              <w:t>КФ</w:t>
            </w:r>
          </w:p>
        </w:tc>
        <w:tc>
          <w:tcPr>
            <w:tcW w:w="4806" w:type="dxa"/>
          </w:tcPr>
          <w:p w14:paraId="467E93CB" w14:textId="77777777" w:rsidR="00252F7A" w:rsidRPr="00CD1030" w:rsidRDefault="00252F7A" w:rsidP="00F72DFB">
            <w:pPr>
              <w:spacing w:after="0"/>
              <w:rPr>
                <w:rFonts w:ascii="Arial" w:hAnsi="Arial" w:cs="Arial"/>
                <w:sz w:val="18"/>
                <w:szCs w:val="18"/>
                <w:lang w:val="bg-BG"/>
              </w:rPr>
            </w:pPr>
            <w:r>
              <w:rPr>
                <w:rFonts w:ascii="Arial" w:eastAsia="Calibri" w:hAnsi="Arial" w:cs="Arial"/>
                <w:sz w:val="18"/>
                <w:szCs w:val="18"/>
                <w:lang w:val="bg-BG"/>
              </w:rPr>
              <w:t>Кохезионен фонд</w:t>
            </w:r>
          </w:p>
        </w:tc>
      </w:tr>
      <w:tr w:rsidR="00252F7A" w:rsidRPr="007B6C31" w14:paraId="07CEDFBB" w14:textId="77777777" w:rsidTr="00F72DFB">
        <w:tc>
          <w:tcPr>
            <w:tcW w:w="4802" w:type="dxa"/>
          </w:tcPr>
          <w:p w14:paraId="5F8BC1F4" w14:textId="77777777" w:rsidR="00252F7A" w:rsidRPr="00CD1030" w:rsidRDefault="00252F7A" w:rsidP="00F72DFB">
            <w:pPr>
              <w:spacing w:after="0"/>
              <w:rPr>
                <w:rFonts w:ascii="Arial" w:eastAsia="Calibri" w:hAnsi="Arial" w:cs="Arial"/>
                <w:sz w:val="18"/>
                <w:szCs w:val="18"/>
                <w:lang w:val="bg-BG"/>
              </w:rPr>
            </w:pPr>
            <w:r>
              <w:rPr>
                <w:rFonts w:ascii="Arial" w:hAnsi="Arial" w:cs="Arial"/>
                <w:sz w:val="18"/>
                <w:szCs w:val="18"/>
                <w:lang w:val="bg-BG"/>
              </w:rPr>
              <w:t>МОСВ</w:t>
            </w:r>
          </w:p>
        </w:tc>
        <w:tc>
          <w:tcPr>
            <w:tcW w:w="4806" w:type="dxa"/>
          </w:tcPr>
          <w:p w14:paraId="0F9CA767" w14:textId="77777777" w:rsidR="00252F7A" w:rsidRPr="00CD1030" w:rsidRDefault="00252F7A" w:rsidP="00F72DFB">
            <w:pPr>
              <w:spacing w:after="0"/>
              <w:rPr>
                <w:rFonts w:ascii="Arial" w:eastAsia="Calibri" w:hAnsi="Arial" w:cs="Arial"/>
                <w:sz w:val="18"/>
                <w:szCs w:val="18"/>
                <w:lang w:val="bg-BG"/>
              </w:rPr>
            </w:pPr>
            <w:r>
              <w:rPr>
                <w:rFonts w:ascii="Arial" w:hAnsi="Arial" w:cs="Arial"/>
                <w:sz w:val="18"/>
                <w:szCs w:val="18"/>
                <w:lang w:val="bg-BG"/>
              </w:rPr>
              <w:t>Министерство на околната среда и водите</w:t>
            </w:r>
          </w:p>
        </w:tc>
      </w:tr>
      <w:tr w:rsidR="00252F7A" w:rsidRPr="007B6C31" w14:paraId="0EC3B956" w14:textId="77777777" w:rsidTr="00F72DFB">
        <w:tc>
          <w:tcPr>
            <w:tcW w:w="4802" w:type="dxa"/>
          </w:tcPr>
          <w:p w14:paraId="2669BD16" w14:textId="77777777" w:rsidR="00252F7A" w:rsidRPr="00CD1030" w:rsidRDefault="00252F7A" w:rsidP="00F72DFB">
            <w:pPr>
              <w:spacing w:after="0"/>
              <w:rPr>
                <w:rFonts w:ascii="Arial" w:eastAsia="Calibri" w:hAnsi="Arial" w:cs="Arial"/>
                <w:sz w:val="18"/>
                <w:szCs w:val="18"/>
                <w:lang w:val="bg-BG"/>
              </w:rPr>
            </w:pPr>
            <w:r>
              <w:rPr>
                <w:rFonts w:ascii="Arial" w:eastAsia="Calibri" w:hAnsi="Arial" w:cs="Arial"/>
                <w:sz w:val="18"/>
                <w:szCs w:val="18"/>
                <w:lang w:val="bg-BG"/>
              </w:rPr>
              <w:t>МРРБ</w:t>
            </w:r>
          </w:p>
        </w:tc>
        <w:tc>
          <w:tcPr>
            <w:tcW w:w="4806" w:type="dxa"/>
          </w:tcPr>
          <w:p w14:paraId="4187B8A7" w14:textId="77777777" w:rsidR="00252F7A" w:rsidRPr="00707D56" w:rsidRDefault="00252F7A" w:rsidP="00F72DFB">
            <w:pPr>
              <w:spacing w:after="0"/>
              <w:rPr>
                <w:rFonts w:ascii="Arial" w:eastAsia="Calibri" w:hAnsi="Arial" w:cs="Arial"/>
                <w:sz w:val="18"/>
                <w:szCs w:val="18"/>
              </w:rPr>
            </w:pPr>
            <w:r w:rsidRPr="00FC2663">
              <w:rPr>
                <w:rFonts w:ascii="Arial" w:eastAsia="Calibri" w:hAnsi="Arial" w:cs="Arial"/>
                <w:sz w:val="18"/>
                <w:szCs w:val="18"/>
              </w:rPr>
              <w:t>Министерство на регионалното развитие</w:t>
            </w:r>
            <w:r w:rsidRPr="00FC2663">
              <w:rPr>
                <w:rFonts w:ascii="Arial" w:eastAsia="Calibri" w:hAnsi="Arial" w:cs="Arial"/>
                <w:sz w:val="18"/>
                <w:szCs w:val="18"/>
                <w:lang w:val="bg-BG"/>
              </w:rPr>
              <w:t xml:space="preserve"> и благоустройството</w:t>
            </w:r>
          </w:p>
        </w:tc>
      </w:tr>
      <w:tr w:rsidR="00252F7A" w14:paraId="5792D85E" w14:textId="77777777" w:rsidTr="00F72DFB">
        <w:tc>
          <w:tcPr>
            <w:tcW w:w="4802" w:type="dxa"/>
          </w:tcPr>
          <w:p w14:paraId="05A9C37B" w14:textId="77777777" w:rsidR="00252F7A" w:rsidRPr="000F3B00" w:rsidRDefault="00252F7A" w:rsidP="00896472">
            <w:pPr>
              <w:spacing w:after="0"/>
              <w:rPr>
                <w:rFonts w:ascii="Arial" w:eastAsia="Calibri" w:hAnsi="Arial" w:cs="Arial"/>
                <w:sz w:val="18"/>
                <w:szCs w:val="18"/>
                <w:lang w:val="bg-BG"/>
              </w:rPr>
            </w:pPr>
            <w:r w:rsidRPr="000F3B00">
              <w:rPr>
                <w:rFonts w:ascii="Arial" w:eastAsia="Calibri" w:hAnsi="Arial" w:cs="Arial"/>
                <w:sz w:val="18"/>
                <w:szCs w:val="18"/>
                <w:lang w:val="bg-BG"/>
              </w:rPr>
              <w:t>МФИ</w:t>
            </w:r>
          </w:p>
        </w:tc>
        <w:tc>
          <w:tcPr>
            <w:tcW w:w="4806" w:type="dxa"/>
          </w:tcPr>
          <w:p w14:paraId="5CBCF1BD" w14:textId="77777777" w:rsidR="00252F7A" w:rsidRPr="000F3B00" w:rsidRDefault="00252F7A" w:rsidP="00896472">
            <w:pPr>
              <w:spacing w:after="0"/>
              <w:rPr>
                <w:rFonts w:ascii="Arial" w:eastAsia="Calibri" w:hAnsi="Arial" w:cs="Arial"/>
                <w:sz w:val="18"/>
                <w:szCs w:val="18"/>
                <w:lang w:val="bg-BG"/>
              </w:rPr>
            </w:pPr>
            <w:r w:rsidRPr="000F3B00">
              <w:rPr>
                <w:rFonts w:ascii="Arial" w:eastAsia="Calibri" w:hAnsi="Arial" w:cs="Arial"/>
                <w:sz w:val="18"/>
                <w:szCs w:val="18"/>
                <w:lang w:val="bg-BG"/>
              </w:rPr>
              <w:t>Международни финансови институции</w:t>
            </w:r>
          </w:p>
        </w:tc>
      </w:tr>
      <w:tr w:rsidR="00661B81" w:rsidRPr="00252F7A" w14:paraId="6047EEA3" w14:textId="77777777" w:rsidTr="00F72DFB">
        <w:tc>
          <w:tcPr>
            <w:tcW w:w="4802" w:type="dxa"/>
          </w:tcPr>
          <w:p w14:paraId="37837FE4" w14:textId="77777777" w:rsidR="00661B81" w:rsidRPr="00FC2663" w:rsidRDefault="00661B81" w:rsidP="00661B81">
            <w:pPr>
              <w:spacing w:after="0"/>
              <w:rPr>
                <w:rFonts w:ascii="Arial" w:hAnsi="Arial" w:cs="Arial"/>
                <w:sz w:val="18"/>
                <w:szCs w:val="18"/>
                <w:lang w:val="bg-BG"/>
              </w:rPr>
            </w:pPr>
            <w:r>
              <w:rPr>
                <w:rFonts w:ascii="Arial" w:hAnsi="Arial" w:cs="Arial"/>
                <w:sz w:val="18"/>
                <w:szCs w:val="18"/>
                <w:lang w:val="bg-BG"/>
              </w:rPr>
              <w:t>НПО</w:t>
            </w:r>
          </w:p>
        </w:tc>
        <w:tc>
          <w:tcPr>
            <w:tcW w:w="4806" w:type="dxa"/>
          </w:tcPr>
          <w:p w14:paraId="4ACE1D54" w14:textId="77777777" w:rsidR="00661B81" w:rsidRPr="00FC2663" w:rsidRDefault="00661B81" w:rsidP="00661B81">
            <w:pPr>
              <w:spacing w:after="0"/>
              <w:rPr>
                <w:rFonts w:ascii="Arial" w:hAnsi="Arial" w:cs="Arial"/>
                <w:sz w:val="18"/>
                <w:szCs w:val="18"/>
                <w:lang w:val="bg-BG"/>
              </w:rPr>
            </w:pPr>
            <w:r>
              <w:rPr>
                <w:rFonts w:ascii="Arial" w:hAnsi="Arial" w:cs="Arial"/>
                <w:sz w:val="18"/>
                <w:szCs w:val="18"/>
                <w:lang w:val="bg-BG"/>
              </w:rPr>
              <w:t>Неправителствена организация</w:t>
            </w:r>
          </w:p>
        </w:tc>
      </w:tr>
      <w:tr w:rsidR="00252F7A" w14:paraId="64C46561" w14:textId="77777777" w:rsidTr="00F72DFB">
        <w:tc>
          <w:tcPr>
            <w:tcW w:w="4802" w:type="dxa"/>
          </w:tcPr>
          <w:p w14:paraId="429ADC39" w14:textId="77777777" w:rsidR="00252F7A" w:rsidRPr="00707D56" w:rsidRDefault="00252F7A" w:rsidP="00CD1030">
            <w:pPr>
              <w:spacing w:after="0"/>
              <w:rPr>
                <w:rFonts w:ascii="Arial" w:eastAsia="Calibri" w:hAnsi="Arial" w:cs="Arial"/>
                <w:sz w:val="18"/>
                <w:szCs w:val="18"/>
              </w:rPr>
            </w:pPr>
            <w:r w:rsidRPr="00FC2663">
              <w:rPr>
                <w:rFonts w:ascii="Arial" w:eastAsia="Calibri" w:hAnsi="Arial" w:cs="Arial"/>
                <w:sz w:val="18"/>
                <w:szCs w:val="18"/>
                <w:lang w:val="bg-BG"/>
              </w:rPr>
              <w:t>ОП</w:t>
            </w:r>
          </w:p>
        </w:tc>
        <w:tc>
          <w:tcPr>
            <w:tcW w:w="4806" w:type="dxa"/>
          </w:tcPr>
          <w:p w14:paraId="49FF5DF5" w14:textId="77777777" w:rsidR="00252F7A" w:rsidRPr="00707D56" w:rsidRDefault="00252F7A" w:rsidP="00CD1030">
            <w:pPr>
              <w:spacing w:after="0"/>
              <w:rPr>
                <w:rFonts w:ascii="Arial" w:eastAsia="Calibri" w:hAnsi="Arial" w:cs="Arial"/>
                <w:sz w:val="18"/>
                <w:szCs w:val="18"/>
              </w:rPr>
            </w:pPr>
            <w:r w:rsidRPr="00FC2663">
              <w:rPr>
                <w:rFonts w:ascii="Arial" w:eastAsia="Calibri" w:hAnsi="Arial" w:cs="Arial"/>
                <w:sz w:val="18"/>
                <w:szCs w:val="18"/>
                <w:lang w:val="bg-BG"/>
              </w:rPr>
              <w:t>Оперативна програма</w:t>
            </w:r>
          </w:p>
        </w:tc>
      </w:tr>
      <w:tr w:rsidR="00252F7A" w14:paraId="5D23FC0B" w14:textId="77777777" w:rsidTr="00F72DFB">
        <w:tc>
          <w:tcPr>
            <w:tcW w:w="4802" w:type="dxa"/>
          </w:tcPr>
          <w:p w14:paraId="5D723139" w14:textId="77777777" w:rsidR="00252F7A" w:rsidRPr="00FC2663" w:rsidRDefault="00252F7A" w:rsidP="00CD1030">
            <w:pPr>
              <w:spacing w:after="0"/>
              <w:rPr>
                <w:rFonts w:ascii="Arial" w:eastAsia="Calibri" w:hAnsi="Arial" w:cs="Arial"/>
                <w:sz w:val="18"/>
                <w:szCs w:val="18"/>
                <w:lang w:val="bg-BG"/>
              </w:rPr>
            </w:pPr>
            <w:r w:rsidRPr="007B6577">
              <w:rPr>
                <w:rFonts w:ascii="Arial" w:eastAsia="Calibri" w:hAnsi="Arial" w:cs="Arial"/>
                <w:sz w:val="18"/>
                <w:szCs w:val="18"/>
                <w:lang w:val="bg-BG"/>
              </w:rPr>
              <w:t>ОПОС</w:t>
            </w:r>
          </w:p>
        </w:tc>
        <w:tc>
          <w:tcPr>
            <w:tcW w:w="4806" w:type="dxa"/>
          </w:tcPr>
          <w:p w14:paraId="00D742A2" w14:textId="77777777" w:rsidR="00252F7A" w:rsidRPr="00FC2663" w:rsidRDefault="00252F7A" w:rsidP="00CD1030">
            <w:pPr>
              <w:spacing w:after="0"/>
              <w:rPr>
                <w:rFonts w:ascii="Arial" w:eastAsia="Calibri" w:hAnsi="Arial" w:cs="Arial"/>
                <w:sz w:val="18"/>
                <w:szCs w:val="18"/>
                <w:lang w:val="bg-BG"/>
              </w:rPr>
            </w:pPr>
            <w:r w:rsidRPr="007B6577">
              <w:rPr>
                <w:rFonts w:ascii="Arial" w:eastAsia="Calibri" w:hAnsi="Arial" w:cs="Arial"/>
                <w:sz w:val="18"/>
                <w:szCs w:val="18"/>
                <w:lang w:val="bg-BG"/>
              </w:rPr>
              <w:t>ОП „Околна среда“</w:t>
            </w:r>
          </w:p>
        </w:tc>
      </w:tr>
      <w:tr w:rsidR="00252F7A" w14:paraId="656AB256" w14:textId="77777777" w:rsidTr="00F72DFB">
        <w:tc>
          <w:tcPr>
            <w:tcW w:w="4802" w:type="dxa"/>
          </w:tcPr>
          <w:p w14:paraId="48891EDE" w14:textId="77777777" w:rsidR="00252F7A" w:rsidRPr="00707D56" w:rsidRDefault="00252F7A" w:rsidP="00A306CB">
            <w:pPr>
              <w:spacing w:after="0"/>
              <w:rPr>
                <w:rFonts w:ascii="Arial" w:eastAsia="Calibri" w:hAnsi="Arial" w:cs="Arial"/>
                <w:sz w:val="18"/>
                <w:szCs w:val="18"/>
              </w:rPr>
            </w:pPr>
            <w:r w:rsidRPr="00FC2663">
              <w:rPr>
                <w:rFonts w:ascii="Arial" w:eastAsia="Calibri" w:hAnsi="Arial" w:cs="Arial"/>
                <w:sz w:val="18"/>
                <w:szCs w:val="18"/>
                <w:lang w:val="bg-BG"/>
              </w:rPr>
              <w:t>ПО</w:t>
            </w:r>
          </w:p>
        </w:tc>
        <w:tc>
          <w:tcPr>
            <w:tcW w:w="4806" w:type="dxa"/>
          </w:tcPr>
          <w:p w14:paraId="4F720D07" w14:textId="77777777" w:rsidR="00252F7A" w:rsidRPr="00707D56" w:rsidRDefault="00252F7A" w:rsidP="00A306CB">
            <w:pPr>
              <w:spacing w:after="0"/>
              <w:rPr>
                <w:rFonts w:ascii="Arial" w:eastAsia="Calibri" w:hAnsi="Arial" w:cs="Arial"/>
                <w:sz w:val="18"/>
                <w:szCs w:val="18"/>
              </w:rPr>
            </w:pPr>
            <w:r w:rsidRPr="00FC2663">
              <w:rPr>
                <w:rFonts w:ascii="Arial" w:eastAsia="Calibri" w:hAnsi="Arial" w:cs="Arial"/>
                <w:sz w:val="18"/>
                <w:szCs w:val="18"/>
                <w:lang w:val="bg-BG"/>
              </w:rPr>
              <w:t>Приоритетна ос</w:t>
            </w:r>
          </w:p>
        </w:tc>
      </w:tr>
      <w:tr w:rsidR="00252F7A" w:rsidRPr="007B6C31" w14:paraId="55F82BD0" w14:textId="77777777" w:rsidTr="00F72DFB">
        <w:tc>
          <w:tcPr>
            <w:tcW w:w="4802" w:type="dxa"/>
          </w:tcPr>
          <w:p w14:paraId="4948838E" w14:textId="77777777" w:rsidR="00252F7A" w:rsidRPr="00707D56" w:rsidRDefault="00252F7A" w:rsidP="00CF1725">
            <w:pPr>
              <w:spacing w:after="0"/>
              <w:rPr>
                <w:rFonts w:ascii="Arial" w:eastAsia="Calibri" w:hAnsi="Arial" w:cs="Arial"/>
                <w:sz w:val="18"/>
                <w:szCs w:val="18"/>
              </w:rPr>
            </w:pPr>
            <w:r w:rsidRPr="00FC2663">
              <w:rPr>
                <w:rFonts w:ascii="Arial" w:eastAsia="Calibri" w:hAnsi="Arial" w:cs="Arial"/>
                <w:sz w:val="18"/>
                <w:szCs w:val="18"/>
                <w:lang w:val="bg-BG"/>
              </w:rPr>
              <w:t>ПСОВ</w:t>
            </w:r>
          </w:p>
        </w:tc>
        <w:tc>
          <w:tcPr>
            <w:tcW w:w="4806" w:type="dxa"/>
          </w:tcPr>
          <w:p w14:paraId="7DEBB127" w14:textId="77777777" w:rsidR="00252F7A" w:rsidRPr="00707D56" w:rsidRDefault="00252F7A" w:rsidP="00CF1725">
            <w:pPr>
              <w:spacing w:after="0"/>
              <w:rPr>
                <w:rFonts w:ascii="Arial" w:eastAsia="Calibri" w:hAnsi="Arial" w:cs="Arial"/>
                <w:sz w:val="18"/>
                <w:szCs w:val="18"/>
              </w:rPr>
            </w:pPr>
            <w:r w:rsidRPr="00FC2663">
              <w:rPr>
                <w:rFonts w:ascii="Arial" w:eastAsia="Calibri" w:hAnsi="Arial" w:cs="Arial"/>
                <w:sz w:val="18"/>
                <w:szCs w:val="18"/>
              </w:rPr>
              <w:t>Пречиствателна станция за</w:t>
            </w:r>
            <w:r w:rsidRPr="00FC2663">
              <w:rPr>
                <w:rFonts w:ascii="Arial" w:eastAsia="Calibri" w:hAnsi="Arial" w:cs="Arial"/>
                <w:sz w:val="18"/>
                <w:szCs w:val="18"/>
                <w:lang w:val="bg-BG"/>
              </w:rPr>
              <w:t xml:space="preserve"> отпад</w:t>
            </w:r>
            <w:r w:rsidR="008473C3">
              <w:rPr>
                <w:rFonts w:ascii="Arial" w:eastAsia="Calibri" w:hAnsi="Arial" w:cs="Arial"/>
                <w:sz w:val="18"/>
                <w:szCs w:val="18"/>
                <w:lang w:val="bg-BG"/>
              </w:rPr>
              <w:t>ъч</w:t>
            </w:r>
            <w:r w:rsidRPr="00FC2663">
              <w:rPr>
                <w:rFonts w:ascii="Arial" w:eastAsia="Calibri" w:hAnsi="Arial" w:cs="Arial"/>
                <w:sz w:val="18"/>
                <w:szCs w:val="18"/>
                <w:lang w:val="bg-BG"/>
              </w:rPr>
              <w:t>ни води</w:t>
            </w:r>
          </w:p>
        </w:tc>
      </w:tr>
      <w:tr w:rsidR="00252F7A" w:rsidRPr="007B6C31" w14:paraId="2C6E89C9" w14:textId="77777777" w:rsidTr="00F72DFB">
        <w:tc>
          <w:tcPr>
            <w:tcW w:w="4802" w:type="dxa"/>
          </w:tcPr>
          <w:p w14:paraId="2CB5B423" w14:textId="77777777" w:rsidR="00252F7A" w:rsidRPr="00CD1030" w:rsidRDefault="00252F7A" w:rsidP="00F72DFB">
            <w:pPr>
              <w:spacing w:after="0"/>
              <w:rPr>
                <w:rFonts w:ascii="Arial" w:eastAsia="Calibri" w:hAnsi="Arial" w:cs="Arial"/>
                <w:sz w:val="18"/>
                <w:szCs w:val="18"/>
                <w:lang w:val="bg-BG"/>
              </w:rPr>
            </w:pPr>
            <w:r>
              <w:rPr>
                <w:rFonts w:ascii="Arial" w:eastAsia="Calibri" w:hAnsi="Arial" w:cs="Arial"/>
                <w:sz w:val="18"/>
                <w:szCs w:val="18"/>
                <w:lang w:val="bg-BG"/>
              </w:rPr>
              <w:t>ПСПВ</w:t>
            </w:r>
          </w:p>
        </w:tc>
        <w:tc>
          <w:tcPr>
            <w:tcW w:w="4806" w:type="dxa"/>
          </w:tcPr>
          <w:p w14:paraId="51CC79EE" w14:textId="77777777" w:rsidR="00252F7A" w:rsidRPr="00CD1030" w:rsidRDefault="00252F7A" w:rsidP="00F72DFB">
            <w:pPr>
              <w:spacing w:after="0"/>
              <w:rPr>
                <w:rFonts w:ascii="Arial" w:eastAsia="Calibri" w:hAnsi="Arial" w:cs="Arial"/>
                <w:sz w:val="18"/>
                <w:szCs w:val="18"/>
                <w:lang w:val="bg-BG"/>
              </w:rPr>
            </w:pPr>
            <w:r>
              <w:rPr>
                <w:rFonts w:ascii="Arial" w:eastAsia="Calibri" w:hAnsi="Arial" w:cs="Arial"/>
                <w:sz w:val="18"/>
                <w:szCs w:val="18"/>
                <w:lang w:val="bg-BG"/>
              </w:rPr>
              <w:t>Пречиствателна станция за питейни води</w:t>
            </w:r>
          </w:p>
        </w:tc>
      </w:tr>
      <w:tr w:rsidR="00252F7A" w:rsidRPr="007B6C31" w14:paraId="6F25AEB6" w14:textId="77777777" w:rsidTr="00F72DFB">
        <w:tc>
          <w:tcPr>
            <w:tcW w:w="4802" w:type="dxa"/>
          </w:tcPr>
          <w:p w14:paraId="27A8B432" w14:textId="77777777" w:rsidR="00252F7A" w:rsidRPr="00CD1030" w:rsidRDefault="00252F7A" w:rsidP="00F72DFB">
            <w:pPr>
              <w:spacing w:after="0"/>
              <w:rPr>
                <w:rFonts w:ascii="Arial" w:eastAsia="Calibri" w:hAnsi="Arial" w:cs="Arial"/>
                <w:sz w:val="18"/>
                <w:szCs w:val="18"/>
                <w:lang w:val="bg-BG"/>
              </w:rPr>
            </w:pPr>
            <w:r>
              <w:rPr>
                <w:rFonts w:ascii="Arial" w:eastAsia="Calibri" w:hAnsi="Arial" w:cs="Arial"/>
                <w:sz w:val="18"/>
                <w:szCs w:val="18"/>
                <w:lang w:val="bg-BG"/>
              </w:rPr>
              <w:t>ПУДООС</w:t>
            </w:r>
          </w:p>
        </w:tc>
        <w:tc>
          <w:tcPr>
            <w:tcW w:w="4806" w:type="dxa"/>
          </w:tcPr>
          <w:p w14:paraId="0E15A348" w14:textId="77777777" w:rsidR="00252F7A" w:rsidRPr="00707D56" w:rsidRDefault="00252F7A" w:rsidP="00F72DFB">
            <w:pPr>
              <w:spacing w:after="0"/>
              <w:rPr>
                <w:rFonts w:ascii="Arial" w:eastAsia="Calibri" w:hAnsi="Arial" w:cs="Arial"/>
                <w:sz w:val="18"/>
                <w:szCs w:val="18"/>
              </w:rPr>
            </w:pPr>
            <w:r w:rsidRPr="00FC2663">
              <w:rPr>
                <w:rFonts w:ascii="Arial" w:eastAsia="Calibri" w:hAnsi="Arial" w:cs="Arial"/>
                <w:sz w:val="18"/>
                <w:szCs w:val="18"/>
                <w:lang w:val="bg-BG"/>
              </w:rPr>
              <w:t>Предприятие за управление на дейностите по опазване на околната среда</w:t>
            </w:r>
          </w:p>
        </w:tc>
      </w:tr>
      <w:tr w:rsidR="00252F7A" w:rsidRPr="006C698E" w14:paraId="6C04729D" w14:textId="77777777" w:rsidTr="00F72DFB">
        <w:tc>
          <w:tcPr>
            <w:tcW w:w="4802" w:type="dxa"/>
          </w:tcPr>
          <w:p w14:paraId="13AC66BE" w14:textId="77777777" w:rsidR="00252F7A" w:rsidRPr="00A306CB" w:rsidRDefault="00252F7A" w:rsidP="000B327F">
            <w:pPr>
              <w:spacing w:after="0"/>
              <w:rPr>
                <w:rFonts w:ascii="Arial" w:eastAsia="Calibri" w:hAnsi="Arial" w:cs="Arial"/>
                <w:sz w:val="18"/>
                <w:szCs w:val="18"/>
                <w:lang w:val="bg-BG"/>
              </w:rPr>
            </w:pPr>
            <w:r>
              <w:rPr>
                <w:rFonts w:ascii="Arial" w:eastAsia="Calibri" w:hAnsi="Arial" w:cs="Arial"/>
                <w:sz w:val="18"/>
                <w:szCs w:val="18"/>
                <w:lang w:val="bg-BG"/>
              </w:rPr>
              <w:lastRenderedPageBreak/>
              <w:t>ПЧП</w:t>
            </w:r>
          </w:p>
        </w:tc>
        <w:tc>
          <w:tcPr>
            <w:tcW w:w="4806" w:type="dxa"/>
          </w:tcPr>
          <w:p w14:paraId="57EE4CC8" w14:textId="77777777" w:rsidR="00252F7A" w:rsidRPr="00A306CB" w:rsidRDefault="00252F7A" w:rsidP="000B327F">
            <w:pPr>
              <w:spacing w:after="0"/>
              <w:rPr>
                <w:rFonts w:ascii="Arial" w:eastAsia="Calibri" w:hAnsi="Arial" w:cs="Arial"/>
                <w:sz w:val="18"/>
                <w:szCs w:val="18"/>
                <w:lang w:val="bg-BG"/>
              </w:rPr>
            </w:pPr>
            <w:r>
              <w:rPr>
                <w:rFonts w:ascii="Arial" w:eastAsia="Calibri" w:hAnsi="Arial" w:cs="Arial"/>
                <w:sz w:val="18"/>
                <w:szCs w:val="18"/>
                <w:lang w:val="bg-BG"/>
              </w:rPr>
              <w:t>Публично-частно партньорство</w:t>
            </w:r>
          </w:p>
        </w:tc>
      </w:tr>
      <w:tr w:rsidR="00252F7A" w14:paraId="24ABB71C" w14:textId="77777777" w:rsidTr="00F72DFB">
        <w:tc>
          <w:tcPr>
            <w:tcW w:w="4802" w:type="dxa"/>
          </w:tcPr>
          <w:p w14:paraId="01ADE8B3" w14:textId="77777777" w:rsidR="00252F7A" w:rsidRPr="00707D56" w:rsidRDefault="00252F7A" w:rsidP="00CF1725">
            <w:pPr>
              <w:spacing w:after="0"/>
              <w:rPr>
                <w:rFonts w:ascii="Arial" w:eastAsia="Calibri" w:hAnsi="Arial" w:cs="Arial"/>
                <w:sz w:val="18"/>
                <w:szCs w:val="18"/>
              </w:rPr>
            </w:pPr>
            <w:r w:rsidRPr="00FC2663">
              <w:rPr>
                <w:rFonts w:ascii="Arial" w:eastAsia="Calibri" w:hAnsi="Arial" w:cs="Arial"/>
                <w:sz w:val="18"/>
                <w:szCs w:val="18"/>
                <w:lang w:val="bg-BG"/>
              </w:rPr>
              <w:t>РПИП</w:t>
            </w:r>
          </w:p>
        </w:tc>
        <w:tc>
          <w:tcPr>
            <w:tcW w:w="4806" w:type="dxa"/>
          </w:tcPr>
          <w:p w14:paraId="07C4D1A7" w14:textId="77777777" w:rsidR="00252F7A" w:rsidRPr="00707D56" w:rsidRDefault="00252F7A" w:rsidP="00CF1725">
            <w:pPr>
              <w:spacing w:after="0"/>
              <w:rPr>
                <w:rFonts w:ascii="Arial" w:eastAsia="Calibri" w:hAnsi="Arial" w:cs="Arial"/>
                <w:sz w:val="18"/>
                <w:szCs w:val="18"/>
              </w:rPr>
            </w:pPr>
            <w:r w:rsidRPr="00FC2663">
              <w:rPr>
                <w:rFonts w:ascii="Arial" w:hAnsi="Arial" w:cs="Arial"/>
                <w:sz w:val="18"/>
                <w:szCs w:val="18"/>
              </w:rPr>
              <w:t>Регионално прединвестиционно проучване</w:t>
            </w:r>
          </w:p>
        </w:tc>
      </w:tr>
      <w:tr w:rsidR="00252F7A" w:rsidRPr="00CF1725" w14:paraId="16C2ADA9" w14:textId="77777777" w:rsidTr="00F72DFB">
        <w:tc>
          <w:tcPr>
            <w:tcW w:w="4802" w:type="dxa"/>
          </w:tcPr>
          <w:p w14:paraId="6A9C638F" w14:textId="77777777" w:rsidR="00252F7A" w:rsidRPr="000C74D3" w:rsidRDefault="00252F7A" w:rsidP="000C74D3">
            <w:pPr>
              <w:spacing w:after="0"/>
              <w:rPr>
                <w:rFonts w:ascii="Arial" w:hAnsi="Arial" w:cs="Arial"/>
                <w:sz w:val="18"/>
                <w:szCs w:val="18"/>
                <w:lang w:val="bg-BG"/>
              </w:rPr>
            </w:pPr>
            <w:r>
              <w:rPr>
                <w:rFonts w:ascii="Arial" w:hAnsi="Arial" w:cs="Arial"/>
                <w:sz w:val="18"/>
                <w:szCs w:val="18"/>
                <w:lang w:val="bg-BG"/>
              </w:rPr>
              <w:t>ТП</w:t>
            </w:r>
          </w:p>
        </w:tc>
        <w:tc>
          <w:tcPr>
            <w:tcW w:w="4806" w:type="dxa"/>
          </w:tcPr>
          <w:p w14:paraId="0CA450F6" w14:textId="77777777" w:rsidR="00252F7A" w:rsidRPr="000C74D3" w:rsidRDefault="00252F7A" w:rsidP="000C74D3">
            <w:pPr>
              <w:spacing w:after="0"/>
              <w:rPr>
                <w:rFonts w:ascii="Arial" w:hAnsi="Arial" w:cs="Arial"/>
                <w:sz w:val="18"/>
                <w:szCs w:val="18"/>
                <w:lang w:val="bg-BG"/>
              </w:rPr>
            </w:pPr>
            <w:r>
              <w:rPr>
                <w:rFonts w:ascii="Arial" w:hAnsi="Arial" w:cs="Arial"/>
                <w:sz w:val="18"/>
                <w:szCs w:val="18"/>
                <w:lang w:val="bg-BG"/>
              </w:rPr>
              <w:t>Техническа помощ</w:t>
            </w:r>
          </w:p>
        </w:tc>
      </w:tr>
      <w:tr w:rsidR="00252F7A" w14:paraId="3BA4B27E" w14:textId="77777777" w:rsidTr="00F72DFB">
        <w:tc>
          <w:tcPr>
            <w:tcW w:w="4802" w:type="dxa"/>
          </w:tcPr>
          <w:p w14:paraId="458CDA07" w14:textId="77777777" w:rsidR="00252F7A" w:rsidRPr="00707D56" w:rsidRDefault="00252F7A" w:rsidP="00CF1725">
            <w:pPr>
              <w:spacing w:after="0"/>
              <w:rPr>
                <w:rFonts w:ascii="Arial" w:eastAsia="Calibri" w:hAnsi="Arial" w:cs="Arial"/>
                <w:sz w:val="18"/>
                <w:szCs w:val="18"/>
              </w:rPr>
            </w:pPr>
            <w:r w:rsidRPr="00FC2663">
              <w:rPr>
                <w:rFonts w:ascii="Arial" w:eastAsia="Calibri" w:hAnsi="Arial" w:cs="Arial"/>
                <w:sz w:val="18"/>
                <w:szCs w:val="18"/>
                <w:lang w:val="bg-BG"/>
              </w:rPr>
              <w:t>ТЦ</w:t>
            </w:r>
          </w:p>
        </w:tc>
        <w:tc>
          <w:tcPr>
            <w:tcW w:w="4806" w:type="dxa"/>
          </w:tcPr>
          <w:p w14:paraId="479509C5" w14:textId="77777777" w:rsidR="00252F7A" w:rsidRPr="00707D56" w:rsidRDefault="00252F7A" w:rsidP="00CF1725">
            <w:pPr>
              <w:spacing w:after="0"/>
              <w:rPr>
                <w:rFonts w:ascii="Arial" w:eastAsia="Calibri" w:hAnsi="Arial" w:cs="Arial"/>
                <w:sz w:val="18"/>
                <w:szCs w:val="18"/>
              </w:rPr>
            </w:pPr>
            <w:r w:rsidRPr="00FC2663">
              <w:rPr>
                <w:rFonts w:ascii="Arial" w:eastAsia="Calibri" w:hAnsi="Arial" w:cs="Arial"/>
                <w:sz w:val="18"/>
                <w:szCs w:val="18"/>
                <w:lang w:val="bg-BG"/>
              </w:rPr>
              <w:t>Тематична цел</w:t>
            </w:r>
          </w:p>
        </w:tc>
      </w:tr>
      <w:tr w:rsidR="00252F7A" w14:paraId="6E9897C0" w14:textId="77777777" w:rsidTr="00F72DFB">
        <w:tc>
          <w:tcPr>
            <w:tcW w:w="4802" w:type="dxa"/>
          </w:tcPr>
          <w:p w14:paraId="38606324" w14:textId="77777777" w:rsidR="00252F7A" w:rsidRPr="00CD1030" w:rsidRDefault="00252F7A" w:rsidP="00BD10BD">
            <w:pPr>
              <w:spacing w:after="0"/>
              <w:rPr>
                <w:rFonts w:ascii="Arial" w:eastAsia="Calibri" w:hAnsi="Arial" w:cs="Arial"/>
                <w:sz w:val="18"/>
                <w:szCs w:val="18"/>
                <w:lang w:val="bg-BG"/>
              </w:rPr>
            </w:pPr>
            <w:r>
              <w:rPr>
                <w:rFonts w:ascii="Arial" w:eastAsia="Calibri" w:hAnsi="Arial" w:cs="Arial"/>
                <w:sz w:val="18"/>
                <w:szCs w:val="18"/>
                <w:lang w:val="bg-BG"/>
              </w:rPr>
              <w:t>УО</w:t>
            </w:r>
          </w:p>
        </w:tc>
        <w:tc>
          <w:tcPr>
            <w:tcW w:w="4806" w:type="dxa"/>
          </w:tcPr>
          <w:p w14:paraId="64C82DF9" w14:textId="77777777" w:rsidR="00252F7A" w:rsidRPr="00CD1030" w:rsidRDefault="00252F7A" w:rsidP="00BD10BD">
            <w:pPr>
              <w:spacing w:after="0"/>
              <w:rPr>
                <w:rFonts w:ascii="Arial" w:eastAsia="Calibri" w:hAnsi="Arial" w:cs="Arial"/>
                <w:sz w:val="18"/>
                <w:szCs w:val="18"/>
                <w:lang w:val="bg-BG"/>
              </w:rPr>
            </w:pPr>
            <w:r>
              <w:rPr>
                <w:rFonts w:ascii="Arial" w:eastAsia="Calibri" w:hAnsi="Arial" w:cs="Arial"/>
                <w:sz w:val="18"/>
                <w:szCs w:val="18"/>
                <w:lang w:val="bg-BG"/>
              </w:rPr>
              <w:t>Управляващ орган</w:t>
            </w:r>
          </w:p>
        </w:tc>
      </w:tr>
      <w:tr w:rsidR="00252F7A" w:rsidRPr="007B6C31" w14:paraId="71C39362" w14:textId="77777777" w:rsidTr="00F72DFB">
        <w:tc>
          <w:tcPr>
            <w:tcW w:w="4802" w:type="dxa"/>
          </w:tcPr>
          <w:p w14:paraId="6F0288F9" w14:textId="77777777" w:rsidR="00252F7A" w:rsidRDefault="00252F7A" w:rsidP="000F3B00">
            <w:pPr>
              <w:spacing w:after="0"/>
              <w:rPr>
                <w:rFonts w:ascii="Arial" w:eastAsia="Calibri" w:hAnsi="Arial" w:cs="Arial"/>
                <w:sz w:val="18"/>
                <w:szCs w:val="18"/>
                <w:lang w:val="bg-BG"/>
              </w:rPr>
            </w:pPr>
            <w:r>
              <w:rPr>
                <w:rFonts w:ascii="Arial" w:eastAsia="Calibri" w:hAnsi="Arial" w:cs="Arial"/>
                <w:sz w:val="18"/>
                <w:szCs w:val="18"/>
                <w:lang w:val="bg-BG"/>
              </w:rPr>
              <w:t>УОИИ</w:t>
            </w:r>
          </w:p>
        </w:tc>
        <w:tc>
          <w:tcPr>
            <w:tcW w:w="4806" w:type="dxa"/>
          </w:tcPr>
          <w:p w14:paraId="4F4DABC5" w14:textId="77777777" w:rsidR="00252F7A" w:rsidRPr="00FC2663" w:rsidRDefault="00252F7A" w:rsidP="000F3B00">
            <w:pPr>
              <w:spacing w:after="0"/>
              <w:rPr>
                <w:rFonts w:ascii="Arial" w:eastAsia="Calibri" w:hAnsi="Arial" w:cs="Arial"/>
                <w:sz w:val="18"/>
                <w:szCs w:val="18"/>
                <w:lang w:val="bg-BG"/>
              </w:rPr>
            </w:pPr>
            <w:r>
              <w:rPr>
                <w:rFonts w:ascii="Arial" w:eastAsia="Calibri" w:hAnsi="Arial" w:cs="Arial"/>
                <w:sz w:val="18"/>
                <w:szCs w:val="18"/>
                <w:lang w:val="bg-BG"/>
              </w:rPr>
              <w:t>Услуги от общ икономически интерес</w:t>
            </w:r>
          </w:p>
        </w:tc>
      </w:tr>
      <w:tr w:rsidR="00252F7A" w14:paraId="74F56C38" w14:textId="77777777" w:rsidTr="00F72DFB">
        <w:tc>
          <w:tcPr>
            <w:tcW w:w="4802" w:type="dxa"/>
          </w:tcPr>
          <w:p w14:paraId="76FA093D" w14:textId="77777777" w:rsidR="00252F7A" w:rsidRPr="00CD1030" w:rsidRDefault="00252F7A" w:rsidP="00F72DFB">
            <w:pPr>
              <w:spacing w:after="0"/>
              <w:rPr>
                <w:rFonts w:ascii="Arial" w:eastAsia="Calibri" w:hAnsi="Arial" w:cs="Arial"/>
                <w:b/>
                <w:sz w:val="18"/>
                <w:szCs w:val="18"/>
                <w:lang w:val="bg-BG"/>
              </w:rPr>
            </w:pPr>
            <w:r>
              <w:rPr>
                <w:rFonts w:ascii="Arial" w:eastAsia="Calibri" w:hAnsi="Arial" w:cs="Arial"/>
                <w:sz w:val="18"/>
                <w:szCs w:val="18"/>
                <w:lang w:val="bg-BG"/>
              </w:rPr>
              <w:t>ФИ</w:t>
            </w:r>
          </w:p>
        </w:tc>
        <w:tc>
          <w:tcPr>
            <w:tcW w:w="4806" w:type="dxa"/>
          </w:tcPr>
          <w:p w14:paraId="71416610" w14:textId="77777777" w:rsidR="00252F7A" w:rsidRPr="00CD1030" w:rsidRDefault="00252F7A" w:rsidP="00F72DFB">
            <w:pPr>
              <w:spacing w:after="0"/>
              <w:rPr>
                <w:rFonts w:ascii="Arial" w:eastAsia="Calibri" w:hAnsi="Arial" w:cs="Arial"/>
                <w:sz w:val="18"/>
                <w:szCs w:val="18"/>
                <w:lang w:val="bg-BG"/>
              </w:rPr>
            </w:pPr>
            <w:r>
              <w:rPr>
                <w:rFonts w:ascii="Arial" w:eastAsia="Calibri" w:hAnsi="Arial" w:cs="Arial"/>
                <w:sz w:val="18"/>
                <w:szCs w:val="18"/>
                <w:lang w:val="bg-BG"/>
              </w:rPr>
              <w:t>Финансов(и) инструмент(и)</w:t>
            </w:r>
          </w:p>
        </w:tc>
      </w:tr>
      <w:tr w:rsidR="00252F7A" w:rsidRPr="007B6C31" w14:paraId="4830545A" w14:textId="77777777" w:rsidTr="00F72DFB">
        <w:tc>
          <w:tcPr>
            <w:tcW w:w="4802" w:type="dxa"/>
          </w:tcPr>
          <w:p w14:paraId="06459CA7" w14:textId="77777777" w:rsidR="00252F7A" w:rsidRPr="00CD1030" w:rsidRDefault="00252F7A" w:rsidP="00CD1030">
            <w:pPr>
              <w:spacing w:after="0"/>
              <w:rPr>
                <w:rFonts w:ascii="Arial" w:eastAsia="Calibri" w:hAnsi="Arial" w:cs="Arial"/>
                <w:sz w:val="18"/>
                <w:szCs w:val="18"/>
                <w:lang w:val="bg-BG"/>
              </w:rPr>
            </w:pPr>
            <w:r w:rsidRPr="00FC2663">
              <w:rPr>
                <w:rFonts w:ascii="Arial" w:eastAsia="Calibri" w:hAnsi="Arial" w:cs="Arial"/>
                <w:sz w:val="18"/>
                <w:szCs w:val="18"/>
                <w:lang w:val="bg-BG"/>
              </w:rPr>
              <w:t>ФЛАГ</w:t>
            </w:r>
          </w:p>
        </w:tc>
        <w:tc>
          <w:tcPr>
            <w:tcW w:w="4806" w:type="dxa"/>
          </w:tcPr>
          <w:p w14:paraId="37977355" w14:textId="77777777" w:rsidR="00252F7A" w:rsidRPr="00707D56" w:rsidRDefault="00252F7A" w:rsidP="00CD1030">
            <w:pPr>
              <w:spacing w:after="0"/>
              <w:rPr>
                <w:rFonts w:ascii="Arial" w:eastAsia="Calibri" w:hAnsi="Arial" w:cs="Arial"/>
                <w:sz w:val="18"/>
                <w:szCs w:val="18"/>
              </w:rPr>
            </w:pPr>
            <w:r w:rsidRPr="00FC2663">
              <w:rPr>
                <w:rFonts w:ascii="Arial" w:eastAsia="Calibri" w:hAnsi="Arial" w:cs="Arial"/>
                <w:sz w:val="18"/>
                <w:szCs w:val="18"/>
              </w:rPr>
              <w:t>Фонд за органите на местното самоуправление</w:t>
            </w:r>
          </w:p>
        </w:tc>
      </w:tr>
      <w:tr w:rsidR="00252F7A" w:rsidRPr="007B6C31" w14:paraId="4ABBA6D9" w14:textId="77777777" w:rsidTr="00F72DFB">
        <w:tc>
          <w:tcPr>
            <w:tcW w:w="4802" w:type="dxa"/>
          </w:tcPr>
          <w:p w14:paraId="0120DDAF" w14:textId="77777777" w:rsidR="00252F7A" w:rsidRPr="00680029" w:rsidRDefault="00252F7A" w:rsidP="00AE3CD5">
            <w:pPr>
              <w:spacing w:after="0"/>
              <w:rPr>
                <w:rFonts w:ascii="Arial" w:eastAsia="Calibri" w:hAnsi="Arial" w:cs="Arial"/>
                <w:sz w:val="18"/>
                <w:szCs w:val="18"/>
                <w:highlight w:val="yellow"/>
                <w:lang w:val="bg-BG"/>
              </w:rPr>
            </w:pPr>
            <w:r w:rsidRPr="00680029">
              <w:rPr>
                <w:rFonts w:ascii="Arial" w:hAnsi="Arial" w:cs="Arial"/>
                <w:sz w:val="18"/>
                <w:szCs w:val="18"/>
                <w:lang w:val="bg-BG"/>
              </w:rPr>
              <w:t>ФМФИБ</w:t>
            </w:r>
          </w:p>
        </w:tc>
        <w:tc>
          <w:tcPr>
            <w:tcW w:w="4806" w:type="dxa"/>
          </w:tcPr>
          <w:p w14:paraId="64E54602" w14:textId="77777777" w:rsidR="00252F7A" w:rsidRPr="00680029" w:rsidRDefault="00252F7A" w:rsidP="00AE3CD5">
            <w:pPr>
              <w:spacing w:after="0"/>
              <w:rPr>
                <w:rFonts w:ascii="Arial" w:eastAsia="Calibri" w:hAnsi="Arial" w:cs="Arial"/>
                <w:sz w:val="18"/>
                <w:szCs w:val="18"/>
                <w:highlight w:val="yellow"/>
              </w:rPr>
            </w:pPr>
            <w:r w:rsidRPr="00680029">
              <w:rPr>
                <w:rFonts w:ascii="Arial" w:hAnsi="Arial" w:cs="Arial"/>
                <w:sz w:val="18"/>
                <w:szCs w:val="18"/>
                <w:lang w:val="bg-BG"/>
              </w:rPr>
              <w:t>"Фонд мениджър на финансовите инструменти в България"</w:t>
            </w:r>
            <w:r w:rsidRPr="00680029">
              <w:rPr>
                <w:rFonts w:ascii="Arial" w:hAnsi="Arial" w:cs="Arial"/>
                <w:sz w:val="18"/>
                <w:szCs w:val="18"/>
              </w:rPr>
              <w:t xml:space="preserve"> </w:t>
            </w:r>
            <w:r w:rsidRPr="00680029">
              <w:rPr>
                <w:rFonts w:ascii="Arial" w:hAnsi="Arial" w:cs="Arial"/>
                <w:sz w:val="18"/>
                <w:szCs w:val="18"/>
                <w:lang w:val="bg-BG"/>
              </w:rPr>
              <w:t>ЕАД</w:t>
            </w:r>
          </w:p>
        </w:tc>
      </w:tr>
    </w:tbl>
    <w:p w14:paraId="1BFCBC42" w14:textId="77777777" w:rsidR="00527E96" w:rsidRPr="00CF1725" w:rsidRDefault="00527E96" w:rsidP="0042627C">
      <w:pPr>
        <w:rPr>
          <w:lang w:val="it-IT"/>
        </w:rPr>
      </w:pPr>
    </w:p>
    <w:p w14:paraId="49CEF942" w14:textId="77777777" w:rsidR="00797E44" w:rsidRPr="00CF1725" w:rsidRDefault="00527E96" w:rsidP="0042627C">
      <w:pPr>
        <w:rPr>
          <w:lang w:val="it-IT"/>
        </w:rPr>
      </w:pPr>
      <w:r w:rsidRPr="00CF1725">
        <w:rPr>
          <w:lang w:val="it-IT"/>
        </w:rPr>
        <w:br w:type="page"/>
      </w:r>
    </w:p>
    <w:p w14:paraId="243D252E" w14:textId="77777777" w:rsidR="00797D4C" w:rsidRPr="007C72A8" w:rsidRDefault="00CF1725" w:rsidP="007C72A8">
      <w:pPr>
        <w:pStyle w:val="Heading3"/>
        <w:numPr>
          <w:ilvl w:val="0"/>
          <w:numId w:val="16"/>
        </w:numPr>
        <w:rPr>
          <w:rFonts w:ascii="Arial" w:hAnsi="Arial" w:cs="Arial"/>
          <w:b/>
          <w:color w:val="4F81BD" w:themeColor="accent1"/>
          <w:sz w:val="20"/>
          <w:szCs w:val="20"/>
        </w:rPr>
      </w:pPr>
      <w:bookmarkStart w:id="1" w:name="_Toc503798464"/>
      <w:r>
        <w:rPr>
          <w:rFonts w:ascii="Arial" w:hAnsi="Arial" w:cs="Arial"/>
          <w:b/>
          <w:color w:val="4F81BD" w:themeColor="accent1"/>
          <w:sz w:val="20"/>
          <w:szCs w:val="20"/>
          <w:lang w:val="bg-BG"/>
        </w:rPr>
        <w:lastRenderedPageBreak/>
        <w:t>Въведение</w:t>
      </w:r>
      <w:bookmarkEnd w:id="1"/>
    </w:p>
    <w:p w14:paraId="58C82522" w14:textId="77777777" w:rsidR="00D80F90" w:rsidRPr="00314448" w:rsidRDefault="006A18AB" w:rsidP="00E56E04">
      <w:pPr>
        <w:pStyle w:val="ListParagraph"/>
        <w:spacing w:after="120"/>
        <w:ind w:left="0"/>
        <w:contextualSpacing w:val="0"/>
        <w:jc w:val="both"/>
        <w:rPr>
          <w:rFonts w:ascii="Arial" w:hAnsi="Arial" w:cs="Arial"/>
          <w:sz w:val="20"/>
          <w:szCs w:val="20"/>
        </w:rPr>
      </w:pPr>
      <w:r>
        <w:rPr>
          <w:rFonts w:ascii="Arial" w:hAnsi="Arial" w:cs="Arial"/>
          <w:sz w:val="20"/>
          <w:szCs w:val="20"/>
          <w:lang w:val="bg-BG"/>
        </w:rPr>
        <w:t xml:space="preserve">Важността на </w:t>
      </w:r>
      <w:r w:rsidR="00BB4588">
        <w:rPr>
          <w:rFonts w:ascii="Arial" w:hAnsi="Arial" w:cs="Arial"/>
          <w:sz w:val="20"/>
          <w:szCs w:val="20"/>
          <w:lang w:val="bg-BG"/>
        </w:rPr>
        <w:t>финансови</w:t>
      </w:r>
      <w:r>
        <w:rPr>
          <w:rFonts w:ascii="Arial" w:hAnsi="Arial" w:cs="Arial"/>
          <w:sz w:val="20"/>
          <w:szCs w:val="20"/>
          <w:lang w:val="bg-BG"/>
        </w:rPr>
        <w:t>те</w:t>
      </w:r>
      <w:r w:rsidR="00BB4588">
        <w:rPr>
          <w:rFonts w:ascii="Arial" w:hAnsi="Arial" w:cs="Arial"/>
          <w:sz w:val="20"/>
          <w:szCs w:val="20"/>
          <w:lang w:val="bg-BG"/>
        </w:rPr>
        <w:t xml:space="preserve"> </w:t>
      </w:r>
      <w:r w:rsidR="00BB4588" w:rsidRPr="00BB4588">
        <w:rPr>
          <w:rFonts w:ascii="Arial" w:hAnsi="Arial" w:cs="Arial"/>
          <w:sz w:val="20"/>
          <w:szCs w:val="20"/>
          <w:lang w:val="bg-BG"/>
        </w:rPr>
        <w:t>инструменти (ФИ</w:t>
      </w:r>
      <w:r w:rsidR="00A52878" w:rsidRPr="00BB4588">
        <w:rPr>
          <w:rFonts w:ascii="Arial" w:hAnsi="Arial" w:cs="Arial"/>
          <w:sz w:val="20"/>
          <w:szCs w:val="20"/>
          <w:lang w:val="bg-BG"/>
        </w:rPr>
        <w:t>)</w:t>
      </w:r>
      <w:r>
        <w:rPr>
          <w:rFonts w:ascii="Arial" w:hAnsi="Arial" w:cs="Arial"/>
          <w:sz w:val="20"/>
          <w:szCs w:val="20"/>
          <w:lang w:val="bg-BG"/>
        </w:rPr>
        <w:t xml:space="preserve"> се увеличава значително </w:t>
      </w:r>
      <w:r w:rsidR="00BB4588" w:rsidRPr="00BB4588">
        <w:rPr>
          <w:rFonts w:ascii="Arial" w:hAnsi="Arial" w:cs="Arial"/>
          <w:sz w:val="20"/>
          <w:szCs w:val="20"/>
          <w:lang w:val="bg-BG"/>
        </w:rPr>
        <w:t>през програмния п</w:t>
      </w:r>
      <w:r w:rsidR="00BB4588">
        <w:rPr>
          <w:rFonts w:ascii="Arial" w:hAnsi="Arial" w:cs="Arial"/>
          <w:sz w:val="20"/>
          <w:szCs w:val="20"/>
          <w:lang w:val="bg-BG"/>
        </w:rPr>
        <w:t>ериод</w:t>
      </w:r>
      <w:r w:rsidR="00BB4588" w:rsidRPr="00314448">
        <w:rPr>
          <w:rFonts w:ascii="Arial" w:hAnsi="Arial" w:cs="Arial"/>
          <w:sz w:val="20"/>
          <w:szCs w:val="20"/>
        </w:rPr>
        <w:t xml:space="preserve"> 2014-2020</w:t>
      </w:r>
      <w:r w:rsidR="00BB4588">
        <w:rPr>
          <w:rFonts w:ascii="Arial" w:hAnsi="Arial" w:cs="Arial"/>
          <w:sz w:val="20"/>
          <w:szCs w:val="20"/>
          <w:lang w:val="bg-BG"/>
        </w:rPr>
        <w:t xml:space="preserve"> г.</w:t>
      </w:r>
      <w:r w:rsidR="00D80F90" w:rsidRPr="00314448">
        <w:rPr>
          <w:rFonts w:ascii="Arial" w:hAnsi="Arial" w:cs="Arial"/>
          <w:sz w:val="20"/>
          <w:szCs w:val="20"/>
        </w:rPr>
        <w:t xml:space="preserve"> </w:t>
      </w:r>
      <w:r>
        <w:rPr>
          <w:rFonts w:ascii="Arial" w:hAnsi="Arial" w:cs="Arial"/>
          <w:sz w:val="20"/>
          <w:szCs w:val="20"/>
          <w:lang w:val="bg-BG"/>
        </w:rPr>
        <w:t xml:space="preserve">Използването на </w:t>
      </w:r>
      <w:r w:rsidR="00BB4588">
        <w:rPr>
          <w:rFonts w:ascii="Arial" w:hAnsi="Arial" w:cs="Arial"/>
          <w:sz w:val="20"/>
          <w:szCs w:val="20"/>
          <w:lang w:val="bg-BG"/>
        </w:rPr>
        <w:t>ФИ</w:t>
      </w:r>
      <w:r w:rsidR="00A52878">
        <w:rPr>
          <w:rFonts w:ascii="Arial" w:hAnsi="Arial" w:cs="Arial"/>
          <w:sz w:val="20"/>
          <w:szCs w:val="20"/>
        </w:rPr>
        <w:t xml:space="preserve"> </w:t>
      </w:r>
      <w:r w:rsidR="00BB4588">
        <w:rPr>
          <w:rFonts w:ascii="Arial" w:hAnsi="Arial" w:cs="Arial"/>
          <w:sz w:val="20"/>
          <w:szCs w:val="20"/>
          <w:lang w:val="bg-BG"/>
        </w:rPr>
        <w:t>с</w:t>
      </w:r>
      <w:r>
        <w:rPr>
          <w:rFonts w:ascii="Arial" w:hAnsi="Arial" w:cs="Arial"/>
          <w:sz w:val="20"/>
          <w:szCs w:val="20"/>
          <w:lang w:val="bg-BG"/>
        </w:rPr>
        <w:t>е счита</w:t>
      </w:r>
      <w:r w:rsidR="00BB4588">
        <w:rPr>
          <w:rFonts w:ascii="Arial" w:hAnsi="Arial" w:cs="Arial"/>
          <w:sz w:val="20"/>
          <w:szCs w:val="20"/>
          <w:lang w:val="bg-BG"/>
        </w:rPr>
        <w:t xml:space="preserve"> за ефективен начин за разпределяне на публичен ресурс, включително и средствата от Европейските структурни и инвестиционни фондове (ЕСИФ).</w:t>
      </w:r>
      <w:r w:rsidR="00D408A4">
        <w:rPr>
          <w:rFonts w:ascii="Arial" w:hAnsi="Arial" w:cs="Arial"/>
          <w:sz w:val="20"/>
          <w:szCs w:val="20"/>
        </w:rPr>
        <w:t xml:space="preserve"> </w:t>
      </w:r>
    </w:p>
    <w:p w14:paraId="114577E0" w14:textId="77777777" w:rsidR="002864AE" w:rsidRDefault="00BB4588" w:rsidP="002864AE">
      <w:pPr>
        <w:pStyle w:val="ListParagraph"/>
        <w:spacing w:after="120"/>
        <w:ind w:left="0"/>
        <w:contextualSpacing w:val="0"/>
        <w:jc w:val="both"/>
        <w:rPr>
          <w:rFonts w:ascii="Arial" w:hAnsi="Arial" w:cs="Arial"/>
          <w:sz w:val="20"/>
          <w:szCs w:val="20"/>
        </w:rPr>
      </w:pPr>
      <w:r>
        <w:rPr>
          <w:rFonts w:ascii="Arial" w:hAnsi="Arial" w:cs="Arial"/>
          <w:sz w:val="20"/>
          <w:szCs w:val="20"/>
          <w:lang w:val="bg-BG"/>
        </w:rPr>
        <w:t>През програмния период 2007-2013 г. управляващите органи (УО</w:t>
      </w:r>
      <w:r w:rsidR="00244FC3">
        <w:rPr>
          <w:rFonts w:ascii="Arial" w:hAnsi="Arial" w:cs="Arial"/>
          <w:sz w:val="20"/>
          <w:szCs w:val="20"/>
          <w:lang w:val="bg-BG"/>
        </w:rPr>
        <w:t>) в България използваха</w:t>
      </w:r>
      <w:r w:rsidRPr="00BB4588">
        <w:rPr>
          <w:rFonts w:ascii="Arial" w:hAnsi="Arial" w:cs="Arial"/>
          <w:sz w:val="20"/>
          <w:szCs w:val="20"/>
          <w:lang w:val="bg-BG"/>
        </w:rPr>
        <w:t xml:space="preserve"> Структурни</w:t>
      </w:r>
      <w:r>
        <w:rPr>
          <w:rFonts w:ascii="Arial" w:hAnsi="Arial" w:cs="Arial"/>
          <w:sz w:val="20"/>
          <w:szCs w:val="20"/>
          <w:lang w:val="bg-BG"/>
        </w:rPr>
        <w:t xml:space="preserve"> фондове, с </w:t>
      </w:r>
      <w:r w:rsidRPr="00CE4502">
        <w:rPr>
          <w:rFonts w:ascii="Arial" w:hAnsi="Arial" w:cs="Arial"/>
          <w:sz w:val="20"/>
          <w:szCs w:val="20"/>
          <w:lang w:val="bg-BG"/>
        </w:rPr>
        <w:t>подкрепата на Европейския фонд за регионално развитие (ЕФРР), за</w:t>
      </w:r>
      <w:r>
        <w:rPr>
          <w:rFonts w:ascii="Arial" w:hAnsi="Arial" w:cs="Arial"/>
          <w:sz w:val="20"/>
          <w:szCs w:val="20"/>
          <w:lang w:val="bg-BG"/>
        </w:rPr>
        <w:t xml:space="preserve"> да създадат и приложат ФИ по две Оперативни програми (ОП), а именно ОП „Регионално развитие</w:t>
      </w:r>
      <w:r w:rsidR="00CE4502">
        <w:rPr>
          <w:rFonts w:ascii="Arial" w:hAnsi="Arial" w:cs="Arial"/>
          <w:sz w:val="20"/>
          <w:szCs w:val="20"/>
          <w:lang w:val="bg-BG"/>
        </w:rPr>
        <w:t>“</w:t>
      </w:r>
      <w:r>
        <w:rPr>
          <w:rFonts w:ascii="Arial" w:hAnsi="Arial" w:cs="Arial"/>
          <w:sz w:val="20"/>
          <w:szCs w:val="20"/>
          <w:lang w:val="bg-BG"/>
        </w:rPr>
        <w:t xml:space="preserve"> (</w:t>
      </w:r>
      <w:r w:rsidR="00D07791">
        <w:rPr>
          <w:rFonts w:ascii="Arial" w:hAnsi="Arial" w:cs="Arial"/>
          <w:sz w:val="20"/>
          <w:szCs w:val="20"/>
          <w:lang w:val="bg-BG"/>
        </w:rPr>
        <w:t xml:space="preserve">по инициативата </w:t>
      </w:r>
      <w:r w:rsidR="002864AE" w:rsidRPr="00314448">
        <w:rPr>
          <w:rFonts w:ascii="Arial" w:hAnsi="Arial" w:cs="Arial"/>
          <w:sz w:val="20"/>
          <w:szCs w:val="20"/>
        </w:rPr>
        <w:t xml:space="preserve">JESSICA) </w:t>
      </w:r>
      <w:r>
        <w:rPr>
          <w:rFonts w:ascii="Arial" w:hAnsi="Arial" w:cs="Arial"/>
          <w:sz w:val="20"/>
          <w:szCs w:val="20"/>
          <w:lang w:val="bg-BG"/>
        </w:rPr>
        <w:t>и</w:t>
      </w:r>
      <w:r w:rsidR="002864AE" w:rsidRPr="00314448">
        <w:rPr>
          <w:rFonts w:ascii="Arial" w:hAnsi="Arial" w:cs="Arial"/>
          <w:sz w:val="20"/>
          <w:szCs w:val="20"/>
        </w:rPr>
        <w:t xml:space="preserve"> </w:t>
      </w:r>
      <w:r>
        <w:rPr>
          <w:rFonts w:ascii="Arial" w:hAnsi="Arial" w:cs="Arial"/>
          <w:sz w:val="20"/>
          <w:szCs w:val="20"/>
          <w:lang w:val="bg-BG"/>
        </w:rPr>
        <w:t>ОП „Конкурентоспособност“</w:t>
      </w:r>
      <w:r w:rsidR="002864AE" w:rsidRPr="00314448">
        <w:rPr>
          <w:rFonts w:ascii="Arial" w:hAnsi="Arial" w:cs="Arial"/>
          <w:sz w:val="20"/>
          <w:szCs w:val="20"/>
        </w:rPr>
        <w:t xml:space="preserve"> (</w:t>
      </w:r>
      <w:r w:rsidR="00D07791">
        <w:rPr>
          <w:rFonts w:ascii="Arial" w:hAnsi="Arial" w:cs="Arial"/>
          <w:sz w:val="20"/>
          <w:szCs w:val="20"/>
          <w:lang w:val="bg-BG"/>
        </w:rPr>
        <w:t xml:space="preserve">по инициативата </w:t>
      </w:r>
      <w:r w:rsidR="002864AE" w:rsidRPr="00314448">
        <w:rPr>
          <w:rFonts w:ascii="Arial" w:hAnsi="Arial" w:cs="Arial"/>
          <w:sz w:val="20"/>
          <w:szCs w:val="20"/>
        </w:rPr>
        <w:t xml:space="preserve">JEREMIE). </w:t>
      </w:r>
      <w:r>
        <w:rPr>
          <w:rFonts w:ascii="Arial" w:hAnsi="Arial" w:cs="Arial"/>
          <w:sz w:val="20"/>
          <w:szCs w:val="20"/>
          <w:lang w:val="bg-BG"/>
        </w:rPr>
        <w:t>През текущия програмен период</w:t>
      </w:r>
      <w:r w:rsidR="002864AE" w:rsidRPr="00314448">
        <w:rPr>
          <w:rFonts w:ascii="Arial" w:hAnsi="Arial" w:cs="Arial"/>
          <w:sz w:val="20"/>
          <w:szCs w:val="20"/>
        </w:rPr>
        <w:t xml:space="preserve"> 2014-2020</w:t>
      </w:r>
      <w:r w:rsidR="002B371A">
        <w:rPr>
          <w:rFonts w:ascii="Arial" w:hAnsi="Arial" w:cs="Arial"/>
          <w:sz w:val="20"/>
          <w:szCs w:val="20"/>
          <w:lang w:val="bg-BG"/>
        </w:rPr>
        <w:t xml:space="preserve"> г.</w:t>
      </w:r>
      <w:r w:rsidR="00E55F93">
        <w:rPr>
          <w:rFonts w:ascii="Arial" w:hAnsi="Arial" w:cs="Arial"/>
          <w:sz w:val="20"/>
          <w:szCs w:val="20"/>
          <w:lang w:val="bg-BG"/>
        </w:rPr>
        <w:t>,</w:t>
      </w:r>
      <w:r w:rsidR="002864AE" w:rsidRPr="00314448">
        <w:rPr>
          <w:rFonts w:ascii="Arial" w:hAnsi="Arial" w:cs="Arial"/>
          <w:sz w:val="20"/>
          <w:szCs w:val="20"/>
        </w:rPr>
        <w:t xml:space="preserve"> </w:t>
      </w:r>
      <w:r>
        <w:rPr>
          <w:rFonts w:ascii="Arial" w:hAnsi="Arial" w:cs="Arial"/>
          <w:sz w:val="20"/>
          <w:szCs w:val="20"/>
          <w:lang w:val="bg-BG"/>
        </w:rPr>
        <w:t>Споразумението за партньорство между България и ЕС пре</w:t>
      </w:r>
      <w:r w:rsidR="00244FC3">
        <w:rPr>
          <w:rFonts w:ascii="Arial" w:hAnsi="Arial" w:cs="Arial"/>
          <w:sz w:val="20"/>
          <w:szCs w:val="20"/>
          <w:lang w:val="bg-BG"/>
        </w:rPr>
        <w:t>движда разширена роля на ФИ по четири</w:t>
      </w:r>
      <w:r>
        <w:rPr>
          <w:rFonts w:ascii="Arial" w:hAnsi="Arial" w:cs="Arial"/>
          <w:sz w:val="20"/>
          <w:szCs w:val="20"/>
          <w:lang w:val="bg-BG"/>
        </w:rPr>
        <w:t xml:space="preserve"> ОП, включително ОП „Околна среда“ </w:t>
      </w:r>
      <w:r w:rsidR="00BB0F0D">
        <w:rPr>
          <w:rFonts w:ascii="Arial" w:hAnsi="Arial" w:cs="Arial"/>
          <w:sz w:val="20"/>
          <w:szCs w:val="20"/>
        </w:rPr>
        <w:t xml:space="preserve">2014-2020 </w:t>
      </w:r>
      <w:r w:rsidR="00BB0F0D">
        <w:rPr>
          <w:rFonts w:ascii="Arial" w:hAnsi="Arial" w:cs="Arial"/>
          <w:sz w:val="20"/>
          <w:szCs w:val="20"/>
          <w:lang w:val="bg-BG"/>
        </w:rPr>
        <w:t>г.</w:t>
      </w:r>
      <w:r>
        <w:rPr>
          <w:rFonts w:ascii="Arial" w:hAnsi="Arial" w:cs="Arial"/>
          <w:sz w:val="20"/>
          <w:szCs w:val="20"/>
          <w:lang w:val="bg-BG"/>
        </w:rPr>
        <w:t xml:space="preserve">(ОПОС). </w:t>
      </w:r>
    </w:p>
    <w:p w14:paraId="31147CC8" w14:textId="77777777" w:rsidR="00AF2BCD" w:rsidRPr="00314448" w:rsidRDefault="00CE4502" w:rsidP="00AF2BCD">
      <w:pPr>
        <w:pStyle w:val="ListParagraph"/>
        <w:spacing w:after="120"/>
        <w:ind w:left="0"/>
        <w:contextualSpacing w:val="0"/>
        <w:jc w:val="both"/>
        <w:rPr>
          <w:rFonts w:ascii="Arial" w:hAnsi="Arial" w:cs="Arial"/>
          <w:sz w:val="20"/>
          <w:szCs w:val="20"/>
        </w:rPr>
      </w:pPr>
      <w:r>
        <w:rPr>
          <w:rFonts w:ascii="Arial" w:hAnsi="Arial" w:cs="Arial"/>
          <w:sz w:val="20"/>
          <w:szCs w:val="20"/>
          <w:lang w:val="bg-BG"/>
        </w:rPr>
        <w:t xml:space="preserve">Българското правителство е взело решение да </w:t>
      </w:r>
      <w:r w:rsidR="00244FC3">
        <w:rPr>
          <w:rFonts w:ascii="Arial" w:hAnsi="Arial" w:cs="Arial"/>
          <w:sz w:val="20"/>
          <w:szCs w:val="20"/>
          <w:lang w:val="bg-BG"/>
        </w:rPr>
        <w:t>прилага</w:t>
      </w:r>
      <w:r>
        <w:rPr>
          <w:rFonts w:ascii="Arial" w:hAnsi="Arial" w:cs="Arial"/>
          <w:sz w:val="20"/>
          <w:szCs w:val="20"/>
          <w:lang w:val="bg-BG"/>
        </w:rPr>
        <w:t xml:space="preserve"> ФИ чрез структуриране на Фонд на фондове.</w:t>
      </w:r>
      <w:r w:rsidR="00AF2BCD" w:rsidRPr="00314448">
        <w:rPr>
          <w:rFonts w:ascii="Arial" w:hAnsi="Arial" w:cs="Arial"/>
          <w:sz w:val="20"/>
          <w:szCs w:val="20"/>
        </w:rPr>
        <w:t xml:space="preserve"> </w:t>
      </w:r>
      <w:r w:rsidRPr="0050692D">
        <w:rPr>
          <w:rFonts w:ascii="Arial" w:hAnsi="Arial" w:cs="Arial"/>
          <w:sz w:val="20"/>
          <w:szCs w:val="20"/>
          <w:lang w:val="bg-BG"/>
        </w:rPr>
        <w:t>"Фонд мениджър на финансовите инструменти в България"</w:t>
      </w:r>
      <w:r w:rsidR="00836C27" w:rsidRPr="00836C27">
        <w:rPr>
          <w:rFonts w:ascii="Arial" w:hAnsi="Arial" w:cs="Arial"/>
          <w:sz w:val="20"/>
          <w:szCs w:val="20"/>
        </w:rPr>
        <w:t xml:space="preserve"> </w:t>
      </w:r>
      <w:r>
        <w:rPr>
          <w:rFonts w:ascii="Arial" w:hAnsi="Arial" w:cs="Arial"/>
          <w:sz w:val="20"/>
          <w:szCs w:val="20"/>
          <w:lang w:val="bg-BG"/>
        </w:rPr>
        <w:t>ЕАД</w:t>
      </w:r>
      <w:r w:rsidR="00836C27" w:rsidRPr="00836C27">
        <w:rPr>
          <w:rFonts w:ascii="Arial" w:hAnsi="Arial" w:cs="Arial"/>
          <w:sz w:val="20"/>
          <w:szCs w:val="20"/>
        </w:rPr>
        <w:t xml:space="preserve"> (</w:t>
      </w:r>
      <w:r w:rsidR="0050692D">
        <w:rPr>
          <w:rFonts w:ascii="Arial" w:hAnsi="Arial" w:cs="Arial"/>
          <w:sz w:val="20"/>
          <w:szCs w:val="20"/>
          <w:lang w:val="bg-BG"/>
        </w:rPr>
        <w:t>ФМФИБ</w:t>
      </w:r>
      <w:r w:rsidR="00836C27" w:rsidRPr="00836C27">
        <w:rPr>
          <w:rFonts w:ascii="Arial" w:hAnsi="Arial" w:cs="Arial"/>
          <w:sz w:val="20"/>
          <w:szCs w:val="20"/>
        </w:rPr>
        <w:t>)</w:t>
      </w:r>
      <w:r w:rsidR="000534BF">
        <w:rPr>
          <w:rStyle w:val="FootnoteReference"/>
          <w:rFonts w:ascii="Arial" w:hAnsi="Arial" w:cs="Arial"/>
          <w:sz w:val="20"/>
          <w:szCs w:val="20"/>
        </w:rPr>
        <w:footnoteReference w:id="2"/>
      </w:r>
      <w:r w:rsidR="00836C27" w:rsidRPr="00836C27">
        <w:rPr>
          <w:rFonts w:ascii="Arial" w:hAnsi="Arial" w:cs="Arial"/>
          <w:sz w:val="20"/>
          <w:szCs w:val="20"/>
        </w:rPr>
        <w:t xml:space="preserve"> </w:t>
      </w:r>
      <w:r w:rsidR="00B56ECA">
        <w:rPr>
          <w:rFonts w:ascii="Arial" w:hAnsi="Arial" w:cs="Arial"/>
          <w:sz w:val="20"/>
          <w:szCs w:val="20"/>
          <w:lang w:val="bg-BG"/>
        </w:rPr>
        <w:t xml:space="preserve">е дружеството, което ще </w:t>
      </w:r>
      <w:r w:rsidR="009C2F3F">
        <w:rPr>
          <w:rFonts w:ascii="Arial" w:hAnsi="Arial" w:cs="Arial"/>
          <w:sz w:val="20"/>
          <w:szCs w:val="20"/>
          <w:lang w:val="bg-BG"/>
        </w:rPr>
        <w:t xml:space="preserve">бъде отговорно за прилагането и изпълнението на </w:t>
      </w:r>
      <w:r w:rsidR="00B56ECA">
        <w:rPr>
          <w:rFonts w:ascii="Arial" w:hAnsi="Arial" w:cs="Arial"/>
          <w:sz w:val="20"/>
          <w:szCs w:val="20"/>
          <w:lang w:val="bg-BG"/>
        </w:rPr>
        <w:t xml:space="preserve">ФИ от името на УО на споменатите по-горе ОП, в </w:t>
      </w:r>
      <w:r w:rsidR="00AB4063">
        <w:rPr>
          <w:rFonts w:ascii="Arial" w:hAnsi="Arial" w:cs="Arial"/>
          <w:sz w:val="20"/>
          <w:szCs w:val="20"/>
          <w:lang w:val="bg-BG"/>
        </w:rPr>
        <w:t>съответствие с изискванията на ч</w:t>
      </w:r>
      <w:r w:rsidR="00B56ECA">
        <w:rPr>
          <w:rFonts w:ascii="Arial" w:hAnsi="Arial" w:cs="Arial"/>
          <w:sz w:val="20"/>
          <w:szCs w:val="20"/>
          <w:lang w:val="bg-BG"/>
        </w:rPr>
        <w:t xml:space="preserve">л. 38 (4) </w:t>
      </w:r>
      <w:r w:rsidR="00E55F93" w:rsidRPr="00E55F93">
        <w:rPr>
          <w:rFonts w:ascii="Arial" w:hAnsi="Arial" w:cs="Arial"/>
          <w:sz w:val="20"/>
          <w:szCs w:val="20"/>
          <w:lang w:val="bg-BG"/>
        </w:rPr>
        <w:t xml:space="preserve">б. „б“,  iii) </w:t>
      </w:r>
      <w:r w:rsidR="00B56ECA">
        <w:rPr>
          <w:rFonts w:ascii="Arial" w:hAnsi="Arial" w:cs="Arial"/>
          <w:sz w:val="20"/>
          <w:szCs w:val="20"/>
          <w:lang w:val="bg-BG"/>
        </w:rPr>
        <w:t xml:space="preserve">от </w:t>
      </w:r>
      <w:r w:rsidR="00B56ECA" w:rsidRPr="00B56ECA">
        <w:rPr>
          <w:rFonts w:ascii="Arial" w:hAnsi="Arial" w:cs="Arial"/>
          <w:sz w:val="20"/>
          <w:szCs w:val="20"/>
          <w:lang w:val="bg-BG"/>
        </w:rPr>
        <w:t>Регламент (ЕС) № 1303/2013</w:t>
      </w:r>
      <w:r w:rsidR="00B56ECA">
        <w:rPr>
          <w:rStyle w:val="FootnoteReference"/>
          <w:rFonts w:ascii="Arial" w:hAnsi="Arial" w:cs="Arial"/>
          <w:sz w:val="20"/>
          <w:szCs w:val="20"/>
          <w:lang w:val="bg-BG"/>
        </w:rPr>
        <w:footnoteReference w:id="3"/>
      </w:r>
      <w:r w:rsidR="00836C27">
        <w:rPr>
          <w:rFonts w:ascii="Arial" w:hAnsi="Arial" w:cs="Arial"/>
          <w:sz w:val="20"/>
          <w:szCs w:val="20"/>
        </w:rPr>
        <w:t xml:space="preserve">. </w:t>
      </w:r>
      <w:r w:rsidR="00B56ECA">
        <w:rPr>
          <w:rFonts w:ascii="Arial" w:hAnsi="Arial" w:cs="Arial"/>
          <w:sz w:val="20"/>
          <w:szCs w:val="20"/>
          <w:lang w:val="bg-BG"/>
        </w:rPr>
        <w:t xml:space="preserve">Предвидените по ОПОС </w:t>
      </w:r>
      <w:r w:rsidR="001D614F">
        <w:rPr>
          <w:rFonts w:ascii="Arial" w:hAnsi="Arial" w:cs="Arial"/>
          <w:sz w:val="20"/>
          <w:szCs w:val="20"/>
          <w:lang w:val="en-US"/>
        </w:rPr>
        <w:t xml:space="preserve">2014 – 2020 </w:t>
      </w:r>
      <w:r w:rsidR="00115800">
        <w:rPr>
          <w:rFonts w:ascii="Arial" w:hAnsi="Arial" w:cs="Arial"/>
          <w:sz w:val="20"/>
          <w:szCs w:val="20"/>
          <w:lang w:val="bg-BG"/>
        </w:rPr>
        <w:t xml:space="preserve">г. </w:t>
      </w:r>
      <w:r w:rsidR="00B56ECA">
        <w:rPr>
          <w:rFonts w:ascii="Arial" w:hAnsi="Arial" w:cs="Arial"/>
          <w:sz w:val="20"/>
          <w:szCs w:val="20"/>
          <w:lang w:val="bg-BG"/>
        </w:rPr>
        <w:t>и препоръчаните от настоящата Инвестиционна стратегия (ИС) ФИ</w:t>
      </w:r>
      <w:r w:rsidR="00AF2BCD" w:rsidRPr="00314448">
        <w:rPr>
          <w:rFonts w:ascii="Arial" w:hAnsi="Arial" w:cs="Arial"/>
          <w:sz w:val="20"/>
          <w:szCs w:val="20"/>
        </w:rPr>
        <w:t xml:space="preserve"> </w:t>
      </w:r>
      <w:r w:rsidR="00B56ECA">
        <w:rPr>
          <w:rFonts w:ascii="Arial" w:hAnsi="Arial" w:cs="Arial"/>
          <w:sz w:val="20"/>
          <w:szCs w:val="20"/>
          <w:lang w:val="bg-BG"/>
        </w:rPr>
        <w:t xml:space="preserve">ще бъдат </w:t>
      </w:r>
      <w:r w:rsidR="00244FC3">
        <w:rPr>
          <w:rFonts w:ascii="Arial" w:hAnsi="Arial" w:cs="Arial"/>
          <w:sz w:val="20"/>
          <w:szCs w:val="20"/>
          <w:lang w:val="bg-BG"/>
        </w:rPr>
        <w:t>структурирани</w:t>
      </w:r>
      <w:r w:rsidR="00B56ECA">
        <w:rPr>
          <w:rFonts w:ascii="Arial" w:hAnsi="Arial" w:cs="Arial"/>
          <w:sz w:val="20"/>
          <w:szCs w:val="20"/>
          <w:lang w:val="bg-BG"/>
        </w:rPr>
        <w:t xml:space="preserve"> на национално ниво и ще бъдат управлявани от ФМФИБ в съответствие с условията на </w:t>
      </w:r>
      <w:r w:rsidR="006A18AB">
        <w:rPr>
          <w:rFonts w:ascii="Arial" w:hAnsi="Arial" w:cs="Arial"/>
          <w:sz w:val="20"/>
          <w:szCs w:val="20"/>
          <w:lang w:val="bg-BG"/>
        </w:rPr>
        <w:t>Финансово</w:t>
      </w:r>
      <w:r w:rsidR="00244FC3">
        <w:rPr>
          <w:rFonts w:ascii="Arial" w:hAnsi="Arial" w:cs="Arial"/>
          <w:sz w:val="20"/>
          <w:szCs w:val="20"/>
          <w:lang w:val="bg-BG"/>
        </w:rPr>
        <w:t>то</w:t>
      </w:r>
      <w:r w:rsidR="006A18AB">
        <w:rPr>
          <w:rFonts w:ascii="Arial" w:hAnsi="Arial" w:cs="Arial"/>
          <w:sz w:val="20"/>
          <w:szCs w:val="20"/>
          <w:lang w:val="bg-BG"/>
        </w:rPr>
        <w:t xml:space="preserve"> споразумение</w:t>
      </w:r>
      <w:r w:rsidR="00AF2BCD">
        <w:rPr>
          <w:rFonts w:ascii="Arial" w:hAnsi="Arial" w:cs="Arial"/>
          <w:sz w:val="20"/>
          <w:szCs w:val="20"/>
        </w:rPr>
        <w:t>.</w:t>
      </w:r>
      <w:r w:rsidR="00AF2BCD" w:rsidRPr="00314448">
        <w:rPr>
          <w:rFonts w:ascii="Arial" w:hAnsi="Arial" w:cs="Arial"/>
          <w:sz w:val="20"/>
          <w:szCs w:val="20"/>
        </w:rPr>
        <w:t xml:space="preserve"> </w:t>
      </w:r>
    </w:p>
    <w:p w14:paraId="7A03C52B" w14:textId="77777777" w:rsidR="00560D87" w:rsidRDefault="006A18AB" w:rsidP="002864AE">
      <w:pPr>
        <w:pStyle w:val="ListParagraph"/>
        <w:spacing w:after="120"/>
        <w:ind w:left="0"/>
        <w:contextualSpacing w:val="0"/>
        <w:jc w:val="both"/>
        <w:rPr>
          <w:rFonts w:ascii="Arial" w:hAnsi="Arial" w:cs="Arial"/>
          <w:sz w:val="20"/>
          <w:szCs w:val="20"/>
        </w:rPr>
      </w:pPr>
      <w:r>
        <w:rPr>
          <w:rFonts w:ascii="Arial" w:hAnsi="Arial" w:cs="Arial"/>
          <w:sz w:val="20"/>
          <w:szCs w:val="20"/>
          <w:lang w:val="bg-BG"/>
        </w:rPr>
        <w:t>През м. септември 2014 г.</w:t>
      </w:r>
      <w:r w:rsidR="009E1CB8">
        <w:rPr>
          <w:rFonts w:ascii="Arial" w:hAnsi="Arial" w:cs="Arial"/>
          <w:sz w:val="20"/>
          <w:szCs w:val="20"/>
        </w:rPr>
        <w:t xml:space="preserve"> </w:t>
      </w:r>
      <w:r>
        <w:rPr>
          <w:rFonts w:ascii="Arial" w:hAnsi="Arial" w:cs="Arial"/>
          <w:sz w:val="20"/>
          <w:szCs w:val="20"/>
          <w:lang w:val="bg-BG"/>
        </w:rPr>
        <w:t>е извършена Предварителна оценка на финансови инструменти по ОПОС 2014</w:t>
      </w:r>
      <w:r w:rsidR="00244FC3">
        <w:rPr>
          <w:rFonts w:ascii="Arial" w:hAnsi="Arial" w:cs="Arial"/>
          <w:sz w:val="20"/>
          <w:szCs w:val="20"/>
          <w:lang w:val="bg-BG"/>
        </w:rPr>
        <w:t>-2020 г.</w:t>
      </w:r>
      <w:r w:rsidR="00C33BC6">
        <w:rPr>
          <w:rStyle w:val="FootnoteReference"/>
          <w:rFonts w:ascii="Arial" w:hAnsi="Arial" w:cs="Arial"/>
          <w:sz w:val="20"/>
          <w:szCs w:val="20"/>
        </w:rPr>
        <w:footnoteReference w:id="4"/>
      </w:r>
      <w:r w:rsidR="00D408A4">
        <w:rPr>
          <w:rFonts w:ascii="Arial" w:hAnsi="Arial" w:cs="Arial"/>
          <w:sz w:val="20"/>
          <w:szCs w:val="20"/>
        </w:rPr>
        <w:t xml:space="preserve">, </w:t>
      </w:r>
      <w:r>
        <w:rPr>
          <w:rFonts w:ascii="Arial" w:hAnsi="Arial" w:cs="Arial"/>
          <w:sz w:val="20"/>
          <w:szCs w:val="20"/>
          <w:lang w:val="bg-BG"/>
        </w:rPr>
        <w:t>която идентифицира неоптимални инвестиционни ситуации</w:t>
      </w:r>
      <w:r w:rsidR="00E55F93">
        <w:rPr>
          <w:rFonts w:ascii="Arial" w:hAnsi="Arial" w:cs="Arial"/>
          <w:sz w:val="20"/>
          <w:szCs w:val="20"/>
          <w:lang w:val="bg-BG"/>
        </w:rPr>
        <w:t>, даващи основание за предоставяне на подкрепа чрез ФИ</w:t>
      </w:r>
      <w:r>
        <w:rPr>
          <w:rFonts w:ascii="Arial" w:hAnsi="Arial" w:cs="Arial"/>
          <w:sz w:val="20"/>
          <w:szCs w:val="20"/>
          <w:lang w:val="bg-BG"/>
        </w:rPr>
        <w:t xml:space="preserve"> по две от Приоритетните оси на ОПОС - </w:t>
      </w:r>
      <w:r w:rsidR="00E5543B">
        <w:rPr>
          <w:rFonts w:ascii="Arial" w:hAnsi="Arial" w:cs="Arial"/>
          <w:sz w:val="20"/>
          <w:szCs w:val="20"/>
        </w:rPr>
        <w:t xml:space="preserve"> </w:t>
      </w:r>
      <w:r>
        <w:rPr>
          <w:rFonts w:ascii="Arial" w:hAnsi="Arial" w:cs="Arial"/>
          <w:sz w:val="20"/>
          <w:szCs w:val="20"/>
          <w:lang w:val="bg-BG"/>
        </w:rPr>
        <w:t>ПО 1 „Води“ и ПО 2 „Отпадъци“</w:t>
      </w:r>
      <w:r w:rsidR="00D408A4">
        <w:rPr>
          <w:rFonts w:ascii="Arial" w:hAnsi="Arial" w:cs="Arial"/>
          <w:sz w:val="20"/>
          <w:szCs w:val="20"/>
        </w:rPr>
        <w:t>.</w:t>
      </w:r>
      <w:r w:rsidR="00E5543B">
        <w:rPr>
          <w:rFonts w:ascii="Arial" w:hAnsi="Arial" w:cs="Arial"/>
          <w:sz w:val="20"/>
          <w:szCs w:val="20"/>
        </w:rPr>
        <w:t xml:space="preserve"> </w:t>
      </w:r>
      <w:r w:rsidR="008F13B6">
        <w:rPr>
          <w:rFonts w:ascii="Arial" w:hAnsi="Arial" w:cs="Arial"/>
          <w:sz w:val="20"/>
          <w:szCs w:val="20"/>
          <w:lang w:val="bg-BG"/>
        </w:rPr>
        <w:t>Оценката</w:t>
      </w:r>
      <w:r>
        <w:rPr>
          <w:rFonts w:ascii="Arial" w:hAnsi="Arial" w:cs="Arial"/>
          <w:sz w:val="20"/>
          <w:szCs w:val="20"/>
          <w:lang w:val="bg-BG"/>
        </w:rPr>
        <w:t xml:space="preserve"> препоръчва използването на два вида финансови продукти – заеми и гаранции</w:t>
      </w:r>
      <w:r w:rsidR="009C2F3F">
        <w:rPr>
          <w:rFonts w:ascii="Arial" w:hAnsi="Arial" w:cs="Arial"/>
          <w:sz w:val="20"/>
          <w:szCs w:val="20"/>
          <w:lang w:val="bg-BG"/>
        </w:rPr>
        <w:t xml:space="preserve"> </w:t>
      </w:r>
      <w:r>
        <w:rPr>
          <w:rFonts w:ascii="Arial" w:hAnsi="Arial" w:cs="Arial"/>
          <w:sz w:val="20"/>
          <w:szCs w:val="20"/>
          <w:lang w:val="bg-BG"/>
        </w:rPr>
        <w:t xml:space="preserve">в сектор </w:t>
      </w:r>
      <w:r w:rsidR="00E55F93">
        <w:rPr>
          <w:rFonts w:ascii="Arial" w:hAnsi="Arial" w:cs="Arial"/>
          <w:sz w:val="20"/>
          <w:szCs w:val="20"/>
          <w:lang w:val="bg-BG"/>
        </w:rPr>
        <w:t>„В</w:t>
      </w:r>
      <w:r>
        <w:rPr>
          <w:rFonts w:ascii="Arial" w:hAnsi="Arial" w:cs="Arial"/>
          <w:sz w:val="20"/>
          <w:szCs w:val="20"/>
          <w:lang w:val="bg-BG"/>
        </w:rPr>
        <w:t>одоснабдяван</w:t>
      </w:r>
      <w:r w:rsidR="009C2F3F">
        <w:rPr>
          <w:rFonts w:ascii="Arial" w:hAnsi="Arial" w:cs="Arial"/>
          <w:sz w:val="20"/>
          <w:szCs w:val="20"/>
          <w:lang w:val="bg-BG"/>
        </w:rPr>
        <w:t>е и канализация</w:t>
      </w:r>
      <w:r w:rsidR="00E55F93">
        <w:rPr>
          <w:rFonts w:ascii="Arial" w:hAnsi="Arial" w:cs="Arial"/>
          <w:sz w:val="20"/>
          <w:szCs w:val="20"/>
          <w:lang w:val="bg-BG"/>
        </w:rPr>
        <w:t>“</w:t>
      </w:r>
      <w:r w:rsidR="009C2F3F">
        <w:rPr>
          <w:rFonts w:ascii="Arial" w:hAnsi="Arial" w:cs="Arial"/>
          <w:sz w:val="20"/>
          <w:szCs w:val="20"/>
          <w:lang w:val="bg-BG"/>
        </w:rPr>
        <w:t xml:space="preserve"> (ВиК</w:t>
      </w:r>
      <w:r w:rsidR="009C2F3F" w:rsidRPr="00C61DB5">
        <w:rPr>
          <w:rFonts w:ascii="Arial" w:hAnsi="Arial" w:cs="Arial"/>
          <w:sz w:val="20"/>
          <w:szCs w:val="20"/>
          <w:lang w:val="bg-BG"/>
        </w:rPr>
        <w:t>)</w:t>
      </w:r>
      <w:r w:rsidR="008F13B6" w:rsidRPr="00C61DB5">
        <w:rPr>
          <w:rFonts w:ascii="Arial" w:hAnsi="Arial" w:cs="Arial"/>
          <w:sz w:val="20"/>
          <w:szCs w:val="20"/>
          <w:lang w:val="bg-BG"/>
        </w:rPr>
        <w:t>,</w:t>
      </w:r>
      <w:r w:rsidR="008F13B6">
        <w:rPr>
          <w:rFonts w:ascii="Arial" w:hAnsi="Arial" w:cs="Arial"/>
          <w:sz w:val="20"/>
          <w:szCs w:val="20"/>
          <w:lang w:val="bg-BG"/>
        </w:rPr>
        <w:t xml:space="preserve"> които да бъдат използвани за смекчаването на неоптималните инвестиционни ситуации в сектора.</w:t>
      </w:r>
      <w:r>
        <w:rPr>
          <w:rFonts w:ascii="Arial" w:hAnsi="Arial" w:cs="Arial"/>
          <w:sz w:val="20"/>
          <w:szCs w:val="20"/>
          <w:lang w:val="bg-BG"/>
        </w:rPr>
        <w:t xml:space="preserve"> </w:t>
      </w:r>
    </w:p>
    <w:p w14:paraId="7DAFEB84" w14:textId="77777777" w:rsidR="00C33BC6" w:rsidRPr="008F13B6" w:rsidRDefault="008F13B6" w:rsidP="002864AE">
      <w:pPr>
        <w:pStyle w:val="ListParagraph"/>
        <w:spacing w:after="120"/>
        <w:ind w:left="0"/>
        <w:contextualSpacing w:val="0"/>
        <w:jc w:val="both"/>
        <w:rPr>
          <w:rFonts w:ascii="Arial" w:hAnsi="Arial" w:cs="Arial"/>
          <w:sz w:val="20"/>
          <w:szCs w:val="20"/>
          <w:lang w:val="bg-BG"/>
        </w:rPr>
      </w:pPr>
      <w:r w:rsidRPr="008F13B6">
        <w:rPr>
          <w:rFonts w:ascii="Arial" w:hAnsi="Arial" w:cs="Arial"/>
          <w:sz w:val="20"/>
          <w:szCs w:val="20"/>
          <w:lang w:val="bg-BG"/>
        </w:rPr>
        <w:t>След одобрението на ОПОС</w:t>
      </w:r>
      <w:r w:rsidR="00BB0F0D">
        <w:rPr>
          <w:rFonts w:ascii="Arial" w:hAnsi="Arial" w:cs="Arial"/>
          <w:sz w:val="20"/>
          <w:szCs w:val="20"/>
          <w:lang w:val="bg-BG"/>
        </w:rPr>
        <w:t xml:space="preserve"> 2014-2020 г.</w:t>
      </w:r>
      <w:r w:rsidRPr="008F13B6">
        <w:rPr>
          <w:rFonts w:ascii="Arial" w:hAnsi="Arial" w:cs="Arial"/>
          <w:sz w:val="20"/>
          <w:szCs w:val="20"/>
          <w:lang w:val="bg-BG"/>
        </w:rPr>
        <w:t xml:space="preserve"> през 2015 г.</w:t>
      </w:r>
      <w:r w:rsidR="00560D87" w:rsidRPr="008F13B6">
        <w:rPr>
          <w:rFonts w:ascii="Arial" w:hAnsi="Arial" w:cs="Arial"/>
          <w:sz w:val="20"/>
          <w:szCs w:val="20"/>
          <w:lang w:val="bg-BG"/>
        </w:rPr>
        <w:t xml:space="preserve">, </w:t>
      </w:r>
      <w:r w:rsidRPr="008F13B6">
        <w:rPr>
          <w:rFonts w:ascii="Arial" w:hAnsi="Arial" w:cs="Arial"/>
          <w:sz w:val="20"/>
          <w:szCs w:val="20"/>
          <w:lang w:val="bg-BG"/>
        </w:rPr>
        <w:t xml:space="preserve">е извършен пазарен анализ с ограничен обхват, с цел потвърждаване на резултатите от предварителната оценка и актуализиране на </w:t>
      </w:r>
      <w:r>
        <w:rPr>
          <w:rFonts w:ascii="Arial" w:hAnsi="Arial" w:cs="Arial"/>
          <w:sz w:val="20"/>
          <w:szCs w:val="20"/>
          <w:lang w:val="bg-BG"/>
        </w:rPr>
        <w:t xml:space="preserve">съдържащата се в оценката </w:t>
      </w:r>
      <w:r w:rsidRPr="008F13B6">
        <w:rPr>
          <w:rFonts w:ascii="Arial" w:hAnsi="Arial" w:cs="Arial"/>
          <w:sz w:val="20"/>
          <w:szCs w:val="20"/>
          <w:lang w:val="bg-BG"/>
        </w:rPr>
        <w:t>ИС</w:t>
      </w:r>
      <w:r w:rsidR="009E61DE">
        <w:rPr>
          <w:rFonts w:ascii="Arial" w:hAnsi="Arial" w:cs="Arial"/>
          <w:sz w:val="20"/>
          <w:szCs w:val="20"/>
        </w:rPr>
        <w:t xml:space="preserve">. </w:t>
      </w:r>
      <w:r w:rsidRPr="008F13B6">
        <w:rPr>
          <w:rFonts w:ascii="Arial" w:hAnsi="Arial" w:cs="Arial"/>
          <w:sz w:val="20"/>
          <w:szCs w:val="20"/>
          <w:lang w:val="bg-BG"/>
        </w:rPr>
        <w:t xml:space="preserve">Настоящата ИС също така взема предвид решението на българското правителство да създаде Фонд на фондовете и еднолично акционерно дружество с държавно участие в капитала, което да го управлява </w:t>
      </w:r>
      <w:r w:rsidR="004A2CF5" w:rsidRPr="008F13B6">
        <w:rPr>
          <w:rFonts w:ascii="Arial" w:hAnsi="Arial" w:cs="Arial"/>
          <w:sz w:val="20"/>
          <w:szCs w:val="20"/>
          <w:lang w:val="bg-BG"/>
        </w:rPr>
        <w:t>(</w:t>
      </w:r>
      <w:r w:rsidRPr="008F13B6">
        <w:rPr>
          <w:rFonts w:ascii="Arial" w:hAnsi="Arial" w:cs="Arial"/>
          <w:sz w:val="20"/>
          <w:szCs w:val="20"/>
          <w:lang w:val="bg-BG"/>
        </w:rPr>
        <w:t>ФМФИБ</w:t>
      </w:r>
      <w:r w:rsidR="00DC1D7A" w:rsidRPr="008F13B6">
        <w:rPr>
          <w:rFonts w:ascii="Arial" w:hAnsi="Arial" w:cs="Arial"/>
          <w:sz w:val="20"/>
          <w:szCs w:val="20"/>
          <w:lang w:val="bg-BG"/>
        </w:rPr>
        <w:t>)</w:t>
      </w:r>
      <w:r w:rsidR="0058334A" w:rsidRPr="008F13B6">
        <w:rPr>
          <w:rFonts w:ascii="Arial" w:hAnsi="Arial" w:cs="Arial"/>
          <w:sz w:val="20"/>
          <w:szCs w:val="20"/>
          <w:lang w:val="bg-BG"/>
        </w:rPr>
        <w:t>.</w:t>
      </w:r>
      <w:r w:rsidR="00760B5D" w:rsidRPr="008F13B6">
        <w:rPr>
          <w:rFonts w:ascii="Arial" w:hAnsi="Arial" w:cs="Arial"/>
          <w:sz w:val="20"/>
          <w:szCs w:val="20"/>
          <w:lang w:val="bg-BG"/>
        </w:rPr>
        <w:t xml:space="preserve"> </w:t>
      </w:r>
      <w:r w:rsidR="000F7443" w:rsidRPr="008F13B6">
        <w:rPr>
          <w:rFonts w:ascii="Arial" w:hAnsi="Arial" w:cs="Arial"/>
          <w:sz w:val="20"/>
          <w:szCs w:val="20"/>
          <w:lang w:val="bg-BG"/>
        </w:rPr>
        <w:t xml:space="preserve"> </w:t>
      </w:r>
    </w:p>
    <w:p w14:paraId="60EB328B" w14:textId="77777777" w:rsidR="000F7443" w:rsidRPr="00F24247" w:rsidRDefault="00AB4063" w:rsidP="000F7443">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Според ч</w:t>
      </w:r>
      <w:r w:rsidR="008F13B6">
        <w:rPr>
          <w:rFonts w:ascii="Arial" w:hAnsi="Arial" w:cs="Arial"/>
          <w:sz w:val="20"/>
          <w:szCs w:val="20"/>
          <w:lang w:val="bg-BG"/>
        </w:rPr>
        <w:t xml:space="preserve">л. 38 (3) от </w:t>
      </w:r>
      <w:r w:rsidR="008F13B6" w:rsidRPr="00B56ECA">
        <w:rPr>
          <w:rFonts w:ascii="Arial" w:hAnsi="Arial" w:cs="Arial"/>
          <w:sz w:val="20"/>
          <w:szCs w:val="20"/>
          <w:lang w:val="bg-BG"/>
        </w:rPr>
        <w:t>Регламент (ЕС) № 1303/2013</w:t>
      </w:r>
      <w:r w:rsidR="008F13B6" w:rsidRPr="008F13B6">
        <w:rPr>
          <w:rFonts w:ascii="Arial" w:hAnsi="Arial" w:cs="Arial"/>
          <w:sz w:val="20"/>
          <w:szCs w:val="20"/>
          <w:lang w:val="bg-BG"/>
        </w:rPr>
        <w:t xml:space="preserve">, УО на ОПОС </w:t>
      </w:r>
      <w:r w:rsidR="00881F4B">
        <w:rPr>
          <w:rFonts w:ascii="Arial" w:hAnsi="Arial" w:cs="Arial"/>
          <w:sz w:val="20"/>
          <w:szCs w:val="20"/>
          <w:lang w:val="bg-BG"/>
        </w:rPr>
        <w:t xml:space="preserve">2014 – 2020 г. </w:t>
      </w:r>
      <w:r w:rsidR="008F13B6" w:rsidRPr="008F13B6">
        <w:rPr>
          <w:rFonts w:ascii="Arial" w:hAnsi="Arial" w:cs="Arial"/>
          <w:sz w:val="20"/>
          <w:szCs w:val="20"/>
          <w:lang w:val="bg-BG"/>
        </w:rPr>
        <w:t>може</w:t>
      </w:r>
      <w:r w:rsidR="008F13B6">
        <w:rPr>
          <w:rFonts w:ascii="Arial" w:hAnsi="Arial" w:cs="Arial"/>
          <w:sz w:val="20"/>
          <w:szCs w:val="20"/>
          <w:lang w:val="bg-BG"/>
        </w:rPr>
        <w:t xml:space="preserve"> да</w:t>
      </w:r>
      <w:r w:rsidR="00F24247">
        <w:rPr>
          <w:rFonts w:ascii="Arial" w:hAnsi="Arial" w:cs="Arial"/>
          <w:sz w:val="20"/>
          <w:szCs w:val="20"/>
          <w:lang w:val="bg-BG"/>
        </w:rPr>
        <w:t xml:space="preserve"> задели средства </w:t>
      </w:r>
      <w:r w:rsidR="008F13B6">
        <w:rPr>
          <w:rFonts w:ascii="Arial" w:hAnsi="Arial" w:cs="Arial"/>
          <w:sz w:val="20"/>
          <w:szCs w:val="20"/>
          <w:lang w:val="bg-BG"/>
        </w:rPr>
        <w:t>за ФИ, които са в съответствие със стандартните условия на ЕС („готови решения“ или</w:t>
      </w:r>
      <w:r w:rsidR="008F13B6" w:rsidRPr="008F13B6">
        <w:rPr>
          <w:rFonts w:ascii="Arial" w:hAnsi="Arial" w:cs="Arial"/>
          <w:sz w:val="20"/>
          <w:szCs w:val="20"/>
          <w:lang w:val="bg-BG"/>
        </w:rPr>
        <w:t xml:space="preserve"> </w:t>
      </w:r>
      <w:r w:rsidR="000F7443" w:rsidRPr="008F13B6">
        <w:rPr>
          <w:rFonts w:ascii="Arial" w:hAnsi="Arial" w:cs="Arial"/>
          <w:sz w:val="20"/>
          <w:szCs w:val="20"/>
          <w:lang w:val="bg-BG"/>
        </w:rPr>
        <w:t>“</w:t>
      </w:r>
      <w:r w:rsidR="000F7443" w:rsidRPr="00314448">
        <w:rPr>
          <w:rFonts w:ascii="Arial" w:hAnsi="Arial" w:cs="Arial"/>
          <w:sz w:val="20"/>
          <w:szCs w:val="20"/>
        </w:rPr>
        <w:t>off</w:t>
      </w:r>
      <w:r w:rsidR="000F7443" w:rsidRPr="008F13B6">
        <w:rPr>
          <w:rFonts w:ascii="Arial" w:hAnsi="Arial" w:cs="Arial"/>
          <w:sz w:val="20"/>
          <w:szCs w:val="20"/>
          <w:lang w:val="bg-BG"/>
        </w:rPr>
        <w:t>-</w:t>
      </w:r>
      <w:r w:rsidR="000F7443" w:rsidRPr="00314448">
        <w:rPr>
          <w:rFonts w:ascii="Arial" w:hAnsi="Arial" w:cs="Arial"/>
          <w:sz w:val="20"/>
          <w:szCs w:val="20"/>
        </w:rPr>
        <w:t>the</w:t>
      </w:r>
      <w:r w:rsidR="000F7443" w:rsidRPr="008F13B6">
        <w:rPr>
          <w:rFonts w:ascii="Arial" w:hAnsi="Arial" w:cs="Arial"/>
          <w:sz w:val="20"/>
          <w:szCs w:val="20"/>
          <w:lang w:val="bg-BG"/>
        </w:rPr>
        <w:t>-</w:t>
      </w:r>
      <w:r w:rsidR="000F7443" w:rsidRPr="00314448">
        <w:rPr>
          <w:rFonts w:ascii="Arial" w:hAnsi="Arial" w:cs="Arial"/>
          <w:sz w:val="20"/>
          <w:szCs w:val="20"/>
        </w:rPr>
        <w:t>shelf</w:t>
      </w:r>
      <w:r w:rsidR="000F7443" w:rsidRPr="008F13B6">
        <w:rPr>
          <w:rFonts w:ascii="Arial" w:hAnsi="Arial" w:cs="Arial"/>
          <w:sz w:val="20"/>
          <w:szCs w:val="20"/>
          <w:lang w:val="bg-BG"/>
        </w:rPr>
        <w:t>”</w:t>
      </w:r>
      <w:r w:rsidR="008F13B6">
        <w:rPr>
          <w:rFonts w:ascii="Arial" w:hAnsi="Arial" w:cs="Arial"/>
          <w:sz w:val="20"/>
          <w:szCs w:val="20"/>
          <w:lang w:val="bg-BG"/>
        </w:rPr>
        <w:t>)</w:t>
      </w:r>
      <w:r w:rsidR="000F7443" w:rsidRPr="008F13B6">
        <w:rPr>
          <w:rFonts w:ascii="Arial" w:hAnsi="Arial" w:cs="Arial"/>
          <w:sz w:val="20"/>
          <w:szCs w:val="20"/>
          <w:lang w:val="bg-BG"/>
        </w:rPr>
        <w:t xml:space="preserve"> </w:t>
      </w:r>
      <w:r w:rsidR="008F13B6">
        <w:rPr>
          <w:rFonts w:ascii="Arial" w:hAnsi="Arial" w:cs="Arial"/>
          <w:sz w:val="20"/>
          <w:szCs w:val="20"/>
          <w:lang w:val="bg-BG"/>
        </w:rPr>
        <w:t>или</w:t>
      </w:r>
      <w:r w:rsidR="000F7443" w:rsidRPr="008F13B6">
        <w:rPr>
          <w:rFonts w:ascii="Arial" w:hAnsi="Arial" w:cs="Arial"/>
          <w:sz w:val="20"/>
          <w:szCs w:val="20"/>
          <w:lang w:val="bg-BG"/>
        </w:rPr>
        <w:t xml:space="preserve"> </w:t>
      </w:r>
      <w:r w:rsidR="008F13B6">
        <w:rPr>
          <w:rFonts w:ascii="Arial" w:hAnsi="Arial" w:cs="Arial"/>
          <w:sz w:val="20"/>
          <w:szCs w:val="20"/>
          <w:lang w:val="bg-BG"/>
        </w:rPr>
        <w:t>за ФИ</w:t>
      </w:r>
      <w:r w:rsidR="000F7443" w:rsidRPr="008F13B6">
        <w:rPr>
          <w:rFonts w:ascii="Arial" w:hAnsi="Arial" w:cs="Arial"/>
          <w:sz w:val="20"/>
          <w:szCs w:val="20"/>
          <w:lang w:val="bg-BG"/>
        </w:rPr>
        <w:t xml:space="preserve">, </w:t>
      </w:r>
      <w:r w:rsidR="00F24247">
        <w:rPr>
          <w:rFonts w:ascii="Arial" w:hAnsi="Arial" w:cs="Arial"/>
          <w:sz w:val="20"/>
          <w:szCs w:val="20"/>
          <w:lang w:val="bg-BG"/>
        </w:rPr>
        <w:t xml:space="preserve">които са създадени специално с цел постигането на специфични цели, изложени в съответния инвестиционен приоритет </w:t>
      </w:r>
      <w:r w:rsidR="00F24247" w:rsidRPr="008F13B6">
        <w:rPr>
          <w:rFonts w:ascii="Arial" w:hAnsi="Arial" w:cs="Arial"/>
          <w:sz w:val="20"/>
          <w:szCs w:val="20"/>
          <w:lang w:val="bg-BG"/>
        </w:rPr>
        <w:t>(</w:t>
      </w:r>
      <w:r w:rsidR="00F24247">
        <w:rPr>
          <w:rFonts w:ascii="Arial" w:hAnsi="Arial" w:cs="Arial"/>
          <w:sz w:val="20"/>
          <w:szCs w:val="20"/>
          <w:lang w:val="bg-BG"/>
        </w:rPr>
        <w:t xml:space="preserve">„адаптирани към специфичните нужди“ или </w:t>
      </w:r>
      <w:r w:rsidR="00F24247" w:rsidRPr="008F13B6">
        <w:rPr>
          <w:rFonts w:ascii="Arial" w:hAnsi="Arial" w:cs="Arial"/>
          <w:sz w:val="20"/>
          <w:szCs w:val="20"/>
          <w:lang w:val="bg-BG"/>
        </w:rPr>
        <w:t>“</w:t>
      </w:r>
      <w:r w:rsidR="00F24247" w:rsidRPr="00314448">
        <w:rPr>
          <w:rFonts w:ascii="Arial" w:hAnsi="Arial" w:cs="Arial"/>
          <w:sz w:val="20"/>
          <w:szCs w:val="20"/>
        </w:rPr>
        <w:t>tailor</w:t>
      </w:r>
      <w:r w:rsidR="00F24247" w:rsidRPr="008F13B6">
        <w:rPr>
          <w:rFonts w:ascii="Arial" w:hAnsi="Arial" w:cs="Arial"/>
          <w:sz w:val="20"/>
          <w:szCs w:val="20"/>
          <w:lang w:val="bg-BG"/>
        </w:rPr>
        <w:t>-</w:t>
      </w:r>
      <w:r w:rsidR="00F24247" w:rsidRPr="00314448">
        <w:rPr>
          <w:rFonts w:ascii="Arial" w:hAnsi="Arial" w:cs="Arial"/>
          <w:sz w:val="20"/>
          <w:szCs w:val="20"/>
        </w:rPr>
        <w:t>made</w:t>
      </w:r>
      <w:r w:rsidR="00F24247" w:rsidRPr="008F13B6">
        <w:rPr>
          <w:rFonts w:ascii="Arial" w:hAnsi="Arial" w:cs="Arial"/>
          <w:sz w:val="20"/>
          <w:szCs w:val="20"/>
          <w:lang w:val="bg-BG"/>
        </w:rPr>
        <w:t>”)</w:t>
      </w:r>
      <w:r w:rsidR="000F7443" w:rsidRPr="008F13B6">
        <w:rPr>
          <w:rFonts w:ascii="Arial" w:hAnsi="Arial" w:cs="Arial"/>
          <w:sz w:val="20"/>
          <w:szCs w:val="20"/>
          <w:lang w:val="bg-BG"/>
        </w:rPr>
        <w:t xml:space="preserve">. </w:t>
      </w:r>
      <w:r w:rsidR="00F24247">
        <w:rPr>
          <w:rFonts w:ascii="Arial" w:hAnsi="Arial" w:cs="Arial"/>
          <w:sz w:val="20"/>
          <w:szCs w:val="20"/>
          <w:lang w:val="bg-BG"/>
        </w:rPr>
        <w:t>„Адаптираните към специфичните нужди“ ФИ (</w:t>
      </w:r>
      <w:r w:rsidR="000F7443" w:rsidRPr="00F24247">
        <w:rPr>
          <w:rFonts w:ascii="Arial" w:hAnsi="Arial" w:cs="Arial"/>
          <w:sz w:val="20"/>
          <w:szCs w:val="20"/>
          <w:lang w:val="bg-BG"/>
        </w:rPr>
        <w:t>“</w:t>
      </w:r>
      <w:r w:rsidR="000F7443">
        <w:rPr>
          <w:rFonts w:ascii="Arial" w:hAnsi="Arial" w:cs="Arial"/>
          <w:sz w:val="20"/>
          <w:szCs w:val="20"/>
        </w:rPr>
        <w:t>tailor</w:t>
      </w:r>
      <w:r w:rsidR="000F7443" w:rsidRPr="00F24247">
        <w:rPr>
          <w:rFonts w:ascii="Arial" w:hAnsi="Arial" w:cs="Arial"/>
          <w:sz w:val="20"/>
          <w:szCs w:val="20"/>
          <w:lang w:val="bg-BG"/>
        </w:rPr>
        <w:t>-</w:t>
      </w:r>
      <w:r w:rsidR="000F7443">
        <w:rPr>
          <w:rFonts w:ascii="Arial" w:hAnsi="Arial" w:cs="Arial"/>
          <w:sz w:val="20"/>
          <w:szCs w:val="20"/>
        </w:rPr>
        <w:t>made</w:t>
      </w:r>
      <w:r w:rsidR="00F24247">
        <w:rPr>
          <w:rFonts w:ascii="Arial" w:hAnsi="Arial" w:cs="Arial"/>
          <w:sz w:val="20"/>
          <w:szCs w:val="20"/>
          <w:lang w:val="bg-BG"/>
        </w:rPr>
        <w:t>“</w:t>
      </w:r>
      <w:r w:rsidR="00F24247" w:rsidRPr="00F24247">
        <w:rPr>
          <w:rFonts w:ascii="Arial" w:hAnsi="Arial" w:cs="Arial"/>
          <w:sz w:val="20"/>
          <w:szCs w:val="20"/>
          <w:lang w:val="bg-BG"/>
        </w:rPr>
        <w:t xml:space="preserve">) </w:t>
      </w:r>
      <w:r w:rsidR="00F24247">
        <w:rPr>
          <w:rFonts w:ascii="Arial" w:hAnsi="Arial" w:cs="Arial"/>
          <w:sz w:val="20"/>
          <w:szCs w:val="20"/>
          <w:lang w:val="bg-BG"/>
        </w:rPr>
        <w:t>се считат за по-подходящи за целите на настоящата ИС, тъй като те могат по-добре да адресират цели</w:t>
      </w:r>
      <w:r w:rsidR="00244FC3">
        <w:rPr>
          <w:rFonts w:ascii="Arial" w:hAnsi="Arial" w:cs="Arial"/>
          <w:sz w:val="20"/>
          <w:szCs w:val="20"/>
          <w:lang w:val="bg-BG"/>
        </w:rPr>
        <w:t>те</w:t>
      </w:r>
      <w:r w:rsidR="00F24247">
        <w:rPr>
          <w:rFonts w:ascii="Arial" w:hAnsi="Arial" w:cs="Arial"/>
          <w:sz w:val="20"/>
          <w:szCs w:val="20"/>
          <w:lang w:val="bg-BG"/>
        </w:rPr>
        <w:t xml:space="preserve"> на ОПОС</w:t>
      </w:r>
      <w:r w:rsidR="00881F4B">
        <w:rPr>
          <w:rFonts w:ascii="Arial" w:hAnsi="Arial" w:cs="Arial"/>
          <w:sz w:val="20"/>
          <w:szCs w:val="20"/>
          <w:lang w:val="bg-BG"/>
        </w:rPr>
        <w:t xml:space="preserve"> 2014 – 2020 г</w:t>
      </w:r>
      <w:r w:rsidR="00F24247">
        <w:rPr>
          <w:rFonts w:ascii="Arial" w:hAnsi="Arial" w:cs="Arial"/>
          <w:sz w:val="20"/>
          <w:szCs w:val="20"/>
          <w:lang w:val="bg-BG"/>
        </w:rPr>
        <w:t xml:space="preserve">. </w:t>
      </w:r>
    </w:p>
    <w:p w14:paraId="39FEE79F" w14:textId="77777777" w:rsidR="002864AE" w:rsidRPr="00F24247" w:rsidRDefault="00F24247" w:rsidP="002864AE">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Настоящата ИС е разработена с цел справяне с неоптималните инвестицио</w:t>
      </w:r>
      <w:r w:rsidR="00DD6846">
        <w:rPr>
          <w:rFonts w:ascii="Arial" w:hAnsi="Arial" w:cs="Arial"/>
          <w:sz w:val="20"/>
          <w:szCs w:val="20"/>
          <w:lang w:val="bg-BG"/>
        </w:rPr>
        <w:t xml:space="preserve">нни ситуации в сектор </w:t>
      </w:r>
      <w:r w:rsidR="00CC5F99">
        <w:rPr>
          <w:rFonts w:ascii="Arial" w:hAnsi="Arial" w:cs="Arial"/>
          <w:sz w:val="20"/>
          <w:szCs w:val="20"/>
          <w:lang w:val="bg-BG"/>
        </w:rPr>
        <w:t>„</w:t>
      </w:r>
      <w:r w:rsidR="00DD6846">
        <w:rPr>
          <w:rFonts w:ascii="Arial" w:hAnsi="Arial" w:cs="Arial"/>
          <w:sz w:val="20"/>
          <w:szCs w:val="20"/>
          <w:lang w:val="bg-BG"/>
        </w:rPr>
        <w:t>ВиК</w:t>
      </w:r>
      <w:r w:rsidR="00CC5F99">
        <w:rPr>
          <w:rFonts w:ascii="Arial" w:hAnsi="Arial" w:cs="Arial"/>
          <w:sz w:val="20"/>
          <w:szCs w:val="20"/>
          <w:lang w:val="bg-BG"/>
        </w:rPr>
        <w:t>“</w:t>
      </w:r>
      <w:r w:rsidR="000608CB">
        <w:rPr>
          <w:rFonts w:ascii="Arial" w:hAnsi="Arial" w:cs="Arial"/>
          <w:sz w:val="20"/>
          <w:szCs w:val="20"/>
          <w:lang w:val="bg-BG"/>
        </w:rPr>
        <w:t>, т.е. по ПО1 на ОПОС 2014-2020</w:t>
      </w:r>
      <w:r w:rsidR="00881F4B">
        <w:rPr>
          <w:rFonts w:ascii="Arial" w:hAnsi="Arial" w:cs="Arial"/>
          <w:sz w:val="20"/>
          <w:szCs w:val="20"/>
          <w:lang w:val="bg-BG"/>
        </w:rPr>
        <w:t xml:space="preserve"> г</w:t>
      </w:r>
      <w:r>
        <w:rPr>
          <w:rFonts w:ascii="Arial" w:hAnsi="Arial" w:cs="Arial"/>
          <w:sz w:val="20"/>
          <w:szCs w:val="20"/>
          <w:lang w:val="bg-BG"/>
        </w:rPr>
        <w:t xml:space="preserve">. </w:t>
      </w:r>
      <w:r w:rsidR="00035FB2">
        <w:rPr>
          <w:rFonts w:ascii="Arial" w:hAnsi="Arial" w:cs="Arial"/>
          <w:sz w:val="20"/>
          <w:szCs w:val="20"/>
          <w:lang w:val="bg-BG"/>
        </w:rPr>
        <w:t xml:space="preserve">Тя </w:t>
      </w:r>
      <w:r>
        <w:rPr>
          <w:rFonts w:ascii="Arial" w:hAnsi="Arial" w:cs="Arial"/>
          <w:sz w:val="20"/>
          <w:szCs w:val="20"/>
          <w:lang w:val="bg-BG"/>
        </w:rPr>
        <w:t>се стреми да адресира някои от специфичните предизвикателства при използването на ФИ</w:t>
      </w:r>
      <w:r w:rsidR="000608CB">
        <w:rPr>
          <w:rFonts w:ascii="Arial" w:hAnsi="Arial" w:cs="Arial"/>
          <w:sz w:val="20"/>
          <w:szCs w:val="20"/>
          <w:lang w:val="bg-BG"/>
        </w:rPr>
        <w:t xml:space="preserve"> в сектор ВиК</w:t>
      </w:r>
      <w:r>
        <w:rPr>
          <w:rFonts w:ascii="Arial" w:hAnsi="Arial" w:cs="Arial"/>
          <w:sz w:val="20"/>
          <w:szCs w:val="20"/>
          <w:lang w:val="bg-BG"/>
        </w:rPr>
        <w:t>,</w:t>
      </w:r>
      <w:r w:rsidR="00202160">
        <w:rPr>
          <w:rFonts w:ascii="Arial" w:hAnsi="Arial" w:cs="Arial"/>
          <w:sz w:val="20"/>
          <w:szCs w:val="20"/>
          <w:lang w:val="bg-BG"/>
        </w:rPr>
        <w:t xml:space="preserve"> предимно свързани с ограничения</w:t>
      </w:r>
      <w:r>
        <w:rPr>
          <w:rFonts w:ascii="Arial" w:hAnsi="Arial" w:cs="Arial"/>
          <w:sz w:val="20"/>
          <w:szCs w:val="20"/>
          <w:lang w:val="bg-BG"/>
        </w:rPr>
        <w:t xml:space="preserve"> капацитет на крайните получатели на финансирането и ограничената склонност на търговските банки да поемат риск при </w:t>
      </w:r>
      <w:r w:rsidR="00F10993">
        <w:rPr>
          <w:rFonts w:ascii="Arial" w:hAnsi="Arial" w:cs="Arial"/>
          <w:sz w:val="20"/>
          <w:szCs w:val="20"/>
          <w:lang w:val="bg-BG"/>
        </w:rPr>
        <w:t xml:space="preserve">инвестиции </w:t>
      </w:r>
      <w:r w:rsidR="004B204B">
        <w:rPr>
          <w:rFonts w:ascii="Arial" w:hAnsi="Arial" w:cs="Arial"/>
          <w:sz w:val="20"/>
          <w:szCs w:val="20"/>
          <w:lang w:val="bg-BG"/>
        </w:rPr>
        <w:t xml:space="preserve">в </w:t>
      </w:r>
      <w:r w:rsidR="00F10993">
        <w:rPr>
          <w:rFonts w:ascii="Arial" w:hAnsi="Arial" w:cs="Arial"/>
          <w:sz w:val="20"/>
          <w:szCs w:val="20"/>
          <w:lang w:val="bg-BG"/>
        </w:rPr>
        <w:t>сектора</w:t>
      </w:r>
      <w:r w:rsidR="00202160">
        <w:rPr>
          <w:rFonts w:ascii="Arial" w:hAnsi="Arial" w:cs="Arial"/>
          <w:sz w:val="20"/>
          <w:szCs w:val="20"/>
          <w:lang w:val="bg-BG"/>
        </w:rPr>
        <w:t xml:space="preserve">. </w:t>
      </w:r>
    </w:p>
    <w:p w14:paraId="03089289" w14:textId="77777777" w:rsidR="00371D2E" w:rsidRDefault="00002514" w:rsidP="002864AE">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 xml:space="preserve">Идентифицирани са </w:t>
      </w:r>
      <w:r w:rsidR="000C74D3">
        <w:rPr>
          <w:rFonts w:ascii="Arial" w:hAnsi="Arial" w:cs="Arial"/>
          <w:sz w:val="20"/>
          <w:szCs w:val="20"/>
          <w:lang w:val="bg-BG"/>
        </w:rPr>
        <w:t xml:space="preserve"> два вида финансови продукти</w:t>
      </w:r>
      <w:r w:rsidR="006B3B5C" w:rsidRPr="000C74D3">
        <w:rPr>
          <w:rFonts w:ascii="Arial" w:hAnsi="Arial" w:cs="Arial"/>
          <w:sz w:val="20"/>
          <w:szCs w:val="20"/>
          <w:lang w:val="bg-BG"/>
        </w:rPr>
        <w:t>:</w:t>
      </w:r>
    </w:p>
    <w:p w14:paraId="7AEA4817" w14:textId="77777777" w:rsidR="006B3B5C" w:rsidRPr="000C74D3" w:rsidRDefault="006B3B5C" w:rsidP="002864AE">
      <w:pPr>
        <w:pStyle w:val="ListParagraph"/>
        <w:spacing w:after="120"/>
        <w:ind w:left="0"/>
        <w:contextualSpacing w:val="0"/>
        <w:jc w:val="both"/>
        <w:rPr>
          <w:rFonts w:ascii="Arial" w:hAnsi="Arial" w:cs="Arial"/>
          <w:sz w:val="20"/>
          <w:szCs w:val="20"/>
          <w:lang w:val="bg-BG"/>
        </w:rPr>
      </w:pPr>
      <w:r w:rsidRPr="007E1AD3">
        <w:rPr>
          <w:rFonts w:ascii="Arial" w:hAnsi="Arial" w:cs="Arial"/>
          <w:sz w:val="20"/>
          <w:szCs w:val="20"/>
          <w:lang w:val="bg-BG"/>
        </w:rPr>
        <w:t>(</w:t>
      </w:r>
      <w:r w:rsidRPr="007E1AD3">
        <w:rPr>
          <w:rFonts w:ascii="Arial" w:hAnsi="Arial" w:cs="Arial"/>
          <w:sz w:val="20"/>
          <w:szCs w:val="20"/>
        </w:rPr>
        <w:t>a</w:t>
      </w:r>
      <w:r w:rsidRPr="007E1AD3">
        <w:rPr>
          <w:rFonts w:ascii="Arial" w:hAnsi="Arial" w:cs="Arial"/>
          <w:sz w:val="20"/>
          <w:szCs w:val="20"/>
          <w:lang w:val="bg-BG"/>
        </w:rPr>
        <w:t xml:space="preserve">) </w:t>
      </w:r>
      <w:r w:rsidR="000C74D3" w:rsidRPr="007E1AD3">
        <w:rPr>
          <w:rFonts w:ascii="Arial" w:hAnsi="Arial" w:cs="Arial"/>
          <w:b/>
          <w:sz w:val="20"/>
          <w:szCs w:val="20"/>
          <w:lang w:val="bg-BG"/>
        </w:rPr>
        <w:t>Директни заеми</w:t>
      </w:r>
      <w:r w:rsidRPr="007E1AD3">
        <w:rPr>
          <w:rFonts w:ascii="Arial" w:hAnsi="Arial" w:cs="Arial"/>
          <w:sz w:val="20"/>
          <w:szCs w:val="20"/>
          <w:lang w:val="bg-BG"/>
        </w:rPr>
        <w:t xml:space="preserve"> </w:t>
      </w:r>
      <w:r w:rsidR="00244FC3" w:rsidRPr="007E1AD3">
        <w:rPr>
          <w:rFonts w:ascii="Arial" w:hAnsi="Arial" w:cs="Arial"/>
          <w:sz w:val="20"/>
          <w:szCs w:val="20"/>
          <w:lang w:val="bg-BG"/>
        </w:rPr>
        <w:t>на допустими</w:t>
      </w:r>
      <w:r w:rsidR="000C74D3" w:rsidRPr="007E1AD3">
        <w:rPr>
          <w:rFonts w:ascii="Arial" w:hAnsi="Arial" w:cs="Arial"/>
          <w:sz w:val="20"/>
          <w:szCs w:val="20"/>
          <w:lang w:val="bg-BG"/>
        </w:rPr>
        <w:t xml:space="preserve"> крайни получатели</w:t>
      </w:r>
      <w:r w:rsidRPr="007E1AD3">
        <w:rPr>
          <w:rFonts w:ascii="Arial" w:hAnsi="Arial" w:cs="Arial"/>
          <w:sz w:val="20"/>
          <w:szCs w:val="20"/>
          <w:lang w:val="bg-BG"/>
        </w:rPr>
        <w:t xml:space="preserve">, </w:t>
      </w:r>
      <w:r w:rsidR="000C74D3" w:rsidRPr="007E1AD3">
        <w:rPr>
          <w:rFonts w:ascii="Arial" w:hAnsi="Arial" w:cs="Arial"/>
          <w:sz w:val="20"/>
          <w:szCs w:val="20"/>
          <w:lang w:val="bg-BG"/>
        </w:rPr>
        <w:t>и</w:t>
      </w:r>
    </w:p>
    <w:p w14:paraId="08DC8EA6" w14:textId="77777777" w:rsidR="006B3B5C" w:rsidRPr="000C74D3" w:rsidRDefault="006B3B5C" w:rsidP="002864AE">
      <w:pPr>
        <w:pStyle w:val="ListParagraph"/>
        <w:spacing w:after="120"/>
        <w:ind w:left="0"/>
        <w:contextualSpacing w:val="0"/>
        <w:jc w:val="both"/>
        <w:rPr>
          <w:rFonts w:ascii="Arial" w:hAnsi="Arial" w:cs="Arial"/>
          <w:sz w:val="20"/>
          <w:szCs w:val="20"/>
          <w:lang w:val="bg-BG"/>
        </w:rPr>
      </w:pPr>
      <w:r w:rsidRPr="000C74D3">
        <w:rPr>
          <w:rFonts w:ascii="Arial" w:hAnsi="Arial" w:cs="Arial"/>
          <w:sz w:val="20"/>
          <w:szCs w:val="20"/>
          <w:lang w:val="bg-BG"/>
        </w:rPr>
        <w:t>(</w:t>
      </w:r>
      <w:r w:rsidR="00371D2E">
        <w:rPr>
          <w:rFonts w:ascii="Arial" w:hAnsi="Arial" w:cs="Arial"/>
          <w:sz w:val="20"/>
          <w:szCs w:val="20"/>
          <w:lang w:val="bg-BG"/>
        </w:rPr>
        <w:t>б</w:t>
      </w:r>
      <w:r w:rsidRPr="000C74D3">
        <w:rPr>
          <w:rFonts w:ascii="Arial" w:hAnsi="Arial" w:cs="Arial"/>
          <w:sz w:val="20"/>
          <w:szCs w:val="20"/>
          <w:lang w:val="bg-BG"/>
        </w:rPr>
        <w:t xml:space="preserve">) </w:t>
      </w:r>
      <w:r w:rsidR="000C74D3">
        <w:rPr>
          <w:rFonts w:ascii="Arial" w:hAnsi="Arial" w:cs="Arial"/>
          <w:b/>
          <w:sz w:val="20"/>
          <w:szCs w:val="20"/>
          <w:lang w:val="bg-BG"/>
        </w:rPr>
        <w:t>Гаранции</w:t>
      </w:r>
      <w:r w:rsidR="000C74D3">
        <w:rPr>
          <w:rFonts w:ascii="Arial" w:hAnsi="Arial" w:cs="Arial"/>
          <w:sz w:val="20"/>
          <w:szCs w:val="20"/>
          <w:lang w:val="bg-BG"/>
        </w:rPr>
        <w:t xml:space="preserve"> за </w:t>
      </w:r>
      <w:r w:rsidR="00245B8D">
        <w:rPr>
          <w:rFonts w:ascii="Arial" w:hAnsi="Arial" w:cs="Arial"/>
          <w:sz w:val="20"/>
          <w:szCs w:val="20"/>
          <w:lang w:val="bg-BG"/>
        </w:rPr>
        <w:t xml:space="preserve">кредитни облекчения при </w:t>
      </w:r>
      <w:r w:rsidR="000C74D3">
        <w:rPr>
          <w:rFonts w:ascii="Arial" w:hAnsi="Arial" w:cs="Arial"/>
          <w:sz w:val="20"/>
          <w:szCs w:val="20"/>
          <w:lang w:val="bg-BG"/>
        </w:rPr>
        <w:t>отпускане на финансиране</w:t>
      </w:r>
      <w:r w:rsidR="009C2F3F">
        <w:rPr>
          <w:rFonts w:ascii="Arial" w:hAnsi="Arial" w:cs="Arial"/>
          <w:sz w:val="20"/>
          <w:szCs w:val="20"/>
          <w:lang w:val="bg-BG"/>
        </w:rPr>
        <w:t xml:space="preserve"> на крайните получатели</w:t>
      </w:r>
      <w:r w:rsidR="00244FC3">
        <w:rPr>
          <w:rFonts w:ascii="Arial" w:hAnsi="Arial" w:cs="Arial"/>
          <w:sz w:val="20"/>
          <w:szCs w:val="20"/>
          <w:lang w:val="bg-BG"/>
        </w:rPr>
        <w:t xml:space="preserve"> за допустими</w:t>
      </w:r>
      <w:r w:rsidR="000C74D3">
        <w:rPr>
          <w:rFonts w:ascii="Arial" w:hAnsi="Arial" w:cs="Arial"/>
          <w:sz w:val="20"/>
          <w:szCs w:val="20"/>
          <w:lang w:val="bg-BG"/>
        </w:rPr>
        <w:t xml:space="preserve"> проекти.</w:t>
      </w:r>
      <w:r w:rsidRPr="000C74D3">
        <w:rPr>
          <w:rFonts w:ascii="Arial" w:hAnsi="Arial" w:cs="Arial"/>
          <w:sz w:val="20"/>
          <w:szCs w:val="20"/>
          <w:lang w:val="bg-BG"/>
        </w:rPr>
        <w:t xml:space="preserve"> </w:t>
      </w:r>
    </w:p>
    <w:p w14:paraId="10593D44" w14:textId="77777777" w:rsidR="00D63BD2" w:rsidRPr="00FC52C6" w:rsidRDefault="00FC52C6" w:rsidP="00383B30">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По-долу са представени няколко ключови фактора за успешното прилагане на настоящата ИС:</w:t>
      </w:r>
      <w:r w:rsidR="006B3B5C" w:rsidRPr="00FC52C6">
        <w:rPr>
          <w:rFonts w:ascii="Arial" w:hAnsi="Arial" w:cs="Arial"/>
          <w:sz w:val="20"/>
          <w:szCs w:val="20"/>
          <w:lang w:val="bg-BG"/>
        </w:rPr>
        <w:t xml:space="preserve"> </w:t>
      </w:r>
    </w:p>
    <w:p w14:paraId="4A900DB4" w14:textId="77777777" w:rsidR="00441CC0" w:rsidRPr="004849AF" w:rsidRDefault="006B3B5C" w:rsidP="00371D2E">
      <w:pPr>
        <w:pStyle w:val="ListParagraph"/>
        <w:spacing w:after="120"/>
        <w:ind w:left="0"/>
        <w:contextualSpacing w:val="0"/>
        <w:jc w:val="both"/>
        <w:rPr>
          <w:rFonts w:ascii="Arial" w:hAnsi="Arial" w:cs="Arial"/>
          <w:sz w:val="20"/>
          <w:szCs w:val="20"/>
          <w:lang w:val="bg-BG"/>
        </w:rPr>
      </w:pPr>
      <w:r w:rsidRPr="00965193">
        <w:rPr>
          <w:rFonts w:ascii="Arial" w:hAnsi="Arial" w:cs="Arial"/>
          <w:sz w:val="20"/>
          <w:szCs w:val="20"/>
          <w:lang w:val="bg-BG"/>
        </w:rPr>
        <w:lastRenderedPageBreak/>
        <w:t>(</w:t>
      </w:r>
      <w:r>
        <w:rPr>
          <w:rFonts w:ascii="Arial" w:hAnsi="Arial" w:cs="Arial"/>
          <w:sz w:val="20"/>
          <w:szCs w:val="20"/>
        </w:rPr>
        <w:t>a</w:t>
      </w:r>
      <w:r w:rsidRPr="00965193">
        <w:rPr>
          <w:rFonts w:ascii="Arial" w:hAnsi="Arial" w:cs="Arial"/>
          <w:sz w:val="20"/>
          <w:szCs w:val="20"/>
          <w:lang w:val="bg-BG"/>
        </w:rPr>
        <w:t xml:space="preserve">) </w:t>
      </w:r>
      <w:r w:rsidR="00FC52C6">
        <w:rPr>
          <w:rFonts w:ascii="Arial" w:hAnsi="Arial" w:cs="Arial"/>
          <w:b/>
          <w:i/>
          <w:sz w:val="20"/>
          <w:szCs w:val="20"/>
          <w:lang w:val="bg-BG"/>
        </w:rPr>
        <w:t xml:space="preserve">Успешното </w:t>
      </w:r>
      <w:r w:rsidR="00FC52C6" w:rsidRPr="00965193">
        <w:rPr>
          <w:rFonts w:ascii="Arial" w:hAnsi="Arial" w:cs="Arial"/>
          <w:b/>
          <w:i/>
          <w:sz w:val="20"/>
          <w:szCs w:val="20"/>
          <w:lang w:val="bg-BG"/>
        </w:rPr>
        <w:t xml:space="preserve">приключване на </w:t>
      </w:r>
      <w:r w:rsidR="00965193" w:rsidRPr="00965193">
        <w:rPr>
          <w:rFonts w:ascii="Arial" w:hAnsi="Arial" w:cs="Arial"/>
          <w:b/>
          <w:i/>
          <w:sz w:val="20"/>
          <w:szCs w:val="20"/>
          <w:lang w:val="bg-BG"/>
        </w:rPr>
        <w:t xml:space="preserve">текущата реформа </w:t>
      </w:r>
      <w:r w:rsidR="00965193">
        <w:rPr>
          <w:rFonts w:ascii="Arial" w:hAnsi="Arial" w:cs="Arial"/>
          <w:b/>
          <w:i/>
          <w:sz w:val="20"/>
          <w:szCs w:val="20"/>
          <w:lang w:val="bg-BG"/>
        </w:rPr>
        <w:t>във ВиК сектора</w:t>
      </w:r>
      <w:r w:rsidR="00441CC0" w:rsidRPr="00965193">
        <w:rPr>
          <w:rFonts w:ascii="Arial" w:hAnsi="Arial" w:cs="Arial"/>
          <w:sz w:val="20"/>
          <w:szCs w:val="20"/>
          <w:lang w:val="bg-BG"/>
        </w:rPr>
        <w:t xml:space="preserve">, </w:t>
      </w:r>
      <w:r w:rsidR="00965193">
        <w:rPr>
          <w:rFonts w:ascii="Arial" w:hAnsi="Arial" w:cs="Arial"/>
          <w:sz w:val="20"/>
          <w:szCs w:val="20"/>
          <w:lang w:val="bg-BG"/>
        </w:rPr>
        <w:t>вкл. консолидацията на ВиК операторите (ВиКО)</w:t>
      </w:r>
      <w:r w:rsidR="00965193" w:rsidRPr="00965193">
        <w:rPr>
          <w:rFonts w:ascii="Arial" w:hAnsi="Arial" w:cs="Arial"/>
          <w:sz w:val="20"/>
          <w:szCs w:val="20"/>
          <w:lang w:val="bg-BG"/>
        </w:rPr>
        <w:t>, подписването на Договор за делегирани услуги</w:t>
      </w:r>
      <w:r w:rsidR="00965193">
        <w:rPr>
          <w:rFonts w:ascii="Arial" w:hAnsi="Arial" w:cs="Arial"/>
          <w:sz w:val="20"/>
          <w:szCs w:val="20"/>
          <w:lang w:val="bg-BG"/>
        </w:rPr>
        <w:t xml:space="preserve"> между всеки консолидиран ВиКО и съответната </w:t>
      </w:r>
      <w:r w:rsidR="00965193" w:rsidRPr="00965193">
        <w:rPr>
          <w:rFonts w:ascii="Arial" w:hAnsi="Arial" w:cs="Arial"/>
          <w:sz w:val="20"/>
          <w:szCs w:val="20"/>
          <w:lang w:val="bg-BG"/>
        </w:rPr>
        <w:t xml:space="preserve">Асоциация по водоснабдяване и канализация </w:t>
      </w:r>
      <w:r w:rsidR="00965193">
        <w:rPr>
          <w:rFonts w:ascii="Arial" w:hAnsi="Arial" w:cs="Arial"/>
          <w:sz w:val="20"/>
          <w:szCs w:val="20"/>
          <w:lang w:val="bg-BG"/>
        </w:rPr>
        <w:t>(АВиК), разработването на регионални прединвестиционни проучвания (РПИП)</w:t>
      </w:r>
      <w:r w:rsidR="00441CC0" w:rsidRPr="00965193">
        <w:rPr>
          <w:rFonts w:ascii="Arial" w:hAnsi="Arial" w:cs="Arial"/>
          <w:sz w:val="20"/>
          <w:szCs w:val="20"/>
          <w:lang w:val="bg-BG"/>
        </w:rPr>
        <w:t xml:space="preserve">, </w:t>
      </w:r>
      <w:r w:rsidR="00965193">
        <w:rPr>
          <w:rFonts w:ascii="Arial" w:hAnsi="Arial" w:cs="Arial"/>
          <w:sz w:val="20"/>
          <w:szCs w:val="20"/>
          <w:lang w:val="bg-BG"/>
        </w:rPr>
        <w:t>приемане на нова методика за ценообразуване във ВиК сектора</w:t>
      </w:r>
      <w:r w:rsidR="00441CC0" w:rsidRPr="00965193">
        <w:rPr>
          <w:rFonts w:ascii="Arial" w:hAnsi="Arial" w:cs="Arial"/>
          <w:sz w:val="20"/>
          <w:szCs w:val="20"/>
          <w:lang w:val="bg-BG"/>
        </w:rPr>
        <w:t xml:space="preserve"> </w:t>
      </w:r>
      <w:r w:rsidR="00965193">
        <w:rPr>
          <w:rFonts w:ascii="Arial" w:hAnsi="Arial" w:cs="Arial"/>
          <w:sz w:val="20"/>
          <w:szCs w:val="20"/>
          <w:lang w:val="bg-BG"/>
        </w:rPr>
        <w:t>и т.н</w:t>
      </w:r>
      <w:r w:rsidR="00441CC0" w:rsidRPr="00965193">
        <w:rPr>
          <w:rFonts w:ascii="Arial" w:hAnsi="Arial" w:cs="Arial"/>
          <w:sz w:val="20"/>
          <w:szCs w:val="20"/>
          <w:lang w:val="bg-BG"/>
        </w:rPr>
        <w:t>.</w:t>
      </w:r>
      <w:r w:rsidR="00441CC0" w:rsidRPr="004849AF">
        <w:rPr>
          <w:rFonts w:ascii="Arial" w:hAnsi="Arial" w:cs="Arial"/>
          <w:sz w:val="20"/>
          <w:szCs w:val="20"/>
          <w:lang w:val="bg-BG"/>
        </w:rPr>
        <w:t xml:space="preserve"> </w:t>
      </w:r>
    </w:p>
    <w:p w14:paraId="136A8E7B" w14:textId="77777777" w:rsidR="00441CC0" w:rsidRPr="004849AF" w:rsidRDefault="00441CC0" w:rsidP="00E80488">
      <w:pPr>
        <w:spacing w:after="120"/>
        <w:jc w:val="both"/>
        <w:rPr>
          <w:rFonts w:ascii="Arial" w:hAnsi="Arial" w:cs="Arial"/>
          <w:sz w:val="20"/>
          <w:szCs w:val="20"/>
          <w:lang w:val="bg-BG"/>
        </w:rPr>
      </w:pPr>
      <w:r w:rsidRPr="004849AF">
        <w:rPr>
          <w:rFonts w:ascii="Arial" w:hAnsi="Arial" w:cs="Arial"/>
          <w:sz w:val="20"/>
          <w:szCs w:val="20"/>
          <w:lang w:val="bg-BG"/>
        </w:rPr>
        <w:t>(</w:t>
      </w:r>
      <w:r w:rsidR="00BA6DE8">
        <w:rPr>
          <w:rFonts w:ascii="Arial" w:hAnsi="Arial" w:cs="Arial"/>
          <w:sz w:val="20"/>
          <w:szCs w:val="20"/>
          <w:lang w:val="bg-BG"/>
        </w:rPr>
        <w:t>б</w:t>
      </w:r>
      <w:r w:rsidRPr="004849AF">
        <w:rPr>
          <w:rFonts w:ascii="Arial" w:hAnsi="Arial" w:cs="Arial"/>
          <w:sz w:val="20"/>
          <w:szCs w:val="20"/>
          <w:lang w:val="bg-BG"/>
        </w:rPr>
        <w:t xml:space="preserve">) </w:t>
      </w:r>
      <w:r w:rsidR="00E80488">
        <w:rPr>
          <w:rFonts w:ascii="Arial" w:hAnsi="Arial" w:cs="Arial"/>
          <w:sz w:val="20"/>
          <w:szCs w:val="20"/>
          <w:lang w:val="bg-BG"/>
        </w:rPr>
        <w:t xml:space="preserve">Укрепване на  капацитета на крайните получатели с цел осигуряване </w:t>
      </w:r>
      <w:r w:rsidR="004849AF">
        <w:rPr>
          <w:rFonts w:ascii="Arial" w:hAnsi="Arial" w:cs="Arial"/>
          <w:sz w:val="20"/>
          <w:szCs w:val="20"/>
          <w:lang w:val="bg-BG"/>
        </w:rPr>
        <w:t xml:space="preserve">устойчивост на инвестициите, </w:t>
      </w:r>
      <w:r w:rsidR="00DD6846">
        <w:rPr>
          <w:rFonts w:ascii="Arial" w:hAnsi="Arial" w:cs="Arial"/>
          <w:sz w:val="20"/>
          <w:szCs w:val="20"/>
          <w:lang w:val="bg-BG"/>
        </w:rPr>
        <w:t xml:space="preserve">подкрепени </w:t>
      </w:r>
      <w:r w:rsidR="00E80488">
        <w:rPr>
          <w:rFonts w:ascii="Arial" w:hAnsi="Arial" w:cs="Arial"/>
          <w:sz w:val="20"/>
          <w:szCs w:val="20"/>
          <w:lang w:val="bg-BG"/>
        </w:rPr>
        <w:t>със средства от ОПОС</w:t>
      </w:r>
      <w:r w:rsidR="00881F4B">
        <w:rPr>
          <w:rFonts w:ascii="Arial" w:hAnsi="Arial" w:cs="Arial"/>
          <w:sz w:val="20"/>
          <w:szCs w:val="20"/>
          <w:lang w:val="bg-BG"/>
        </w:rPr>
        <w:t xml:space="preserve"> 2014 – 2020 г</w:t>
      </w:r>
      <w:r w:rsidR="004849AF">
        <w:rPr>
          <w:rFonts w:ascii="Arial" w:hAnsi="Arial" w:cs="Arial"/>
          <w:sz w:val="20"/>
          <w:szCs w:val="20"/>
          <w:lang w:val="bg-BG"/>
        </w:rPr>
        <w:t xml:space="preserve">. </w:t>
      </w:r>
      <w:r w:rsidRPr="004849AF">
        <w:rPr>
          <w:rFonts w:ascii="Arial" w:hAnsi="Arial" w:cs="Arial"/>
          <w:sz w:val="20"/>
          <w:szCs w:val="20"/>
          <w:lang w:val="bg-BG"/>
        </w:rPr>
        <w:t xml:space="preserve"> </w:t>
      </w:r>
    </w:p>
    <w:p w14:paraId="79E8C139" w14:textId="77777777" w:rsidR="00D07AAD" w:rsidRPr="00680029" w:rsidRDefault="008D789B" w:rsidP="00371D2E">
      <w:pPr>
        <w:spacing w:after="120"/>
        <w:rPr>
          <w:rFonts w:ascii="Arial" w:hAnsi="Arial" w:cs="Arial"/>
          <w:sz w:val="20"/>
          <w:szCs w:val="20"/>
          <w:lang w:val="bg-BG"/>
        </w:rPr>
      </w:pPr>
      <w:r w:rsidRPr="00680029">
        <w:rPr>
          <w:rFonts w:ascii="Arial" w:hAnsi="Arial" w:cs="Arial"/>
          <w:sz w:val="20"/>
          <w:szCs w:val="20"/>
          <w:lang w:val="bg-BG"/>
        </w:rPr>
        <w:t>(</w:t>
      </w:r>
      <w:r w:rsidR="00371D2E">
        <w:rPr>
          <w:rFonts w:ascii="Arial" w:hAnsi="Arial" w:cs="Arial"/>
          <w:sz w:val="20"/>
          <w:szCs w:val="20"/>
          <w:lang w:val="bg-BG"/>
        </w:rPr>
        <w:t>в</w:t>
      </w:r>
      <w:r w:rsidRPr="00680029">
        <w:rPr>
          <w:rFonts w:ascii="Arial" w:hAnsi="Arial" w:cs="Arial"/>
          <w:sz w:val="20"/>
          <w:szCs w:val="20"/>
          <w:lang w:val="bg-BG"/>
        </w:rPr>
        <w:t xml:space="preserve">) </w:t>
      </w:r>
      <w:r w:rsidR="00680029">
        <w:rPr>
          <w:rFonts w:ascii="Arial" w:hAnsi="Arial" w:cs="Arial"/>
          <w:b/>
          <w:i/>
          <w:sz w:val="20"/>
          <w:szCs w:val="20"/>
          <w:lang w:val="bg-BG"/>
        </w:rPr>
        <w:t xml:space="preserve">Навременни промени на ИС с цел адаптирането й към променящите се пазарни </w:t>
      </w:r>
      <w:r w:rsidR="00AB4063">
        <w:rPr>
          <w:rFonts w:ascii="Arial" w:hAnsi="Arial" w:cs="Arial"/>
          <w:b/>
          <w:i/>
          <w:sz w:val="20"/>
          <w:szCs w:val="20"/>
          <w:lang w:val="bg-BG"/>
        </w:rPr>
        <w:t>условия</w:t>
      </w:r>
      <w:r w:rsidR="00680029">
        <w:rPr>
          <w:rFonts w:ascii="Arial" w:hAnsi="Arial" w:cs="Arial"/>
          <w:b/>
          <w:i/>
          <w:sz w:val="20"/>
          <w:szCs w:val="20"/>
          <w:lang w:val="bg-BG"/>
        </w:rPr>
        <w:t>.</w:t>
      </w:r>
      <w:r w:rsidR="00791700" w:rsidRPr="00680029">
        <w:rPr>
          <w:rFonts w:ascii="Arial" w:hAnsi="Arial" w:cs="Arial"/>
          <w:b/>
          <w:i/>
          <w:sz w:val="20"/>
          <w:szCs w:val="20"/>
          <w:lang w:val="bg-BG"/>
        </w:rPr>
        <w:t xml:space="preserve"> </w:t>
      </w:r>
      <w:r w:rsidR="00680029" w:rsidRPr="00E77F3C">
        <w:rPr>
          <w:rFonts w:ascii="Arial" w:hAnsi="Arial" w:cs="Arial"/>
          <w:sz w:val="20"/>
          <w:szCs w:val="20"/>
          <w:lang w:val="bg-BG"/>
        </w:rPr>
        <w:t xml:space="preserve">В </w:t>
      </w:r>
      <w:r w:rsidR="00680029">
        <w:rPr>
          <w:rFonts w:ascii="Arial" w:hAnsi="Arial" w:cs="Arial"/>
          <w:sz w:val="20"/>
          <w:szCs w:val="20"/>
          <w:lang w:val="bg-BG"/>
        </w:rPr>
        <w:t xml:space="preserve">някои случаи, това може да изисква промени в </w:t>
      </w:r>
      <w:r w:rsidR="00E80488">
        <w:rPr>
          <w:rFonts w:ascii="Arial" w:hAnsi="Arial" w:cs="Arial"/>
          <w:sz w:val="20"/>
          <w:szCs w:val="20"/>
          <w:lang w:val="bg-BG"/>
        </w:rPr>
        <w:t xml:space="preserve">предварителната оценка за финансови инструменти и в </w:t>
      </w:r>
      <w:r w:rsidR="00680029">
        <w:rPr>
          <w:rFonts w:ascii="Arial" w:hAnsi="Arial" w:cs="Arial"/>
          <w:sz w:val="20"/>
          <w:szCs w:val="20"/>
          <w:lang w:val="bg-BG"/>
        </w:rPr>
        <w:t>обхвата</w:t>
      </w:r>
      <w:r w:rsidR="00A70634" w:rsidRPr="00680029">
        <w:rPr>
          <w:rFonts w:ascii="Arial" w:hAnsi="Arial" w:cs="Arial"/>
          <w:sz w:val="20"/>
          <w:szCs w:val="20"/>
          <w:lang w:val="bg-BG"/>
        </w:rPr>
        <w:t xml:space="preserve"> </w:t>
      </w:r>
      <w:r w:rsidR="00680029">
        <w:rPr>
          <w:rFonts w:ascii="Arial" w:hAnsi="Arial" w:cs="Arial"/>
          <w:sz w:val="20"/>
          <w:szCs w:val="20"/>
          <w:lang w:val="bg-BG"/>
        </w:rPr>
        <w:t>на ОПОС</w:t>
      </w:r>
      <w:r w:rsidR="001D614F">
        <w:rPr>
          <w:rFonts w:ascii="Arial" w:hAnsi="Arial" w:cs="Arial"/>
          <w:sz w:val="20"/>
          <w:szCs w:val="20"/>
          <w:lang w:val="bg-BG"/>
        </w:rPr>
        <w:t xml:space="preserve"> 2014 – 2020 г.</w:t>
      </w:r>
      <w:r w:rsidRPr="00680029">
        <w:rPr>
          <w:rFonts w:ascii="Arial" w:hAnsi="Arial" w:cs="Arial"/>
          <w:sz w:val="20"/>
          <w:szCs w:val="20"/>
          <w:lang w:val="bg-BG"/>
        </w:rPr>
        <w:t xml:space="preserve"> </w:t>
      </w:r>
    </w:p>
    <w:p w14:paraId="71499EEA" w14:textId="77777777" w:rsidR="00791700" w:rsidRPr="00680029" w:rsidRDefault="00791700" w:rsidP="00040191">
      <w:pPr>
        <w:jc w:val="both"/>
        <w:rPr>
          <w:lang w:val="bg-BG"/>
        </w:rPr>
      </w:pPr>
      <w:r w:rsidRPr="00680029">
        <w:rPr>
          <w:rFonts w:ascii="Arial" w:hAnsi="Arial" w:cs="Arial"/>
          <w:sz w:val="20"/>
          <w:szCs w:val="20"/>
          <w:lang w:val="bg-BG"/>
        </w:rPr>
        <w:t>(</w:t>
      </w:r>
      <w:r w:rsidR="00371D2E">
        <w:rPr>
          <w:rFonts w:ascii="Arial" w:hAnsi="Arial" w:cs="Arial"/>
          <w:sz w:val="20"/>
          <w:szCs w:val="20"/>
          <w:lang w:val="bg-BG"/>
        </w:rPr>
        <w:t>г</w:t>
      </w:r>
      <w:r w:rsidRPr="00680029">
        <w:rPr>
          <w:rFonts w:ascii="Arial" w:hAnsi="Arial" w:cs="Arial"/>
          <w:sz w:val="20"/>
          <w:szCs w:val="20"/>
          <w:lang w:val="bg-BG"/>
        </w:rPr>
        <w:t xml:space="preserve">) </w:t>
      </w:r>
      <w:r w:rsidR="00527BE1">
        <w:rPr>
          <w:rFonts w:ascii="Arial" w:hAnsi="Arial" w:cs="Arial"/>
          <w:sz w:val="20"/>
          <w:szCs w:val="20"/>
          <w:lang w:val="bg-BG"/>
        </w:rPr>
        <w:t>Създаване на</w:t>
      </w:r>
      <w:r w:rsidR="00527BE1" w:rsidRPr="00527BE1">
        <w:rPr>
          <w:rFonts w:ascii="Arial" w:hAnsi="Arial" w:cs="Arial"/>
          <w:sz w:val="20"/>
          <w:szCs w:val="20"/>
          <w:lang w:val="bg-BG"/>
        </w:rPr>
        <w:t xml:space="preserve"> условия гаранциите</w:t>
      </w:r>
      <w:r w:rsidR="00881F4B">
        <w:rPr>
          <w:rFonts w:ascii="Arial" w:hAnsi="Arial" w:cs="Arial"/>
          <w:sz w:val="20"/>
          <w:szCs w:val="20"/>
          <w:lang w:val="bg-BG"/>
        </w:rPr>
        <w:t xml:space="preserve"> </w:t>
      </w:r>
      <w:r w:rsidR="00527BE1" w:rsidRPr="00527BE1">
        <w:rPr>
          <w:rFonts w:ascii="Arial" w:hAnsi="Arial" w:cs="Arial"/>
          <w:sz w:val="20"/>
          <w:szCs w:val="20"/>
          <w:lang w:val="bg-BG"/>
        </w:rPr>
        <w:t xml:space="preserve">да могат да </w:t>
      </w:r>
      <w:r w:rsidR="009555B1">
        <w:rPr>
          <w:rFonts w:ascii="Arial" w:hAnsi="Arial" w:cs="Arial"/>
          <w:sz w:val="20"/>
          <w:szCs w:val="20"/>
          <w:lang w:val="bg-BG"/>
        </w:rPr>
        <w:t>бъдат признати</w:t>
      </w:r>
      <w:r w:rsidR="00D03772">
        <w:rPr>
          <w:rFonts w:ascii="Arial" w:hAnsi="Arial" w:cs="Arial"/>
          <w:sz w:val="20"/>
          <w:szCs w:val="20"/>
          <w:lang w:val="bg-BG"/>
        </w:rPr>
        <w:t xml:space="preserve"> </w:t>
      </w:r>
      <w:r w:rsidR="00680029" w:rsidRPr="00AB4063">
        <w:rPr>
          <w:rFonts w:ascii="Arial" w:hAnsi="Arial" w:cs="Arial"/>
          <w:b/>
          <w:i/>
          <w:sz w:val="20"/>
          <w:szCs w:val="20"/>
          <w:lang w:val="bg-BG"/>
        </w:rPr>
        <w:t>за капиталови облекчения</w:t>
      </w:r>
      <w:r w:rsidR="00A70634" w:rsidRPr="00AB4063">
        <w:rPr>
          <w:rFonts w:ascii="Arial" w:hAnsi="Arial" w:cs="Arial"/>
          <w:b/>
          <w:i/>
          <w:sz w:val="20"/>
          <w:szCs w:val="20"/>
          <w:lang w:val="bg-BG"/>
        </w:rPr>
        <w:t xml:space="preserve"> </w:t>
      </w:r>
      <w:r w:rsidR="00680029" w:rsidRPr="00AB4063">
        <w:rPr>
          <w:rFonts w:ascii="Arial" w:hAnsi="Arial" w:cs="Arial"/>
          <w:sz w:val="20"/>
          <w:szCs w:val="20"/>
          <w:lang w:val="bg-BG"/>
        </w:rPr>
        <w:t>от страна на Българската народна банка (БНБ).</w:t>
      </w:r>
    </w:p>
    <w:p w14:paraId="306276E9" w14:textId="77777777" w:rsidR="00633E80" w:rsidRPr="009C6DC2" w:rsidRDefault="00441CC0" w:rsidP="003C0B26">
      <w:pPr>
        <w:pStyle w:val="Heading3"/>
        <w:rPr>
          <w:rFonts w:ascii="Arial" w:hAnsi="Arial" w:cs="Arial"/>
          <w:b/>
          <w:color w:val="4F81BD" w:themeColor="accent1"/>
          <w:sz w:val="20"/>
          <w:szCs w:val="20"/>
          <w:lang w:val="bg-BG"/>
        </w:rPr>
      </w:pPr>
      <w:r w:rsidRPr="00680029" w:rsidDel="00441CC0">
        <w:rPr>
          <w:rFonts w:ascii="Arial" w:hAnsi="Arial" w:cs="Arial"/>
          <w:sz w:val="20"/>
          <w:szCs w:val="20"/>
          <w:lang w:val="bg-BG"/>
        </w:rPr>
        <w:t xml:space="preserve"> </w:t>
      </w:r>
      <w:bookmarkStart w:id="2" w:name="_Toc503798465"/>
      <w:r w:rsidR="007C72A8" w:rsidRPr="009C6DC2">
        <w:rPr>
          <w:rFonts w:ascii="Arial" w:hAnsi="Arial" w:cs="Arial"/>
          <w:b/>
          <w:color w:val="4F81BD" w:themeColor="accent1"/>
          <w:sz w:val="20"/>
          <w:szCs w:val="20"/>
          <w:lang w:val="bg-BG"/>
        </w:rPr>
        <w:t xml:space="preserve">2. </w:t>
      </w:r>
      <w:r w:rsidR="009C6DC2">
        <w:rPr>
          <w:rFonts w:ascii="Arial" w:hAnsi="Arial" w:cs="Arial"/>
          <w:b/>
          <w:color w:val="4F81BD" w:themeColor="accent1"/>
          <w:sz w:val="20"/>
          <w:szCs w:val="20"/>
          <w:lang w:val="bg-BG"/>
        </w:rPr>
        <w:t>Стратегически контекст</w:t>
      </w:r>
      <w:bookmarkEnd w:id="2"/>
    </w:p>
    <w:p w14:paraId="4C78A4E1" w14:textId="77777777" w:rsidR="00A836B4" w:rsidRPr="009C6DC2" w:rsidRDefault="007C72A8" w:rsidP="003C0B26">
      <w:pPr>
        <w:pStyle w:val="Heading3"/>
        <w:ind w:firstLine="360"/>
        <w:rPr>
          <w:rFonts w:ascii="Arial" w:hAnsi="Arial" w:cs="Arial"/>
          <w:b/>
          <w:color w:val="4F81BD" w:themeColor="accent1"/>
          <w:sz w:val="20"/>
          <w:szCs w:val="20"/>
          <w:lang w:val="bg-BG"/>
        </w:rPr>
      </w:pPr>
      <w:bookmarkStart w:id="3" w:name="_Toc503798466"/>
      <w:r w:rsidRPr="009C6DC2">
        <w:rPr>
          <w:rFonts w:ascii="Arial" w:hAnsi="Arial" w:cs="Arial"/>
          <w:b/>
          <w:color w:val="4F81BD" w:themeColor="accent1"/>
          <w:sz w:val="20"/>
          <w:szCs w:val="20"/>
          <w:lang w:val="bg-BG"/>
        </w:rPr>
        <w:t>2</w:t>
      </w:r>
      <w:r w:rsidR="00A836B4" w:rsidRPr="009C6DC2">
        <w:rPr>
          <w:rFonts w:ascii="Arial" w:hAnsi="Arial" w:cs="Arial"/>
          <w:b/>
          <w:color w:val="4F81BD" w:themeColor="accent1"/>
          <w:sz w:val="20"/>
          <w:szCs w:val="20"/>
          <w:lang w:val="bg-BG"/>
        </w:rPr>
        <w:t xml:space="preserve">.1 </w:t>
      </w:r>
      <w:r w:rsidR="009A2953">
        <w:rPr>
          <w:rFonts w:ascii="Arial" w:hAnsi="Arial" w:cs="Arial"/>
          <w:b/>
          <w:color w:val="4F81BD" w:themeColor="accent1"/>
          <w:sz w:val="20"/>
          <w:szCs w:val="20"/>
          <w:lang w:val="bg-BG"/>
        </w:rPr>
        <w:t>Пазарен контекст</w:t>
      </w:r>
      <w:bookmarkEnd w:id="3"/>
    </w:p>
    <w:p w14:paraId="4B5A3C94" w14:textId="77777777" w:rsidR="009C6DC2" w:rsidRPr="009C6DC2" w:rsidRDefault="009C6DC2" w:rsidP="003C0B26">
      <w:pPr>
        <w:keepNext/>
        <w:spacing w:after="120"/>
        <w:jc w:val="both"/>
        <w:rPr>
          <w:rFonts w:ascii="Arial" w:hAnsi="Arial" w:cs="Arial"/>
          <w:sz w:val="20"/>
          <w:szCs w:val="20"/>
          <w:lang w:val="bg-BG"/>
        </w:rPr>
      </w:pPr>
      <w:r w:rsidRPr="009C6DC2">
        <w:rPr>
          <w:rFonts w:ascii="Arial" w:hAnsi="Arial" w:cs="Arial"/>
          <w:sz w:val="20"/>
          <w:szCs w:val="20"/>
          <w:lang w:val="bg-BG"/>
        </w:rPr>
        <w:t xml:space="preserve">Предварителната оценка </w:t>
      </w:r>
      <w:r>
        <w:rPr>
          <w:rFonts w:ascii="Arial" w:hAnsi="Arial" w:cs="Arial"/>
          <w:sz w:val="20"/>
          <w:szCs w:val="20"/>
          <w:lang w:val="bg-BG"/>
        </w:rPr>
        <w:t xml:space="preserve">по ОПОС </w:t>
      </w:r>
      <w:r w:rsidR="00044B1B">
        <w:rPr>
          <w:rFonts w:ascii="Arial" w:hAnsi="Arial" w:cs="Arial"/>
          <w:sz w:val="20"/>
          <w:szCs w:val="20"/>
          <w:lang w:val="bg-BG"/>
        </w:rPr>
        <w:t xml:space="preserve">2014-2020 г. </w:t>
      </w:r>
      <w:r w:rsidRPr="009C6DC2">
        <w:rPr>
          <w:rFonts w:ascii="Arial" w:hAnsi="Arial" w:cs="Arial"/>
          <w:sz w:val="20"/>
          <w:szCs w:val="20"/>
          <w:lang w:val="bg-BG"/>
        </w:rPr>
        <w:t>проуч</w:t>
      </w:r>
      <w:r w:rsidR="00881F4B">
        <w:rPr>
          <w:rFonts w:ascii="Arial" w:hAnsi="Arial" w:cs="Arial"/>
          <w:sz w:val="20"/>
          <w:szCs w:val="20"/>
          <w:lang w:val="bg-BG"/>
        </w:rPr>
        <w:t>ва</w:t>
      </w:r>
      <w:r w:rsidRPr="009C6DC2">
        <w:rPr>
          <w:rFonts w:ascii="Arial" w:hAnsi="Arial" w:cs="Arial"/>
          <w:sz w:val="20"/>
          <w:szCs w:val="20"/>
          <w:lang w:val="bg-BG"/>
        </w:rPr>
        <w:t xml:space="preserve"> предлагането и търсенето на финансиране в сектор </w:t>
      </w:r>
      <w:r>
        <w:rPr>
          <w:rFonts w:ascii="Arial" w:hAnsi="Arial" w:cs="Arial"/>
          <w:sz w:val="20"/>
          <w:szCs w:val="20"/>
          <w:lang w:val="bg-BG"/>
        </w:rPr>
        <w:t>ВиК</w:t>
      </w:r>
      <w:r w:rsidRPr="009C6DC2">
        <w:rPr>
          <w:rFonts w:ascii="Arial" w:hAnsi="Arial" w:cs="Arial"/>
          <w:sz w:val="20"/>
          <w:szCs w:val="20"/>
          <w:lang w:val="bg-BG"/>
        </w:rPr>
        <w:t xml:space="preserve"> и идентифицира недостатъците, довели до наблюдаваната неоптимална инвестиционна ситуация:</w:t>
      </w:r>
    </w:p>
    <w:p w14:paraId="5FD2E8BC" w14:textId="77777777" w:rsidR="00F119F1" w:rsidRDefault="009C6DC2" w:rsidP="00F119F1">
      <w:pPr>
        <w:pStyle w:val="Caption"/>
        <w:keepNext/>
        <w:rPr>
          <w:rFonts w:ascii="Arial" w:hAnsi="Arial" w:cs="Arial"/>
          <w:sz w:val="20"/>
          <w:szCs w:val="20"/>
          <w:lang w:val="bg-BG"/>
        </w:rPr>
      </w:pPr>
      <w:bookmarkStart w:id="4" w:name="_Toc482716751"/>
      <w:bookmarkStart w:id="5" w:name="_Toc433462931"/>
      <w:r>
        <w:rPr>
          <w:rFonts w:ascii="Arial" w:hAnsi="Arial" w:cs="Arial"/>
          <w:sz w:val="20"/>
          <w:szCs w:val="20"/>
          <w:lang w:val="bg-BG"/>
        </w:rPr>
        <w:t>Таблица</w:t>
      </w:r>
      <w:r w:rsidR="00F119F1" w:rsidRPr="009C6DC2">
        <w:rPr>
          <w:rFonts w:ascii="Arial" w:hAnsi="Arial" w:cs="Arial"/>
          <w:sz w:val="20"/>
          <w:szCs w:val="20"/>
          <w:lang w:val="bg-BG"/>
        </w:rPr>
        <w:t xml:space="preserve"> </w:t>
      </w:r>
      <w:r w:rsidR="00F119F1" w:rsidRPr="005C72AD">
        <w:rPr>
          <w:rFonts w:ascii="Arial" w:hAnsi="Arial" w:cs="Arial"/>
          <w:sz w:val="20"/>
          <w:szCs w:val="20"/>
        </w:rPr>
        <w:fldChar w:fldCharType="begin"/>
      </w:r>
      <w:r w:rsidR="00F119F1" w:rsidRPr="009C6DC2">
        <w:rPr>
          <w:rFonts w:ascii="Arial" w:hAnsi="Arial" w:cs="Arial"/>
          <w:sz w:val="20"/>
          <w:szCs w:val="20"/>
          <w:lang w:val="bg-BG"/>
        </w:rPr>
        <w:instrText xml:space="preserve"> </w:instrText>
      </w:r>
      <w:r w:rsidR="00F119F1" w:rsidRPr="005C72AD">
        <w:rPr>
          <w:rFonts w:ascii="Arial" w:hAnsi="Arial" w:cs="Arial"/>
          <w:sz w:val="20"/>
          <w:szCs w:val="20"/>
        </w:rPr>
        <w:instrText>SEQ</w:instrText>
      </w:r>
      <w:r w:rsidR="00F119F1" w:rsidRPr="009C6DC2">
        <w:rPr>
          <w:rFonts w:ascii="Arial" w:hAnsi="Arial" w:cs="Arial"/>
          <w:sz w:val="20"/>
          <w:szCs w:val="20"/>
          <w:lang w:val="bg-BG"/>
        </w:rPr>
        <w:instrText xml:space="preserve"> </w:instrText>
      </w:r>
      <w:r w:rsidR="00F119F1" w:rsidRPr="005C72AD">
        <w:rPr>
          <w:rFonts w:ascii="Arial" w:hAnsi="Arial" w:cs="Arial"/>
          <w:sz w:val="20"/>
          <w:szCs w:val="20"/>
        </w:rPr>
        <w:instrText>Table</w:instrText>
      </w:r>
      <w:r w:rsidR="00F119F1" w:rsidRPr="009C6DC2">
        <w:rPr>
          <w:rFonts w:ascii="Arial" w:hAnsi="Arial" w:cs="Arial"/>
          <w:sz w:val="20"/>
          <w:szCs w:val="20"/>
          <w:lang w:val="bg-BG"/>
        </w:rPr>
        <w:instrText xml:space="preserve"> \* </w:instrText>
      </w:r>
      <w:r w:rsidR="00F119F1" w:rsidRPr="005C72AD">
        <w:rPr>
          <w:rFonts w:ascii="Arial" w:hAnsi="Arial" w:cs="Arial"/>
          <w:sz w:val="20"/>
          <w:szCs w:val="20"/>
        </w:rPr>
        <w:instrText>ARABIC</w:instrText>
      </w:r>
      <w:r w:rsidR="00F119F1" w:rsidRPr="009C6DC2">
        <w:rPr>
          <w:rFonts w:ascii="Arial" w:hAnsi="Arial" w:cs="Arial"/>
          <w:sz w:val="20"/>
          <w:szCs w:val="20"/>
          <w:lang w:val="bg-BG"/>
        </w:rPr>
        <w:instrText xml:space="preserve"> </w:instrText>
      </w:r>
      <w:r w:rsidR="00F119F1" w:rsidRPr="005C72AD">
        <w:rPr>
          <w:rFonts w:ascii="Arial" w:hAnsi="Arial" w:cs="Arial"/>
          <w:sz w:val="20"/>
          <w:szCs w:val="20"/>
        </w:rPr>
        <w:fldChar w:fldCharType="separate"/>
      </w:r>
      <w:r w:rsidR="00AC6AED" w:rsidRPr="00785B0F">
        <w:rPr>
          <w:rFonts w:ascii="Arial" w:hAnsi="Arial" w:cs="Arial"/>
          <w:noProof/>
          <w:sz w:val="20"/>
          <w:szCs w:val="20"/>
          <w:lang w:val="bg-BG"/>
        </w:rPr>
        <w:t>1</w:t>
      </w:r>
      <w:r w:rsidR="00F119F1" w:rsidRPr="005C72AD">
        <w:rPr>
          <w:rFonts w:ascii="Arial" w:hAnsi="Arial" w:cs="Arial"/>
          <w:sz w:val="20"/>
          <w:szCs w:val="20"/>
        </w:rPr>
        <w:fldChar w:fldCharType="end"/>
      </w:r>
      <w:r w:rsidR="00F119F1" w:rsidRPr="009C6DC2">
        <w:rPr>
          <w:rFonts w:ascii="Arial" w:hAnsi="Arial" w:cs="Arial"/>
          <w:sz w:val="20"/>
          <w:szCs w:val="20"/>
          <w:lang w:val="bg-BG"/>
        </w:rPr>
        <w:t xml:space="preserve">: </w:t>
      </w:r>
      <w:r>
        <w:rPr>
          <w:rFonts w:ascii="Arial" w:hAnsi="Arial" w:cs="Arial"/>
          <w:sz w:val="20"/>
          <w:szCs w:val="20"/>
          <w:lang w:val="bg-BG"/>
        </w:rPr>
        <w:t>Неоптимална инвестиционна ситуация във ВиК сектора</w:t>
      </w:r>
      <w:bookmarkEnd w:id="4"/>
      <w:r w:rsidR="00F119F1" w:rsidRPr="009C6DC2">
        <w:rPr>
          <w:rFonts w:ascii="Arial" w:hAnsi="Arial" w:cs="Arial"/>
          <w:sz w:val="20"/>
          <w:szCs w:val="20"/>
          <w:lang w:val="bg-BG"/>
        </w:rPr>
        <w:t xml:space="preserve"> </w:t>
      </w:r>
      <w:bookmarkEnd w:id="5"/>
    </w:p>
    <w:p w14:paraId="39374E83" w14:textId="77777777" w:rsidR="00AD0692" w:rsidRDefault="00D27E4B" w:rsidP="00AD0692">
      <w:pPr>
        <w:spacing w:after="120"/>
        <w:jc w:val="both"/>
        <w:rPr>
          <w:rFonts w:ascii="Arial" w:eastAsia="Calibri" w:hAnsi="Arial" w:cs="Arial"/>
          <w:i/>
          <w:spacing w:val="1"/>
          <w:sz w:val="16"/>
          <w:szCs w:val="16"/>
          <w:lang w:eastAsia="it-IT"/>
        </w:rPr>
      </w:pPr>
      <w:r w:rsidRPr="00314448">
        <w:rPr>
          <w:rFonts w:ascii="Arial" w:hAnsi="Arial" w:cs="Arial"/>
          <w:noProof/>
          <w:sz w:val="20"/>
          <w:szCs w:val="20"/>
          <w:lang w:val="en-US"/>
        </w:rPr>
        <w:drawing>
          <wp:anchor distT="0" distB="0" distL="114300" distR="114300" simplePos="0" relativeHeight="251672064" behindDoc="0" locked="0" layoutInCell="1" allowOverlap="1" wp14:anchorId="403D5357" wp14:editId="293BC18A">
            <wp:simplePos x="0" y="0"/>
            <wp:positionH relativeFrom="column">
              <wp:posOffset>-137795</wp:posOffset>
            </wp:positionH>
            <wp:positionV relativeFrom="paragraph">
              <wp:posOffset>1519961</wp:posOffset>
            </wp:positionV>
            <wp:extent cx="6192520" cy="2415540"/>
            <wp:effectExtent l="0" t="0" r="17780"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371D2E">
        <w:rPr>
          <w:rFonts w:ascii="Arial" w:hAnsi="Arial" w:cs="Arial"/>
          <w:noProof/>
          <w:sz w:val="20"/>
          <w:szCs w:val="20"/>
          <w:lang w:val="en-US"/>
        </w:rPr>
        <mc:AlternateContent>
          <mc:Choice Requires="wps">
            <w:drawing>
              <wp:anchor distT="0" distB="0" distL="114300" distR="114300" simplePos="0" relativeHeight="251671040" behindDoc="0" locked="0" layoutInCell="1" allowOverlap="1" wp14:anchorId="707ED3BF" wp14:editId="4C8E2A57">
                <wp:simplePos x="0" y="0"/>
                <wp:positionH relativeFrom="column">
                  <wp:posOffset>183041</wp:posOffset>
                </wp:positionH>
                <wp:positionV relativeFrom="paragraph">
                  <wp:posOffset>1831378</wp:posOffset>
                </wp:positionV>
                <wp:extent cx="6000750" cy="371475"/>
                <wp:effectExtent l="38100" t="0" r="0" b="47625"/>
                <wp:wrapNone/>
                <wp:docPr id="4" name="Down Arrow 4"/>
                <wp:cNvGraphicFramePr/>
                <a:graphic xmlns:a="http://schemas.openxmlformats.org/drawingml/2006/main">
                  <a:graphicData uri="http://schemas.microsoft.com/office/word/2010/wordprocessingShape">
                    <wps:wsp>
                      <wps:cNvSpPr/>
                      <wps:spPr>
                        <a:xfrm>
                          <a:off x="0" y="0"/>
                          <a:ext cx="6000750" cy="371475"/>
                        </a:xfrm>
                        <a:prstGeom prst="downArrow">
                          <a:avLst>
                            <a:gd name="adj1" fmla="val 55319"/>
                            <a:gd name="adj2" fmla="val 83333"/>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177C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4.4pt;margin-top:144.2pt;width:472.5pt;height:29.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" adj="3600,4826" fillcolor="#d8d8d8 [2732]" strokecolor="#d8d8d8 [2732]" strokeweight="2pt"/>
            </w:pict>
          </mc:Fallback>
        </mc:AlternateContent>
      </w:r>
      <w:r w:rsidR="00AD0692" w:rsidRPr="00314448">
        <w:rPr>
          <w:rFonts w:ascii="Arial" w:hAnsi="Arial" w:cs="Arial"/>
          <w:noProof/>
          <w:sz w:val="20"/>
          <w:szCs w:val="20"/>
          <w:lang w:val="en-US"/>
        </w:rPr>
        <w:drawing>
          <wp:inline distT="0" distB="0" distL="0" distR="0" wp14:anchorId="04FB3170" wp14:editId="33A44365">
            <wp:extent cx="7047230" cy="2260121"/>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9CBC5BE" w14:textId="77777777" w:rsidR="00AD0692" w:rsidRPr="009E5168" w:rsidRDefault="00AD0692" w:rsidP="00AD0692"/>
    <w:p w14:paraId="396DCECF" w14:textId="77777777" w:rsidR="00AD0692" w:rsidRPr="00F119F1" w:rsidRDefault="00AD0692" w:rsidP="00AD0692">
      <w:pPr>
        <w:spacing w:after="120"/>
        <w:jc w:val="both"/>
        <w:rPr>
          <w:rFonts w:ascii="Arial" w:eastAsia="Calibri" w:hAnsi="Arial" w:cs="Arial"/>
          <w:b/>
          <w:i/>
          <w:spacing w:val="1"/>
          <w:sz w:val="16"/>
          <w:szCs w:val="16"/>
          <w:lang w:eastAsia="it-IT"/>
        </w:rPr>
      </w:pPr>
    </w:p>
    <w:p w14:paraId="44A3AB4C" w14:textId="77777777" w:rsidR="00AD0692" w:rsidRDefault="00AD0692" w:rsidP="00AD0692">
      <w:pPr>
        <w:spacing w:after="120"/>
        <w:jc w:val="both"/>
        <w:rPr>
          <w:rFonts w:ascii="Arial" w:eastAsia="Calibri" w:hAnsi="Arial" w:cs="Arial"/>
          <w:i/>
          <w:spacing w:val="1"/>
          <w:sz w:val="16"/>
          <w:szCs w:val="16"/>
          <w:lang w:eastAsia="it-IT"/>
        </w:rPr>
      </w:pPr>
    </w:p>
    <w:p w14:paraId="55EF631E" w14:textId="77777777" w:rsidR="00AD0692" w:rsidRDefault="00AD0692" w:rsidP="00AD0692">
      <w:pPr>
        <w:spacing w:after="120"/>
        <w:jc w:val="both"/>
        <w:rPr>
          <w:rFonts w:ascii="Arial" w:eastAsia="Calibri" w:hAnsi="Arial" w:cs="Arial"/>
          <w:i/>
          <w:spacing w:val="1"/>
          <w:sz w:val="16"/>
          <w:szCs w:val="16"/>
          <w:lang w:eastAsia="it-IT"/>
        </w:rPr>
      </w:pPr>
    </w:p>
    <w:p w14:paraId="5BBA4DF0" w14:textId="77777777" w:rsidR="00AD0692" w:rsidRDefault="00AD0692" w:rsidP="00AD0692">
      <w:pPr>
        <w:spacing w:after="120"/>
        <w:jc w:val="both"/>
        <w:rPr>
          <w:rFonts w:ascii="Arial" w:eastAsia="Calibri" w:hAnsi="Arial" w:cs="Arial"/>
          <w:i/>
          <w:spacing w:val="1"/>
          <w:sz w:val="16"/>
          <w:szCs w:val="16"/>
          <w:lang w:eastAsia="it-IT"/>
        </w:rPr>
      </w:pPr>
    </w:p>
    <w:p w14:paraId="154CDA70" w14:textId="77777777" w:rsidR="00AD0692" w:rsidRDefault="00AD0692" w:rsidP="00AD0692">
      <w:pPr>
        <w:spacing w:after="120"/>
        <w:jc w:val="both"/>
        <w:rPr>
          <w:rFonts w:ascii="Arial" w:eastAsia="Calibri" w:hAnsi="Arial" w:cs="Arial"/>
          <w:i/>
          <w:spacing w:val="1"/>
          <w:sz w:val="16"/>
          <w:szCs w:val="16"/>
          <w:lang w:eastAsia="it-IT"/>
        </w:rPr>
      </w:pPr>
    </w:p>
    <w:p w14:paraId="4064C3E5" w14:textId="77777777" w:rsidR="00AD0692" w:rsidRDefault="00AD0692" w:rsidP="00AD0692">
      <w:pPr>
        <w:spacing w:after="120"/>
        <w:jc w:val="both"/>
        <w:rPr>
          <w:rFonts w:ascii="Arial" w:eastAsia="Calibri" w:hAnsi="Arial" w:cs="Arial"/>
          <w:i/>
          <w:spacing w:val="1"/>
          <w:sz w:val="16"/>
          <w:szCs w:val="16"/>
          <w:lang w:eastAsia="it-IT"/>
        </w:rPr>
      </w:pPr>
    </w:p>
    <w:p w14:paraId="74BBED6C" w14:textId="77777777" w:rsidR="00AD0692" w:rsidRPr="00ED2DE4" w:rsidRDefault="00AD0692" w:rsidP="00AD0692">
      <w:pPr>
        <w:spacing w:after="120"/>
        <w:jc w:val="both"/>
        <w:rPr>
          <w:rFonts w:ascii="Arial" w:eastAsia="Calibri" w:hAnsi="Arial" w:cs="Arial"/>
          <w:i/>
          <w:spacing w:val="1"/>
          <w:sz w:val="16"/>
          <w:szCs w:val="16"/>
          <w:lang w:eastAsia="it-IT"/>
        </w:rPr>
      </w:pPr>
      <w:r w:rsidRPr="00ED2DE4">
        <w:rPr>
          <w:rFonts w:ascii="Arial" w:eastAsia="Calibri" w:hAnsi="Arial" w:cs="Arial"/>
          <w:i/>
          <w:spacing w:val="1"/>
          <w:sz w:val="16"/>
          <w:szCs w:val="16"/>
          <w:lang w:val="bg-BG" w:eastAsia="it-IT"/>
        </w:rPr>
        <w:t>Източник: Предварителна оценка на финансови инструменти по ОПОС 2014-2020 г. и анализ на ЕБВР/</w:t>
      </w:r>
      <w:r>
        <w:rPr>
          <w:rFonts w:ascii="Arial" w:eastAsia="Calibri" w:hAnsi="Arial" w:cs="Arial"/>
          <w:i/>
          <w:spacing w:val="1"/>
          <w:sz w:val="16"/>
          <w:szCs w:val="16"/>
          <w:lang w:eastAsia="it-IT"/>
        </w:rPr>
        <w:t>PwC</w:t>
      </w:r>
    </w:p>
    <w:p w14:paraId="68904224" w14:textId="668D8A72" w:rsidR="00ED2DE4" w:rsidRPr="00D922AD" w:rsidRDefault="00ED2DE4" w:rsidP="00ED2DE4">
      <w:pPr>
        <w:pStyle w:val="ListParagraph"/>
        <w:spacing w:after="120"/>
        <w:ind w:left="0"/>
        <w:contextualSpacing w:val="0"/>
        <w:jc w:val="both"/>
        <w:rPr>
          <w:rFonts w:ascii="Arial" w:hAnsi="Arial" w:cs="Arial"/>
          <w:sz w:val="20"/>
          <w:szCs w:val="20"/>
          <w:lang w:val="bg-BG"/>
        </w:rPr>
      </w:pPr>
      <w:r w:rsidRPr="00D922AD">
        <w:rPr>
          <w:rFonts w:ascii="Arial" w:hAnsi="Arial" w:cs="Arial"/>
          <w:sz w:val="20"/>
          <w:szCs w:val="20"/>
          <w:lang w:val="bg-BG"/>
        </w:rPr>
        <w:t>През програм</w:t>
      </w:r>
      <w:r>
        <w:rPr>
          <w:rFonts w:ascii="Arial" w:hAnsi="Arial" w:cs="Arial"/>
          <w:sz w:val="20"/>
          <w:szCs w:val="20"/>
          <w:lang w:val="bg-BG"/>
        </w:rPr>
        <w:t>ния период 2007-2013 г., ВиК</w:t>
      </w:r>
      <w:r w:rsidRPr="00D922AD">
        <w:rPr>
          <w:rFonts w:ascii="Arial" w:hAnsi="Arial" w:cs="Arial"/>
          <w:sz w:val="20"/>
          <w:szCs w:val="20"/>
          <w:lang w:val="bg-BG"/>
        </w:rPr>
        <w:t xml:space="preserve"> сектор</w:t>
      </w:r>
      <w:r>
        <w:rPr>
          <w:rFonts w:ascii="Arial" w:hAnsi="Arial" w:cs="Arial"/>
          <w:sz w:val="20"/>
          <w:szCs w:val="20"/>
          <w:lang w:val="bg-BG"/>
        </w:rPr>
        <w:t>ът</w:t>
      </w:r>
      <w:r w:rsidRPr="00D922AD">
        <w:rPr>
          <w:rFonts w:ascii="Arial" w:hAnsi="Arial" w:cs="Arial"/>
          <w:sz w:val="20"/>
          <w:szCs w:val="20"/>
          <w:lang w:val="bg-BG"/>
        </w:rPr>
        <w:t xml:space="preserve"> </w:t>
      </w:r>
      <w:r>
        <w:rPr>
          <w:rFonts w:ascii="Arial" w:hAnsi="Arial" w:cs="Arial"/>
          <w:sz w:val="20"/>
          <w:szCs w:val="20"/>
          <w:lang w:val="bg-BG"/>
        </w:rPr>
        <w:t>е финансиран</w:t>
      </w:r>
      <w:r w:rsidRPr="00D922AD">
        <w:rPr>
          <w:rFonts w:ascii="Arial" w:hAnsi="Arial" w:cs="Arial"/>
          <w:sz w:val="20"/>
          <w:szCs w:val="20"/>
          <w:lang w:val="bg-BG"/>
        </w:rPr>
        <w:t xml:space="preserve"> също от Кохезионни</w:t>
      </w:r>
      <w:r w:rsidR="00D07791">
        <w:rPr>
          <w:rFonts w:ascii="Arial" w:hAnsi="Arial" w:cs="Arial"/>
          <w:sz w:val="20"/>
          <w:szCs w:val="20"/>
          <w:lang w:val="bg-BG"/>
        </w:rPr>
        <w:t>я</w:t>
      </w:r>
      <w:r w:rsidRPr="00D922AD">
        <w:rPr>
          <w:rFonts w:ascii="Arial" w:hAnsi="Arial" w:cs="Arial"/>
          <w:sz w:val="20"/>
          <w:szCs w:val="20"/>
          <w:lang w:val="bg-BG"/>
        </w:rPr>
        <w:t xml:space="preserve"> фонд под формата на </w:t>
      </w:r>
      <w:r>
        <w:rPr>
          <w:rFonts w:ascii="Arial" w:hAnsi="Arial" w:cs="Arial"/>
          <w:sz w:val="20"/>
          <w:szCs w:val="20"/>
          <w:lang w:val="bg-BG"/>
        </w:rPr>
        <w:t>безвъзмездна финансова помощ</w:t>
      </w:r>
      <w:r w:rsidRPr="00D922AD">
        <w:rPr>
          <w:rFonts w:ascii="Arial" w:hAnsi="Arial" w:cs="Arial"/>
          <w:sz w:val="20"/>
          <w:szCs w:val="20"/>
          <w:lang w:val="bg-BG"/>
        </w:rPr>
        <w:t>. Подобно финансиране през периода 2</w:t>
      </w:r>
      <w:r>
        <w:rPr>
          <w:rFonts w:ascii="Arial" w:hAnsi="Arial" w:cs="Arial"/>
          <w:sz w:val="20"/>
          <w:szCs w:val="20"/>
          <w:lang w:val="bg-BG"/>
        </w:rPr>
        <w:t xml:space="preserve">014-2020 г. </w:t>
      </w:r>
      <w:r w:rsidR="00B12218">
        <w:rPr>
          <w:rFonts w:ascii="Arial" w:hAnsi="Arial" w:cs="Arial"/>
          <w:sz w:val="20"/>
          <w:szCs w:val="20"/>
          <w:lang w:val="bg-BG"/>
        </w:rPr>
        <w:t>е</w:t>
      </w:r>
      <w:r>
        <w:rPr>
          <w:rFonts w:ascii="Arial" w:hAnsi="Arial" w:cs="Arial"/>
          <w:sz w:val="20"/>
          <w:szCs w:val="20"/>
          <w:lang w:val="bg-BG"/>
        </w:rPr>
        <w:t xml:space="preserve"> достъпно </w:t>
      </w:r>
      <w:r w:rsidR="00044B1B">
        <w:rPr>
          <w:rFonts w:ascii="Arial" w:hAnsi="Arial" w:cs="Arial"/>
          <w:sz w:val="20"/>
          <w:szCs w:val="20"/>
          <w:lang w:val="bg-BG"/>
        </w:rPr>
        <w:t>от</w:t>
      </w:r>
      <w:r w:rsidR="00044B1B" w:rsidRPr="00D922AD">
        <w:rPr>
          <w:rFonts w:ascii="Arial" w:hAnsi="Arial" w:cs="Arial"/>
          <w:sz w:val="20"/>
          <w:szCs w:val="20"/>
          <w:lang w:val="bg-BG"/>
        </w:rPr>
        <w:t xml:space="preserve"> </w:t>
      </w:r>
      <w:r w:rsidRPr="00D922AD">
        <w:rPr>
          <w:rFonts w:ascii="Arial" w:hAnsi="Arial" w:cs="Arial"/>
          <w:sz w:val="20"/>
          <w:szCs w:val="20"/>
          <w:lang w:val="bg-BG"/>
        </w:rPr>
        <w:t>ЕСИФ</w:t>
      </w:r>
      <w:r w:rsidR="00FF5C23" w:rsidRPr="00785B0F">
        <w:rPr>
          <w:rFonts w:ascii="Arial" w:hAnsi="Arial" w:cs="Arial"/>
          <w:sz w:val="20"/>
          <w:szCs w:val="20"/>
          <w:lang w:val="bg-BG"/>
        </w:rPr>
        <w:t xml:space="preserve"> </w:t>
      </w:r>
      <w:r w:rsidR="00FF5C23">
        <w:rPr>
          <w:rFonts w:ascii="Arial" w:hAnsi="Arial" w:cs="Arial"/>
          <w:sz w:val="20"/>
          <w:szCs w:val="20"/>
          <w:lang w:val="bg-BG"/>
        </w:rPr>
        <w:t>чрез БФП по ПО 1 „Води“ на ОПОС 2014-2020</w:t>
      </w:r>
      <w:r w:rsidR="00881F4B">
        <w:rPr>
          <w:rFonts w:ascii="Arial" w:hAnsi="Arial" w:cs="Arial"/>
          <w:sz w:val="20"/>
          <w:szCs w:val="20"/>
          <w:lang w:val="bg-BG"/>
        </w:rPr>
        <w:t xml:space="preserve"> г</w:t>
      </w:r>
      <w:r w:rsidRPr="00D922AD">
        <w:rPr>
          <w:rFonts w:ascii="Arial" w:hAnsi="Arial" w:cs="Arial"/>
          <w:sz w:val="20"/>
          <w:szCs w:val="20"/>
          <w:lang w:val="bg-BG"/>
        </w:rPr>
        <w:t>.</w:t>
      </w:r>
    </w:p>
    <w:p w14:paraId="01464D4D" w14:textId="77777777" w:rsidR="00ED2DE4" w:rsidRPr="00785B0F" w:rsidRDefault="006624B7" w:rsidP="00ED2DE4">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lastRenderedPageBreak/>
        <w:t>„</w:t>
      </w:r>
      <w:r w:rsidR="00ED2DE4" w:rsidRPr="00FE4A82">
        <w:rPr>
          <w:rFonts w:ascii="Arial" w:hAnsi="Arial" w:cs="Arial"/>
          <w:sz w:val="20"/>
          <w:szCs w:val="20"/>
          <w:lang w:val="bg-BG"/>
        </w:rPr>
        <w:t xml:space="preserve">Стратегията за </w:t>
      </w:r>
      <w:r w:rsidR="00ED2DE4">
        <w:rPr>
          <w:rFonts w:ascii="Arial" w:hAnsi="Arial" w:cs="Arial"/>
          <w:sz w:val="20"/>
          <w:szCs w:val="20"/>
          <w:lang w:val="bg-BG"/>
        </w:rPr>
        <w:t>развитие и управление</w:t>
      </w:r>
      <w:r w:rsidR="00ED2DE4" w:rsidRPr="00FE4A82">
        <w:rPr>
          <w:rFonts w:ascii="Arial" w:hAnsi="Arial" w:cs="Arial"/>
          <w:sz w:val="20"/>
          <w:szCs w:val="20"/>
          <w:lang w:val="bg-BG"/>
        </w:rPr>
        <w:t xml:space="preserve"> на водоснабдяването и канализацията в </w:t>
      </w:r>
      <w:r w:rsidR="004D096B">
        <w:rPr>
          <w:rFonts w:ascii="Arial" w:hAnsi="Arial" w:cs="Arial"/>
          <w:sz w:val="20"/>
          <w:szCs w:val="20"/>
          <w:lang w:val="bg-BG"/>
        </w:rPr>
        <w:t>Република България 2014-2023 г.</w:t>
      </w:r>
      <w:r>
        <w:rPr>
          <w:rFonts w:ascii="Arial" w:hAnsi="Arial" w:cs="Arial"/>
          <w:sz w:val="20"/>
          <w:szCs w:val="20"/>
          <w:lang w:val="bg-BG"/>
        </w:rPr>
        <w:t>“</w:t>
      </w:r>
      <w:r w:rsidR="00EC0150">
        <w:rPr>
          <w:rFonts w:ascii="Arial" w:hAnsi="Arial" w:cs="Arial"/>
          <w:sz w:val="20"/>
          <w:szCs w:val="20"/>
          <w:lang w:val="bg-BG"/>
        </w:rPr>
        <w:t xml:space="preserve"> (т. нар. С</w:t>
      </w:r>
      <w:r w:rsidR="00DD6846">
        <w:rPr>
          <w:rFonts w:ascii="Arial" w:hAnsi="Arial" w:cs="Arial"/>
          <w:sz w:val="20"/>
          <w:szCs w:val="20"/>
          <w:lang w:val="bg-BG"/>
        </w:rPr>
        <w:t>тратегия</w:t>
      </w:r>
      <w:r w:rsidR="00ED2DE4">
        <w:rPr>
          <w:rFonts w:ascii="Arial" w:hAnsi="Arial" w:cs="Arial"/>
          <w:sz w:val="20"/>
          <w:szCs w:val="20"/>
          <w:lang w:val="bg-BG"/>
        </w:rPr>
        <w:t xml:space="preserve"> за </w:t>
      </w:r>
      <w:r w:rsidR="00EC0150">
        <w:rPr>
          <w:rFonts w:ascii="Arial" w:hAnsi="Arial" w:cs="Arial"/>
          <w:sz w:val="20"/>
          <w:szCs w:val="20"/>
          <w:lang w:val="bg-BG"/>
        </w:rPr>
        <w:t>ВиК</w:t>
      </w:r>
      <w:r w:rsidR="00ED2DE4">
        <w:rPr>
          <w:rFonts w:ascii="Arial" w:hAnsi="Arial" w:cs="Arial"/>
          <w:sz w:val="20"/>
          <w:szCs w:val="20"/>
          <w:lang w:val="bg-BG"/>
        </w:rPr>
        <w:t>)</w:t>
      </w:r>
      <w:r w:rsidR="00660BCF" w:rsidRPr="00314448">
        <w:rPr>
          <w:rStyle w:val="FootnoteReference"/>
          <w:rFonts w:ascii="Arial" w:hAnsi="Arial" w:cs="Arial"/>
          <w:bCs/>
          <w:sz w:val="20"/>
          <w:szCs w:val="20"/>
        </w:rPr>
        <w:footnoteReference w:id="5"/>
      </w:r>
      <w:r w:rsidR="00ED2DE4" w:rsidRPr="00FE4A82">
        <w:rPr>
          <w:rFonts w:ascii="Arial" w:hAnsi="Arial" w:cs="Arial"/>
          <w:sz w:val="20"/>
          <w:szCs w:val="20"/>
          <w:lang w:val="bg-BG"/>
        </w:rPr>
        <w:t xml:space="preserve"> </w:t>
      </w:r>
      <w:r w:rsidR="00ED2DE4">
        <w:rPr>
          <w:rFonts w:ascii="Arial" w:hAnsi="Arial" w:cs="Arial"/>
          <w:sz w:val="20"/>
          <w:szCs w:val="20"/>
          <w:lang w:val="bg-BG"/>
        </w:rPr>
        <w:t>описва</w:t>
      </w:r>
      <w:r w:rsidR="00ED2DE4" w:rsidRPr="00FE4A82">
        <w:rPr>
          <w:rFonts w:ascii="Arial" w:hAnsi="Arial" w:cs="Arial"/>
          <w:sz w:val="20"/>
          <w:szCs w:val="20"/>
          <w:lang w:val="bg-BG"/>
        </w:rPr>
        <w:t xml:space="preserve"> </w:t>
      </w:r>
      <w:r w:rsidR="00ED2DE4">
        <w:rPr>
          <w:rFonts w:ascii="Arial" w:hAnsi="Arial" w:cs="Arial"/>
          <w:sz w:val="20"/>
          <w:szCs w:val="20"/>
          <w:lang w:val="bg-BG"/>
        </w:rPr>
        <w:t>проблемите</w:t>
      </w:r>
      <w:r w:rsidR="00ED2DE4" w:rsidRPr="00FE4A82">
        <w:rPr>
          <w:rFonts w:ascii="Arial" w:hAnsi="Arial" w:cs="Arial"/>
          <w:sz w:val="20"/>
          <w:szCs w:val="20"/>
          <w:lang w:val="bg-BG"/>
        </w:rPr>
        <w:t xml:space="preserve"> и нуждите на ВиК сектора за текущия период. Въз основа на този документ, </w:t>
      </w:r>
      <w:r w:rsidR="00ED2DE4">
        <w:rPr>
          <w:rFonts w:ascii="Arial" w:hAnsi="Arial" w:cs="Arial"/>
          <w:sz w:val="20"/>
          <w:szCs w:val="20"/>
          <w:lang w:val="bg-BG"/>
        </w:rPr>
        <w:t>могат да бъдат направени</w:t>
      </w:r>
      <w:r w:rsidR="00EC0150">
        <w:rPr>
          <w:rFonts w:ascii="Arial" w:hAnsi="Arial" w:cs="Arial"/>
          <w:sz w:val="20"/>
          <w:szCs w:val="20"/>
          <w:lang w:val="bg-BG"/>
        </w:rPr>
        <w:t xml:space="preserve"> следните изводи: (1) в</w:t>
      </w:r>
      <w:r w:rsidR="00ED2DE4" w:rsidRPr="00FE4A82">
        <w:rPr>
          <w:rFonts w:ascii="Arial" w:hAnsi="Arial" w:cs="Arial"/>
          <w:sz w:val="20"/>
          <w:szCs w:val="20"/>
          <w:lang w:val="bg-BG"/>
        </w:rPr>
        <w:t xml:space="preserve">одоснабдителните услуги като цяло отговарят на стандартите, но загубите на вода са много високи и поддръжката на водоснабдителните системи и </w:t>
      </w:r>
      <w:r w:rsidR="00EC0150">
        <w:rPr>
          <w:rFonts w:ascii="Arial" w:hAnsi="Arial" w:cs="Arial"/>
          <w:sz w:val="20"/>
          <w:szCs w:val="20"/>
          <w:lang w:val="bg-BG"/>
        </w:rPr>
        <w:t>съоръжения е недостатъчна; (2) к</w:t>
      </w:r>
      <w:r w:rsidR="00ED2DE4" w:rsidRPr="00FE4A82">
        <w:rPr>
          <w:rFonts w:ascii="Arial" w:hAnsi="Arial" w:cs="Arial"/>
          <w:sz w:val="20"/>
          <w:szCs w:val="20"/>
          <w:lang w:val="bg-BG"/>
        </w:rPr>
        <w:t>анализационните услуги не отговарят на приложимите стандарти</w:t>
      </w:r>
      <w:r w:rsidR="0037039E" w:rsidRPr="00785B0F">
        <w:rPr>
          <w:rFonts w:ascii="Arial" w:hAnsi="Arial" w:cs="Arial"/>
          <w:sz w:val="20"/>
          <w:szCs w:val="20"/>
          <w:lang w:val="bg-BG"/>
        </w:rPr>
        <w:t xml:space="preserve">; (3) </w:t>
      </w:r>
      <w:r w:rsidR="0037039E">
        <w:rPr>
          <w:rFonts w:ascii="Arial" w:hAnsi="Arial" w:cs="Arial"/>
          <w:sz w:val="20"/>
          <w:szCs w:val="20"/>
          <w:lang w:val="bg-BG"/>
        </w:rPr>
        <w:t>нисък е процент</w:t>
      </w:r>
      <w:r w:rsidR="009F3E6F">
        <w:rPr>
          <w:rFonts w:ascii="Arial" w:hAnsi="Arial" w:cs="Arial"/>
          <w:sz w:val="20"/>
          <w:szCs w:val="20"/>
          <w:lang w:val="bg-BG"/>
        </w:rPr>
        <w:t>ът</w:t>
      </w:r>
      <w:r w:rsidR="005164F6">
        <w:rPr>
          <w:rFonts w:ascii="Arial" w:hAnsi="Arial" w:cs="Arial"/>
          <w:sz w:val="20"/>
          <w:szCs w:val="20"/>
          <w:lang w:val="bg-BG"/>
        </w:rPr>
        <w:t xml:space="preserve"> на свързаност към </w:t>
      </w:r>
      <w:r w:rsidR="0037039E">
        <w:rPr>
          <w:rFonts w:ascii="Arial" w:hAnsi="Arial" w:cs="Arial"/>
          <w:sz w:val="20"/>
          <w:szCs w:val="20"/>
          <w:lang w:val="bg-BG"/>
        </w:rPr>
        <w:t>пречиствателни станции за отпадъчни води.</w:t>
      </w:r>
    </w:p>
    <w:p w14:paraId="01103DDF" w14:textId="77777777" w:rsidR="00660BCF" w:rsidRPr="00660BCF" w:rsidRDefault="00ED2DE4" w:rsidP="00660BCF">
      <w:pPr>
        <w:pStyle w:val="ListParagraph"/>
        <w:spacing w:after="120"/>
        <w:ind w:left="0"/>
        <w:contextualSpacing w:val="0"/>
        <w:jc w:val="both"/>
        <w:rPr>
          <w:rFonts w:ascii="Arial" w:hAnsi="Arial" w:cs="Arial"/>
          <w:sz w:val="20"/>
          <w:szCs w:val="20"/>
          <w:lang w:val="bg-BG"/>
        </w:rPr>
      </w:pPr>
      <w:r w:rsidRPr="00FE4A82">
        <w:rPr>
          <w:rFonts w:ascii="Arial" w:hAnsi="Arial" w:cs="Arial"/>
          <w:sz w:val="20"/>
          <w:szCs w:val="20"/>
          <w:lang w:val="bg-BG"/>
        </w:rPr>
        <w:t xml:space="preserve">В частност, предварителната оценка </w:t>
      </w:r>
      <w:r w:rsidR="00EC0150">
        <w:rPr>
          <w:rFonts w:ascii="Arial" w:hAnsi="Arial" w:cs="Arial"/>
          <w:sz w:val="20"/>
          <w:szCs w:val="20"/>
          <w:lang w:val="bg-BG"/>
        </w:rPr>
        <w:t>и С</w:t>
      </w:r>
      <w:r>
        <w:rPr>
          <w:rFonts w:ascii="Arial" w:hAnsi="Arial" w:cs="Arial"/>
          <w:sz w:val="20"/>
          <w:szCs w:val="20"/>
          <w:lang w:val="bg-BG"/>
        </w:rPr>
        <w:t xml:space="preserve">тратегията за </w:t>
      </w:r>
      <w:r w:rsidR="00EC0150">
        <w:rPr>
          <w:rFonts w:ascii="Arial" w:hAnsi="Arial" w:cs="Arial"/>
          <w:sz w:val="20"/>
          <w:szCs w:val="20"/>
          <w:lang w:val="bg-BG"/>
        </w:rPr>
        <w:t>ВиК</w:t>
      </w:r>
      <w:r w:rsidRPr="00FE4A82">
        <w:rPr>
          <w:rFonts w:ascii="Arial" w:hAnsi="Arial" w:cs="Arial"/>
          <w:sz w:val="20"/>
          <w:szCs w:val="20"/>
          <w:lang w:val="bg-BG"/>
        </w:rPr>
        <w:t xml:space="preserve"> </w:t>
      </w:r>
      <w:r w:rsidR="00EC0150">
        <w:rPr>
          <w:rFonts w:ascii="Arial" w:hAnsi="Arial" w:cs="Arial"/>
          <w:sz w:val="20"/>
          <w:szCs w:val="20"/>
          <w:lang w:val="bg-BG"/>
        </w:rPr>
        <w:t>очертават</w:t>
      </w:r>
      <w:r w:rsidRPr="00FE4A82">
        <w:rPr>
          <w:rFonts w:ascii="Arial" w:hAnsi="Arial" w:cs="Arial"/>
          <w:sz w:val="20"/>
          <w:szCs w:val="20"/>
          <w:lang w:val="bg-BG"/>
        </w:rPr>
        <w:t xml:space="preserve"> следните проблеми на ВиК</w:t>
      </w:r>
      <w:r>
        <w:rPr>
          <w:rFonts w:ascii="Arial" w:hAnsi="Arial" w:cs="Arial"/>
          <w:sz w:val="20"/>
          <w:szCs w:val="20"/>
          <w:lang w:val="bg-BG"/>
        </w:rPr>
        <w:t xml:space="preserve"> сектора</w:t>
      </w:r>
      <w:r w:rsidRPr="00FE4A82">
        <w:rPr>
          <w:rFonts w:ascii="Arial" w:hAnsi="Arial" w:cs="Arial"/>
          <w:sz w:val="20"/>
          <w:szCs w:val="20"/>
          <w:lang w:val="bg-BG"/>
        </w:rPr>
        <w:t>:</w:t>
      </w:r>
    </w:p>
    <w:p w14:paraId="67223EA5" w14:textId="77777777" w:rsidR="00660BCF" w:rsidRPr="00E6069C" w:rsidRDefault="00660BCF" w:rsidP="00E6069C">
      <w:pPr>
        <w:pStyle w:val="ListParagraph"/>
        <w:numPr>
          <w:ilvl w:val="0"/>
          <w:numId w:val="71"/>
        </w:numPr>
        <w:spacing w:after="120"/>
        <w:jc w:val="both"/>
        <w:rPr>
          <w:rFonts w:ascii="Arial" w:hAnsi="Arial" w:cs="Arial"/>
          <w:sz w:val="20"/>
          <w:szCs w:val="20"/>
          <w:lang w:val="bg-BG"/>
        </w:rPr>
      </w:pPr>
      <w:r w:rsidRPr="00AA6006">
        <w:rPr>
          <w:rFonts w:ascii="Arial" w:hAnsi="Arial" w:cs="Arial"/>
          <w:sz w:val="20"/>
          <w:szCs w:val="20"/>
          <w:lang w:val="bg-BG"/>
        </w:rPr>
        <w:t xml:space="preserve">Физически </w:t>
      </w:r>
      <w:r>
        <w:rPr>
          <w:rFonts w:ascii="Arial" w:hAnsi="Arial" w:cs="Arial"/>
          <w:sz w:val="20"/>
          <w:szCs w:val="20"/>
          <w:lang w:val="bg-BG"/>
        </w:rPr>
        <w:t>остаряла инфраструктура и</w:t>
      </w:r>
      <w:r w:rsidRPr="00AA6006">
        <w:rPr>
          <w:rFonts w:ascii="Arial" w:hAnsi="Arial" w:cs="Arial"/>
          <w:sz w:val="20"/>
          <w:szCs w:val="20"/>
          <w:lang w:val="bg-BG"/>
        </w:rPr>
        <w:t xml:space="preserve"> високо количество на неотчетена вода, вод</w:t>
      </w:r>
      <w:r>
        <w:rPr>
          <w:rFonts w:ascii="Arial" w:hAnsi="Arial" w:cs="Arial"/>
          <w:sz w:val="20"/>
          <w:szCs w:val="20"/>
          <w:lang w:val="bg-BG"/>
        </w:rPr>
        <w:t>ещи</w:t>
      </w:r>
      <w:r w:rsidRPr="00AA6006">
        <w:rPr>
          <w:rFonts w:ascii="Arial" w:hAnsi="Arial" w:cs="Arial"/>
          <w:sz w:val="20"/>
          <w:szCs w:val="20"/>
          <w:lang w:val="bg-BG"/>
        </w:rPr>
        <w:t xml:space="preserve"> до средно ниво </w:t>
      </w:r>
      <w:r w:rsidR="00EC0150">
        <w:rPr>
          <w:rFonts w:ascii="Arial" w:hAnsi="Arial" w:cs="Arial"/>
          <w:sz w:val="20"/>
          <w:szCs w:val="20"/>
          <w:lang w:val="bg-BG"/>
        </w:rPr>
        <w:t>на</w:t>
      </w:r>
      <w:r w:rsidR="00EC0150" w:rsidRPr="00AA6006">
        <w:rPr>
          <w:rFonts w:ascii="Arial" w:hAnsi="Arial" w:cs="Arial"/>
          <w:sz w:val="20"/>
          <w:szCs w:val="20"/>
          <w:lang w:val="bg-BG"/>
        </w:rPr>
        <w:t xml:space="preserve"> загуби по мрежата </w:t>
      </w:r>
      <w:r w:rsidRPr="00AA6006">
        <w:rPr>
          <w:rFonts w:ascii="Arial" w:hAnsi="Arial" w:cs="Arial"/>
          <w:sz w:val="20"/>
          <w:szCs w:val="20"/>
          <w:lang w:val="bg-BG"/>
        </w:rPr>
        <w:t>от 60 %</w:t>
      </w:r>
      <w:r w:rsidR="00881F4B">
        <w:rPr>
          <w:rFonts w:ascii="Arial" w:hAnsi="Arial" w:cs="Arial"/>
          <w:sz w:val="20"/>
          <w:szCs w:val="20"/>
          <w:lang w:val="bg-BG"/>
        </w:rPr>
        <w:t>,</w:t>
      </w:r>
      <w:r w:rsidR="00F5460D">
        <w:rPr>
          <w:rFonts w:ascii="Arial" w:hAnsi="Arial" w:cs="Arial"/>
          <w:sz w:val="20"/>
          <w:szCs w:val="20"/>
          <w:lang w:val="bg-BG"/>
        </w:rPr>
        <w:t xml:space="preserve"> в т.ч. търговски загуби;</w:t>
      </w:r>
    </w:p>
    <w:p w14:paraId="27CA32D8" w14:textId="77777777" w:rsidR="004604E2" w:rsidRDefault="00660BCF" w:rsidP="004604E2">
      <w:pPr>
        <w:pStyle w:val="ListParagraph"/>
        <w:numPr>
          <w:ilvl w:val="0"/>
          <w:numId w:val="71"/>
        </w:numPr>
        <w:spacing w:after="120"/>
        <w:jc w:val="both"/>
        <w:rPr>
          <w:rFonts w:ascii="Arial" w:hAnsi="Arial" w:cs="Arial"/>
          <w:sz w:val="20"/>
          <w:szCs w:val="20"/>
          <w:lang w:val="bg-BG"/>
        </w:rPr>
      </w:pPr>
      <w:r w:rsidRPr="00AE4735">
        <w:rPr>
          <w:rFonts w:ascii="Arial" w:hAnsi="Arial" w:cs="Arial"/>
          <w:sz w:val="20"/>
          <w:szCs w:val="20"/>
          <w:lang w:val="bg-BG"/>
        </w:rPr>
        <w:t>Едва 66% от населението са присъединени към система за отвеждане на отпадъчни води, още по-нисък - 50%, е делът на свързаните към пречиствателна станция за отпадъчни води;</w:t>
      </w:r>
    </w:p>
    <w:p w14:paraId="130D4D1B" w14:textId="77777777" w:rsidR="004604E2" w:rsidRPr="008B5547" w:rsidRDefault="004604E2" w:rsidP="008B5547">
      <w:pPr>
        <w:pStyle w:val="ListParagraph"/>
        <w:numPr>
          <w:ilvl w:val="0"/>
          <w:numId w:val="71"/>
        </w:numPr>
        <w:spacing w:after="120"/>
        <w:jc w:val="both"/>
        <w:rPr>
          <w:rFonts w:ascii="Arial" w:hAnsi="Arial" w:cs="Arial"/>
          <w:sz w:val="20"/>
          <w:szCs w:val="20"/>
          <w:lang w:val="bg-BG"/>
        </w:rPr>
      </w:pPr>
      <w:r w:rsidRPr="00E115A3">
        <w:rPr>
          <w:rFonts w:ascii="Arial" w:hAnsi="Arial" w:cs="Arial"/>
          <w:sz w:val="20"/>
          <w:szCs w:val="20"/>
          <w:lang w:val="bg-BG"/>
        </w:rPr>
        <w:t xml:space="preserve">Високо ниво на аварии по цялата ВиК мрежа в страната. </w:t>
      </w:r>
      <w:r w:rsidRPr="008B5547">
        <w:rPr>
          <w:rFonts w:ascii="Arial" w:hAnsi="Arial" w:cs="Arial"/>
          <w:sz w:val="20"/>
          <w:szCs w:val="20"/>
          <w:lang w:val="bg-BG"/>
        </w:rPr>
        <w:t>При планиране на инвестицииите за ремонтни дейности следва по-широко да се прилага модел за регистрация, статистическа обработка на данните и оценка на риска по отношение на аварийността и приоритизиране на мерките. Тук важно внимание следва да се отдели и на дейности, свързани с управление на системите чрез въвеждане на зони за измерване (DMA), контрол на наляганията и превенцията.</w:t>
      </w:r>
    </w:p>
    <w:p w14:paraId="0053C6F9" w14:textId="77777777" w:rsidR="00456824" w:rsidRPr="00B96CCC" w:rsidRDefault="00660BCF" w:rsidP="00456824">
      <w:pPr>
        <w:spacing w:after="120"/>
        <w:jc w:val="both"/>
        <w:rPr>
          <w:rFonts w:ascii="Arial" w:hAnsi="Arial" w:cs="Arial"/>
          <w:sz w:val="20"/>
          <w:szCs w:val="20"/>
          <w:lang w:val="bg-BG"/>
        </w:rPr>
      </w:pPr>
      <w:r>
        <w:rPr>
          <w:rFonts w:ascii="Arial" w:hAnsi="Arial" w:cs="Arial"/>
          <w:sz w:val="20"/>
          <w:szCs w:val="20"/>
          <w:lang w:val="bg-BG"/>
        </w:rPr>
        <w:t>Една от основните мерки, предприети за справяне с проблемите в сектора</w:t>
      </w:r>
      <w:r w:rsidR="00EC0150">
        <w:rPr>
          <w:rFonts w:ascii="Arial" w:hAnsi="Arial" w:cs="Arial"/>
          <w:sz w:val="20"/>
          <w:szCs w:val="20"/>
          <w:lang w:val="bg-BG"/>
        </w:rPr>
        <w:t>,</w:t>
      </w:r>
      <w:r>
        <w:rPr>
          <w:rFonts w:ascii="Arial" w:hAnsi="Arial" w:cs="Arial"/>
          <w:sz w:val="20"/>
          <w:szCs w:val="20"/>
          <w:lang w:val="bg-BG"/>
        </w:rPr>
        <w:t xml:space="preserve"> е консолидацията на ВиКО, която има за цел да осигури дългосрочна устойчивост на ВиКО, вземайки под внимание водещите </w:t>
      </w:r>
      <w:r w:rsidRPr="00FF6F0A">
        <w:rPr>
          <w:rFonts w:ascii="Arial" w:hAnsi="Arial" w:cs="Arial"/>
          <w:sz w:val="20"/>
          <w:szCs w:val="20"/>
          <w:lang w:val="bg-BG"/>
        </w:rPr>
        <w:t>демографски тенденции, структурните промени в и</w:t>
      </w:r>
      <w:r>
        <w:rPr>
          <w:rFonts w:ascii="Arial" w:hAnsi="Arial" w:cs="Arial"/>
          <w:sz w:val="20"/>
          <w:szCs w:val="20"/>
          <w:lang w:val="bg-BG"/>
        </w:rPr>
        <w:t>кономиката</w:t>
      </w:r>
      <w:r w:rsidRPr="00FF6F0A">
        <w:rPr>
          <w:rFonts w:ascii="Arial" w:hAnsi="Arial" w:cs="Arial"/>
          <w:sz w:val="20"/>
          <w:szCs w:val="20"/>
          <w:lang w:val="bg-BG"/>
        </w:rPr>
        <w:t xml:space="preserve"> и специфичните за сектора изисквания за размера на </w:t>
      </w:r>
      <w:r w:rsidR="00E80488">
        <w:rPr>
          <w:rFonts w:ascii="Arial" w:hAnsi="Arial" w:cs="Arial"/>
          <w:sz w:val="20"/>
          <w:szCs w:val="20"/>
          <w:lang w:val="bg-BG"/>
        </w:rPr>
        <w:t xml:space="preserve">инвестициите </w:t>
      </w:r>
      <w:r>
        <w:rPr>
          <w:rFonts w:ascii="Arial" w:hAnsi="Arial" w:cs="Arial"/>
          <w:sz w:val="20"/>
          <w:szCs w:val="20"/>
          <w:lang w:val="bg-BG"/>
        </w:rPr>
        <w:t xml:space="preserve">на всеки </w:t>
      </w:r>
      <w:r w:rsidR="00EC0150">
        <w:rPr>
          <w:rFonts w:ascii="Arial" w:hAnsi="Arial" w:cs="Arial"/>
          <w:sz w:val="20"/>
          <w:szCs w:val="20"/>
          <w:lang w:val="bg-BG"/>
        </w:rPr>
        <w:t>оператор</w:t>
      </w:r>
      <w:r w:rsidRPr="00FF6F0A">
        <w:rPr>
          <w:rFonts w:ascii="Arial" w:hAnsi="Arial" w:cs="Arial"/>
          <w:bCs/>
          <w:sz w:val="20"/>
          <w:szCs w:val="20"/>
          <w:lang w:val="bg-BG"/>
        </w:rPr>
        <w:t xml:space="preserve">. </w:t>
      </w:r>
      <w:r w:rsidR="00EC0150">
        <w:rPr>
          <w:rFonts w:ascii="Arial" w:hAnsi="Arial" w:cs="Arial"/>
          <w:bCs/>
          <w:sz w:val="20"/>
          <w:szCs w:val="20"/>
          <w:lang w:val="bg-BG"/>
        </w:rPr>
        <w:t>При</w:t>
      </w:r>
      <w:r>
        <w:rPr>
          <w:rFonts w:ascii="Arial" w:hAnsi="Arial" w:cs="Arial"/>
          <w:bCs/>
          <w:sz w:val="20"/>
          <w:szCs w:val="20"/>
          <w:lang w:val="bg-BG"/>
        </w:rPr>
        <w:t xml:space="preserve"> приключване на процеса на консолидация</w:t>
      </w:r>
      <w:r w:rsidR="00EC0150">
        <w:rPr>
          <w:rFonts w:ascii="Arial" w:hAnsi="Arial" w:cs="Arial"/>
          <w:bCs/>
          <w:sz w:val="20"/>
          <w:szCs w:val="20"/>
          <w:lang w:val="bg-BG"/>
        </w:rPr>
        <w:t xml:space="preserve"> се очаква</w:t>
      </w:r>
      <w:r>
        <w:rPr>
          <w:rFonts w:ascii="Arial" w:hAnsi="Arial" w:cs="Arial"/>
          <w:bCs/>
          <w:sz w:val="20"/>
          <w:szCs w:val="20"/>
          <w:lang w:val="bg-BG"/>
        </w:rPr>
        <w:t xml:space="preserve"> да има само по един ВиКО на територия</w:t>
      </w:r>
      <w:r w:rsidR="00DA3E1B">
        <w:rPr>
          <w:rFonts w:ascii="Arial" w:hAnsi="Arial" w:cs="Arial"/>
          <w:bCs/>
          <w:sz w:val="20"/>
          <w:szCs w:val="20"/>
          <w:lang w:val="bg-BG"/>
        </w:rPr>
        <w:t xml:space="preserve">та на </w:t>
      </w:r>
      <w:r w:rsidR="005C0AD6">
        <w:rPr>
          <w:rFonts w:ascii="Arial" w:hAnsi="Arial" w:cs="Arial"/>
          <w:bCs/>
          <w:sz w:val="20"/>
          <w:szCs w:val="20"/>
          <w:lang w:val="bg-BG"/>
        </w:rPr>
        <w:t>една</w:t>
      </w:r>
      <w:r w:rsidR="00DA3E1B">
        <w:rPr>
          <w:rFonts w:ascii="Arial" w:hAnsi="Arial" w:cs="Arial"/>
          <w:bCs/>
          <w:sz w:val="20"/>
          <w:szCs w:val="20"/>
          <w:lang w:val="bg-BG"/>
        </w:rPr>
        <w:t xml:space="preserve"> </w:t>
      </w:r>
      <w:r w:rsidR="005C0AD6">
        <w:rPr>
          <w:rFonts w:ascii="Arial" w:hAnsi="Arial" w:cs="Arial"/>
          <w:bCs/>
          <w:sz w:val="20"/>
          <w:szCs w:val="20"/>
          <w:lang w:val="bg-BG"/>
        </w:rPr>
        <w:t>а</w:t>
      </w:r>
      <w:r w:rsidR="00DA3E1B">
        <w:rPr>
          <w:rFonts w:ascii="Arial" w:hAnsi="Arial" w:cs="Arial"/>
          <w:bCs/>
          <w:sz w:val="20"/>
          <w:szCs w:val="20"/>
          <w:lang w:val="bg-BG"/>
        </w:rPr>
        <w:t xml:space="preserve">дминистративна </w:t>
      </w:r>
      <w:r w:rsidR="005C0AD6">
        <w:rPr>
          <w:rFonts w:ascii="Arial" w:hAnsi="Arial" w:cs="Arial"/>
          <w:bCs/>
          <w:sz w:val="20"/>
          <w:szCs w:val="20"/>
          <w:lang w:val="bg-BG"/>
        </w:rPr>
        <w:t>област</w:t>
      </w:r>
      <w:r>
        <w:rPr>
          <w:rFonts w:ascii="Arial" w:hAnsi="Arial" w:cs="Arial"/>
          <w:bCs/>
          <w:sz w:val="20"/>
          <w:szCs w:val="20"/>
          <w:lang w:val="bg-BG"/>
        </w:rPr>
        <w:t>. Освен това с</w:t>
      </w:r>
      <w:r w:rsidR="00122B0A">
        <w:rPr>
          <w:rFonts w:ascii="Arial" w:hAnsi="Arial" w:cs="Arial"/>
          <w:bCs/>
          <w:sz w:val="20"/>
          <w:szCs w:val="20"/>
          <w:lang w:val="bg-BG"/>
        </w:rPr>
        <w:t xml:space="preserve">а </w:t>
      </w:r>
      <w:r>
        <w:rPr>
          <w:rFonts w:ascii="Arial" w:hAnsi="Arial" w:cs="Arial"/>
          <w:bCs/>
          <w:sz w:val="20"/>
          <w:szCs w:val="20"/>
          <w:lang w:val="bg-BG"/>
        </w:rPr>
        <w:t xml:space="preserve"> подписани </w:t>
      </w:r>
      <w:r w:rsidR="00EC0150">
        <w:rPr>
          <w:rFonts w:ascii="Arial" w:hAnsi="Arial" w:cs="Arial"/>
          <w:bCs/>
          <w:sz w:val="20"/>
          <w:szCs w:val="20"/>
          <w:lang w:val="bg-BG"/>
        </w:rPr>
        <w:t xml:space="preserve">15-годишни договори за делегирани услуги </w:t>
      </w:r>
      <w:r>
        <w:rPr>
          <w:rFonts w:ascii="Arial" w:hAnsi="Arial" w:cs="Arial"/>
          <w:bCs/>
          <w:sz w:val="20"/>
          <w:szCs w:val="20"/>
          <w:lang w:val="bg-BG"/>
        </w:rPr>
        <w:t>между съответните АВиК и всеки консолидиран ВиКО</w:t>
      </w:r>
      <w:r w:rsidR="00122B0A">
        <w:rPr>
          <w:rFonts w:ascii="Arial" w:hAnsi="Arial" w:cs="Arial"/>
          <w:bCs/>
          <w:sz w:val="20"/>
          <w:szCs w:val="20"/>
          <w:lang w:val="bg-BG"/>
        </w:rPr>
        <w:t>.</w:t>
      </w:r>
      <w:r w:rsidR="004604E2">
        <w:rPr>
          <w:rFonts w:ascii="Arial" w:hAnsi="Arial" w:cs="Arial"/>
          <w:bCs/>
          <w:sz w:val="20"/>
          <w:szCs w:val="20"/>
          <w:lang w:val="bg-BG"/>
        </w:rPr>
        <w:t xml:space="preserve"> </w:t>
      </w:r>
      <w:r w:rsidR="00122B0A">
        <w:rPr>
          <w:rFonts w:ascii="Arial" w:hAnsi="Arial" w:cs="Arial"/>
          <w:bCs/>
          <w:sz w:val="20"/>
          <w:szCs w:val="20"/>
          <w:lang w:val="bg-BG"/>
        </w:rPr>
        <w:t xml:space="preserve">По силата на </w:t>
      </w:r>
      <w:r>
        <w:rPr>
          <w:rFonts w:ascii="Arial" w:hAnsi="Arial" w:cs="Arial"/>
          <w:bCs/>
          <w:sz w:val="20"/>
          <w:szCs w:val="20"/>
          <w:lang w:val="bg-BG"/>
        </w:rPr>
        <w:t>този договор ВиКО предостав</w:t>
      </w:r>
      <w:r w:rsidR="00122B0A">
        <w:rPr>
          <w:rFonts w:ascii="Arial" w:hAnsi="Arial" w:cs="Arial"/>
          <w:bCs/>
          <w:sz w:val="20"/>
          <w:szCs w:val="20"/>
          <w:lang w:val="bg-BG"/>
        </w:rPr>
        <w:t>я</w:t>
      </w:r>
      <w:r>
        <w:rPr>
          <w:rFonts w:ascii="Arial" w:hAnsi="Arial" w:cs="Arial"/>
          <w:bCs/>
          <w:sz w:val="20"/>
          <w:szCs w:val="20"/>
          <w:lang w:val="bg-BG"/>
        </w:rPr>
        <w:t xml:space="preserve"> дългосрочна инвестиционна </w:t>
      </w:r>
      <w:r w:rsidRPr="002F7F81">
        <w:rPr>
          <w:rFonts w:ascii="Arial" w:hAnsi="Arial" w:cs="Arial"/>
          <w:sz w:val="20"/>
          <w:szCs w:val="20"/>
          <w:lang w:val="bg-BG"/>
        </w:rPr>
        <w:t>програма.</w:t>
      </w:r>
      <w:r w:rsidR="00EC0150">
        <w:rPr>
          <w:rFonts w:ascii="Arial" w:hAnsi="Arial" w:cs="Arial"/>
          <w:sz w:val="20"/>
          <w:szCs w:val="20"/>
          <w:lang w:val="bg-BG"/>
        </w:rPr>
        <w:t xml:space="preserve"> </w:t>
      </w:r>
      <w:r w:rsidR="00456824">
        <w:rPr>
          <w:rFonts w:ascii="Arial" w:hAnsi="Arial" w:cs="Arial"/>
          <w:sz w:val="20"/>
          <w:szCs w:val="20"/>
          <w:lang w:val="bg-BG"/>
        </w:rPr>
        <w:t xml:space="preserve">И сегашната практика чрез изготвяне и приемане на бизнеспланове от </w:t>
      </w:r>
      <w:r w:rsidR="00A2019B">
        <w:rPr>
          <w:rFonts w:ascii="Arial" w:hAnsi="Arial" w:cs="Arial"/>
          <w:sz w:val="20"/>
          <w:szCs w:val="20"/>
          <w:lang w:val="bg-BG"/>
        </w:rPr>
        <w:t>ВиК</w:t>
      </w:r>
      <w:r w:rsidR="00456824">
        <w:rPr>
          <w:rFonts w:ascii="Arial" w:hAnsi="Arial" w:cs="Arial"/>
          <w:sz w:val="20"/>
          <w:szCs w:val="20"/>
          <w:lang w:val="bg-BG"/>
        </w:rPr>
        <w:t xml:space="preserve">О цели </w:t>
      </w:r>
      <w:r w:rsidR="00A2019B">
        <w:rPr>
          <w:rFonts w:ascii="Arial" w:hAnsi="Arial" w:cs="Arial"/>
          <w:sz w:val="20"/>
          <w:szCs w:val="20"/>
          <w:lang w:val="bg-BG"/>
        </w:rPr>
        <w:t>постигане</w:t>
      </w:r>
      <w:r w:rsidR="00456824">
        <w:rPr>
          <w:rFonts w:ascii="Arial" w:hAnsi="Arial" w:cs="Arial"/>
          <w:sz w:val="20"/>
          <w:szCs w:val="20"/>
          <w:lang w:val="bg-BG"/>
        </w:rPr>
        <w:t xml:space="preserve"> на качеството на услугите чрез залагане на целесъобразни инвестиции при гарантиране на социално поносими ценови нива, </w:t>
      </w:r>
      <w:r w:rsidR="005C0AD6">
        <w:rPr>
          <w:rFonts w:ascii="Arial" w:hAnsi="Arial" w:cs="Arial"/>
          <w:sz w:val="20"/>
          <w:szCs w:val="20"/>
          <w:lang w:val="bg-BG"/>
        </w:rPr>
        <w:t>като</w:t>
      </w:r>
      <w:r w:rsidR="00456824">
        <w:rPr>
          <w:rFonts w:ascii="Arial" w:hAnsi="Arial" w:cs="Arial"/>
          <w:sz w:val="20"/>
          <w:szCs w:val="20"/>
          <w:lang w:val="bg-BG"/>
        </w:rPr>
        <w:t xml:space="preserve"> следва да се обр</w:t>
      </w:r>
      <w:r w:rsidR="005C0AD6">
        <w:rPr>
          <w:rFonts w:ascii="Arial" w:hAnsi="Arial" w:cs="Arial"/>
          <w:sz w:val="20"/>
          <w:szCs w:val="20"/>
          <w:lang w:val="bg-BG"/>
        </w:rPr>
        <w:t>ъща</w:t>
      </w:r>
      <w:r w:rsidR="00456824">
        <w:rPr>
          <w:rFonts w:ascii="Arial" w:hAnsi="Arial" w:cs="Arial"/>
          <w:sz w:val="20"/>
          <w:szCs w:val="20"/>
          <w:lang w:val="bg-BG"/>
        </w:rPr>
        <w:t xml:space="preserve"> по-голямо внимание на тяхното изпълнение по отношение на постигането на заложените цели. </w:t>
      </w:r>
    </w:p>
    <w:p w14:paraId="290500D8" w14:textId="77777777" w:rsidR="00660BCF" w:rsidRPr="004E1647" w:rsidRDefault="00E80488" w:rsidP="00660BCF">
      <w:pPr>
        <w:spacing w:after="120"/>
        <w:jc w:val="both"/>
        <w:rPr>
          <w:rFonts w:ascii="Arial" w:hAnsi="Arial" w:cs="Arial"/>
          <w:sz w:val="20"/>
          <w:szCs w:val="20"/>
          <w:lang w:val="bg-BG"/>
        </w:rPr>
      </w:pPr>
      <w:r>
        <w:rPr>
          <w:rFonts w:ascii="Arial" w:hAnsi="Arial" w:cs="Arial"/>
          <w:sz w:val="20"/>
          <w:szCs w:val="20"/>
          <w:lang w:val="bg-BG"/>
        </w:rPr>
        <w:t>З</w:t>
      </w:r>
      <w:r w:rsidRPr="002F7F81">
        <w:rPr>
          <w:rFonts w:ascii="Arial" w:hAnsi="Arial" w:cs="Arial"/>
          <w:sz w:val="20"/>
          <w:szCs w:val="20"/>
          <w:lang w:val="bg-BG"/>
        </w:rPr>
        <w:t>а</w:t>
      </w:r>
      <w:r>
        <w:rPr>
          <w:rFonts w:ascii="Arial" w:hAnsi="Arial" w:cs="Arial"/>
          <w:sz w:val="20"/>
          <w:szCs w:val="20"/>
          <w:lang w:val="bg-BG"/>
        </w:rPr>
        <w:t xml:space="preserve"> обособените територии, обслужвани от един консолидиран ВиКО </w:t>
      </w:r>
      <w:r w:rsidR="00A2019B">
        <w:rPr>
          <w:rFonts w:ascii="Arial" w:hAnsi="Arial" w:cs="Arial"/>
          <w:sz w:val="20"/>
          <w:szCs w:val="20"/>
          <w:lang w:val="bg-BG"/>
        </w:rPr>
        <w:t>с</w:t>
      </w:r>
      <w:r>
        <w:rPr>
          <w:rFonts w:ascii="Arial" w:hAnsi="Arial" w:cs="Arial"/>
          <w:sz w:val="20"/>
          <w:szCs w:val="20"/>
          <w:lang w:val="bg-BG"/>
        </w:rPr>
        <w:t>е изготв</w:t>
      </w:r>
      <w:r w:rsidR="00A2019B">
        <w:rPr>
          <w:rFonts w:ascii="Arial" w:hAnsi="Arial" w:cs="Arial"/>
          <w:sz w:val="20"/>
          <w:szCs w:val="20"/>
          <w:lang w:val="bg-BG"/>
        </w:rPr>
        <w:t>ят</w:t>
      </w:r>
      <w:r>
        <w:rPr>
          <w:rFonts w:ascii="Arial" w:hAnsi="Arial" w:cs="Arial"/>
          <w:sz w:val="20"/>
          <w:szCs w:val="20"/>
          <w:lang w:val="bg-BG"/>
        </w:rPr>
        <w:t xml:space="preserve"> </w:t>
      </w:r>
      <w:r w:rsidR="00660BCF" w:rsidRPr="002F7F81">
        <w:rPr>
          <w:rFonts w:ascii="Arial" w:hAnsi="Arial" w:cs="Arial"/>
          <w:sz w:val="20"/>
          <w:szCs w:val="20"/>
          <w:lang w:val="bg-BG"/>
        </w:rPr>
        <w:t>РПИП</w:t>
      </w:r>
      <w:r>
        <w:rPr>
          <w:rFonts w:ascii="Arial" w:hAnsi="Arial" w:cs="Arial"/>
          <w:sz w:val="20"/>
          <w:szCs w:val="20"/>
          <w:lang w:val="bg-BG"/>
        </w:rPr>
        <w:t xml:space="preserve">, които ще идентифицират </w:t>
      </w:r>
      <w:r w:rsidR="00D32509">
        <w:rPr>
          <w:rFonts w:ascii="Arial" w:hAnsi="Arial" w:cs="Arial"/>
          <w:sz w:val="20"/>
          <w:szCs w:val="20"/>
          <w:lang w:val="bg-BG"/>
        </w:rPr>
        <w:t>инвестиционните нужди</w:t>
      </w:r>
      <w:r w:rsidR="00A2019B">
        <w:rPr>
          <w:rFonts w:ascii="Arial" w:hAnsi="Arial" w:cs="Arial"/>
          <w:sz w:val="20"/>
          <w:szCs w:val="20"/>
          <w:lang w:val="bg-BG"/>
        </w:rPr>
        <w:t xml:space="preserve"> </w:t>
      </w:r>
      <w:r>
        <w:rPr>
          <w:rFonts w:ascii="Arial" w:hAnsi="Arial" w:cs="Arial"/>
          <w:sz w:val="20"/>
          <w:szCs w:val="20"/>
          <w:lang w:val="bg-BG"/>
        </w:rPr>
        <w:t>от ВиК инфраструктура</w:t>
      </w:r>
      <w:r w:rsidR="00C77DF7" w:rsidRPr="00785B0F">
        <w:rPr>
          <w:rFonts w:ascii="Arial" w:hAnsi="Arial" w:cs="Arial"/>
          <w:sz w:val="20"/>
          <w:szCs w:val="20"/>
          <w:lang w:val="bg-BG"/>
        </w:rPr>
        <w:t xml:space="preserve"> </w:t>
      </w:r>
      <w:r w:rsidR="00C77DF7">
        <w:rPr>
          <w:rFonts w:ascii="Arial" w:hAnsi="Arial" w:cs="Arial"/>
          <w:sz w:val="20"/>
          <w:szCs w:val="20"/>
          <w:lang w:val="bg-BG"/>
        </w:rPr>
        <w:t xml:space="preserve">с цел привеждане в съответствие с </w:t>
      </w:r>
      <w:r w:rsidR="00C77DF7" w:rsidRPr="00C77DF7">
        <w:rPr>
          <w:rFonts w:ascii="Arial" w:hAnsi="Arial" w:cs="Arial"/>
          <w:sz w:val="20"/>
          <w:szCs w:val="20"/>
          <w:lang w:val="bg-BG"/>
        </w:rPr>
        <w:t>Директива 91/271/ЕИО и Директива 98/83/ЕО</w:t>
      </w:r>
      <w:r w:rsidR="00C77DF7">
        <w:rPr>
          <w:rFonts w:ascii="Arial" w:hAnsi="Arial" w:cs="Arial"/>
          <w:sz w:val="20"/>
          <w:szCs w:val="20"/>
          <w:lang w:val="bg-BG"/>
        </w:rPr>
        <w:t>.</w:t>
      </w:r>
      <w:r w:rsidR="00660BCF">
        <w:rPr>
          <w:rFonts w:ascii="Arial" w:hAnsi="Arial" w:cs="Arial"/>
          <w:sz w:val="20"/>
          <w:szCs w:val="20"/>
          <w:lang w:val="bg-BG"/>
        </w:rPr>
        <w:t xml:space="preserve"> РПИП ще </w:t>
      </w:r>
      <w:r w:rsidR="00C77DF7">
        <w:rPr>
          <w:rFonts w:ascii="Arial" w:hAnsi="Arial" w:cs="Arial"/>
          <w:sz w:val="20"/>
          <w:szCs w:val="20"/>
          <w:lang w:val="bg-BG"/>
        </w:rPr>
        <w:t>приоритизира ВиК мерките</w:t>
      </w:r>
      <w:r w:rsidR="005D292F">
        <w:rPr>
          <w:rFonts w:ascii="Arial" w:hAnsi="Arial" w:cs="Arial"/>
          <w:sz w:val="20"/>
          <w:szCs w:val="20"/>
          <w:lang w:val="bg-BG"/>
        </w:rPr>
        <w:t xml:space="preserve">, </w:t>
      </w:r>
      <w:r w:rsidR="00C77DF7">
        <w:rPr>
          <w:rFonts w:ascii="Arial" w:hAnsi="Arial" w:cs="Arial"/>
          <w:sz w:val="20"/>
          <w:szCs w:val="20"/>
          <w:lang w:val="bg-BG"/>
        </w:rPr>
        <w:t xml:space="preserve">които да бъдат </w:t>
      </w:r>
      <w:r w:rsidR="005D292F">
        <w:rPr>
          <w:rFonts w:ascii="Arial" w:hAnsi="Arial" w:cs="Arial"/>
          <w:sz w:val="20"/>
          <w:szCs w:val="20"/>
          <w:lang w:val="bg-BG"/>
        </w:rPr>
        <w:t>предложени за ф</w:t>
      </w:r>
      <w:r w:rsidR="00EC0150">
        <w:rPr>
          <w:rFonts w:ascii="Arial" w:hAnsi="Arial" w:cs="Arial"/>
          <w:sz w:val="20"/>
          <w:szCs w:val="20"/>
          <w:lang w:val="bg-BG"/>
        </w:rPr>
        <w:t>инансиране по ОПОС 2014-2020 г.</w:t>
      </w:r>
      <w:r w:rsidR="00660BCF">
        <w:rPr>
          <w:rFonts w:ascii="Arial" w:hAnsi="Arial" w:cs="Arial"/>
          <w:sz w:val="20"/>
          <w:szCs w:val="20"/>
          <w:lang w:val="bg-BG"/>
        </w:rPr>
        <w:t xml:space="preserve"> </w:t>
      </w:r>
      <w:r w:rsidR="005D292F">
        <w:rPr>
          <w:rFonts w:ascii="Arial" w:hAnsi="Arial" w:cs="Arial"/>
          <w:sz w:val="20"/>
          <w:szCs w:val="20"/>
          <w:lang w:val="bg-BG"/>
        </w:rPr>
        <w:t>В рамките на РПИП</w:t>
      </w:r>
      <w:r w:rsidR="00C146DA">
        <w:rPr>
          <w:rFonts w:ascii="Arial" w:hAnsi="Arial" w:cs="Arial"/>
          <w:sz w:val="20"/>
          <w:szCs w:val="20"/>
          <w:lang w:val="bg-BG"/>
        </w:rPr>
        <w:t xml:space="preserve"> </w:t>
      </w:r>
      <w:r w:rsidR="005D292F">
        <w:rPr>
          <w:rFonts w:ascii="Arial" w:hAnsi="Arial" w:cs="Arial"/>
          <w:sz w:val="20"/>
          <w:szCs w:val="20"/>
          <w:lang w:val="bg-BG"/>
        </w:rPr>
        <w:t>се</w:t>
      </w:r>
      <w:r w:rsidR="00660BCF" w:rsidRPr="004E1647">
        <w:rPr>
          <w:rFonts w:ascii="Arial" w:hAnsi="Arial" w:cs="Arial"/>
          <w:sz w:val="20"/>
          <w:szCs w:val="20"/>
          <w:lang w:val="bg-BG"/>
        </w:rPr>
        <w:t xml:space="preserve"> изготвят ф</w:t>
      </w:r>
      <w:r w:rsidR="00660BCF">
        <w:rPr>
          <w:rFonts w:ascii="Arial" w:hAnsi="Arial" w:cs="Arial"/>
          <w:sz w:val="20"/>
          <w:szCs w:val="20"/>
          <w:lang w:val="bg-BG"/>
        </w:rPr>
        <w:t>инансови и икономически анализи</w:t>
      </w:r>
      <w:r w:rsidR="005D292F">
        <w:rPr>
          <w:rFonts w:ascii="Arial" w:hAnsi="Arial" w:cs="Arial"/>
          <w:sz w:val="20"/>
          <w:szCs w:val="20"/>
          <w:lang w:val="bg-BG"/>
        </w:rPr>
        <w:t xml:space="preserve"> на всеки</w:t>
      </w:r>
      <w:r w:rsidR="00C146DA">
        <w:rPr>
          <w:rFonts w:ascii="Arial" w:hAnsi="Arial" w:cs="Arial"/>
          <w:sz w:val="20"/>
          <w:szCs w:val="20"/>
          <w:lang w:val="bg-BG"/>
        </w:rPr>
        <w:t xml:space="preserve"> консолидиран</w:t>
      </w:r>
      <w:r w:rsidR="005D292F">
        <w:rPr>
          <w:rFonts w:ascii="Arial" w:hAnsi="Arial" w:cs="Arial"/>
          <w:sz w:val="20"/>
          <w:szCs w:val="20"/>
          <w:lang w:val="bg-BG"/>
        </w:rPr>
        <w:t xml:space="preserve"> ВиКО, както и </w:t>
      </w:r>
      <w:r w:rsidR="00660BCF" w:rsidRPr="004E1647">
        <w:rPr>
          <w:rFonts w:ascii="Arial" w:hAnsi="Arial" w:cs="Arial"/>
          <w:sz w:val="20"/>
          <w:szCs w:val="20"/>
          <w:lang w:val="bg-BG"/>
        </w:rPr>
        <w:t>анализи на</w:t>
      </w:r>
      <w:r w:rsidR="00C146DA">
        <w:rPr>
          <w:rFonts w:ascii="Arial" w:hAnsi="Arial" w:cs="Arial"/>
          <w:sz w:val="20"/>
          <w:szCs w:val="20"/>
          <w:lang w:val="bg-BG"/>
        </w:rPr>
        <w:t xml:space="preserve"> техния </w:t>
      </w:r>
      <w:r w:rsidR="00660BCF" w:rsidRPr="004E1647">
        <w:rPr>
          <w:rFonts w:ascii="Arial" w:hAnsi="Arial" w:cs="Arial"/>
          <w:sz w:val="20"/>
          <w:szCs w:val="20"/>
          <w:lang w:val="bg-BG"/>
        </w:rPr>
        <w:t xml:space="preserve"> </w:t>
      </w:r>
      <w:r w:rsidR="00C146DA" w:rsidRPr="004E1647">
        <w:rPr>
          <w:rFonts w:ascii="Arial" w:hAnsi="Arial" w:cs="Arial"/>
          <w:sz w:val="20"/>
          <w:szCs w:val="20"/>
          <w:lang w:val="bg-BG"/>
        </w:rPr>
        <w:t>институцион</w:t>
      </w:r>
      <w:r w:rsidR="00C146DA">
        <w:rPr>
          <w:rFonts w:ascii="Arial" w:hAnsi="Arial" w:cs="Arial"/>
          <w:sz w:val="20"/>
          <w:szCs w:val="20"/>
          <w:lang w:val="bg-BG"/>
        </w:rPr>
        <w:t xml:space="preserve">ален </w:t>
      </w:r>
      <w:r w:rsidR="00660BCF">
        <w:rPr>
          <w:rFonts w:ascii="Arial" w:hAnsi="Arial" w:cs="Arial"/>
          <w:sz w:val="20"/>
          <w:szCs w:val="20"/>
          <w:lang w:val="bg-BG"/>
        </w:rPr>
        <w:t>капацитет</w:t>
      </w:r>
      <w:r w:rsidR="00A2019B">
        <w:rPr>
          <w:rFonts w:ascii="Arial" w:hAnsi="Arial" w:cs="Arial"/>
          <w:sz w:val="20"/>
          <w:szCs w:val="20"/>
          <w:lang w:val="bg-BG"/>
        </w:rPr>
        <w:t>,</w:t>
      </w:r>
      <w:r w:rsidR="004604E2">
        <w:rPr>
          <w:rFonts w:ascii="Arial" w:hAnsi="Arial" w:cs="Arial"/>
          <w:sz w:val="20"/>
          <w:szCs w:val="20"/>
          <w:lang w:val="bg-BG"/>
        </w:rPr>
        <w:t xml:space="preserve"> </w:t>
      </w:r>
      <w:r w:rsidR="00C146DA">
        <w:rPr>
          <w:rFonts w:ascii="Arial" w:hAnsi="Arial" w:cs="Arial"/>
          <w:sz w:val="20"/>
          <w:szCs w:val="20"/>
          <w:lang w:val="bg-BG"/>
        </w:rPr>
        <w:t xml:space="preserve">които </w:t>
      </w:r>
      <w:r w:rsidR="00660BCF" w:rsidRPr="004E1647">
        <w:rPr>
          <w:rFonts w:ascii="Arial" w:hAnsi="Arial" w:cs="Arial"/>
          <w:sz w:val="20"/>
          <w:szCs w:val="20"/>
          <w:lang w:val="bg-BG"/>
        </w:rPr>
        <w:t>следва да бъдат взети</w:t>
      </w:r>
      <w:r w:rsidR="00660BCF">
        <w:rPr>
          <w:rFonts w:ascii="Arial" w:hAnsi="Arial" w:cs="Arial"/>
          <w:sz w:val="20"/>
          <w:szCs w:val="20"/>
          <w:lang w:val="bg-BG"/>
        </w:rPr>
        <w:t xml:space="preserve"> под внимание при</w:t>
      </w:r>
      <w:r w:rsidR="00C146DA">
        <w:rPr>
          <w:rFonts w:ascii="Arial" w:hAnsi="Arial" w:cs="Arial"/>
          <w:sz w:val="20"/>
          <w:szCs w:val="20"/>
          <w:lang w:val="bg-BG"/>
        </w:rPr>
        <w:t xml:space="preserve"> предоставянето на</w:t>
      </w:r>
      <w:r w:rsidR="002E54B2">
        <w:rPr>
          <w:rFonts w:ascii="Arial" w:hAnsi="Arial" w:cs="Arial"/>
          <w:sz w:val="20"/>
          <w:szCs w:val="20"/>
          <w:lang w:val="bg-BG"/>
        </w:rPr>
        <w:t xml:space="preserve"> финансиране чрез</w:t>
      </w:r>
      <w:r w:rsidR="00C146DA">
        <w:rPr>
          <w:rFonts w:ascii="Arial" w:hAnsi="Arial" w:cs="Arial"/>
          <w:sz w:val="20"/>
          <w:szCs w:val="20"/>
          <w:lang w:val="bg-BG"/>
        </w:rPr>
        <w:t xml:space="preserve"> ФИ</w:t>
      </w:r>
      <w:r w:rsidR="00660BCF" w:rsidRPr="004E1647">
        <w:rPr>
          <w:rFonts w:ascii="Arial" w:hAnsi="Arial" w:cs="Arial"/>
          <w:sz w:val="20"/>
          <w:szCs w:val="20"/>
          <w:lang w:val="bg-BG"/>
        </w:rPr>
        <w:t>.</w:t>
      </w:r>
    </w:p>
    <w:p w14:paraId="3FFE35C3" w14:textId="77777777" w:rsidR="00CC2D29" w:rsidRPr="00CC2D29" w:rsidRDefault="00CC2D29" w:rsidP="00CC2D29">
      <w:pPr>
        <w:widowControl w:val="0"/>
        <w:autoSpaceDE w:val="0"/>
        <w:autoSpaceDN w:val="0"/>
        <w:adjustRightInd w:val="0"/>
        <w:spacing w:after="120"/>
        <w:ind w:right="62"/>
        <w:jc w:val="both"/>
        <w:rPr>
          <w:rFonts w:ascii="Arial" w:hAnsi="Arial" w:cs="Arial"/>
          <w:sz w:val="20"/>
          <w:szCs w:val="20"/>
          <w:lang w:val="bg-BG"/>
        </w:rPr>
      </w:pPr>
      <w:r w:rsidRPr="00CC2D29">
        <w:rPr>
          <w:rFonts w:ascii="Arial" w:hAnsi="Arial" w:cs="Arial"/>
          <w:sz w:val="20"/>
          <w:szCs w:val="20"/>
          <w:lang w:val="bg-BG"/>
        </w:rPr>
        <w:t>Консолидацията е процес по окрупняване или разширяване на обхвата на териториите, на които се осъществява поддържането на публичната водоснабдителна и канализационна (ВиК) инфраструктура и предоставянето на ВиК услугите от един оператор, така че в рамките на  дадена административна област това да става за всички общини в нея. Консолидацията не е императивно изискване на Закона за водите, а е препоръчано в Стратегията за развитие и управление на водоснабдяването и канализацията, тъй като отговаря на добрите европейски практики за повишаване на ефективността в отрасъла и отразява прилагането на регионален и интегриран подход за управление и развитие на водоснабдяването и канализацията.</w:t>
      </w:r>
      <w:r w:rsidR="00C146DA">
        <w:rPr>
          <w:rFonts w:ascii="Arial" w:hAnsi="Arial" w:cs="Arial"/>
          <w:sz w:val="20"/>
          <w:szCs w:val="20"/>
          <w:lang w:val="bg-BG"/>
        </w:rPr>
        <w:t xml:space="preserve"> Консолидацията е и условие за реализацията на проекти с финансиране по ОПОС 2014-2020 г., </w:t>
      </w:r>
      <w:r w:rsidR="00C146DA" w:rsidRPr="00CC2D29">
        <w:rPr>
          <w:rFonts w:ascii="Arial" w:hAnsi="Arial" w:cs="Arial"/>
          <w:sz w:val="20"/>
          <w:szCs w:val="20"/>
          <w:lang w:val="bg-BG"/>
        </w:rPr>
        <w:t xml:space="preserve">тъй като по този начин се осигурява ефективност и възможност за устойчиво поддържане на новите системи и съоръжения в бъдеще. </w:t>
      </w:r>
      <w:r w:rsidRPr="00CC2D29">
        <w:rPr>
          <w:rFonts w:ascii="Arial" w:hAnsi="Arial" w:cs="Arial"/>
          <w:sz w:val="20"/>
          <w:szCs w:val="20"/>
          <w:lang w:val="bg-BG"/>
        </w:rPr>
        <w:t xml:space="preserve">Консолидацията е необходима, тъй като твърде малкият размер на част от ВиК дружествата, не им позволява да генерират </w:t>
      </w:r>
      <w:r w:rsidRPr="00CC2D29">
        <w:rPr>
          <w:rFonts w:ascii="Arial" w:hAnsi="Arial" w:cs="Arial"/>
          <w:sz w:val="20"/>
          <w:szCs w:val="20"/>
          <w:lang w:val="bg-BG"/>
        </w:rPr>
        <w:lastRenderedPageBreak/>
        <w:t xml:space="preserve">достатъчно приходи и съответно да правят капиталови инвестиции за доизграждане и </w:t>
      </w:r>
      <w:r w:rsidR="00DD30D8">
        <w:rPr>
          <w:rFonts w:ascii="Arial" w:hAnsi="Arial" w:cs="Arial"/>
          <w:sz w:val="20"/>
          <w:szCs w:val="20"/>
          <w:lang w:val="bg-BG"/>
        </w:rPr>
        <w:t>реконструкция</w:t>
      </w:r>
      <w:r w:rsidR="00DD30D8" w:rsidRPr="00CC2D29">
        <w:rPr>
          <w:rFonts w:ascii="Arial" w:hAnsi="Arial" w:cs="Arial"/>
          <w:sz w:val="20"/>
          <w:szCs w:val="20"/>
          <w:lang w:val="bg-BG"/>
        </w:rPr>
        <w:t xml:space="preserve"> </w:t>
      </w:r>
      <w:r w:rsidRPr="00CC2D29">
        <w:rPr>
          <w:rFonts w:ascii="Arial" w:hAnsi="Arial" w:cs="Arial"/>
          <w:sz w:val="20"/>
          <w:szCs w:val="20"/>
          <w:lang w:val="bg-BG"/>
        </w:rPr>
        <w:t>на ВиК инфраструктурата. За малките дружества е трудно да наемат необходимия квалифициран персонал, особено за задълженията, свързани с качеството на питейната вода и пречистването на отпадъчните води. Намаляването на населението, от една страна, и увеличаващите се средства, необходими за поддържането на съществуващата и изграждане на нова инфраструктура от друга, поставят предизвикателството пред отрасъла, да се създадат условия за реализация на т.н. „икономия от мащаба“ и предоставяне на ВиК услугите на повече потребители, за да се генерира финансов ресурс за покриване на разходите, без прекомерно да се повишава цената на ВиК услугите.</w:t>
      </w:r>
      <w:r w:rsidR="00B12221" w:rsidRPr="00B12221">
        <w:rPr>
          <w:rFonts w:ascii="Arial" w:hAnsi="Arial" w:cs="Arial"/>
          <w:sz w:val="20"/>
          <w:szCs w:val="20"/>
          <w:lang w:val="bg-BG"/>
        </w:rPr>
        <w:t xml:space="preserve"> </w:t>
      </w:r>
      <w:r w:rsidR="00B12221">
        <w:rPr>
          <w:rFonts w:ascii="Arial" w:hAnsi="Arial" w:cs="Arial"/>
          <w:sz w:val="20"/>
          <w:szCs w:val="20"/>
          <w:lang w:val="bg-BG"/>
        </w:rPr>
        <w:t>Тук особено внимание следва да се обърне на критериите за социална поносимост на цените на ВиК услугите и свър</w:t>
      </w:r>
      <w:r w:rsidR="00122B0A">
        <w:rPr>
          <w:rFonts w:ascii="Arial" w:hAnsi="Arial" w:cs="Arial"/>
          <w:sz w:val="20"/>
          <w:szCs w:val="20"/>
          <w:lang w:val="bg-BG"/>
        </w:rPr>
        <w:t>з</w:t>
      </w:r>
      <w:r w:rsidR="00B12221">
        <w:rPr>
          <w:rFonts w:ascii="Arial" w:hAnsi="Arial" w:cs="Arial"/>
          <w:sz w:val="20"/>
          <w:szCs w:val="20"/>
          <w:lang w:val="bg-BG"/>
        </w:rPr>
        <w:t>аните с тях ценови равнища с цел постигане на по-висока събираемост на таксите и финансово обезпечаване на бъдещите нужди за поддържане и подобряване на системите</w:t>
      </w:r>
      <w:r w:rsidR="00122B0A">
        <w:rPr>
          <w:rFonts w:ascii="Arial" w:hAnsi="Arial" w:cs="Arial"/>
          <w:sz w:val="20"/>
          <w:szCs w:val="20"/>
          <w:lang w:val="bg-BG"/>
        </w:rPr>
        <w:t>,</w:t>
      </w:r>
      <w:r w:rsidR="00B12221">
        <w:rPr>
          <w:rFonts w:ascii="Arial" w:hAnsi="Arial" w:cs="Arial"/>
          <w:sz w:val="20"/>
          <w:szCs w:val="20"/>
          <w:lang w:val="bg-BG"/>
        </w:rPr>
        <w:t xml:space="preserve"> заложени в плановете за развитие. </w:t>
      </w:r>
    </w:p>
    <w:p w14:paraId="16615328" w14:textId="77777777" w:rsidR="00CC2D29" w:rsidRPr="00CC2D29" w:rsidRDefault="00C146DA" w:rsidP="00CC2D29">
      <w:pPr>
        <w:widowControl w:val="0"/>
        <w:autoSpaceDE w:val="0"/>
        <w:autoSpaceDN w:val="0"/>
        <w:adjustRightInd w:val="0"/>
        <w:spacing w:after="120"/>
        <w:ind w:right="62"/>
        <w:jc w:val="both"/>
        <w:rPr>
          <w:rFonts w:ascii="Arial" w:hAnsi="Arial" w:cs="Arial"/>
          <w:sz w:val="20"/>
          <w:szCs w:val="20"/>
          <w:lang w:val="bg-BG"/>
        </w:rPr>
      </w:pPr>
      <w:r>
        <w:rPr>
          <w:rFonts w:ascii="Arial" w:hAnsi="Arial" w:cs="Arial"/>
          <w:sz w:val="20"/>
          <w:szCs w:val="20"/>
          <w:lang w:val="bg-BG"/>
        </w:rPr>
        <w:t>Към датата на одобряване на ОПОС 2014-2020 г. (15 юни 2015 г.)</w:t>
      </w:r>
      <w:r w:rsidR="00CC2D29" w:rsidRPr="00CC2D29">
        <w:rPr>
          <w:rFonts w:ascii="Arial" w:hAnsi="Arial" w:cs="Arial"/>
          <w:sz w:val="20"/>
          <w:szCs w:val="20"/>
          <w:lang w:val="bg-BG"/>
        </w:rPr>
        <w:t xml:space="preserve"> </w:t>
      </w:r>
      <w:r w:rsidR="0092334D">
        <w:rPr>
          <w:rFonts w:ascii="Arial" w:hAnsi="Arial" w:cs="Arial"/>
          <w:sz w:val="20"/>
          <w:szCs w:val="20"/>
          <w:lang w:val="bg-BG"/>
        </w:rPr>
        <w:t xml:space="preserve">броят на обособените територии, обслужвани от един консолидиран ВиК оператор е </w:t>
      </w:r>
      <w:r w:rsidR="00CC2D29" w:rsidRPr="00CC2D29">
        <w:rPr>
          <w:rFonts w:ascii="Arial" w:hAnsi="Arial" w:cs="Arial"/>
          <w:sz w:val="20"/>
          <w:szCs w:val="20"/>
          <w:lang w:val="bg-BG"/>
        </w:rPr>
        <w:t>16</w:t>
      </w:r>
      <w:r w:rsidR="0092334D">
        <w:rPr>
          <w:rFonts w:ascii="Arial" w:hAnsi="Arial" w:cs="Arial"/>
          <w:sz w:val="20"/>
          <w:szCs w:val="20"/>
          <w:lang w:val="bg-BG"/>
        </w:rPr>
        <w:t xml:space="preserve">. За тези обособени територии </w:t>
      </w:r>
      <w:r w:rsidR="00CC2D29" w:rsidRPr="00CC2D29">
        <w:rPr>
          <w:rFonts w:ascii="Arial" w:hAnsi="Arial" w:cs="Arial"/>
          <w:sz w:val="20"/>
          <w:szCs w:val="20"/>
          <w:lang w:val="bg-BG"/>
        </w:rPr>
        <w:t xml:space="preserve"> всички общини са членове на областната асоциация по ВиК и съответно в тези </w:t>
      </w:r>
      <w:r w:rsidR="0092334D">
        <w:rPr>
          <w:rFonts w:ascii="Arial" w:hAnsi="Arial" w:cs="Arial"/>
          <w:sz w:val="20"/>
          <w:szCs w:val="20"/>
          <w:lang w:val="bg-BG"/>
        </w:rPr>
        <w:t>обособени територии</w:t>
      </w:r>
      <w:r w:rsidR="00CC2D29" w:rsidRPr="00CC2D29">
        <w:rPr>
          <w:rFonts w:ascii="Arial" w:hAnsi="Arial" w:cs="Arial"/>
          <w:sz w:val="20"/>
          <w:szCs w:val="20"/>
          <w:lang w:val="bg-BG"/>
        </w:rPr>
        <w:t xml:space="preserve"> ще се изпълняват ВиК проекти, финансирани от </w:t>
      </w:r>
      <w:r w:rsidR="00C456AA">
        <w:rPr>
          <w:rFonts w:ascii="Arial" w:hAnsi="Arial" w:cs="Arial"/>
          <w:sz w:val="20"/>
          <w:szCs w:val="20"/>
          <w:lang w:val="bg-BG"/>
        </w:rPr>
        <w:t>ОПОС</w:t>
      </w:r>
      <w:r w:rsidR="00CC2D29" w:rsidRPr="00CC2D29">
        <w:rPr>
          <w:rFonts w:ascii="Arial" w:hAnsi="Arial" w:cs="Arial"/>
          <w:sz w:val="20"/>
          <w:szCs w:val="20"/>
          <w:lang w:val="bg-BG"/>
        </w:rPr>
        <w:t xml:space="preserve"> 2014-2020 г.</w:t>
      </w:r>
    </w:p>
    <w:p w14:paraId="2EBFECCA" w14:textId="77777777" w:rsidR="00CC2D29" w:rsidRPr="005D292F" w:rsidRDefault="00CC2D29" w:rsidP="00CC2D29">
      <w:pPr>
        <w:widowControl w:val="0"/>
        <w:autoSpaceDE w:val="0"/>
        <w:autoSpaceDN w:val="0"/>
        <w:adjustRightInd w:val="0"/>
        <w:spacing w:after="120"/>
        <w:ind w:right="62"/>
        <w:jc w:val="both"/>
        <w:rPr>
          <w:rFonts w:ascii="Arial" w:hAnsi="Arial" w:cs="Arial"/>
          <w:sz w:val="20"/>
          <w:szCs w:val="20"/>
          <w:lang w:val="bg-BG"/>
        </w:rPr>
      </w:pPr>
      <w:r w:rsidRPr="00CC2D29">
        <w:rPr>
          <w:rFonts w:ascii="Arial" w:hAnsi="Arial" w:cs="Arial"/>
          <w:sz w:val="20"/>
          <w:szCs w:val="20"/>
          <w:lang w:val="bg-BG"/>
        </w:rPr>
        <w:t>През 2016 г. в още пет</w:t>
      </w:r>
      <w:r w:rsidR="0092334D">
        <w:rPr>
          <w:rFonts w:ascii="Arial" w:hAnsi="Arial" w:cs="Arial"/>
          <w:sz w:val="20"/>
          <w:szCs w:val="20"/>
          <w:lang w:val="bg-BG"/>
        </w:rPr>
        <w:t xml:space="preserve"> обособени територии, съответватстващи на</w:t>
      </w:r>
      <w:r w:rsidRPr="00CC2D29">
        <w:rPr>
          <w:rFonts w:ascii="Arial" w:hAnsi="Arial" w:cs="Arial"/>
          <w:sz w:val="20"/>
          <w:szCs w:val="20"/>
          <w:lang w:val="bg-BG"/>
        </w:rPr>
        <w:t xml:space="preserve"> административни</w:t>
      </w:r>
      <w:r w:rsidR="0092334D">
        <w:rPr>
          <w:rFonts w:ascii="Arial" w:hAnsi="Arial" w:cs="Arial"/>
          <w:sz w:val="20"/>
          <w:szCs w:val="20"/>
          <w:lang w:val="bg-BG"/>
        </w:rPr>
        <w:t>те</w:t>
      </w:r>
      <w:r w:rsidRPr="00CC2D29">
        <w:rPr>
          <w:rFonts w:ascii="Arial" w:hAnsi="Arial" w:cs="Arial"/>
          <w:sz w:val="20"/>
          <w:szCs w:val="20"/>
          <w:lang w:val="bg-BG"/>
        </w:rPr>
        <w:t xml:space="preserve"> области - Габрово, Плевен, Велико Търново, Софийска област, Хасково, общинските съвети и асоциациите по ВиК взе</w:t>
      </w:r>
      <w:r w:rsidR="00A2019B">
        <w:rPr>
          <w:rFonts w:ascii="Arial" w:hAnsi="Arial" w:cs="Arial"/>
          <w:sz w:val="20"/>
          <w:szCs w:val="20"/>
          <w:lang w:val="bg-BG"/>
        </w:rPr>
        <w:t>мат</w:t>
      </w:r>
      <w:r w:rsidRPr="00CC2D29">
        <w:rPr>
          <w:rFonts w:ascii="Arial" w:hAnsi="Arial" w:cs="Arial"/>
          <w:sz w:val="20"/>
          <w:szCs w:val="20"/>
          <w:lang w:val="bg-BG"/>
        </w:rPr>
        <w:t xml:space="preserve"> решения за осъществяване на процеса по консолидация и ВиК услугите да се предоставят от един оператор за всички общини в областта.</w:t>
      </w:r>
    </w:p>
    <w:p w14:paraId="13EBD142" w14:textId="77777777" w:rsidR="00B60900" w:rsidRDefault="00CF3C11" w:rsidP="00E5799A">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Според С</w:t>
      </w:r>
      <w:r w:rsidR="00B60900">
        <w:rPr>
          <w:rFonts w:ascii="Arial" w:hAnsi="Arial" w:cs="Arial"/>
          <w:sz w:val="20"/>
          <w:szCs w:val="20"/>
          <w:lang w:val="bg-BG"/>
        </w:rPr>
        <w:t xml:space="preserve">тратегията за </w:t>
      </w:r>
      <w:r>
        <w:rPr>
          <w:rFonts w:ascii="Arial" w:hAnsi="Arial" w:cs="Arial"/>
          <w:sz w:val="20"/>
          <w:szCs w:val="20"/>
          <w:lang w:val="bg-BG"/>
        </w:rPr>
        <w:t>ВиК</w:t>
      </w:r>
      <w:r w:rsidR="00B60900" w:rsidRPr="004A3BD1">
        <w:rPr>
          <w:rFonts w:ascii="Arial" w:hAnsi="Arial" w:cs="Arial"/>
          <w:sz w:val="20"/>
          <w:szCs w:val="20"/>
          <w:vertAlign w:val="superscript"/>
          <w:lang w:val="bg-BG"/>
        </w:rPr>
        <w:footnoteReference w:id="6"/>
      </w:r>
      <w:r w:rsidR="00B60900">
        <w:rPr>
          <w:rFonts w:ascii="Arial" w:hAnsi="Arial" w:cs="Arial"/>
          <w:sz w:val="20"/>
          <w:szCs w:val="20"/>
          <w:lang w:val="bg-BG"/>
        </w:rPr>
        <w:t xml:space="preserve">, </w:t>
      </w:r>
      <w:r w:rsidR="00B60900" w:rsidRPr="004A3BD1">
        <w:rPr>
          <w:rFonts w:ascii="Arial" w:hAnsi="Arial" w:cs="Arial"/>
          <w:sz w:val="20"/>
          <w:szCs w:val="20"/>
          <w:lang w:val="bg-BG"/>
        </w:rPr>
        <w:t xml:space="preserve">необходимият финансов ресурс за инвестиции с цел </w:t>
      </w:r>
      <w:r w:rsidR="002B08B8">
        <w:rPr>
          <w:rFonts w:ascii="Arial" w:hAnsi="Arial" w:cs="Arial"/>
          <w:sz w:val="20"/>
          <w:szCs w:val="20"/>
          <w:lang w:val="bg-BG"/>
        </w:rPr>
        <w:t xml:space="preserve">постигане на </w:t>
      </w:r>
      <w:r w:rsidR="00B60900" w:rsidRPr="004A3BD1">
        <w:rPr>
          <w:rFonts w:ascii="Arial" w:hAnsi="Arial" w:cs="Arial"/>
          <w:sz w:val="20"/>
          <w:szCs w:val="20"/>
          <w:lang w:val="bg-BG"/>
        </w:rPr>
        <w:t>съответствие</w:t>
      </w:r>
      <w:r w:rsidR="00B60900" w:rsidRPr="004A3BD1">
        <w:rPr>
          <w:rFonts w:ascii="Arial" w:hAnsi="Arial" w:cs="Arial"/>
          <w:sz w:val="20"/>
          <w:szCs w:val="20"/>
          <w:vertAlign w:val="superscript"/>
          <w:lang w:val="en-US"/>
        </w:rPr>
        <w:footnoteReference w:id="7"/>
      </w:r>
      <w:r w:rsidR="00B60900" w:rsidRPr="004A3BD1">
        <w:rPr>
          <w:rFonts w:ascii="Arial" w:hAnsi="Arial" w:cs="Arial"/>
          <w:sz w:val="20"/>
          <w:szCs w:val="20"/>
          <w:lang w:val="bg-BG"/>
        </w:rPr>
        <w:t xml:space="preserve"> </w:t>
      </w:r>
      <w:r w:rsidR="002B08B8">
        <w:rPr>
          <w:rFonts w:ascii="Arial" w:hAnsi="Arial" w:cs="Arial"/>
          <w:sz w:val="20"/>
          <w:szCs w:val="20"/>
          <w:lang w:val="bg-BG"/>
        </w:rPr>
        <w:t xml:space="preserve">с изискванията на европейското и националното законодателство в областта на питейните и отпадъчни води </w:t>
      </w:r>
      <w:r w:rsidR="00B60900" w:rsidRPr="004A3BD1">
        <w:rPr>
          <w:rFonts w:ascii="Arial" w:hAnsi="Arial" w:cs="Arial"/>
          <w:sz w:val="20"/>
          <w:szCs w:val="20"/>
          <w:lang w:val="bg-BG"/>
        </w:rPr>
        <w:t xml:space="preserve">във </w:t>
      </w:r>
      <w:r w:rsidR="00DA330B">
        <w:rPr>
          <w:rFonts w:ascii="Arial" w:hAnsi="Arial" w:cs="Arial"/>
          <w:sz w:val="20"/>
          <w:szCs w:val="20"/>
          <w:lang w:val="bg-BG"/>
        </w:rPr>
        <w:t>ВиК</w:t>
      </w:r>
      <w:r w:rsidR="00B60900" w:rsidRPr="004A3BD1">
        <w:rPr>
          <w:rFonts w:ascii="Arial" w:hAnsi="Arial" w:cs="Arial"/>
          <w:sz w:val="20"/>
          <w:szCs w:val="20"/>
          <w:lang w:val="bg-BG"/>
        </w:rPr>
        <w:t xml:space="preserve"> инфраструктура е на стойност 3.8 млрд. евро.</w:t>
      </w:r>
      <w:r w:rsidR="00B60900">
        <w:rPr>
          <w:rFonts w:ascii="Arial" w:hAnsi="Arial" w:cs="Arial"/>
          <w:sz w:val="20"/>
          <w:szCs w:val="20"/>
          <w:lang w:val="bg-BG"/>
        </w:rPr>
        <w:t xml:space="preserve"> </w:t>
      </w:r>
    </w:p>
    <w:p w14:paraId="58C79C94" w14:textId="77777777" w:rsidR="008B6C93" w:rsidRDefault="008B6C93" w:rsidP="008B6C93">
      <w:pPr>
        <w:spacing w:after="120"/>
        <w:jc w:val="both"/>
        <w:rPr>
          <w:rFonts w:ascii="Arial" w:hAnsi="Arial" w:cs="Arial"/>
          <w:sz w:val="20"/>
          <w:szCs w:val="20"/>
          <w:lang w:val="bg-BG"/>
        </w:rPr>
      </w:pPr>
      <w:r>
        <w:rPr>
          <w:rFonts w:ascii="Arial" w:hAnsi="Arial" w:cs="Arial"/>
          <w:sz w:val="20"/>
          <w:szCs w:val="20"/>
          <w:lang w:val="bg-BG"/>
        </w:rPr>
        <w:t>В исторически план се наблюдава недостиг на финансиране за ВиК сектора</w:t>
      </w:r>
      <w:r w:rsidRPr="0051416F">
        <w:rPr>
          <w:rFonts w:ascii="Arial" w:hAnsi="Arial" w:cs="Arial"/>
          <w:sz w:val="20"/>
          <w:szCs w:val="20"/>
          <w:lang w:val="bg-BG"/>
        </w:rPr>
        <w:t xml:space="preserve">. </w:t>
      </w:r>
      <w:r>
        <w:rPr>
          <w:rFonts w:ascii="Arial" w:hAnsi="Arial" w:cs="Arial"/>
          <w:sz w:val="20"/>
          <w:szCs w:val="20"/>
          <w:lang w:val="bg-BG"/>
        </w:rPr>
        <w:t>Основните източници на финансиране са следните:</w:t>
      </w:r>
      <w:r w:rsidRPr="0051416F">
        <w:rPr>
          <w:rFonts w:ascii="Arial" w:hAnsi="Arial" w:cs="Arial"/>
          <w:sz w:val="20"/>
          <w:szCs w:val="20"/>
          <w:lang w:val="bg-BG"/>
        </w:rPr>
        <w:t xml:space="preserve"> (</w:t>
      </w:r>
      <w:r w:rsidR="00603387" w:rsidRPr="00603387">
        <w:rPr>
          <w:rFonts w:ascii="Arial" w:hAnsi="Arial" w:cs="Arial"/>
          <w:sz w:val="20"/>
          <w:szCs w:val="20"/>
          <w:lang w:val="bg-BG"/>
        </w:rPr>
        <w:t>1</w:t>
      </w:r>
      <w:r w:rsidRPr="0051416F">
        <w:rPr>
          <w:rFonts w:ascii="Arial" w:hAnsi="Arial" w:cs="Arial"/>
          <w:sz w:val="20"/>
          <w:szCs w:val="20"/>
          <w:lang w:val="bg-BG"/>
        </w:rPr>
        <w:t xml:space="preserve">) </w:t>
      </w:r>
      <w:r>
        <w:rPr>
          <w:rFonts w:ascii="Arial" w:hAnsi="Arial" w:cs="Arial"/>
          <w:sz w:val="20"/>
          <w:szCs w:val="20"/>
          <w:lang w:val="bg-BG"/>
        </w:rPr>
        <w:t xml:space="preserve">ОПОС </w:t>
      </w:r>
      <w:r w:rsidRPr="0051416F">
        <w:rPr>
          <w:rFonts w:ascii="Arial" w:hAnsi="Arial" w:cs="Arial"/>
          <w:sz w:val="20"/>
          <w:szCs w:val="20"/>
          <w:lang w:val="bg-BG"/>
        </w:rPr>
        <w:t>2007-2013</w:t>
      </w:r>
      <w:r>
        <w:rPr>
          <w:rFonts w:ascii="Arial" w:hAnsi="Arial" w:cs="Arial"/>
          <w:sz w:val="20"/>
          <w:szCs w:val="20"/>
          <w:lang w:val="bg-BG"/>
        </w:rPr>
        <w:t xml:space="preserve"> г.</w:t>
      </w:r>
      <w:r w:rsidRPr="0051416F">
        <w:rPr>
          <w:rFonts w:ascii="Arial" w:hAnsi="Arial" w:cs="Arial"/>
          <w:sz w:val="20"/>
          <w:szCs w:val="20"/>
          <w:lang w:val="bg-BG"/>
        </w:rPr>
        <w:t xml:space="preserve"> </w:t>
      </w:r>
      <w:r w:rsidR="0092334D">
        <w:rPr>
          <w:rFonts w:ascii="Arial" w:hAnsi="Arial" w:cs="Arial"/>
          <w:sz w:val="20"/>
          <w:szCs w:val="20"/>
          <w:lang w:val="bg-BG"/>
        </w:rPr>
        <w:t xml:space="preserve">и ОПОС 2014-2020 г. </w:t>
      </w:r>
      <w:r>
        <w:rPr>
          <w:rFonts w:ascii="Arial" w:hAnsi="Arial" w:cs="Arial"/>
          <w:sz w:val="20"/>
          <w:szCs w:val="20"/>
          <w:lang w:val="bg-BG"/>
        </w:rPr>
        <w:t>чрез безвъзмездна финансова помощ,</w:t>
      </w:r>
      <w:r w:rsidRPr="0051416F">
        <w:rPr>
          <w:rFonts w:ascii="Arial" w:hAnsi="Arial" w:cs="Arial"/>
          <w:sz w:val="20"/>
          <w:szCs w:val="20"/>
          <w:lang w:val="bg-BG"/>
        </w:rPr>
        <w:t xml:space="preserve"> (</w:t>
      </w:r>
      <w:r w:rsidR="00603387" w:rsidRPr="00603387">
        <w:rPr>
          <w:rFonts w:ascii="Arial" w:hAnsi="Arial" w:cs="Arial"/>
          <w:sz w:val="20"/>
          <w:szCs w:val="20"/>
          <w:lang w:val="bg-BG"/>
        </w:rPr>
        <w:t>2</w:t>
      </w:r>
      <w:r w:rsidRPr="0051416F">
        <w:rPr>
          <w:rFonts w:ascii="Arial" w:hAnsi="Arial" w:cs="Arial"/>
          <w:sz w:val="20"/>
          <w:szCs w:val="20"/>
          <w:lang w:val="bg-BG"/>
        </w:rPr>
        <w:t xml:space="preserve">) </w:t>
      </w:r>
      <w:r>
        <w:rPr>
          <w:rFonts w:ascii="Arial" w:hAnsi="Arial" w:cs="Arial"/>
          <w:sz w:val="20"/>
          <w:szCs w:val="20"/>
          <w:lang w:val="bg-BG"/>
        </w:rPr>
        <w:t>Фонд за органите на местното самоуправление (ФЛАГ) чрез заеми</w:t>
      </w:r>
      <w:r w:rsidRPr="0051416F">
        <w:rPr>
          <w:rFonts w:ascii="Arial" w:hAnsi="Arial" w:cs="Arial"/>
          <w:sz w:val="20"/>
          <w:szCs w:val="20"/>
          <w:lang w:val="bg-BG"/>
        </w:rPr>
        <w:t>,</w:t>
      </w:r>
      <w:r>
        <w:rPr>
          <w:rFonts w:ascii="Arial" w:hAnsi="Arial" w:cs="Arial"/>
          <w:sz w:val="20"/>
          <w:szCs w:val="20"/>
          <w:lang w:val="bg-BG"/>
        </w:rPr>
        <w:t xml:space="preserve"> предоставяни на общините,</w:t>
      </w:r>
      <w:r w:rsidRPr="0051416F">
        <w:rPr>
          <w:rFonts w:ascii="Arial" w:hAnsi="Arial" w:cs="Arial"/>
          <w:sz w:val="20"/>
          <w:szCs w:val="20"/>
          <w:lang w:val="bg-BG"/>
        </w:rPr>
        <w:t xml:space="preserve"> (</w:t>
      </w:r>
      <w:r w:rsidR="00603387" w:rsidRPr="00603387">
        <w:rPr>
          <w:rFonts w:ascii="Arial" w:hAnsi="Arial" w:cs="Arial"/>
          <w:sz w:val="20"/>
          <w:szCs w:val="20"/>
          <w:lang w:val="bg-BG"/>
        </w:rPr>
        <w:t>3</w:t>
      </w:r>
      <w:r w:rsidRPr="0051416F">
        <w:rPr>
          <w:rFonts w:ascii="Arial" w:hAnsi="Arial" w:cs="Arial"/>
          <w:sz w:val="20"/>
          <w:szCs w:val="20"/>
          <w:lang w:val="bg-BG"/>
        </w:rPr>
        <w:t xml:space="preserve">) </w:t>
      </w:r>
      <w:r>
        <w:rPr>
          <w:rFonts w:ascii="Arial" w:hAnsi="Arial" w:cs="Arial"/>
          <w:sz w:val="20"/>
          <w:szCs w:val="20"/>
          <w:lang w:val="bg-BG"/>
        </w:rPr>
        <w:t xml:space="preserve">Предприятие за управление на дейностите по опазване на околната среда (ПУДООС) </w:t>
      </w:r>
      <w:r w:rsidRPr="0051416F">
        <w:rPr>
          <w:rFonts w:ascii="Arial" w:hAnsi="Arial" w:cs="Arial"/>
          <w:sz w:val="20"/>
          <w:szCs w:val="20"/>
          <w:lang w:val="bg-BG"/>
        </w:rPr>
        <w:t xml:space="preserve"> </w:t>
      </w:r>
      <w:r>
        <w:rPr>
          <w:rFonts w:ascii="Arial" w:hAnsi="Arial" w:cs="Arial"/>
          <w:sz w:val="20"/>
          <w:szCs w:val="20"/>
          <w:lang w:val="bg-BG"/>
        </w:rPr>
        <w:t>чрез безвъзмездна финансова помощ и заеми</w:t>
      </w:r>
      <w:r w:rsidRPr="0051416F">
        <w:rPr>
          <w:rFonts w:ascii="Arial" w:hAnsi="Arial" w:cs="Arial"/>
          <w:sz w:val="20"/>
          <w:szCs w:val="20"/>
          <w:lang w:val="bg-BG"/>
        </w:rPr>
        <w:t>,</w:t>
      </w:r>
      <w:r>
        <w:rPr>
          <w:rFonts w:ascii="Arial" w:hAnsi="Arial" w:cs="Arial"/>
          <w:sz w:val="20"/>
          <w:szCs w:val="20"/>
          <w:lang w:val="bg-BG"/>
        </w:rPr>
        <w:t xml:space="preserve"> предоставяни на общините,</w:t>
      </w:r>
      <w:r w:rsidR="00386E5E" w:rsidRPr="00785B0F">
        <w:rPr>
          <w:rFonts w:ascii="Arial" w:hAnsi="Arial" w:cs="Arial"/>
          <w:sz w:val="20"/>
          <w:szCs w:val="20"/>
          <w:lang w:val="bg-BG"/>
        </w:rPr>
        <w:t xml:space="preserve"> (4) </w:t>
      </w:r>
      <w:r w:rsidR="00386E5E">
        <w:rPr>
          <w:rFonts w:ascii="Arial" w:hAnsi="Arial" w:cs="Arial"/>
          <w:sz w:val="20"/>
          <w:szCs w:val="20"/>
          <w:lang w:val="bg-BG"/>
        </w:rPr>
        <w:t xml:space="preserve">Инструмент за структурни политики и присъединяване </w:t>
      </w:r>
      <w:r w:rsidR="00386E5E" w:rsidRPr="00785B0F">
        <w:rPr>
          <w:rFonts w:ascii="Arial" w:hAnsi="Arial" w:cs="Arial"/>
          <w:sz w:val="20"/>
          <w:szCs w:val="20"/>
          <w:lang w:val="bg-BG"/>
        </w:rPr>
        <w:t>(</w:t>
      </w:r>
      <w:r w:rsidR="00386E5E">
        <w:rPr>
          <w:rFonts w:ascii="Arial" w:hAnsi="Arial" w:cs="Arial"/>
          <w:sz w:val="20"/>
          <w:szCs w:val="20"/>
          <w:lang w:val="bg-BG"/>
        </w:rPr>
        <w:t>ИСПА</w:t>
      </w:r>
      <w:r w:rsidR="00386E5E" w:rsidRPr="00785B0F">
        <w:rPr>
          <w:rFonts w:ascii="Arial" w:hAnsi="Arial" w:cs="Arial"/>
          <w:sz w:val="20"/>
          <w:szCs w:val="20"/>
          <w:lang w:val="bg-BG"/>
        </w:rPr>
        <w:t>)</w:t>
      </w:r>
      <w:r w:rsidR="00386E5E">
        <w:rPr>
          <w:rFonts w:ascii="Arial" w:hAnsi="Arial" w:cs="Arial"/>
          <w:sz w:val="20"/>
          <w:szCs w:val="20"/>
          <w:lang w:val="bg-BG"/>
        </w:rPr>
        <w:t xml:space="preserve">, </w:t>
      </w:r>
      <w:r w:rsidR="00386E5E" w:rsidRPr="00785B0F">
        <w:rPr>
          <w:rFonts w:ascii="Arial" w:hAnsi="Arial" w:cs="Arial"/>
          <w:sz w:val="20"/>
          <w:szCs w:val="20"/>
          <w:lang w:val="bg-BG"/>
        </w:rPr>
        <w:t xml:space="preserve">(5) </w:t>
      </w:r>
      <w:r w:rsidR="00386E5E">
        <w:rPr>
          <w:rFonts w:ascii="Arial" w:hAnsi="Arial" w:cs="Arial"/>
          <w:sz w:val="20"/>
          <w:szCs w:val="20"/>
          <w:lang w:val="bg-BG"/>
        </w:rPr>
        <w:t xml:space="preserve">Програма за развитие на селските райни </w:t>
      </w:r>
      <w:r w:rsidR="00386E5E" w:rsidRPr="00785B0F">
        <w:rPr>
          <w:rFonts w:ascii="Arial" w:hAnsi="Arial" w:cs="Arial"/>
          <w:sz w:val="20"/>
          <w:szCs w:val="20"/>
          <w:lang w:val="bg-BG"/>
        </w:rPr>
        <w:t>(</w:t>
      </w:r>
      <w:r w:rsidR="00386E5E">
        <w:rPr>
          <w:rFonts w:ascii="Arial" w:hAnsi="Arial" w:cs="Arial"/>
          <w:sz w:val="20"/>
          <w:szCs w:val="20"/>
          <w:lang w:val="bg-BG"/>
        </w:rPr>
        <w:t>ПРСР 2014-2020 г.</w:t>
      </w:r>
      <w:r w:rsidR="00386E5E" w:rsidRPr="00785B0F">
        <w:rPr>
          <w:rFonts w:ascii="Arial" w:hAnsi="Arial" w:cs="Arial"/>
          <w:sz w:val="20"/>
          <w:szCs w:val="20"/>
          <w:lang w:val="bg-BG"/>
        </w:rPr>
        <w:t xml:space="preserve">) </w:t>
      </w:r>
      <w:r w:rsidRPr="0051416F">
        <w:rPr>
          <w:rFonts w:ascii="Arial" w:hAnsi="Arial" w:cs="Arial"/>
          <w:sz w:val="20"/>
          <w:szCs w:val="20"/>
          <w:lang w:val="bg-BG"/>
        </w:rPr>
        <w:t xml:space="preserve"> (</w:t>
      </w:r>
      <w:r w:rsidR="00731850" w:rsidRPr="00785B0F">
        <w:rPr>
          <w:rFonts w:ascii="Arial" w:hAnsi="Arial" w:cs="Arial"/>
          <w:sz w:val="20"/>
          <w:szCs w:val="20"/>
          <w:lang w:val="bg-BG"/>
        </w:rPr>
        <w:t>6</w:t>
      </w:r>
      <w:r w:rsidRPr="0051416F">
        <w:rPr>
          <w:rFonts w:ascii="Arial" w:hAnsi="Arial" w:cs="Arial"/>
          <w:sz w:val="20"/>
          <w:szCs w:val="20"/>
          <w:lang w:val="bg-BG"/>
        </w:rPr>
        <w:t xml:space="preserve">) </w:t>
      </w:r>
      <w:r>
        <w:rPr>
          <w:rFonts w:ascii="Arial" w:hAnsi="Arial" w:cs="Arial"/>
          <w:sz w:val="20"/>
          <w:szCs w:val="20"/>
          <w:lang w:val="bg-BG"/>
        </w:rPr>
        <w:t>международни финансови институции (МФИ)</w:t>
      </w:r>
      <w:r w:rsidRPr="0051416F">
        <w:rPr>
          <w:rFonts w:ascii="Arial" w:hAnsi="Arial" w:cs="Arial"/>
          <w:sz w:val="20"/>
          <w:szCs w:val="20"/>
          <w:lang w:val="bg-BG"/>
        </w:rPr>
        <w:t xml:space="preserve"> </w:t>
      </w:r>
      <w:r>
        <w:rPr>
          <w:rFonts w:ascii="Arial" w:hAnsi="Arial" w:cs="Arial"/>
          <w:sz w:val="20"/>
          <w:szCs w:val="20"/>
          <w:lang w:val="bg-BG"/>
        </w:rPr>
        <w:t>чрез заеми</w:t>
      </w:r>
      <w:r w:rsidRPr="0051416F">
        <w:rPr>
          <w:rFonts w:ascii="Arial" w:hAnsi="Arial" w:cs="Arial"/>
          <w:sz w:val="20"/>
          <w:szCs w:val="20"/>
          <w:lang w:val="bg-BG"/>
        </w:rPr>
        <w:t>; (</w:t>
      </w:r>
      <w:r w:rsidR="00731850" w:rsidRPr="00785B0F">
        <w:rPr>
          <w:rFonts w:ascii="Arial" w:hAnsi="Arial" w:cs="Arial"/>
          <w:sz w:val="20"/>
          <w:szCs w:val="20"/>
          <w:lang w:val="bg-BG"/>
        </w:rPr>
        <w:t>7</w:t>
      </w:r>
      <w:r w:rsidRPr="0051416F">
        <w:rPr>
          <w:rFonts w:ascii="Arial" w:hAnsi="Arial" w:cs="Arial"/>
          <w:sz w:val="20"/>
          <w:szCs w:val="20"/>
          <w:lang w:val="bg-BG"/>
        </w:rPr>
        <w:t xml:space="preserve">) </w:t>
      </w:r>
      <w:r>
        <w:rPr>
          <w:rFonts w:ascii="Arial" w:hAnsi="Arial" w:cs="Arial"/>
          <w:sz w:val="20"/>
          <w:szCs w:val="20"/>
          <w:lang w:val="bg-BG"/>
        </w:rPr>
        <w:t>целево финансиране чрез държав</w:t>
      </w:r>
      <w:r w:rsidR="00512D71">
        <w:rPr>
          <w:rFonts w:ascii="Arial" w:hAnsi="Arial" w:cs="Arial"/>
          <w:sz w:val="20"/>
          <w:szCs w:val="20"/>
          <w:lang w:val="bg-BG"/>
        </w:rPr>
        <w:t>е</w:t>
      </w:r>
      <w:r>
        <w:rPr>
          <w:rFonts w:ascii="Arial" w:hAnsi="Arial" w:cs="Arial"/>
          <w:sz w:val="20"/>
          <w:szCs w:val="20"/>
          <w:lang w:val="bg-BG"/>
        </w:rPr>
        <w:t xml:space="preserve">н/общински бюджети и </w:t>
      </w:r>
      <w:r w:rsidRPr="0051416F">
        <w:rPr>
          <w:rFonts w:ascii="Arial" w:hAnsi="Arial" w:cs="Arial"/>
          <w:sz w:val="20"/>
          <w:szCs w:val="20"/>
          <w:lang w:val="bg-BG"/>
        </w:rPr>
        <w:t>(</w:t>
      </w:r>
      <w:r w:rsidR="000059FB">
        <w:rPr>
          <w:rFonts w:ascii="Arial" w:hAnsi="Arial" w:cs="Arial"/>
          <w:sz w:val="20"/>
          <w:szCs w:val="20"/>
          <w:lang w:val="bg-BG"/>
        </w:rPr>
        <w:t>8</w:t>
      </w:r>
      <w:r w:rsidRPr="0051416F">
        <w:rPr>
          <w:rFonts w:ascii="Arial" w:hAnsi="Arial" w:cs="Arial"/>
          <w:sz w:val="20"/>
          <w:szCs w:val="20"/>
          <w:lang w:val="bg-BG"/>
        </w:rPr>
        <w:t xml:space="preserve">) </w:t>
      </w:r>
      <w:r>
        <w:rPr>
          <w:rFonts w:ascii="Arial" w:hAnsi="Arial" w:cs="Arial"/>
          <w:sz w:val="20"/>
          <w:szCs w:val="20"/>
          <w:lang w:val="bg-BG"/>
        </w:rPr>
        <w:t xml:space="preserve">вътрешно финансиране на одобрени инвестиционни програми, като част от бизнес плановете на ВиКО. Възможностите за други търговски източници на финансиране остават ограничени поради липсата на достатъчен капацитет за поемане на дълг от страна на ВиКО, репутацията на ВиК сектора като високорисков, </w:t>
      </w:r>
      <w:r w:rsidR="00C926C0">
        <w:rPr>
          <w:rFonts w:ascii="Arial" w:hAnsi="Arial" w:cs="Arial"/>
          <w:sz w:val="20"/>
          <w:szCs w:val="20"/>
          <w:lang w:val="bg-BG"/>
        </w:rPr>
        <w:t>дългия</w:t>
      </w:r>
      <w:r>
        <w:rPr>
          <w:rFonts w:ascii="Arial" w:hAnsi="Arial" w:cs="Arial"/>
          <w:sz w:val="20"/>
          <w:szCs w:val="20"/>
          <w:lang w:val="bg-BG"/>
        </w:rPr>
        <w:t xml:space="preserve"> период на изплащане и ниска</w:t>
      </w:r>
      <w:r w:rsidR="00C926C0">
        <w:rPr>
          <w:rFonts w:ascii="Arial" w:hAnsi="Arial" w:cs="Arial"/>
          <w:sz w:val="20"/>
          <w:szCs w:val="20"/>
          <w:lang w:val="bg-BG"/>
        </w:rPr>
        <w:t>та</w:t>
      </w:r>
      <w:r>
        <w:rPr>
          <w:rFonts w:ascii="Arial" w:hAnsi="Arial" w:cs="Arial"/>
          <w:sz w:val="20"/>
          <w:szCs w:val="20"/>
          <w:lang w:val="bg-BG"/>
        </w:rPr>
        <w:t xml:space="preserve"> възвращаемост</w:t>
      </w:r>
      <w:r w:rsidR="00C926C0">
        <w:rPr>
          <w:rFonts w:ascii="Arial" w:hAnsi="Arial" w:cs="Arial"/>
          <w:sz w:val="20"/>
          <w:szCs w:val="20"/>
          <w:lang w:val="bg-BG"/>
        </w:rPr>
        <w:t xml:space="preserve"> на инвестициите</w:t>
      </w:r>
      <w:r>
        <w:rPr>
          <w:rFonts w:ascii="Arial" w:hAnsi="Arial" w:cs="Arial"/>
          <w:sz w:val="20"/>
          <w:szCs w:val="20"/>
          <w:lang w:val="bg-BG"/>
        </w:rPr>
        <w:t>.</w:t>
      </w:r>
      <w:r w:rsidRPr="0051416F">
        <w:rPr>
          <w:rFonts w:ascii="Arial" w:hAnsi="Arial" w:cs="Arial"/>
          <w:sz w:val="20"/>
          <w:szCs w:val="20"/>
          <w:lang w:val="bg-BG"/>
        </w:rPr>
        <w:t xml:space="preserve"> </w:t>
      </w:r>
    </w:p>
    <w:p w14:paraId="7CCEBE2B" w14:textId="77777777" w:rsidR="00C926C0" w:rsidRPr="007E2908" w:rsidRDefault="00CF3C11" w:rsidP="00C926C0">
      <w:pPr>
        <w:keepNext/>
        <w:spacing w:after="120"/>
        <w:jc w:val="both"/>
        <w:rPr>
          <w:rFonts w:ascii="Arial" w:hAnsi="Arial" w:cs="Arial"/>
          <w:bCs/>
          <w:sz w:val="20"/>
          <w:szCs w:val="20"/>
          <w:lang w:val="bg-BG"/>
        </w:rPr>
      </w:pPr>
      <w:r>
        <w:rPr>
          <w:rFonts w:ascii="Arial" w:hAnsi="Arial" w:cs="Arial"/>
          <w:bCs/>
          <w:sz w:val="20"/>
          <w:szCs w:val="20"/>
          <w:lang w:val="bg-BG"/>
        </w:rPr>
        <w:t>В заключение, необходимостта от ФИ в този сектор е потвърдена</w:t>
      </w:r>
      <w:r w:rsidR="00C926C0" w:rsidRPr="007E2908">
        <w:rPr>
          <w:rFonts w:ascii="Arial" w:hAnsi="Arial" w:cs="Arial"/>
          <w:bCs/>
          <w:sz w:val="20"/>
          <w:szCs w:val="20"/>
          <w:lang w:val="bg-BG"/>
        </w:rPr>
        <w:t xml:space="preserve"> от предварителната оценка</w:t>
      </w:r>
      <w:r w:rsidR="000059FB">
        <w:rPr>
          <w:rFonts w:ascii="Arial" w:hAnsi="Arial" w:cs="Arial"/>
          <w:bCs/>
          <w:sz w:val="20"/>
          <w:szCs w:val="20"/>
          <w:lang w:val="bg-BG"/>
        </w:rPr>
        <w:t xml:space="preserve"> за ФИ по ОПОС 2014-2020 г</w:t>
      </w:r>
      <w:r w:rsidR="00C926C0" w:rsidRPr="007E2908">
        <w:rPr>
          <w:rFonts w:ascii="Arial" w:hAnsi="Arial" w:cs="Arial"/>
          <w:bCs/>
          <w:sz w:val="20"/>
          <w:szCs w:val="20"/>
          <w:lang w:val="bg-BG"/>
        </w:rPr>
        <w:t>. Значителните нужди от инвестиции, както и недостатъчното</w:t>
      </w:r>
      <w:r w:rsidR="00C926C0">
        <w:rPr>
          <w:rFonts w:ascii="Arial" w:hAnsi="Arial" w:cs="Arial"/>
          <w:bCs/>
          <w:sz w:val="20"/>
          <w:szCs w:val="20"/>
          <w:lang w:val="bg-BG"/>
        </w:rPr>
        <w:t xml:space="preserve"> предлагане на търговско</w:t>
      </w:r>
      <w:r w:rsidR="00C926C0" w:rsidRPr="007E2908">
        <w:rPr>
          <w:rFonts w:ascii="Arial" w:hAnsi="Arial" w:cs="Arial"/>
          <w:bCs/>
          <w:sz w:val="20"/>
          <w:szCs w:val="20"/>
          <w:lang w:val="bg-BG"/>
        </w:rPr>
        <w:t xml:space="preserve"> финансиране </w:t>
      </w:r>
      <w:r w:rsidR="00C926C0">
        <w:rPr>
          <w:rFonts w:ascii="Arial" w:hAnsi="Arial" w:cs="Arial"/>
          <w:bCs/>
          <w:sz w:val="20"/>
          <w:szCs w:val="20"/>
          <w:lang w:val="bg-BG"/>
        </w:rPr>
        <w:t>в</w:t>
      </w:r>
      <w:r w:rsidR="00C926C0" w:rsidRPr="007E2908">
        <w:rPr>
          <w:rFonts w:ascii="Arial" w:hAnsi="Arial" w:cs="Arial"/>
          <w:bCs/>
          <w:sz w:val="20"/>
          <w:szCs w:val="20"/>
          <w:lang w:val="bg-BG"/>
        </w:rPr>
        <w:t xml:space="preserve"> сектора</w:t>
      </w:r>
      <w:r w:rsidR="00C926C0">
        <w:rPr>
          <w:rFonts w:ascii="Arial" w:hAnsi="Arial" w:cs="Arial"/>
          <w:bCs/>
          <w:sz w:val="20"/>
          <w:szCs w:val="20"/>
          <w:lang w:val="bg-BG"/>
        </w:rPr>
        <w:t>,</w:t>
      </w:r>
      <w:r w:rsidR="00C926C0" w:rsidRPr="007E2908">
        <w:rPr>
          <w:rFonts w:ascii="Arial" w:hAnsi="Arial" w:cs="Arial"/>
          <w:bCs/>
          <w:sz w:val="20"/>
          <w:szCs w:val="20"/>
          <w:lang w:val="bg-BG"/>
        </w:rPr>
        <w:t xml:space="preserve"> </w:t>
      </w:r>
      <w:r w:rsidR="00C926C0">
        <w:rPr>
          <w:rFonts w:ascii="Arial" w:hAnsi="Arial" w:cs="Arial"/>
          <w:bCs/>
          <w:sz w:val="20"/>
          <w:szCs w:val="20"/>
          <w:lang w:val="bg-BG"/>
        </w:rPr>
        <w:t>обосновават</w:t>
      </w:r>
      <w:r w:rsidR="00C926C0" w:rsidRPr="007E2908">
        <w:rPr>
          <w:rFonts w:ascii="Arial" w:hAnsi="Arial" w:cs="Arial"/>
          <w:bCs/>
          <w:sz w:val="20"/>
          <w:szCs w:val="20"/>
          <w:lang w:val="bg-BG"/>
        </w:rPr>
        <w:t xml:space="preserve"> необходимостта от ФИ. Важно е да се отбележи обаче, че навременното завършване на </w:t>
      </w:r>
      <w:r w:rsidR="00C926C0">
        <w:rPr>
          <w:rFonts w:ascii="Arial" w:hAnsi="Arial" w:cs="Arial"/>
          <w:bCs/>
          <w:sz w:val="20"/>
          <w:szCs w:val="20"/>
          <w:lang w:val="bg-BG"/>
        </w:rPr>
        <w:t>предвидената реформа</w:t>
      </w:r>
      <w:r w:rsidR="00C926C0" w:rsidRPr="007E2908">
        <w:rPr>
          <w:rFonts w:ascii="Arial" w:hAnsi="Arial" w:cs="Arial"/>
          <w:bCs/>
          <w:sz w:val="20"/>
          <w:szCs w:val="20"/>
          <w:lang w:val="bg-BG"/>
        </w:rPr>
        <w:t xml:space="preserve"> за консолидация, включително и </w:t>
      </w:r>
      <w:r w:rsidR="002E7934">
        <w:rPr>
          <w:rFonts w:ascii="Arial" w:hAnsi="Arial" w:cs="Arial"/>
          <w:bCs/>
          <w:sz w:val="20"/>
          <w:szCs w:val="20"/>
          <w:lang w:val="bg-BG"/>
        </w:rPr>
        <w:t xml:space="preserve">финализирането и одобрението </w:t>
      </w:r>
      <w:r w:rsidR="00C926C0" w:rsidRPr="007E2908">
        <w:rPr>
          <w:rFonts w:ascii="Arial" w:hAnsi="Arial" w:cs="Arial"/>
          <w:bCs/>
          <w:sz w:val="20"/>
          <w:szCs w:val="20"/>
          <w:lang w:val="bg-BG"/>
        </w:rPr>
        <w:t xml:space="preserve">на съответните РПИП, </w:t>
      </w:r>
      <w:r w:rsidR="00734E8D">
        <w:rPr>
          <w:rFonts w:ascii="Arial" w:hAnsi="Arial" w:cs="Arial"/>
          <w:bCs/>
          <w:sz w:val="20"/>
          <w:szCs w:val="20"/>
          <w:lang w:val="bg-BG"/>
        </w:rPr>
        <w:t>са</w:t>
      </w:r>
      <w:r w:rsidR="00C926C0" w:rsidRPr="007E2908">
        <w:rPr>
          <w:rFonts w:ascii="Arial" w:hAnsi="Arial" w:cs="Arial"/>
          <w:bCs/>
          <w:sz w:val="20"/>
          <w:szCs w:val="20"/>
          <w:lang w:val="bg-BG"/>
        </w:rPr>
        <w:t xml:space="preserve"> от решаващо значение за </w:t>
      </w:r>
      <w:r w:rsidR="00C926C0">
        <w:rPr>
          <w:rFonts w:ascii="Arial" w:hAnsi="Arial" w:cs="Arial"/>
          <w:bCs/>
          <w:sz w:val="20"/>
          <w:szCs w:val="20"/>
          <w:lang w:val="bg-BG"/>
        </w:rPr>
        <w:t>успешното прилагане</w:t>
      </w:r>
      <w:r w:rsidR="00C926C0" w:rsidRPr="007E2908">
        <w:rPr>
          <w:rFonts w:ascii="Arial" w:hAnsi="Arial" w:cs="Arial"/>
          <w:bCs/>
          <w:sz w:val="20"/>
          <w:szCs w:val="20"/>
          <w:lang w:val="bg-BG"/>
        </w:rPr>
        <w:t xml:space="preserve"> на предвидените </w:t>
      </w:r>
      <w:r w:rsidR="00C926C0">
        <w:rPr>
          <w:rFonts w:ascii="Arial" w:hAnsi="Arial" w:cs="Arial"/>
          <w:bCs/>
          <w:sz w:val="20"/>
          <w:szCs w:val="20"/>
          <w:lang w:val="bg-BG"/>
        </w:rPr>
        <w:t>ФИ</w:t>
      </w:r>
      <w:r w:rsidR="00C926C0" w:rsidRPr="007E2908">
        <w:rPr>
          <w:rFonts w:ascii="Arial" w:hAnsi="Arial" w:cs="Arial"/>
          <w:bCs/>
          <w:sz w:val="20"/>
          <w:szCs w:val="20"/>
          <w:lang w:val="bg-BG"/>
        </w:rPr>
        <w:t>.</w:t>
      </w:r>
    </w:p>
    <w:p w14:paraId="226260BF" w14:textId="77777777" w:rsidR="000E2AC4" w:rsidRDefault="000E2AC4">
      <w:pPr>
        <w:rPr>
          <w:rFonts w:ascii="Arial" w:hAnsi="Arial" w:cs="Arial"/>
          <w:b/>
          <w:i/>
          <w:sz w:val="20"/>
          <w:szCs w:val="20"/>
          <w:lang w:val="bg-BG"/>
        </w:rPr>
      </w:pPr>
      <w:r>
        <w:rPr>
          <w:rFonts w:ascii="Arial" w:hAnsi="Arial" w:cs="Arial"/>
          <w:b/>
          <w:i/>
          <w:sz w:val="20"/>
          <w:szCs w:val="20"/>
          <w:lang w:val="bg-BG"/>
        </w:rPr>
        <w:br w:type="page"/>
      </w:r>
    </w:p>
    <w:p w14:paraId="3326533C" w14:textId="77777777" w:rsidR="001B4985" w:rsidRPr="00BC7695" w:rsidRDefault="001B4985" w:rsidP="00232B13">
      <w:pPr>
        <w:pStyle w:val="source"/>
        <w:spacing w:before="0" w:line="276" w:lineRule="auto"/>
        <w:ind w:left="0"/>
        <w:jc w:val="both"/>
        <w:rPr>
          <w:rFonts w:cs="Arial"/>
          <w:lang w:val="bg-BG"/>
        </w:rPr>
      </w:pPr>
    </w:p>
    <w:p w14:paraId="6053E216" w14:textId="77777777" w:rsidR="003F6C2F" w:rsidRPr="003D015E" w:rsidRDefault="003F6C2F" w:rsidP="00AC5681">
      <w:pPr>
        <w:pStyle w:val="Heading3"/>
        <w:spacing w:before="0" w:after="120"/>
        <w:ind w:firstLine="720"/>
        <w:jc w:val="both"/>
        <w:rPr>
          <w:rFonts w:ascii="Arial" w:hAnsi="Arial" w:cs="Arial"/>
          <w:b/>
          <w:color w:val="4F81BD" w:themeColor="accent1"/>
          <w:sz w:val="20"/>
          <w:szCs w:val="20"/>
          <w:lang w:val="bg-BG"/>
        </w:rPr>
      </w:pPr>
      <w:bookmarkStart w:id="6" w:name="_Toc503798467"/>
      <w:r w:rsidRPr="003D015E">
        <w:rPr>
          <w:rFonts w:ascii="Arial" w:hAnsi="Arial" w:cs="Arial"/>
          <w:b/>
          <w:color w:val="4F81BD" w:themeColor="accent1"/>
          <w:sz w:val="20"/>
          <w:szCs w:val="20"/>
          <w:lang w:val="bg-BG"/>
        </w:rPr>
        <w:t xml:space="preserve">2.2 </w:t>
      </w:r>
      <w:r w:rsidR="003D015E">
        <w:rPr>
          <w:rFonts w:ascii="Arial" w:hAnsi="Arial" w:cs="Arial"/>
          <w:b/>
          <w:color w:val="4F81BD" w:themeColor="accent1"/>
          <w:sz w:val="20"/>
          <w:szCs w:val="20"/>
          <w:lang w:val="bg-BG"/>
        </w:rPr>
        <w:t>Обхват на ОПОС</w:t>
      </w:r>
      <w:r w:rsidR="001D614F">
        <w:rPr>
          <w:rFonts w:ascii="Arial" w:hAnsi="Arial" w:cs="Arial"/>
          <w:b/>
          <w:color w:val="4F81BD" w:themeColor="accent1"/>
          <w:sz w:val="20"/>
          <w:szCs w:val="20"/>
          <w:lang w:val="bg-BG"/>
        </w:rPr>
        <w:t xml:space="preserve"> 2014 – 2020 г.</w:t>
      </w:r>
      <w:bookmarkEnd w:id="6"/>
    </w:p>
    <w:p w14:paraId="0D15562A" w14:textId="77777777" w:rsidR="003D015E" w:rsidRDefault="003D015E" w:rsidP="003D015E">
      <w:pPr>
        <w:spacing w:after="120"/>
        <w:jc w:val="both"/>
        <w:rPr>
          <w:rFonts w:ascii="Arial" w:hAnsi="Arial" w:cs="Arial"/>
          <w:sz w:val="20"/>
          <w:szCs w:val="20"/>
          <w:lang w:val="bg-BG"/>
        </w:rPr>
      </w:pPr>
      <w:r w:rsidRPr="003D015E">
        <w:rPr>
          <w:rFonts w:ascii="Arial" w:hAnsi="Arial" w:cs="Arial"/>
          <w:sz w:val="20"/>
          <w:szCs w:val="20"/>
          <w:lang w:val="bg-BG"/>
        </w:rPr>
        <w:t xml:space="preserve">ОПОС </w:t>
      </w:r>
      <w:r w:rsidR="001D614F">
        <w:rPr>
          <w:rFonts w:ascii="Arial" w:hAnsi="Arial" w:cs="Arial"/>
          <w:sz w:val="20"/>
          <w:szCs w:val="20"/>
          <w:lang w:val="bg-BG"/>
        </w:rPr>
        <w:t xml:space="preserve">2014 – 2020 г. </w:t>
      </w:r>
      <w:r w:rsidRPr="003D015E">
        <w:rPr>
          <w:rFonts w:ascii="Arial" w:hAnsi="Arial" w:cs="Arial"/>
          <w:sz w:val="20"/>
          <w:szCs w:val="20"/>
          <w:lang w:val="bg-BG"/>
        </w:rPr>
        <w:t xml:space="preserve">е насочена към изпълнение </w:t>
      </w:r>
      <w:r w:rsidR="0088192E">
        <w:rPr>
          <w:rFonts w:ascii="Arial" w:hAnsi="Arial" w:cs="Arial"/>
          <w:sz w:val="20"/>
          <w:szCs w:val="20"/>
          <w:lang w:val="bg-BG"/>
        </w:rPr>
        <w:t xml:space="preserve">на </w:t>
      </w:r>
      <w:r w:rsidRPr="003D015E">
        <w:rPr>
          <w:rFonts w:ascii="Arial" w:hAnsi="Arial" w:cs="Arial"/>
          <w:sz w:val="20"/>
          <w:szCs w:val="20"/>
          <w:lang w:val="bg-BG"/>
        </w:rPr>
        <w:t>Стратегия</w:t>
      </w:r>
      <w:r>
        <w:rPr>
          <w:rFonts w:ascii="Arial" w:hAnsi="Arial" w:cs="Arial"/>
          <w:sz w:val="20"/>
          <w:szCs w:val="20"/>
          <w:lang w:val="bg-BG"/>
        </w:rPr>
        <w:t>та</w:t>
      </w:r>
      <w:r w:rsidRPr="003D015E">
        <w:rPr>
          <w:rFonts w:ascii="Arial" w:hAnsi="Arial" w:cs="Arial"/>
          <w:sz w:val="20"/>
          <w:szCs w:val="20"/>
          <w:lang w:val="bg-BG"/>
        </w:rPr>
        <w:t xml:space="preserve"> </w:t>
      </w:r>
      <w:r w:rsidR="00723DA8">
        <w:rPr>
          <w:rFonts w:ascii="Arial" w:hAnsi="Arial" w:cs="Arial"/>
          <w:sz w:val="20"/>
          <w:szCs w:val="20"/>
          <w:lang w:val="bg-BG"/>
        </w:rPr>
        <w:t xml:space="preserve">на ЕС </w:t>
      </w:r>
      <w:r w:rsidRPr="003D015E">
        <w:rPr>
          <w:rFonts w:ascii="Arial" w:hAnsi="Arial" w:cs="Arial"/>
          <w:sz w:val="20"/>
          <w:szCs w:val="20"/>
          <w:lang w:val="bg-BG"/>
        </w:rPr>
        <w:t>„Европа 2020“ за интелигентен, устойчив и приобщаващ</w:t>
      </w:r>
      <w:r>
        <w:rPr>
          <w:rFonts w:ascii="Arial" w:hAnsi="Arial" w:cs="Arial"/>
          <w:sz w:val="20"/>
          <w:szCs w:val="20"/>
          <w:lang w:val="bg-BG"/>
        </w:rPr>
        <w:t xml:space="preserve"> растеж </w:t>
      </w:r>
      <w:r w:rsidRPr="00547DF3">
        <w:rPr>
          <w:rFonts w:ascii="Arial" w:hAnsi="Arial" w:cs="Arial"/>
          <w:sz w:val="20"/>
          <w:szCs w:val="20"/>
          <w:lang w:val="bg-BG"/>
        </w:rPr>
        <w:t xml:space="preserve">и по-специално към следните </w:t>
      </w:r>
      <w:r w:rsidR="0088192E">
        <w:rPr>
          <w:rFonts w:ascii="Arial" w:hAnsi="Arial" w:cs="Arial"/>
          <w:sz w:val="20"/>
          <w:szCs w:val="20"/>
          <w:lang w:val="bg-BG"/>
        </w:rPr>
        <w:t>цели</w:t>
      </w:r>
      <w:r w:rsidRPr="00547DF3">
        <w:rPr>
          <w:rFonts w:ascii="Arial" w:hAnsi="Arial" w:cs="Arial"/>
          <w:sz w:val="20"/>
          <w:szCs w:val="20"/>
          <w:lang w:val="bg-BG"/>
        </w:rPr>
        <w:t>: (1) „Изграждане на по-конкурентоспособна нисковъглеродна икономика, в която ресурсите се използват по ефикасен и устойчив начин“; (2) „Опазване на околната среда, намаляване на емисиите и предотвратяване на загубата на биоразнообразие“; и (3) „Възползване от водещата позиция на Европа в разработването на нови екологични технологии и производствени методи“.</w:t>
      </w:r>
    </w:p>
    <w:p w14:paraId="06973984" w14:textId="77777777" w:rsidR="003D015E" w:rsidRPr="00AE6C3C" w:rsidRDefault="003D015E" w:rsidP="003D015E">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 xml:space="preserve">ОПОС </w:t>
      </w:r>
      <w:r w:rsidR="001D614F">
        <w:rPr>
          <w:rFonts w:ascii="Arial" w:hAnsi="Arial" w:cs="Arial"/>
          <w:sz w:val="20"/>
          <w:szCs w:val="20"/>
          <w:lang w:val="bg-BG"/>
        </w:rPr>
        <w:t>2014 – 2020 г.</w:t>
      </w:r>
      <w:r w:rsidR="008C0154">
        <w:rPr>
          <w:rFonts w:ascii="Arial" w:hAnsi="Arial" w:cs="Arial"/>
          <w:sz w:val="20"/>
          <w:szCs w:val="20"/>
          <w:lang w:val="bg-BG"/>
        </w:rPr>
        <w:t xml:space="preserve"> </w:t>
      </w:r>
      <w:r>
        <w:rPr>
          <w:rFonts w:ascii="Arial" w:hAnsi="Arial" w:cs="Arial"/>
          <w:sz w:val="20"/>
          <w:szCs w:val="20"/>
          <w:lang w:val="bg-BG"/>
        </w:rPr>
        <w:t>адресира идентифицираните</w:t>
      </w:r>
      <w:r w:rsidRPr="00AE6C3C">
        <w:rPr>
          <w:rFonts w:ascii="Arial" w:hAnsi="Arial" w:cs="Arial"/>
          <w:sz w:val="20"/>
          <w:szCs w:val="20"/>
          <w:lang w:val="bg-BG"/>
        </w:rPr>
        <w:t xml:space="preserve"> </w:t>
      </w:r>
      <w:r>
        <w:rPr>
          <w:rFonts w:ascii="Arial" w:hAnsi="Arial" w:cs="Arial"/>
          <w:sz w:val="20"/>
          <w:szCs w:val="20"/>
          <w:lang w:val="bg-BG"/>
        </w:rPr>
        <w:t xml:space="preserve">инвестиционни нужди </w:t>
      </w:r>
      <w:r w:rsidR="004F3F69">
        <w:rPr>
          <w:rFonts w:ascii="Arial" w:hAnsi="Arial" w:cs="Arial"/>
          <w:sz w:val="20"/>
          <w:szCs w:val="20"/>
          <w:lang w:val="bg-BG"/>
        </w:rPr>
        <w:t xml:space="preserve">с интервенции по </w:t>
      </w:r>
      <w:r>
        <w:rPr>
          <w:rFonts w:ascii="Arial" w:hAnsi="Arial" w:cs="Arial"/>
          <w:sz w:val="20"/>
          <w:szCs w:val="20"/>
          <w:lang w:val="bg-BG"/>
        </w:rPr>
        <w:t xml:space="preserve">шест </w:t>
      </w:r>
      <w:r w:rsidR="00723DA8">
        <w:rPr>
          <w:rFonts w:ascii="Arial" w:hAnsi="Arial" w:cs="Arial"/>
          <w:sz w:val="20"/>
          <w:szCs w:val="20"/>
          <w:lang w:val="bg-BG"/>
        </w:rPr>
        <w:t>приоритетни оси</w:t>
      </w:r>
      <w:r>
        <w:rPr>
          <w:rFonts w:ascii="Arial" w:hAnsi="Arial" w:cs="Arial"/>
          <w:sz w:val="20"/>
          <w:szCs w:val="20"/>
          <w:lang w:val="bg-BG"/>
        </w:rPr>
        <w:t xml:space="preserve">: </w:t>
      </w:r>
      <w:r w:rsidRPr="00AE6C3C">
        <w:rPr>
          <w:rFonts w:ascii="Arial" w:hAnsi="Arial" w:cs="Arial"/>
          <w:sz w:val="20"/>
          <w:szCs w:val="20"/>
          <w:lang w:val="bg-BG"/>
        </w:rPr>
        <w:t>ПО 1 „Води“, ПО 2 „Отпадъци“, ПО 3 „Натура 2000 и биоразнообразие“, ПО 4 „Превенция и управление на риска от наводнения и свлачища“, ПО 5 „Подобряване качеството на атмосферния въздух“ и ПО 6 „Техническа помощ“.</w:t>
      </w:r>
    </w:p>
    <w:p w14:paraId="72862F87" w14:textId="77777777" w:rsidR="00883E6D" w:rsidRPr="003D015E" w:rsidRDefault="003D015E" w:rsidP="00760B5D">
      <w:pPr>
        <w:pStyle w:val="ListParagraph"/>
        <w:spacing w:after="120"/>
        <w:ind w:left="0"/>
        <w:contextualSpacing w:val="0"/>
        <w:jc w:val="both"/>
        <w:rPr>
          <w:rFonts w:ascii="Arial" w:hAnsi="Arial" w:cs="Arial"/>
          <w:sz w:val="20"/>
          <w:szCs w:val="20"/>
          <w:lang w:val="bg-BG"/>
        </w:rPr>
      </w:pPr>
      <w:r w:rsidRPr="00AE6C3C">
        <w:rPr>
          <w:rFonts w:ascii="Arial" w:hAnsi="Arial" w:cs="Arial"/>
          <w:sz w:val="20"/>
          <w:szCs w:val="20"/>
          <w:lang w:val="bg-BG"/>
        </w:rPr>
        <w:t>ПО 1</w:t>
      </w:r>
      <w:r>
        <w:rPr>
          <w:rFonts w:ascii="Arial" w:hAnsi="Arial" w:cs="Arial"/>
          <w:sz w:val="20"/>
          <w:szCs w:val="20"/>
          <w:lang w:val="bg-BG"/>
        </w:rPr>
        <w:t xml:space="preserve"> „Води“</w:t>
      </w:r>
      <w:r w:rsidRPr="00AE6C3C">
        <w:rPr>
          <w:rFonts w:ascii="Arial" w:hAnsi="Arial" w:cs="Arial"/>
          <w:sz w:val="20"/>
          <w:szCs w:val="20"/>
          <w:lang w:val="bg-BG"/>
        </w:rPr>
        <w:t xml:space="preserve"> и ПО 2</w:t>
      </w:r>
      <w:r>
        <w:rPr>
          <w:rFonts w:ascii="Arial" w:hAnsi="Arial" w:cs="Arial"/>
          <w:sz w:val="20"/>
          <w:szCs w:val="20"/>
          <w:lang w:val="bg-BG"/>
        </w:rPr>
        <w:t xml:space="preserve"> „Отпадъци“</w:t>
      </w:r>
      <w:r w:rsidRPr="00AE6C3C">
        <w:rPr>
          <w:rFonts w:ascii="Arial" w:hAnsi="Arial" w:cs="Arial"/>
          <w:sz w:val="20"/>
          <w:szCs w:val="20"/>
          <w:lang w:val="bg-BG"/>
        </w:rPr>
        <w:t xml:space="preserve"> предвиждат употребата на </w:t>
      </w:r>
      <w:r>
        <w:rPr>
          <w:rFonts w:ascii="Arial" w:hAnsi="Arial" w:cs="Arial"/>
          <w:sz w:val="20"/>
          <w:szCs w:val="20"/>
          <w:lang w:val="bg-BG"/>
        </w:rPr>
        <w:t>ФИ</w:t>
      </w:r>
      <w:r w:rsidRPr="00AE6C3C">
        <w:rPr>
          <w:rFonts w:ascii="Arial" w:hAnsi="Arial" w:cs="Arial"/>
          <w:sz w:val="20"/>
          <w:szCs w:val="20"/>
          <w:lang w:val="bg-BG"/>
        </w:rPr>
        <w:t xml:space="preserve"> през програмния период 2014-2020 г.</w:t>
      </w:r>
      <w:r w:rsidR="002E7934">
        <w:rPr>
          <w:rFonts w:ascii="Arial" w:hAnsi="Arial" w:cs="Arial"/>
          <w:sz w:val="20"/>
          <w:szCs w:val="20"/>
          <w:lang w:val="bg-BG"/>
        </w:rPr>
        <w:t>, като н</w:t>
      </w:r>
      <w:r w:rsidR="000F26D0">
        <w:rPr>
          <w:rFonts w:ascii="Arial" w:hAnsi="Arial" w:cs="Arial"/>
          <w:sz w:val="20"/>
          <w:szCs w:val="20"/>
          <w:lang w:val="bg-BG"/>
        </w:rPr>
        <w:t>астоящата инвестиционна стратегия</w:t>
      </w:r>
      <w:r w:rsidR="00BB4155" w:rsidRPr="00151DC3">
        <w:rPr>
          <w:rFonts w:ascii="Arial" w:hAnsi="Arial" w:cs="Arial"/>
          <w:sz w:val="20"/>
          <w:szCs w:val="20"/>
          <w:lang w:val="bg-BG"/>
        </w:rPr>
        <w:t xml:space="preserve"> обхв</w:t>
      </w:r>
      <w:r w:rsidR="00BB4155">
        <w:rPr>
          <w:rFonts w:ascii="Arial" w:hAnsi="Arial" w:cs="Arial"/>
          <w:sz w:val="20"/>
          <w:szCs w:val="20"/>
          <w:lang w:val="bg-BG"/>
        </w:rPr>
        <w:t>аща единствено ФИ по ПО1</w:t>
      </w:r>
      <w:r w:rsidR="00BB4155" w:rsidRPr="00151DC3">
        <w:rPr>
          <w:rFonts w:ascii="Arial" w:hAnsi="Arial" w:cs="Arial"/>
          <w:sz w:val="20"/>
          <w:szCs w:val="20"/>
          <w:lang w:val="bg-BG"/>
        </w:rPr>
        <w:t xml:space="preserve"> „</w:t>
      </w:r>
      <w:r w:rsidR="00BB4155">
        <w:rPr>
          <w:rFonts w:ascii="Arial" w:hAnsi="Arial" w:cs="Arial"/>
          <w:sz w:val="20"/>
          <w:szCs w:val="20"/>
          <w:lang w:val="bg-BG"/>
        </w:rPr>
        <w:t>Води</w:t>
      </w:r>
      <w:r w:rsidR="00BB4155" w:rsidRPr="00151DC3">
        <w:rPr>
          <w:rFonts w:ascii="Arial" w:hAnsi="Arial" w:cs="Arial"/>
          <w:sz w:val="20"/>
          <w:szCs w:val="20"/>
          <w:lang w:val="bg-BG"/>
        </w:rPr>
        <w:t>“.</w:t>
      </w:r>
    </w:p>
    <w:p w14:paraId="20DA3F30" w14:textId="77777777" w:rsidR="009A2953" w:rsidRPr="00391353" w:rsidRDefault="000F26D0" w:rsidP="009A2953">
      <w:pPr>
        <w:keepNext/>
        <w:spacing w:after="120"/>
        <w:jc w:val="both"/>
        <w:rPr>
          <w:rFonts w:ascii="Arial" w:hAnsi="Arial" w:cs="Arial"/>
          <w:b/>
          <w:i/>
          <w:sz w:val="20"/>
          <w:szCs w:val="20"/>
          <w:lang w:val="bg-BG"/>
        </w:rPr>
      </w:pPr>
      <w:r>
        <w:rPr>
          <w:rFonts w:ascii="Arial" w:hAnsi="Arial" w:cs="Arial"/>
          <w:b/>
          <w:i/>
          <w:sz w:val="20"/>
          <w:szCs w:val="20"/>
          <w:lang w:val="bg-BG"/>
        </w:rPr>
        <w:t>Приоритетна</w:t>
      </w:r>
      <w:r w:rsidR="00D96786">
        <w:rPr>
          <w:rFonts w:ascii="Arial" w:hAnsi="Arial" w:cs="Arial"/>
          <w:b/>
          <w:i/>
          <w:sz w:val="20"/>
          <w:szCs w:val="20"/>
          <w:lang w:val="bg-BG"/>
        </w:rPr>
        <w:t xml:space="preserve"> ос </w:t>
      </w:r>
      <w:r w:rsidR="009A2953">
        <w:rPr>
          <w:rFonts w:ascii="Arial" w:hAnsi="Arial" w:cs="Arial"/>
          <w:b/>
          <w:i/>
          <w:sz w:val="20"/>
          <w:szCs w:val="20"/>
          <w:lang w:val="bg-BG"/>
        </w:rPr>
        <w:t xml:space="preserve">„Води“ </w:t>
      </w:r>
      <w:r w:rsidR="009A2953" w:rsidRPr="00AE6C3C">
        <w:rPr>
          <w:rFonts w:ascii="Arial" w:hAnsi="Arial" w:cs="Arial"/>
          <w:sz w:val="20"/>
          <w:szCs w:val="20"/>
          <w:lang w:val="bg-BG"/>
        </w:rPr>
        <w:t xml:space="preserve">предвижда инвестиции </w:t>
      </w:r>
      <w:r w:rsidR="00A644A6">
        <w:rPr>
          <w:rFonts w:ascii="Arial" w:hAnsi="Arial" w:cs="Arial"/>
          <w:sz w:val="20"/>
          <w:szCs w:val="20"/>
          <w:lang w:val="bg-BG"/>
        </w:rPr>
        <w:t xml:space="preserve">за изпълнение на ангажиментите, произтичащи от </w:t>
      </w:r>
      <w:r w:rsidR="009A2953" w:rsidRPr="00AE6C3C">
        <w:rPr>
          <w:rFonts w:ascii="Arial" w:hAnsi="Arial" w:cs="Arial"/>
          <w:sz w:val="20"/>
          <w:szCs w:val="20"/>
          <w:lang w:val="bg-BG"/>
        </w:rPr>
        <w:t>Директива 91/271/ЕИО, Директива 98/83/ЕО, Директива 2013/51/ЕВРАТОМ и Директива 2000/60/ЕО</w:t>
      </w:r>
      <w:r w:rsidR="009A2953" w:rsidRPr="00AE6C3C">
        <w:rPr>
          <w:rStyle w:val="FootnoteReference"/>
          <w:rFonts w:ascii="Arial" w:hAnsi="Arial" w:cs="Arial"/>
          <w:sz w:val="20"/>
          <w:szCs w:val="20"/>
          <w:lang w:val="bg-BG"/>
        </w:rPr>
        <w:footnoteReference w:id="8"/>
      </w:r>
      <w:r w:rsidR="009A2953" w:rsidRPr="00AE6C3C">
        <w:rPr>
          <w:rFonts w:ascii="Arial" w:hAnsi="Arial" w:cs="Arial"/>
          <w:sz w:val="20"/>
          <w:szCs w:val="20"/>
          <w:lang w:val="bg-BG"/>
        </w:rPr>
        <w:t xml:space="preserve">. </w:t>
      </w:r>
      <w:r w:rsidR="009A2953">
        <w:rPr>
          <w:rFonts w:ascii="Arial" w:hAnsi="Arial" w:cs="Arial"/>
          <w:sz w:val="20"/>
          <w:szCs w:val="20"/>
          <w:lang w:val="bg-BG"/>
        </w:rPr>
        <w:t>Във връзка с тези директиви, ОП си поставя следните цели:</w:t>
      </w:r>
    </w:p>
    <w:p w14:paraId="6FB6D2B3" w14:textId="77777777" w:rsidR="009A2953" w:rsidRPr="00AE6C3C" w:rsidRDefault="009A2953" w:rsidP="009A2953">
      <w:pPr>
        <w:pStyle w:val="ListParagraph"/>
        <w:numPr>
          <w:ilvl w:val="0"/>
          <w:numId w:val="33"/>
        </w:numPr>
        <w:spacing w:after="120"/>
        <w:contextualSpacing w:val="0"/>
        <w:jc w:val="both"/>
        <w:rPr>
          <w:rFonts w:ascii="Arial" w:hAnsi="Arial" w:cs="Arial"/>
          <w:sz w:val="20"/>
          <w:szCs w:val="20"/>
          <w:lang w:val="bg-BG"/>
        </w:rPr>
      </w:pPr>
      <w:r w:rsidRPr="00AE6C3C">
        <w:rPr>
          <w:rFonts w:ascii="Arial" w:hAnsi="Arial" w:cs="Arial"/>
          <w:sz w:val="20"/>
          <w:szCs w:val="20"/>
          <w:lang w:val="bg-BG"/>
        </w:rPr>
        <w:t>Изграждане на ВиК инфраструктура – средствата ще бъдат насочени към агломерации с над 10 000 екв. ж.;</w:t>
      </w:r>
    </w:p>
    <w:p w14:paraId="53BE1B0E" w14:textId="77777777" w:rsidR="009A2953" w:rsidRPr="00AE6C3C" w:rsidRDefault="009A2953" w:rsidP="009A2953">
      <w:pPr>
        <w:pStyle w:val="ListParagraph"/>
        <w:numPr>
          <w:ilvl w:val="0"/>
          <w:numId w:val="33"/>
        </w:numPr>
        <w:spacing w:after="120"/>
        <w:contextualSpacing w:val="0"/>
        <w:jc w:val="both"/>
        <w:rPr>
          <w:rFonts w:ascii="Arial" w:hAnsi="Arial" w:cs="Arial"/>
          <w:sz w:val="20"/>
          <w:szCs w:val="20"/>
          <w:lang w:val="bg-BG"/>
        </w:rPr>
      </w:pPr>
      <w:r w:rsidRPr="00AE6C3C">
        <w:rPr>
          <w:rFonts w:ascii="Arial" w:hAnsi="Arial" w:cs="Arial"/>
          <w:sz w:val="20"/>
          <w:szCs w:val="20"/>
          <w:lang w:val="bg-BG"/>
        </w:rPr>
        <w:t xml:space="preserve">Доизграждане и/или оптимизиране на мрежите за мониторинг на водите; </w:t>
      </w:r>
    </w:p>
    <w:p w14:paraId="3F20D602" w14:textId="77777777" w:rsidR="009A2953" w:rsidRDefault="009A2953" w:rsidP="009A2953">
      <w:pPr>
        <w:pStyle w:val="ListParagraph"/>
        <w:numPr>
          <w:ilvl w:val="0"/>
          <w:numId w:val="33"/>
        </w:numPr>
        <w:spacing w:after="120"/>
        <w:contextualSpacing w:val="0"/>
        <w:jc w:val="both"/>
        <w:rPr>
          <w:rFonts w:ascii="Arial" w:hAnsi="Arial" w:cs="Arial"/>
          <w:sz w:val="20"/>
          <w:szCs w:val="20"/>
          <w:lang w:val="bg-BG"/>
        </w:rPr>
      </w:pPr>
      <w:r w:rsidRPr="00AE6C3C">
        <w:rPr>
          <w:rFonts w:ascii="Arial" w:hAnsi="Arial" w:cs="Arial"/>
          <w:sz w:val="20"/>
          <w:szCs w:val="20"/>
          <w:lang w:val="bg-BG"/>
        </w:rPr>
        <w:t>Оборудване на лаборатории на „Изпълнителната агенция по околна среда“ и органите на „Държавен здравен контрол“ за целите на мониторинга;</w:t>
      </w:r>
    </w:p>
    <w:p w14:paraId="69BED01C" w14:textId="77777777" w:rsidR="00533F56" w:rsidRPr="00C94485" w:rsidRDefault="009A2953" w:rsidP="00C94485">
      <w:pPr>
        <w:pStyle w:val="ListParagraph"/>
        <w:numPr>
          <w:ilvl w:val="0"/>
          <w:numId w:val="33"/>
        </w:numPr>
        <w:spacing w:after="120"/>
        <w:contextualSpacing w:val="0"/>
        <w:jc w:val="both"/>
        <w:rPr>
          <w:rFonts w:ascii="Arial" w:hAnsi="Arial" w:cs="Arial"/>
          <w:sz w:val="20"/>
          <w:szCs w:val="20"/>
          <w:lang w:val="bg-BG"/>
        </w:rPr>
      </w:pPr>
      <w:r>
        <w:rPr>
          <w:rFonts w:ascii="Arial" w:hAnsi="Arial" w:cs="Arial"/>
          <w:sz w:val="20"/>
          <w:szCs w:val="20"/>
          <w:lang w:val="bg-BG"/>
        </w:rPr>
        <w:t>Дейности, насочени към р</w:t>
      </w:r>
      <w:r w:rsidRPr="00AE6C3C">
        <w:rPr>
          <w:rFonts w:ascii="Arial" w:hAnsi="Arial" w:cs="Arial"/>
          <w:sz w:val="20"/>
          <w:szCs w:val="20"/>
          <w:lang w:val="bg-BG"/>
        </w:rPr>
        <w:t>азработване на нови и/или актуализация на съществуващи стратегически документи във връзка с прилагането на Рамковата директива за водите и Рамковата директива за морска стратегия.</w:t>
      </w:r>
    </w:p>
    <w:p w14:paraId="5842A3A7" w14:textId="77777777" w:rsidR="003F6C2F" w:rsidRPr="00BC7695" w:rsidRDefault="00C94485" w:rsidP="008C07E5">
      <w:pPr>
        <w:pStyle w:val="Caption"/>
        <w:rPr>
          <w:rFonts w:ascii="Arial" w:hAnsi="Arial" w:cs="Arial"/>
          <w:sz w:val="20"/>
          <w:szCs w:val="20"/>
          <w:lang w:val="bg-BG"/>
        </w:rPr>
      </w:pPr>
      <w:r>
        <w:rPr>
          <w:rFonts w:ascii="Arial" w:hAnsi="Arial" w:cs="Arial"/>
          <w:sz w:val="20"/>
          <w:szCs w:val="20"/>
          <w:lang w:val="bg-BG"/>
        </w:rPr>
        <w:t>Таблица</w:t>
      </w:r>
      <w:r w:rsidR="00BE4903">
        <w:rPr>
          <w:rFonts w:ascii="Arial" w:hAnsi="Arial" w:cs="Arial"/>
          <w:sz w:val="20"/>
          <w:szCs w:val="20"/>
          <w:lang w:val="bg-BG"/>
        </w:rPr>
        <w:t xml:space="preserve"> </w:t>
      </w:r>
      <w:r w:rsidR="001D614F">
        <w:rPr>
          <w:rFonts w:ascii="Arial" w:hAnsi="Arial" w:cs="Arial"/>
          <w:sz w:val="20"/>
          <w:szCs w:val="20"/>
          <w:lang w:val="bg-BG"/>
        </w:rPr>
        <w:t>2</w:t>
      </w:r>
      <w:r w:rsidR="001D614F" w:rsidRPr="00C94485">
        <w:rPr>
          <w:rFonts w:ascii="Arial" w:hAnsi="Arial" w:cs="Arial"/>
          <w:sz w:val="20"/>
          <w:szCs w:val="20"/>
          <w:lang w:val="bg-BG"/>
        </w:rPr>
        <w:t xml:space="preserve"> </w:t>
      </w:r>
      <w:r>
        <w:rPr>
          <w:rFonts w:ascii="Arial" w:hAnsi="Arial" w:cs="Arial"/>
          <w:sz w:val="20"/>
          <w:szCs w:val="20"/>
          <w:lang w:val="bg-BG"/>
        </w:rPr>
        <w:t xml:space="preserve">Логика на интервенция </w:t>
      </w:r>
      <w:r w:rsidR="00280721" w:rsidRPr="00C94485">
        <w:rPr>
          <w:rFonts w:ascii="Arial" w:hAnsi="Arial" w:cs="Arial"/>
          <w:sz w:val="20"/>
          <w:szCs w:val="20"/>
          <w:lang w:val="bg-BG"/>
        </w:rPr>
        <w:t xml:space="preserve"> – </w:t>
      </w:r>
      <w:r w:rsidRPr="00C94485">
        <w:rPr>
          <w:rFonts w:ascii="Arial" w:hAnsi="Arial" w:cs="Arial"/>
          <w:sz w:val="20"/>
          <w:szCs w:val="20"/>
          <w:lang w:val="bg-BG"/>
        </w:rPr>
        <w:t>ПО</w:t>
      </w:r>
      <w:r w:rsidR="00280721" w:rsidRPr="00C94485">
        <w:rPr>
          <w:rFonts w:ascii="Arial" w:hAnsi="Arial" w:cs="Arial"/>
          <w:sz w:val="20"/>
          <w:szCs w:val="20"/>
          <w:lang w:val="bg-BG"/>
        </w:rPr>
        <w:t xml:space="preserve"> 1 </w:t>
      </w:r>
      <w:r>
        <w:rPr>
          <w:rFonts w:ascii="Arial" w:hAnsi="Arial" w:cs="Arial"/>
          <w:sz w:val="20"/>
          <w:szCs w:val="20"/>
          <w:lang w:val="bg-BG"/>
        </w:rPr>
        <w:t>„Води“</w:t>
      </w:r>
    </w:p>
    <w:tbl>
      <w:tblPr>
        <w:tblStyle w:val="TableGridLight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114A9" w:rsidRPr="007B6C31" w14:paraId="349A7314" w14:textId="77777777" w:rsidTr="00165579">
        <w:trPr>
          <w:trHeight w:val="70"/>
        </w:trPr>
        <w:tc>
          <w:tcPr>
            <w:tcW w:w="10314" w:type="dxa"/>
            <w:vAlign w:val="center"/>
          </w:tcPr>
          <w:p w14:paraId="0F8D2393" w14:textId="77777777" w:rsidR="000114A9" w:rsidRPr="003E7D44" w:rsidRDefault="000114A9" w:rsidP="00994886">
            <w:pPr>
              <w:keepNext/>
              <w:rPr>
                <w:rFonts w:ascii="Arial" w:eastAsia="Calibri" w:hAnsi="Arial" w:cs="Arial"/>
                <w:sz w:val="18"/>
                <w:szCs w:val="18"/>
                <w:lang w:val="bg-BG"/>
              </w:rPr>
            </w:pPr>
            <w:r w:rsidRPr="003E7D44">
              <w:rPr>
                <w:rFonts w:ascii="Arial" w:eastAsia="Calibri" w:hAnsi="Arial" w:cs="Arial"/>
                <w:b/>
                <w:sz w:val="18"/>
                <w:szCs w:val="18"/>
                <w:lang w:val="bg-BG"/>
              </w:rPr>
              <w:t>Тематична цел</w:t>
            </w:r>
            <w:r w:rsidR="008C07E5" w:rsidRPr="003E7D44">
              <w:rPr>
                <w:rFonts w:ascii="Arial" w:eastAsia="Calibri" w:hAnsi="Arial" w:cs="Arial"/>
                <w:b/>
                <w:sz w:val="18"/>
                <w:szCs w:val="18"/>
                <w:lang w:val="bg-BG"/>
              </w:rPr>
              <w:t xml:space="preserve"> (ТЦ)</w:t>
            </w:r>
            <w:r w:rsidRPr="003E7D44">
              <w:rPr>
                <w:rFonts w:ascii="Arial" w:eastAsia="Calibri" w:hAnsi="Arial" w:cs="Arial"/>
                <w:b/>
                <w:sz w:val="18"/>
                <w:szCs w:val="18"/>
                <w:lang w:val="bg-BG"/>
              </w:rPr>
              <w:t>:</w:t>
            </w:r>
            <w:r w:rsidR="00C456AA">
              <w:rPr>
                <w:rFonts w:ascii="Arial" w:eastAsia="Calibri" w:hAnsi="Arial" w:cs="Arial"/>
                <w:b/>
                <w:sz w:val="18"/>
                <w:szCs w:val="18"/>
                <w:lang w:val="bg-BG"/>
              </w:rPr>
              <w:t xml:space="preserve"> </w:t>
            </w:r>
            <w:r w:rsidRPr="003E7D44">
              <w:rPr>
                <w:rFonts w:ascii="Arial" w:hAnsi="Arial" w:cs="Arial"/>
                <w:sz w:val="18"/>
                <w:szCs w:val="18"/>
                <w:lang w:val="bg-BG"/>
              </w:rPr>
              <w:t>ТЦ 6: „Опазване и защита на околната среда и насърчаване на ефективното използване на ресурсите“</w:t>
            </w:r>
          </w:p>
        </w:tc>
      </w:tr>
      <w:tr w:rsidR="000114A9" w:rsidRPr="007B6C31" w14:paraId="6970B1C8" w14:textId="77777777" w:rsidTr="00165579">
        <w:trPr>
          <w:trHeight w:val="70"/>
        </w:trPr>
        <w:tc>
          <w:tcPr>
            <w:tcW w:w="10314" w:type="dxa"/>
            <w:vAlign w:val="center"/>
          </w:tcPr>
          <w:p w14:paraId="243D9458" w14:textId="77777777" w:rsidR="000114A9" w:rsidRPr="003E7D44" w:rsidRDefault="000114A9" w:rsidP="00994886">
            <w:pPr>
              <w:keepNext/>
              <w:rPr>
                <w:rFonts w:ascii="Arial" w:eastAsia="Calibri" w:hAnsi="Arial" w:cs="Arial"/>
                <w:b/>
                <w:sz w:val="18"/>
                <w:szCs w:val="18"/>
                <w:lang w:val="bg-BG"/>
              </w:rPr>
            </w:pPr>
            <w:r w:rsidRPr="003E7D44">
              <w:rPr>
                <w:rFonts w:ascii="Arial" w:eastAsia="Calibri" w:hAnsi="Arial" w:cs="Arial"/>
                <w:b/>
                <w:sz w:val="18"/>
                <w:szCs w:val="18"/>
                <w:lang w:val="bg-BG"/>
              </w:rPr>
              <w:t>Инвестиционен приоритет:</w:t>
            </w:r>
            <w:r w:rsidRPr="003E7D44">
              <w:rPr>
                <w:rFonts w:ascii="Arial" w:eastAsia="Calibri" w:hAnsi="Arial" w:cs="Arial"/>
                <w:sz w:val="18"/>
                <w:szCs w:val="18"/>
                <w:lang w:val="bg-BG"/>
              </w:rPr>
              <w:t xml:space="preserve"> </w:t>
            </w:r>
            <w:r w:rsidRPr="003E7D44">
              <w:rPr>
                <w:rFonts w:ascii="Arial" w:hAnsi="Arial" w:cs="Arial"/>
                <w:sz w:val="18"/>
                <w:szCs w:val="18"/>
                <w:lang w:val="bg-BG"/>
              </w:rPr>
              <w:t>Инвестиции във водния сектор за съобразяване с изискванията на достиженията на правото на Съюза в областта на околната среда и за вземане на мерки във връзка с нуждите, установени от държавите членки, от инвестиции, които надхвърлят тези изисквания.</w:t>
            </w:r>
          </w:p>
        </w:tc>
      </w:tr>
      <w:tr w:rsidR="000114A9" w:rsidRPr="007B6C31" w14:paraId="64EA444B" w14:textId="77777777" w:rsidTr="00165579">
        <w:trPr>
          <w:trHeight w:val="517"/>
        </w:trPr>
        <w:tc>
          <w:tcPr>
            <w:tcW w:w="10314" w:type="dxa"/>
            <w:vAlign w:val="center"/>
          </w:tcPr>
          <w:p w14:paraId="2361403E" w14:textId="77777777" w:rsidR="000114A9" w:rsidRPr="00BC7695" w:rsidRDefault="000114A9" w:rsidP="00C456AA">
            <w:pPr>
              <w:keepNext/>
              <w:rPr>
                <w:rFonts w:ascii="Arial" w:eastAsia="Calibri" w:hAnsi="Arial" w:cs="Arial"/>
                <w:sz w:val="18"/>
                <w:szCs w:val="18"/>
                <w:lang w:val="bg-BG"/>
              </w:rPr>
            </w:pPr>
            <w:r w:rsidRPr="003E7D44">
              <w:rPr>
                <w:rFonts w:ascii="Arial" w:eastAsia="Calibri" w:hAnsi="Arial" w:cs="Arial"/>
                <w:b/>
                <w:sz w:val="18"/>
                <w:szCs w:val="18"/>
                <w:lang w:val="bg-BG"/>
              </w:rPr>
              <w:t>Специфични цели, обхващащи дейности на ФИ:</w:t>
            </w:r>
            <w:r w:rsidR="00C456AA">
              <w:rPr>
                <w:rFonts w:ascii="Arial" w:eastAsia="Calibri" w:hAnsi="Arial" w:cs="Arial"/>
                <w:b/>
                <w:sz w:val="18"/>
                <w:szCs w:val="18"/>
                <w:lang w:val="bg-BG"/>
              </w:rPr>
              <w:t xml:space="preserve"> </w:t>
            </w:r>
            <w:r w:rsidRPr="003E7D44">
              <w:rPr>
                <w:rFonts w:ascii="Arial" w:hAnsi="Arial" w:cs="Arial"/>
                <w:sz w:val="18"/>
                <w:szCs w:val="18"/>
                <w:lang w:val="bg-BG"/>
              </w:rPr>
              <w:t>№ 1 Опазване и подобряване състоянието на водните ресурси</w:t>
            </w:r>
            <w:r w:rsidRPr="003E7D44">
              <w:rPr>
                <w:rStyle w:val="FootnoteReference"/>
                <w:rFonts w:ascii="Arial" w:eastAsia="Calibri" w:hAnsi="Arial" w:cs="Arial"/>
                <w:sz w:val="18"/>
                <w:szCs w:val="18"/>
              </w:rPr>
              <w:footnoteReference w:id="9"/>
            </w:r>
          </w:p>
        </w:tc>
      </w:tr>
      <w:tr w:rsidR="000114A9" w:rsidRPr="007B6C31" w14:paraId="729FF9B0" w14:textId="77777777" w:rsidTr="00165579">
        <w:trPr>
          <w:trHeight w:val="517"/>
        </w:trPr>
        <w:tc>
          <w:tcPr>
            <w:tcW w:w="10314" w:type="dxa"/>
            <w:vAlign w:val="center"/>
          </w:tcPr>
          <w:p w14:paraId="0A4ACCD0" w14:textId="77777777" w:rsidR="000114A9" w:rsidRPr="003E7D44" w:rsidRDefault="000114A9" w:rsidP="00C456AA">
            <w:pPr>
              <w:keepNext/>
              <w:rPr>
                <w:rFonts w:ascii="Arial" w:eastAsia="Calibri" w:hAnsi="Arial" w:cs="Arial"/>
                <w:b/>
                <w:sz w:val="18"/>
                <w:szCs w:val="18"/>
                <w:lang w:val="bg-BG"/>
              </w:rPr>
            </w:pPr>
            <w:r w:rsidRPr="003E7D44">
              <w:rPr>
                <w:rFonts w:ascii="Arial" w:eastAsia="Calibri" w:hAnsi="Arial" w:cs="Arial"/>
                <w:b/>
                <w:sz w:val="18"/>
                <w:szCs w:val="18"/>
                <w:lang w:val="bg-BG"/>
              </w:rPr>
              <w:t>Общ бюджет:</w:t>
            </w:r>
            <w:r w:rsidR="00C456AA">
              <w:rPr>
                <w:rFonts w:ascii="Arial" w:eastAsia="Calibri" w:hAnsi="Arial" w:cs="Arial"/>
                <w:b/>
                <w:sz w:val="18"/>
                <w:szCs w:val="18"/>
                <w:lang w:val="bg-BG"/>
              </w:rPr>
              <w:t xml:space="preserve"> </w:t>
            </w:r>
            <w:r w:rsidRPr="003E7D44">
              <w:rPr>
                <w:rFonts w:ascii="Arial" w:hAnsi="Arial" w:cs="Arial"/>
                <w:sz w:val="18"/>
                <w:szCs w:val="18"/>
                <w:lang w:val="bg-BG"/>
              </w:rPr>
              <w:t>1</w:t>
            </w:r>
            <w:r w:rsidR="00C456AA">
              <w:rPr>
                <w:rFonts w:ascii="Arial" w:hAnsi="Arial" w:cs="Arial"/>
                <w:sz w:val="18"/>
                <w:szCs w:val="18"/>
                <w:lang w:val="bg-BG"/>
              </w:rPr>
              <w:t xml:space="preserve"> </w:t>
            </w:r>
            <w:r w:rsidRPr="003E7D44">
              <w:rPr>
                <w:rFonts w:ascii="Arial" w:hAnsi="Arial" w:cs="Arial"/>
                <w:sz w:val="18"/>
                <w:szCs w:val="18"/>
                <w:lang w:val="bg-BG"/>
              </w:rPr>
              <w:t xml:space="preserve">196.3 млн. евро (включващ 85% </w:t>
            </w:r>
            <w:r w:rsidR="008C07E5" w:rsidRPr="003E7D44">
              <w:rPr>
                <w:rFonts w:ascii="Arial" w:hAnsi="Arial" w:cs="Arial"/>
                <w:sz w:val="18"/>
                <w:szCs w:val="18"/>
                <w:lang w:val="bg-BG"/>
              </w:rPr>
              <w:t>КФ</w:t>
            </w:r>
            <w:r w:rsidRPr="003E7D44">
              <w:rPr>
                <w:rFonts w:ascii="Arial" w:hAnsi="Arial" w:cs="Arial"/>
                <w:sz w:val="18"/>
                <w:szCs w:val="18"/>
                <w:lang w:val="bg-BG"/>
              </w:rPr>
              <w:t xml:space="preserve"> и 15% национално съфинансиране)</w:t>
            </w:r>
          </w:p>
        </w:tc>
      </w:tr>
      <w:tr w:rsidR="000114A9" w:rsidRPr="007B6C31" w14:paraId="2F4997B2" w14:textId="77777777" w:rsidTr="00165579">
        <w:trPr>
          <w:trHeight w:val="517"/>
        </w:trPr>
        <w:tc>
          <w:tcPr>
            <w:tcW w:w="10314" w:type="dxa"/>
            <w:vAlign w:val="center"/>
          </w:tcPr>
          <w:p w14:paraId="7E3AC2A1" w14:textId="77777777" w:rsidR="000114A9" w:rsidRPr="003E7D44" w:rsidRDefault="000114A9" w:rsidP="00C456AA">
            <w:pPr>
              <w:keepNext/>
              <w:rPr>
                <w:rFonts w:ascii="Arial" w:eastAsia="Calibri" w:hAnsi="Arial" w:cs="Arial"/>
                <w:sz w:val="18"/>
                <w:szCs w:val="18"/>
                <w:lang w:val="bg-BG"/>
              </w:rPr>
            </w:pPr>
            <w:r w:rsidRPr="003E7D44">
              <w:rPr>
                <w:rFonts w:ascii="Arial" w:eastAsia="Calibri" w:hAnsi="Arial" w:cs="Arial"/>
                <w:b/>
                <w:sz w:val="18"/>
                <w:szCs w:val="18"/>
                <w:lang w:val="bg-BG"/>
              </w:rPr>
              <w:t>Бюджет за ФИ:</w:t>
            </w:r>
            <w:r w:rsidR="00C456AA">
              <w:rPr>
                <w:rFonts w:ascii="Arial" w:eastAsia="Calibri" w:hAnsi="Arial" w:cs="Arial"/>
                <w:b/>
                <w:sz w:val="18"/>
                <w:szCs w:val="18"/>
                <w:lang w:val="bg-BG"/>
              </w:rPr>
              <w:t xml:space="preserve"> </w:t>
            </w:r>
            <w:r w:rsidRPr="003E7D44">
              <w:rPr>
                <w:rFonts w:ascii="Arial" w:eastAsia="Calibri" w:hAnsi="Arial" w:cs="Arial"/>
                <w:sz w:val="18"/>
                <w:szCs w:val="18"/>
                <w:lang w:val="bg-BG"/>
              </w:rPr>
              <w:t>119.6</w:t>
            </w:r>
            <w:r w:rsidR="007544B0">
              <w:rPr>
                <w:rFonts w:ascii="Arial" w:eastAsia="Calibri" w:hAnsi="Arial" w:cs="Arial"/>
                <w:sz w:val="18"/>
                <w:szCs w:val="18"/>
                <w:lang w:val="bg-BG"/>
              </w:rPr>
              <w:t>3</w:t>
            </w:r>
            <w:r w:rsidRPr="003E7D44">
              <w:rPr>
                <w:rFonts w:ascii="Arial" w:eastAsia="Calibri" w:hAnsi="Arial" w:cs="Arial"/>
                <w:sz w:val="18"/>
                <w:szCs w:val="18"/>
                <w:lang w:val="bg-BG"/>
              </w:rPr>
              <w:t xml:space="preserve"> млн. евро </w:t>
            </w:r>
          </w:p>
        </w:tc>
      </w:tr>
    </w:tbl>
    <w:p w14:paraId="354D4F39" w14:textId="77777777" w:rsidR="000114A9" w:rsidRPr="000114A9" w:rsidRDefault="000114A9" w:rsidP="00AC5700">
      <w:pPr>
        <w:pStyle w:val="ListParagraph"/>
        <w:spacing w:after="120"/>
        <w:ind w:left="0"/>
        <w:jc w:val="both"/>
        <w:rPr>
          <w:rFonts w:ascii="Arial" w:hAnsi="Arial" w:cs="Arial"/>
          <w:sz w:val="20"/>
          <w:szCs w:val="20"/>
          <w:lang w:val="bg-BG"/>
        </w:rPr>
      </w:pPr>
    </w:p>
    <w:p w14:paraId="71E50317" w14:textId="77777777" w:rsidR="00165579" w:rsidRPr="00165579" w:rsidRDefault="00823A7D" w:rsidP="00AC5700">
      <w:pPr>
        <w:pStyle w:val="ListParagraph"/>
        <w:spacing w:after="120"/>
        <w:ind w:left="0"/>
        <w:jc w:val="both"/>
        <w:rPr>
          <w:rFonts w:ascii="Arial" w:hAnsi="Arial" w:cs="Arial"/>
          <w:sz w:val="20"/>
          <w:szCs w:val="20"/>
          <w:lang w:val="bg-BG"/>
        </w:rPr>
      </w:pPr>
      <w:r>
        <w:rPr>
          <w:rFonts w:ascii="Arial" w:hAnsi="Arial" w:cs="Arial"/>
          <w:sz w:val="20"/>
          <w:szCs w:val="20"/>
          <w:lang w:val="bg-BG"/>
        </w:rPr>
        <w:t>Част от индикативния</w:t>
      </w:r>
      <w:r w:rsidRPr="00391353">
        <w:rPr>
          <w:rFonts w:ascii="Arial" w:hAnsi="Arial" w:cs="Arial"/>
          <w:sz w:val="20"/>
          <w:szCs w:val="20"/>
          <w:lang w:val="bg-BG"/>
        </w:rPr>
        <w:t xml:space="preserve"> </w:t>
      </w:r>
      <w:r w:rsidR="00165579" w:rsidRPr="00391353">
        <w:rPr>
          <w:rFonts w:ascii="Arial" w:hAnsi="Arial" w:cs="Arial"/>
          <w:sz w:val="20"/>
          <w:szCs w:val="20"/>
          <w:lang w:val="bg-BG"/>
        </w:rPr>
        <w:t>списък от допустими за финансиране дейности</w:t>
      </w:r>
      <w:r>
        <w:rPr>
          <w:rFonts w:ascii="Arial" w:hAnsi="Arial" w:cs="Arial"/>
          <w:sz w:val="20"/>
          <w:szCs w:val="20"/>
          <w:lang w:val="bg-BG"/>
        </w:rPr>
        <w:t xml:space="preserve"> по </w:t>
      </w:r>
      <w:r w:rsidRPr="00823A7D">
        <w:rPr>
          <w:rFonts w:ascii="Arial" w:hAnsi="Arial" w:cs="Arial"/>
          <w:sz w:val="20"/>
          <w:szCs w:val="20"/>
          <w:lang w:val="bg-BG"/>
        </w:rPr>
        <w:t>пример</w:t>
      </w:r>
      <w:r>
        <w:rPr>
          <w:rFonts w:ascii="Arial" w:hAnsi="Arial" w:cs="Arial"/>
          <w:sz w:val="20"/>
          <w:szCs w:val="20"/>
          <w:lang w:val="bg-BG"/>
        </w:rPr>
        <w:t>на</w:t>
      </w:r>
      <w:r w:rsidRPr="00823A7D">
        <w:rPr>
          <w:rFonts w:ascii="Arial" w:hAnsi="Arial" w:cs="Arial"/>
          <w:sz w:val="20"/>
          <w:szCs w:val="20"/>
          <w:lang w:val="bg-BG"/>
        </w:rPr>
        <w:t xml:space="preserve"> допустим</w:t>
      </w:r>
      <w:r>
        <w:rPr>
          <w:rFonts w:ascii="Arial" w:hAnsi="Arial" w:cs="Arial"/>
          <w:sz w:val="20"/>
          <w:szCs w:val="20"/>
          <w:lang w:val="bg-BG"/>
        </w:rPr>
        <w:t>а</w:t>
      </w:r>
      <w:r w:rsidRPr="00823A7D">
        <w:rPr>
          <w:rFonts w:ascii="Arial" w:hAnsi="Arial" w:cs="Arial"/>
          <w:sz w:val="20"/>
          <w:szCs w:val="20"/>
          <w:lang w:val="bg-BG"/>
        </w:rPr>
        <w:t xml:space="preserve"> м</w:t>
      </w:r>
      <w:r>
        <w:rPr>
          <w:rFonts w:ascii="Arial" w:hAnsi="Arial" w:cs="Arial"/>
          <w:sz w:val="20"/>
          <w:szCs w:val="20"/>
          <w:lang w:val="bg-BG"/>
        </w:rPr>
        <w:t>я</w:t>
      </w:r>
      <w:r w:rsidRPr="00823A7D">
        <w:rPr>
          <w:rFonts w:ascii="Arial" w:hAnsi="Arial" w:cs="Arial"/>
          <w:sz w:val="20"/>
          <w:szCs w:val="20"/>
          <w:lang w:val="bg-BG"/>
        </w:rPr>
        <w:t>рк</w:t>
      </w:r>
      <w:r>
        <w:rPr>
          <w:rFonts w:ascii="Arial" w:hAnsi="Arial" w:cs="Arial"/>
          <w:sz w:val="20"/>
          <w:szCs w:val="20"/>
          <w:lang w:val="bg-BG"/>
        </w:rPr>
        <w:t xml:space="preserve">а </w:t>
      </w:r>
      <w:r w:rsidRPr="00823A7D">
        <w:rPr>
          <w:rFonts w:ascii="Arial" w:hAnsi="Arial" w:cs="Arial"/>
          <w:sz w:val="20"/>
          <w:szCs w:val="20"/>
          <w:lang w:val="bg-BG"/>
        </w:rPr>
        <w:t xml:space="preserve">1. </w:t>
      </w:r>
      <w:r>
        <w:rPr>
          <w:rFonts w:ascii="Arial" w:hAnsi="Arial" w:cs="Arial"/>
          <w:sz w:val="20"/>
          <w:szCs w:val="20"/>
          <w:lang w:val="bg-BG"/>
        </w:rPr>
        <w:t>„</w:t>
      </w:r>
      <w:r w:rsidRPr="00823A7D">
        <w:rPr>
          <w:rFonts w:ascii="Arial" w:hAnsi="Arial" w:cs="Arial"/>
          <w:sz w:val="20"/>
          <w:szCs w:val="20"/>
          <w:lang w:val="bg-BG"/>
        </w:rPr>
        <w:t>Изграждане на ВиК инфраструктура, съгласно ПУРБ и в съответствие с регионалните генерални планове за ВиК и регионалните</w:t>
      </w:r>
      <w:r w:rsidR="00AC5700">
        <w:rPr>
          <w:rFonts w:ascii="Arial" w:hAnsi="Arial" w:cs="Arial"/>
          <w:sz w:val="20"/>
          <w:szCs w:val="20"/>
          <w:lang w:val="bg-BG"/>
        </w:rPr>
        <w:t xml:space="preserve"> </w:t>
      </w:r>
      <w:r w:rsidRPr="00823A7D">
        <w:rPr>
          <w:rFonts w:ascii="Arial" w:hAnsi="Arial" w:cs="Arial"/>
          <w:sz w:val="20"/>
          <w:szCs w:val="20"/>
          <w:lang w:val="bg-BG"/>
        </w:rPr>
        <w:t>ПИП</w:t>
      </w:r>
      <w:r w:rsidR="00AC5700">
        <w:rPr>
          <w:rFonts w:ascii="Arial" w:hAnsi="Arial" w:cs="Arial"/>
          <w:sz w:val="20"/>
          <w:szCs w:val="20"/>
          <w:lang w:val="bg-BG"/>
        </w:rPr>
        <w:t>“</w:t>
      </w:r>
      <w:r w:rsidR="00165579" w:rsidRPr="00391353">
        <w:rPr>
          <w:rFonts w:ascii="Arial" w:hAnsi="Arial" w:cs="Arial"/>
          <w:sz w:val="20"/>
          <w:szCs w:val="20"/>
          <w:lang w:val="bg-BG"/>
        </w:rPr>
        <w:t>,  по ПО 1 „Води“, включва следните</w:t>
      </w:r>
      <w:r w:rsidR="002E7934">
        <w:rPr>
          <w:rFonts w:ascii="Arial" w:hAnsi="Arial" w:cs="Arial"/>
          <w:sz w:val="20"/>
          <w:szCs w:val="20"/>
          <w:lang w:val="bg-BG"/>
        </w:rPr>
        <w:t xml:space="preserve"> дейности</w:t>
      </w:r>
      <w:r w:rsidR="00165579">
        <w:rPr>
          <w:rFonts w:ascii="Arial" w:hAnsi="Arial" w:cs="Arial"/>
          <w:sz w:val="20"/>
          <w:szCs w:val="20"/>
          <w:lang w:val="bg-BG"/>
        </w:rPr>
        <w:t>:</w:t>
      </w:r>
    </w:p>
    <w:p w14:paraId="79B46AD6" w14:textId="77777777" w:rsidR="00165579" w:rsidRPr="00165579" w:rsidRDefault="00165579" w:rsidP="00994886">
      <w:pPr>
        <w:pStyle w:val="ListParagraph"/>
        <w:numPr>
          <w:ilvl w:val="0"/>
          <w:numId w:val="15"/>
        </w:numPr>
        <w:jc w:val="both"/>
        <w:rPr>
          <w:rFonts w:ascii="Arial" w:hAnsi="Arial" w:cs="Arial"/>
          <w:sz w:val="20"/>
          <w:szCs w:val="20"/>
          <w:lang w:val="bg-BG"/>
        </w:rPr>
      </w:pPr>
      <w:r w:rsidRPr="00165579">
        <w:rPr>
          <w:rFonts w:ascii="Arial" w:hAnsi="Arial" w:cs="Arial"/>
          <w:sz w:val="20"/>
          <w:szCs w:val="20"/>
          <w:lang w:val="bg-BG"/>
        </w:rPr>
        <w:t>Проектиране/изграждане/</w:t>
      </w:r>
      <w:r w:rsidR="00512D71" w:rsidRPr="00165579" w:rsidDel="00512D71">
        <w:rPr>
          <w:rFonts w:ascii="Arial" w:hAnsi="Arial" w:cs="Arial"/>
          <w:sz w:val="20"/>
          <w:szCs w:val="20"/>
          <w:lang w:val="bg-BG"/>
        </w:rPr>
        <w:t xml:space="preserve"> </w:t>
      </w:r>
      <w:r w:rsidRPr="00165579">
        <w:rPr>
          <w:rFonts w:ascii="Arial" w:hAnsi="Arial" w:cs="Arial"/>
          <w:sz w:val="20"/>
          <w:szCs w:val="20"/>
          <w:lang w:val="bg-BG"/>
        </w:rPr>
        <w:t xml:space="preserve">реконструкция на съоръжения за пречистване на отпадъчните води, вкл. на съоръжения за третиране на утайки (съгласно изискванията на Директивата за </w:t>
      </w:r>
      <w:r w:rsidRPr="00165579">
        <w:rPr>
          <w:rFonts w:ascii="Arial" w:hAnsi="Arial" w:cs="Arial"/>
          <w:sz w:val="20"/>
          <w:szCs w:val="20"/>
          <w:lang w:val="bg-BG"/>
        </w:rPr>
        <w:lastRenderedPageBreak/>
        <w:t>пречистване на отпадъчните води и условията в разрешителното за заустване, вкл. осигуряване на по-строго пречистване с отстраняване на биогенни елементи от отпадъчните води – за агломерации над 10,000 екв. ж., заустващи в чувствителни зони);</w:t>
      </w:r>
    </w:p>
    <w:p w14:paraId="197379B9" w14:textId="77777777" w:rsidR="00165579" w:rsidRPr="00165579" w:rsidRDefault="00165579" w:rsidP="00994886">
      <w:pPr>
        <w:pStyle w:val="ListParagraph"/>
        <w:numPr>
          <w:ilvl w:val="0"/>
          <w:numId w:val="15"/>
        </w:numPr>
        <w:jc w:val="both"/>
        <w:rPr>
          <w:rFonts w:ascii="Arial" w:hAnsi="Arial" w:cs="Arial"/>
          <w:sz w:val="20"/>
          <w:szCs w:val="20"/>
          <w:lang w:val="bg-BG"/>
        </w:rPr>
      </w:pPr>
      <w:r w:rsidRPr="00165579">
        <w:rPr>
          <w:rFonts w:ascii="Arial" w:hAnsi="Arial" w:cs="Arial"/>
          <w:sz w:val="20"/>
          <w:szCs w:val="20"/>
          <w:lang w:val="bg-BG"/>
        </w:rPr>
        <w:t>Проектиране/изграждане</w:t>
      </w:r>
      <w:r w:rsidR="00512D71" w:rsidRPr="00165579" w:rsidDel="00512D71">
        <w:rPr>
          <w:rFonts w:ascii="Arial" w:hAnsi="Arial" w:cs="Arial"/>
          <w:sz w:val="20"/>
          <w:szCs w:val="20"/>
          <w:lang w:val="bg-BG"/>
        </w:rPr>
        <w:t xml:space="preserve"> </w:t>
      </w:r>
      <w:r w:rsidRPr="00165579">
        <w:rPr>
          <w:rFonts w:ascii="Arial" w:hAnsi="Arial" w:cs="Arial"/>
          <w:sz w:val="20"/>
          <w:szCs w:val="20"/>
          <w:lang w:val="bg-BG"/>
        </w:rPr>
        <w:t>/реконструкция или подмяна на канализационни мреж</w:t>
      </w:r>
      <w:r>
        <w:rPr>
          <w:rFonts w:ascii="Arial" w:hAnsi="Arial" w:cs="Arial"/>
          <w:sz w:val="20"/>
          <w:szCs w:val="20"/>
          <w:lang w:val="bg-BG"/>
        </w:rPr>
        <w:t>и и съоръжения към или от пречиствателни станции за отпад</w:t>
      </w:r>
      <w:r w:rsidR="00F83DDC">
        <w:rPr>
          <w:rFonts w:ascii="Arial" w:hAnsi="Arial" w:cs="Arial"/>
          <w:sz w:val="20"/>
          <w:szCs w:val="20"/>
          <w:lang w:val="bg-BG"/>
        </w:rPr>
        <w:t>ъч</w:t>
      </w:r>
      <w:r>
        <w:rPr>
          <w:rFonts w:ascii="Arial" w:hAnsi="Arial" w:cs="Arial"/>
          <w:sz w:val="20"/>
          <w:szCs w:val="20"/>
          <w:lang w:val="bg-BG"/>
        </w:rPr>
        <w:t>ни води (ПСОВ)</w:t>
      </w:r>
      <w:r w:rsidRPr="00165579">
        <w:rPr>
          <w:rFonts w:ascii="Arial" w:hAnsi="Arial" w:cs="Arial"/>
          <w:sz w:val="20"/>
          <w:szCs w:val="20"/>
          <w:lang w:val="bg-BG"/>
        </w:rPr>
        <w:t xml:space="preserve"> с цел приоритетно осигуряване на екологосъобразно и икономически ефективно функциониране на ВиК системите, съобразно ангажиментите на страната по Директивата за пречистване на градските отпадъчни води;</w:t>
      </w:r>
    </w:p>
    <w:p w14:paraId="7E1169EC" w14:textId="77777777" w:rsidR="00165579" w:rsidRPr="00165579" w:rsidRDefault="00165579" w:rsidP="00AC5700">
      <w:pPr>
        <w:pStyle w:val="ListParagraph"/>
        <w:numPr>
          <w:ilvl w:val="0"/>
          <w:numId w:val="15"/>
        </w:numPr>
        <w:spacing w:after="120"/>
        <w:contextualSpacing w:val="0"/>
        <w:jc w:val="both"/>
        <w:rPr>
          <w:rFonts w:ascii="Arial" w:hAnsi="Arial" w:cs="Arial"/>
          <w:sz w:val="20"/>
          <w:szCs w:val="20"/>
          <w:lang w:val="bg-BG"/>
        </w:rPr>
      </w:pPr>
      <w:r w:rsidRPr="00165579">
        <w:rPr>
          <w:rFonts w:ascii="Arial" w:hAnsi="Arial" w:cs="Arial"/>
          <w:sz w:val="20"/>
          <w:szCs w:val="20"/>
          <w:lang w:val="bg-BG"/>
        </w:rPr>
        <w:t>Проектиране/изграждане/</w:t>
      </w:r>
      <w:r w:rsidR="00512D71" w:rsidRPr="00165579" w:rsidDel="00512D71">
        <w:rPr>
          <w:rFonts w:ascii="Arial" w:hAnsi="Arial" w:cs="Arial"/>
          <w:sz w:val="20"/>
          <w:szCs w:val="20"/>
          <w:lang w:val="bg-BG"/>
        </w:rPr>
        <w:t xml:space="preserve"> </w:t>
      </w:r>
      <w:r w:rsidRPr="00165579">
        <w:rPr>
          <w:rFonts w:ascii="Arial" w:hAnsi="Arial" w:cs="Arial"/>
          <w:sz w:val="20"/>
          <w:szCs w:val="20"/>
          <w:lang w:val="bg-BG"/>
        </w:rPr>
        <w:t>реконструкция на съоръжения за пречистване на питейни води, или ако е икономически по-ефективно - изграждане на нови водовземни съоръжения;</w:t>
      </w:r>
    </w:p>
    <w:p w14:paraId="7D197A04" w14:textId="77777777" w:rsidR="00165579" w:rsidRPr="00165579" w:rsidRDefault="00165579" w:rsidP="00512D71">
      <w:pPr>
        <w:pStyle w:val="ListParagraph"/>
        <w:numPr>
          <w:ilvl w:val="0"/>
          <w:numId w:val="15"/>
        </w:numPr>
        <w:spacing w:after="120"/>
        <w:contextualSpacing w:val="0"/>
        <w:jc w:val="both"/>
        <w:rPr>
          <w:rFonts w:ascii="Arial" w:hAnsi="Arial" w:cs="Arial"/>
          <w:sz w:val="20"/>
          <w:szCs w:val="20"/>
          <w:lang w:val="bg-BG"/>
        </w:rPr>
      </w:pPr>
      <w:r w:rsidRPr="00165579">
        <w:rPr>
          <w:rFonts w:ascii="Arial" w:hAnsi="Arial" w:cs="Arial"/>
          <w:sz w:val="20"/>
          <w:szCs w:val="20"/>
          <w:lang w:val="bg-BG"/>
        </w:rPr>
        <w:t>Проектиране/изграждане/реконструкция на водоснабдителни мрежи и съоръжения за питейни води с цел повишаване на ефективността на ползване на водите и намаляване на загубите на вода във водопреносните мрежи и изпълнение на задълженията по Директива 98/83/ЕО;</w:t>
      </w:r>
      <w:r w:rsidR="0060321A" w:rsidRPr="0060321A">
        <w:rPr>
          <w:rFonts w:ascii="Arial" w:hAnsi="Arial" w:cs="Arial"/>
          <w:sz w:val="20"/>
          <w:szCs w:val="20"/>
          <w:lang w:val="bg-BG"/>
        </w:rPr>
        <w:t xml:space="preserve"> </w:t>
      </w:r>
    </w:p>
    <w:p w14:paraId="556AF240" w14:textId="77777777" w:rsidR="00165579" w:rsidRDefault="00165579" w:rsidP="00AC5700">
      <w:pPr>
        <w:pStyle w:val="ListParagraph"/>
        <w:numPr>
          <w:ilvl w:val="0"/>
          <w:numId w:val="15"/>
        </w:numPr>
        <w:spacing w:after="120"/>
        <w:contextualSpacing w:val="0"/>
        <w:jc w:val="both"/>
        <w:rPr>
          <w:rFonts w:ascii="Arial" w:hAnsi="Arial" w:cs="Arial"/>
          <w:sz w:val="20"/>
          <w:szCs w:val="20"/>
          <w:lang w:val="bg-BG"/>
        </w:rPr>
      </w:pPr>
      <w:r w:rsidRPr="00165579">
        <w:rPr>
          <w:rFonts w:ascii="Arial" w:hAnsi="Arial" w:cs="Arial"/>
          <w:sz w:val="20"/>
          <w:szCs w:val="20"/>
          <w:lang w:val="bg-BG"/>
        </w:rPr>
        <w:t xml:space="preserve">Проектиране/изграждане на съпътстваща инфраструктура (напр. електроснабдяване, път, водоснабдяване), която обслужва само изгражданите обекти (напр. ПСОВ, </w:t>
      </w:r>
      <w:r w:rsidR="00C80759">
        <w:rPr>
          <w:rFonts w:ascii="Arial" w:hAnsi="Arial" w:cs="Arial"/>
          <w:sz w:val="20"/>
          <w:szCs w:val="20"/>
          <w:lang w:val="bg-BG"/>
        </w:rPr>
        <w:t>пречиствателни станции за питейни води (</w:t>
      </w:r>
      <w:r w:rsidRPr="00165579">
        <w:rPr>
          <w:rFonts w:ascii="Arial" w:hAnsi="Arial" w:cs="Arial"/>
          <w:sz w:val="20"/>
          <w:szCs w:val="20"/>
          <w:lang w:val="bg-BG"/>
        </w:rPr>
        <w:t>ПСПВ</w:t>
      </w:r>
      <w:r w:rsidR="00C80759">
        <w:rPr>
          <w:rFonts w:ascii="Arial" w:hAnsi="Arial" w:cs="Arial"/>
          <w:sz w:val="20"/>
          <w:szCs w:val="20"/>
          <w:lang w:val="bg-BG"/>
        </w:rPr>
        <w:t>)</w:t>
      </w:r>
      <w:r w:rsidRPr="00165579">
        <w:rPr>
          <w:rFonts w:ascii="Arial" w:hAnsi="Arial" w:cs="Arial"/>
          <w:sz w:val="20"/>
          <w:szCs w:val="20"/>
          <w:lang w:val="bg-BG"/>
        </w:rPr>
        <w:t>, резервоари и помпени станции);</w:t>
      </w:r>
    </w:p>
    <w:p w14:paraId="02DC5267" w14:textId="77777777" w:rsidR="006F0E3D" w:rsidRPr="0073492B" w:rsidRDefault="00997827" w:rsidP="0073492B">
      <w:pPr>
        <w:pStyle w:val="ListParagraph"/>
        <w:spacing w:after="120"/>
        <w:ind w:left="0"/>
        <w:jc w:val="both"/>
        <w:rPr>
          <w:rFonts w:ascii="Arial" w:hAnsi="Arial" w:cs="Arial"/>
          <w:sz w:val="20"/>
          <w:szCs w:val="20"/>
          <w:lang w:val="bg-BG"/>
        </w:rPr>
      </w:pPr>
      <w:r w:rsidRPr="00997827">
        <w:rPr>
          <w:rFonts w:ascii="Arial" w:hAnsi="Arial" w:cs="Arial"/>
          <w:sz w:val="20"/>
          <w:szCs w:val="20"/>
          <w:lang w:val="bg-BG"/>
        </w:rPr>
        <w:t xml:space="preserve">Очаква се горепосочените дейности да се финансират основно </w:t>
      </w:r>
      <w:r>
        <w:rPr>
          <w:rFonts w:ascii="Arial" w:hAnsi="Arial" w:cs="Arial"/>
          <w:sz w:val="20"/>
          <w:szCs w:val="20"/>
          <w:lang w:val="bg-BG"/>
        </w:rPr>
        <w:t>посредством</w:t>
      </w:r>
      <w:r w:rsidRPr="00997827">
        <w:rPr>
          <w:rFonts w:ascii="Arial" w:hAnsi="Arial" w:cs="Arial"/>
          <w:sz w:val="20"/>
          <w:szCs w:val="20"/>
          <w:lang w:val="bg-BG"/>
        </w:rPr>
        <w:t xml:space="preserve"> безвъзмездна финансова помощ по ОПОС</w:t>
      </w:r>
      <w:r w:rsidR="001D614F">
        <w:rPr>
          <w:rFonts w:ascii="Arial" w:hAnsi="Arial" w:cs="Arial"/>
          <w:sz w:val="20"/>
          <w:szCs w:val="20"/>
          <w:lang w:val="bg-BG"/>
        </w:rPr>
        <w:t xml:space="preserve"> 2014 – 2020 г.</w:t>
      </w:r>
      <w:r w:rsidRPr="00997827">
        <w:rPr>
          <w:rFonts w:ascii="Arial" w:hAnsi="Arial" w:cs="Arial"/>
          <w:sz w:val="20"/>
          <w:szCs w:val="20"/>
          <w:lang w:val="bg-BG"/>
        </w:rPr>
        <w:t xml:space="preserve">, </w:t>
      </w:r>
      <w:r>
        <w:rPr>
          <w:rFonts w:ascii="Arial" w:hAnsi="Arial" w:cs="Arial"/>
          <w:sz w:val="20"/>
          <w:szCs w:val="20"/>
          <w:lang w:val="bg-BG"/>
        </w:rPr>
        <w:t>като обаче</w:t>
      </w:r>
      <w:r w:rsidRPr="00997827">
        <w:rPr>
          <w:rFonts w:ascii="Arial" w:hAnsi="Arial" w:cs="Arial"/>
          <w:sz w:val="20"/>
          <w:szCs w:val="20"/>
          <w:lang w:val="bg-BG"/>
        </w:rPr>
        <w:t xml:space="preserve"> се изисква бенефициентите да </w:t>
      </w:r>
      <w:r w:rsidR="00812610">
        <w:rPr>
          <w:rFonts w:ascii="Arial" w:hAnsi="Arial" w:cs="Arial"/>
          <w:sz w:val="20"/>
          <w:szCs w:val="20"/>
          <w:lang w:val="bg-BG"/>
        </w:rPr>
        <w:t>осигурят</w:t>
      </w:r>
      <w:r w:rsidR="00812610" w:rsidRPr="00997827">
        <w:rPr>
          <w:rFonts w:ascii="Arial" w:hAnsi="Arial" w:cs="Arial"/>
          <w:sz w:val="20"/>
          <w:szCs w:val="20"/>
          <w:lang w:val="bg-BG"/>
        </w:rPr>
        <w:t xml:space="preserve"> </w:t>
      </w:r>
      <w:r w:rsidRPr="00997827">
        <w:rPr>
          <w:rFonts w:ascii="Arial" w:hAnsi="Arial" w:cs="Arial"/>
          <w:sz w:val="20"/>
          <w:szCs w:val="20"/>
          <w:lang w:val="bg-BG"/>
        </w:rPr>
        <w:t xml:space="preserve">финансиране за част от </w:t>
      </w:r>
      <w:r w:rsidR="00E63608">
        <w:rPr>
          <w:rFonts w:ascii="Arial" w:hAnsi="Arial" w:cs="Arial"/>
          <w:sz w:val="20"/>
          <w:szCs w:val="20"/>
          <w:lang w:val="bg-BG"/>
        </w:rPr>
        <w:t xml:space="preserve">допустимите </w:t>
      </w:r>
      <w:r>
        <w:rPr>
          <w:rFonts w:ascii="Arial" w:hAnsi="Arial" w:cs="Arial"/>
          <w:sz w:val="20"/>
          <w:szCs w:val="20"/>
          <w:lang w:val="bg-BG"/>
        </w:rPr>
        <w:t>инвестиционни разходи</w:t>
      </w:r>
      <w:r w:rsidR="00E63608">
        <w:rPr>
          <w:rFonts w:ascii="Arial" w:hAnsi="Arial" w:cs="Arial"/>
          <w:sz w:val="20"/>
          <w:szCs w:val="20"/>
          <w:lang w:val="bg-BG"/>
        </w:rPr>
        <w:t xml:space="preserve">, както и </w:t>
      </w:r>
      <w:r w:rsidR="00F83DDC">
        <w:rPr>
          <w:rFonts w:ascii="Arial" w:hAnsi="Arial" w:cs="Arial"/>
          <w:sz w:val="20"/>
          <w:szCs w:val="20"/>
          <w:lang w:val="bg-BG"/>
        </w:rPr>
        <w:t xml:space="preserve">за </w:t>
      </w:r>
      <w:r w:rsidR="00E63608">
        <w:rPr>
          <w:rFonts w:ascii="Arial" w:hAnsi="Arial" w:cs="Arial"/>
          <w:sz w:val="20"/>
          <w:szCs w:val="20"/>
          <w:lang w:val="bg-BG"/>
        </w:rPr>
        <w:t>недопустимите такива</w:t>
      </w:r>
      <w:r w:rsidRPr="00997827">
        <w:rPr>
          <w:rFonts w:ascii="Arial" w:hAnsi="Arial" w:cs="Arial"/>
          <w:sz w:val="20"/>
          <w:szCs w:val="20"/>
          <w:lang w:val="bg-BG"/>
        </w:rPr>
        <w:t xml:space="preserve">. ФИ може да подпомага крайните получатели </w:t>
      </w:r>
      <w:r w:rsidR="00723350">
        <w:rPr>
          <w:rFonts w:ascii="Arial" w:hAnsi="Arial" w:cs="Arial"/>
          <w:sz w:val="20"/>
          <w:szCs w:val="20"/>
          <w:lang w:val="bg-BG"/>
        </w:rPr>
        <w:t>при</w:t>
      </w:r>
      <w:r w:rsidR="00723350" w:rsidRPr="00997827">
        <w:rPr>
          <w:rFonts w:ascii="Arial" w:hAnsi="Arial" w:cs="Arial"/>
          <w:sz w:val="20"/>
          <w:szCs w:val="20"/>
          <w:lang w:val="bg-BG"/>
        </w:rPr>
        <w:t xml:space="preserve"> </w:t>
      </w:r>
      <w:r w:rsidRPr="00997827">
        <w:rPr>
          <w:rFonts w:ascii="Arial" w:hAnsi="Arial" w:cs="Arial"/>
          <w:sz w:val="20"/>
          <w:szCs w:val="20"/>
          <w:lang w:val="bg-BG"/>
        </w:rPr>
        <w:t>осигуряване</w:t>
      </w:r>
      <w:r w:rsidR="00723350">
        <w:rPr>
          <w:rFonts w:ascii="Arial" w:hAnsi="Arial" w:cs="Arial"/>
          <w:sz w:val="20"/>
          <w:szCs w:val="20"/>
          <w:lang w:val="bg-BG"/>
        </w:rPr>
        <w:t>то</w:t>
      </w:r>
      <w:r w:rsidRPr="00997827">
        <w:rPr>
          <w:rFonts w:ascii="Arial" w:hAnsi="Arial" w:cs="Arial"/>
          <w:sz w:val="20"/>
          <w:szCs w:val="20"/>
          <w:lang w:val="bg-BG"/>
        </w:rPr>
        <w:t xml:space="preserve"> на финансиране </w:t>
      </w:r>
      <w:r w:rsidR="00B73587">
        <w:rPr>
          <w:rFonts w:ascii="Arial" w:hAnsi="Arial" w:cs="Arial"/>
          <w:sz w:val="20"/>
          <w:szCs w:val="20"/>
          <w:lang w:val="bg-BG"/>
        </w:rPr>
        <w:t xml:space="preserve">за разходи, допустими за подкрепа чрез финансови инструменти по ОПОС 2014-2020 г., </w:t>
      </w:r>
      <w:r w:rsidRPr="00997827">
        <w:rPr>
          <w:rFonts w:ascii="Arial" w:hAnsi="Arial" w:cs="Arial"/>
          <w:sz w:val="20"/>
          <w:szCs w:val="20"/>
          <w:lang w:val="bg-BG"/>
        </w:rPr>
        <w:t>чрез</w:t>
      </w:r>
      <w:r>
        <w:rPr>
          <w:rFonts w:ascii="Arial" w:hAnsi="Arial" w:cs="Arial"/>
          <w:sz w:val="20"/>
          <w:szCs w:val="20"/>
          <w:lang w:val="bg-BG"/>
        </w:rPr>
        <w:t xml:space="preserve"> </w:t>
      </w:r>
      <w:r w:rsidRPr="00997827">
        <w:rPr>
          <w:rFonts w:ascii="Arial" w:hAnsi="Arial" w:cs="Arial"/>
          <w:sz w:val="20"/>
          <w:szCs w:val="20"/>
          <w:lang w:val="bg-BG"/>
        </w:rPr>
        <w:t>заеми</w:t>
      </w:r>
      <w:r>
        <w:rPr>
          <w:rFonts w:ascii="Arial" w:hAnsi="Arial" w:cs="Arial"/>
          <w:sz w:val="20"/>
          <w:szCs w:val="20"/>
          <w:lang w:val="bg-BG"/>
        </w:rPr>
        <w:t xml:space="preserve"> </w:t>
      </w:r>
      <w:r w:rsidRPr="00997827">
        <w:rPr>
          <w:rFonts w:ascii="Arial" w:hAnsi="Arial" w:cs="Arial"/>
          <w:sz w:val="20"/>
          <w:szCs w:val="20"/>
          <w:lang w:val="bg-BG"/>
        </w:rPr>
        <w:t>или гаранции</w:t>
      </w:r>
      <w:r w:rsidR="00AC5700">
        <w:rPr>
          <w:rFonts w:ascii="Arial" w:hAnsi="Arial" w:cs="Arial"/>
          <w:sz w:val="20"/>
          <w:szCs w:val="20"/>
          <w:lang w:val="bg-BG"/>
        </w:rPr>
        <w:t xml:space="preserve"> при условията на чл. 37, пар 7-9 от Регламент 1303/2013 г. и при спазване на Насоките на ЕК</w:t>
      </w:r>
      <w:r w:rsidR="00DA3A62">
        <w:rPr>
          <w:rFonts w:ascii="Arial" w:hAnsi="Arial" w:cs="Arial"/>
          <w:sz w:val="20"/>
          <w:szCs w:val="20"/>
          <w:lang w:val="bg-BG"/>
        </w:rPr>
        <w:t xml:space="preserve"> относно комбиниране на подкрепа</w:t>
      </w:r>
      <w:r w:rsidR="00723350">
        <w:rPr>
          <w:rStyle w:val="FootnoteReference"/>
          <w:rFonts w:ascii="Arial" w:hAnsi="Arial" w:cs="Arial"/>
          <w:sz w:val="20"/>
          <w:szCs w:val="20"/>
          <w:lang w:val="bg-BG"/>
        </w:rPr>
        <w:footnoteReference w:id="10"/>
      </w:r>
      <w:r w:rsidR="00E70EB6">
        <w:rPr>
          <w:rFonts w:ascii="Arial" w:hAnsi="Arial" w:cs="Arial"/>
          <w:sz w:val="20"/>
          <w:szCs w:val="20"/>
          <w:lang w:val="bg-BG"/>
        </w:rPr>
        <w:t>, както</w:t>
      </w:r>
      <w:r w:rsidR="00E46EA9" w:rsidRPr="00BC7695">
        <w:rPr>
          <w:rFonts w:ascii="Arial" w:hAnsi="Arial" w:cs="Arial"/>
          <w:sz w:val="20"/>
          <w:szCs w:val="20"/>
          <w:lang w:val="bg-BG"/>
        </w:rPr>
        <w:t xml:space="preserve"> </w:t>
      </w:r>
      <w:r w:rsidR="00493066">
        <w:rPr>
          <w:rFonts w:ascii="Arial" w:hAnsi="Arial" w:cs="Arial"/>
          <w:sz w:val="20"/>
          <w:szCs w:val="20"/>
          <w:lang w:val="bg-BG"/>
        </w:rPr>
        <w:t xml:space="preserve">и </w:t>
      </w:r>
      <w:r w:rsidR="00E70EB6">
        <w:rPr>
          <w:rFonts w:ascii="Arial" w:hAnsi="Arial" w:cs="Arial"/>
          <w:sz w:val="20"/>
          <w:szCs w:val="20"/>
          <w:lang w:val="bg-BG"/>
        </w:rPr>
        <w:t>в съответствие с</w:t>
      </w:r>
      <w:r w:rsidR="00E46EA9">
        <w:rPr>
          <w:rFonts w:ascii="Arial" w:hAnsi="Arial" w:cs="Arial"/>
          <w:sz w:val="20"/>
          <w:szCs w:val="20"/>
          <w:lang w:val="bg-BG"/>
        </w:rPr>
        <w:t xml:space="preserve"> правилата за държавни помощи</w:t>
      </w:r>
      <w:r w:rsidR="00581BD7" w:rsidRPr="00BC7695">
        <w:rPr>
          <w:rFonts w:ascii="Arial" w:hAnsi="Arial" w:cs="Arial"/>
          <w:sz w:val="20"/>
          <w:szCs w:val="20"/>
          <w:lang w:val="bg-BG"/>
        </w:rPr>
        <w:t>.</w:t>
      </w:r>
      <w:r w:rsidR="0073492B" w:rsidRPr="00BC7695">
        <w:rPr>
          <w:lang w:val="bg-BG"/>
        </w:rPr>
        <w:t xml:space="preserve"> </w:t>
      </w:r>
      <w:r w:rsidR="00E70EB6">
        <w:rPr>
          <w:rFonts w:ascii="Arial" w:hAnsi="Arial" w:cs="Arial"/>
          <w:sz w:val="20"/>
          <w:szCs w:val="20"/>
          <w:lang w:val="bg-BG"/>
        </w:rPr>
        <w:t>Този подход може да бъде осъществен, като</w:t>
      </w:r>
      <w:r w:rsidR="0073492B" w:rsidRPr="00BC7695">
        <w:rPr>
          <w:rFonts w:ascii="Arial" w:hAnsi="Arial" w:cs="Arial"/>
          <w:sz w:val="20"/>
          <w:szCs w:val="20"/>
          <w:lang w:val="bg-BG"/>
        </w:rPr>
        <w:t xml:space="preserve"> </w:t>
      </w:r>
      <w:r w:rsidR="0073492B" w:rsidRPr="00E70EB6">
        <w:rPr>
          <w:rFonts w:ascii="Arial" w:hAnsi="Arial" w:cs="Arial"/>
          <w:sz w:val="20"/>
          <w:szCs w:val="20"/>
          <w:lang w:val="bg-BG"/>
        </w:rPr>
        <w:t>чрез финансов инструмент</w:t>
      </w:r>
      <w:r w:rsidR="00E70EB6" w:rsidRPr="00A644A6">
        <w:rPr>
          <w:rFonts w:ascii="Arial" w:hAnsi="Arial" w:cs="Arial"/>
          <w:sz w:val="20"/>
          <w:szCs w:val="20"/>
          <w:lang w:val="bg-BG"/>
        </w:rPr>
        <w:t xml:space="preserve"> се финансира </w:t>
      </w:r>
      <w:r w:rsidR="00E70EB6">
        <w:rPr>
          <w:rFonts w:ascii="Arial" w:hAnsi="Arial" w:cs="Arial"/>
          <w:sz w:val="20"/>
          <w:szCs w:val="20"/>
          <w:lang w:val="bg-BG"/>
        </w:rPr>
        <w:t>частта от инвестиционните разходи</w:t>
      </w:r>
      <w:r w:rsidR="00E63608">
        <w:rPr>
          <w:rFonts w:ascii="Arial" w:hAnsi="Arial" w:cs="Arial"/>
          <w:sz w:val="20"/>
          <w:szCs w:val="20"/>
          <w:lang w:val="bg-BG"/>
        </w:rPr>
        <w:t>,</w:t>
      </w:r>
      <w:r w:rsidR="00E70EB6">
        <w:rPr>
          <w:rFonts w:ascii="Arial" w:hAnsi="Arial" w:cs="Arial"/>
          <w:sz w:val="20"/>
          <w:szCs w:val="20"/>
          <w:lang w:val="bg-BG"/>
        </w:rPr>
        <w:t xml:space="preserve"> </w:t>
      </w:r>
      <w:r w:rsidR="00723350">
        <w:rPr>
          <w:rFonts w:ascii="Arial" w:hAnsi="Arial" w:cs="Arial"/>
          <w:sz w:val="20"/>
          <w:szCs w:val="20"/>
          <w:lang w:val="bg-BG"/>
        </w:rPr>
        <w:t>съответстваща</w:t>
      </w:r>
      <w:r w:rsidR="00E70EB6">
        <w:rPr>
          <w:rFonts w:ascii="Arial" w:hAnsi="Arial" w:cs="Arial"/>
          <w:sz w:val="20"/>
          <w:szCs w:val="20"/>
          <w:lang w:val="bg-BG"/>
        </w:rPr>
        <w:t xml:space="preserve"> на изчислените генерирани нетни приходи</w:t>
      </w:r>
      <w:r w:rsidR="007E4F82">
        <w:rPr>
          <w:rFonts w:ascii="Arial" w:hAnsi="Arial" w:cs="Arial"/>
          <w:sz w:val="20"/>
          <w:szCs w:val="20"/>
          <w:lang w:val="bg-BG"/>
        </w:rPr>
        <w:t xml:space="preserve">. </w:t>
      </w:r>
      <w:r w:rsidR="00B73587">
        <w:rPr>
          <w:rFonts w:ascii="Arial" w:hAnsi="Arial" w:cs="Arial"/>
          <w:sz w:val="20"/>
          <w:szCs w:val="20"/>
          <w:lang w:val="bg-BG"/>
        </w:rPr>
        <w:t>Разходите, финансирани с подкрепа чрез финансови инструменти</w:t>
      </w:r>
      <w:r w:rsidR="007E4F82">
        <w:rPr>
          <w:rFonts w:ascii="Arial" w:hAnsi="Arial" w:cs="Arial"/>
          <w:sz w:val="20"/>
          <w:szCs w:val="20"/>
          <w:lang w:val="bg-BG"/>
        </w:rPr>
        <w:t xml:space="preserve"> не следва да се припокриват с допустимите инвестиционни разходи,</w:t>
      </w:r>
      <w:r w:rsidR="00E70EB6">
        <w:rPr>
          <w:rFonts w:ascii="Arial" w:hAnsi="Arial" w:cs="Arial"/>
          <w:sz w:val="20"/>
          <w:szCs w:val="20"/>
          <w:lang w:val="bg-BG"/>
        </w:rPr>
        <w:t xml:space="preserve"> </w:t>
      </w:r>
      <w:r w:rsidR="0073492B" w:rsidRPr="00E70EB6">
        <w:rPr>
          <w:rFonts w:ascii="Arial" w:hAnsi="Arial" w:cs="Arial"/>
          <w:sz w:val="20"/>
          <w:szCs w:val="20"/>
          <w:lang w:val="bg-BG"/>
        </w:rPr>
        <w:t xml:space="preserve">финансирани с </w:t>
      </w:r>
      <w:r w:rsidR="00E70EB6">
        <w:rPr>
          <w:rFonts w:ascii="Arial" w:hAnsi="Arial" w:cs="Arial"/>
          <w:sz w:val="20"/>
          <w:szCs w:val="20"/>
          <w:lang w:val="bg-BG"/>
        </w:rPr>
        <w:t>БФП</w:t>
      </w:r>
      <w:r w:rsidR="0073492B" w:rsidRPr="00E70EB6">
        <w:rPr>
          <w:rFonts w:ascii="Arial" w:hAnsi="Arial" w:cs="Arial"/>
          <w:sz w:val="20"/>
          <w:szCs w:val="20"/>
          <w:lang w:val="bg-BG"/>
        </w:rPr>
        <w:t xml:space="preserve">. </w:t>
      </w:r>
      <w:r w:rsidR="006F0E3D" w:rsidRPr="006F0E3D">
        <w:rPr>
          <w:rFonts w:ascii="Arial" w:hAnsi="Arial" w:cs="Arial"/>
          <w:sz w:val="20"/>
          <w:szCs w:val="20"/>
          <w:lang w:val="bg-BG"/>
        </w:rPr>
        <w:t>Комбинацията от подкрепа, предоставяна чрез безвъзмездни средства и финансови инструменти, може да обхваща същата разходна позиция, при условие че сумата от всички форми на комбинирана подкрепа не надхвърля общия размер на съответната разходна позиция. Безвъзмездните средства не се използват за възстановяване на подкрепа, получена от финансови инструменти. Финансовите инструменти не се използват за предварително финансиране на безвъзмездни средства.</w:t>
      </w:r>
    </w:p>
    <w:p w14:paraId="5951E207" w14:textId="77777777" w:rsidR="00997827" w:rsidRPr="00997827" w:rsidRDefault="00997827" w:rsidP="00DA3A62">
      <w:pPr>
        <w:pStyle w:val="ListParagraph"/>
        <w:spacing w:after="120"/>
        <w:ind w:left="0"/>
        <w:contextualSpacing w:val="0"/>
        <w:jc w:val="both"/>
        <w:rPr>
          <w:rFonts w:ascii="Arial" w:hAnsi="Arial" w:cs="Arial"/>
          <w:sz w:val="20"/>
          <w:szCs w:val="20"/>
          <w:lang w:val="bg-BG"/>
        </w:rPr>
      </w:pPr>
      <w:r w:rsidRPr="00512E67">
        <w:rPr>
          <w:rFonts w:ascii="Arial" w:hAnsi="Arial" w:cs="Arial"/>
          <w:sz w:val="20"/>
          <w:szCs w:val="20"/>
          <w:lang w:val="bg-BG"/>
        </w:rPr>
        <w:t xml:space="preserve">В допълнение, </w:t>
      </w:r>
      <w:r w:rsidR="00723350" w:rsidRPr="00BC7695">
        <w:rPr>
          <w:rFonts w:ascii="Arial" w:hAnsi="Arial" w:cs="Arial"/>
          <w:sz w:val="20"/>
          <w:szCs w:val="20"/>
          <w:lang w:val="bg-BG"/>
        </w:rPr>
        <w:t xml:space="preserve">посочените по-долу примерни </w:t>
      </w:r>
      <w:r w:rsidR="00A644A6">
        <w:rPr>
          <w:rFonts w:ascii="Arial" w:hAnsi="Arial" w:cs="Arial"/>
          <w:sz w:val="20"/>
          <w:szCs w:val="20"/>
          <w:lang w:val="bg-BG"/>
        </w:rPr>
        <w:t>мерки</w:t>
      </w:r>
      <w:r w:rsidR="00723350" w:rsidRPr="00BC7695">
        <w:rPr>
          <w:rFonts w:ascii="Arial" w:hAnsi="Arial" w:cs="Arial"/>
          <w:sz w:val="20"/>
          <w:szCs w:val="20"/>
          <w:lang w:val="bg-BG"/>
        </w:rPr>
        <w:t xml:space="preserve"> </w:t>
      </w:r>
      <w:r w:rsidR="006875FF" w:rsidRPr="00BC7695">
        <w:rPr>
          <w:rFonts w:ascii="Arial" w:hAnsi="Arial" w:cs="Arial"/>
          <w:sz w:val="20"/>
          <w:szCs w:val="20"/>
          <w:lang w:val="bg-BG"/>
        </w:rPr>
        <w:t>могат да бъдат финансирани чрез ФИ</w:t>
      </w:r>
      <w:r w:rsidR="008E13C9" w:rsidRPr="00BC7695">
        <w:rPr>
          <w:rFonts w:ascii="Arial" w:hAnsi="Arial" w:cs="Arial"/>
          <w:sz w:val="20"/>
          <w:szCs w:val="20"/>
          <w:lang w:val="bg-BG"/>
        </w:rPr>
        <w:t>,</w:t>
      </w:r>
      <w:r w:rsidR="006875FF" w:rsidRPr="00BC7695">
        <w:rPr>
          <w:rFonts w:ascii="Arial" w:hAnsi="Arial" w:cs="Arial"/>
          <w:sz w:val="20"/>
          <w:szCs w:val="20"/>
          <w:lang w:val="bg-BG"/>
        </w:rPr>
        <w:t xml:space="preserve"> </w:t>
      </w:r>
      <w:r w:rsidR="009231A7" w:rsidRPr="00BC7695">
        <w:rPr>
          <w:rFonts w:ascii="Arial" w:hAnsi="Arial" w:cs="Arial"/>
          <w:sz w:val="20"/>
          <w:szCs w:val="20"/>
          <w:lang w:val="bg-BG"/>
        </w:rPr>
        <w:t xml:space="preserve">като </w:t>
      </w:r>
      <w:r w:rsidR="00E47BD0">
        <w:rPr>
          <w:rFonts w:ascii="Arial" w:hAnsi="Arial" w:cs="Arial"/>
          <w:sz w:val="20"/>
          <w:szCs w:val="20"/>
          <w:lang w:val="bg-BG"/>
        </w:rPr>
        <w:t>проект/</w:t>
      </w:r>
      <w:r w:rsidR="009231A7" w:rsidRPr="00BC7695">
        <w:rPr>
          <w:rFonts w:ascii="Arial" w:hAnsi="Arial" w:cs="Arial"/>
          <w:sz w:val="20"/>
          <w:szCs w:val="20"/>
          <w:lang w:val="bg-BG"/>
        </w:rPr>
        <w:t>част от проект</w:t>
      </w:r>
      <w:r w:rsidR="00512E67" w:rsidRPr="00BC7695">
        <w:rPr>
          <w:rFonts w:ascii="Arial" w:hAnsi="Arial" w:cs="Arial"/>
          <w:sz w:val="20"/>
          <w:szCs w:val="20"/>
          <w:lang w:val="bg-BG"/>
        </w:rPr>
        <w:t xml:space="preserve">, насочен към </w:t>
      </w:r>
      <w:r w:rsidR="00A644A6">
        <w:rPr>
          <w:rFonts w:ascii="Arial" w:hAnsi="Arial" w:cs="Arial"/>
          <w:sz w:val="20"/>
          <w:szCs w:val="20"/>
          <w:lang w:val="bg-BG"/>
        </w:rPr>
        <w:t xml:space="preserve">постигане на </w:t>
      </w:r>
      <w:r w:rsidR="00A644A6" w:rsidRPr="00A644A6">
        <w:rPr>
          <w:rFonts w:ascii="Arial" w:hAnsi="Arial" w:cs="Arial"/>
          <w:sz w:val="20"/>
          <w:szCs w:val="20"/>
          <w:lang w:val="bg-BG"/>
        </w:rPr>
        <w:t>пълно съответствие с изискванията на европейското и национално законодателство в областта на питейните и отпадъчните води</w:t>
      </w:r>
      <w:r w:rsidR="006875FF" w:rsidRPr="00BC7695">
        <w:rPr>
          <w:rFonts w:ascii="Arial" w:hAnsi="Arial" w:cs="Arial"/>
          <w:sz w:val="20"/>
          <w:szCs w:val="20"/>
          <w:lang w:val="bg-BG"/>
        </w:rPr>
        <w:t xml:space="preserve">. </w:t>
      </w:r>
      <w:r w:rsidR="00A644A6">
        <w:rPr>
          <w:rFonts w:ascii="Arial" w:hAnsi="Arial" w:cs="Arial"/>
          <w:sz w:val="20"/>
          <w:szCs w:val="20"/>
          <w:lang w:val="bg-BG"/>
        </w:rPr>
        <w:t xml:space="preserve">Мерките </w:t>
      </w:r>
      <w:r w:rsidRPr="00CF190A">
        <w:rPr>
          <w:rFonts w:ascii="Arial" w:hAnsi="Arial" w:cs="Arial"/>
          <w:sz w:val="20"/>
          <w:szCs w:val="20"/>
          <w:lang w:val="bg-BG"/>
        </w:rPr>
        <w:t>са идентифицирани н</w:t>
      </w:r>
      <w:r w:rsidRPr="00750E2A">
        <w:rPr>
          <w:rFonts w:ascii="Arial" w:hAnsi="Arial" w:cs="Arial"/>
          <w:sz w:val="20"/>
          <w:szCs w:val="20"/>
          <w:lang w:val="bg-BG"/>
        </w:rPr>
        <w:t>а базата на ограничения анализ на пазара, извършен за целите на настоящата</w:t>
      </w:r>
      <w:r w:rsidR="008E13C9" w:rsidRPr="00BC7695">
        <w:rPr>
          <w:rFonts w:ascii="Arial" w:hAnsi="Arial" w:cs="Arial"/>
          <w:sz w:val="20"/>
          <w:szCs w:val="20"/>
          <w:lang w:val="bg-BG"/>
        </w:rPr>
        <w:t xml:space="preserve"> стратегия</w:t>
      </w:r>
      <w:r w:rsidRPr="00512E67">
        <w:rPr>
          <w:rFonts w:ascii="Arial" w:hAnsi="Arial" w:cs="Arial"/>
          <w:sz w:val="20"/>
          <w:szCs w:val="20"/>
          <w:lang w:val="bg-BG"/>
        </w:rPr>
        <w:t xml:space="preserve">. Списъкът може да бъде </w:t>
      </w:r>
      <w:r w:rsidR="00D83692" w:rsidRPr="00512E67">
        <w:rPr>
          <w:rFonts w:ascii="Arial" w:hAnsi="Arial" w:cs="Arial"/>
          <w:sz w:val="20"/>
          <w:szCs w:val="20"/>
          <w:lang w:val="bg-BG"/>
        </w:rPr>
        <w:t xml:space="preserve">допълнен </w:t>
      </w:r>
      <w:r w:rsidRPr="00CF190A">
        <w:rPr>
          <w:rFonts w:ascii="Arial" w:hAnsi="Arial" w:cs="Arial"/>
          <w:sz w:val="20"/>
          <w:szCs w:val="20"/>
          <w:lang w:val="bg-BG"/>
        </w:rPr>
        <w:t>с д</w:t>
      </w:r>
      <w:r w:rsidR="00B43797" w:rsidRPr="00BC7695">
        <w:rPr>
          <w:rFonts w:ascii="Arial" w:hAnsi="Arial" w:cs="Arial"/>
          <w:sz w:val="20"/>
          <w:szCs w:val="20"/>
          <w:lang w:val="bg-BG"/>
        </w:rPr>
        <w:t>руги</w:t>
      </w:r>
      <w:r w:rsidR="00A644A6">
        <w:rPr>
          <w:rFonts w:ascii="Arial" w:hAnsi="Arial" w:cs="Arial"/>
          <w:sz w:val="20"/>
          <w:szCs w:val="20"/>
          <w:lang w:val="bg-BG"/>
        </w:rPr>
        <w:t xml:space="preserve"> мерки</w:t>
      </w:r>
      <w:r w:rsidRPr="00512E67">
        <w:rPr>
          <w:rFonts w:ascii="Arial" w:hAnsi="Arial" w:cs="Arial"/>
          <w:sz w:val="20"/>
          <w:szCs w:val="20"/>
          <w:lang w:val="bg-BG"/>
        </w:rPr>
        <w:t xml:space="preserve">, които да бъдат </w:t>
      </w:r>
      <w:r w:rsidR="00A644A6">
        <w:rPr>
          <w:rFonts w:ascii="Arial" w:hAnsi="Arial" w:cs="Arial"/>
          <w:sz w:val="20"/>
          <w:szCs w:val="20"/>
          <w:lang w:val="bg-BG"/>
        </w:rPr>
        <w:t>реализирани</w:t>
      </w:r>
      <w:r w:rsidR="00A644A6" w:rsidRPr="00512E67">
        <w:rPr>
          <w:rFonts w:ascii="Arial" w:hAnsi="Arial" w:cs="Arial"/>
          <w:sz w:val="20"/>
          <w:szCs w:val="20"/>
          <w:lang w:val="bg-BG"/>
        </w:rPr>
        <w:t xml:space="preserve"> </w:t>
      </w:r>
      <w:r w:rsidRPr="00512E67">
        <w:rPr>
          <w:rFonts w:ascii="Arial" w:hAnsi="Arial" w:cs="Arial"/>
          <w:sz w:val="20"/>
          <w:szCs w:val="20"/>
          <w:lang w:val="bg-BG"/>
        </w:rPr>
        <w:t xml:space="preserve">от ВиКО на база на резултатите от съответните РПИП. </w:t>
      </w:r>
      <w:r w:rsidR="00D83692" w:rsidRPr="00512E67">
        <w:rPr>
          <w:rFonts w:ascii="Arial" w:hAnsi="Arial" w:cs="Arial"/>
          <w:sz w:val="20"/>
          <w:szCs w:val="20"/>
          <w:lang w:val="bg-BG"/>
        </w:rPr>
        <w:t>Задължително условие</w:t>
      </w:r>
      <w:r w:rsidRPr="00512E67">
        <w:rPr>
          <w:rFonts w:ascii="Arial" w:hAnsi="Arial" w:cs="Arial"/>
          <w:sz w:val="20"/>
          <w:szCs w:val="20"/>
          <w:lang w:val="bg-BG"/>
        </w:rPr>
        <w:t xml:space="preserve"> за финансиране чрез ФИ,</w:t>
      </w:r>
      <w:r w:rsidR="00D83692" w:rsidRPr="00512E67">
        <w:rPr>
          <w:rFonts w:ascii="Arial" w:hAnsi="Arial" w:cs="Arial"/>
          <w:sz w:val="20"/>
          <w:szCs w:val="20"/>
          <w:lang w:val="bg-BG"/>
        </w:rPr>
        <w:t xml:space="preserve"> е </w:t>
      </w:r>
      <w:r w:rsidRPr="00512E67">
        <w:rPr>
          <w:rFonts w:ascii="Arial" w:hAnsi="Arial" w:cs="Arial"/>
          <w:sz w:val="20"/>
          <w:szCs w:val="20"/>
          <w:lang w:val="bg-BG"/>
        </w:rPr>
        <w:t>проектите</w:t>
      </w:r>
      <w:r w:rsidR="00723350" w:rsidRPr="00BC7695">
        <w:rPr>
          <w:rFonts w:ascii="Arial" w:hAnsi="Arial" w:cs="Arial"/>
          <w:sz w:val="20"/>
          <w:szCs w:val="20"/>
          <w:lang w:val="bg-BG"/>
        </w:rPr>
        <w:t xml:space="preserve"> </w:t>
      </w:r>
      <w:r w:rsidRPr="00512E67">
        <w:rPr>
          <w:rFonts w:ascii="Arial" w:hAnsi="Arial" w:cs="Arial"/>
          <w:sz w:val="20"/>
          <w:szCs w:val="20"/>
          <w:lang w:val="bg-BG"/>
        </w:rPr>
        <w:t>да бъдат устойчиви и финансово жизнеспособни</w:t>
      </w:r>
      <w:r w:rsidR="002E586A" w:rsidRPr="00512E67">
        <w:rPr>
          <w:rFonts w:ascii="Arial" w:hAnsi="Arial" w:cs="Arial"/>
          <w:sz w:val="20"/>
          <w:szCs w:val="20"/>
          <w:lang w:val="bg-BG"/>
        </w:rPr>
        <w:t xml:space="preserve"> и да обхващат</w:t>
      </w:r>
      <w:r w:rsidR="003B491C" w:rsidRPr="00512E67">
        <w:rPr>
          <w:rFonts w:ascii="Arial" w:hAnsi="Arial" w:cs="Arial"/>
          <w:sz w:val="20"/>
          <w:szCs w:val="20"/>
          <w:lang w:val="bg-BG"/>
        </w:rPr>
        <w:t>:</w:t>
      </w:r>
      <w:r w:rsidR="006875FF">
        <w:rPr>
          <w:rFonts w:ascii="Arial" w:hAnsi="Arial" w:cs="Arial"/>
          <w:sz w:val="20"/>
          <w:szCs w:val="20"/>
          <w:lang w:val="bg-BG"/>
        </w:rPr>
        <w:t xml:space="preserve"> </w:t>
      </w:r>
    </w:p>
    <w:p w14:paraId="3559119E" w14:textId="77777777" w:rsidR="005B0E74" w:rsidRPr="005B0E74" w:rsidRDefault="00B57635" w:rsidP="007729DE">
      <w:pPr>
        <w:pStyle w:val="ListParagraph"/>
        <w:numPr>
          <w:ilvl w:val="0"/>
          <w:numId w:val="74"/>
        </w:numPr>
        <w:spacing w:after="120"/>
        <w:contextualSpacing w:val="0"/>
        <w:jc w:val="both"/>
        <w:rPr>
          <w:rFonts w:ascii="Arial" w:hAnsi="Arial" w:cs="Arial"/>
          <w:sz w:val="20"/>
          <w:szCs w:val="20"/>
          <w:lang w:val="bg-BG"/>
        </w:rPr>
      </w:pPr>
      <w:r>
        <w:rPr>
          <w:rFonts w:ascii="Arial" w:hAnsi="Arial" w:cs="Arial"/>
          <w:sz w:val="20"/>
          <w:szCs w:val="20"/>
          <w:lang w:val="bg-BG"/>
        </w:rPr>
        <w:t>дейности</w:t>
      </w:r>
      <w:r w:rsidR="005B0E74" w:rsidRPr="005B0E74">
        <w:rPr>
          <w:rFonts w:ascii="Arial" w:hAnsi="Arial" w:cs="Arial"/>
          <w:sz w:val="20"/>
          <w:szCs w:val="20"/>
          <w:lang w:val="bg-BG"/>
        </w:rPr>
        <w:t xml:space="preserve">, насочени към намаляване </w:t>
      </w:r>
      <w:r w:rsidR="00D42B08">
        <w:rPr>
          <w:rFonts w:ascii="Arial" w:hAnsi="Arial" w:cs="Arial"/>
          <w:sz w:val="20"/>
          <w:szCs w:val="20"/>
          <w:lang w:val="bg-BG"/>
        </w:rPr>
        <w:t xml:space="preserve">на общите </w:t>
      </w:r>
      <w:r w:rsidR="005B0E74" w:rsidRPr="005B0E74">
        <w:rPr>
          <w:rFonts w:ascii="Arial" w:hAnsi="Arial" w:cs="Arial"/>
          <w:sz w:val="20"/>
          <w:szCs w:val="20"/>
          <w:lang w:val="bg-BG"/>
        </w:rPr>
        <w:t>загуби на вода (неносеща приходи вода) – както търговските, така и физическите водни загуби;</w:t>
      </w:r>
    </w:p>
    <w:p w14:paraId="3505BA88" w14:textId="77777777" w:rsidR="005B0E74" w:rsidRPr="005B0E74" w:rsidRDefault="00B57635" w:rsidP="007729DE">
      <w:pPr>
        <w:pStyle w:val="ListParagraph"/>
        <w:numPr>
          <w:ilvl w:val="0"/>
          <w:numId w:val="74"/>
        </w:numPr>
        <w:spacing w:after="120"/>
        <w:contextualSpacing w:val="0"/>
        <w:jc w:val="both"/>
        <w:rPr>
          <w:rFonts w:ascii="Arial" w:hAnsi="Arial" w:cs="Arial"/>
          <w:sz w:val="20"/>
          <w:szCs w:val="20"/>
          <w:lang w:val="bg-BG"/>
        </w:rPr>
      </w:pPr>
      <w:r>
        <w:rPr>
          <w:rFonts w:ascii="Arial" w:hAnsi="Arial" w:cs="Arial"/>
          <w:sz w:val="20"/>
          <w:szCs w:val="20"/>
          <w:lang w:val="bg-BG"/>
        </w:rPr>
        <w:t>дейности</w:t>
      </w:r>
      <w:r w:rsidR="005B0E74" w:rsidRPr="005B0E74">
        <w:rPr>
          <w:rFonts w:ascii="Arial" w:hAnsi="Arial" w:cs="Arial"/>
          <w:sz w:val="20"/>
          <w:szCs w:val="20"/>
          <w:lang w:val="bg-BG"/>
        </w:rPr>
        <w:t xml:space="preserve">, насочени към подобряване на енергийната ефективност на </w:t>
      </w:r>
      <w:r w:rsidR="00512D71">
        <w:rPr>
          <w:rFonts w:ascii="Arial" w:hAnsi="Arial" w:cs="Arial"/>
          <w:sz w:val="20"/>
          <w:szCs w:val="20"/>
          <w:lang w:val="bg-BG"/>
        </w:rPr>
        <w:t xml:space="preserve">консолидираните </w:t>
      </w:r>
      <w:r w:rsidR="005B0E74">
        <w:rPr>
          <w:rFonts w:ascii="Arial" w:hAnsi="Arial" w:cs="Arial"/>
          <w:sz w:val="20"/>
          <w:szCs w:val="20"/>
          <w:lang w:val="bg-BG"/>
        </w:rPr>
        <w:t>ВиКО</w:t>
      </w:r>
      <w:r w:rsidR="005B0E74" w:rsidRPr="005B0E74">
        <w:rPr>
          <w:rFonts w:ascii="Arial" w:hAnsi="Arial" w:cs="Arial"/>
          <w:sz w:val="20"/>
          <w:szCs w:val="20"/>
          <w:lang w:val="bg-BG"/>
        </w:rPr>
        <w:t>;</w:t>
      </w:r>
    </w:p>
    <w:p w14:paraId="37D1CEF8" w14:textId="77777777" w:rsidR="005B0E74" w:rsidRDefault="00B57635" w:rsidP="007729DE">
      <w:pPr>
        <w:pStyle w:val="ListParagraph"/>
        <w:numPr>
          <w:ilvl w:val="0"/>
          <w:numId w:val="74"/>
        </w:numPr>
        <w:spacing w:after="120"/>
        <w:contextualSpacing w:val="0"/>
        <w:jc w:val="both"/>
        <w:rPr>
          <w:rFonts w:ascii="Arial" w:hAnsi="Arial" w:cs="Arial"/>
          <w:sz w:val="20"/>
          <w:szCs w:val="20"/>
          <w:lang w:val="bg-BG"/>
        </w:rPr>
      </w:pPr>
      <w:r>
        <w:rPr>
          <w:rFonts w:ascii="Arial" w:hAnsi="Arial" w:cs="Arial"/>
          <w:sz w:val="20"/>
          <w:szCs w:val="20"/>
          <w:lang w:val="bg-BG"/>
        </w:rPr>
        <w:t>дейности</w:t>
      </w:r>
      <w:r w:rsidR="005B0E74" w:rsidRPr="005B0E74">
        <w:rPr>
          <w:rFonts w:ascii="Arial" w:hAnsi="Arial" w:cs="Arial"/>
          <w:sz w:val="20"/>
          <w:szCs w:val="20"/>
          <w:lang w:val="bg-BG"/>
        </w:rPr>
        <w:t xml:space="preserve">, насочени към оптимизиране на оперативните разходи на </w:t>
      </w:r>
      <w:r w:rsidR="00512D71">
        <w:rPr>
          <w:rFonts w:ascii="Arial" w:hAnsi="Arial" w:cs="Arial"/>
          <w:sz w:val="20"/>
          <w:szCs w:val="20"/>
          <w:lang w:val="bg-BG"/>
        </w:rPr>
        <w:t xml:space="preserve">консолидираните </w:t>
      </w:r>
      <w:r w:rsidR="005B0E74">
        <w:rPr>
          <w:rFonts w:ascii="Arial" w:hAnsi="Arial" w:cs="Arial"/>
          <w:sz w:val="20"/>
          <w:szCs w:val="20"/>
          <w:lang w:val="bg-BG"/>
        </w:rPr>
        <w:t>ВиКО</w:t>
      </w:r>
      <w:r>
        <w:rPr>
          <w:rFonts w:ascii="Arial" w:hAnsi="Arial" w:cs="Arial"/>
          <w:sz w:val="20"/>
          <w:szCs w:val="20"/>
          <w:lang w:val="bg-BG"/>
        </w:rPr>
        <w:t>;</w:t>
      </w:r>
      <w:r w:rsidR="00FF50CB">
        <w:rPr>
          <w:rFonts w:ascii="Arial" w:hAnsi="Arial" w:cs="Arial"/>
          <w:sz w:val="20"/>
          <w:szCs w:val="20"/>
          <w:lang w:val="bg-BG"/>
        </w:rPr>
        <w:t xml:space="preserve"> </w:t>
      </w:r>
    </w:p>
    <w:p w14:paraId="06FDD896" w14:textId="77777777" w:rsidR="00997827" w:rsidRPr="008B5547" w:rsidRDefault="005B0E74" w:rsidP="0067464C">
      <w:pPr>
        <w:pStyle w:val="ListParagraph"/>
        <w:numPr>
          <w:ilvl w:val="0"/>
          <w:numId w:val="74"/>
        </w:numPr>
        <w:spacing w:after="120"/>
        <w:contextualSpacing w:val="0"/>
        <w:jc w:val="both"/>
        <w:rPr>
          <w:rFonts w:ascii="Arial" w:hAnsi="Arial" w:cs="Arial"/>
          <w:sz w:val="20"/>
          <w:szCs w:val="20"/>
          <w:lang w:val="bg-BG"/>
        </w:rPr>
      </w:pPr>
      <w:r w:rsidRPr="008B5547">
        <w:rPr>
          <w:rFonts w:ascii="Arial" w:hAnsi="Arial" w:cs="Arial"/>
          <w:sz w:val="20"/>
          <w:szCs w:val="20"/>
          <w:lang w:val="bg-BG"/>
        </w:rPr>
        <w:t>Други ф</w:t>
      </w:r>
      <w:r w:rsidR="00723DA8" w:rsidRPr="008B5547">
        <w:rPr>
          <w:rFonts w:ascii="Arial" w:hAnsi="Arial" w:cs="Arial"/>
          <w:sz w:val="20"/>
          <w:szCs w:val="20"/>
          <w:lang w:val="bg-BG"/>
        </w:rPr>
        <w:t>инансово жизнеспособни проекти</w:t>
      </w:r>
      <w:r w:rsidRPr="008B5547">
        <w:rPr>
          <w:rFonts w:ascii="Arial" w:hAnsi="Arial" w:cs="Arial"/>
          <w:sz w:val="20"/>
          <w:szCs w:val="20"/>
          <w:lang w:val="bg-BG"/>
        </w:rPr>
        <w:t xml:space="preserve"> в съответствие както с целите на ОПОС</w:t>
      </w:r>
      <w:r w:rsidR="00512D71" w:rsidRPr="008B5547">
        <w:rPr>
          <w:rFonts w:ascii="Arial" w:hAnsi="Arial" w:cs="Arial"/>
          <w:sz w:val="20"/>
          <w:szCs w:val="20"/>
          <w:lang w:val="bg-BG"/>
        </w:rPr>
        <w:t xml:space="preserve"> 2014 – 2020 г.</w:t>
      </w:r>
      <w:r w:rsidRPr="008B5547">
        <w:rPr>
          <w:rFonts w:ascii="Arial" w:hAnsi="Arial" w:cs="Arial"/>
          <w:sz w:val="20"/>
          <w:szCs w:val="20"/>
          <w:lang w:val="bg-BG"/>
        </w:rPr>
        <w:t>, така и с</w:t>
      </w:r>
      <w:r w:rsidR="009B35AA" w:rsidRPr="008B5547">
        <w:rPr>
          <w:rFonts w:ascii="Arial" w:hAnsi="Arial" w:cs="Arial"/>
          <w:sz w:val="20"/>
          <w:szCs w:val="20"/>
          <w:lang w:val="bg-BG"/>
        </w:rPr>
        <w:t>ъс</w:t>
      </w:r>
      <w:r w:rsidRPr="008B5547">
        <w:rPr>
          <w:rFonts w:ascii="Arial" w:hAnsi="Arial" w:cs="Arial"/>
          <w:sz w:val="20"/>
          <w:szCs w:val="20"/>
          <w:lang w:val="bg-BG"/>
        </w:rPr>
        <w:t xml:space="preserve"> </w:t>
      </w:r>
      <w:r w:rsidR="00723DA8" w:rsidRPr="008B5547">
        <w:rPr>
          <w:rFonts w:ascii="Arial" w:hAnsi="Arial" w:cs="Arial"/>
          <w:sz w:val="20"/>
          <w:szCs w:val="20"/>
          <w:lang w:val="bg-BG"/>
        </w:rPr>
        <w:t xml:space="preserve">законодателната рамка </w:t>
      </w:r>
      <w:r w:rsidR="009B35AA" w:rsidRPr="008B5547">
        <w:rPr>
          <w:rFonts w:ascii="Arial" w:hAnsi="Arial" w:cs="Arial"/>
          <w:sz w:val="20"/>
          <w:szCs w:val="20"/>
          <w:lang w:val="bg-BG"/>
        </w:rPr>
        <w:t>на България</w:t>
      </w:r>
      <w:r w:rsidRPr="008B5547">
        <w:rPr>
          <w:rFonts w:ascii="Arial" w:hAnsi="Arial" w:cs="Arial"/>
          <w:sz w:val="20"/>
          <w:szCs w:val="20"/>
          <w:lang w:val="bg-BG"/>
        </w:rPr>
        <w:t xml:space="preserve"> и ЕС.</w:t>
      </w:r>
    </w:p>
    <w:p w14:paraId="536AB9D3" w14:textId="5F0524BC" w:rsidR="00B51CE9" w:rsidRDefault="00B51CE9" w:rsidP="00E46EA9">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 xml:space="preserve">Инвестициите </w:t>
      </w:r>
      <w:r w:rsidR="00D94CC7">
        <w:rPr>
          <w:rFonts w:ascii="Arial" w:hAnsi="Arial" w:cs="Arial"/>
          <w:sz w:val="20"/>
          <w:szCs w:val="20"/>
          <w:lang w:val="bg-BG"/>
        </w:rPr>
        <w:t>са</w:t>
      </w:r>
      <w:r>
        <w:rPr>
          <w:rFonts w:ascii="Arial" w:hAnsi="Arial" w:cs="Arial"/>
          <w:sz w:val="20"/>
          <w:szCs w:val="20"/>
          <w:lang w:val="bg-BG"/>
        </w:rPr>
        <w:t xml:space="preserve"> допустими по ОПОС</w:t>
      </w:r>
      <w:r w:rsidR="007B470D">
        <w:rPr>
          <w:rFonts w:ascii="Arial" w:hAnsi="Arial" w:cs="Arial"/>
          <w:sz w:val="20"/>
          <w:szCs w:val="20"/>
          <w:lang w:val="bg-BG"/>
        </w:rPr>
        <w:t xml:space="preserve"> 2014-2020</w:t>
      </w:r>
      <w:r w:rsidRPr="008A386D">
        <w:rPr>
          <w:rFonts w:ascii="Arial" w:hAnsi="Arial" w:cs="Arial"/>
          <w:sz w:val="20"/>
          <w:szCs w:val="20"/>
          <w:lang w:val="bg-BG"/>
        </w:rPr>
        <w:t xml:space="preserve">, само ако се </w:t>
      </w:r>
      <w:r w:rsidR="0067464C">
        <w:rPr>
          <w:rFonts w:ascii="Arial" w:hAnsi="Arial" w:cs="Arial"/>
          <w:sz w:val="20"/>
          <w:szCs w:val="20"/>
          <w:lang w:val="bg-BG"/>
        </w:rPr>
        <w:t>осъществяват</w:t>
      </w:r>
      <w:r w:rsidR="0067464C" w:rsidRPr="008A386D">
        <w:rPr>
          <w:rFonts w:ascii="Arial" w:hAnsi="Arial" w:cs="Arial"/>
          <w:sz w:val="20"/>
          <w:szCs w:val="20"/>
          <w:lang w:val="bg-BG"/>
        </w:rPr>
        <w:t xml:space="preserve"> </w:t>
      </w:r>
      <w:r w:rsidRPr="008A386D">
        <w:rPr>
          <w:rFonts w:ascii="Arial" w:hAnsi="Arial" w:cs="Arial"/>
          <w:sz w:val="20"/>
          <w:szCs w:val="20"/>
          <w:lang w:val="bg-BG"/>
        </w:rPr>
        <w:t>на територия</w:t>
      </w:r>
      <w:r w:rsidR="0067464C">
        <w:rPr>
          <w:rFonts w:ascii="Arial" w:hAnsi="Arial" w:cs="Arial"/>
          <w:sz w:val="20"/>
          <w:szCs w:val="20"/>
          <w:lang w:val="bg-BG"/>
        </w:rPr>
        <w:t>,</w:t>
      </w:r>
      <w:r w:rsidRPr="008A386D">
        <w:rPr>
          <w:rFonts w:ascii="Arial" w:hAnsi="Arial" w:cs="Arial"/>
          <w:sz w:val="20"/>
          <w:szCs w:val="20"/>
          <w:lang w:val="bg-BG"/>
        </w:rPr>
        <w:t xml:space="preserve"> на</w:t>
      </w:r>
      <w:r w:rsidR="00512E67">
        <w:rPr>
          <w:rFonts w:ascii="Arial" w:hAnsi="Arial" w:cs="Arial"/>
          <w:sz w:val="20"/>
          <w:szCs w:val="20"/>
          <w:lang w:val="bg-BG"/>
        </w:rPr>
        <w:t xml:space="preserve"> която оперират</w:t>
      </w:r>
      <w:r w:rsidRPr="008A386D">
        <w:rPr>
          <w:rFonts w:ascii="Arial" w:hAnsi="Arial" w:cs="Arial"/>
          <w:sz w:val="20"/>
          <w:szCs w:val="20"/>
          <w:lang w:val="bg-BG"/>
        </w:rPr>
        <w:t xml:space="preserve"> консолидирани ВиКО и ако </w:t>
      </w:r>
      <w:r w:rsidR="007F2C0C">
        <w:rPr>
          <w:rFonts w:ascii="Arial" w:hAnsi="Arial" w:cs="Arial"/>
          <w:sz w:val="20"/>
          <w:szCs w:val="20"/>
          <w:lang w:val="bg-BG"/>
        </w:rPr>
        <w:t>са насочени към</w:t>
      </w:r>
      <w:r w:rsidRPr="008A386D">
        <w:rPr>
          <w:rFonts w:ascii="Arial" w:hAnsi="Arial" w:cs="Arial"/>
          <w:sz w:val="20"/>
          <w:szCs w:val="20"/>
          <w:lang w:val="bg-BG"/>
        </w:rPr>
        <w:t xml:space="preserve"> а</w:t>
      </w:r>
      <w:r>
        <w:rPr>
          <w:rFonts w:ascii="Arial" w:hAnsi="Arial" w:cs="Arial"/>
          <w:sz w:val="20"/>
          <w:szCs w:val="20"/>
          <w:lang w:val="bg-BG"/>
        </w:rPr>
        <w:t>гломерации с над 10 000 екв. ж.,</w:t>
      </w:r>
      <w:r w:rsidRPr="008A386D">
        <w:rPr>
          <w:rFonts w:ascii="Arial" w:hAnsi="Arial" w:cs="Arial"/>
          <w:sz w:val="20"/>
          <w:szCs w:val="20"/>
          <w:lang w:val="bg-BG"/>
        </w:rPr>
        <w:t xml:space="preserve"> които </w:t>
      </w:r>
      <w:r w:rsidR="007D48AE">
        <w:rPr>
          <w:rFonts w:ascii="Arial" w:hAnsi="Arial" w:cs="Arial"/>
          <w:sz w:val="20"/>
          <w:szCs w:val="20"/>
          <w:lang w:val="bg-BG"/>
        </w:rPr>
        <w:t xml:space="preserve">следва </w:t>
      </w:r>
      <w:r w:rsidR="007D48AE">
        <w:rPr>
          <w:rFonts w:ascii="Arial" w:hAnsi="Arial" w:cs="Arial"/>
          <w:sz w:val="20"/>
          <w:szCs w:val="20"/>
          <w:lang w:val="bg-BG"/>
        </w:rPr>
        <w:lastRenderedPageBreak/>
        <w:t>да бъдат приведени</w:t>
      </w:r>
      <w:r w:rsidRPr="008A386D">
        <w:rPr>
          <w:rFonts w:ascii="Arial" w:hAnsi="Arial" w:cs="Arial"/>
          <w:sz w:val="20"/>
          <w:szCs w:val="20"/>
          <w:lang w:val="bg-BG"/>
        </w:rPr>
        <w:t xml:space="preserve"> в съответствие с изискванията на законодателството на ЕС</w:t>
      </w:r>
      <w:r w:rsidR="00111D2F">
        <w:rPr>
          <w:rFonts w:ascii="Arial" w:hAnsi="Arial" w:cs="Arial"/>
          <w:sz w:val="20"/>
          <w:szCs w:val="20"/>
          <w:lang w:val="bg-BG"/>
        </w:rPr>
        <w:t xml:space="preserve"> и на националното такова</w:t>
      </w:r>
      <w:r w:rsidRPr="008A386D">
        <w:rPr>
          <w:rFonts w:ascii="Arial" w:hAnsi="Arial" w:cs="Arial"/>
          <w:sz w:val="20"/>
          <w:szCs w:val="20"/>
          <w:lang w:val="bg-BG"/>
        </w:rPr>
        <w:t xml:space="preserve">. </w:t>
      </w:r>
    </w:p>
    <w:p w14:paraId="4067AA7F" w14:textId="506B583F" w:rsidR="00B51CE9" w:rsidRPr="008A386D" w:rsidRDefault="00B51CE9" w:rsidP="00E46EA9">
      <w:pPr>
        <w:pStyle w:val="ListParagraph"/>
        <w:spacing w:after="120"/>
        <w:ind w:left="0"/>
        <w:contextualSpacing w:val="0"/>
        <w:jc w:val="both"/>
        <w:rPr>
          <w:rFonts w:ascii="Arial" w:hAnsi="Arial" w:cs="Arial"/>
          <w:sz w:val="20"/>
          <w:szCs w:val="20"/>
          <w:lang w:val="bg-BG"/>
        </w:rPr>
      </w:pPr>
      <w:r w:rsidRPr="008A386D">
        <w:rPr>
          <w:rFonts w:ascii="Arial" w:hAnsi="Arial" w:cs="Arial"/>
          <w:sz w:val="20"/>
          <w:szCs w:val="20"/>
          <w:lang w:val="bg-BG"/>
        </w:rPr>
        <w:t xml:space="preserve">ОПОС </w:t>
      </w:r>
      <w:r w:rsidR="00E34B75">
        <w:rPr>
          <w:rFonts w:ascii="Arial" w:hAnsi="Arial" w:cs="Arial"/>
          <w:sz w:val="20"/>
          <w:szCs w:val="20"/>
          <w:lang w:val="bg-BG"/>
        </w:rPr>
        <w:t>2014-2020</w:t>
      </w:r>
      <w:r w:rsidR="00AE4735">
        <w:rPr>
          <w:rFonts w:ascii="Arial" w:hAnsi="Arial" w:cs="Arial"/>
          <w:sz w:val="20"/>
          <w:szCs w:val="20"/>
          <w:lang w:val="bg-BG"/>
        </w:rPr>
        <w:t xml:space="preserve"> г.</w:t>
      </w:r>
      <w:r w:rsidR="00E34B75">
        <w:rPr>
          <w:rFonts w:ascii="Arial" w:hAnsi="Arial" w:cs="Arial"/>
          <w:sz w:val="20"/>
          <w:szCs w:val="20"/>
          <w:lang w:val="bg-BG"/>
        </w:rPr>
        <w:t xml:space="preserve"> </w:t>
      </w:r>
      <w:r w:rsidRPr="008A386D">
        <w:rPr>
          <w:rFonts w:ascii="Arial" w:hAnsi="Arial" w:cs="Arial"/>
          <w:sz w:val="20"/>
          <w:szCs w:val="20"/>
          <w:lang w:val="bg-BG"/>
        </w:rPr>
        <w:t>ид</w:t>
      </w:r>
      <w:r>
        <w:rPr>
          <w:rFonts w:ascii="Arial" w:hAnsi="Arial" w:cs="Arial"/>
          <w:sz w:val="20"/>
          <w:szCs w:val="20"/>
          <w:lang w:val="bg-BG"/>
        </w:rPr>
        <w:t xml:space="preserve">ентифицира </w:t>
      </w:r>
      <w:r w:rsidR="00B57635">
        <w:rPr>
          <w:rFonts w:ascii="Arial" w:hAnsi="Arial" w:cs="Arial"/>
          <w:sz w:val="20"/>
          <w:szCs w:val="20"/>
          <w:lang w:val="bg-BG"/>
        </w:rPr>
        <w:t>цели</w:t>
      </w:r>
      <w:r>
        <w:rPr>
          <w:rFonts w:ascii="Arial" w:hAnsi="Arial" w:cs="Arial"/>
          <w:sz w:val="20"/>
          <w:szCs w:val="20"/>
          <w:lang w:val="bg-BG"/>
        </w:rPr>
        <w:t>, които се очаква</w:t>
      </w:r>
      <w:r w:rsidRPr="008A386D">
        <w:rPr>
          <w:rFonts w:ascii="Arial" w:hAnsi="Arial" w:cs="Arial"/>
          <w:sz w:val="20"/>
          <w:szCs w:val="20"/>
          <w:lang w:val="bg-BG"/>
        </w:rPr>
        <w:t xml:space="preserve"> да бъдат постигнати чрез </w:t>
      </w:r>
      <w:r>
        <w:rPr>
          <w:rFonts w:ascii="Arial" w:hAnsi="Arial" w:cs="Arial"/>
          <w:sz w:val="20"/>
          <w:szCs w:val="20"/>
          <w:lang w:val="bg-BG"/>
        </w:rPr>
        <w:t xml:space="preserve">предвидените </w:t>
      </w:r>
      <w:r w:rsidRPr="008A386D">
        <w:rPr>
          <w:rFonts w:ascii="Arial" w:hAnsi="Arial" w:cs="Arial"/>
          <w:sz w:val="20"/>
          <w:szCs w:val="20"/>
          <w:lang w:val="bg-BG"/>
        </w:rPr>
        <w:t xml:space="preserve">инвестиции във ВиК сектора. </w:t>
      </w:r>
      <w:r w:rsidR="008F6A69">
        <w:rPr>
          <w:rFonts w:ascii="Arial" w:hAnsi="Arial" w:cs="Arial"/>
          <w:sz w:val="20"/>
          <w:szCs w:val="20"/>
          <w:lang w:val="bg-BG"/>
        </w:rPr>
        <w:t xml:space="preserve">Те следва </w:t>
      </w:r>
      <w:r w:rsidR="00A76FBA">
        <w:rPr>
          <w:rFonts w:ascii="Arial" w:hAnsi="Arial" w:cs="Arial"/>
          <w:sz w:val="20"/>
          <w:szCs w:val="20"/>
          <w:lang w:val="bg-BG"/>
        </w:rPr>
        <w:t xml:space="preserve">да </w:t>
      </w:r>
      <w:r w:rsidR="0067464C">
        <w:rPr>
          <w:rFonts w:ascii="Arial" w:hAnsi="Arial" w:cs="Arial"/>
          <w:sz w:val="20"/>
          <w:szCs w:val="20"/>
          <w:lang w:val="bg-BG"/>
        </w:rPr>
        <w:t xml:space="preserve">са </w:t>
      </w:r>
      <w:r w:rsidR="008F6A69">
        <w:rPr>
          <w:rFonts w:ascii="Arial" w:hAnsi="Arial" w:cs="Arial"/>
          <w:sz w:val="20"/>
          <w:szCs w:val="20"/>
          <w:lang w:val="bg-BG"/>
        </w:rPr>
        <w:t>свързани с</w:t>
      </w:r>
      <w:r w:rsidR="007F2C0C" w:rsidRPr="007F2C0C">
        <w:rPr>
          <w:rFonts w:ascii="Arial" w:hAnsi="Arial" w:cs="Arial"/>
          <w:sz w:val="20"/>
          <w:szCs w:val="20"/>
          <w:lang w:val="bg-BG"/>
        </w:rPr>
        <w:t xml:space="preserve"> реализацията на мерки за събиране, отвеждане и пречистване на отпадъчните води.</w:t>
      </w:r>
      <w:r w:rsidR="007F2C0C">
        <w:rPr>
          <w:rFonts w:ascii="Arial" w:hAnsi="Arial" w:cs="Arial"/>
          <w:sz w:val="20"/>
          <w:szCs w:val="20"/>
          <w:lang w:val="bg-BG"/>
        </w:rPr>
        <w:t xml:space="preserve"> </w:t>
      </w:r>
      <w:r>
        <w:rPr>
          <w:rFonts w:ascii="Arial" w:hAnsi="Arial" w:cs="Arial"/>
          <w:sz w:val="20"/>
          <w:szCs w:val="20"/>
          <w:lang w:val="bg-BG"/>
        </w:rPr>
        <w:t>В допълнение, инвестиции</w:t>
      </w:r>
      <w:r w:rsidR="007F2C0C">
        <w:rPr>
          <w:rFonts w:ascii="Arial" w:hAnsi="Arial" w:cs="Arial"/>
          <w:sz w:val="20"/>
          <w:szCs w:val="20"/>
          <w:lang w:val="bg-BG"/>
        </w:rPr>
        <w:t>те</w:t>
      </w:r>
      <w:r w:rsidRPr="008A386D">
        <w:rPr>
          <w:rFonts w:ascii="Arial" w:hAnsi="Arial" w:cs="Arial"/>
          <w:sz w:val="20"/>
          <w:szCs w:val="20"/>
          <w:lang w:val="bg-BG"/>
        </w:rPr>
        <w:t xml:space="preserve"> в</w:t>
      </w:r>
      <w:r w:rsidR="007F2C0C">
        <w:rPr>
          <w:rFonts w:ascii="Arial" w:hAnsi="Arial" w:cs="Arial"/>
          <w:sz w:val="20"/>
          <w:szCs w:val="20"/>
          <w:lang w:val="bg-BG"/>
        </w:rPr>
        <w:t xml:space="preserve"> </w:t>
      </w:r>
      <w:r w:rsidR="00B57635">
        <w:rPr>
          <w:rFonts w:ascii="Arial" w:hAnsi="Arial" w:cs="Arial"/>
          <w:sz w:val="20"/>
          <w:szCs w:val="20"/>
          <w:lang w:val="bg-BG"/>
        </w:rPr>
        <w:t>реконструкция</w:t>
      </w:r>
      <w:r w:rsidR="00B57635" w:rsidRPr="008A386D">
        <w:rPr>
          <w:rFonts w:ascii="Arial" w:hAnsi="Arial" w:cs="Arial"/>
          <w:sz w:val="20"/>
          <w:szCs w:val="20"/>
          <w:lang w:val="bg-BG"/>
        </w:rPr>
        <w:t xml:space="preserve"> </w:t>
      </w:r>
      <w:r w:rsidRPr="008A386D">
        <w:rPr>
          <w:rFonts w:ascii="Arial" w:hAnsi="Arial" w:cs="Arial"/>
          <w:sz w:val="20"/>
          <w:szCs w:val="20"/>
          <w:lang w:val="bg-BG"/>
        </w:rPr>
        <w:t xml:space="preserve">на съществуващата инфраструктура </w:t>
      </w:r>
      <w:r w:rsidR="00512E67">
        <w:rPr>
          <w:rFonts w:ascii="Arial" w:hAnsi="Arial" w:cs="Arial"/>
          <w:sz w:val="20"/>
          <w:szCs w:val="20"/>
          <w:lang w:val="bg-BG"/>
        </w:rPr>
        <w:t>следва да</w:t>
      </w:r>
      <w:r w:rsidR="00512E67" w:rsidRPr="008A386D">
        <w:rPr>
          <w:rFonts w:ascii="Arial" w:hAnsi="Arial" w:cs="Arial"/>
          <w:sz w:val="20"/>
          <w:szCs w:val="20"/>
          <w:lang w:val="bg-BG"/>
        </w:rPr>
        <w:t xml:space="preserve"> </w:t>
      </w:r>
      <w:r w:rsidRPr="008A386D">
        <w:rPr>
          <w:rFonts w:ascii="Arial" w:hAnsi="Arial" w:cs="Arial"/>
          <w:sz w:val="20"/>
          <w:szCs w:val="20"/>
          <w:lang w:val="bg-BG"/>
        </w:rPr>
        <w:t xml:space="preserve">подобрят ефективността на водоснабдителните мрежи и </w:t>
      </w:r>
      <w:r w:rsidR="00512E67">
        <w:rPr>
          <w:rFonts w:ascii="Arial" w:hAnsi="Arial" w:cs="Arial"/>
          <w:sz w:val="20"/>
          <w:szCs w:val="20"/>
          <w:lang w:val="bg-BG"/>
        </w:rPr>
        <w:t>да</w:t>
      </w:r>
      <w:r w:rsidR="00512E67" w:rsidRPr="008A386D">
        <w:rPr>
          <w:rFonts w:ascii="Arial" w:hAnsi="Arial" w:cs="Arial"/>
          <w:sz w:val="20"/>
          <w:szCs w:val="20"/>
          <w:lang w:val="bg-BG"/>
        </w:rPr>
        <w:t xml:space="preserve"> </w:t>
      </w:r>
      <w:r w:rsidRPr="008A386D">
        <w:rPr>
          <w:rFonts w:ascii="Arial" w:hAnsi="Arial" w:cs="Arial"/>
          <w:sz w:val="20"/>
          <w:szCs w:val="20"/>
          <w:lang w:val="bg-BG"/>
        </w:rPr>
        <w:t>намалят загубите на вода. Конкретният принос по отношение намаляване</w:t>
      </w:r>
      <w:r>
        <w:rPr>
          <w:rFonts w:ascii="Arial" w:hAnsi="Arial" w:cs="Arial"/>
          <w:sz w:val="20"/>
          <w:szCs w:val="20"/>
          <w:lang w:val="bg-BG"/>
        </w:rPr>
        <w:t xml:space="preserve"> </w:t>
      </w:r>
      <w:r w:rsidR="007F2C0C">
        <w:rPr>
          <w:rFonts w:ascii="Arial" w:hAnsi="Arial" w:cs="Arial"/>
          <w:sz w:val="20"/>
          <w:szCs w:val="20"/>
          <w:lang w:val="bg-BG"/>
        </w:rPr>
        <w:t>загубите на вода,</w:t>
      </w:r>
      <w:r w:rsidRPr="008A386D">
        <w:rPr>
          <w:rFonts w:ascii="Arial" w:hAnsi="Arial" w:cs="Arial"/>
          <w:sz w:val="20"/>
          <w:szCs w:val="20"/>
          <w:lang w:val="bg-BG"/>
        </w:rPr>
        <w:t xml:space="preserve"> </w:t>
      </w:r>
      <w:r w:rsidR="007F2C0C" w:rsidRPr="007F2C0C">
        <w:rPr>
          <w:rFonts w:ascii="Arial" w:hAnsi="Arial" w:cs="Arial"/>
          <w:sz w:val="20"/>
          <w:szCs w:val="20"/>
          <w:lang w:val="bg-BG"/>
        </w:rPr>
        <w:t xml:space="preserve">където такива мерки са идентифицирани като приоритетни в </w:t>
      </w:r>
      <w:r w:rsidR="007F2C0C">
        <w:rPr>
          <w:rFonts w:ascii="Arial" w:hAnsi="Arial" w:cs="Arial"/>
          <w:sz w:val="20"/>
          <w:szCs w:val="20"/>
          <w:lang w:val="bg-BG"/>
        </w:rPr>
        <w:t>РПИП</w:t>
      </w:r>
      <w:r w:rsidR="007F2C0C" w:rsidRPr="007F2C0C">
        <w:rPr>
          <w:rFonts w:ascii="Arial" w:hAnsi="Arial" w:cs="Arial"/>
          <w:sz w:val="20"/>
          <w:szCs w:val="20"/>
          <w:lang w:val="bg-BG"/>
        </w:rPr>
        <w:t>, ще бъде отчетен на ниво проект. Допълващи подходящи метод</w:t>
      </w:r>
      <w:r w:rsidR="007F2C0C">
        <w:rPr>
          <w:rFonts w:ascii="Arial" w:hAnsi="Arial" w:cs="Arial"/>
          <w:sz w:val="20"/>
          <w:szCs w:val="20"/>
          <w:lang w:val="bg-BG"/>
        </w:rPr>
        <w:t xml:space="preserve">и за пречистване ще намалят или </w:t>
      </w:r>
      <w:r w:rsidR="007F2C0C" w:rsidRPr="007F2C0C">
        <w:rPr>
          <w:rFonts w:ascii="Arial" w:hAnsi="Arial" w:cs="Arial"/>
          <w:sz w:val="20"/>
          <w:szCs w:val="20"/>
          <w:lang w:val="bg-BG"/>
        </w:rPr>
        <w:t>отстранят риска от възникване на отклонения в качеството на водата, преди разпределението й в мрежата.</w:t>
      </w:r>
      <w:r w:rsidR="007F2C0C">
        <w:rPr>
          <w:rFonts w:ascii="Arial" w:hAnsi="Arial" w:cs="Arial"/>
          <w:sz w:val="20"/>
          <w:szCs w:val="20"/>
          <w:lang w:val="bg-BG"/>
        </w:rPr>
        <w:t xml:space="preserve"> </w:t>
      </w:r>
      <w:r w:rsidRPr="008A386D">
        <w:rPr>
          <w:rFonts w:ascii="Arial" w:hAnsi="Arial" w:cs="Arial"/>
          <w:sz w:val="20"/>
          <w:szCs w:val="20"/>
          <w:lang w:val="bg-BG"/>
        </w:rPr>
        <w:t xml:space="preserve">Чрез тези инвестиции ОПОС 2014-2020 г. има за цел също така </w:t>
      </w:r>
      <w:r w:rsidR="007F2C0C">
        <w:rPr>
          <w:rFonts w:ascii="Arial" w:hAnsi="Arial" w:cs="Arial"/>
          <w:sz w:val="20"/>
          <w:szCs w:val="20"/>
          <w:lang w:val="bg-BG"/>
        </w:rPr>
        <w:t xml:space="preserve">да подпомогне </w:t>
      </w:r>
      <w:r w:rsidR="007F2C0C" w:rsidRPr="007F2C0C">
        <w:rPr>
          <w:rFonts w:ascii="Arial" w:hAnsi="Arial" w:cs="Arial"/>
          <w:sz w:val="20"/>
          <w:szCs w:val="20"/>
          <w:lang w:val="bg-BG"/>
        </w:rPr>
        <w:t xml:space="preserve">процеса </w:t>
      </w:r>
      <w:r w:rsidR="007F2C0C">
        <w:rPr>
          <w:rFonts w:ascii="Arial" w:hAnsi="Arial" w:cs="Arial"/>
          <w:sz w:val="20"/>
          <w:szCs w:val="20"/>
          <w:lang w:val="bg-BG"/>
        </w:rPr>
        <w:t xml:space="preserve">по приключване на ВиК реформата </w:t>
      </w:r>
      <w:r w:rsidR="007F2C0C" w:rsidRPr="007F2C0C">
        <w:rPr>
          <w:rFonts w:ascii="Arial" w:hAnsi="Arial" w:cs="Arial"/>
          <w:sz w:val="20"/>
          <w:szCs w:val="20"/>
          <w:lang w:val="bg-BG"/>
        </w:rPr>
        <w:t xml:space="preserve">в страната и </w:t>
      </w:r>
      <w:r w:rsidR="007F2C0C">
        <w:rPr>
          <w:rFonts w:ascii="Arial" w:hAnsi="Arial" w:cs="Arial"/>
          <w:sz w:val="20"/>
          <w:szCs w:val="20"/>
          <w:lang w:val="bg-BG"/>
        </w:rPr>
        <w:t xml:space="preserve">да допринесе за </w:t>
      </w:r>
      <w:r w:rsidR="007F2C0C" w:rsidRPr="007F2C0C">
        <w:rPr>
          <w:rFonts w:ascii="Arial" w:hAnsi="Arial" w:cs="Arial"/>
          <w:sz w:val="20"/>
          <w:szCs w:val="20"/>
          <w:lang w:val="bg-BG"/>
        </w:rPr>
        <w:t>укрепване на капацитета на заинтересованите страни.</w:t>
      </w:r>
    </w:p>
    <w:p w14:paraId="6404919E" w14:textId="77777777" w:rsidR="007F2C0C" w:rsidRPr="008A386D" w:rsidRDefault="007F2C0C" w:rsidP="00E46EA9">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При предоставяне</w:t>
      </w:r>
      <w:r w:rsidRPr="008A386D">
        <w:rPr>
          <w:rFonts w:ascii="Arial" w:hAnsi="Arial" w:cs="Arial"/>
          <w:sz w:val="20"/>
          <w:szCs w:val="20"/>
          <w:lang w:val="bg-BG"/>
        </w:rPr>
        <w:t xml:space="preserve"> на фин</w:t>
      </w:r>
      <w:r>
        <w:rPr>
          <w:rFonts w:ascii="Arial" w:hAnsi="Arial" w:cs="Arial"/>
          <w:sz w:val="20"/>
          <w:szCs w:val="20"/>
          <w:lang w:val="bg-BG"/>
        </w:rPr>
        <w:t xml:space="preserve">ансиране по тази </w:t>
      </w:r>
      <w:r w:rsidR="00F950F3">
        <w:rPr>
          <w:rFonts w:ascii="Arial" w:hAnsi="Arial" w:cs="Arial"/>
          <w:sz w:val="20"/>
          <w:szCs w:val="20"/>
          <w:lang w:val="bg-BG"/>
        </w:rPr>
        <w:t>приоритетна ос</w:t>
      </w:r>
      <w:r>
        <w:rPr>
          <w:rFonts w:ascii="Arial" w:hAnsi="Arial" w:cs="Arial"/>
          <w:sz w:val="20"/>
          <w:szCs w:val="20"/>
          <w:lang w:val="bg-BG"/>
        </w:rPr>
        <w:t>, предвидените ФИ ще се използват</w:t>
      </w:r>
      <w:r w:rsidRPr="008A386D">
        <w:rPr>
          <w:rFonts w:ascii="Arial" w:hAnsi="Arial" w:cs="Arial"/>
          <w:sz w:val="20"/>
          <w:szCs w:val="20"/>
          <w:lang w:val="bg-BG"/>
        </w:rPr>
        <w:t xml:space="preserve"> за дейности, отговарящи на условията по чл.37 от Регламент (ЕС) №1303/2013, т.е. </w:t>
      </w:r>
      <w:r w:rsidR="00F950F3">
        <w:rPr>
          <w:rFonts w:ascii="Arial" w:hAnsi="Arial" w:cs="Arial"/>
          <w:sz w:val="20"/>
          <w:szCs w:val="20"/>
          <w:lang w:val="bg-BG"/>
        </w:rPr>
        <w:t xml:space="preserve">подкрепа на </w:t>
      </w:r>
      <w:r w:rsidRPr="008A386D">
        <w:rPr>
          <w:rFonts w:ascii="Arial" w:hAnsi="Arial" w:cs="Arial"/>
          <w:sz w:val="20"/>
          <w:szCs w:val="20"/>
          <w:lang w:val="bg-BG"/>
        </w:rPr>
        <w:t>инвестиции, които се очаква да бъдат финансово жизнеспособни, но не са в състояние да си осигурят достатъчно финансиране от пазарни</w:t>
      </w:r>
      <w:r>
        <w:rPr>
          <w:rFonts w:ascii="Arial" w:hAnsi="Arial" w:cs="Arial"/>
          <w:sz w:val="20"/>
          <w:szCs w:val="20"/>
          <w:lang w:val="bg-BG"/>
        </w:rPr>
        <w:t>те</w:t>
      </w:r>
      <w:r w:rsidRPr="008A386D">
        <w:rPr>
          <w:rFonts w:ascii="Arial" w:hAnsi="Arial" w:cs="Arial"/>
          <w:sz w:val="20"/>
          <w:szCs w:val="20"/>
          <w:lang w:val="bg-BG"/>
        </w:rPr>
        <w:t xml:space="preserve"> източници.</w:t>
      </w:r>
    </w:p>
    <w:p w14:paraId="1E533F2E" w14:textId="77777777" w:rsidR="002B75B1" w:rsidRPr="00DD2F15" w:rsidRDefault="00F950F3" w:rsidP="00E46EA9">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 xml:space="preserve">Финансовият инструмент </w:t>
      </w:r>
      <w:r w:rsidR="00DD2F15">
        <w:rPr>
          <w:rFonts w:ascii="Arial" w:hAnsi="Arial" w:cs="Arial"/>
          <w:sz w:val="20"/>
          <w:szCs w:val="20"/>
          <w:lang w:val="bg-BG"/>
        </w:rPr>
        <w:t>по ПО 1 има следните цели</w:t>
      </w:r>
      <w:r w:rsidR="002B75B1" w:rsidRPr="00DD2F15">
        <w:rPr>
          <w:rFonts w:ascii="Arial" w:hAnsi="Arial" w:cs="Arial"/>
          <w:sz w:val="20"/>
          <w:szCs w:val="20"/>
          <w:lang w:val="bg-BG"/>
        </w:rPr>
        <w:t>:</w:t>
      </w:r>
    </w:p>
    <w:p w14:paraId="7AAB86F2" w14:textId="77777777" w:rsidR="002B75B1" w:rsidRPr="00DD2F15" w:rsidRDefault="00DD2F15" w:rsidP="00500886">
      <w:pPr>
        <w:pStyle w:val="ListParagraph"/>
        <w:numPr>
          <w:ilvl w:val="0"/>
          <w:numId w:val="75"/>
        </w:numPr>
        <w:spacing w:after="120"/>
        <w:contextualSpacing w:val="0"/>
        <w:jc w:val="both"/>
        <w:rPr>
          <w:rFonts w:ascii="Arial" w:hAnsi="Arial" w:cs="Arial"/>
          <w:sz w:val="20"/>
          <w:szCs w:val="20"/>
          <w:lang w:val="bg-BG"/>
        </w:rPr>
      </w:pPr>
      <w:r>
        <w:rPr>
          <w:rFonts w:ascii="Arial" w:hAnsi="Arial" w:cs="Arial"/>
          <w:sz w:val="20"/>
          <w:szCs w:val="20"/>
          <w:lang w:val="bg-BG"/>
        </w:rPr>
        <w:t xml:space="preserve">Да предоставя финансиране за </w:t>
      </w:r>
      <w:r w:rsidR="00AE4735">
        <w:rPr>
          <w:rFonts w:ascii="Arial" w:hAnsi="Arial" w:cs="Arial"/>
          <w:sz w:val="20"/>
          <w:szCs w:val="20"/>
          <w:lang w:val="bg-BG"/>
        </w:rPr>
        <w:t xml:space="preserve">част от разходите за </w:t>
      </w:r>
      <w:r>
        <w:rPr>
          <w:rFonts w:ascii="Arial" w:hAnsi="Arial" w:cs="Arial"/>
          <w:sz w:val="20"/>
          <w:szCs w:val="20"/>
          <w:lang w:val="bg-BG"/>
        </w:rPr>
        <w:t>инвестиции</w:t>
      </w:r>
      <w:r w:rsidR="00DB59EA" w:rsidRPr="00DD2F15">
        <w:rPr>
          <w:rFonts w:ascii="Arial" w:hAnsi="Arial" w:cs="Arial"/>
          <w:sz w:val="20"/>
          <w:szCs w:val="20"/>
          <w:lang w:val="bg-BG"/>
        </w:rPr>
        <w:t>,</w:t>
      </w:r>
      <w:r w:rsidR="002B75B1" w:rsidRPr="00DD2F15">
        <w:rPr>
          <w:rFonts w:ascii="Arial" w:hAnsi="Arial" w:cs="Arial"/>
          <w:sz w:val="20"/>
          <w:szCs w:val="20"/>
          <w:lang w:val="bg-BG"/>
        </w:rPr>
        <w:t xml:space="preserve"> </w:t>
      </w:r>
      <w:r>
        <w:rPr>
          <w:rFonts w:ascii="Arial" w:hAnsi="Arial" w:cs="Arial"/>
          <w:sz w:val="20"/>
          <w:szCs w:val="20"/>
          <w:lang w:val="bg-BG"/>
        </w:rPr>
        <w:t>които ще бъдат подпомогнати чрез безвъзмездна финансова помощ</w:t>
      </w:r>
      <w:r w:rsidR="00500886">
        <w:rPr>
          <w:rFonts w:ascii="Arial" w:hAnsi="Arial" w:cs="Arial"/>
          <w:sz w:val="20"/>
          <w:szCs w:val="20"/>
          <w:lang w:val="bg-BG"/>
        </w:rPr>
        <w:t>, при условията</w:t>
      </w:r>
      <w:r w:rsidR="006B12A4">
        <w:rPr>
          <w:rFonts w:ascii="Arial" w:hAnsi="Arial" w:cs="Arial"/>
          <w:sz w:val="20"/>
          <w:szCs w:val="20"/>
          <w:lang w:val="bg-BG"/>
        </w:rPr>
        <w:t>,</w:t>
      </w:r>
      <w:r w:rsidR="00500886">
        <w:rPr>
          <w:rFonts w:ascii="Arial" w:hAnsi="Arial" w:cs="Arial"/>
          <w:sz w:val="20"/>
          <w:szCs w:val="20"/>
          <w:lang w:val="bg-BG"/>
        </w:rPr>
        <w:t xml:space="preserve"> описани по-горе</w:t>
      </w:r>
      <w:r w:rsidR="002B75B1" w:rsidRPr="00DD2F15">
        <w:rPr>
          <w:rFonts w:ascii="Arial" w:hAnsi="Arial" w:cs="Arial"/>
          <w:sz w:val="20"/>
          <w:szCs w:val="20"/>
          <w:lang w:val="bg-BG"/>
        </w:rPr>
        <w:t xml:space="preserve"> (</w:t>
      </w:r>
      <w:r>
        <w:rPr>
          <w:rFonts w:ascii="Arial" w:hAnsi="Arial" w:cs="Arial"/>
          <w:sz w:val="20"/>
          <w:szCs w:val="20"/>
          <w:lang w:val="bg-BG"/>
        </w:rPr>
        <w:t>конкретните проекти ще се определят в РПИП</w:t>
      </w:r>
      <w:r w:rsidR="002B75B1" w:rsidRPr="00DD2F15">
        <w:rPr>
          <w:rFonts w:ascii="Arial" w:hAnsi="Arial" w:cs="Arial"/>
          <w:sz w:val="20"/>
          <w:szCs w:val="20"/>
          <w:lang w:val="bg-BG"/>
        </w:rPr>
        <w:t>)</w:t>
      </w:r>
      <w:r>
        <w:rPr>
          <w:rFonts w:ascii="Arial" w:hAnsi="Arial" w:cs="Arial"/>
          <w:sz w:val="20"/>
          <w:szCs w:val="20"/>
          <w:lang w:val="bg-BG"/>
        </w:rPr>
        <w:t>;</w:t>
      </w:r>
    </w:p>
    <w:p w14:paraId="2164FDCF" w14:textId="77777777" w:rsidR="000246EC" w:rsidRPr="00DD2F15" w:rsidRDefault="00DD2F15" w:rsidP="00500886">
      <w:pPr>
        <w:pStyle w:val="ListParagraph"/>
        <w:numPr>
          <w:ilvl w:val="0"/>
          <w:numId w:val="75"/>
        </w:numPr>
        <w:spacing w:after="120"/>
        <w:contextualSpacing w:val="0"/>
        <w:jc w:val="both"/>
        <w:rPr>
          <w:rFonts w:ascii="Arial" w:hAnsi="Arial" w:cs="Arial"/>
          <w:sz w:val="20"/>
          <w:szCs w:val="20"/>
          <w:lang w:val="bg-BG"/>
        </w:rPr>
      </w:pPr>
      <w:r>
        <w:rPr>
          <w:rFonts w:ascii="Arial" w:hAnsi="Arial" w:cs="Arial"/>
          <w:sz w:val="20"/>
          <w:szCs w:val="20"/>
          <w:lang w:val="bg-BG"/>
        </w:rPr>
        <w:t>Да предоставя финансиране за допустими и финансово жизнеспособни инвестиции във ВиК сектора</w:t>
      </w:r>
      <w:r w:rsidR="007544B0">
        <w:rPr>
          <w:rFonts w:ascii="Arial" w:hAnsi="Arial" w:cs="Arial"/>
          <w:sz w:val="20"/>
          <w:szCs w:val="20"/>
          <w:lang w:val="bg-BG"/>
        </w:rPr>
        <w:t>, съответстващи на допустимите дейности по ПО 1</w:t>
      </w:r>
      <w:r>
        <w:rPr>
          <w:rFonts w:ascii="Arial" w:hAnsi="Arial" w:cs="Arial"/>
          <w:sz w:val="20"/>
          <w:szCs w:val="20"/>
          <w:lang w:val="bg-BG"/>
        </w:rPr>
        <w:t xml:space="preserve">, които няма да бъдат подпомогнати </w:t>
      </w:r>
      <w:r w:rsidR="00134BE3">
        <w:rPr>
          <w:rFonts w:ascii="Arial" w:hAnsi="Arial" w:cs="Arial"/>
          <w:sz w:val="20"/>
          <w:szCs w:val="20"/>
          <w:lang w:val="bg-BG"/>
        </w:rPr>
        <w:t>чрез</w:t>
      </w:r>
      <w:r>
        <w:rPr>
          <w:rFonts w:ascii="Arial" w:hAnsi="Arial" w:cs="Arial"/>
          <w:sz w:val="20"/>
          <w:szCs w:val="20"/>
          <w:lang w:val="bg-BG"/>
        </w:rPr>
        <w:t xml:space="preserve"> безвъзмездна финансова помощ.</w:t>
      </w:r>
    </w:p>
    <w:p w14:paraId="3A69A679" w14:textId="77777777" w:rsidR="00D838C0" w:rsidRDefault="00D838C0" w:rsidP="000C6AEA">
      <w:pPr>
        <w:pStyle w:val="Heading3"/>
        <w:ind w:firstLine="720"/>
        <w:rPr>
          <w:rFonts w:ascii="Arial" w:hAnsi="Arial" w:cs="Arial"/>
          <w:b/>
          <w:color w:val="4F81BD" w:themeColor="accent1"/>
          <w:sz w:val="20"/>
          <w:szCs w:val="20"/>
          <w:lang w:val="bg-BG"/>
        </w:rPr>
      </w:pPr>
    </w:p>
    <w:p w14:paraId="0224333F" w14:textId="77777777" w:rsidR="008B2C46" w:rsidRDefault="003F6C2F" w:rsidP="000C6AEA">
      <w:pPr>
        <w:pStyle w:val="Heading3"/>
        <w:ind w:firstLine="720"/>
        <w:rPr>
          <w:rFonts w:ascii="Arial" w:hAnsi="Arial" w:cs="Arial"/>
          <w:b/>
          <w:color w:val="4F81BD" w:themeColor="accent1"/>
          <w:sz w:val="20"/>
          <w:szCs w:val="20"/>
          <w:lang w:val="bg-BG"/>
        </w:rPr>
      </w:pPr>
      <w:bookmarkStart w:id="7" w:name="_Toc503798468"/>
      <w:r w:rsidRPr="004D096B">
        <w:rPr>
          <w:rFonts w:ascii="Arial" w:hAnsi="Arial" w:cs="Arial"/>
          <w:b/>
          <w:color w:val="4F81BD" w:themeColor="accent1"/>
          <w:sz w:val="20"/>
          <w:szCs w:val="20"/>
          <w:lang w:val="bg-BG"/>
        </w:rPr>
        <w:t xml:space="preserve">2.3 </w:t>
      </w:r>
      <w:r w:rsidR="009A2953">
        <w:rPr>
          <w:rFonts w:ascii="Arial" w:hAnsi="Arial" w:cs="Arial"/>
          <w:b/>
          <w:color w:val="4F81BD" w:themeColor="accent1"/>
          <w:sz w:val="20"/>
          <w:szCs w:val="20"/>
          <w:lang w:val="bg-BG"/>
        </w:rPr>
        <w:t>Регулаторна рамка и стратегически документи</w:t>
      </w:r>
      <w:bookmarkEnd w:id="7"/>
    </w:p>
    <w:p w14:paraId="41CEAFB5" w14:textId="77777777" w:rsidR="00E614DC" w:rsidRPr="00E614DC" w:rsidRDefault="00E614DC" w:rsidP="008B5547">
      <w:pPr>
        <w:spacing w:after="0" w:line="240" w:lineRule="auto"/>
        <w:rPr>
          <w:lang w:val="bg-BG"/>
        </w:rPr>
      </w:pPr>
    </w:p>
    <w:p w14:paraId="313798F6" w14:textId="77777777" w:rsidR="004D096B" w:rsidRPr="004D096B" w:rsidRDefault="004D096B" w:rsidP="00CD3586">
      <w:pPr>
        <w:spacing w:after="120"/>
        <w:jc w:val="both"/>
        <w:rPr>
          <w:rFonts w:ascii="Arial" w:hAnsi="Arial" w:cs="Arial"/>
          <w:sz w:val="20"/>
          <w:szCs w:val="20"/>
          <w:lang w:val="bg-BG"/>
        </w:rPr>
      </w:pPr>
      <w:r>
        <w:rPr>
          <w:rFonts w:ascii="Arial" w:hAnsi="Arial" w:cs="Arial"/>
          <w:sz w:val="20"/>
          <w:szCs w:val="20"/>
          <w:lang w:val="bg-BG"/>
        </w:rPr>
        <w:t xml:space="preserve">ВиК секторът в България се урежда от редица регулаторни и правни документи, основните от които са Законът за </w:t>
      </w:r>
      <w:r w:rsidR="001B60F1">
        <w:rPr>
          <w:rFonts w:ascii="Arial" w:hAnsi="Arial" w:cs="Arial"/>
          <w:sz w:val="20"/>
          <w:szCs w:val="20"/>
          <w:lang w:val="bg-BG"/>
        </w:rPr>
        <w:t>водите</w:t>
      </w:r>
      <w:r>
        <w:rPr>
          <w:rStyle w:val="FootnoteReference"/>
          <w:rFonts w:ascii="Arial" w:hAnsi="Arial" w:cs="Arial"/>
          <w:sz w:val="20"/>
          <w:szCs w:val="20"/>
        </w:rPr>
        <w:footnoteReference w:id="11"/>
      </w:r>
      <w:r>
        <w:rPr>
          <w:rFonts w:ascii="Arial" w:hAnsi="Arial" w:cs="Arial"/>
          <w:sz w:val="20"/>
          <w:szCs w:val="20"/>
          <w:lang w:val="bg-BG"/>
        </w:rPr>
        <w:t xml:space="preserve"> и </w:t>
      </w:r>
      <w:r w:rsidRPr="005F6EBE">
        <w:rPr>
          <w:rFonts w:ascii="Arial" w:hAnsi="Arial" w:cs="Arial"/>
          <w:sz w:val="20"/>
          <w:szCs w:val="20"/>
          <w:lang w:val="bg-BG"/>
        </w:rPr>
        <w:t>Закон</w:t>
      </w:r>
      <w:r>
        <w:rPr>
          <w:rFonts w:ascii="Arial" w:hAnsi="Arial" w:cs="Arial"/>
          <w:sz w:val="20"/>
          <w:szCs w:val="20"/>
          <w:lang w:val="bg-BG"/>
        </w:rPr>
        <w:t>ът</w:t>
      </w:r>
      <w:r w:rsidRPr="005F6EBE">
        <w:rPr>
          <w:rFonts w:ascii="Arial" w:hAnsi="Arial" w:cs="Arial"/>
          <w:sz w:val="20"/>
          <w:szCs w:val="20"/>
          <w:lang w:val="bg-BG"/>
        </w:rPr>
        <w:t xml:space="preserve"> за регулиране на водоснабдителните и канализационните услуги</w:t>
      </w:r>
      <w:r w:rsidRPr="005F6EBE">
        <w:rPr>
          <w:rStyle w:val="FootnoteReference"/>
          <w:rFonts w:ascii="Arial" w:hAnsi="Arial" w:cs="Arial"/>
          <w:sz w:val="20"/>
          <w:szCs w:val="20"/>
        </w:rPr>
        <w:footnoteReference w:id="12"/>
      </w:r>
      <w:r w:rsidRPr="0051416F">
        <w:rPr>
          <w:rFonts w:ascii="Arial" w:hAnsi="Arial" w:cs="Arial"/>
          <w:sz w:val="20"/>
          <w:szCs w:val="20"/>
          <w:lang w:val="bg-BG"/>
        </w:rPr>
        <w:t>.</w:t>
      </w:r>
      <w:r w:rsidRPr="005F6EBE">
        <w:rPr>
          <w:rFonts w:ascii="Arial" w:hAnsi="Arial" w:cs="Arial"/>
          <w:sz w:val="20"/>
          <w:szCs w:val="20"/>
          <w:lang w:val="bg-BG"/>
        </w:rPr>
        <w:t xml:space="preserve"> </w:t>
      </w:r>
      <w:r w:rsidR="007E344D">
        <w:rPr>
          <w:rFonts w:ascii="Arial" w:hAnsi="Arial" w:cs="Arial"/>
          <w:sz w:val="20"/>
          <w:szCs w:val="20"/>
          <w:lang w:val="bg-BG"/>
        </w:rPr>
        <w:t>К</w:t>
      </w:r>
      <w:r w:rsidR="007E344D" w:rsidRPr="007E344D">
        <w:rPr>
          <w:rFonts w:ascii="Arial" w:hAnsi="Arial" w:cs="Arial"/>
          <w:sz w:val="20"/>
          <w:szCs w:val="20"/>
          <w:lang w:val="bg-BG"/>
        </w:rPr>
        <w:t>лючовите проблеми и стратегическите цели на сектора</w:t>
      </w:r>
      <w:r>
        <w:rPr>
          <w:rFonts w:ascii="Arial" w:hAnsi="Arial" w:cs="Arial"/>
          <w:sz w:val="20"/>
          <w:szCs w:val="20"/>
          <w:lang w:val="bg-BG"/>
        </w:rPr>
        <w:t xml:space="preserve"> </w:t>
      </w:r>
      <w:r w:rsidR="007E344D">
        <w:rPr>
          <w:rFonts w:ascii="Arial" w:hAnsi="Arial" w:cs="Arial"/>
          <w:sz w:val="20"/>
          <w:szCs w:val="20"/>
          <w:lang w:val="bg-BG"/>
        </w:rPr>
        <w:t xml:space="preserve">са очертани в </w:t>
      </w:r>
      <w:r w:rsidR="006624B7">
        <w:rPr>
          <w:rFonts w:ascii="Arial" w:hAnsi="Arial" w:cs="Arial"/>
          <w:sz w:val="20"/>
          <w:szCs w:val="20"/>
          <w:lang w:val="bg-BG"/>
        </w:rPr>
        <w:t>„</w:t>
      </w:r>
      <w:r w:rsidRPr="004A3BD1">
        <w:rPr>
          <w:rFonts w:ascii="Arial" w:hAnsi="Arial" w:cs="Arial"/>
          <w:sz w:val="20"/>
          <w:szCs w:val="20"/>
          <w:lang w:val="bg-BG"/>
        </w:rPr>
        <w:t xml:space="preserve">Стратегията за управление и развитие на водоснабдяването и канализацията в </w:t>
      </w:r>
      <w:r>
        <w:rPr>
          <w:rFonts w:ascii="Arial" w:hAnsi="Arial" w:cs="Arial"/>
          <w:sz w:val="20"/>
          <w:szCs w:val="20"/>
          <w:lang w:val="bg-BG"/>
        </w:rPr>
        <w:t>Република България 2014-2023 г.</w:t>
      </w:r>
      <w:r w:rsidR="006624B7">
        <w:rPr>
          <w:rFonts w:ascii="Arial" w:hAnsi="Arial" w:cs="Arial"/>
          <w:sz w:val="20"/>
          <w:szCs w:val="20"/>
          <w:lang w:val="bg-BG"/>
        </w:rPr>
        <w:t>“</w:t>
      </w:r>
      <w:r>
        <w:rPr>
          <w:rFonts w:ascii="Arial" w:hAnsi="Arial" w:cs="Arial"/>
          <w:sz w:val="20"/>
          <w:szCs w:val="20"/>
          <w:lang w:val="bg-BG"/>
        </w:rPr>
        <w:t>.</w:t>
      </w:r>
    </w:p>
    <w:p w14:paraId="3CF3D68E" w14:textId="77777777" w:rsidR="005D0016" w:rsidRDefault="001926F1" w:rsidP="005D0016">
      <w:pPr>
        <w:spacing w:after="120"/>
        <w:jc w:val="both"/>
        <w:rPr>
          <w:rFonts w:ascii="Arial" w:hAnsi="Arial" w:cs="Arial"/>
          <w:sz w:val="20"/>
          <w:szCs w:val="20"/>
          <w:lang w:val="bg-BG"/>
        </w:rPr>
      </w:pPr>
      <w:r>
        <w:rPr>
          <w:rFonts w:ascii="Arial" w:hAnsi="Arial" w:cs="Arial"/>
          <w:sz w:val="20"/>
          <w:szCs w:val="20"/>
          <w:lang w:val="bg-BG"/>
        </w:rPr>
        <w:t>На 22</w:t>
      </w:r>
      <w:r w:rsidR="00AC04CD" w:rsidRPr="00AC04CD">
        <w:rPr>
          <w:rFonts w:ascii="Arial" w:hAnsi="Arial" w:cs="Arial"/>
          <w:sz w:val="20"/>
          <w:szCs w:val="20"/>
          <w:lang w:val="bg-BG"/>
        </w:rPr>
        <w:t xml:space="preserve"> януари </w:t>
      </w:r>
      <w:r w:rsidRPr="00AC04CD">
        <w:rPr>
          <w:rFonts w:ascii="Arial" w:hAnsi="Arial" w:cs="Arial"/>
          <w:sz w:val="20"/>
          <w:szCs w:val="20"/>
          <w:lang w:val="bg-BG"/>
        </w:rPr>
        <w:t>201</w:t>
      </w:r>
      <w:r>
        <w:rPr>
          <w:rFonts w:ascii="Arial" w:hAnsi="Arial" w:cs="Arial"/>
          <w:sz w:val="20"/>
          <w:szCs w:val="20"/>
          <w:lang w:val="bg-BG"/>
        </w:rPr>
        <w:t>6</w:t>
      </w:r>
      <w:r w:rsidRPr="00AC04CD">
        <w:rPr>
          <w:rFonts w:ascii="Arial" w:hAnsi="Arial" w:cs="Arial"/>
          <w:sz w:val="20"/>
          <w:szCs w:val="20"/>
          <w:lang w:val="bg-BG"/>
        </w:rPr>
        <w:t xml:space="preserve"> </w:t>
      </w:r>
      <w:r w:rsidR="00AC04CD" w:rsidRPr="00AC04CD">
        <w:rPr>
          <w:rFonts w:ascii="Arial" w:hAnsi="Arial" w:cs="Arial"/>
          <w:sz w:val="20"/>
          <w:szCs w:val="20"/>
          <w:lang w:val="bg-BG"/>
        </w:rPr>
        <w:t>г</w:t>
      </w:r>
      <w:r w:rsidR="00AC04CD">
        <w:rPr>
          <w:rFonts w:ascii="Arial" w:hAnsi="Arial" w:cs="Arial"/>
          <w:sz w:val="20"/>
          <w:szCs w:val="20"/>
          <w:lang w:val="bg-BG"/>
        </w:rPr>
        <w:t xml:space="preserve">. </w:t>
      </w:r>
      <w:r w:rsidR="00512E67">
        <w:rPr>
          <w:rFonts w:ascii="Arial" w:hAnsi="Arial" w:cs="Arial"/>
          <w:sz w:val="20"/>
          <w:szCs w:val="20"/>
          <w:lang w:val="bg-BG"/>
        </w:rPr>
        <w:t>вл</w:t>
      </w:r>
      <w:r w:rsidR="008F6A69">
        <w:rPr>
          <w:rFonts w:ascii="Arial" w:hAnsi="Arial" w:cs="Arial"/>
          <w:sz w:val="20"/>
          <w:szCs w:val="20"/>
          <w:lang w:val="bg-BG"/>
        </w:rPr>
        <w:t>изат</w:t>
      </w:r>
      <w:r w:rsidR="00AC04CD">
        <w:rPr>
          <w:rFonts w:ascii="Arial" w:hAnsi="Arial" w:cs="Arial"/>
          <w:sz w:val="20"/>
          <w:szCs w:val="20"/>
          <w:lang w:val="bg-BG"/>
        </w:rPr>
        <w:t xml:space="preserve"> в сила следните нови </w:t>
      </w:r>
      <w:r w:rsidR="00A15119">
        <w:rPr>
          <w:rFonts w:ascii="Arial" w:hAnsi="Arial" w:cs="Arial"/>
          <w:sz w:val="20"/>
          <w:szCs w:val="20"/>
          <w:lang w:val="bg-BG"/>
        </w:rPr>
        <w:t>подзаконови актове</w:t>
      </w:r>
      <w:r w:rsidR="008058E4">
        <w:rPr>
          <w:rFonts w:ascii="Arial" w:hAnsi="Arial" w:cs="Arial"/>
          <w:sz w:val="20"/>
          <w:szCs w:val="20"/>
          <w:lang w:val="bg-BG"/>
        </w:rPr>
        <w:t xml:space="preserve">: </w:t>
      </w:r>
      <w:r w:rsidR="00AC04CD" w:rsidRPr="00AC04CD">
        <w:rPr>
          <w:rFonts w:ascii="Arial" w:hAnsi="Arial" w:cs="Arial"/>
          <w:sz w:val="20"/>
          <w:szCs w:val="20"/>
          <w:lang w:val="bg-BG"/>
        </w:rPr>
        <w:t>Наредба</w:t>
      </w:r>
      <w:r w:rsidR="00CF190A">
        <w:rPr>
          <w:rFonts w:ascii="Arial" w:hAnsi="Arial" w:cs="Arial"/>
          <w:sz w:val="20"/>
          <w:szCs w:val="20"/>
          <w:lang w:val="bg-BG"/>
        </w:rPr>
        <w:t>та</w:t>
      </w:r>
      <w:r w:rsidR="00AC04CD" w:rsidRPr="00AC04CD">
        <w:rPr>
          <w:rFonts w:ascii="Arial" w:hAnsi="Arial" w:cs="Arial"/>
          <w:sz w:val="20"/>
          <w:szCs w:val="20"/>
          <w:lang w:val="bg-BG"/>
        </w:rPr>
        <w:t xml:space="preserve"> за регулиране на качеството на водоснабдителните и канализационните услуги и Наредба</w:t>
      </w:r>
      <w:r w:rsidR="00CF190A">
        <w:rPr>
          <w:rFonts w:ascii="Arial" w:hAnsi="Arial" w:cs="Arial"/>
          <w:sz w:val="20"/>
          <w:szCs w:val="20"/>
          <w:lang w:val="bg-BG"/>
        </w:rPr>
        <w:t>та</w:t>
      </w:r>
      <w:r w:rsidR="00AC04CD" w:rsidRPr="00AC04CD">
        <w:rPr>
          <w:rFonts w:ascii="Arial" w:hAnsi="Arial" w:cs="Arial"/>
          <w:sz w:val="20"/>
          <w:szCs w:val="20"/>
          <w:lang w:val="bg-BG"/>
        </w:rPr>
        <w:t xml:space="preserve"> за регулиране на цените на водоснабдителните и канализационните услуги</w:t>
      </w:r>
      <w:r w:rsidR="00512E67">
        <w:rPr>
          <w:rFonts w:ascii="Arial" w:hAnsi="Arial" w:cs="Arial"/>
          <w:sz w:val="20"/>
          <w:szCs w:val="20"/>
          <w:lang w:val="bg-BG"/>
        </w:rPr>
        <w:t xml:space="preserve">, които са ключови </w:t>
      </w:r>
      <w:r w:rsidR="00CF190A">
        <w:rPr>
          <w:rFonts w:ascii="Arial" w:hAnsi="Arial" w:cs="Arial"/>
          <w:sz w:val="20"/>
          <w:szCs w:val="20"/>
          <w:lang w:val="bg-BG"/>
        </w:rPr>
        <w:t>документи и по отношение на инвестициите, посочени в настоящата ИС</w:t>
      </w:r>
      <w:r w:rsidR="006B12A4">
        <w:rPr>
          <w:rFonts w:ascii="Arial" w:hAnsi="Arial" w:cs="Arial"/>
          <w:sz w:val="20"/>
          <w:szCs w:val="20"/>
          <w:lang w:val="bg-BG"/>
        </w:rPr>
        <w:t>,</w:t>
      </w:r>
      <w:r w:rsidR="00CF190A">
        <w:rPr>
          <w:rFonts w:ascii="Arial" w:hAnsi="Arial" w:cs="Arial"/>
          <w:sz w:val="20"/>
          <w:szCs w:val="20"/>
          <w:lang w:val="bg-BG"/>
        </w:rPr>
        <w:t xml:space="preserve"> и възможността на ВиКО да структурират финансово жизнеспособни проекти. </w:t>
      </w:r>
      <w:r w:rsidR="00981F01">
        <w:rPr>
          <w:rFonts w:ascii="Arial" w:hAnsi="Arial" w:cs="Arial"/>
          <w:sz w:val="20"/>
          <w:szCs w:val="20"/>
          <w:lang w:val="bg-BG"/>
        </w:rPr>
        <w:t>Ч</w:t>
      </w:r>
      <w:r w:rsidR="005D0016">
        <w:rPr>
          <w:rFonts w:ascii="Arial" w:hAnsi="Arial" w:cs="Arial"/>
          <w:sz w:val="20"/>
          <w:szCs w:val="20"/>
          <w:lang w:val="bg-BG"/>
        </w:rPr>
        <w:t xml:space="preserve">рез </w:t>
      </w:r>
      <w:r w:rsidR="00981F01">
        <w:rPr>
          <w:rFonts w:ascii="Arial" w:hAnsi="Arial" w:cs="Arial"/>
          <w:sz w:val="20"/>
          <w:szCs w:val="20"/>
          <w:lang w:val="bg-BG"/>
        </w:rPr>
        <w:t xml:space="preserve">посочените актове </w:t>
      </w:r>
      <w:r w:rsidR="005D0016">
        <w:rPr>
          <w:rFonts w:ascii="Arial" w:hAnsi="Arial" w:cs="Arial"/>
          <w:sz w:val="20"/>
          <w:szCs w:val="20"/>
          <w:lang w:val="bg-BG"/>
        </w:rPr>
        <w:t xml:space="preserve">се </w:t>
      </w:r>
      <w:r w:rsidR="00981F01">
        <w:rPr>
          <w:rFonts w:ascii="Arial" w:hAnsi="Arial" w:cs="Arial"/>
          <w:sz w:val="20"/>
          <w:szCs w:val="20"/>
          <w:lang w:val="bg-BG"/>
        </w:rPr>
        <w:t>въве</w:t>
      </w:r>
      <w:r w:rsidR="008F6A69">
        <w:rPr>
          <w:rFonts w:ascii="Arial" w:hAnsi="Arial" w:cs="Arial"/>
          <w:sz w:val="20"/>
          <w:szCs w:val="20"/>
          <w:lang w:val="bg-BG"/>
        </w:rPr>
        <w:t>жда</w:t>
      </w:r>
      <w:r w:rsidR="00981F01">
        <w:rPr>
          <w:rFonts w:ascii="Arial" w:hAnsi="Arial" w:cs="Arial"/>
          <w:sz w:val="20"/>
          <w:szCs w:val="20"/>
          <w:lang w:val="bg-BG"/>
        </w:rPr>
        <w:t xml:space="preserve"> </w:t>
      </w:r>
      <w:r w:rsidR="005D0016">
        <w:rPr>
          <w:rFonts w:ascii="Arial" w:hAnsi="Arial" w:cs="Arial"/>
          <w:sz w:val="20"/>
          <w:szCs w:val="20"/>
          <w:lang w:val="bg-BG"/>
        </w:rPr>
        <w:t xml:space="preserve">нов метод за ценообразуване на ВиК услугите, както и нови изисквания за ВиКО относно качеството на </w:t>
      </w:r>
      <w:r w:rsidR="00D838C0">
        <w:rPr>
          <w:rFonts w:ascii="Arial" w:hAnsi="Arial" w:cs="Arial"/>
          <w:sz w:val="20"/>
          <w:szCs w:val="20"/>
          <w:lang w:val="bg-BG"/>
        </w:rPr>
        <w:t xml:space="preserve">услугите за </w:t>
      </w:r>
      <w:r w:rsidR="005D0016">
        <w:rPr>
          <w:rFonts w:ascii="Arial" w:hAnsi="Arial" w:cs="Arial"/>
          <w:sz w:val="20"/>
          <w:szCs w:val="20"/>
          <w:lang w:val="bg-BG"/>
        </w:rPr>
        <w:t xml:space="preserve">водоснабдяване и пречистване на отпадъчните води. </w:t>
      </w:r>
      <w:r w:rsidR="003059F2">
        <w:rPr>
          <w:rFonts w:ascii="Arial" w:hAnsi="Arial" w:cs="Arial"/>
          <w:sz w:val="20"/>
          <w:szCs w:val="20"/>
          <w:lang w:val="bg-BG"/>
        </w:rPr>
        <w:t>Наредбите са приети в изпълнение</w:t>
      </w:r>
      <w:r w:rsidR="00CE22C3">
        <w:rPr>
          <w:rFonts w:ascii="Arial" w:hAnsi="Arial" w:cs="Arial"/>
          <w:sz w:val="20"/>
          <w:szCs w:val="20"/>
          <w:lang w:val="bg-BG"/>
        </w:rPr>
        <w:t xml:space="preserve"> на</w:t>
      </w:r>
      <w:r w:rsidR="005D0016">
        <w:rPr>
          <w:rFonts w:ascii="Arial" w:hAnsi="Arial" w:cs="Arial"/>
          <w:sz w:val="20"/>
          <w:szCs w:val="20"/>
          <w:lang w:val="bg-BG"/>
        </w:rPr>
        <w:t xml:space="preserve"> ЗВ и Закона за регулиране на водоснабдителните и канализационните услуги, </w:t>
      </w:r>
      <w:r w:rsidR="0028101E">
        <w:rPr>
          <w:rFonts w:ascii="Arial" w:hAnsi="Arial" w:cs="Arial"/>
          <w:sz w:val="20"/>
          <w:szCs w:val="20"/>
          <w:lang w:val="bg-BG"/>
        </w:rPr>
        <w:t xml:space="preserve">в съответствие с </w:t>
      </w:r>
      <w:r w:rsidR="005D0016">
        <w:rPr>
          <w:rFonts w:ascii="Arial" w:hAnsi="Arial" w:cs="Arial"/>
          <w:sz w:val="20"/>
          <w:szCs w:val="20"/>
          <w:lang w:val="bg-BG"/>
        </w:rPr>
        <w:t xml:space="preserve">най-добрите международни практики, изискванията на </w:t>
      </w:r>
      <w:r w:rsidR="00D61C7E">
        <w:rPr>
          <w:rFonts w:ascii="Arial" w:hAnsi="Arial" w:cs="Arial"/>
          <w:sz w:val="20"/>
          <w:szCs w:val="20"/>
          <w:lang w:val="bg-BG"/>
        </w:rPr>
        <w:t xml:space="preserve">Европейската комисия </w:t>
      </w:r>
      <w:r w:rsidR="005D0016">
        <w:rPr>
          <w:rFonts w:ascii="Arial" w:hAnsi="Arial" w:cs="Arial"/>
          <w:sz w:val="20"/>
          <w:szCs w:val="20"/>
          <w:lang w:val="bg-BG"/>
        </w:rPr>
        <w:t xml:space="preserve"> (</w:t>
      </w:r>
      <w:r w:rsidR="00D61C7E">
        <w:rPr>
          <w:rFonts w:ascii="Arial" w:hAnsi="Arial" w:cs="Arial"/>
          <w:sz w:val="20"/>
          <w:szCs w:val="20"/>
          <w:lang w:val="bg-BG"/>
        </w:rPr>
        <w:t>ЕК</w:t>
      </w:r>
      <w:r w:rsidR="005D0016">
        <w:rPr>
          <w:rFonts w:ascii="Arial" w:hAnsi="Arial" w:cs="Arial"/>
          <w:sz w:val="20"/>
          <w:szCs w:val="20"/>
          <w:lang w:val="bg-BG"/>
        </w:rPr>
        <w:t>)</w:t>
      </w:r>
      <w:r w:rsidR="00B04D4A">
        <w:rPr>
          <w:rFonts w:ascii="Arial" w:hAnsi="Arial" w:cs="Arial"/>
          <w:sz w:val="20"/>
          <w:szCs w:val="20"/>
          <w:lang w:val="bg-BG"/>
        </w:rPr>
        <w:t xml:space="preserve"> за анализ</w:t>
      </w:r>
      <w:r w:rsidR="005D0016">
        <w:rPr>
          <w:rFonts w:ascii="Arial" w:hAnsi="Arial" w:cs="Arial"/>
          <w:sz w:val="20"/>
          <w:szCs w:val="20"/>
          <w:lang w:val="bg-BG"/>
        </w:rPr>
        <w:t xml:space="preserve"> на разходите и ползите и </w:t>
      </w:r>
      <w:r w:rsidR="00B04D4A">
        <w:rPr>
          <w:rFonts w:ascii="Arial" w:hAnsi="Arial" w:cs="Arial"/>
          <w:sz w:val="20"/>
          <w:szCs w:val="20"/>
          <w:lang w:val="bg-BG"/>
        </w:rPr>
        <w:t xml:space="preserve">според </w:t>
      </w:r>
      <w:r w:rsidR="005D0016">
        <w:rPr>
          <w:rFonts w:ascii="Arial" w:hAnsi="Arial" w:cs="Arial"/>
          <w:sz w:val="20"/>
          <w:szCs w:val="20"/>
          <w:lang w:val="bg-BG"/>
        </w:rPr>
        <w:t>спецификата на ВиК сектор</w:t>
      </w:r>
      <w:r w:rsidR="00CF190A">
        <w:rPr>
          <w:rFonts w:ascii="Arial" w:hAnsi="Arial" w:cs="Arial"/>
          <w:sz w:val="20"/>
          <w:szCs w:val="20"/>
          <w:lang w:val="bg-BG"/>
        </w:rPr>
        <w:t>а в България</w:t>
      </w:r>
      <w:r w:rsidR="005D0016">
        <w:rPr>
          <w:rFonts w:ascii="Arial" w:hAnsi="Arial" w:cs="Arial"/>
          <w:sz w:val="20"/>
          <w:szCs w:val="20"/>
          <w:lang w:val="bg-BG"/>
        </w:rPr>
        <w:t>. В</w:t>
      </w:r>
      <w:r w:rsidR="00CF190A">
        <w:rPr>
          <w:rFonts w:ascii="Arial" w:hAnsi="Arial" w:cs="Arial"/>
          <w:sz w:val="20"/>
          <w:szCs w:val="20"/>
          <w:lang w:val="bg-BG"/>
        </w:rPr>
        <w:t xml:space="preserve"> съответствие с</w:t>
      </w:r>
      <w:r w:rsidR="00B04D4A">
        <w:rPr>
          <w:rFonts w:ascii="Arial" w:hAnsi="Arial" w:cs="Arial"/>
          <w:sz w:val="20"/>
          <w:szCs w:val="20"/>
          <w:lang w:val="bg-BG"/>
        </w:rPr>
        <w:t xml:space="preserve"> тези наредби ВиКО </w:t>
      </w:r>
      <w:r w:rsidR="00CF190A">
        <w:rPr>
          <w:rFonts w:ascii="Arial" w:hAnsi="Arial" w:cs="Arial"/>
          <w:sz w:val="20"/>
          <w:szCs w:val="20"/>
          <w:lang w:val="bg-BG"/>
        </w:rPr>
        <w:t xml:space="preserve">следва да </w:t>
      </w:r>
      <w:r w:rsidR="00B04D4A">
        <w:rPr>
          <w:rFonts w:ascii="Arial" w:hAnsi="Arial" w:cs="Arial"/>
          <w:sz w:val="20"/>
          <w:szCs w:val="20"/>
          <w:lang w:val="bg-BG"/>
        </w:rPr>
        <w:t xml:space="preserve">разработят </w:t>
      </w:r>
      <w:r w:rsidR="005D0016">
        <w:rPr>
          <w:rFonts w:ascii="Arial" w:hAnsi="Arial" w:cs="Arial"/>
          <w:sz w:val="20"/>
          <w:szCs w:val="20"/>
          <w:lang w:val="bg-BG"/>
        </w:rPr>
        <w:t xml:space="preserve">бизнес планове, които да бъдат представени на КЕВР </w:t>
      </w:r>
      <w:r w:rsidR="0028101E" w:rsidRPr="0028101E">
        <w:rPr>
          <w:rFonts w:ascii="Arial" w:hAnsi="Arial" w:cs="Arial"/>
          <w:sz w:val="20"/>
          <w:szCs w:val="20"/>
          <w:lang w:val="bg-BG"/>
        </w:rPr>
        <w:t>за регулаторния период, започващ от 1 януари 2017 г.</w:t>
      </w:r>
      <w:r w:rsidR="0028101E" w:rsidDel="0028101E">
        <w:rPr>
          <w:rFonts w:ascii="Arial" w:hAnsi="Arial" w:cs="Arial"/>
          <w:sz w:val="20"/>
          <w:szCs w:val="20"/>
          <w:lang w:val="bg-BG"/>
        </w:rPr>
        <w:t xml:space="preserve"> </w:t>
      </w:r>
      <w:r w:rsidR="005D0016">
        <w:rPr>
          <w:rFonts w:ascii="Arial" w:hAnsi="Arial" w:cs="Arial"/>
          <w:sz w:val="20"/>
          <w:szCs w:val="20"/>
          <w:lang w:val="bg-BG"/>
        </w:rPr>
        <w:t xml:space="preserve">Бизнес плановете </w:t>
      </w:r>
      <w:r w:rsidR="00B04D4A">
        <w:rPr>
          <w:rFonts w:ascii="Arial" w:hAnsi="Arial" w:cs="Arial"/>
          <w:sz w:val="20"/>
          <w:szCs w:val="20"/>
          <w:lang w:val="bg-BG"/>
        </w:rPr>
        <w:t>следва да</w:t>
      </w:r>
      <w:r w:rsidR="005D0016">
        <w:rPr>
          <w:rFonts w:ascii="Arial" w:hAnsi="Arial" w:cs="Arial"/>
          <w:sz w:val="20"/>
          <w:szCs w:val="20"/>
          <w:lang w:val="bg-BG"/>
        </w:rPr>
        <w:t xml:space="preserve"> </w:t>
      </w:r>
      <w:r w:rsidR="00B04D4A">
        <w:rPr>
          <w:rFonts w:ascii="Arial" w:hAnsi="Arial" w:cs="Arial"/>
          <w:sz w:val="20"/>
          <w:szCs w:val="20"/>
          <w:lang w:val="bg-BG"/>
        </w:rPr>
        <w:t>съдържат</w:t>
      </w:r>
      <w:r w:rsidR="005D0016">
        <w:rPr>
          <w:rFonts w:ascii="Arial" w:hAnsi="Arial" w:cs="Arial"/>
          <w:sz w:val="20"/>
          <w:szCs w:val="20"/>
          <w:lang w:val="bg-BG"/>
        </w:rPr>
        <w:t xml:space="preserve"> </w:t>
      </w:r>
      <w:r w:rsidR="00B04D4A">
        <w:rPr>
          <w:rFonts w:ascii="Arial" w:hAnsi="Arial" w:cs="Arial"/>
          <w:sz w:val="20"/>
          <w:szCs w:val="20"/>
          <w:lang w:val="bg-BG"/>
        </w:rPr>
        <w:t xml:space="preserve">план за </w:t>
      </w:r>
      <w:r w:rsidR="001B60F1">
        <w:rPr>
          <w:rFonts w:ascii="Arial" w:hAnsi="Arial" w:cs="Arial"/>
          <w:sz w:val="20"/>
          <w:szCs w:val="20"/>
          <w:lang w:val="bg-BG"/>
        </w:rPr>
        <w:t>изпълнение</w:t>
      </w:r>
      <w:r w:rsidR="00B04D4A">
        <w:rPr>
          <w:rFonts w:ascii="Arial" w:hAnsi="Arial" w:cs="Arial"/>
          <w:sz w:val="20"/>
          <w:szCs w:val="20"/>
          <w:lang w:val="bg-BG"/>
        </w:rPr>
        <w:t>, който определ</w:t>
      </w:r>
      <w:r w:rsidR="00D838C0">
        <w:rPr>
          <w:rFonts w:ascii="Arial" w:hAnsi="Arial" w:cs="Arial"/>
          <w:sz w:val="20"/>
          <w:szCs w:val="20"/>
          <w:lang w:val="bg-BG"/>
        </w:rPr>
        <w:t>я</w:t>
      </w:r>
      <w:r w:rsidR="00B04D4A">
        <w:rPr>
          <w:rFonts w:ascii="Arial" w:hAnsi="Arial" w:cs="Arial"/>
          <w:sz w:val="20"/>
          <w:szCs w:val="20"/>
          <w:lang w:val="bg-BG"/>
        </w:rPr>
        <w:t xml:space="preserve"> как всеки ВиКО ще</w:t>
      </w:r>
      <w:r w:rsidR="005D0016">
        <w:rPr>
          <w:rFonts w:ascii="Arial" w:hAnsi="Arial" w:cs="Arial"/>
          <w:sz w:val="20"/>
          <w:szCs w:val="20"/>
          <w:lang w:val="bg-BG"/>
        </w:rPr>
        <w:t xml:space="preserve"> постиг</w:t>
      </w:r>
      <w:r w:rsidR="00B04D4A">
        <w:rPr>
          <w:rFonts w:ascii="Arial" w:hAnsi="Arial" w:cs="Arial"/>
          <w:sz w:val="20"/>
          <w:szCs w:val="20"/>
          <w:lang w:val="bg-BG"/>
        </w:rPr>
        <w:t>не</w:t>
      </w:r>
      <w:r w:rsidR="005D0016">
        <w:rPr>
          <w:rFonts w:ascii="Arial" w:hAnsi="Arial" w:cs="Arial"/>
          <w:sz w:val="20"/>
          <w:szCs w:val="20"/>
          <w:lang w:val="bg-BG"/>
        </w:rPr>
        <w:t xml:space="preserve"> </w:t>
      </w:r>
      <w:r w:rsidR="00B04D4A">
        <w:rPr>
          <w:rFonts w:ascii="Arial" w:hAnsi="Arial" w:cs="Arial"/>
          <w:sz w:val="20"/>
          <w:szCs w:val="20"/>
          <w:lang w:val="bg-BG"/>
        </w:rPr>
        <w:t>поставените цели</w:t>
      </w:r>
      <w:r w:rsidR="005D0016">
        <w:rPr>
          <w:rFonts w:ascii="Arial" w:hAnsi="Arial" w:cs="Arial"/>
          <w:sz w:val="20"/>
          <w:szCs w:val="20"/>
          <w:lang w:val="bg-BG"/>
        </w:rPr>
        <w:t xml:space="preserve"> за качество за регулатор</w:t>
      </w:r>
      <w:r w:rsidR="00CF190A">
        <w:rPr>
          <w:rFonts w:ascii="Arial" w:hAnsi="Arial" w:cs="Arial"/>
          <w:sz w:val="20"/>
          <w:szCs w:val="20"/>
          <w:lang w:val="bg-BG"/>
        </w:rPr>
        <w:t>ния</w:t>
      </w:r>
      <w:r w:rsidR="005D0016">
        <w:rPr>
          <w:rFonts w:ascii="Arial" w:hAnsi="Arial" w:cs="Arial"/>
          <w:sz w:val="20"/>
          <w:szCs w:val="20"/>
          <w:lang w:val="bg-BG"/>
        </w:rPr>
        <w:t xml:space="preserve"> период 2017-2021 г.</w:t>
      </w:r>
    </w:p>
    <w:p w14:paraId="717AE079" w14:textId="77777777" w:rsidR="00516A84" w:rsidRPr="00151DC3" w:rsidRDefault="00516A84" w:rsidP="00516A84">
      <w:pPr>
        <w:pStyle w:val="Heading3"/>
        <w:numPr>
          <w:ilvl w:val="0"/>
          <w:numId w:val="17"/>
        </w:numPr>
        <w:spacing w:after="120"/>
        <w:rPr>
          <w:rFonts w:ascii="Arial" w:hAnsi="Arial" w:cs="Arial"/>
          <w:b/>
          <w:color w:val="4F81BD" w:themeColor="accent1"/>
          <w:sz w:val="20"/>
          <w:szCs w:val="20"/>
          <w:lang w:val="bg-BG"/>
        </w:rPr>
      </w:pPr>
      <w:bookmarkStart w:id="8" w:name="_Toc433786306"/>
      <w:bookmarkStart w:id="9" w:name="_Toc433786962"/>
      <w:bookmarkStart w:id="10" w:name="_Toc433787091"/>
      <w:bookmarkStart w:id="11" w:name="_Toc461606131"/>
      <w:bookmarkStart w:id="12" w:name="_Toc503798469"/>
      <w:bookmarkEnd w:id="8"/>
      <w:bookmarkEnd w:id="9"/>
      <w:bookmarkEnd w:id="10"/>
      <w:r w:rsidRPr="00151DC3">
        <w:rPr>
          <w:rFonts w:ascii="Arial" w:hAnsi="Arial" w:cs="Arial"/>
          <w:b/>
          <w:color w:val="4F81BD" w:themeColor="accent1"/>
          <w:sz w:val="20"/>
          <w:szCs w:val="20"/>
          <w:lang w:val="bg-BG"/>
        </w:rPr>
        <w:t xml:space="preserve">Структура за прилагане на ФИ </w:t>
      </w:r>
      <w:r>
        <w:rPr>
          <w:rFonts w:ascii="Arial" w:hAnsi="Arial" w:cs="Arial"/>
          <w:b/>
          <w:color w:val="4F81BD" w:themeColor="accent1"/>
          <w:sz w:val="20"/>
          <w:szCs w:val="20"/>
          <w:lang w:val="bg-BG"/>
        </w:rPr>
        <w:t>по ПО 1</w:t>
      </w:r>
      <w:r w:rsidRPr="00151DC3">
        <w:rPr>
          <w:rFonts w:ascii="Arial" w:hAnsi="Arial" w:cs="Arial"/>
          <w:b/>
          <w:color w:val="4F81BD" w:themeColor="accent1"/>
          <w:sz w:val="20"/>
          <w:szCs w:val="20"/>
          <w:lang w:val="bg-BG"/>
        </w:rPr>
        <w:t xml:space="preserve"> на ОПОС 2014-2020 г.</w:t>
      </w:r>
      <w:bookmarkEnd w:id="11"/>
      <w:bookmarkEnd w:id="12"/>
      <w:r w:rsidRPr="00151DC3">
        <w:rPr>
          <w:rFonts w:ascii="Arial" w:hAnsi="Arial" w:cs="Arial"/>
          <w:b/>
          <w:color w:val="4F81BD" w:themeColor="accent1"/>
          <w:sz w:val="20"/>
          <w:szCs w:val="20"/>
          <w:lang w:val="bg-BG"/>
        </w:rPr>
        <w:t xml:space="preserve"> </w:t>
      </w:r>
    </w:p>
    <w:p w14:paraId="12026876" w14:textId="77777777" w:rsidR="00516A84" w:rsidRPr="00151DC3" w:rsidRDefault="009C2F3F" w:rsidP="00516A84">
      <w:pPr>
        <w:spacing w:after="120"/>
        <w:jc w:val="both"/>
        <w:rPr>
          <w:rFonts w:ascii="Arial" w:hAnsi="Arial" w:cs="Arial"/>
          <w:sz w:val="20"/>
          <w:szCs w:val="20"/>
          <w:lang w:val="bg-BG"/>
        </w:rPr>
      </w:pPr>
      <w:r w:rsidRPr="00E319A2">
        <w:rPr>
          <w:rFonts w:ascii="Arial" w:hAnsi="Arial" w:cs="Arial"/>
          <w:sz w:val="20"/>
          <w:szCs w:val="20"/>
          <w:lang w:val="bg-BG"/>
        </w:rPr>
        <w:t>Според</w:t>
      </w:r>
      <w:r w:rsidR="00AF2BCD" w:rsidRPr="00E319A2">
        <w:rPr>
          <w:rFonts w:ascii="Arial" w:hAnsi="Arial" w:cs="Arial"/>
          <w:sz w:val="20"/>
          <w:szCs w:val="20"/>
          <w:lang w:val="bg-BG"/>
        </w:rPr>
        <w:t xml:space="preserve"> </w:t>
      </w:r>
      <w:r w:rsidR="00AB4063" w:rsidRPr="00E319A2">
        <w:rPr>
          <w:rFonts w:ascii="Arial" w:hAnsi="Arial" w:cs="Arial"/>
          <w:sz w:val="20"/>
          <w:szCs w:val="20"/>
          <w:lang w:val="bg-BG"/>
        </w:rPr>
        <w:t>ч</w:t>
      </w:r>
      <w:r w:rsidRPr="00E319A2">
        <w:rPr>
          <w:rFonts w:ascii="Arial" w:hAnsi="Arial" w:cs="Arial"/>
          <w:sz w:val="20"/>
          <w:szCs w:val="20"/>
          <w:lang w:val="bg-BG"/>
        </w:rPr>
        <w:t>л. 38 (5) от Регламент (ЕС) № 1303/2013</w:t>
      </w:r>
      <w:r w:rsidR="00AF2BCD" w:rsidRPr="00E319A2">
        <w:rPr>
          <w:rFonts w:ascii="Arial" w:hAnsi="Arial" w:cs="Arial"/>
          <w:sz w:val="20"/>
          <w:szCs w:val="20"/>
          <w:lang w:val="bg-BG"/>
        </w:rPr>
        <w:t xml:space="preserve">, </w:t>
      </w:r>
      <w:r w:rsidRPr="00E319A2">
        <w:rPr>
          <w:rFonts w:ascii="Arial" w:hAnsi="Arial" w:cs="Arial"/>
          <w:sz w:val="20"/>
          <w:szCs w:val="20"/>
          <w:lang w:val="bg-BG"/>
        </w:rPr>
        <w:t>ФМФИБ може да повери част от изпълнението на ФИ на финансови посредници.</w:t>
      </w:r>
      <w:r w:rsidR="00AF2BCD" w:rsidRPr="00E319A2">
        <w:rPr>
          <w:rFonts w:ascii="Arial" w:hAnsi="Arial" w:cs="Arial"/>
          <w:sz w:val="20"/>
          <w:szCs w:val="20"/>
          <w:lang w:val="bg-BG"/>
        </w:rPr>
        <w:t xml:space="preserve"> </w:t>
      </w:r>
      <w:r w:rsidR="00AB4063" w:rsidRPr="00E319A2">
        <w:rPr>
          <w:rFonts w:ascii="Arial" w:hAnsi="Arial" w:cs="Arial"/>
          <w:sz w:val="20"/>
          <w:szCs w:val="20"/>
          <w:lang w:val="bg-BG"/>
        </w:rPr>
        <w:t>Предварителната</w:t>
      </w:r>
      <w:r w:rsidR="00AB4063">
        <w:rPr>
          <w:rFonts w:ascii="Arial" w:hAnsi="Arial" w:cs="Arial"/>
          <w:sz w:val="20"/>
          <w:szCs w:val="20"/>
          <w:lang w:val="bg-BG"/>
        </w:rPr>
        <w:t xml:space="preserve"> оценка и извършеният допълнителен анализ</w:t>
      </w:r>
      <w:r w:rsidR="004745D6" w:rsidRPr="00613607">
        <w:rPr>
          <w:rFonts w:ascii="Arial" w:hAnsi="Arial" w:cs="Arial"/>
          <w:sz w:val="20"/>
          <w:szCs w:val="20"/>
          <w:lang w:val="bg-BG"/>
        </w:rPr>
        <w:t xml:space="preserve"> </w:t>
      </w:r>
      <w:r w:rsidR="00AB4063">
        <w:rPr>
          <w:rFonts w:ascii="Arial" w:hAnsi="Arial" w:cs="Arial"/>
          <w:sz w:val="20"/>
          <w:szCs w:val="20"/>
          <w:lang w:val="bg-BG"/>
        </w:rPr>
        <w:lastRenderedPageBreak/>
        <w:t xml:space="preserve">потвърждават, че </w:t>
      </w:r>
      <w:r w:rsidR="00B6099F">
        <w:rPr>
          <w:rFonts w:ascii="Arial" w:hAnsi="Arial" w:cs="Arial"/>
          <w:sz w:val="20"/>
          <w:szCs w:val="20"/>
          <w:lang w:val="bg-BG"/>
        </w:rPr>
        <w:t>инвестиции</w:t>
      </w:r>
      <w:r w:rsidR="00781051">
        <w:rPr>
          <w:rFonts w:ascii="Arial" w:hAnsi="Arial" w:cs="Arial"/>
          <w:sz w:val="20"/>
          <w:szCs w:val="20"/>
          <w:lang w:val="bg-BG"/>
        </w:rPr>
        <w:t>те</w:t>
      </w:r>
      <w:r w:rsidR="00B6099F">
        <w:rPr>
          <w:rFonts w:ascii="Arial" w:hAnsi="Arial" w:cs="Arial"/>
          <w:sz w:val="20"/>
          <w:szCs w:val="20"/>
          <w:lang w:val="bg-BG"/>
        </w:rPr>
        <w:t xml:space="preserve"> в </w:t>
      </w:r>
      <w:r w:rsidR="00781051">
        <w:rPr>
          <w:rFonts w:ascii="Arial" w:hAnsi="Arial" w:cs="Arial"/>
          <w:sz w:val="20"/>
          <w:szCs w:val="20"/>
          <w:lang w:val="bg-BG"/>
        </w:rPr>
        <w:t xml:space="preserve">сектор </w:t>
      </w:r>
      <w:r w:rsidR="00B6099F">
        <w:rPr>
          <w:rFonts w:ascii="Arial" w:hAnsi="Arial" w:cs="Arial"/>
          <w:sz w:val="20"/>
          <w:szCs w:val="20"/>
          <w:lang w:val="bg-BG"/>
        </w:rPr>
        <w:t xml:space="preserve">ВиК </w:t>
      </w:r>
      <w:r w:rsidR="00AB4063">
        <w:rPr>
          <w:rFonts w:ascii="Arial" w:hAnsi="Arial" w:cs="Arial"/>
          <w:sz w:val="20"/>
          <w:szCs w:val="20"/>
          <w:lang w:val="bg-BG"/>
        </w:rPr>
        <w:t>към момента са ограничени</w:t>
      </w:r>
      <w:r w:rsidR="00781051">
        <w:rPr>
          <w:rFonts w:ascii="Arial" w:hAnsi="Arial" w:cs="Arial"/>
          <w:sz w:val="20"/>
          <w:szCs w:val="20"/>
          <w:lang w:val="bg-BG"/>
        </w:rPr>
        <w:t xml:space="preserve"> и липсва значимо участие на българския финансов сектор при финансиране</w:t>
      </w:r>
      <w:r w:rsidR="00D838C0">
        <w:rPr>
          <w:rFonts w:ascii="Arial" w:hAnsi="Arial" w:cs="Arial"/>
          <w:sz w:val="20"/>
          <w:szCs w:val="20"/>
          <w:lang w:val="bg-BG"/>
        </w:rPr>
        <w:t>то им</w:t>
      </w:r>
      <w:r w:rsidR="00781051">
        <w:rPr>
          <w:rFonts w:ascii="Arial" w:hAnsi="Arial" w:cs="Arial"/>
          <w:sz w:val="20"/>
          <w:szCs w:val="20"/>
          <w:lang w:val="bg-BG"/>
        </w:rPr>
        <w:t>, поради наличните пазарни несъответствия</w:t>
      </w:r>
      <w:r w:rsidR="00AB4063" w:rsidRPr="00613607">
        <w:rPr>
          <w:rFonts w:ascii="Arial" w:hAnsi="Arial" w:cs="Arial"/>
          <w:sz w:val="20"/>
          <w:szCs w:val="20"/>
          <w:lang w:val="bg-BG"/>
        </w:rPr>
        <w:t>.</w:t>
      </w:r>
      <w:r w:rsidR="004B204B" w:rsidRPr="004B204B">
        <w:rPr>
          <w:rFonts w:ascii="Arial" w:hAnsi="Arial" w:cs="Arial"/>
          <w:sz w:val="20"/>
          <w:szCs w:val="20"/>
          <w:lang w:val="bg-BG"/>
        </w:rPr>
        <w:t xml:space="preserve"> </w:t>
      </w:r>
      <w:r w:rsidR="00AB4063" w:rsidRPr="00613607">
        <w:rPr>
          <w:rFonts w:ascii="Arial" w:hAnsi="Arial" w:cs="Arial"/>
          <w:sz w:val="20"/>
          <w:szCs w:val="20"/>
          <w:lang w:val="bg-BG"/>
        </w:rPr>
        <w:t xml:space="preserve"> </w:t>
      </w:r>
      <w:r w:rsidR="00516A84" w:rsidRPr="00E73ED9">
        <w:rPr>
          <w:rFonts w:ascii="Arial" w:hAnsi="Arial" w:cs="Arial"/>
          <w:sz w:val="20"/>
          <w:szCs w:val="20"/>
          <w:lang w:val="bg-BG"/>
        </w:rPr>
        <w:t xml:space="preserve">В тази връзка на базата на препоръките на </w:t>
      </w:r>
      <w:r w:rsidR="00516A84" w:rsidRPr="00BC7695">
        <w:rPr>
          <w:rFonts w:ascii="Arial" w:hAnsi="Arial" w:cs="Arial"/>
          <w:sz w:val="20"/>
          <w:szCs w:val="20"/>
          <w:lang w:val="bg-BG"/>
        </w:rPr>
        <w:t xml:space="preserve">Предварителната оценка в настоящата Инвестиционна стратегия </w:t>
      </w:r>
      <w:r w:rsidR="004051E4">
        <w:rPr>
          <w:rFonts w:ascii="Arial" w:hAnsi="Arial" w:cs="Arial"/>
          <w:sz w:val="20"/>
          <w:szCs w:val="20"/>
          <w:lang w:val="bg-BG"/>
        </w:rPr>
        <w:t xml:space="preserve">са </w:t>
      </w:r>
      <w:r w:rsidR="00516A84" w:rsidRPr="00BC7695">
        <w:rPr>
          <w:rFonts w:ascii="Arial" w:hAnsi="Arial" w:cs="Arial"/>
          <w:sz w:val="20"/>
          <w:szCs w:val="20"/>
          <w:lang w:val="bg-BG"/>
        </w:rPr>
        <w:t>представен</w:t>
      </w:r>
      <w:r w:rsidR="004051E4">
        <w:rPr>
          <w:rFonts w:ascii="Arial" w:hAnsi="Arial" w:cs="Arial"/>
          <w:sz w:val="20"/>
          <w:szCs w:val="20"/>
          <w:lang w:val="bg-BG"/>
        </w:rPr>
        <w:t>и</w:t>
      </w:r>
      <w:r w:rsidR="00516A84" w:rsidRPr="00BC7695">
        <w:rPr>
          <w:rFonts w:ascii="Arial" w:hAnsi="Arial" w:cs="Arial"/>
          <w:sz w:val="20"/>
          <w:szCs w:val="20"/>
          <w:lang w:val="bg-BG"/>
        </w:rPr>
        <w:t xml:space="preserve">  вариант</w:t>
      </w:r>
      <w:r w:rsidR="004051E4">
        <w:rPr>
          <w:rFonts w:ascii="Arial" w:hAnsi="Arial" w:cs="Arial"/>
          <w:sz w:val="20"/>
          <w:szCs w:val="20"/>
          <w:lang w:val="bg-BG"/>
        </w:rPr>
        <w:t>и</w:t>
      </w:r>
      <w:r w:rsidR="00516A84" w:rsidRPr="00BC7695">
        <w:rPr>
          <w:rFonts w:ascii="Arial" w:hAnsi="Arial" w:cs="Arial"/>
          <w:sz w:val="20"/>
          <w:szCs w:val="20"/>
          <w:lang w:val="bg-BG"/>
        </w:rPr>
        <w:t xml:space="preserve"> за прилагане на ФИ с гаранционни продукти и заеми, с цел адресиране на ограниченията, породени от неоптималните инвестиционни ситуации, идентифицирани в сектора</w:t>
      </w:r>
      <w:r w:rsidR="004051E4">
        <w:rPr>
          <w:rFonts w:ascii="Arial" w:hAnsi="Arial" w:cs="Arial"/>
          <w:sz w:val="20"/>
          <w:szCs w:val="20"/>
          <w:lang w:val="bg-BG"/>
        </w:rPr>
        <w:t>, както следва:</w:t>
      </w:r>
    </w:p>
    <w:p w14:paraId="016E3CEE" w14:textId="77777777" w:rsidR="008407D3" w:rsidRPr="00613607" w:rsidRDefault="008407D3" w:rsidP="00AF2BCD">
      <w:pPr>
        <w:spacing w:after="120"/>
        <w:jc w:val="both"/>
        <w:rPr>
          <w:rFonts w:ascii="Arial" w:hAnsi="Arial" w:cs="Arial"/>
          <w:sz w:val="20"/>
          <w:szCs w:val="20"/>
          <w:lang w:val="bg-BG"/>
        </w:rPr>
      </w:pPr>
    </w:p>
    <w:p w14:paraId="7D242390" w14:textId="77777777" w:rsidR="00CF03AD" w:rsidRPr="00AB4063" w:rsidRDefault="00CF03AD" w:rsidP="000B327F">
      <w:pPr>
        <w:pStyle w:val="Heading3"/>
        <w:ind w:firstLine="360"/>
        <w:rPr>
          <w:rFonts w:ascii="Arial" w:hAnsi="Arial" w:cs="Arial"/>
          <w:b/>
          <w:color w:val="4F81BD" w:themeColor="accent1"/>
          <w:sz w:val="20"/>
          <w:szCs w:val="20"/>
          <w:lang w:val="bg-BG"/>
        </w:rPr>
      </w:pPr>
      <w:bookmarkStart w:id="13" w:name="_Toc503798470"/>
      <w:r w:rsidRPr="00252F7A">
        <w:rPr>
          <w:rFonts w:ascii="Arial" w:hAnsi="Arial" w:cs="Arial"/>
          <w:b/>
          <w:color w:val="4F81BD" w:themeColor="accent1"/>
          <w:sz w:val="20"/>
          <w:szCs w:val="20"/>
          <w:lang w:val="bg-BG"/>
        </w:rPr>
        <w:t xml:space="preserve">3.1. </w:t>
      </w:r>
      <w:r w:rsidR="004051E4">
        <w:rPr>
          <w:rFonts w:ascii="Arial" w:hAnsi="Arial" w:cs="Arial"/>
          <w:b/>
          <w:color w:val="4F81BD" w:themeColor="accent1"/>
          <w:sz w:val="20"/>
          <w:szCs w:val="20"/>
          <w:lang w:val="bg-BG"/>
        </w:rPr>
        <w:t xml:space="preserve">Вариант 1 - </w:t>
      </w:r>
      <w:r w:rsidR="00750E2A">
        <w:rPr>
          <w:rFonts w:ascii="Arial" w:hAnsi="Arial" w:cs="Arial"/>
          <w:b/>
          <w:color w:val="4F81BD" w:themeColor="accent1"/>
          <w:sz w:val="20"/>
          <w:szCs w:val="20"/>
          <w:lang w:val="bg-BG"/>
        </w:rPr>
        <w:t xml:space="preserve">Специална инвестиционна структура </w:t>
      </w:r>
      <w:r w:rsidR="00AB4063">
        <w:rPr>
          <w:rFonts w:ascii="Arial" w:hAnsi="Arial" w:cs="Arial"/>
          <w:b/>
          <w:color w:val="4F81BD" w:themeColor="accent1"/>
          <w:sz w:val="20"/>
          <w:szCs w:val="20"/>
          <w:lang w:val="bg-BG"/>
        </w:rPr>
        <w:t>за прилагане на ФИ</w:t>
      </w:r>
      <w:bookmarkEnd w:id="13"/>
    </w:p>
    <w:p w14:paraId="6E7558DA" w14:textId="77777777" w:rsidR="0050186E" w:rsidRPr="00E319A2" w:rsidRDefault="0050186E" w:rsidP="00B50831">
      <w:pPr>
        <w:spacing w:after="120"/>
        <w:jc w:val="both"/>
        <w:rPr>
          <w:rFonts w:ascii="Arial" w:hAnsi="Arial" w:cs="Arial"/>
          <w:sz w:val="20"/>
          <w:szCs w:val="20"/>
          <w:lang w:val="bg-BG"/>
        </w:rPr>
      </w:pPr>
    </w:p>
    <w:p w14:paraId="26DE8D39" w14:textId="77777777" w:rsidR="00B77BBA" w:rsidRPr="009644C2" w:rsidRDefault="009644C2" w:rsidP="00C83F2D">
      <w:pPr>
        <w:spacing w:after="120"/>
        <w:jc w:val="both"/>
        <w:rPr>
          <w:rFonts w:ascii="Arial" w:hAnsi="Arial" w:cs="Arial"/>
          <w:b/>
          <w:i/>
          <w:sz w:val="20"/>
          <w:szCs w:val="20"/>
          <w:lang w:val="bg-BG"/>
        </w:rPr>
      </w:pPr>
      <w:r>
        <w:rPr>
          <w:rFonts w:ascii="Arial" w:hAnsi="Arial" w:cs="Arial"/>
          <w:b/>
          <w:i/>
          <w:sz w:val="20"/>
          <w:szCs w:val="20"/>
          <w:lang w:val="bg-BG"/>
        </w:rPr>
        <w:t>Прилагане на ФИ чрез с</w:t>
      </w:r>
      <w:r w:rsidRPr="009644C2">
        <w:rPr>
          <w:rFonts w:ascii="Arial" w:hAnsi="Arial" w:cs="Arial"/>
          <w:b/>
          <w:i/>
          <w:sz w:val="20"/>
          <w:szCs w:val="20"/>
          <w:lang w:val="bg-BG"/>
        </w:rPr>
        <w:t>пециализиран</w:t>
      </w:r>
      <w:r w:rsidR="00F90B21">
        <w:rPr>
          <w:rFonts w:ascii="Arial" w:hAnsi="Arial" w:cs="Arial"/>
          <w:b/>
          <w:i/>
          <w:sz w:val="20"/>
          <w:szCs w:val="20"/>
          <w:lang w:val="bg-BG"/>
        </w:rPr>
        <w:t>а</w:t>
      </w:r>
      <w:r>
        <w:rPr>
          <w:rFonts w:ascii="Arial" w:hAnsi="Arial" w:cs="Arial"/>
          <w:b/>
          <w:i/>
          <w:sz w:val="20"/>
          <w:szCs w:val="20"/>
          <w:lang w:val="bg-BG"/>
        </w:rPr>
        <w:t xml:space="preserve"> инвестиционн</w:t>
      </w:r>
      <w:r w:rsidR="00F90B21">
        <w:rPr>
          <w:rFonts w:ascii="Arial" w:hAnsi="Arial" w:cs="Arial"/>
          <w:b/>
          <w:i/>
          <w:sz w:val="20"/>
          <w:szCs w:val="20"/>
          <w:lang w:val="bg-BG"/>
        </w:rPr>
        <w:t>а</w:t>
      </w:r>
      <w:r>
        <w:rPr>
          <w:rFonts w:ascii="Arial" w:hAnsi="Arial" w:cs="Arial"/>
          <w:b/>
          <w:i/>
          <w:sz w:val="20"/>
          <w:szCs w:val="20"/>
          <w:lang w:val="bg-BG"/>
        </w:rPr>
        <w:t xml:space="preserve"> структур</w:t>
      </w:r>
      <w:r w:rsidR="00F90B21">
        <w:rPr>
          <w:rFonts w:ascii="Arial" w:hAnsi="Arial" w:cs="Arial"/>
          <w:b/>
          <w:i/>
          <w:sz w:val="20"/>
          <w:szCs w:val="20"/>
          <w:lang w:val="bg-BG"/>
        </w:rPr>
        <w:t>а</w:t>
      </w:r>
      <w:r w:rsidRPr="009644C2">
        <w:rPr>
          <w:rFonts w:ascii="Arial" w:hAnsi="Arial" w:cs="Arial"/>
          <w:b/>
          <w:i/>
          <w:sz w:val="20"/>
          <w:szCs w:val="20"/>
          <w:lang w:val="bg-BG"/>
        </w:rPr>
        <w:t xml:space="preserve"> (DIV) </w:t>
      </w:r>
      <w:r>
        <w:rPr>
          <w:rFonts w:ascii="Arial" w:hAnsi="Arial" w:cs="Arial"/>
          <w:b/>
          <w:i/>
          <w:sz w:val="20"/>
          <w:szCs w:val="20"/>
          <w:lang w:val="bg-BG"/>
        </w:rPr>
        <w:t>за сектор</w:t>
      </w:r>
      <w:r w:rsidR="00003639">
        <w:rPr>
          <w:rFonts w:ascii="Arial" w:hAnsi="Arial" w:cs="Arial"/>
          <w:b/>
          <w:i/>
          <w:sz w:val="20"/>
          <w:szCs w:val="20"/>
          <w:lang w:val="bg-BG"/>
        </w:rPr>
        <w:t xml:space="preserve"> ВиК</w:t>
      </w:r>
    </w:p>
    <w:p w14:paraId="42DC7815" w14:textId="77777777" w:rsidR="00DB52FF" w:rsidRPr="001D111E" w:rsidRDefault="00743E09" w:rsidP="00C83F2D">
      <w:pPr>
        <w:spacing w:after="120"/>
        <w:jc w:val="both"/>
        <w:rPr>
          <w:rFonts w:ascii="Arial" w:hAnsi="Arial" w:cs="Arial"/>
          <w:sz w:val="20"/>
          <w:szCs w:val="20"/>
          <w:lang w:val="bg-BG"/>
        </w:rPr>
      </w:pPr>
      <w:r>
        <w:rPr>
          <w:rFonts w:ascii="Arial" w:hAnsi="Arial" w:cs="Arial"/>
          <w:sz w:val="20"/>
          <w:szCs w:val="20"/>
          <w:lang w:val="bg-BG"/>
        </w:rPr>
        <w:t>Предвижда се прилагане на ФИ във ВиК сектора чрез специална инвестиционна структура</w:t>
      </w:r>
      <w:r w:rsidRPr="00011C3A">
        <w:rPr>
          <w:rFonts w:ascii="Arial" w:hAnsi="Arial" w:cs="Arial"/>
          <w:sz w:val="20"/>
          <w:szCs w:val="20"/>
          <w:lang w:val="bg-BG"/>
        </w:rPr>
        <w:t xml:space="preserve"> </w:t>
      </w:r>
      <w:r>
        <w:rPr>
          <w:rFonts w:ascii="Arial" w:hAnsi="Arial" w:cs="Arial"/>
          <w:sz w:val="20"/>
          <w:szCs w:val="20"/>
          <w:lang w:val="bg-BG"/>
        </w:rPr>
        <w:t>(</w:t>
      </w:r>
      <w:r>
        <w:rPr>
          <w:rFonts w:ascii="Arial" w:hAnsi="Arial" w:cs="Arial"/>
          <w:sz w:val="20"/>
          <w:szCs w:val="20"/>
        </w:rPr>
        <w:t>DIV</w:t>
      </w:r>
      <w:r>
        <w:rPr>
          <w:rFonts w:ascii="Arial" w:hAnsi="Arial" w:cs="Arial"/>
          <w:sz w:val="20"/>
          <w:szCs w:val="20"/>
          <w:lang w:val="bg-BG"/>
        </w:rPr>
        <w:t>)</w:t>
      </w:r>
      <w:r w:rsidRPr="00011C3A">
        <w:rPr>
          <w:rFonts w:ascii="Arial" w:hAnsi="Arial" w:cs="Arial"/>
          <w:sz w:val="20"/>
          <w:szCs w:val="20"/>
          <w:lang w:val="bg-BG"/>
        </w:rPr>
        <w:t xml:space="preserve">, </w:t>
      </w:r>
      <w:r>
        <w:rPr>
          <w:rFonts w:ascii="Arial" w:hAnsi="Arial" w:cs="Arial"/>
          <w:sz w:val="20"/>
          <w:szCs w:val="20"/>
          <w:lang w:val="bg-BG"/>
        </w:rPr>
        <w:t>която да бъде управлявана от квалифициран фонд мениджър с необходимия опит (т. нар. фонд мениджър)</w:t>
      </w:r>
      <w:r w:rsidRPr="00011C3A">
        <w:rPr>
          <w:rFonts w:ascii="Arial" w:hAnsi="Arial" w:cs="Arial"/>
          <w:sz w:val="20"/>
          <w:szCs w:val="20"/>
          <w:lang w:val="bg-BG"/>
        </w:rPr>
        <w:t>.</w:t>
      </w:r>
      <w:r w:rsidR="000924B0">
        <w:rPr>
          <w:rFonts w:ascii="Arial" w:hAnsi="Arial" w:cs="Arial"/>
          <w:sz w:val="20"/>
          <w:szCs w:val="20"/>
          <w:lang w:val="bg-BG"/>
        </w:rPr>
        <w:t xml:space="preserve"> </w:t>
      </w:r>
      <w:r w:rsidR="001D111E">
        <w:rPr>
          <w:rFonts w:ascii="Arial" w:hAnsi="Arial" w:cs="Arial"/>
          <w:sz w:val="20"/>
          <w:szCs w:val="20"/>
          <w:lang w:val="bg-BG"/>
        </w:rPr>
        <w:t>С</w:t>
      </w:r>
      <w:r w:rsidR="001D111E" w:rsidRPr="001D111E">
        <w:rPr>
          <w:rFonts w:ascii="Arial" w:hAnsi="Arial" w:cs="Arial"/>
          <w:sz w:val="20"/>
          <w:szCs w:val="20"/>
          <w:lang w:val="bg-BG"/>
        </w:rPr>
        <w:t>п</w:t>
      </w:r>
      <w:r w:rsidR="001D111E">
        <w:rPr>
          <w:rFonts w:ascii="Arial" w:hAnsi="Arial" w:cs="Arial"/>
          <w:sz w:val="20"/>
          <w:szCs w:val="20"/>
          <w:lang w:val="bg-BG"/>
        </w:rPr>
        <w:t>ециалн</w:t>
      </w:r>
      <w:r w:rsidR="000D5E82">
        <w:rPr>
          <w:rFonts w:ascii="Arial" w:hAnsi="Arial" w:cs="Arial"/>
          <w:sz w:val="20"/>
          <w:szCs w:val="20"/>
          <w:lang w:val="bg-BG"/>
        </w:rPr>
        <w:t>ата</w:t>
      </w:r>
      <w:r w:rsidR="001D111E">
        <w:rPr>
          <w:rFonts w:ascii="Arial" w:hAnsi="Arial" w:cs="Arial"/>
          <w:sz w:val="20"/>
          <w:szCs w:val="20"/>
          <w:lang w:val="bg-BG"/>
        </w:rPr>
        <w:t xml:space="preserve"> инвестиционн</w:t>
      </w:r>
      <w:r w:rsidR="000D5E82">
        <w:rPr>
          <w:rFonts w:ascii="Arial" w:hAnsi="Arial" w:cs="Arial"/>
          <w:sz w:val="20"/>
          <w:szCs w:val="20"/>
          <w:lang w:val="bg-BG"/>
        </w:rPr>
        <w:t>а</w:t>
      </w:r>
      <w:r w:rsidR="001D111E">
        <w:rPr>
          <w:rFonts w:ascii="Arial" w:hAnsi="Arial" w:cs="Arial"/>
          <w:sz w:val="20"/>
          <w:szCs w:val="20"/>
          <w:lang w:val="bg-BG"/>
        </w:rPr>
        <w:t xml:space="preserve"> структур</w:t>
      </w:r>
      <w:r w:rsidR="000D5E82">
        <w:rPr>
          <w:rFonts w:ascii="Arial" w:hAnsi="Arial" w:cs="Arial"/>
          <w:sz w:val="20"/>
          <w:szCs w:val="20"/>
          <w:lang w:val="bg-BG"/>
        </w:rPr>
        <w:t>а</w:t>
      </w:r>
      <w:r w:rsidR="001D111E">
        <w:rPr>
          <w:rFonts w:ascii="Arial" w:hAnsi="Arial" w:cs="Arial"/>
          <w:sz w:val="20"/>
          <w:szCs w:val="20"/>
          <w:lang w:val="bg-BG"/>
        </w:rPr>
        <w:t xml:space="preserve"> (</w:t>
      </w:r>
      <w:r w:rsidR="001D111E" w:rsidRPr="00C26A3C">
        <w:rPr>
          <w:rFonts w:ascii="Arial" w:hAnsi="Arial" w:cs="Arial"/>
          <w:sz w:val="20"/>
          <w:szCs w:val="20"/>
          <w:lang w:val="bg-BG"/>
        </w:rPr>
        <w:t>DIV)</w:t>
      </w:r>
      <w:r w:rsidR="001D111E">
        <w:rPr>
          <w:rFonts w:ascii="Arial" w:hAnsi="Arial" w:cs="Arial"/>
          <w:sz w:val="20"/>
          <w:szCs w:val="20"/>
          <w:lang w:val="bg-BG"/>
        </w:rPr>
        <w:t xml:space="preserve"> ще предоставя </w:t>
      </w:r>
      <w:r w:rsidR="001D111E" w:rsidRPr="008B5547">
        <w:rPr>
          <w:rFonts w:ascii="Arial" w:hAnsi="Arial" w:cs="Arial"/>
          <w:sz w:val="20"/>
          <w:szCs w:val="20"/>
          <w:lang w:val="bg-BG"/>
        </w:rPr>
        <w:t>директни</w:t>
      </w:r>
      <w:r w:rsidR="001D111E">
        <w:rPr>
          <w:rFonts w:ascii="Arial" w:hAnsi="Arial" w:cs="Arial"/>
          <w:sz w:val="20"/>
          <w:szCs w:val="20"/>
          <w:lang w:val="bg-BG"/>
        </w:rPr>
        <w:t xml:space="preserve"> заеми</w:t>
      </w:r>
      <w:r w:rsidR="00DB52FF" w:rsidRPr="001D111E">
        <w:rPr>
          <w:rFonts w:ascii="Arial" w:hAnsi="Arial" w:cs="Arial"/>
          <w:sz w:val="20"/>
          <w:szCs w:val="20"/>
          <w:lang w:val="bg-BG"/>
        </w:rPr>
        <w:t xml:space="preserve"> </w:t>
      </w:r>
      <w:r w:rsidR="00AE6857">
        <w:rPr>
          <w:rFonts w:ascii="Arial" w:hAnsi="Arial" w:cs="Arial"/>
          <w:sz w:val="20"/>
          <w:szCs w:val="20"/>
          <w:lang w:val="bg-BG"/>
        </w:rPr>
        <w:t>на допустими</w:t>
      </w:r>
      <w:r w:rsidR="001D111E">
        <w:rPr>
          <w:rFonts w:ascii="Arial" w:hAnsi="Arial" w:cs="Arial"/>
          <w:sz w:val="20"/>
          <w:szCs w:val="20"/>
          <w:lang w:val="bg-BG"/>
        </w:rPr>
        <w:t xml:space="preserve"> крайни получатели и гаранции на </w:t>
      </w:r>
      <w:r w:rsidR="001D111E" w:rsidRPr="008B5547">
        <w:rPr>
          <w:rFonts w:ascii="Arial" w:hAnsi="Arial" w:cs="Arial"/>
          <w:sz w:val="20"/>
          <w:szCs w:val="20"/>
          <w:lang w:val="bg-BG"/>
        </w:rPr>
        <w:t>търговски банки</w:t>
      </w:r>
      <w:r w:rsidR="00DB52FF" w:rsidRPr="008B5547">
        <w:rPr>
          <w:rFonts w:ascii="Arial" w:hAnsi="Arial" w:cs="Arial"/>
          <w:sz w:val="20"/>
          <w:szCs w:val="20"/>
          <w:lang w:val="bg-BG"/>
        </w:rPr>
        <w:t xml:space="preserve"> </w:t>
      </w:r>
      <w:r w:rsidR="001D111E" w:rsidRPr="008B5547">
        <w:rPr>
          <w:rFonts w:ascii="Arial" w:hAnsi="Arial" w:cs="Arial"/>
          <w:sz w:val="20"/>
          <w:szCs w:val="20"/>
          <w:lang w:val="bg-BG"/>
        </w:rPr>
        <w:t>за заеми</w:t>
      </w:r>
      <w:r w:rsidR="00AE6857" w:rsidRPr="004051E4">
        <w:rPr>
          <w:rFonts w:ascii="Arial" w:hAnsi="Arial" w:cs="Arial"/>
          <w:sz w:val="20"/>
          <w:szCs w:val="20"/>
          <w:lang w:val="bg-BG"/>
        </w:rPr>
        <w:t>, отпуснати</w:t>
      </w:r>
      <w:r w:rsidR="00AE6857">
        <w:rPr>
          <w:rFonts w:ascii="Arial" w:hAnsi="Arial" w:cs="Arial"/>
          <w:sz w:val="20"/>
          <w:szCs w:val="20"/>
          <w:lang w:val="bg-BG"/>
        </w:rPr>
        <w:t xml:space="preserve"> на допустими</w:t>
      </w:r>
      <w:r w:rsidR="001D111E">
        <w:rPr>
          <w:rFonts w:ascii="Arial" w:hAnsi="Arial" w:cs="Arial"/>
          <w:sz w:val="20"/>
          <w:szCs w:val="20"/>
          <w:lang w:val="bg-BG"/>
        </w:rPr>
        <w:t xml:space="preserve"> крайни получатели</w:t>
      </w:r>
      <w:r w:rsidR="00DB52FF" w:rsidRPr="001D111E">
        <w:rPr>
          <w:rFonts w:ascii="Arial" w:hAnsi="Arial" w:cs="Arial"/>
          <w:sz w:val="20"/>
          <w:szCs w:val="20"/>
          <w:lang w:val="bg-BG"/>
        </w:rPr>
        <w:t>.</w:t>
      </w:r>
    </w:p>
    <w:p w14:paraId="1EF79632" w14:textId="77777777" w:rsidR="00A1287A" w:rsidRPr="00990304" w:rsidRDefault="00FE7D77" w:rsidP="00816094">
      <w:pPr>
        <w:spacing w:after="120"/>
        <w:jc w:val="both"/>
        <w:rPr>
          <w:rFonts w:ascii="Arial" w:hAnsi="Arial" w:cs="Arial"/>
          <w:sz w:val="20"/>
          <w:szCs w:val="20"/>
          <w:lang w:val="bg-BG"/>
        </w:rPr>
      </w:pPr>
      <w:r>
        <w:rPr>
          <w:rFonts w:ascii="Arial" w:hAnsi="Arial" w:cs="Arial"/>
          <w:sz w:val="20"/>
          <w:szCs w:val="20"/>
          <w:lang w:val="bg-BG"/>
        </w:rPr>
        <w:t>ФМФИБ ще бъде отговорен за</w:t>
      </w:r>
      <w:r w:rsidRPr="00E319A2">
        <w:rPr>
          <w:rFonts w:ascii="Arial" w:hAnsi="Arial" w:cs="Arial"/>
          <w:sz w:val="20"/>
          <w:szCs w:val="20"/>
          <w:lang w:val="bg-BG"/>
        </w:rPr>
        <w:t xml:space="preserve"> </w:t>
      </w:r>
      <w:r>
        <w:rPr>
          <w:rFonts w:ascii="Arial" w:hAnsi="Arial" w:cs="Arial"/>
          <w:sz w:val="20"/>
          <w:szCs w:val="20"/>
          <w:lang w:val="bg-BG"/>
        </w:rPr>
        <w:t>избора на фонд мениджър на специалната инвестиционна структура (</w:t>
      </w:r>
      <w:r>
        <w:rPr>
          <w:rFonts w:ascii="Arial" w:hAnsi="Arial" w:cs="Arial"/>
          <w:sz w:val="20"/>
          <w:szCs w:val="20"/>
        </w:rPr>
        <w:t>DIV</w:t>
      </w:r>
      <w:r>
        <w:rPr>
          <w:rFonts w:ascii="Arial" w:hAnsi="Arial" w:cs="Arial"/>
          <w:sz w:val="20"/>
          <w:szCs w:val="20"/>
          <w:lang w:val="bg-BG"/>
        </w:rPr>
        <w:t>) и последващия мониторинг на неговата дейност. ФМФИБ може да осъществи избор на фонд мениджър на специалната инвестиционна структура (</w:t>
      </w:r>
      <w:r>
        <w:rPr>
          <w:rFonts w:ascii="Arial" w:hAnsi="Arial" w:cs="Arial"/>
          <w:sz w:val="20"/>
          <w:szCs w:val="20"/>
        </w:rPr>
        <w:t>DIV</w:t>
      </w:r>
      <w:r>
        <w:rPr>
          <w:rFonts w:ascii="Arial" w:hAnsi="Arial" w:cs="Arial"/>
          <w:sz w:val="20"/>
          <w:szCs w:val="20"/>
          <w:lang w:val="bg-BG"/>
        </w:rPr>
        <w:t xml:space="preserve">) чрез </w:t>
      </w:r>
      <w:r w:rsidR="004051E4" w:rsidRPr="004051E4">
        <w:rPr>
          <w:rFonts w:ascii="Arial" w:hAnsi="Arial" w:cs="Arial"/>
          <w:sz w:val="20"/>
          <w:szCs w:val="20"/>
          <w:lang w:val="bg-BG"/>
        </w:rPr>
        <w:t>открит</w:t>
      </w:r>
      <w:r w:rsidR="004051E4">
        <w:rPr>
          <w:rFonts w:ascii="Arial" w:hAnsi="Arial" w:cs="Arial"/>
          <w:sz w:val="20"/>
          <w:szCs w:val="20"/>
          <w:lang w:val="bg-BG"/>
        </w:rPr>
        <w:t>а</w:t>
      </w:r>
      <w:r w:rsidR="004051E4" w:rsidRPr="004051E4">
        <w:rPr>
          <w:rFonts w:ascii="Arial" w:hAnsi="Arial" w:cs="Arial"/>
          <w:sz w:val="20"/>
          <w:szCs w:val="20"/>
          <w:lang w:val="bg-BG"/>
        </w:rPr>
        <w:t>, прозрачн</w:t>
      </w:r>
      <w:r w:rsidR="004051E4">
        <w:rPr>
          <w:rFonts w:ascii="Arial" w:hAnsi="Arial" w:cs="Arial"/>
          <w:sz w:val="20"/>
          <w:szCs w:val="20"/>
          <w:lang w:val="bg-BG"/>
        </w:rPr>
        <w:t>а</w:t>
      </w:r>
      <w:r w:rsidR="004051E4" w:rsidRPr="004051E4">
        <w:rPr>
          <w:rFonts w:ascii="Arial" w:hAnsi="Arial" w:cs="Arial"/>
          <w:sz w:val="20"/>
          <w:szCs w:val="20"/>
          <w:lang w:val="bg-BG"/>
        </w:rPr>
        <w:t>, пропорционалн</w:t>
      </w:r>
      <w:r w:rsidR="004051E4">
        <w:rPr>
          <w:rFonts w:ascii="Arial" w:hAnsi="Arial" w:cs="Arial"/>
          <w:sz w:val="20"/>
          <w:szCs w:val="20"/>
          <w:lang w:val="bg-BG"/>
        </w:rPr>
        <w:t>а</w:t>
      </w:r>
      <w:r w:rsidR="004051E4" w:rsidRPr="004051E4">
        <w:rPr>
          <w:rFonts w:ascii="Arial" w:hAnsi="Arial" w:cs="Arial"/>
          <w:sz w:val="20"/>
          <w:szCs w:val="20"/>
          <w:lang w:val="bg-BG"/>
        </w:rPr>
        <w:t xml:space="preserve"> и недискриминационн</w:t>
      </w:r>
      <w:r w:rsidR="004051E4">
        <w:rPr>
          <w:rFonts w:ascii="Arial" w:hAnsi="Arial" w:cs="Arial"/>
          <w:sz w:val="20"/>
          <w:szCs w:val="20"/>
          <w:lang w:val="bg-BG"/>
        </w:rPr>
        <w:t>а</w:t>
      </w:r>
      <w:r w:rsidR="004051E4" w:rsidRPr="004051E4">
        <w:rPr>
          <w:rFonts w:ascii="Arial" w:hAnsi="Arial" w:cs="Arial"/>
          <w:sz w:val="20"/>
          <w:szCs w:val="20"/>
          <w:lang w:val="bg-BG"/>
        </w:rPr>
        <w:t xml:space="preserve"> процедур</w:t>
      </w:r>
      <w:r w:rsidR="004051E4">
        <w:rPr>
          <w:rFonts w:ascii="Arial" w:hAnsi="Arial" w:cs="Arial"/>
          <w:sz w:val="20"/>
          <w:szCs w:val="20"/>
          <w:lang w:val="bg-BG"/>
        </w:rPr>
        <w:t>а</w:t>
      </w:r>
      <w:r w:rsidR="004051E4" w:rsidRPr="004051E4">
        <w:rPr>
          <w:rFonts w:ascii="Arial" w:hAnsi="Arial" w:cs="Arial"/>
          <w:sz w:val="20"/>
          <w:szCs w:val="20"/>
          <w:lang w:val="bg-BG"/>
        </w:rPr>
        <w:t>, като се избягват конфликти на интереси</w:t>
      </w:r>
      <w:r w:rsidR="004051E4">
        <w:rPr>
          <w:rFonts w:ascii="Arial" w:hAnsi="Arial" w:cs="Arial"/>
          <w:sz w:val="20"/>
          <w:szCs w:val="20"/>
          <w:lang w:val="bg-BG"/>
        </w:rPr>
        <w:t xml:space="preserve">, </w:t>
      </w:r>
      <w:r>
        <w:rPr>
          <w:rFonts w:ascii="Arial" w:hAnsi="Arial" w:cs="Arial"/>
          <w:sz w:val="20"/>
          <w:szCs w:val="20"/>
          <w:lang w:val="bg-BG"/>
        </w:rPr>
        <w:t xml:space="preserve">в съответствие с чл. </w:t>
      </w:r>
      <w:r w:rsidRPr="00E319A2">
        <w:rPr>
          <w:rFonts w:ascii="Arial" w:hAnsi="Arial" w:cs="Arial"/>
          <w:sz w:val="20"/>
          <w:szCs w:val="20"/>
          <w:lang w:val="bg-BG"/>
        </w:rPr>
        <w:t>38</w:t>
      </w:r>
      <w:r>
        <w:rPr>
          <w:rFonts w:ascii="Arial" w:hAnsi="Arial" w:cs="Arial"/>
          <w:sz w:val="20"/>
          <w:szCs w:val="20"/>
          <w:lang w:val="bg-BG"/>
        </w:rPr>
        <w:t xml:space="preserve"> </w:t>
      </w:r>
      <w:r w:rsidRPr="00E319A2">
        <w:rPr>
          <w:rFonts w:ascii="Arial" w:hAnsi="Arial" w:cs="Arial"/>
          <w:sz w:val="20"/>
          <w:szCs w:val="20"/>
          <w:lang w:val="bg-BG"/>
        </w:rPr>
        <w:t xml:space="preserve">(5) </w:t>
      </w:r>
      <w:r w:rsidRPr="001D111E">
        <w:rPr>
          <w:rFonts w:ascii="Arial" w:hAnsi="Arial" w:cs="Arial"/>
          <w:sz w:val="20"/>
          <w:szCs w:val="20"/>
          <w:lang w:val="bg-BG"/>
        </w:rPr>
        <w:t>от</w:t>
      </w:r>
      <w:r w:rsidRPr="00E319A2">
        <w:rPr>
          <w:rFonts w:ascii="Arial" w:hAnsi="Arial" w:cs="Arial"/>
          <w:sz w:val="20"/>
          <w:szCs w:val="20"/>
          <w:lang w:val="bg-BG"/>
        </w:rPr>
        <w:t xml:space="preserve"> Регламент (ЕС) №1303/2013</w:t>
      </w:r>
      <w:r>
        <w:rPr>
          <w:rFonts w:ascii="Arial" w:hAnsi="Arial" w:cs="Arial"/>
          <w:sz w:val="20"/>
          <w:szCs w:val="20"/>
          <w:lang w:val="bg-BG"/>
        </w:rPr>
        <w:t xml:space="preserve"> и</w:t>
      </w:r>
      <w:r w:rsidRPr="00E319A2">
        <w:rPr>
          <w:rFonts w:ascii="Arial" w:hAnsi="Arial" w:cs="Arial"/>
          <w:sz w:val="20"/>
          <w:szCs w:val="20"/>
          <w:lang w:val="bg-BG"/>
        </w:rPr>
        <w:t xml:space="preserve"> </w:t>
      </w:r>
      <w:r>
        <w:rPr>
          <w:rFonts w:ascii="Arial" w:hAnsi="Arial" w:cs="Arial"/>
          <w:sz w:val="20"/>
          <w:szCs w:val="20"/>
          <w:lang w:val="bg-BG"/>
        </w:rPr>
        <w:t xml:space="preserve">чл.6 и чл.7 от Делегиран регламент (ЕС) </w:t>
      </w:r>
      <w:r w:rsidRPr="00E319A2">
        <w:rPr>
          <w:rFonts w:ascii="Arial" w:hAnsi="Arial" w:cs="Arial"/>
          <w:sz w:val="20"/>
          <w:szCs w:val="20"/>
          <w:lang w:val="bg-BG"/>
        </w:rPr>
        <w:t>№480/2014</w:t>
      </w:r>
      <w:r>
        <w:rPr>
          <w:rFonts w:ascii="Arial" w:hAnsi="Arial" w:cs="Arial"/>
          <w:sz w:val="20"/>
          <w:szCs w:val="20"/>
          <w:lang w:val="bg-BG"/>
        </w:rPr>
        <w:t xml:space="preserve"> или директно да повери управлението на специалната инвестиционна структура (</w:t>
      </w:r>
      <w:r>
        <w:rPr>
          <w:rFonts w:ascii="Arial" w:hAnsi="Arial" w:cs="Arial"/>
          <w:sz w:val="20"/>
          <w:szCs w:val="20"/>
        </w:rPr>
        <w:t>DIV</w:t>
      </w:r>
      <w:r>
        <w:rPr>
          <w:rFonts w:ascii="Arial" w:hAnsi="Arial" w:cs="Arial"/>
          <w:sz w:val="20"/>
          <w:szCs w:val="20"/>
          <w:lang w:val="bg-BG"/>
        </w:rPr>
        <w:t>) на международна финансова институция (МФИ).</w:t>
      </w:r>
      <w:r w:rsidRPr="00E319A2">
        <w:rPr>
          <w:rFonts w:ascii="Arial" w:hAnsi="Arial" w:cs="Arial"/>
          <w:sz w:val="20"/>
          <w:szCs w:val="20"/>
          <w:lang w:val="bg-BG"/>
        </w:rPr>
        <w:t xml:space="preserve"> </w:t>
      </w:r>
      <w:r>
        <w:rPr>
          <w:rFonts w:ascii="Arial" w:hAnsi="Arial" w:cs="Arial"/>
          <w:sz w:val="20"/>
          <w:szCs w:val="20"/>
          <w:lang w:val="bg-BG"/>
        </w:rPr>
        <w:t>Точните договорености между ФМФИБ и фонд мениджъра на специалната инвестиционна структура (</w:t>
      </w:r>
      <w:r>
        <w:rPr>
          <w:rFonts w:ascii="Arial" w:hAnsi="Arial" w:cs="Arial"/>
          <w:sz w:val="20"/>
          <w:szCs w:val="20"/>
        </w:rPr>
        <w:t>DIV</w:t>
      </w:r>
      <w:r>
        <w:rPr>
          <w:rFonts w:ascii="Arial" w:hAnsi="Arial" w:cs="Arial"/>
          <w:sz w:val="20"/>
          <w:szCs w:val="20"/>
          <w:lang w:val="bg-BG"/>
        </w:rPr>
        <w:t xml:space="preserve">) ще бъдат </w:t>
      </w:r>
      <w:r w:rsidR="00750E2A">
        <w:rPr>
          <w:rFonts w:ascii="Arial" w:hAnsi="Arial" w:cs="Arial"/>
          <w:sz w:val="20"/>
          <w:szCs w:val="20"/>
          <w:lang w:val="bg-BG"/>
        </w:rPr>
        <w:t>регламентирани</w:t>
      </w:r>
      <w:r>
        <w:rPr>
          <w:rFonts w:ascii="Arial" w:hAnsi="Arial" w:cs="Arial"/>
          <w:sz w:val="20"/>
          <w:szCs w:val="20"/>
          <w:lang w:val="bg-BG"/>
        </w:rPr>
        <w:t xml:space="preserve"> в Оперативно споразумение, подписано от двете страни.</w:t>
      </w:r>
      <w:r w:rsidRPr="00E319A2">
        <w:rPr>
          <w:rFonts w:ascii="Arial" w:hAnsi="Arial" w:cs="Arial"/>
          <w:sz w:val="20"/>
          <w:szCs w:val="20"/>
          <w:lang w:val="bg-BG"/>
        </w:rPr>
        <w:t xml:space="preserve"> </w:t>
      </w:r>
      <w:r>
        <w:rPr>
          <w:rFonts w:ascii="Arial" w:hAnsi="Arial" w:cs="Arial"/>
          <w:sz w:val="20"/>
          <w:szCs w:val="20"/>
          <w:lang w:val="bg-BG"/>
        </w:rPr>
        <w:t>В Оперативното споразумение</w:t>
      </w:r>
      <w:r w:rsidR="00750E2A">
        <w:rPr>
          <w:rFonts w:ascii="Arial" w:hAnsi="Arial" w:cs="Arial"/>
          <w:sz w:val="20"/>
          <w:szCs w:val="20"/>
          <w:lang w:val="bg-BG"/>
        </w:rPr>
        <w:t xml:space="preserve"> </w:t>
      </w:r>
      <w:r>
        <w:rPr>
          <w:rFonts w:ascii="Arial" w:hAnsi="Arial" w:cs="Arial"/>
          <w:sz w:val="20"/>
          <w:szCs w:val="20"/>
          <w:lang w:val="bg-BG"/>
        </w:rPr>
        <w:t xml:space="preserve">ще </w:t>
      </w:r>
      <w:r w:rsidR="00750E2A">
        <w:rPr>
          <w:rFonts w:ascii="Arial" w:hAnsi="Arial" w:cs="Arial"/>
          <w:sz w:val="20"/>
          <w:szCs w:val="20"/>
          <w:lang w:val="bg-BG"/>
        </w:rPr>
        <w:t xml:space="preserve">бъдат </w:t>
      </w:r>
      <w:r>
        <w:rPr>
          <w:rFonts w:ascii="Arial" w:hAnsi="Arial" w:cs="Arial"/>
          <w:sz w:val="20"/>
          <w:szCs w:val="20"/>
          <w:lang w:val="bg-BG"/>
        </w:rPr>
        <w:t>определ</w:t>
      </w:r>
      <w:r w:rsidR="00750E2A">
        <w:rPr>
          <w:rFonts w:ascii="Arial" w:hAnsi="Arial" w:cs="Arial"/>
          <w:sz w:val="20"/>
          <w:szCs w:val="20"/>
          <w:lang w:val="bg-BG"/>
        </w:rPr>
        <w:t>ени правата и отговорностите на страните и</w:t>
      </w:r>
      <w:r>
        <w:rPr>
          <w:rFonts w:ascii="Arial" w:hAnsi="Arial" w:cs="Arial"/>
          <w:sz w:val="20"/>
          <w:szCs w:val="20"/>
          <w:lang w:val="bg-BG"/>
        </w:rPr>
        <w:t xml:space="preserve"> ограничителната рамка за дейността на фонд мениджъра.</w:t>
      </w:r>
      <w:r w:rsidR="00743E09">
        <w:rPr>
          <w:rFonts w:ascii="Arial" w:hAnsi="Arial" w:cs="Arial"/>
          <w:sz w:val="20"/>
          <w:szCs w:val="20"/>
          <w:lang w:val="bg-BG"/>
        </w:rPr>
        <w:t xml:space="preserve"> Фонд мениджърът на специалната инвестиционна структура (</w:t>
      </w:r>
      <w:r w:rsidR="00743E09">
        <w:rPr>
          <w:rFonts w:ascii="Arial" w:hAnsi="Arial" w:cs="Arial"/>
          <w:sz w:val="20"/>
          <w:szCs w:val="20"/>
        </w:rPr>
        <w:t>DIV</w:t>
      </w:r>
      <w:r w:rsidR="00743E09">
        <w:rPr>
          <w:rFonts w:ascii="Arial" w:hAnsi="Arial" w:cs="Arial"/>
          <w:sz w:val="20"/>
          <w:szCs w:val="20"/>
          <w:lang w:val="bg-BG"/>
        </w:rPr>
        <w:t xml:space="preserve">) ще бъде отговорен за прилагането </w:t>
      </w:r>
      <w:r w:rsidR="00743E09" w:rsidRPr="00DF2834">
        <w:rPr>
          <w:rFonts w:ascii="Arial" w:hAnsi="Arial" w:cs="Arial"/>
          <w:sz w:val="20"/>
          <w:szCs w:val="20"/>
          <w:lang w:val="bg-BG"/>
        </w:rPr>
        <w:t>на ФИ</w:t>
      </w:r>
      <w:r w:rsidR="00750E2A">
        <w:rPr>
          <w:rFonts w:ascii="Arial" w:hAnsi="Arial" w:cs="Arial"/>
          <w:sz w:val="20"/>
          <w:szCs w:val="20"/>
          <w:lang w:val="bg-BG"/>
        </w:rPr>
        <w:t xml:space="preserve">, </w:t>
      </w:r>
      <w:r w:rsidR="00743E09" w:rsidRPr="00DF2834">
        <w:rPr>
          <w:rFonts w:ascii="Arial" w:hAnsi="Arial" w:cs="Arial"/>
          <w:sz w:val="20"/>
          <w:szCs w:val="20"/>
          <w:lang w:val="bg-BG"/>
        </w:rPr>
        <w:t xml:space="preserve"> </w:t>
      </w:r>
      <w:r w:rsidR="00750E2A">
        <w:rPr>
          <w:rFonts w:ascii="Arial" w:hAnsi="Arial" w:cs="Arial"/>
          <w:sz w:val="20"/>
          <w:szCs w:val="20"/>
          <w:lang w:val="bg-BG"/>
        </w:rPr>
        <w:t>като</w:t>
      </w:r>
      <w:r w:rsidR="00743E09" w:rsidRPr="00DF2834">
        <w:rPr>
          <w:rFonts w:ascii="Arial" w:hAnsi="Arial" w:cs="Arial"/>
          <w:sz w:val="20"/>
          <w:szCs w:val="20"/>
          <w:lang w:val="bg-BG"/>
        </w:rPr>
        <w:t xml:space="preserve"> ще </w:t>
      </w:r>
      <w:r w:rsidR="00743E09" w:rsidRPr="00A15119">
        <w:rPr>
          <w:rFonts w:ascii="Arial" w:hAnsi="Arial" w:cs="Arial"/>
          <w:sz w:val="20"/>
          <w:szCs w:val="20"/>
          <w:lang w:val="bg-BG"/>
        </w:rPr>
        <w:t xml:space="preserve">предоставя директни заеми на допустими по </w:t>
      </w:r>
      <w:r w:rsidR="00F05086">
        <w:rPr>
          <w:rFonts w:ascii="Arial" w:hAnsi="Arial" w:cs="Arial"/>
          <w:sz w:val="20"/>
          <w:szCs w:val="20"/>
          <w:lang w:val="bg-BG"/>
        </w:rPr>
        <w:t xml:space="preserve">ПО1 Води на </w:t>
      </w:r>
      <w:r w:rsidR="00743E09" w:rsidRPr="00A15119">
        <w:rPr>
          <w:rFonts w:ascii="Arial" w:hAnsi="Arial" w:cs="Arial"/>
          <w:sz w:val="20"/>
          <w:szCs w:val="20"/>
          <w:lang w:val="bg-BG"/>
        </w:rPr>
        <w:t>ОПОС</w:t>
      </w:r>
      <w:r w:rsidR="00F05086">
        <w:rPr>
          <w:rFonts w:ascii="Arial" w:hAnsi="Arial" w:cs="Arial"/>
          <w:sz w:val="20"/>
          <w:szCs w:val="20"/>
          <w:lang w:val="bg-BG"/>
        </w:rPr>
        <w:t xml:space="preserve"> 2014 – 2020 г.</w:t>
      </w:r>
      <w:r w:rsidR="00743E09" w:rsidRPr="00A15119">
        <w:rPr>
          <w:rFonts w:ascii="Arial" w:hAnsi="Arial" w:cs="Arial"/>
          <w:sz w:val="20"/>
          <w:szCs w:val="20"/>
          <w:lang w:val="bg-BG"/>
        </w:rPr>
        <w:t xml:space="preserve"> крайни получатели</w:t>
      </w:r>
      <w:r w:rsidR="00743E09" w:rsidRPr="00DF2834">
        <w:rPr>
          <w:rFonts w:ascii="Arial" w:hAnsi="Arial" w:cs="Arial"/>
          <w:sz w:val="20"/>
          <w:szCs w:val="20"/>
          <w:lang w:val="bg-BG"/>
        </w:rPr>
        <w:t xml:space="preserve"> и гаранции на търговски банки за заеми, предоставени на допустими по </w:t>
      </w:r>
      <w:r w:rsidR="00F05086">
        <w:rPr>
          <w:rFonts w:ascii="Arial" w:hAnsi="Arial" w:cs="Arial"/>
          <w:sz w:val="20"/>
          <w:szCs w:val="20"/>
          <w:lang w:val="bg-BG"/>
        </w:rPr>
        <w:t xml:space="preserve">ПО1 Води на </w:t>
      </w:r>
      <w:r w:rsidR="00743E09" w:rsidRPr="00DF2834">
        <w:rPr>
          <w:rFonts w:ascii="Arial" w:hAnsi="Arial" w:cs="Arial"/>
          <w:sz w:val="20"/>
          <w:szCs w:val="20"/>
          <w:lang w:val="bg-BG"/>
        </w:rPr>
        <w:t>ОПОС</w:t>
      </w:r>
      <w:r w:rsidR="00F05086">
        <w:rPr>
          <w:rFonts w:ascii="Arial" w:hAnsi="Arial" w:cs="Arial"/>
          <w:sz w:val="20"/>
          <w:szCs w:val="20"/>
          <w:lang w:val="bg-BG"/>
        </w:rPr>
        <w:t xml:space="preserve"> 2014 – 2020 г.</w:t>
      </w:r>
      <w:r w:rsidR="00743E09" w:rsidRPr="00DF2834">
        <w:rPr>
          <w:rFonts w:ascii="Arial" w:hAnsi="Arial" w:cs="Arial"/>
          <w:sz w:val="20"/>
          <w:szCs w:val="20"/>
          <w:lang w:val="bg-BG"/>
        </w:rPr>
        <w:t xml:space="preserve"> крайни получатели. </w:t>
      </w:r>
      <w:r w:rsidR="009C6800">
        <w:rPr>
          <w:rFonts w:ascii="Arial" w:hAnsi="Arial" w:cs="Arial"/>
          <w:sz w:val="20"/>
          <w:szCs w:val="20"/>
          <w:lang w:val="bg-BG"/>
        </w:rPr>
        <w:t xml:space="preserve">Проверката </w:t>
      </w:r>
      <w:r w:rsidR="00743E09" w:rsidRPr="00DF2834">
        <w:rPr>
          <w:rFonts w:ascii="Arial" w:hAnsi="Arial" w:cs="Arial"/>
          <w:sz w:val="20"/>
          <w:szCs w:val="20"/>
          <w:lang w:val="bg-BG"/>
        </w:rPr>
        <w:t>на инвестициите относно тяхната финансова рентабилност</w:t>
      </w:r>
      <w:r w:rsidR="00743E09">
        <w:rPr>
          <w:rFonts w:ascii="Arial" w:hAnsi="Arial" w:cs="Arial"/>
          <w:sz w:val="20"/>
          <w:szCs w:val="20"/>
          <w:lang w:val="bg-BG"/>
        </w:rPr>
        <w:t xml:space="preserve"> и съответствието им с целите на ОПОС</w:t>
      </w:r>
      <w:r w:rsidR="00743E09" w:rsidRPr="00DF2834">
        <w:rPr>
          <w:rFonts w:ascii="Arial" w:hAnsi="Arial" w:cs="Arial"/>
          <w:sz w:val="20"/>
          <w:szCs w:val="20"/>
          <w:lang w:val="bg-BG"/>
        </w:rPr>
        <w:t>, както и крайното решение за това, дали дадена инвестиция да бъде финансирана чрез ФИ, ще бъде отговорност на фонд мениджъра на специалната инвестиционна структура (</w:t>
      </w:r>
      <w:r w:rsidR="00743E09" w:rsidRPr="00DF2834">
        <w:rPr>
          <w:rFonts w:ascii="Arial" w:hAnsi="Arial" w:cs="Arial"/>
          <w:sz w:val="20"/>
          <w:szCs w:val="20"/>
        </w:rPr>
        <w:t>DIV</w:t>
      </w:r>
      <w:r w:rsidR="00743E09" w:rsidRPr="00DF2834">
        <w:rPr>
          <w:rFonts w:ascii="Arial" w:hAnsi="Arial" w:cs="Arial"/>
          <w:sz w:val="20"/>
          <w:szCs w:val="20"/>
          <w:lang w:val="bg-BG"/>
        </w:rPr>
        <w:t>)</w:t>
      </w:r>
      <w:r w:rsidR="00743E09" w:rsidRPr="0007762C">
        <w:rPr>
          <w:rFonts w:ascii="Arial" w:hAnsi="Arial" w:cs="Arial"/>
          <w:sz w:val="20"/>
          <w:szCs w:val="20"/>
          <w:lang w:val="bg-BG"/>
        </w:rPr>
        <w:t xml:space="preserve">. </w:t>
      </w:r>
      <w:r w:rsidR="00A1287A">
        <w:rPr>
          <w:rFonts w:ascii="Arial" w:hAnsi="Arial" w:cs="Arial"/>
          <w:sz w:val="20"/>
          <w:szCs w:val="20"/>
          <w:lang w:val="bg-BG"/>
        </w:rPr>
        <w:t xml:space="preserve">Настоящата ИС </w:t>
      </w:r>
      <w:r w:rsidR="009C2381">
        <w:rPr>
          <w:rFonts w:ascii="Arial" w:hAnsi="Arial" w:cs="Arial"/>
          <w:sz w:val="20"/>
          <w:szCs w:val="20"/>
          <w:lang w:val="bg-BG"/>
        </w:rPr>
        <w:t xml:space="preserve">предвижда вариант за изпълнение, базиран на </w:t>
      </w:r>
      <w:r w:rsidR="00A1287A">
        <w:rPr>
          <w:rFonts w:ascii="Arial" w:hAnsi="Arial" w:cs="Arial"/>
          <w:sz w:val="20"/>
          <w:szCs w:val="20"/>
          <w:lang w:val="bg-BG"/>
        </w:rPr>
        <w:t>създаването на специална инвестиционна структура (</w:t>
      </w:r>
      <w:r w:rsidR="00A1287A">
        <w:rPr>
          <w:rFonts w:ascii="Arial" w:hAnsi="Arial" w:cs="Arial"/>
          <w:sz w:val="20"/>
          <w:szCs w:val="20"/>
        </w:rPr>
        <w:t>DIV</w:t>
      </w:r>
      <w:r w:rsidR="00A1287A">
        <w:rPr>
          <w:rFonts w:ascii="Arial" w:hAnsi="Arial" w:cs="Arial"/>
          <w:sz w:val="20"/>
          <w:szCs w:val="20"/>
          <w:lang w:val="bg-BG"/>
        </w:rPr>
        <w:t>) поради следните причини</w:t>
      </w:r>
      <w:r w:rsidR="00A1287A" w:rsidRPr="00990304">
        <w:rPr>
          <w:rFonts w:ascii="Arial" w:hAnsi="Arial" w:cs="Arial"/>
          <w:sz w:val="20"/>
          <w:szCs w:val="20"/>
          <w:lang w:val="bg-BG"/>
        </w:rPr>
        <w:t>:</w:t>
      </w:r>
    </w:p>
    <w:p w14:paraId="1B49CA77" w14:textId="77777777" w:rsidR="00A1287A" w:rsidRPr="00BC7695" w:rsidRDefault="00A1287A" w:rsidP="00A1287A">
      <w:pPr>
        <w:pStyle w:val="ListParagraph"/>
        <w:numPr>
          <w:ilvl w:val="0"/>
          <w:numId w:val="5"/>
        </w:numPr>
        <w:spacing w:after="120"/>
        <w:ind w:left="567"/>
        <w:contextualSpacing w:val="0"/>
        <w:jc w:val="both"/>
        <w:rPr>
          <w:rFonts w:ascii="Arial" w:hAnsi="Arial" w:cs="Arial"/>
          <w:sz w:val="20"/>
          <w:szCs w:val="20"/>
          <w:lang w:val="bg-BG"/>
        </w:rPr>
      </w:pPr>
      <w:r w:rsidRPr="00BC7695">
        <w:rPr>
          <w:rFonts w:ascii="Arial" w:hAnsi="Arial" w:cs="Arial"/>
          <w:sz w:val="20"/>
          <w:szCs w:val="20"/>
          <w:lang w:val="bg-BG"/>
        </w:rPr>
        <w:t xml:space="preserve">Проектите, които подлежат на финансиране, са сложни, а крайните получатели нямат необходимите експертиза и опит в проектно финансиране и управление. Посредством професионално управление чрез фонд мениджър, съчетано с </w:t>
      </w:r>
      <w:r w:rsidR="005112B5">
        <w:rPr>
          <w:rFonts w:ascii="Arial" w:hAnsi="Arial" w:cs="Arial"/>
          <w:sz w:val="20"/>
          <w:szCs w:val="20"/>
          <w:lang w:val="bg-BG"/>
        </w:rPr>
        <w:t>мерки за укрепване капацитета на ВиКО</w:t>
      </w:r>
      <w:r w:rsidRPr="00BC7695">
        <w:rPr>
          <w:rFonts w:ascii="Arial" w:hAnsi="Arial" w:cs="Arial"/>
          <w:sz w:val="20"/>
          <w:szCs w:val="20"/>
          <w:lang w:val="bg-BG"/>
        </w:rPr>
        <w:t>, специалната инвестиционна структура (</w:t>
      </w:r>
      <w:r w:rsidRPr="00BC7695">
        <w:rPr>
          <w:rFonts w:ascii="Arial" w:hAnsi="Arial" w:cs="Arial"/>
          <w:sz w:val="20"/>
          <w:szCs w:val="20"/>
        </w:rPr>
        <w:t>DIV</w:t>
      </w:r>
      <w:r w:rsidRPr="00BC7695">
        <w:rPr>
          <w:rFonts w:ascii="Arial" w:hAnsi="Arial" w:cs="Arial"/>
          <w:sz w:val="20"/>
          <w:szCs w:val="20"/>
          <w:lang w:val="bg-BG"/>
        </w:rPr>
        <w:t xml:space="preserve">) ще може да адресира тези пазарни проблеми. </w:t>
      </w:r>
    </w:p>
    <w:p w14:paraId="78E909F3" w14:textId="77777777" w:rsidR="00A1287A" w:rsidRPr="00BC7695" w:rsidRDefault="00A1287A" w:rsidP="00A1287A">
      <w:pPr>
        <w:pStyle w:val="ListParagraph"/>
        <w:numPr>
          <w:ilvl w:val="0"/>
          <w:numId w:val="5"/>
        </w:numPr>
        <w:spacing w:after="120"/>
        <w:ind w:left="567"/>
        <w:contextualSpacing w:val="0"/>
        <w:jc w:val="both"/>
        <w:rPr>
          <w:rFonts w:ascii="Arial" w:hAnsi="Arial" w:cs="Arial"/>
          <w:sz w:val="20"/>
          <w:szCs w:val="20"/>
          <w:lang w:val="bg-BG"/>
        </w:rPr>
      </w:pPr>
      <w:r w:rsidRPr="00BC7695">
        <w:rPr>
          <w:rFonts w:ascii="Arial" w:hAnsi="Arial" w:cs="Arial"/>
          <w:sz w:val="20"/>
          <w:szCs w:val="20"/>
          <w:lang w:val="bg-BG"/>
        </w:rPr>
        <w:t>Търговските банки считат сектор</w:t>
      </w:r>
      <w:r w:rsidR="00985D0B">
        <w:rPr>
          <w:rFonts w:ascii="Arial" w:hAnsi="Arial" w:cs="Arial"/>
          <w:sz w:val="20"/>
          <w:szCs w:val="20"/>
          <w:lang w:val="bg-BG"/>
        </w:rPr>
        <w:t>а</w:t>
      </w:r>
      <w:r w:rsidRPr="00BC7695">
        <w:rPr>
          <w:rFonts w:ascii="Arial" w:hAnsi="Arial" w:cs="Arial"/>
          <w:sz w:val="20"/>
          <w:szCs w:val="20"/>
          <w:lang w:val="bg-BG"/>
        </w:rPr>
        <w:t xml:space="preserve"> и проектите в обхвата на </w:t>
      </w:r>
      <w:r w:rsidR="00985D0B">
        <w:rPr>
          <w:rFonts w:ascii="Arial" w:hAnsi="Arial" w:cs="Arial"/>
          <w:sz w:val="20"/>
          <w:szCs w:val="20"/>
          <w:lang w:val="bg-BG"/>
        </w:rPr>
        <w:t xml:space="preserve">стратегията </w:t>
      </w:r>
      <w:r w:rsidRPr="00BC7695">
        <w:rPr>
          <w:rFonts w:ascii="Arial" w:hAnsi="Arial" w:cs="Arial"/>
          <w:sz w:val="20"/>
          <w:szCs w:val="20"/>
          <w:lang w:val="bg-BG"/>
        </w:rPr>
        <w:t>за рискови поради неясноти в регулацията и ограничена кредитоспособност на повечето от крайните получатели. Търговските банки предоставят заеми с по-кратък матуритет, който не съвпада с дългия период на изплащане на инвестициите в обхвата на ИС. В допълнение, ВиКО не притежават дълготрайни активи, подходящи за обезпечение. Затова, търговските банки не са склонни да предоставят заеми на тези крайни получатели без допълнителна подкрепа. В отговор на тези пазарни ограничения, специалната инвестиционна структура (</w:t>
      </w:r>
      <w:r w:rsidRPr="00BC7695">
        <w:rPr>
          <w:rFonts w:ascii="Arial" w:hAnsi="Arial" w:cs="Arial"/>
          <w:sz w:val="20"/>
          <w:szCs w:val="20"/>
        </w:rPr>
        <w:t>DIV</w:t>
      </w:r>
      <w:r w:rsidRPr="00BC7695">
        <w:rPr>
          <w:rFonts w:ascii="Arial" w:hAnsi="Arial" w:cs="Arial"/>
          <w:sz w:val="20"/>
          <w:szCs w:val="20"/>
          <w:lang w:val="bg-BG"/>
        </w:rPr>
        <w:t xml:space="preserve">) ще може да предоставя заеми с по-дълъг матуритет, по-ниски изисквания за обезпечение и адекватни условия, с цел структуриране на инвестициите по устойчив начин и подобряване на финансовата дисциплина сред крайните получатели. </w:t>
      </w:r>
    </w:p>
    <w:p w14:paraId="1F2F9D80" w14:textId="77777777" w:rsidR="00A1287A" w:rsidRPr="00BC7695" w:rsidRDefault="00A1287A" w:rsidP="00A1287A">
      <w:pPr>
        <w:pStyle w:val="ListParagraph"/>
        <w:numPr>
          <w:ilvl w:val="0"/>
          <w:numId w:val="5"/>
        </w:numPr>
        <w:spacing w:after="120"/>
        <w:ind w:left="567"/>
        <w:contextualSpacing w:val="0"/>
        <w:jc w:val="both"/>
        <w:rPr>
          <w:rFonts w:ascii="Arial" w:hAnsi="Arial" w:cs="Arial"/>
          <w:sz w:val="20"/>
          <w:szCs w:val="20"/>
          <w:lang w:val="bg-BG"/>
        </w:rPr>
      </w:pPr>
      <w:r w:rsidRPr="00BC7695">
        <w:rPr>
          <w:rFonts w:ascii="Arial" w:hAnsi="Arial" w:cs="Arial"/>
          <w:sz w:val="20"/>
          <w:szCs w:val="20"/>
          <w:lang w:val="bg-BG"/>
        </w:rPr>
        <w:t xml:space="preserve">Подкрепата за кредитиране, предоставена от ЕСИФ, </w:t>
      </w:r>
      <w:r w:rsidR="009C2381">
        <w:rPr>
          <w:rFonts w:ascii="Arial" w:hAnsi="Arial" w:cs="Arial"/>
          <w:sz w:val="20"/>
          <w:szCs w:val="20"/>
          <w:lang w:val="bg-BG"/>
        </w:rPr>
        <w:t>може да</w:t>
      </w:r>
      <w:r w:rsidR="009C2381" w:rsidRPr="00BC7695">
        <w:rPr>
          <w:rFonts w:ascii="Arial" w:hAnsi="Arial" w:cs="Arial"/>
          <w:sz w:val="20"/>
          <w:szCs w:val="20"/>
          <w:lang w:val="bg-BG"/>
        </w:rPr>
        <w:t xml:space="preserve"> </w:t>
      </w:r>
      <w:r w:rsidRPr="00BC7695">
        <w:rPr>
          <w:rFonts w:ascii="Arial" w:hAnsi="Arial" w:cs="Arial"/>
          <w:sz w:val="20"/>
          <w:szCs w:val="20"/>
          <w:lang w:val="bg-BG"/>
        </w:rPr>
        <w:t>осигури мобилизирането на допълнително финансиране от публичния и частния сектор на нивото на специалната инвестиционна структура (</w:t>
      </w:r>
      <w:r w:rsidRPr="00BC7695">
        <w:rPr>
          <w:rFonts w:ascii="Arial" w:hAnsi="Arial" w:cs="Arial"/>
          <w:sz w:val="20"/>
          <w:szCs w:val="20"/>
        </w:rPr>
        <w:t>DIV</w:t>
      </w:r>
      <w:r w:rsidRPr="00BC7695">
        <w:rPr>
          <w:rFonts w:ascii="Arial" w:hAnsi="Arial" w:cs="Arial"/>
          <w:sz w:val="20"/>
          <w:szCs w:val="20"/>
          <w:lang w:val="bg-BG"/>
        </w:rPr>
        <w:t xml:space="preserve">). Това беше потвърдено по време на дискусии с МФИ и търговски </w:t>
      </w:r>
      <w:r w:rsidRPr="00BC7695">
        <w:rPr>
          <w:rFonts w:ascii="Arial" w:hAnsi="Arial" w:cs="Arial"/>
          <w:sz w:val="20"/>
          <w:szCs w:val="20"/>
          <w:lang w:val="bg-BG"/>
        </w:rPr>
        <w:lastRenderedPageBreak/>
        <w:t>банки. Освен това, с цел привличането на допълнителен капитал от частния сектор, специалната инвестиционна структура (</w:t>
      </w:r>
      <w:r w:rsidRPr="00BC7695">
        <w:rPr>
          <w:rFonts w:ascii="Arial" w:hAnsi="Arial" w:cs="Arial"/>
          <w:sz w:val="20"/>
          <w:szCs w:val="20"/>
        </w:rPr>
        <w:t>DIV</w:t>
      </w:r>
      <w:r w:rsidRPr="00BC7695">
        <w:rPr>
          <w:rFonts w:ascii="Arial" w:hAnsi="Arial" w:cs="Arial"/>
          <w:sz w:val="20"/>
          <w:szCs w:val="20"/>
          <w:lang w:val="bg-BG"/>
        </w:rPr>
        <w:t xml:space="preserve">) ще предоставя гаранции на </w:t>
      </w:r>
      <w:r w:rsidRPr="00131E70">
        <w:rPr>
          <w:rFonts w:ascii="Arial" w:hAnsi="Arial" w:cs="Arial"/>
          <w:sz w:val="20"/>
          <w:szCs w:val="20"/>
          <w:lang w:val="bg-BG"/>
        </w:rPr>
        <w:t>търговските банки на ниво проект.</w:t>
      </w:r>
      <w:r w:rsidRPr="00BC7695">
        <w:rPr>
          <w:rFonts w:ascii="Arial" w:hAnsi="Arial" w:cs="Arial"/>
          <w:sz w:val="20"/>
          <w:szCs w:val="20"/>
          <w:lang w:val="bg-BG"/>
        </w:rPr>
        <w:t xml:space="preserve"> </w:t>
      </w:r>
    </w:p>
    <w:p w14:paraId="00B9F279" w14:textId="77777777" w:rsidR="00A1287A" w:rsidRPr="00D710F5" w:rsidRDefault="00A1287A" w:rsidP="00A1287A">
      <w:pPr>
        <w:pStyle w:val="ListParagraph"/>
        <w:numPr>
          <w:ilvl w:val="0"/>
          <w:numId w:val="5"/>
        </w:numPr>
        <w:spacing w:after="120"/>
        <w:ind w:left="567"/>
        <w:contextualSpacing w:val="0"/>
        <w:jc w:val="both"/>
        <w:rPr>
          <w:rFonts w:ascii="Arial" w:hAnsi="Arial" w:cs="Arial"/>
          <w:sz w:val="20"/>
          <w:szCs w:val="20"/>
          <w:lang w:val="bg-BG"/>
        </w:rPr>
      </w:pPr>
      <w:r w:rsidRPr="00D710F5">
        <w:rPr>
          <w:rFonts w:ascii="Arial" w:hAnsi="Arial" w:cs="Arial"/>
          <w:sz w:val="20"/>
          <w:szCs w:val="20"/>
          <w:lang w:val="bg-BG"/>
        </w:rPr>
        <w:t xml:space="preserve">Професионалното управление на специалната инвестиционна структура (DIV) ще осигури устойчивост на инвестициите чрез активно участие в структурирането и изпълнението на проектите на ниво краен получател. В допълнение, специално адаптирани условия в договорите за заеми за подобряване на ефективността ще осигурят финансова дисциплина и по-добро представяне на ВиКО.    </w:t>
      </w:r>
    </w:p>
    <w:p w14:paraId="7897BD8E" w14:textId="77777777" w:rsidR="00A1287A" w:rsidRPr="00994FBC" w:rsidRDefault="00A1287A" w:rsidP="00A1287A">
      <w:pPr>
        <w:pStyle w:val="ListParagraph"/>
        <w:numPr>
          <w:ilvl w:val="0"/>
          <w:numId w:val="5"/>
        </w:numPr>
        <w:spacing w:after="120"/>
        <w:ind w:left="567"/>
        <w:contextualSpacing w:val="0"/>
        <w:jc w:val="both"/>
        <w:rPr>
          <w:rFonts w:ascii="Arial" w:hAnsi="Arial" w:cs="Arial"/>
          <w:sz w:val="20"/>
          <w:szCs w:val="20"/>
          <w:lang w:val="bg-BG"/>
        </w:rPr>
      </w:pPr>
      <w:r w:rsidRPr="00533AF4">
        <w:rPr>
          <w:rFonts w:ascii="Arial" w:hAnsi="Arial" w:cs="Arial"/>
          <w:sz w:val="20"/>
          <w:szCs w:val="20"/>
          <w:lang w:val="bg-BG"/>
        </w:rPr>
        <w:t xml:space="preserve">Предвидената </w:t>
      </w:r>
      <w:r w:rsidR="005112B5">
        <w:rPr>
          <w:rFonts w:ascii="Arial" w:hAnsi="Arial" w:cs="Arial"/>
          <w:sz w:val="20"/>
          <w:szCs w:val="20"/>
          <w:lang w:val="bg-BG"/>
        </w:rPr>
        <w:t>подкрепа за</w:t>
      </w:r>
      <w:r w:rsidRPr="00533AF4">
        <w:rPr>
          <w:rFonts w:ascii="Arial" w:hAnsi="Arial" w:cs="Arial"/>
          <w:sz w:val="20"/>
          <w:szCs w:val="20"/>
          <w:lang w:val="bg-BG"/>
        </w:rPr>
        <w:t xml:space="preserve"> крайните получатели за изпълнение на проекти и подобряване на капацитета им ще осигури устойчивост на инвестициите.</w:t>
      </w:r>
      <w:r w:rsidRPr="00994FBC">
        <w:rPr>
          <w:rFonts w:ascii="Arial" w:hAnsi="Arial" w:cs="Arial"/>
          <w:sz w:val="20"/>
          <w:szCs w:val="20"/>
          <w:lang w:val="bg-BG"/>
        </w:rPr>
        <w:t xml:space="preserve"> </w:t>
      </w:r>
    </w:p>
    <w:p w14:paraId="704FFA3A" w14:textId="77777777" w:rsidR="00F05086" w:rsidRPr="005D4A9A" w:rsidRDefault="005B457F" w:rsidP="008B5547">
      <w:pPr>
        <w:pStyle w:val="ListParagraph"/>
        <w:numPr>
          <w:ilvl w:val="0"/>
          <w:numId w:val="5"/>
        </w:numPr>
        <w:spacing w:after="120"/>
        <w:ind w:left="567"/>
        <w:contextualSpacing w:val="0"/>
        <w:jc w:val="both"/>
        <w:rPr>
          <w:rFonts w:ascii="Arial" w:hAnsi="Arial" w:cs="Arial"/>
          <w:sz w:val="20"/>
          <w:szCs w:val="20"/>
          <w:lang w:val="bg-BG"/>
        </w:rPr>
      </w:pPr>
      <w:r w:rsidRPr="005D4A9A">
        <w:rPr>
          <w:rFonts w:ascii="Arial" w:hAnsi="Arial" w:cs="Arial"/>
          <w:sz w:val="20"/>
          <w:szCs w:val="20"/>
          <w:lang w:val="bg-BG"/>
        </w:rPr>
        <w:t xml:space="preserve"> </w:t>
      </w:r>
      <w:r w:rsidR="007C2457" w:rsidRPr="005D4A9A">
        <w:rPr>
          <w:rFonts w:ascii="Arial" w:hAnsi="Arial" w:cs="Arial"/>
          <w:sz w:val="20"/>
          <w:szCs w:val="20"/>
          <w:lang w:val="bg-BG"/>
        </w:rPr>
        <w:t>С</w:t>
      </w:r>
      <w:r w:rsidRPr="005D4A9A">
        <w:rPr>
          <w:rFonts w:ascii="Arial" w:hAnsi="Arial" w:cs="Arial"/>
          <w:sz w:val="20"/>
          <w:szCs w:val="20"/>
          <w:lang w:val="bg-BG"/>
        </w:rPr>
        <w:t>поред чл. 37 (8) (9) от Регламент (ЕС) № 1303/2013, ФИ не трябва да бъдат използвани за предварително финансиране на безвъзмездни средства. Затова мостово финансиране в контекста на грантово финансиране от ЕСИФ може да бъде предоставяно от специалната инвестиционна структура (DIV), само ако източникът на средствата за мостово финансиране не е ЕСИФ, а друго частно финансиране</w:t>
      </w:r>
      <w:r w:rsidR="001C30FF" w:rsidRPr="005D4A9A">
        <w:rPr>
          <w:rFonts w:ascii="Arial" w:hAnsi="Arial" w:cs="Arial"/>
          <w:sz w:val="20"/>
          <w:szCs w:val="20"/>
          <w:lang w:val="bg-BG"/>
        </w:rPr>
        <w:t>,</w:t>
      </w:r>
      <w:r w:rsidRPr="005D4A9A">
        <w:rPr>
          <w:rFonts w:ascii="Arial" w:hAnsi="Arial" w:cs="Arial"/>
          <w:sz w:val="20"/>
          <w:szCs w:val="20"/>
          <w:lang w:val="bg-BG"/>
        </w:rPr>
        <w:t xml:space="preserve"> предоставено специално за тази цел. Това означава, че средствата за мостово финансиране трябва да бъдат съхранявани в отделна сметка с отделна одитна пътека и да не се отчитат като привлечено финансиране на ниво </w:t>
      </w:r>
      <w:r w:rsidRPr="005D4A9A">
        <w:rPr>
          <w:rFonts w:ascii="Arial" w:hAnsi="Arial" w:cs="Arial"/>
          <w:sz w:val="20"/>
          <w:szCs w:val="20"/>
          <w:lang w:val="en-US"/>
        </w:rPr>
        <w:t>DIV</w:t>
      </w:r>
      <w:r w:rsidRPr="005D4A9A">
        <w:rPr>
          <w:rFonts w:ascii="Arial" w:hAnsi="Arial" w:cs="Arial"/>
          <w:sz w:val="20"/>
          <w:szCs w:val="20"/>
          <w:lang w:val="bg-BG"/>
        </w:rPr>
        <w:t xml:space="preserve"> в контекста на ФИ по ОПОС</w:t>
      </w:r>
      <w:r w:rsidR="00011D8D" w:rsidRPr="005D4A9A">
        <w:rPr>
          <w:rFonts w:ascii="Arial" w:hAnsi="Arial" w:cs="Arial"/>
          <w:sz w:val="20"/>
          <w:szCs w:val="20"/>
          <w:lang w:val="bg-BG"/>
        </w:rPr>
        <w:t xml:space="preserve"> 2014 – 2020 г</w:t>
      </w:r>
      <w:r w:rsidRPr="005D4A9A">
        <w:rPr>
          <w:rFonts w:ascii="Arial" w:hAnsi="Arial" w:cs="Arial"/>
          <w:sz w:val="20"/>
          <w:szCs w:val="20"/>
          <w:lang w:val="bg-BG"/>
        </w:rPr>
        <w:t xml:space="preserve">. В този случай средствата, използвани за мостово финансиране, няма да могат да се възползват от гаранционния продукт, предоставен от ЕСИФ и </w:t>
      </w:r>
      <w:r w:rsidR="009C2381">
        <w:rPr>
          <w:rFonts w:ascii="Arial" w:hAnsi="Arial" w:cs="Arial"/>
          <w:sz w:val="20"/>
          <w:szCs w:val="20"/>
          <w:lang w:val="bg-BG"/>
        </w:rPr>
        <w:t>няма</w:t>
      </w:r>
      <w:r w:rsidRPr="005D4A9A">
        <w:rPr>
          <w:rFonts w:ascii="Arial" w:hAnsi="Arial" w:cs="Arial"/>
          <w:sz w:val="20"/>
          <w:szCs w:val="20"/>
          <w:lang w:val="bg-BG"/>
        </w:rPr>
        <w:t xml:space="preserve"> да се вземат предвид при калкулацията на постигнатия ефект на лоста от ФИ. </w:t>
      </w:r>
    </w:p>
    <w:p w14:paraId="473F8260" w14:textId="77777777" w:rsidR="00FD09CF" w:rsidRPr="00FA3491" w:rsidRDefault="001F6369" w:rsidP="008B5547">
      <w:pPr>
        <w:pStyle w:val="ListParagraph"/>
        <w:numPr>
          <w:ilvl w:val="0"/>
          <w:numId w:val="5"/>
        </w:numPr>
        <w:spacing w:after="120"/>
        <w:ind w:left="567"/>
        <w:contextualSpacing w:val="0"/>
        <w:jc w:val="both"/>
        <w:rPr>
          <w:rFonts w:ascii="Arial" w:hAnsi="Arial" w:cs="Arial"/>
          <w:sz w:val="20"/>
          <w:szCs w:val="20"/>
          <w:lang w:val="bg-BG"/>
        </w:rPr>
      </w:pPr>
      <w:r w:rsidRPr="00FA3491">
        <w:rPr>
          <w:rFonts w:ascii="Arial" w:hAnsi="Arial" w:cs="Arial"/>
          <w:sz w:val="20"/>
          <w:szCs w:val="20"/>
          <w:lang w:val="bg-BG"/>
        </w:rPr>
        <w:t>Предвиденият вариант за прилагане на ФИ е илюстриран по-долу:</w:t>
      </w:r>
    </w:p>
    <w:p w14:paraId="6A7967BA" w14:textId="77777777" w:rsidR="001F6369" w:rsidRPr="001F6369" w:rsidRDefault="001F6369" w:rsidP="001F6369">
      <w:pPr>
        <w:keepNext/>
        <w:spacing w:after="120"/>
        <w:jc w:val="both"/>
        <w:rPr>
          <w:rFonts w:ascii="Arial" w:hAnsi="Arial" w:cs="Arial"/>
          <w:sz w:val="20"/>
          <w:szCs w:val="20"/>
          <w:lang w:val="bg-BG"/>
        </w:rPr>
      </w:pPr>
    </w:p>
    <w:p w14:paraId="4E8D3604" w14:textId="77777777" w:rsidR="008F21D6" w:rsidRPr="00785B0F" w:rsidRDefault="001F6369" w:rsidP="0019106D">
      <w:pPr>
        <w:pStyle w:val="Caption"/>
        <w:keepNext/>
        <w:rPr>
          <w:rFonts w:ascii="Arial" w:hAnsi="Arial" w:cs="Arial"/>
          <w:sz w:val="20"/>
          <w:szCs w:val="20"/>
          <w:lang w:val="bg-BG"/>
        </w:rPr>
      </w:pPr>
      <w:bookmarkStart w:id="14" w:name="_Hlk503537685"/>
      <w:r>
        <w:rPr>
          <w:rFonts w:ascii="Arial" w:hAnsi="Arial" w:cs="Arial"/>
          <w:sz w:val="20"/>
          <w:szCs w:val="20"/>
          <w:lang w:val="bg-BG"/>
        </w:rPr>
        <w:t>Таблица</w:t>
      </w:r>
      <w:r w:rsidR="00595198" w:rsidRPr="00613607">
        <w:rPr>
          <w:rFonts w:ascii="Arial" w:hAnsi="Arial" w:cs="Arial"/>
          <w:sz w:val="20"/>
          <w:szCs w:val="20"/>
          <w:lang w:val="bg-BG"/>
        </w:rPr>
        <w:t xml:space="preserve"> </w:t>
      </w:r>
      <w:r w:rsidR="00F05086">
        <w:rPr>
          <w:rFonts w:ascii="Arial" w:hAnsi="Arial" w:cs="Arial"/>
          <w:i w:val="0"/>
          <w:iCs w:val="0"/>
          <w:sz w:val="20"/>
          <w:szCs w:val="20"/>
          <w:lang w:val="bg-BG"/>
        </w:rPr>
        <w:t>3</w:t>
      </w:r>
      <w:r w:rsidR="00595198" w:rsidRPr="00613607">
        <w:rPr>
          <w:rFonts w:ascii="Arial" w:hAnsi="Arial" w:cs="Arial"/>
          <w:sz w:val="20"/>
          <w:szCs w:val="20"/>
          <w:lang w:val="bg-BG"/>
        </w:rPr>
        <w:t xml:space="preserve">: </w:t>
      </w:r>
      <w:r>
        <w:rPr>
          <w:rFonts w:ascii="Arial" w:hAnsi="Arial" w:cs="Arial"/>
          <w:sz w:val="20"/>
          <w:szCs w:val="20"/>
          <w:lang w:val="bg-BG"/>
        </w:rPr>
        <w:t xml:space="preserve">Илюстрация на </w:t>
      </w:r>
      <w:r w:rsidR="00F534DC">
        <w:rPr>
          <w:rFonts w:ascii="Arial" w:hAnsi="Arial" w:cs="Arial"/>
          <w:sz w:val="20"/>
          <w:szCs w:val="20"/>
          <w:lang w:val="bg-BG"/>
        </w:rPr>
        <w:t>структура</w:t>
      </w:r>
      <w:r>
        <w:rPr>
          <w:rFonts w:ascii="Arial" w:hAnsi="Arial" w:cs="Arial"/>
          <w:sz w:val="20"/>
          <w:szCs w:val="20"/>
          <w:lang w:val="bg-BG"/>
        </w:rPr>
        <w:t xml:space="preserve"> за прилагане на ФИ</w:t>
      </w:r>
      <w:r w:rsidR="00F97E5A">
        <w:rPr>
          <w:rFonts w:ascii="Arial" w:hAnsi="Arial" w:cs="Arial"/>
          <w:sz w:val="20"/>
          <w:szCs w:val="20"/>
          <w:lang w:val="bg-BG"/>
        </w:rPr>
        <w:t xml:space="preserve"> чрез </w:t>
      </w:r>
      <w:r w:rsidR="00F97E5A">
        <w:rPr>
          <w:rFonts w:ascii="Arial" w:hAnsi="Arial" w:cs="Arial"/>
          <w:sz w:val="20"/>
          <w:szCs w:val="20"/>
        </w:rPr>
        <w:t>DIV</w:t>
      </w:r>
      <w:bookmarkEnd w:id="14"/>
    </w:p>
    <w:p w14:paraId="1A5E236D" w14:textId="77777777" w:rsidR="00F97E5A" w:rsidRPr="008B5547" w:rsidRDefault="00F97E5A" w:rsidP="008B5547">
      <w:r>
        <w:rPr>
          <w:noProof/>
          <w:lang w:val="en-US"/>
        </w:rPr>
        <w:drawing>
          <wp:inline distT="0" distB="0" distL="0" distR="0" wp14:anchorId="120F3B4E" wp14:editId="3E871E21">
            <wp:extent cx="6184265" cy="42551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4265" cy="4255135"/>
                    </a:xfrm>
                    <a:prstGeom prst="rect">
                      <a:avLst/>
                    </a:prstGeom>
                    <a:noFill/>
                    <a:ln>
                      <a:noFill/>
                    </a:ln>
                  </pic:spPr>
                </pic:pic>
              </a:graphicData>
            </a:graphic>
          </wp:inline>
        </w:drawing>
      </w:r>
    </w:p>
    <w:p w14:paraId="2881DC9F" w14:textId="77777777" w:rsidR="00595198" w:rsidRPr="00613607" w:rsidRDefault="00595198" w:rsidP="0019106D">
      <w:pPr>
        <w:pStyle w:val="Caption"/>
        <w:keepNext/>
        <w:rPr>
          <w:rFonts w:ascii="Arial" w:hAnsi="Arial" w:cs="Arial"/>
          <w:sz w:val="20"/>
          <w:szCs w:val="20"/>
          <w:lang w:val="bg-BG"/>
        </w:rPr>
      </w:pPr>
    </w:p>
    <w:p w14:paraId="18F9994E" w14:textId="77777777" w:rsidR="00D12A58" w:rsidRDefault="00D12A58" w:rsidP="00D12A58">
      <w:pPr>
        <w:spacing w:after="120"/>
        <w:jc w:val="both"/>
        <w:rPr>
          <w:rFonts w:ascii="Arial" w:hAnsi="Arial" w:cs="Arial"/>
          <w:sz w:val="20"/>
          <w:szCs w:val="20"/>
          <w:lang w:val="bg-BG"/>
        </w:rPr>
      </w:pPr>
      <w:bookmarkStart w:id="15" w:name="_Hlk481503530"/>
      <w:bookmarkEnd w:id="15"/>
      <w:r w:rsidRPr="009644C2">
        <w:rPr>
          <w:rFonts w:ascii="Arial" w:hAnsi="Arial" w:cs="Arial"/>
          <w:sz w:val="20"/>
          <w:szCs w:val="20"/>
          <w:lang w:val="bg-BG"/>
        </w:rPr>
        <w:t xml:space="preserve">Важно е да се осигури, че гаранциите, предоставени от специалната инвестиционна структура (DIV), ще могат да предоставят капиталови облекчения на търговските банки. </w:t>
      </w:r>
    </w:p>
    <w:p w14:paraId="3A7AFB23" w14:textId="77777777" w:rsidR="00475134" w:rsidRPr="00A21752" w:rsidRDefault="00A21752" w:rsidP="000B327F">
      <w:pPr>
        <w:keepNext/>
        <w:spacing w:after="120"/>
        <w:jc w:val="both"/>
        <w:rPr>
          <w:rFonts w:ascii="Arial" w:hAnsi="Arial" w:cs="Arial"/>
          <w:b/>
          <w:i/>
          <w:sz w:val="20"/>
          <w:szCs w:val="20"/>
          <w:lang w:val="bg-BG"/>
        </w:rPr>
      </w:pPr>
      <w:r>
        <w:rPr>
          <w:rFonts w:ascii="Arial" w:hAnsi="Arial" w:cs="Arial"/>
          <w:b/>
          <w:i/>
          <w:sz w:val="20"/>
          <w:szCs w:val="20"/>
          <w:lang w:val="bg-BG"/>
        </w:rPr>
        <w:t xml:space="preserve">Избор на фонд мениджър на специална инвестиционна структура </w:t>
      </w:r>
      <w:r w:rsidRPr="00A21752">
        <w:rPr>
          <w:rFonts w:ascii="Arial" w:hAnsi="Arial" w:cs="Arial"/>
          <w:b/>
          <w:i/>
          <w:sz w:val="20"/>
          <w:szCs w:val="20"/>
          <w:lang w:val="bg-BG"/>
        </w:rPr>
        <w:t>(DIV)</w:t>
      </w:r>
      <w:r w:rsidR="00475134" w:rsidRPr="00A21752">
        <w:rPr>
          <w:rFonts w:ascii="Arial" w:hAnsi="Arial" w:cs="Arial"/>
          <w:b/>
          <w:i/>
          <w:sz w:val="20"/>
          <w:szCs w:val="20"/>
          <w:lang w:val="bg-BG"/>
        </w:rPr>
        <w:t xml:space="preserve"> </w:t>
      </w:r>
      <w:r w:rsidR="00F534DC">
        <w:rPr>
          <w:rFonts w:ascii="Arial" w:hAnsi="Arial" w:cs="Arial"/>
          <w:b/>
          <w:i/>
          <w:sz w:val="20"/>
          <w:szCs w:val="20"/>
          <w:lang w:val="bg-BG"/>
        </w:rPr>
        <w:t xml:space="preserve"> </w:t>
      </w:r>
    </w:p>
    <w:p w14:paraId="1B01313A" w14:textId="77777777" w:rsidR="00AB2D84" w:rsidRPr="005A2077" w:rsidRDefault="00AB2D84" w:rsidP="00AB2D84">
      <w:pPr>
        <w:keepNext/>
        <w:jc w:val="both"/>
        <w:rPr>
          <w:rFonts w:ascii="Arial" w:hAnsi="Arial" w:cs="Arial"/>
          <w:sz w:val="20"/>
          <w:szCs w:val="20"/>
          <w:lang w:val="bg-BG"/>
        </w:rPr>
      </w:pPr>
      <w:r>
        <w:rPr>
          <w:rFonts w:ascii="Arial" w:hAnsi="Arial" w:cs="Arial"/>
          <w:sz w:val="20"/>
          <w:szCs w:val="20"/>
          <w:lang w:val="bg-BG"/>
        </w:rPr>
        <w:t>Изборът на фонд мениджър на специална инвестиционна структура (</w:t>
      </w:r>
      <w:r w:rsidRPr="00384450">
        <w:rPr>
          <w:rFonts w:ascii="Arial" w:hAnsi="Arial" w:cs="Arial"/>
          <w:sz w:val="20"/>
          <w:szCs w:val="20"/>
        </w:rPr>
        <w:t>DIV</w:t>
      </w:r>
      <w:r>
        <w:rPr>
          <w:rFonts w:ascii="Arial" w:hAnsi="Arial" w:cs="Arial"/>
          <w:sz w:val="20"/>
          <w:szCs w:val="20"/>
          <w:lang w:val="bg-BG"/>
        </w:rPr>
        <w:t>)</w:t>
      </w:r>
      <w:r w:rsidRPr="005A2077">
        <w:rPr>
          <w:rFonts w:ascii="Arial" w:hAnsi="Arial" w:cs="Arial"/>
          <w:sz w:val="20"/>
          <w:szCs w:val="20"/>
          <w:lang w:val="bg-BG"/>
        </w:rPr>
        <w:t xml:space="preserve"> </w:t>
      </w:r>
      <w:r>
        <w:rPr>
          <w:rFonts w:ascii="Arial" w:hAnsi="Arial" w:cs="Arial"/>
          <w:sz w:val="20"/>
          <w:szCs w:val="20"/>
          <w:lang w:val="bg-BG"/>
        </w:rPr>
        <w:t>ще се базира на следните параметри</w:t>
      </w:r>
      <w:r w:rsidRPr="005A2077">
        <w:rPr>
          <w:rFonts w:ascii="Arial" w:hAnsi="Arial" w:cs="Arial"/>
          <w:sz w:val="20"/>
          <w:szCs w:val="20"/>
          <w:lang w:val="bg-BG"/>
        </w:rPr>
        <w:t xml:space="preserve">: </w:t>
      </w:r>
    </w:p>
    <w:p w14:paraId="17CA4ACD" w14:textId="77777777" w:rsidR="00AB2D84" w:rsidRPr="005A2077" w:rsidRDefault="00AB2D84" w:rsidP="00AB2D84">
      <w:pPr>
        <w:pStyle w:val="ListParagraph"/>
        <w:numPr>
          <w:ilvl w:val="0"/>
          <w:numId w:val="11"/>
        </w:numPr>
        <w:jc w:val="both"/>
        <w:rPr>
          <w:rFonts w:ascii="Arial" w:hAnsi="Arial" w:cs="Arial"/>
          <w:sz w:val="20"/>
          <w:szCs w:val="20"/>
          <w:lang w:val="bg-BG"/>
        </w:rPr>
      </w:pPr>
      <w:r>
        <w:rPr>
          <w:rFonts w:ascii="Arial" w:hAnsi="Arial" w:cs="Arial"/>
          <w:sz w:val="20"/>
          <w:szCs w:val="20"/>
          <w:lang w:val="bg-BG"/>
        </w:rPr>
        <w:t>Обективни</w:t>
      </w:r>
      <w:r w:rsidRPr="005A2077">
        <w:rPr>
          <w:rFonts w:ascii="Arial" w:hAnsi="Arial" w:cs="Arial"/>
          <w:sz w:val="20"/>
          <w:szCs w:val="20"/>
          <w:lang w:val="bg-BG"/>
        </w:rPr>
        <w:t xml:space="preserve">, </w:t>
      </w:r>
      <w:r>
        <w:rPr>
          <w:rFonts w:ascii="Arial" w:hAnsi="Arial" w:cs="Arial"/>
          <w:sz w:val="20"/>
          <w:szCs w:val="20"/>
          <w:lang w:val="bg-BG"/>
        </w:rPr>
        <w:t>неутрални и прозрачни критерии</w:t>
      </w:r>
      <w:r w:rsidRPr="005A2077">
        <w:rPr>
          <w:rFonts w:ascii="Arial" w:hAnsi="Arial" w:cs="Arial"/>
          <w:sz w:val="20"/>
          <w:szCs w:val="20"/>
          <w:lang w:val="bg-BG"/>
        </w:rPr>
        <w:t xml:space="preserve">, </w:t>
      </w:r>
      <w:r w:rsidRPr="0060038A">
        <w:rPr>
          <w:rFonts w:ascii="Arial" w:hAnsi="Arial" w:cs="Arial"/>
          <w:sz w:val="20"/>
          <w:szCs w:val="20"/>
          <w:lang w:val="bg-BG"/>
        </w:rPr>
        <w:t>свързани с,</w:t>
      </w:r>
      <w:r w:rsidRPr="00E278B6">
        <w:rPr>
          <w:rFonts w:ascii="Arial" w:hAnsi="Arial" w:cs="Arial"/>
          <w:sz w:val="20"/>
          <w:szCs w:val="20"/>
          <w:lang w:val="bg-BG"/>
        </w:rPr>
        <w:t xml:space="preserve"> </w:t>
      </w:r>
      <w:r w:rsidRPr="00E278B6">
        <w:rPr>
          <w:rFonts w:ascii="Arial" w:hAnsi="Arial" w:cs="Arial"/>
          <w:sz w:val="20"/>
          <w:szCs w:val="20"/>
        </w:rPr>
        <w:t>inter</w:t>
      </w:r>
      <w:r w:rsidRPr="00E278B6">
        <w:rPr>
          <w:rFonts w:ascii="Arial" w:hAnsi="Arial" w:cs="Arial"/>
          <w:sz w:val="20"/>
          <w:szCs w:val="20"/>
          <w:lang w:val="bg-BG"/>
        </w:rPr>
        <w:t xml:space="preserve"> </w:t>
      </w:r>
      <w:r w:rsidRPr="00E278B6">
        <w:rPr>
          <w:rFonts w:ascii="Arial" w:hAnsi="Arial" w:cs="Arial"/>
          <w:sz w:val="20"/>
          <w:szCs w:val="20"/>
        </w:rPr>
        <w:t>alia</w:t>
      </w:r>
      <w:r w:rsidRPr="0060038A">
        <w:rPr>
          <w:rFonts w:ascii="Arial" w:hAnsi="Arial" w:cs="Arial"/>
          <w:sz w:val="20"/>
          <w:szCs w:val="20"/>
          <w:lang w:val="bg-BG"/>
        </w:rPr>
        <w:t xml:space="preserve">: </w:t>
      </w:r>
      <w:r w:rsidRPr="005A2077">
        <w:rPr>
          <w:rFonts w:ascii="Arial" w:hAnsi="Arial" w:cs="Arial"/>
          <w:sz w:val="20"/>
          <w:szCs w:val="20"/>
          <w:lang w:val="bg-BG"/>
        </w:rPr>
        <w:t>(</w:t>
      </w:r>
      <w:r>
        <w:rPr>
          <w:rFonts w:ascii="Arial" w:hAnsi="Arial" w:cs="Arial"/>
          <w:sz w:val="20"/>
          <w:szCs w:val="20"/>
        </w:rPr>
        <w:t>i</w:t>
      </w:r>
      <w:r w:rsidRPr="005A2077">
        <w:rPr>
          <w:rFonts w:ascii="Arial" w:hAnsi="Arial" w:cs="Arial"/>
          <w:sz w:val="20"/>
          <w:szCs w:val="20"/>
          <w:lang w:val="bg-BG"/>
        </w:rPr>
        <w:t xml:space="preserve">) </w:t>
      </w:r>
      <w:r>
        <w:rPr>
          <w:rFonts w:ascii="Arial" w:hAnsi="Arial" w:cs="Arial"/>
          <w:sz w:val="20"/>
          <w:szCs w:val="20"/>
          <w:lang w:val="bg-BG"/>
        </w:rPr>
        <w:t>финансови аспекти</w:t>
      </w:r>
      <w:r w:rsidRPr="005A2077">
        <w:rPr>
          <w:rFonts w:ascii="Arial" w:hAnsi="Arial" w:cs="Arial"/>
          <w:sz w:val="20"/>
          <w:szCs w:val="20"/>
          <w:lang w:val="bg-BG"/>
        </w:rPr>
        <w:t xml:space="preserve">, </w:t>
      </w:r>
      <w:r>
        <w:rPr>
          <w:rFonts w:ascii="Arial" w:hAnsi="Arial" w:cs="Arial"/>
          <w:sz w:val="20"/>
          <w:szCs w:val="20"/>
          <w:lang w:val="bg-BG"/>
        </w:rPr>
        <w:t>вкл. размера на таксата за управление</w:t>
      </w:r>
      <w:r w:rsidRPr="005A2077">
        <w:rPr>
          <w:rFonts w:ascii="Arial" w:hAnsi="Arial" w:cs="Arial"/>
          <w:sz w:val="20"/>
          <w:szCs w:val="20"/>
          <w:lang w:val="bg-BG"/>
        </w:rPr>
        <w:t>, (</w:t>
      </w:r>
      <w:r>
        <w:rPr>
          <w:rFonts w:ascii="Arial" w:hAnsi="Arial" w:cs="Arial"/>
          <w:sz w:val="20"/>
          <w:szCs w:val="20"/>
        </w:rPr>
        <w:t>ii</w:t>
      </w:r>
      <w:r w:rsidRPr="005A2077">
        <w:rPr>
          <w:rFonts w:ascii="Arial" w:hAnsi="Arial" w:cs="Arial"/>
          <w:sz w:val="20"/>
          <w:szCs w:val="20"/>
          <w:lang w:val="bg-BG"/>
        </w:rPr>
        <w:t xml:space="preserve">) </w:t>
      </w:r>
      <w:r>
        <w:rPr>
          <w:rFonts w:ascii="Arial" w:hAnsi="Arial" w:cs="Arial"/>
          <w:sz w:val="20"/>
          <w:szCs w:val="20"/>
          <w:lang w:val="bg-BG"/>
        </w:rPr>
        <w:t>управленски и организационен капацитет</w:t>
      </w:r>
      <w:r w:rsidRPr="005A2077">
        <w:rPr>
          <w:rFonts w:ascii="Arial" w:hAnsi="Arial" w:cs="Arial"/>
          <w:sz w:val="20"/>
          <w:szCs w:val="20"/>
          <w:lang w:val="bg-BG"/>
        </w:rPr>
        <w:t xml:space="preserve">, </w:t>
      </w:r>
      <w:r>
        <w:rPr>
          <w:rFonts w:ascii="Arial" w:hAnsi="Arial" w:cs="Arial"/>
          <w:sz w:val="20"/>
          <w:szCs w:val="20"/>
          <w:lang w:val="bg-BG"/>
        </w:rPr>
        <w:t xml:space="preserve">вкл. опит и разбиране на сектор ВиК и капацитет за оценка на рисковете </w:t>
      </w:r>
      <w:r w:rsidRPr="005A2077">
        <w:rPr>
          <w:rFonts w:ascii="Arial" w:hAnsi="Arial" w:cs="Arial"/>
          <w:sz w:val="20"/>
          <w:szCs w:val="20"/>
          <w:lang w:val="bg-BG"/>
        </w:rPr>
        <w:t>(</w:t>
      </w:r>
      <w:r>
        <w:rPr>
          <w:rFonts w:ascii="Arial" w:hAnsi="Arial" w:cs="Arial"/>
          <w:sz w:val="20"/>
          <w:szCs w:val="20"/>
          <w:lang w:val="bg-BG"/>
        </w:rPr>
        <w:t>технически,</w:t>
      </w:r>
      <w:r w:rsidRPr="005A2077">
        <w:rPr>
          <w:rFonts w:ascii="Arial" w:hAnsi="Arial" w:cs="Arial"/>
          <w:sz w:val="20"/>
          <w:szCs w:val="20"/>
          <w:lang w:val="bg-BG"/>
        </w:rPr>
        <w:t xml:space="preserve"> </w:t>
      </w:r>
      <w:r>
        <w:rPr>
          <w:rFonts w:ascii="Arial" w:hAnsi="Arial" w:cs="Arial"/>
          <w:sz w:val="20"/>
          <w:szCs w:val="20"/>
          <w:lang w:val="bg-BG"/>
        </w:rPr>
        <w:t>екологични</w:t>
      </w:r>
      <w:r w:rsidRPr="005A2077">
        <w:rPr>
          <w:rFonts w:ascii="Arial" w:hAnsi="Arial" w:cs="Arial"/>
          <w:sz w:val="20"/>
          <w:szCs w:val="20"/>
          <w:lang w:val="bg-BG"/>
        </w:rPr>
        <w:t xml:space="preserve">, </w:t>
      </w:r>
      <w:r>
        <w:rPr>
          <w:rFonts w:ascii="Arial" w:hAnsi="Arial" w:cs="Arial"/>
          <w:sz w:val="20"/>
          <w:szCs w:val="20"/>
          <w:lang w:val="bg-BG"/>
        </w:rPr>
        <w:t>рискове по изпълнението</w:t>
      </w:r>
      <w:r w:rsidRPr="005A2077">
        <w:rPr>
          <w:rFonts w:ascii="Arial" w:hAnsi="Arial" w:cs="Arial"/>
          <w:sz w:val="20"/>
          <w:szCs w:val="20"/>
          <w:lang w:val="bg-BG"/>
        </w:rPr>
        <w:t>)</w:t>
      </w:r>
      <w:r>
        <w:rPr>
          <w:rFonts w:ascii="Arial" w:hAnsi="Arial" w:cs="Arial"/>
          <w:sz w:val="20"/>
          <w:szCs w:val="20"/>
          <w:lang w:val="bg-BG"/>
        </w:rPr>
        <w:t>, свързани с проектите</w:t>
      </w:r>
      <w:r w:rsidRPr="005A2077">
        <w:rPr>
          <w:rFonts w:ascii="Arial" w:hAnsi="Arial" w:cs="Arial"/>
          <w:sz w:val="20"/>
          <w:szCs w:val="20"/>
          <w:lang w:val="bg-BG"/>
        </w:rPr>
        <w:t>, (</w:t>
      </w:r>
      <w:r>
        <w:rPr>
          <w:rFonts w:ascii="Arial" w:hAnsi="Arial" w:cs="Arial"/>
          <w:sz w:val="20"/>
          <w:szCs w:val="20"/>
        </w:rPr>
        <w:t>iii</w:t>
      </w:r>
      <w:r w:rsidRPr="005A2077">
        <w:rPr>
          <w:rFonts w:ascii="Arial" w:hAnsi="Arial" w:cs="Arial"/>
          <w:sz w:val="20"/>
          <w:szCs w:val="20"/>
          <w:lang w:val="bg-BG"/>
        </w:rPr>
        <w:t xml:space="preserve">) </w:t>
      </w:r>
      <w:r>
        <w:rPr>
          <w:rFonts w:ascii="Arial" w:hAnsi="Arial" w:cs="Arial"/>
          <w:sz w:val="20"/>
          <w:szCs w:val="20"/>
          <w:lang w:val="bg-BG"/>
        </w:rPr>
        <w:t>предишен опит в прилагането на ФИ, използвайки Структурни фондове</w:t>
      </w:r>
      <w:r w:rsidRPr="005A2077">
        <w:rPr>
          <w:rFonts w:ascii="Arial" w:hAnsi="Arial" w:cs="Arial"/>
          <w:sz w:val="20"/>
          <w:szCs w:val="20"/>
          <w:lang w:val="bg-BG"/>
        </w:rPr>
        <w:t>, (</w:t>
      </w:r>
      <w:r>
        <w:rPr>
          <w:rFonts w:ascii="Arial" w:hAnsi="Arial" w:cs="Arial"/>
          <w:sz w:val="20"/>
          <w:szCs w:val="20"/>
        </w:rPr>
        <w:t>iv</w:t>
      </w:r>
      <w:r w:rsidRPr="005A2077">
        <w:rPr>
          <w:rFonts w:ascii="Arial" w:hAnsi="Arial" w:cs="Arial"/>
          <w:sz w:val="20"/>
          <w:szCs w:val="20"/>
          <w:lang w:val="bg-BG"/>
        </w:rPr>
        <w:t xml:space="preserve">) </w:t>
      </w:r>
      <w:r>
        <w:rPr>
          <w:rFonts w:ascii="Arial" w:hAnsi="Arial" w:cs="Arial"/>
          <w:sz w:val="20"/>
          <w:szCs w:val="20"/>
          <w:lang w:val="bg-BG"/>
        </w:rPr>
        <w:t>желание и възможност за принос към ефекта на лоста, реализиран от финансовия продукт</w:t>
      </w:r>
      <w:r w:rsidRPr="005A2077">
        <w:rPr>
          <w:rFonts w:ascii="Arial" w:hAnsi="Arial" w:cs="Arial"/>
          <w:sz w:val="20"/>
          <w:szCs w:val="20"/>
          <w:lang w:val="bg-BG"/>
        </w:rPr>
        <w:t xml:space="preserve"> </w:t>
      </w:r>
      <w:r>
        <w:rPr>
          <w:rFonts w:ascii="Arial" w:hAnsi="Arial" w:cs="Arial"/>
          <w:sz w:val="20"/>
          <w:szCs w:val="20"/>
          <w:lang w:val="bg-BG"/>
        </w:rPr>
        <w:t xml:space="preserve">и </w:t>
      </w:r>
      <w:r w:rsidRPr="005A2077">
        <w:rPr>
          <w:rFonts w:ascii="Arial" w:hAnsi="Arial" w:cs="Arial"/>
          <w:sz w:val="20"/>
          <w:szCs w:val="20"/>
          <w:lang w:val="bg-BG"/>
        </w:rPr>
        <w:t>(</w:t>
      </w:r>
      <w:r>
        <w:rPr>
          <w:rFonts w:ascii="Arial" w:hAnsi="Arial" w:cs="Arial"/>
          <w:sz w:val="20"/>
          <w:szCs w:val="20"/>
        </w:rPr>
        <w:t>iv</w:t>
      </w:r>
      <w:r w:rsidRPr="005A2077">
        <w:rPr>
          <w:rFonts w:ascii="Arial" w:hAnsi="Arial" w:cs="Arial"/>
          <w:sz w:val="20"/>
          <w:szCs w:val="20"/>
          <w:lang w:val="bg-BG"/>
        </w:rPr>
        <w:t xml:space="preserve">) </w:t>
      </w:r>
      <w:r>
        <w:rPr>
          <w:rFonts w:ascii="Arial" w:hAnsi="Arial" w:cs="Arial"/>
          <w:sz w:val="20"/>
          <w:szCs w:val="20"/>
          <w:lang w:val="bg-BG"/>
        </w:rPr>
        <w:t>капацитет на екипа</w:t>
      </w:r>
      <w:r w:rsidRPr="005A2077">
        <w:rPr>
          <w:rFonts w:ascii="Arial" w:hAnsi="Arial" w:cs="Arial"/>
          <w:sz w:val="20"/>
          <w:szCs w:val="20"/>
          <w:lang w:val="bg-BG"/>
        </w:rPr>
        <w:t>.</w:t>
      </w:r>
    </w:p>
    <w:p w14:paraId="46A44DF3" w14:textId="77777777" w:rsidR="00AB2D84" w:rsidRPr="005A2077" w:rsidRDefault="00AB2D84" w:rsidP="00AB2D84">
      <w:pPr>
        <w:pStyle w:val="ListParagraph"/>
        <w:numPr>
          <w:ilvl w:val="0"/>
          <w:numId w:val="11"/>
        </w:numPr>
        <w:jc w:val="both"/>
        <w:rPr>
          <w:rFonts w:ascii="Arial" w:hAnsi="Arial" w:cs="Arial"/>
          <w:sz w:val="20"/>
          <w:szCs w:val="20"/>
          <w:lang w:val="bg-BG"/>
        </w:rPr>
      </w:pPr>
      <w:r>
        <w:rPr>
          <w:rFonts w:ascii="Arial" w:hAnsi="Arial" w:cs="Arial"/>
          <w:sz w:val="20"/>
          <w:szCs w:val="20"/>
          <w:lang w:val="bg-BG"/>
        </w:rPr>
        <w:t>Предложен подход</w:t>
      </w:r>
      <w:r w:rsidRPr="005A2077">
        <w:rPr>
          <w:rFonts w:ascii="Arial" w:hAnsi="Arial" w:cs="Arial"/>
          <w:sz w:val="20"/>
          <w:szCs w:val="20"/>
          <w:lang w:val="bg-BG"/>
        </w:rPr>
        <w:t xml:space="preserve"> </w:t>
      </w:r>
      <w:r w:rsidR="00A9721A">
        <w:rPr>
          <w:rFonts w:ascii="Arial" w:hAnsi="Arial" w:cs="Arial"/>
          <w:sz w:val="20"/>
          <w:szCs w:val="20"/>
          <w:lang w:val="bg-BG"/>
        </w:rPr>
        <w:t>за</w:t>
      </w:r>
      <w:r w:rsidR="00A9721A" w:rsidRPr="005A2077">
        <w:rPr>
          <w:rFonts w:ascii="Arial" w:hAnsi="Arial" w:cs="Arial"/>
          <w:sz w:val="20"/>
          <w:szCs w:val="20"/>
          <w:lang w:val="bg-BG"/>
        </w:rPr>
        <w:t xml:space="preserve"> </w:t>
      </w:r>
      <w:r w:rsidRPr="005A2077">
        <w:rPr>
          <w:rFonts w:ascii="Arial" w:hAnsi="Arial" w:cs="Arial"/>
          <w:sz w:val="20"/>
          <w:szCs w:val="20"/>
          <w:lang w:val="bg-BG"/>
        </w:rPr>
        <w:t>(</w:t>
      </w:r>
      <w:r>
        <w:rPr>
          <w:rFonts w:ascii="Arial" w:hAnsi="Arial" w:cs="Arial"/>
          <w:sz w:val="20"/>
          <w:szCs w:val="20"/>
        </w:rPr>
        <w:t>i</w:t>
      </w:r>
      <w:r w:rsidRPr="005A2077">
        <w:rPr>
          <w:rFonts w:ascii="Arial" w:hAnsi="Arial" w:cs="Arial"/>
          <w:sz w:val="20"/>
          <w:szCs w:val="20"/>
          <w:lang w:val="bg-BG"/>
        </w:rPr>
        <w:t xml:space="preserve">) </w:t>
      </w:r>
      <w:r>
        <w:rPr>
          <w:rFonts w:ascii="Arial" w:hAnsi="Arial" w:cs="Arial"/>
          <w:sz w:val="20"/>
          <w:szCs w:val="20"/>
          <w:lang w:val="bg-BG"/>
        </w:rPr>
        <w:t>изпълнението на финансовите продукти</w:t>
      </w:r>
      <w:r w:rsidRPr="005A2077">
        <w:rPr>
          <w:rFonts w:ascii="Arial" w:hAnsi="Arial" w:cs="Arial"/>
          <w:sz w:val="20"/>
          <w:szCs w:val="20"/>
          <w:lang w:val="bg-BG"/>
        </w:rPr>
        <w:t xml:space="preserve"> </w:t>
      </w:r>
      <w:r>
        <w:rPr>
          <w:rFonts w:ascii="Arial" w:hAnsi="Arial" w:cs="Arial"/>
          <w:sz w:val="20"/>
          <w:szCs w:val="20"/>
          <w:lang w:val="bg-BG"/>
        </w:rPr>
        <w:t xml:space="preserve">и </w:t>
      </w:r>
      <w:r w:rsidRPr="005A2077">
        <w:rPr>
          <w:rFonts w:ascii="Arial" w:hAnsi="Arial" w:cs="Arial"/>
          <w:sz w:val="20"/>
          <w:szCs w:val="20"/>
          <w:lang w:val="bg-BG"/>
        </w:rPr>
        <w:t>(</w:t>
      </w:r>
      <w:r>
        <w:rPr>
          <w:rFonts w:ascii="Arial" w:hAnsi="Arial" w:cs="Arial"/>
          <w:sz w:val="20"/>
          <w:szCs w:val="20"/>
        </w:rPr>
        <w:t>ii</w:t>
      </w:r>
      <w:r w:rsidRPr="005A2077">
        <w:rPr>
          <w:rFonts w:ascii="Arial" w:hAnsi="Arial" w:cs="Arial"/>
          <w:sz w:val="20"/>
          <w:szCs w:val="20"/>
          <w:lang w:val="bg-BG"/>
        </w:rPr>
        <w:t xml:space="preserve">) </w:t>
      </w:r>
      <w:r>
        <w:rPr>
          <w:rFonts w:ascii="Arial" w:hAnsi="Arial" w:cs="Arial"/>
          <w:sz w:val="20"/>
          <w:szCs w:val="20"/>
          <w:lang w:val="bg-BG"/>
        </w:rPr>
        <w:t>постигане на резултатите, изложени в ОП и в настоящата ИС.</w:t>
      </w:r>
      <w:r w:rsidRPr="005A2077">
        <w:rPr>
          <w:rFonts w:ascii="Arial" w:hAnsi="Arial" w:cs="Arial"/>
          <w:sz w:val="20"/>
          <w:szCs w:val="20"/>
          <w:lang w:val="bg-BG"/>
        </w:rPr>
        <w:t xml:space="preserve"> </w:t>
      </w:r>
    </w:p>
    <w:p w14:paraId="284F34F3" w14:textId="77777777" w:rsidR="00AB2D84" w:rsidRPr="00BC7695" w:rsidRDefault="00AB2D84" w:rsidP="00BC7695">
      <w:pPr>
        <w:spacing w:after="120"/>
        <w:jc w:val="both"/>
        <w:rPr>
          <w:rFonts w:ascii="Arial" w:hAnsi="Arial" w:cs="Arial"/>
          <w:sz w:val="20"/>
          <w:szCs w:val="20"/>
          <w:lang w:val="bg-BG"/>
        </w:rPr>
      </w:pPr>
      <w:r w:rsidRPr="00BC7695">
        <w:rPr>
          <w:rFonts w:ascii="Arial" w:hAnsi="Arial" w:cs="Arial"/>
          <w:sz w:val="20"/>
          <w:szCs w:val="20"/>
          <w:lang w:val="bg-BG"/>
        </w:rPr>
        <w:t>Фонд мениджърът следва да изпълнява задълженията си в съответствие с приложимото право и да действа с професионално старание, ефикасност, прозрачност и дължима грижа в степента, която се очаква от организация с опит в прилагането на ФИ.</w:t>
      </w:r>
    </w:p>
    <w:p w14:paraId="01AF27AC" w14:textId="77777777" w:rsidR="00525A15" w:rsidRDefault="00593CEF" w:rsidP="00525A15">
      <w:pPr>
        <w:spacing w:after="120"/>
        <w:jc w:val="both"/>
        <w:rPr>
          <w:rFonts w:ascii="Arial" w:hAnsi="Arial" w:cs="Arial"/>
          <w:sz w:val="20"/>
          <w:szCs w:val="20"/>
          <w:lang w:val="bg-BG"/>
        </w:rPr>
      </w:pPr>
      <w:r>
        <w:rPr>
          <w:rFonts w:ascii="Arial" w:hAnsi="Arial" w:cs="Arial"/>
          <w:sz w:val="20"/>
          <w:szCs w:val="20"/>
          <w:lang w:val="bg-BG"/>
        </w:rPr>
        <w:t>О</w:t>
      </w:r>
      <w:r w:rsidR="00525A15">
        <w:rPr>
          <w:rFonts w:ascii="Arial" w:hAnsi="Arial" w:cs="Arial"/>
          <w:sz w:val="20"/>
          <w:szCs w:val="20"/>
          <w:lang w:val="bg-BG"/>
        </w:rPr>
        <w:t xml:space="preserve">пция за избор на фонд мениджър на специалната инвестиционна структура </w:t>
      </w:r>
      <w:r w:rsidR="00011D8D" w:rsidRPr="00011D8D">
        <w:rPr>
          <w:rFonts w:ascii="Arial" w:hAnsi="Arial" w:cs="Arial"/>
          <w:sz w:val="20"/>
          <w:szCs w:val="20"/>
          <w:lang w:val="bg-BG"/>
        </w:rPr>
        <w:t xml:space="preserve">(DIV) </w:t>
      </w:r>
      <w:r w:rsidR="00525A15">
        <w:rPr>
          <w:rFonts w:ascii="Arial" w:hAnsi="Arial" w:cs="Arial"/>
          <w:sz w:val="20"/>
          <w:szCs w:val="20"/>
          <w:lang w:val="bg-BG"/>
        </w:rPr>
        <w:t xml:space="preserve">е прякото възлагане на управлението на структурата на МФИ, в съответствие с чл.3.4 от </w:t>
      </w:r>
      <w:r w:rsidR="00525A15" w:rsidRPr="00525A15">
        <w:rPr>
          <w:rFonts w:ascii="Arial" w:hAnsi="Arial" w:cs="Arial"/>
          <w:sz w:val="20"/>
          <w:szCs w:val="20"/>
          <w:lang w:val="bg-BG"/>
        </w:rPr>
        <w:t>Насоки за държавите членки относно подбора на организациите, прилагащи финансови инструменти</w:t>
      </w:r>
      <w:r w:rsidR="00AB2D84">
        <w:rPr>
          <w:rFonts w:ascii="Arial" w:hAnsi="Arial" w:cs="Arial"/>
          <w:sz w:val="20"/>
          <w:szCs w:val="20"/>
          <w:lang w:val="bg-BG"/>
        </w:rPr>
        <w:t>. Посочената  разпоредба указва, че п</w:t>
      </w:r>
      <w:r w:rsidR="00AB2D84" w:rsidRPr="00AB2D84">
        <w:rPr>
          <w:rFonts w:ascii="Arial" w:hAnsi="Arial" w:cs="Arial"/>
          <w:sz w:val="20"/>
          <w:szCs w:val="20"/>
          <w:lang w:val="bg-BG"/>
        </w:rPr>
        <w:t>оверяването на задачи по прилагането на финансов инструмент на международна финансова институция може да се извърши пряко,</w:t>
      </w:r>
      <w:r w:rsidR="00AB2D84">
        <w:rPr>
          <w:rFonts w:ascii="Arial" w:hAnsi="Arial" w:cs="Arial"/>
          <w:sz w:val="20"/>
          <w:szCs w:val="20"/>
          <w:lang w:val="bg-BG"/>
        </w:rPr>
        <w:t xml:space="preserve"> включително и от ФМФИБ, като организация, изпълняваща фонд на фондове, </w:t>
      </w:r>
      <w:r w:rsidR="00AB2D84" w:rsidRPr="00011D8D">
        <w:rPr>
          <w:rFonts w:ascii="Arial" w:hAnsi="Arial" w:cs="Arial"/>
          <w:sz w:val="20"/>
          <w:szCs w:val="20"/>
          <w:lang w:val="bg-BG"/>
        </w:rPr>
        <w:t>при условие че България е член на международната финансова институция и поверяваните задачи попадат в обхвата на определената в устава мисия на институцията.</w:t>
      </w:r>
      <w:r w:rsidR="00AB2D84" w:rsidRPr="00AB2D84">
        <w:rPr>
          <w:rFonts w:ascii="Arial" w:hAnsi="Arial" w:cs="Arial"/>
          <w:sz w:val="20"/>
          <w:szCs w:val="20"/>
          <w:lang w:val="bg-BG"/>
        </w:rPr>
        <w:t xml:space="preserve"> </w:t>
      </w:r>
      <w:r w:rsidR="00AB2D84">
        <w:rPr>
          <w:rFonts w:ascii="Arial" w:hAnsi="Arial" w:cs="Arial"/>
          <w:sz w:val="20"/>
          <w:szCs w:val="20"/>
          <w:lang w:val="bg-BG"/>
        </w:rPr>
        <w:t xml:space="preserve"> </w:t>
      </w:r>
    </w:p>
    <w:p w14:paraId="37919959" w14:textId="77777777" w:rsidR="00AB2D84" w:rsidRDefault="00593CEF" w:rsidP="00AB2D84">
      <w:pPr>
        <w:spacing w:after="120"/>
        <w:jc w:val="both"/>
        <w:rPr>
          <w:rFonts w:ascii="Arial" w:hAnsi="Arial" w:cs="Arial"/>
          <w:sz w:val="20"/>
          <w:szCs w:val="20"/>
          <w:lang w:val="bg-BG"/>
        </w:rPr>
      </w:pPr>
      <w:r>
        <w:rPr>
          <w:rFonts w:ascii="Arial" w:hAnsi="Arial" w:cs="Arial"/>
          <w:sz w:val="20"/>
          <w:szCs w:val="20"/>
          <w:lang w:val="bg-BG"/>
        </w:rPr>
        <w:t xml:space="preserve">Възможно </w:t>
      </w:r>
      <w:r w:rsidR="006E684F">
        <w:rPr>
          <w:rFonts w:ascii="Arial" w:hAnsi="Arial" w:cs="Arial"/>
          <w:sz w:val="20"/>
          <w:szCs w:val="20"/>
        </w:rPr>
        <w:t>e</w:t>
      </w:r>
      <w:r w:rsidR="006E684F" w:rsidRPr="00785B0F">
        <w:rPr>
          <w:rFonts w:ascii="Arial" w:hAnsi="Arial" w:cs="Arial"/>
          <w:sz w:val="20"/>
          <w:szCs w:val="20"/>
          <w:lang w:val="bg-BG"/>
        </w:rPr>
        <w:t xml:space="preserve"> </w:t>
      </w:r>
      <w:r>
        <w:rPr>
          <w:rFonts w:ascii="Arial" w:hAnsi="Arial" w:cs="Arial"/>
          <w:sz w:val="20"/>
          <w:szCs w:val="20"/>
          <w:lang w:val="bg-BG"/>
        </w:rPr>
        <w:t xml:space="preserve">също така ФМФИБ да проведе </w:t>
      </w:r>
      <w:r w:rsidR="00AB2D84">
        <w:rPr>
          <w:rFonts w:ascii="Arial" w:hAnsi="Arial" w:cs="Arial"/>
          <w:sz w:val="20"/>
          <w:szCs w:val="20"/>
          <w:lang w:val="bg-BG"/>
        </w:rPr>
        <w:t xml:space="preserve">процедура за </w:t>
      </w:r>
      <w:r w:rsidR="00741750">
        <w:rPr>
          <w:rFonts w:ascii="Arial" w:hAnsi="Arial" w:cs="Arial"/>
          <w:sz w:val="20"/>
          <w:szCs w:val="20"/>
          <w:lang w:val="bg-BG"/>
        </w:rPr>
        <w:t>избор на фонд мениджър на специална инвестиционна структура (</w:t>
      </w:r>
      <w:r w:rsidR="00741750" w:rsidRPr="00384450">
        <w:rPr>
          <w:rFonts w:ascii="Arial" w:hAnsi="Arial" w:cs="Arial"/>
          <w:sz w:val="20"/>
          <w:szCs w:val="20"/>
        </w:rPr>
        <w:t>DIV</w:t>
      </w:r>
      <w:r w:rsidR="00741750">
        <w:rPr>
          <w:rFonts w:ascii="Arial" w:hAnsi="Arial" w:cs="Arial"/>
          <w:sz w:val="20"/>
          <w:szCs w:val="20"/>
          <w:lang w:val="bg-BG"/>
        </w:rPr>
        <w:t>)</w:t>
      </w:r>
      <w:r w:rsidR="00475134" w:rsidRPr="00741750">
        <w:rPr>
          <w:rFonts w:ascii="Arial" w:hAnsi="Arial" w:cs="Arial"/>
          <w:sz w:val="20"/>
          <w:szCs w:val="20"/>
          <w:lang w:val="bg-BG"/>
        </w:rPr>
        <w:t xml:space="preserve"> </w:t>
      </w:r>
      <w:r w:rsidR="0056359C">
        <w:rPr>
          <w:rFonts w:ascii="Arial" w:hAnsi="Arial" w:cs="Arial"/>
          <w:sz w:val="20"/>
          <w:szCs w:val="20"/>
          <w:lang w:val="bg-BG"/>
        </w:rPr>
        <w:t>за сектор ВиК</w:t>
      </w:r>
      <w:r w:rsidR="005A2077">
        <w:rPr>
          <w:rFonts w:ascii="Arial" w:hAnsi="Arial" w:cs="Arial"/>
          <w:sz w:val="20"/>
          <w:szCs w:val="20"/>
          <w:lang w:val="bg-BG"/>
        </w:rPr>
        <w:t>.</w:t>
      </w:r>
      <w:r w:rsidR="00D91AC2" w:rsidRPr="00741750">
        <w:rPr>
          <w:rFonts w:ascii="Arial" w:hAnsi="Arial" w:cs="Arial"/>
          <w:sz w:val="20"/>
          <w:szCs w:val="20"/>
          <w:lang w:val="bg-BG"/>
        </w:rPr>
        <w:t xml:space="preserve"> </w:t>
      </w:r>
    </w:p>
    <w:p w14:paraId="67B4B716" w14:textId="77777777" w:rsidR="00475134" w:rsidRPr="005A2077" w:rsidRDefault="005A2077" w:rsidP="00AB2D84">
      <w:pPr>
        <w:spacing w:after="120"/>
        <w:jc w:val="both"/>
        <w:rPr>
          <w:rFonts w:ascii="Arial" w:hAnsi="Arial" w:cs="Arial"/>
          <w:sz w:val="20"/>
          <w:szCs w:val="20"/>
          <w:lang w:val="bg-BG"/>
        </w:rPr>
      </w:pPr>
      <w:r>
        <w:rPr>
          <w:rFonts w:ascii="Arial" w:hAnsi="Arial" w:cs="Arial"/>
          <w:sz w:val="20"/>
          <w:szCs w:val="20"/>
          <w:lang w:val="bg-BG"/>
        </w:rPr>
        <w:t xml:space="preserve">След </w:t>
      </w:r>
      <w:r w:rsidR="00AB2D84">
        <w:rPr>
          <w:rFonts w:ascii="Arial" w:hAnsi="Arial" w:cs="Arial"/>
          <w:sz w:val="20"/>
          <w:szCs w:val="20"/>
          <w:lang w:val="bg-BG"/>
        </w:rPr>
        <w:t>възлагане изпълнението на ФИ на фонд мениджър</w:t>
      </w:r>
      <w:r w:rsidR="00475134" w:rsidRPr="005A2077">
        <w:rPr>
          <w:rFonts w:ascii="Arial" w:hAnsi="Arial" w:cs="Arial"/>
          <w:sz w:val="20"/>
          <w:szCs w:val="20"/>
          <w:lang w:val="bg-BG"/>
        </w:rPr>
        <w:t xml:space="preserve">, </w:t>
      </w:r>
      <w:r w:rsidR="00AB2D84">
        <w:rPr>
          <w:rFonts w:ascii="Arial" w:hAnsi="Arial" w:cs="Arial"/>
          <w:sz w:val="20"/>
          <w:szCs w:val="20"/>
          <w:lang w:val="bg-BG"/>
        </w:rPr>
        <w:t xml:space="preserve">той </w:t>
      </w:r>
      <w:r>
        <w:rPr>
          <w:rFonts w:ascii="Arial" w:hAnsi="Arial" w:cs="Arial"/>
          <w:sz w:val="20"/>
          <w:szCs w:val="20"/>
          <w:lang w:val="bg-BG"/>
        </w:rPr>
        <w:t>ще организира процедура за избор на търговски банки</w:t>
      </w:r>
      <w:r w:rsidR="00486234">
        <w:rPr>
          <w:rFonts w:ascii="Arial" w:hAnsi="Arial" w:cs="Arial"/>
          <w:sz w:val="20"/>
          <w:szCs w:val="20"/>
          <w:lang w:val="bg-BG"/>
        </w:rPr>
        <w:t>, на които да се предоставят</w:t>
      </w:r>
      <w:r>
        <w:rPr>
          <w:rFonts w:ascii="Arial" w:hAnsi="Arial" w:cs="Arial"/>
          <w:sz w:val="20"/>
          <w:szCs w:val="20"/>
          <w:lang w:val="bg-BG"/>
        </w:rPr>
        <w:t xml:space="preserve"> предвидените гаранционни продукти</w:t>
      </w:r>
      <w:r w:rsidR="00486234">
        <w:rPr>
          <w:rFonts w:ascii="Arial" w:hAnsi="Arial" w:cs="Arial"/>
          <w:sz w:val="20"/>
          <w:szCs w:val="20"/>
          <w:lang w:val="bg-BG"/>
        </w:rPr>
        <w:t xml:space="preserve"> за гарантиране на заеми на крайни получатели</w:t>
      </w:r>
      <w:r>
        <w:rPr>
          <w:rFonts w:ascii="Arial" w:hAnsi="Arial" w:cs="Arial"/>
          <w:sz w:val="20"/>
          <w:szCs w:val="20"/>
          <w:lang w:val="bg-BG"/>
        </w:rPr>
        <w:t>.</w:t>
      </w:r>
      <w:r w:rsidR="00475134" w:rsidRPr="005A2077">
        <w:rPr>
          <w:rFonts w:ascii="Arial" w:hAnsi="Arial" w:cs="Arial"/>
          <w:sz w:val="20"/>
          <w:szCs w:val="20"/>
          <w:lang w:val="bg-BG"/>
        </w:rPr>
        <w:t xml:space="preserve"> </w:t>
      </w:r>
    </w:p>
    <w:p w14:paraId="1AE0A9FA" w14:textId="77777777" w:rsidR="00475134" w:rsidRPr="005E606B" w:rsidRDefault="00AB2D84" w:rsidP="00475134">
      <w:pPr>
        <w:spacing w:after="120"/>
        <w:jc w:val="both"/>
        <w:rPr>
          <w:rFonts w:ascii="Arial" w:hAnsi="Arial" w:cs="Arial"/>
          <w:sz w:val="20"/>
          <w:szCs w:val="20"/>
          <w:lang w:val="bg-BG"/>
        </w:rPr>
      </w:pPr>
      <w:r>
        <w:rPr>
          <w:rFonts w:ascii="Arial" w:hAnsi="Arial" w:cs="Arial"/>
          <w:sz w:val="20"/>
          <w:szCs w:val="20"/>
          <w:lang w:val="bg-BG"/>
        </w:rPr>
        <w:t xml:space="preserve">Фонд мениджърът </w:t>
      </w:r>
      <w:r w:rsidR="00D7245A">
        <w:rPr>
          <w:rFonts w:ascii="Arial" w:hAnsi="Arial" w:cs="Arial"/>
          <w:sz w:val="20"/>
          <w:szCs w:val="20"/>
          <w:lang w:val="bg-BG"/>
        </w:rPr>
        <w:t>следва да гарантира, че</w:t>
      </w:r>
      <w:r w:rsidR="00475134" w:rsidRPr="005E606B">
        <w:rPr>
          <w:rFonts w:ascii="Arial" w:hAnsi="Arial" w:cs="Arial"/>
          <w:sz w:val="20"/>
          <w:szCs w:val="20"/>
          <w:lang w:val="bg-BG"/>
        </w:rPr>
        <w:t>:</w:t>
      </w:r>
    </w:p>
    <w:p w14:paraId="37E58D46" w14:textId="77777777" w:rsidR="00D7245A" w:rsidRPr="00613607" w:rsidRDefault="00475134" w:rsidP="00475134">
      <w:pPr>
        <w:spacing w:after="120"/>
        <w:jc w:val="both"/>
        <w:rPr>
          <w:rFonts w:ascii="Arial" w:hAnsi="Arial" w:cs="Arial"/>
          <w:sz w:val="20"/>
          <w:szCs w:val="20"/>
          <w:lang w:val="bg-BG"/>
        </w:rPr>
      </w:pPr>
      <w:r w:rsidRPr="00D7245A">
        <w:rPr>
          <w:rFonts w:ascii="Arial" w:hAnsi="Arial" w:cs="Arial"/>
          <w:sz w:val="20"/>
          <w:szCs w:val="20"/>
          <w:lang w:val="bg-BG"/>
        </w:rPr>
        <w:t>(</w:t>
      </w:r>
      <w:r w:rsidR="009F1AF0">
        <w:rPr>
          <w:rFonts w:ascii="Arial" w:hAnsi="Arial" w:cs="Arial"/>
          <w:sz w:val="20"/>
          <w:szCs w:val="20"/>
          <w:lang w:val="bg-BG"/>
        </w:rPr>
        <w:t>а</w:t>
      </w:r>
      <w:r w:rsidRPr="00D7245A">
        <w:rPr>
          <w:rFonts w:ascii="Arial" w:hAnsi="Arial" w:cs="Arial"/>
          <w:sz w:val="20"/>
          <w:szCs w:val="20"/>
          <w:lang w:val="bg-BG"/>
        </w:rPr>
        <w:t xml:space="preserve">) </w:t>
      </w:r>
      <w:r w:rsidR="00D7245A" w:rsidRPr="00D7245A">
        <w:rPr>
          <w:rFonts w:ascii="Arial" w:hAnsi="Arial" w:cs="Arial"/>
          <w:sz w:val="20"/>
          <w:szCs w:val="20"/>
          <w:lang w:val="bg-BG"/>
        </w:rPr>
        <w:t>Крайните получатели</w:t>
      </w:r>
      <w:r w:rsidR="00011D8D">
        <w:rPr>
          <w:rFonts w:ascii="Arial" w:hAnsi="Arial" w:cs="Arial"/>
          <w:sz w:val="20"/>
          <w:szCs w:val="20"/>
          <w:lang w:val="bg-BG"/>
        </w:rPr>
        <w:t xml:space="preserve"> </w:t>
      </w:r>
      <w:r w:rsidR="00575E25">
        <w:rPr>
          <w:rFonts w:ascii="Arial" w:hAnsi="Arial" w:cs="Arial"/>
          <w:sz w:val="20"/>
          <w:szCs w:val="20"/>
          <w:lang w:val="bg-BG"/>
        </w:rPr>
        <w:t>на</w:t>
      </w:r>
      <w:r w:rsidR="00D7245A" w:rsidRPr="00D7245A">
        <w:rPr>
          <w:rFonts w:ascii="Arial" w:hAnsi="Arial" w:cs="Arial"/>
          <w:sz w:val="20"/>
          <w:szCs w:val="20"/>
          <w:lang w:val="bg-BG"/>
        </w:rPr>
        <w:t xml:space="preserve"> подкрепа чрез ФИ се избират при надлежно отчитане на естеството на ФИ и на потенциалната икономическа жизнеспособност на инвестиционните проекти, които трябва да бъдат финансирани. Подборът трябва да бъде прозрачен и обективно обоснован и да не поражда конфликт на интереси;</w:t>
      </w:r>
    </w:p>
    <w:p w14:paraId="7C698BC5" w14:textId="77777777" w:rsidR="00475134" w:rsidRPr="00613607" w:rsidRDefault="00475134" w:rsidP="00475134">
      <w:pPr>
        <w:spacing w:after="120"/>
        <w:jc w:val="both"/>
        <w:rPr>
          <w:rFonts w:ascii="Arial" w:hAnsi="Arial" w:cs="Arial"/>
          <w:sz w:val="20"/>
          <w:szCs w:val="20"/>
          <w:lang w:val="bg-BG"/>
        </w:rPr>
      </w:pPr>
      <w:r w:rsidRPr="00613607">
        <w:rPr>
          <w:rFonts w:ascii="Arial" w:hAnsi="Arial" w:cs="Arial"/>
          <w:sz w:val="20"/>
          <w:szCs w:val="20"/>
          <w:lang w:val="bg-BG"/>
        </w:rPr>
        <w:t>(</w:t>
      </w:r>
      <w:r w:rsidR="009F1AF0">
        <w:rPr>
          <w:rFonts w:ascii="Arial" w:hAnsi="Arial" w:cs="Arial"/>
          <w:sz w:val="20"/>
          <w:szCs w:val="20"/>
          <w:lang w:val="bg-BG"/>
        </w:rPr>
        <w:t>б</w:t>
      </w:r>
      <w:r w:rsidRPr="00613607">
        <w:rPr>
          <w:rFonts w:ascii="Arial" w:hAnsi="Arial" w:cs="Arial"/>
          <w:sz w:val="20"/>
          <w:szCs w:val="20"/>
          <w:lang w:val="bg-BG"/>
        </w:rPr>
        <w:t xml:space="preserve">) </w:t>
      </w:r>
      <w:r w:rsidR="00D7245A" w:rsidRPr="00D7245A">
        <w:rPr>
          <w:rFonts w:ascii="Arial" w:hAnsi="Arial" w:cs="Arial"/>
          <w:sz w:val="20"/>
          <w:szCs w:val="20"/>
          <w:lang w:val="bg-BG"/>
        </w:rPr>
        <w:t>Крайните получатели биват информирани, че финансирането се предоставя по програм</w:t>
      </w:r>
      <w:r w:rsidR="00011D8D">
        <w:rPr>
          <w:rFonts w:ascii="Arial" w:hAnsi="Arial" w:cs="Arial"/>
          <w:sz w:val="20"/>
          <w:szCs w:val="20"/>
          <w:lang w:val="bg-BG"/>
        </w:rPr>
        <w:t>а</w:t>
      </w:r>
      <w:r w:rsidR="00D7245A" w:rsidRPr="00D7245A">
        <w:rPr>
          <w:rFonts w:ascii="Arial" w:hAnsi="Arial" w:cs="Arial"/>
          <w:sz w:val="20"/>
          <w:szCs w:val="20"/>
          <w:lang w:val="bg-BG"/>
        </w:rPr>
        <w:t>, съфинансиран</w:t>
      </w:r>
      <w:r w:rsidR="00011D8D">
        <w:rPr>
          <w:rFonts w:ascii="Arial" w:hAnsi="Arial" w:cs="Arial"/>
          <w:sz w:val="20"/>
          <w:szCs w:val="20"/>
          <w:lang w:val="bg-BG"/>
        </w:rPr>
        <w:t>а</w:t>
      </w:r>
      <w:r w:rsidR="00D7245A" w:rsidRPr="00D7245A">
        <w:rPr>
          <w:rFonts w:ascii="Arial" w:hAnsi="Arial" w:cs="Arial"/>
          <w:sz w:val="20"/>
          <w:szCs w:val="20"/>
          <w:lang w:val="bg-BG"/>
        </w:rPr>
        <w:t xml:space="preserve"> от ЕСИФ, в съответствие с изискванията по член 115 от Регламент (ЕС) №1303/2013</w:t>
      </w:r>
      <w:r w:rsidR="00D7245A">
        <w:rPr>
          <w:rFonts w:ascii="Arial" w:hAnsi="Arial" w:cs="Arial"/>
          <w:sz w:val="20"/>
          <w:szCs w:val="20"/>
          <w:lang w:val="bg-BG"/>
        </w:rPr>
        <w:t>;</w:t>
      </w:r>
    </w:p>
    <w:p w14:paraId="7824007F" w14:textId="77777777" w:rsidR="00475134" w:rsidRPr="00D7245A" w:rsidRDefault="00475134" w:rsidP="00475134">
      <w:pPr>
        <w:spacing w:after="120"/>
        <w:jc w:val="both"/>
        <w:rPr>
          <w:rFonts w:ascii="Arial" w:hAnsi="Arial" w:cs="Arial"/>
          <w:sz w:val="20"/>
          <w:szCs w:val="20"/>
          <w:lang w:val="bg-BG"/>
        </w:rPr>
      </w:pPr>
      <w:r w:rsidRPr="00D7245A">
        <w:rPr>
          <w:rFonts w:ascii="Arial" w:hAnsi="Arial" w:cs="Arial"/>
          <w:sz w:val="20"/>
          <w:szCs w:val="20"/>
          <w:lang w:val="bg-BG"/>
        </w:rPr>
        <w:t>(</w:t>
      </w:r>
      <w:r w:rsidR="009F1AF0">
        <w:rPr>
          <w:rFonts w:ascii="Arial" w:hAnsi="Arial" w:cs="Arial"/>
          <w:sz w:val="20"/>
          <w:szCs w:val="20"/>
          <w:lang w:val="bg-BG"/>
        </w:rPr>
        <w:t>в</w:t>
      </w:r>
      <w:r w:rsidRPr="00D7245A">
        <w:rPr>
          <w:rFonts w:ascii="Arial" w:hAnsi="Arial" w:cs="Arial"/>
          <w:sz w:val="20"/>
          <w:szCs w:val="20"/>
          <w:lang w:val="bg-BG"/>
        </w:rPr>
        <w:t xml:space="preserve">) </w:t>
      </w:r>
      <w:r w:rsidR="00AB2D84">
        <w:rPr>
          <w:rFonts w:ascii="Arial" w:hAnsi="Arial" w:cs="Arial"/>
          <w:sz w:val="20"/>
          <w:szCs w:val="20"/>
          <w:lang w:val="bg-BG"/>
        </w:rPr>
        <w:t>Подкрепата ч</w:t>
      </w:r>
      <w:r w:rsidR="00D7245A" w:rsidRPr="00D7245A">
        <w:rPr>
          <w:rFonts w:ascii="Arial" w:hAnsi="Arial" w:cs="Arial"/>
          <w:sz w:val="20"/>
          <w:szCs w:val="20"/>
          <w:lang w:val="bg-BG"/>
        </w:rPr>
        <w:t xml:space="preserve">рез </w:t>
      </w:r>
      <w:r w:rsidR="005778B6">
        <w:rPr>
          <w:rFonts w:ascii="Arial" w:hAnsi="Arial" w:cs="Arial"/>
          <w:sz w:val="20"/>
          <w:szCs w:val="20"/>
          <w:lang w:val="bg-BG"/>
        </w:rPr>
        <w:t>ФИ</w:t>
      </w:r>
      <w:r w:rsidR="00D7245A" w:rsidRPr="00D7245A">
        <w:rPr>
          <w:rFonts w:ascii="Arial" w:hAnsi="Arial" w:cs="Arial"/>
          <w:sz w:val="20"/>
          <w:szCs w:val="20"/>
          <w:lang w:val="bg-BG"/>
        </w:rPr>
        <w:t xml:space="preserve"> се предоставя по начин, който </w:t>
      </w:r>
      <w:r w:rsidR="00A9721A">
        <w:rPr>
          <w:rFonts w:ascii="Arial" w:hAnsi="Arial" w:cs="Arial"/>
          <w:sz w:val="20"/>
          <w:szCs w:val="20"/>
          <w:lang w:val="bg-BG"/>
        </w:rPr>
        <w:t xml:space="preserve">не </w:t>
      </w:r>
      <w:r w:rsidR="00D7245A" w:rsidRPr="00D7245A">
        <w:rPr>
          <w:rFonts w:ascii="Arial" w:hAnsi="Arial" w:cs="Arial"/>
          <w:sz w:val="20"/>
          <w:szCs w:val="20"/>
          <w:lang w:val="bg-BG"/>
        </w:rPr>
        <w:t>нарушава конкуренцията;</w:t>
      </w:r>
    </w:p>
    <w:p w14:paraId="1833F2C3" w14:textId="77777777" w:rsidR="00D7245A" w:rsidRPr="00D7245A" w:rsidRDefault="00D7245A" w:rsidP="00475134">
      <w:pPr>
        <w:spacing w:after="120"/>
        <w:jc w:val="both"/>
        <w:rPr>
          <w:rFonts w:ascii="Arial" w:hAnsi="Arial" w:cs="Arial"/>
          <w:sz w:val="20"/>
          <w:szCs w:val="20"/>
          <w:lang w:val="bg-BG"/>
        </w:rPr>
      </w:pPr>
      <w:r w:rsidRPr="00582A55">
        <w:rPr>
          <w:rFonts w:ascii="Arial" w:hAnsi="Arial" w:cs="Arial"/>
          <w:sz w:val="20"/>
          <w:szCs w:val="20"/>
          <w:lang w:val="bg-BG"/>
        </w:rPr>
        <w:t>(</w:t>
      </w:r>
      <w:r w:rsidR="009F1AF0" w:rsidRPr="00582A55">
        <w:rPr>
          <w:rFonts w:ascii="Arial" w:hAnsi="Arial" w:cs="Arial"/>
          <w:sz w:val="20"/>
          <w:szCs w:val="20"/>
          <w:lang w:val="bg-BG"/>
        </w:rPr>
        <w:t>г</w:t>
      </w:r>
      <w:r w:rsidRPr="00582A55">
        <w:rPr>
          <w:rFonts w:ascii="Arial" w:hAnsi="Arial" w:cs="Arial"/>
          <w:sz w:val="20"/>
          <w:szCs w:val="20"/>
          <w:lang w:val="bg-BG"/>
        </w:rPr>
        <w:t>) Преференциалното възнаграждение за частните инвеститори или публичните инвеститори, работещи съгласно принципа на инвеститор в условията на пазарна икономика, както е посочено в член 37, параграф 2, буква в) и член 44, параграф 1, буква б) от Регламент (ЕС) №1303/2013, е пропорционално спрямо рисковете, поети от тези инвеститори и е ограничено до необходимия минимум за привличането на такива инвеститори, като това се гарантира чрез определени условия и предпазни процедури.</w:t>
      </w:r>
    </w:p>
    <w:p w14:paraId="1BF4E89A" w14:textId="77777777" w:rsidR="005778B6" w:rsidRPr="005778B6" w:rsidRDefault="005778B6" w:rsidP="00475134">
      <w:pPr>
        <w:spacing w:after="120"/>
        <w:jc w:val="both"/>
        <w:rPr>
          <w:rFonts w:ascii="Arial" w:hAnsi="Arial" w:cs="Arial"/>
          <w:sz w:val="20"/>
          <w:szCs w:val="20"/>
          <w:lang w:val="bg-BG"/>
        </w:rPr>
      </w:pPr>
      <w:r w:rsidRPr="005778B6">
        <w:rPr>
          <w:rFonts w:ascii="Arial" w:hAnsi="Arial" w:cs="Arial"/>
          <w:sz w:val="20"/>
          <w:szCs w:val="20"/>
          <w:lang w:val="bg-BG"/>
        </w:rPr>
        <w:t xml:space="preserve">Тъй като пряката финансова отговорност на </w:t>
      </w:r>
      <w:r>
        <w:rPr>
          <w:rFonts w:ascii="Arial" w:hAnsi="Arial" w:cs="Arial"/>
          <w:sz w:val="20"/>
          <w:szCs w:val="20"/>
          <w:lang w:val="bg-BG"/>
        </w:rPr>
        <w:t>УО</w:t>
      </w:r>
      <w:r w:rsidRPr="005778B6">
        <w:rPr>
          <w:rFonts w:ascii="Arial" w:hAnsi="Arial" w:cs="Arial"/>
          <w:sz w:val="20"/>
          <w:szCs w:val="20"/>
          <w:lang w:val="bg-BG"/>
        </w:rPr>
        <w:t xml:space="preserve"> спрямо организациите, прилагащи </w:t>
      </w:r>
      <w:r>
        <w:rPr>
          <w:rFonts w:ascii="Arial" w:hAnsi="Arial" w:cs="Arial"/>
          <w:sz w:val="20"/>
          <w:szCs w:val="20"/>
          <w:lang w:val="bg-BG"/>
        </w:rPr>
        <w:t>ФИ</w:t>
      </w:r>
      <w:r w:rsidRPr="005778B6">
        <w:rPr>
          <w:rFonts w:ascii="Arial" w:hAnsi="Arial" w:cs="Arial"/>
          <w:sz w:val="20"/>
          <w:szCs w:val="20"/>
          <w:lang w:val="bg-BG"/>
        </w:rPr>
        <w:t xml:space="preserve">, или крайните получатели, както и отговорността му във връзка с всеки друг дълг или задължение по </w:t>
      </w:r>
      <w:r>
        <w:rPr>
          <w:rFonts w:ascii="Arial" w:hAnsi="Arial" w:cs="Arial"/>
          <w:sz w:val="20"/>
          <w:szCs w:val="20"/>
          <w:lang w:val="bg-BG"/>
        </w:rPr>
        <w:t>ФИ</w:t>
      </w:r>
      <w:r w:rsidR="00EE3437">
        <w:rPr>
          <w:rFonts w:ascii="Arial" w:hAnsi="Arial" w:cs="Arial"/>
          <w:sz w:val="20"/>
          <w:szCs w:val="20"/>
          <w:lang w:val="bg-BG"/>
        </w:rPr>
        <w:t>,</w:t>
      </w:r>
      <w:r w:rsidRPr="005778B6">
        <w:rPr>
          <w:rFonts w:ascii="Arial" w:hAnsi="Arial" w:cs="Arial"/>
          <w:sz w:val="20"/>
          <w:szCs w:val="20"/>
          <w:lang w:val="bg-BG"/>
        </w:rPr>
        <w:t xml:space="preserve"> не мо</w:t>
      </w:r>
      <w:r w:rsidR="00EE3437">
        <w:rPr>
          <w:rFonts w:ascii="Arial" w:hAnsi="Arial" w:cs="Arial"/>
          <w:sz w:val="20"/>
          <w:szCs w:val="20"/>
          <w:lang w:val="bg-BG"/>
        </w:rPr>
        <w:t>же</w:t>
      </w:r>
      <w:r w:rsidRPr="005778B6">
        <w:rPr>
          <w:rFonts w:ascii="Arial" w:hAnsi="Arial" w:cs="Arial"/>
          <w:sz w:val="20"/>
          <w:szCs w:val="20"/>
          <w:lang w:val="bg-BG"/>
        </w:rPr>
        <w:t xml:space="preserve"> да надвишава сумата, за която </w:t>
      </w:r>
      <w:r>
        <w:rPr>
          <w:rFonts w:ascii="Arial" w:hAnsi="Arial" w:cs="Arial"/>
          <w:sz w:val="20"/>
          <w:szCs w:val="20"/>
          <w:lang w:val="bg-BG"/>
        </w:rPr>
        <w:t>УО</w:t>
      </w:r>
      <w:r w:rsidRPr="005778B6">
        <w:rPr>
          <w:rFonts w:ascii="Arial" w:hAnsi="Arial" w:cs="Arial"/>
          <w:sz w:val="20"/>
          <w:szCs w:val="20"/>
          <w:lang w:val="bg-BG"/>
        </w:rPr>
        <w:t xml:space="preserve"> е поел задължение </w:t>
      </w:r>
      <w:r w:rsidR="009F1AF0">
        <w:rPr>
          <w:rFonts w:ascii="Arial" w:hAnsi="Arial" w:cs="Arial"/>
          <w:sz w:val="20"/>
          <w:szCs w:val="20"/>
          <w:lang w:val="bg-BG"/>
        </w:rPr>
        <w:t>за</w:t>
      </w:r>
      <w:r w:rsidR="009F1AF0" w:rsidRPr="005778B6">
        <w:rPr>
          <w:rFonts w:ascii="Arial" w:hAnsi="Arial" w:cs="Arial"/>
          <w:sz w:val="20"/>
          <w:szCs w:val="20"/>
          <w:lang w:val="bg-BG"/>
        </w:rPr>
        <w:t xml:space="preserve"> </w:t>
      </w:r>
      <w:r w:rsidR="00141D52">
        <w:rPr>
          <w:rFonts w:ascii="Arial" w:hAnsi="Arial" w:cs="Arial"/>
          <w:sz w:val="20"/>
          <w:szCs w:val="20"/>
          <w:lang w:val="bg-BG"/>
        </w:rPr>
        <w:t xml:space="preserve">подкрепа чрез </w:t>
      </w:r>
      <w:r>
        <w:rPr>
          <w:rFonts w:ascii="Arial" w:hAnsi="Arial" w:cs="Arial"/>
          <w:sz w:val="20"/>
          <w:szCs w:val="20"/>
          <w:lang w:val="bg-BG"/>
        </w:rPr>
        <w:t>ФИ</w:t>
      </w:r>
      <w:r w:rsidRPr="005778B6">
        <w:rPr>
          <w:rFonts w:ascii="Arial" w:hAnsi="Arial" w:cs="Arial"/>
          <w:sz w:val="20"/>
          <w:szCs w:val="20"/>
          <w:lang w:val="bg-BG"/>
        </w:rPr>
        <w:t xml:space="preserve"> по силата на </w:t>
      </w:r>
      <w:r w:rsidR="009F1AF0">
        <w:rPr>
          <w:rFonts w:ascii="Arial" w:hAnsi="Arial" w:cs="Arial"/>
          <w:sz w:val="20"/>
          <w:szCs w:val="20"/>
          <w:lang w:val="bg-BG"/>
        </w:rPr>
        <w:t>Финансов</w:t>
      </w:r>
      <w:r w:rsidR="008022DB">
        <w:rPr>
          <w:rFonts w:ascii="Arial" w:hAnsi="Arial" w:cs="Arial"/>
          <w:sz w:val="20"/>
          <w:szCs w:val="20"/>
          <w:lang w:val="bg-BG"/>
        </w:rPr>
        <w:t>ото</w:t>
      </w:r>
      <w:r w:rsidR="009F1AF0">
        <w:rPr>
          <w:rFonts w:ascii="Arial" w:hAnsi="Arial" w:cs="Arial"/>
          <w:sz w:val="20"/>
          <w:szCs w:val="20"/>
          <w:lang w:val="bg-BG"/>
        </w:rPr>
        <w:t xml:space="preserve"> </w:t>
      </w:r>
      <w:r w:rsidR="008022DB" w:rsidRPr="005778B6">
        <w:rPr>
          <w:rFonts w:ascii="Arial" w:hAnsi="Arial" w:cs="Arial"/>
          <w:sz w:val="20"/>
          <w:szCs w:val="20"/>
          <w:lang w:val="bg-BG"/>
        </w:rPr>
        <w:lastRenderedPageBreak/>
        <w:t>споразумени</w:t>
      </w:r>
      <w:r w:rsidR="008022DB">
        <w:rPr>
          <w:rFonts w:ascii="Arial" w:hAnsi="Arial" w:cs="Arial"/>
          <w:sz w:val="20"/>
          <w:szCs w:val="20"/>
          <w:lang w:val="bg-BG"/>
        </w:rPr>
        <w:t>е</w:t>
      </w:r>
      <w:r w:rsidRPr="005778B6">
        <w:rPr>
          <w:rFonts w:ascii="Arial" w:hAnsi="Arial" w:cs="Arial"/>
          <w:sz w:val="20"/>
          <w:szCs w:val="20"/>
          <w:lang w:val="bg-BG"/>
        </w:rPr>
        <w:t xml:space="preserve">, </w:t>
      </w:r>
      <w:r w:rsidR="008022DB">
        <w:rPr>
          <w:rFonts w:ascii="Arial" w:hAnsi="Arial" w:cs="Arial"/>
          <w:sz w:val="20"/>
          <w:szCs w:val="20"/>
          <w:lang w:val="bg-BG"/>
        </w:rPr>
        <w:t>фонд мениджърът следва да</w:t>
      </w:r>
      <w:r w:rsidRPr="005778B6">
        <w:rPr>
          <w:rFonts w:ascii="Arial" w:hAnsi="Arial" w:cs="Arial"/>
          <w:sz w:val="20"/>
          <w:szCs w:val="20"/>
          <w:lang w:val="bg-BG"/>
        </w:rPr>
        <w:t xml:space="preserve"> гарантира, че към </w:t>
      </w:r>
      <w:r>
        <w:rPr>
          <w:rFonts w:ascii="Arial" w:hAnsi="Arial" w:cs="Arial"/>
          <w:sz w:val="20"/>
          <w:szCs w:val="20"/>
          <w:lang w:val="bg-BG"/>
        </w:rPr>
        <w:t>УО</w:t>
      </w:r>
      <w:r w:rsidRPr="005778B6">
        <w:rPr>
          <w:rFonts w:ascii="Arial" w:hAnsi="Arial" w:cs="Arial"/>
          <w:sz w:val="20"/>
          <w:szCs w:val="20"/>
          <w:lang w:val="bg-BG"/>
        </w:rPr>
        <w:t xml:space="preserve"> не може да се предявяват искове за вземания в размер, надвишаващ сумата, за която той е поел задължение по </w:t>
      </w:r>
      <w:r>
        <w:rPr>
          <w:rFonts w:ascii="Arial" w:hAnsi="Arial" w:cs="Arial"/>
          <w:sz w:val="20"/>
          <w:szCs w:val="20"/>
          <w:lang w:val="bg-BG"/>
        </w:rPr>
        <w:t>ФИ</w:t>
      </w:r>
      <w:r w:rsidRPr="005778B6">
        <w:rPr>
          <w:rFonts w:ascii="Arial" w:hAnsi="Arial" w:cs="Arial"/>
          <w:sz w:val="20"/>
          <w:szCs w:val="20"/>
          <w:lang w:val="bg-BG"/>
        </w:rPr>
        <w:t>.</w:t>
      </w:r>
    </w:p>
    <w:p w14:paraId="1D8C138B" w14:textId="77777777" w:rsidR="00C24085" w:rsidRPr="00C24085" w:rsidRDefault="00C24085" w:rsidP="00475134">
      <w:pPr>
        <w:spacing w:after="120"/>
        <w:jc w:val="both"/>
        <w:rPr>
          <w:rFonts w:ascii="Arial" w:hAnsi="Arial" w:cs="Arial"/>
          <w:sz w:val="20"/>
          <w:szCs w:val="20"/>
          <w:lang w:val="bg-BG"/>
        </w:rPr>
      </w:pPr>
      <w:r w:rsidRPr="00C24085">
        <w:rPr>
          <w:rFonts w:ascii="Arial" w:hAnsi="Arial" w:cs="Arial"/>
          <w:sz w:val="20"/>
          <w:szCs w:val="20"/>
          <w:lang w:val="bg-BG"/>
        </w:rPr>
        <w:t xml:space="preserve">Когато избира организация, която да прилага </w:t>
      </w:r>
      <w:r>
        <w:rPr>
          <w:rFonts w:ascii="Arial" w:hAnsi="Arial" w:cs="Arial"/>
          <w:sz w:val="20"/>
          <w:szCs w:val="20"/>
          <w:lang w:val="bg-BG"/>
        </w:rPr>
        <w:t>ФИ</w:t>
      </w:r>
      <w:r w:rsidRPr="00C24085">
        <w:rPr>
          <w:rFonts w:ascii="Arial" w:hAnsi="Arial" w:cs="Arial"/>
          <w:sz w:val="20"/>
          <w:szCs w:val="20"/>
          <w:lang w:val="bg-BG"/>
        </w:rPr>
        <w:t xml:space="preserve"> по силата на чл</w:t>
      </w:r>
      <w:r>
        <w:rPr>
          <w:rFonts w:ascii="Arial" w:hAnsi="Arial" w:cs="Arial"/>
          <w:sz w:val="20"/>
          <w:szCs w:val="20"/>
          <w:lang w:val="bg-BG"/>
        </w:rPr>
        <w:t>.</w:t>
      </w:r>
      <w:r w:rsidRPr="00C24085">
        <w:rPr>
          <w:rFonts w:ascii="Arial" w:hAnsi="Arial" w:cs="Arial"/>
          <w:sz w:val="20"/>
          <w:szCs w:val="20"/>
          <w:lang w:val="bg-BG"/>
        </w:rPr>
        <w:t xml:space="preserve">38 (4) от Регламент (ЕС) № 1303/2013, </w:t>
      </w:r>
      <w:r>
        <w:rPr>
          <w:rFonts w:ascii="Arial" w:hAnsi="Arial" w:cs="Arial"/>
          <w:sz w:val="20"/>
          <w:szCs w:val="20"/>
          <w:lang w:val="bg-BG"/>
        </w:rPr>
        <w:t xml:space="preserve">ФМФИБ следва да се </w:t>
      </w:r>
      <w:r w:rsidR="001836DF" w:rsidRPr="00C24085">
        <w:rPr>
          <w:rFonts w:ascii="Arial" w:hAnsi="Arial" w:cs="Arial"/>
          <w:sz w:val="20"/>
          <w:szCs w:val="20"/>
          <w:lang w:val="bg-BG"/>
        </w:rPr>
        <w:t>увер</w:t>
      </w:r>
      <w:r w:rsidR="001836DF">
        <w:rPr>
          <w:rFonts w:ascii="Arial" w:hAnsi="Arial" w:cs="Arial"/>
          <w:sz w:val="20"/>
          <w:szCs w:val="20"/>
          <w:lang w:val="bg-BG"/>
        </w:rPr>
        <w:t>и</w:t>
      </w:r>
      <w:r w:rsidRPr="00C24085">
        <w:rPr>
          <w:rFonts w:ascii="Arial" w:hAnsi="Arial" w:cs="Arial"/>
          <w:sz w:val="20"/>
          <w:szCs w:val="20"/>
          <w:lang w:val="bg-BG"/>
        </w:rPr>
        <w:t>, че тази организация отговаря на следните минимални изисквания:</w:t>
      </w:r>
    </w:p>
    <w:p w14:paraId="21D68CCC" w14:textId="77777777" w:rsidR="00475134" w:rsidRPr="00C24085" w:rsidRDefault="00475134" w:rsidP="00093613">
      <w:pPr>
        <w:spacing w:after="120"/>
        <w:jc w:val="both"/>
        <w:rPr>
          <w:rFonts w:ascii="Arial" w:hAnsi="Arial" w:cs="Arial"/>
          <w:sz w:val="20"/>
          <w:szCs w:val="20"/>
          <w:lang w:val="bg-BG"/>
        </w:rPr>
      </w:pPr>
      <w:r w:rsidRPr="00C24085">
        <w:rPr>
          <w:rFonts w:ascii="Arial" w:hAnsi="Arial" w:cs="Arial"/>
          <w:sz w:val="20"/>
          <w:szCs w:val="20"/>
          <w:lang w:val="bg-BG"/>
        </w:rPr>
        <w:t>(</w:t>
      </w:r>
      <w:r w:rsidR="009F1AF0">
        <w:rPr>
          <w:rFonts w:ascii="Arial" w:hAnsi="Arial" w:cs="Arial"/>
          <w:sz w:val="20"/>
          <w:szCs w:val="20"/>
          <w:lang w:val="bg-BG"/>
        </w:rPr>
        <w:t>а</w:t>
      </w:r>
      <w:r w:rsidRPr="00C24085">
        <w:rPr>
          <w:rFonts w:ascii="Arial" w:hAnsi="Arial" w:cs="Arial"/>
          <w:sz w:val="20"/>
          <w:szCs w:val="20"/>
          <w:lang w:val="bg-BG"/>
        </w:rPr>
        <w:t xml:space="preserve">) </w:t>
      </w:r>
      <w:r w:rsidR="00C24085" w:rsidRPr="00C24085">
        <w:rPr>
          <w:rFonts w:ascii="Arial" w:hAnsi="Arial" w:cs="Arial"/>
          <w:sz w:val="20"/>
          <w:szCs w:val="20"/>
          <w:lang w:val="bg-BG"/>
        </w:rPr>
        <w:t xml:space="preserve">има право да изпълнява съответните задачи по прилагането на </w:t>
      </w:r>
      <w:r w:rsidR="00C24085">
        <w:rPr>
          <w:rFonts w:ascii="Arial" w:hAnsi="Arial" w:cs="Arial"/>
          <w:sz w:val="20"/>
          <w:szCs w:val="20"/>
          <w:lang w:val="bg-BG"/>
        </w:rPr>
        <w:t>ФИ</w:t>
      </w:r>
      <w:r w:rsidR="00C24085" w:rsidRPr="00C24085">
        <w:rPr>
          <w:rFonts w:ascii="Arial" w:hAnsi="Arial" w:cs="Arial"/>
          <w:sz w:val="20"/>
          <w:szCs w:val="20"/>
          <w:lang w:val="bg-BG"/>
        </w:rPr>
        <w:t xml:space="preserve"> съгласно правот</w:t>
      </w:r>
      <w:r w:rsidR="00C24085">
        <w:rPr>
          <w:rFonts w:ascii="Arial" w:hAnsi="Arial" w:cs="Arial"/>
          <w:sz w:val="20"/>
          <w:szCs w:val="20"/>
          <w:lang w:val="bg-BG"/>
        </w:rPr>
        <w:t>о на Съюза и националното право</w:t>
      </w:r>
      <w:r w:rsidRPr="00C24085">
        <w:rPr>
          <w:rFonts w:ascii="Arial" w:hAnsi="Arial" w:cs="Arial"/>
          <w:sz w:val="20"/>
          <w:szCs w:val="20"/>
          <w:lang w:val="bg-BG"/>
        </w:rPr>
        <w:t>;</w:t>
      </w:r>
    </w:p>
    <w:p w14:paraId="3EE424A8" w14:textId="77777777" w:rsidR="00475134" w:rsidRPr="00C24085" w:rsidRDefault="00475134" w:rsidP="00093613">
      <w:pPr>
        <w:spacing w:after="120"/>
        <w:jc w:val="both"/>
        <w:rPr>
          <w:rFonts w:ascii="Arial" w:hAnsi="Arial" w:cs="Arial"/>
          <w:sz w:val="20"/>
          <w:szCs w:val="20"/>
          <w:lang w:val="bg-BG"/>
        </w:rPr>
      </w:pPr>
      <w:r w:rsidRPr="00C24085">
        <w:rPr>
          <w:rFonts w:ascii="Arial" w:hAnsi="Arial" w:cs="Arial"/>
          <w:sz w:val="20"/>
          <w:szCs w:val="20"/>
          <w:lang w:val="bg-BG"/>
        </w:rPr>
        <w:t>(</w:t>
      </w:r>
      <w:r w:rsidR="009F1AF0">
        <w:rPr>
          <w:rFonts w:ascii="Arial" w:hAnsi="Arial" w:cs="Arial"/>
          <w:sz w:val="20"/>
          <w:szCs w:val="20"/>
          <w:lang w:val="bg-BG"/>
        </w:rPr>
        <w:t>б</w:t>
      </w:r>
      <w:r w:rsidRPr="00C24085">
        <w:rPr>
          <w:rFonts w:ascii="Arial" w:hAnsi="Arial" w:cs="Arial"/>
          <w:sz w:val="20"/>
          <w:szCs w:val="20"/>
          <w:lang w:val="bg-BG"/>
        </w:rPr>
        <w:t xml:space="preserve">) </w:t>
      </w:r>
      <w:r w:rsidR="00C24085" w:rsidRPr="00C24085">
        <w:rPr>
          <w:rFonts w:ascii="Arial" w:hAnsi="Arial" w:cs="Arial"/>
          <w:sz w:val="20"/>
          <w:szCs w:val="20"/>
          <w:lang w:val="bg-BG"/>
        </w:rPr>
        <w:t>има подходяща икономическа и финансова жизнеспособност</w:t>
      </w:r>
      <w:r w:rsidRPr="00C24085">
        <w:rPr>
          <w:rFonts w:ascii="Arial" w:hAnsi="Arial" w:cs="Arial"/>
          <w:sz w:val="20"/>
          <w:szCs w:val="20"/>
          <w:lang w:val="bg-BG"/>
        </w:rPr>
        <w:t>;</w:t>
      </w:r>
    </w:p>
    <w:p w14:paraId="515F23DC" w14:textId="77777777" w:rsidR="00475134" w:rsidRPr="00C24085" w:rsidRDefault="00475134" w:rsidP="00093613">
      <w:pPr>
        <w:spacing w:after="120"/>
        <w:jc w:val="both"/>
        <w:rPr>
          <w:rFonts w:ascii="Arial" w:hAnsi="Arial" w:cs="Arial"/>
          <w:sz w:val="20"/>
          <w:szCs w:val="20"/>
          <w:lang w:val="bg-BG"/>
        </w:rPr>
      </w:pPr>
      <w:r w:rsidRPr="00C24085">
        <w:rPr>
          <w:rFonts w:ascii="Arial" w:hAnsi="Arial" w:cs="Arial"/>
          <w:sz w:val="20"/>
          <w:szCs w:val="20"/>
          <w:lang w:val="bg-BG"/>
        </w:rPr>
        <w:t>(</w:t>
      </w:r>
      <w:r w:rsidR="009F1AF0">
        <w:rPr>
          <w:rFonts w:ascii="Arial" w:hAnsi="Arial" w:cs="Arial"/>
          <w:sz w:val="20"/>
          <w:szCs w:val="20"/>
          <w:lang w:val="bg-BG"/>
        </w:rPr>
        <w:t>в</w:t>
      </w:r>
      <w:r w:rsidRPr="00C24085">
        <w:rPr>
          <w:rFonts w:ascii="Arial" w:hAnsi="Arial" w:cs="Arial"/>
          <w:sz w:val="20"/>
          <w:szCs w:val="20"/>
          <w:lang w:val="bg-BG"/>
        </w:rPr>
        <w:t>)</w:t>
      </w:r>
      <w:r w:rsidR="00FC748D" w:rsidRPr="00C24085">
        <w:rPr>
          <w:rFonts w:ascii="Arial" w:hAnsi="Arial" w:cs="Arial"/>
          <w:sz w:val="20"/>
          <w:szCs w:val="20"/>
          <w:lang w:val="bg-BG"/>
        </w:rPr>
        <w:t xml:space="preserve"> </w:t>
      </w:r>
      <w:r w:rsidR="00C24085" w:rsidRPr="00C24085">
        <w:rPr>
          <w:rFonts w:ascii="Arial" w:hAnsi="Arial" w:cs="Arial"/>
          <w:sz w:val="20"/>
          <w:szCs w:val="20"/>
          <w:lang w:val="bg-BG"/>
        </w:rPr>
        <w:t xml:space="preserve">има подходящ капацитет за прилагане на </w:t>
      </w:r>
      <w:r w:rsidR="00C24085">
        <w:rPr>
          <w:rFonts w:ascii="Arial" w:hAnsi="Arial" w:cs="Arial"/>
          <w:sz w:val="20"/>
          <w:szCs w:val="20"/>
          <w:lang w:val="bg-BG"/>
        </w:rPr>
        <w:t>ФИ</w:t>
      </w:r>
      <w:r w:rsidR="00C24085" w:rsidRPr="00C24085">
        <w:rPr>
          <w:rFonts w:ascii="Arial" w:hAnsi="Arial" w:cs="Arial"/>
          <w:sz w:val="20"/>
          <w:szCs w:val="20"/>
          <w:lang w:val="bg-BG"/>
        </w:rPr>
        <w:t xml:space="preserve">, включително организационна структура и рамка за управление, осигуряващи необходимата увереност за </w:t>
      </w:r>
      <w:r w:rsidR="00C24085">
        <w:rPr>
          <w:rFonts w:ascii="Arial" w:hAnsi="Arial" w:cs="Arial"/>
          <w:sz w:val="20"/>
          <w:szCs w:val="20"/>
          <w:lang w:val="bg-BG"/>
        </w:rPr>
        <w:t>УО</w:t>
      </w:r>
      <w:r w:rsidRPr="00C24085">
        <w:rPr>
          <w:rFonts w:ascii="Arial" w:hAnsi="Arial" w:cs="Arial"/>
          <w:sz w:val="20"/>
          <w:szCs w:val="20"/>
          <w:lang w:val="bg-BG"/>
        </w:rPr>
        <w:t>;</w:t>
      </w:r>
    </w:p>
    <w:p w14:paraId="49EF9F2A" w14:textId="77777777" w:rsidR="00475134" w:rsidRPr="00C24085" w:rsidRDefault="00475134" w:rsidP="00093613">
      <w:pPr>
        <w:spacing w:after="120"/>
        <w:jc w:val="both"/>
        <w:rPr>
          <w:rFonts w:ascii="Arial" w:hAnsi="Arial" w:cs="Arial"/>
          <w:sz w:val="20"/>
          <w:szCs w:val="20"/>
          <w:lang w:val="bg-BG"/>
        </w:rPr>
      </w:pPr>
      <w:r w:rsidRPr="00C24085">
        <w:rPr>
          <w:rFonts w:ascii="Arial" w:hAnsi="Arial" w:cs="Arial"/>
          <w:sz w:val="20"/>
          <w:szCs w:val="20"/>
          <w:lang w:val="bg-BG"/>
        </w:rPr>
        <w:t>(</w:t>
      </w:r>
      <w:r w:rsidR="009F1AF0">
        <w:rPr>
          <w:rFonts w:ascii="Arial" w:hAnsi="Arial" w:cs="Arial"/>
          <w:sz w:val="20"/>
          <w:szCs w:val="20"/>
          <w:lang w:val="bg-BG"/>
        </w:rPr>
        <w:t>г</w:t>
      </w:r>
      <w:r w:rsidRPr="00C24085">
        <w:rPr>
          <w:rFonts w:ascii="Arial" w:hAnsi="Arial" w:cs="Arial"/>
          <w:sz w:val="20"/>
          <w:szCs w:val="20"/>
          <w:lang w:val="bg-BG"/>
        </w:rPr>
        <w:t xml:space="preserve">) </w:t>
      </w:r>
      <w:r w:rsidR="00C24085" w:rsidRPr="00C24085">
        <w:rPr>
          <w:rFonts w:ascii="Arial" w:hAnsi="Arial" w:cs="Arial"/>
          <w:sz w:val="20"/>
          <w:szCs w:val="20"/>
          <w:lang w:val="bg-BG"/>
        </w:rPr>
        <w:t>разполага с ефективна и ефикасна система за вътрешен контрол</w:t>
      </w:r>
      <w:r w:rsidRPr="00C24085">
        <w:rPr>
          <w:rFonts w:ascii="Arial" w:hAnsi="Arial" w:cs="Arial"/>
          <w:sz w:val="20"/>
          <w:szCs w:val="20"/>
          <w:lang w:val="bg-BG"/>
        </w:rPr>
        <w:t>;</w:t>
      </w:r>
    </w:p>
    <w:p w14:paraId="08B9EBD9" w14:textId="77777777" w:rsidR="00475134" w:rsidRPr="00C24085" w:rsidRDefault="00475134" w:rsidP="00093613">
      <w:pPr>
        <w:spacing w:after="120"/>
        <w:jc w:val="both"/>
        <w:rPr>
          <w:rFonts w:ascii="Arial" w:hAnsi="Arial" w:cs="Arial"/>
          <w:sz w:val="20"/>
          <w:szCs w:val="20"/>
          <w:lang w:val="bg-BG"/>
        </w:rPr>
      </w:pPr>
      <w:r w:rsidRPr="00C24085">
        <w:rPr>
          <w:rFonts w:ascii="Arial" w:hAnsi="Arial" w:cs="Arial"/>
          <w:sz w:val="20"/>
          <w:szCs w:val="20"/>
          <w:lang w:val="bg-BG"/>
        </w:rPr>
        <w:t>(</w:t>
      </w:r>
      <w:r w:rsidR="009F1AF0">
        <w:rPr>
          <w:rFonts w:ascii="Arial" w:hAnsi="Arial" w:cs="Arial"/>
          <w:sz w:val="20"/>
          <w:szCs w:val="20"/>
          <w:lang w:val="bg-BG"/>
        </w:rPr>
        <w:t>д</w:t>
      </w:r>
      <w:r w:rsidRPr="00C24085">
        <w:rPr>
          <w:rFonts w:ascii="Arial" w:hAnsi="Arial" w:cs="Arial"/>
          <w:sz w:val="20"/>
          <w:szCs w:val="20"/>
          <w:lang w:val="bg-BG"/>
        </w:rPr>
        <w:t xml:space="preserve">) </w:t>
      </w:r>
      <w:r w:rsidR="00C24085" w:rsidRPr="00C24085">
        <w:rPr>
          <w:rFonts w:ascii="Arial" w:hAnsi="Arial" w:cs="Arial"/>
          <w:sz w:val="20"/>
          <w:szCs w:val="20"/>
          <w:lang w:val="bg-BG"/>
        </w:rPr>
        <w:t>използва счетоводна система, осигуряваща своевременно точна, пълна и надеждна информация</w:t>
      </w:r>
      <w:r w:rsidRPr="00C24085">
        <w:rPr>
          <w:rFonts w:ascii="Arial" w:hAnsi="Arial" w:cs="Arial"/>
          <w:sz w:val="20"/>
          <w:szCs w:val="20"/>
          <w:lang w:val="bg-BG"/>
        </w:rPr>
        <w:t>;</w:t>
      </w:r>
    </w:p>
    <w:p w14:paraId="5F999249" w14:textId="77777777" w:rsidR="00475134" w:rsidRPr="00C24085" w:rsidRDefault="00475134" w:rsidP="00093613">
      <w:pPr>
        <w:spacing w:after="120"/>
        <w:jc w:val="both"/>
        <w:rPr>
          <w:rFonts w:ascii="Arial" w:hAnsi="Arial" w:cs="Arial"/>
          <w:sz w:val="20"/>
          <w:szCs w:val="20"/>
          <w:lang w:val="bg-BG"/>
        </w:rPr>
      </w:pPr>
      <w:r w:rsidRPr="00C24085">
        <w:rPr>
          <w:rFonts w:ascii="Arial" w:hAnsi="Arial" w:cs="Arial"/>
          <w:sz w:val="20"/>
          <w:szCs w:val="20"/>
          <w:lang w:val="bg-BG"/>
        </w:rPr>
        <w:t>(</w:t>
      </w:r>
      <w:r w:rsidR="009F1AF0">
        <w:rPr>
          <w:rFonts w:ascii="Arial" w:hAnsi="Arial" w:cs="Arial"/>
          <w:sz w:val="20"/>
          <w:szCs w:val="20"/>
          <w:lang w:val="bg-BG"/>
        </w:rPr>
        <w:t>е</w:t>
      </w:r>
      <w:r w:rsidRPr="00C24085">
        <w:rPr>
          <w:rFonts w:ascii="Arial" w:hAnsi="Arial" w:cs="Arial"/>
          <w:sz w:val="20"/>
          <w:szCs w:val="20"/>
          <w:lang w:val="bg-BG"/>
        </w:rPr>
        <w:t xml:space="preserve">) </w:t>
      </w:r>
      <w:r w:rsidR="0056359C">
        <w:rPr>
          <w:rFonts w:ascii="Arial" w:hAnsi="Arial" w:cs="Arial"/>
          <w:sz w:val="20"/>
          <w:szCs w:val="20"/>
          <w:lang w:val="bg-BG"/>
        </w:rPr>
        <w:t>се съгласява да бъде одитирана</w:t>
      </w:r>
      <w:r w:rsidR="00C24085" w:rsidRPr="00C24085">
        <w:rPr>
          <w:rFonts w:ascii="Arial" w:hAnsi="Arial" w:cs="Arial"/>
          <w:sz w:val="20"/>
          <w:szCs w:val="20"/>
          <w:lang w:val="bg-BG"/>
        </w:rPr>
        <w:t xml:space="preserve"> от одитните органи на държавата членка, Комисията и Европейската сметна палата.</w:t>
      </w:r>
    </w:p>
    <w:p w14:paraId="218DEC0A" w14:textId="77777777" w:rsidR="00475134" w:rsidRPr="00DA689D" w:rsidRDefault="00DA689D" w:rsidP="00475134">
      <w:pPr>
        <w:spacing w:after="120"/>
        <w:jc w:val="both"/>
        <w:rPr>
          <w:rFonts w:ascii="Arial" w:hAnsi="Arial" w:cs="Arial"/>
          <w:sz w:val="20"/>
          <w:szCs w:val="20"/>
          <w:lang w:val="bg-BG"/>
        </w:rPr>
      </w:pPr>
      <w:r w:rsidRPr="00C24085">
        <w:rPr>
          <w:rFonts w:ascii="Arial" w:hAnsi="Arial" w:cs="Arial"/>
          <w:sz w:val="20"/>
          <w:szCs w:val="20"/>
          <w:lang w:val="bg-BG"/>
        </w:rPr>
        <w:t xml:space="preserve">Когато избира организация, която да прилага даден </w:t>
      </w:r>
      <w:r>
        <w:rPr>
          <w:rFonts w:ascii="Arial" w:hAnsi="Arial" w:cs="Arial"/>
          <w:sz w:val="20"/>
          <w:szCs w:val="20"/>
          <w:lang w:val="bg-BG"/>
        </w:rPr>
        <w:t>ФИ</w:t>
      </w:r>
      <w:r w:rsidR="00475134" w:rsidRPr="00DA689D">
        <w:rPr>
          <w:rFonts w:ascii="Arial" w:hAnsi="Arial" w:cs="Arial"/>
          <w:sz w:val="20"/>
          <w:szCs w:val="20"/>
          <w:lang w:val="bg-BG"/>
        </w:rPr>
        <w:t xml:space="preserve">, </w:t>
      </w:r>
      <w:r>
        <w:rPr>
          <w:rFonts w:ascii="Arial" w:hAnsi="Arial" w:cs="Arial"/>
          <w:sz w:val="20"/>
          <w:szCs w:val="20"/>
          <w:lang w:val="bg-BG"/>
        </w:rPr>
        <w:t>ФМФИБ следва</w:t>
      </w:r>
      <w:r w:rsidR="00475134" w:rsidRPr="00DA689D">
        <w:rPr>
          <w:rFonts w:ascii="Arial" w:hAnsi="Arial" w:cs="Arial"/>
          <w:sz w:val="20"/>
          <w:szCs w:val="20"/>
          <w:lang w:val="bg-BG"/>
        </w:rPr>
        <w:t xml:space="preserve"> </w:t>
      </w:r>
      <w:r w:rsidRPr="00DA689D">
        <w:rPr>
          <w:rFonts w:ascii="Arial" w:hAnsi="Arial" w:cs="Arial"/>
          <w:sz w:val="20"/>
          <w:szCs w:val="20"/>
          <w:lang w:val="bg-BG"/>
        </w:rPr>
        <w:t>надлежно</w:t>
      </w:r>
      <w:r>
        <w:rPr>
          <w:rFonts w:ascii="Arial" w:hAnsi="Arial" w:cs="Arial"/>
          <w:sz w:val="20"/>
          <w:szCs w:val="20"/>
          <w:lang w:val="bg-BG"/>
        </w:rPr>
        <w:t xml:space="preserve"> да</w:t>
      </w:r>
      <w:r w:rsidRPr="00DA689D">
        <w:rPr>
          <w:rFonts w:ascii="Arial" w:hAnsi="Arial" w:cs="Arial"/>
          <w:sz w:val="20"/>
          <w:szCs w:val="20"/>
          <w:lang w:val="bg-BG"/>
        </w:rPr>
        <w:t xml:space="preserve"> </w:t>
      </w:r>
      <w:r w:rsidR="001836DF" w:rsidRPr="00DA689D">
        <w:rPr>
          <w:rFonts w:ascii="Arial" w:hAnsi="Arial" w:cs="Arial"/>
          <w:sz w:val="20"/>
          <w:szCs w:val="20"/>
          <w:lang w:val="bg-BG"/>
        </w:rPr>
        <w:t>взем</w:t>
      </w:r>
      <w:r w:rsidR="001836DF">
        <w:rPr>
          <w:rFonts w:ascii="Arial" w:hAnsi="Arial" w:cs="Arial"/>
          <w:sz w:val="20"/>
          <w:szCs w:val="20"/>
          <w:lang w:val="bg-BG"/>
        </w:rPr>
        <w:t>е</w:t>
      </w:r>
      <w:r w:rsidR="001836DF" w:rsidRPr="00DA689D">
        <w:rPr>
          <w:rFonts w:ascii="Arial" w:hAnsi="Arial" w:cs="Arial"/>
          <w:sz w:val="20"/>
          <w:szCs w:val="20"/>
          <w:lang w:val="bg-BG"/>
        </w:rPr>
        <w:t xml:space="preserve"> </w:t>
      </w:r>
      <w:r w:rsidRPr="00DA689D">
        <w:rPr>
          <w:rFonts w:ascii="Arial" w:hAnsi="Arial" w:cs="Arial"/>
          <w:sz w:val="20"/>
          <w:szCs w:val="20"/>
          <w:lang w:val="bg-BG"/>
        </w:rPr>
        <w:t xml:space="preserve">под внимание естеството на </w:t>
      </w:r>
      <w:r>
        <w:rPr>
          <w:rFonts w:ascii="Arial" w:hAnsi="Arial" w:cs="Arial"/>
          <w:sz w:val="20"/>
          <w:szCs w:val="20"/>
          <w:lang w:val="bg-BG"/>
        </w:rPr>
        <w:t>ФИ</w:t>
      </w:r>
      <w:r w:rsidRPr="00DA689D">
        <w:rPr>
          <w:rFonts w:ascii="Arial" w:hAnsi="Arial" w:cs="Arial"/>
          <w:sz w:val="20"/>
          <w:szCs w:val="20"/>
          <w:lang w:val="bg-BG"/>
        </w:rPr>
        <w:t>,</w:t>
      </w:r>
      <w:r w:rsidR="008022DB">
        <w:rPr>
          <w:rFonts w:ascii="Arial" w:hAnsi="Arial" w:cs="Arial"/>
          <w:sz w:val="20"/>
          <w:szCs w:val="20"/>
          <w:lang w:val="bg-BG"/>
        </w:rPr>
        <w:t xml:space="preserve"> </w:t>
      </w:r>
      <w:r w:rsidRPr="00DA689D">
        <w:rPr>
          <w:rFonts w:ascii="Arial" w:hAnsi="Arial" w:cs="Arial"/>
          <w:sz w:val="20"/>
          <w:szCs w:val="20"/>
          <w:lang w:val="bg-BG"/>
        </w:rPr>
        <w:t xml:space="preserve">опита на тази организация в прилагането на подобни </w:t>
      </w:r>
      <w:r>
        <w:rPr>
          <w:rFonts w:ascii="Arial" w:hAnsi="Arial" w:cs="Arial"/>
          <w:sz w:val="20"/>
          <w:szCs w:val="20"/>
          <w:lang w:val="bg-BG"/>
        </w:rPr>
        <w:t>ФИ</w:t>
      </w:r>
      <w:r w:rsidRPr="00DA689D">
        <w:rPr>
          <w:rFonts w:ascii="Arial" w:hAnsi="Arial" w:cs="Arial"/>
          <w:sz w:val="20"/>
          <w:szCs w:val="20"/>
          <w:lang w:val="bg-BG"/>
        </w:rPr>
        <w:t xml:space="preserve">, експертните знания и опита на предвидените членове на екипа, както и оперативния и финансовия капацитет на организацията. Изборът трябва да бъде прозрачен и обективно обоснован и да не поражда конфликт на интереси. Използват се най-малко следните критерии за подбор: </w:t>
      </w:r>
    </w:p>
    <w:p w14:paraId="5CA4F63A" w14:textId="77777777" w:rsidR="00475134" w:rsidRPr="00DA689D" w:rsidRDefault="0026343E" w:rsidP="00475134">
      <w:pPr>
        <w:spacing w:after="120"/>
        <w:jc w:val="both"/>
        <w:rPr>
          <w:rFonts w:ascii="Arial" w:hAnsi="Arial" w:cs="Arial"/>
          <w:sz w:val="20"/>
          <w:szCs w:val="20"/>
          <w:lang w:val="bg-BG"/>
        </w:rPr>
      </w:pPr>
      <w:r>
        <w:rPr>
          <w:rFonts w:ascii="Arial" w:hAnsi="Arial" w:cs="Arial"/>
          <w:sz w:val="20"/>
          <w:szCs w:val="20"/>
          <w:lang w:val="bg-BG"/>
        </w:rPr>
        <w:t>(</w:t>
      </w:r>
      <w:r w:rsidR="009F1AF0">
        <w:rPr>
          <w:rFonts w:ascii="Arial" w:hAnsi="Arial" w:cs="Arial"/>
          <w:sz w:val="20"/>
          <w:szCs w:val="20"/>
          <w:lang w:val="bg-BG"/>
        </w:rPr>
        <w:t>а</w:t>
      </w:r>
      <w:r>
        <w:rPr>
          <w:rFonts w:ascii="Arial" w:hAnsi="Arial" w:cs="Arial"/>
          <w:sz w:val="20"/>
          <w:szCs w:val="20"/>
          <w:lang w:val="bg-BG"/>
        </w:rPr>
        <w:t xml:space="preserve">) </w:t>
      </w:r>
      <w:r w:rsidR="00DA689D" w:rsidRPr="00DA689D">
        <w:rPr>
          <w:rFonts w:ascii="Arial" w:hAnsi="Arial" w:cs="Arial"/>
          <w:sz w:val="20"/>
          <w:szCs w:val="20"/>
          <w:lang w:val="bg-BG"/>
        </w:rPr>
        <w:t>стабилността и надеждността на методиката за определяне и оценяване на финансовите посредници или крайните получатели, според случая</w:t>
      </w:r>
      <w:r w:rsidR="00475134" w:rsidRPr="00DA689D">
        <w:rPr>
          <w:rFonts w:ascii="Arial" w:hAnsi="Arial" w:cs="Arial"/>
          <w:sz w:val="20"/>
          <w:szCs w:val="20"/>
          <w:lang w:val="bg-BG"/>
        </w:rPr>
        <w:t>;</w:t>
      </w:r>
    </w:p>
    <w:p w14:paraId="3F86EA8F" w14:textId="77777777" w:rsidR="00475134" w:rsidRPr="00DA689D" w:rsidRDefault="00475134" w:rsidP="00475134">
      <w:pPr>
        <w:spacing w:after="120"/>
        <w:jc w:val="both"/>
        <w:rPr>
          <w:rFonts w:ascii="Arial" w:hAnsi="Arial" w:cs="Arial"/>
          <w:sz w:val="20"/>
          <w:szCs w:val="20"/>
          <w:lang w:val="bg-BG"/>
        </w:rPr>
      </w:pPr>
      <w:r w:rsidRPr="00DA689D">
        <w:rPr>
          <w:rFonts w:ascii="Arial" w:hAnsi="Arial" w:cs="Arial"/>
          <w:sz w:val="20"/>
          <w:szCs w:val="20"/>
          <w:lang w:val="bg-BG"/>
        </w:rPr>
        <w:t>(</w:t>
      </w:r>
      <w:r w:rsidR="009F1AF0">
        <w:rPr>
          <w:rFonts w:ascii="Arial" w:hAnsi="Arial" w:cs="Arial"/>
          <w:sz w:val="20"/>
          <w:szCs w:val="20"/>
          <w:lang w:val="bg-BG"/>
        </w:rPr>
        <w:t>б</w:t>
      </w:r>
      <w:r w:rsidRPr="00DA689D">
        <w:rPr>
          <w:rFonts w:ascii="Arial" w:hAnsi="Arial" w:cs="Arial"/>
          <w:sz w:val="20"/>
          <w:szCs w:val="20"/>
          <w:lang w:val="bg-BG"/>
        </w:rPr>
        <w:t xml:space="preserve">) </w:t>
      </w:r>
      <w:r w:rsidR="00DA689D" w:rsidRPr="00DA689D">
        <w:rPr>
          <w:rFonts w:ascii="Arial" w:hAnsi="Arial" w:cs="Arial"/>
          <w:sz w:val="20"/>
          <w:szCs w:val="20"/>
          <w:lang w:val="bg-BG"/>
        </w:rPr>
        <w:t xml:space="preserve">равнището на разходите и таксите за управление за прилагането на </w:t>
      </w:r>
      <w:r w:rsidR="00DA689D">
        <w:rPr>
          <w:rFonts w:ascii="Arial" w:hAnsi="Arial" w:cs="Arial"/>
          <w:sz w:val="20"/>
          <w:szCs w:val="20"/>
          <w:lang w:val="bg-BG"/>
        </w:rPr>
        <w:t>ФИ</w:t>
      </w:r>
      <w:r w:rsidR="00DA689D" w:rsidRPr="00DA689D">
        <w:rPr>
          <w:rFonts w:ascii="Arial" w:hAnsi="Arial" w:cs="Arial"/>
          <w:sz w:val="20"/>
          <w:szCs w:val="20"/>
          <w:lang w:val="bg-BG"/>
        </w:rPr>
        <w:t xml:space="preserve"> и предвидената за тяхното изчисляване методика</w:t>
      </w:r>
      <w:r w:rsidRPr="00DA689D">
        <w:rPr>
          <w:rFonts w:ascii="Arial" w:hAnsi="Arial" w:cs="Arial"/>
          <w:sz w:val="20"/>
          <w:szCs w:val="20"/>
          <w:lang w:val="bg-BG"/>
        </w:rPr>
        <w:t>;</w:t>
      </w:r>
    </w:p>
    <w:p w14:paraId="35E14179" w14:textId="77777777" w:rsidR="00475134" w:rsidRPr="00613607" w:rsidRDefault="00475134" w:rsidP="00475134">
      <w:pPr>
        <w:spacing w:after="120"/>
        <w:jc w:val="both"/>
        <w:rPr>
          <w:rFonts w:ascii="Arial" w:hAnsi="Arial" w:cs="Arial"/>
          <w:sz w:val="20"/>
          <w:szCs w:val="20"/>
          <w:lang w:val="bg-BG"/>
        </w:rPr>
      </w:pPr>
      <w:r w:rsidRPr="00613607">
        <w:rPr>
          <w:rFonts w:ascii="Arial" w:hAnsi="Arial" w:cs="Arial"/>
          <w:sz w:val="20"/>
          <w:szCs w:val="20"/>
          <w:lang w:val="bg-BG"/>
        </w:rPr>
        <w:t>(</w:t>
      </w:r>
      <w:r w:rsidR="009F1AF0">
        <w:rPr>
          <w:rFonts w:ascii="Arial" w:hAnsi="Arial" w:cs="Arial"/>
          <w:sz w:val="20"/>
          <w:szCs w:val="20"/>
          <w:lang w:val="bg-BG"/>
        </w:rPr>
        <w:t>в</w:t>
      </w:r>
      <w:r w:rsidRPr="00613607">
        <w:rPr>
          <w:rFonts w:ascii="Arial" w:hAnsi="Arial" w:cs="Arial"/>
          <w:sz w:val="20"/>
          <w:szCs w:val="20"/>
          <w:lang w:val="bg-BG"/>
        </w:rPr>
        <w:t xml:space="preserve">) </w:t>
      </w:r>
      <w:r w:rsidR="0026343E" w:rsidRPr="0026343E">
        <w:rPr>
          <w:rFonts w:ascii="Arial" w:hAnsi="Arial" w:cs="Arial"/>
          <w:sz w:val="20"/>
          <w:szCs w:val="20"/>
          <w:lang w:val="bg-BG"/>
        </w:rPr>
        <w:t>редът и условията, прилагани по отношение на подкрепата за крайните получатели, включително ценообразуването</w:t>
      </w:r>
      <w:r w:rsidRPr="0026343E">
        <w:rPr>
          <w:rFonts w:ascii="Arial" w:hAnsi="Arial" w:cs="Arial"/>
          <w:sz w:val="20"/>
          <w:szCs w:val="20"/>
          <w:lang w:val="bg-BG"/>
        </w:rPr>
        <w:t>;</w:t>
      </w:r>
    </w:p>
    <w:p w14:paraId="1D998A6A" w14:textId="77777777" w:rsidR="00475134" w:rsidRPr="0026343E" w:rsidRDefault="00475134" w:rsidP="00475134">
      <w:pPr>
        <w:spacing w:after="120"/>
        <w:jc w:val="both"/>
        <w:rPr>
          <w:rFonts w:ascii="Arial" w:hAnsi="Arial" w:cs="Arial"/>
          <w:sz w:val="20"/>
          <w:szCs w:val="20"/>
          <w:lang w:val="bg-BG"/>
        </w:rPr>
      </w:pPr>
      <w:r w:rsidRPr="0026343E">
        <w:rPr>
          <w:rFonts w:ascii="Arial" w:hAnsi="Arial" w:cs="Arial"/>
          <w:sz w:val="20"/>
          <w:szCs w:val="20"/>
          <w:lang w:val="bg-BG"/>
        </w:rPr>
        <w:t>(</w:t>
      </w:r>
      <w:r w:rsidR="009F1AF0">
        <w:rPr>
          <w:rFonts w:ascii="Arial" w:hAnsi="Arial" w:cs="Arial"/>
          <w:sz w:val="20"/>
          <w:szCs w:val="20"/>
          <w:lang w:val="bg-BG"/>
        </w:rPr>
        <w:t>г</w:t>
      </w:r>
      <w:r w:rsidRPr="0026343E">
        <w:rPr>
          <w:rFonts w:ascii="Arial" w:hAnsi="Arial" w:cs="Arial"/>
          <w:sz w:val="20"/>
          <w:szCs w:val="20"/>
          <w:lang w:val="bg-BG"/>
        </w:rPr>
        <w:t xml:space="preserve">) </w:t>
      </w:r>
      <w:r w:rsidR="0026343E" w:rsidRPr="0026343E">
        <w:rPr>
          <w:rFonts w:ascii="Arial" w:hAnsi="Arial" w:cs="Arial"/>
          <w:sz w:val="20"/>
          <w:szCs w:val="20"/>
          <w:lang w:val="bg-BG"/>
        </w:rPr>
        <w:t>способността да се набират средства за инвестиции за крайните получатели в допълн</w:t>
      </w:r>
      <w:r w:rsidR="0056359C">
        <w:rPr>
          <w:rFonts w:ascii="Arial" w:hAnsi="Arial" w:cs="Arial"/>
          <w:sz w:val="20"/>
          <w:szCs w:val="20"/>
          <w:lang w:val="bg-BG"/>
        </w:rPr>
        <w:t>ение към средствата от програмата</w:t>
      </w:r>
      <w:r w:rsidR="0026343E" w:rsidRPr="0026343E">
        <w:rPr>
          <w:rFonts w:ascii="Arial" w:hAnsi="Arial" w:cs="Arial"/>
          <w:sz w:val="20"/>
          <w:szCs w:val="20"/>
          <w:lang w:val="bg-BG"/>
        </w:rPr>
        <w:t>;</w:t>
      </w:r>
    </w:p>
    <w:p w14:paraId="265FB49D" w14:textId="77777777" w:rsidR="00475134" w:rsidRPr="0026343E" w:rsidRDefault="00475134" w:rsidP="00475134">
      <w:pPr>
        <w:spacing w:after="120"/>
        <w:jc w:val="both"/>
        <w:rPr>
          <w:rFonts w:ascii="Arial" w:hAnsi="Arial" w:cs="Arial"/>
          <w:sz w:val="20"/>
          <w:szCs w:val="20"/>
          <w:lang w:val="bg-BG"/>
        </w:rPr>
      </w:pPr>
      <w:r w:rsidRPr="0026343E">
        <w:rPr>
          <w:rFonts w:ascii="Arial" w:hAnsi="Arial" w:cs="Arial"/>
          <w:sz w:val="20"/>
          <w:szCs w:val="20"/>
          <w:lang w:val="bg-BG"/>
        </w:rPr>
        <w:t>(</w:t>
      </w:r>
      <w:r w:rsidR="009F1AF0">
        <w:rPr>
          <w:rFonts w:ascii="Arial" w:hAnsi="Arial" w:cs="Arial"/>
          <w:sz w:val="20"/>
          <w:szCs w:val="20"/>
          <w:lang w:val="bg-BG"/>
        </w:rPr>
        <w:t>д</w:t>
      </w:r>
      <w:r w:rsidRPr="0026343E">
        <w:rPr>
          <w:rFonts w:ascii="Arial" w:hAnsi="Arial" w:cs="Arial"/>
          <w:sz w:val="20"/>
          <w:szCs w:val="20"/>
          <w:lang w:val="bg-BG"/>
        </w:rPr>
        <w:t xml:space="preserve">) </w:t>
      </w:r>
      <w:r w:rsidR="0026343E" w:rsidRPr="0026343E">
        <w:rPr>
          <w:rFonts w:ascii="Arial" w:hAnsi="Arial" w:cs="Arial"/>
          <w:sz w:val="20"/>
          <w:szCs w:val="20"/>
          <w:lang w:val="bg-BG"/>
        </w:rPr>
        <w:t>способността да се извършва допълнителна дейност в сравнение със сегашната дейност</w:t>
      </w:r>
      <w:r w:rsidRPr="0026343E">
        <w:rPr>
          <w:rFonts w:ascii="Arial" w:hAnsi="Arial" w:cs="Arial"/>
          <w:sz w:val="20"/>
          <w:szCs w:val="20"/>
          <w:lang w:val="bg-BG"/>
        </w:rPr>
        <w:t>;</w:t>
      </w:r>
    </w:p>
    <w:p w14:paraId="40A0B60A" w14:textId="77777777" w:rsidR="00475134" w:rsidRDefault="00475134" w:rsidP="00475134">
      <w:pPr>
        <w:spacing w:after="120"/>
        <w:jc w:val="both"/>
        <w:rPr>
          <w:rFonts w:ascii="Arial" w:hAnsi="Arial" w:cs="Arial"/>
          <w:sz w:val="20"/>
          <w:szCs w:val="20"/>
          <w:lang w:val="bg-BG"/>
        </w:rPr>
      </w:pPr>
      <w:r w:rsidRPr="0026343E">
        <w:rPr>
          <w:rFonts w:ascii="Arial" w:hAnsi="Arial" w:cs="Arial"/>
          <w:sz w:val="20"/>
          <w:szCs w:val="20"/>
          <w:lang w:val="bg-BG"/>
        </w:rPr>
        <w:t>(</w:t>
      </w:r>
      <w:r w:rsidR="009F1AF0">
        <w:rPr>
          <w:rFonts w:ascii="Arial" w:hAnsi="Arial" w:cs="Arial"/>
          <w:sz w:val="20"/>
          <w:szCs w:val="20"/>
          <w:lang w:val="bg-BG"/>
        </w:rPr>
        <w:t>е</w:t>
      </w:r>
      <w:r w:rsidRPr="0026343E">
        <w:rPr>
          <w:rFonts w:ascii="Arial" w:hAnsi="Arial" w:cs="Arial"/>
          <w:sz w:val="20"/>
          <w:szCs w:val="20"/>
          <w:lang w:val="bg-BG"/>
        </w:rPr>
        <w:t xml:space="preserve">) </w:t>
      </w:r>
      <w:r w:rsidR="0026343E" w:rsidRPr="0026343E">
        <w:rPr>
          <w:rFonts w:ascii="Arial" w:hAnsi="Arial" w:cs="Arial"/>
          <w:sz w:val="20"/>
          <w:szCs w:val="20"/>
          <w:lang w:val="bg-BG"/>
        </w:rPr>
        <w:t xml:space="preserve">в случаите, когато организацията прилагаща </w:t>
      </w:r>
      <w:r w:rsidR="0026343E">
        <w:rPr>
          <w:rFonts w:ascii="Arial" w:hAnsi="Arial" w:cs="Arial"/>
          <w:sz w:val="20"/>
          <w:szCs w:val="20"/>
          <w:lang w:val="bg-BG"/>
        </w:rPr>
        <w:t>ФИ</w:t>
      </w:r>
      <w:r w:rsidR="0026343E" w:rsidRPr="0026343E">
        <w:rPr>
          <w:rFonts w:ascii="Arial" w:hAnsi="Arial" w:cs="Arial"/>
          <w:sz w:val="20"/>
          <w:szCs w:val="20"/>
          <w:lang w:val="bg-BG"/>
        </w:rPr>
        <w:t xml:space="preserve"> отпуска собствени финансови ресурси за </w:t>
      </w:r>
      <w:r w:rsidR="0026343E">
        <w:rPr>
          <w:rFonts w:ascii="Arial" w:hAnsi="Arial" w:cs="Arial"/>
          <w:sz w:val="20"/>
          <w:szCs w:val="20"/>
          <w:lang w:val="bg-BG"/>
        </w:rPr>
        <w:t>ФИ</w:t>
      </w:r>
      <w:r w:rsidR="0026343E" w:rsidRPr="0026343E">
        <w:rPr>
          <w:rFonts w:ascii="Arial" w:hAnsi="Arial" w:cs="Arial"/>
          <w:sz w:val="20"/>
          <w:szCs w:val="20"/>
          <w:lang w:val="bg-BG"/>
        </w:rPr>
        <w:t xml:space="preserve"> или споделя риска — предвидените мерки за хармонизиране на интересите и за ограничаване на евентуалните конфликти на интереси</w:t>
      </w:r>
      <w:r w:rsidRPr="0026343E">
        <w:rPr>
          <w:rFonts w:ascii="Arial" w:hAnsi="Arial" w:cs="Arial"/>
          <w:sz w:val="20"/>
          <w:szCs w:val="20"/>
          <w:lang w:val="bg-BG"/>
        </w:rPr>
        <w:t>.</w:t>
      </w:r>
    </w:p>
    <w:p w14:paraId="707470A7" w14:textId="77777777" w:rsidR="00582A55" w:rsidRDefault="00582A55" w:rsidP="00475134">
      <w:pPr>
        <w:spacing w:after="120"/>
        <w:jc w:val="both"/>
        <w:rPr>
          <w:rFonts w:ascii="Arial" w:hAnsi="Arial" w:cs="Arial"/>
          <w:sz w:val="20"/>
          <w:szCs w:val="20"/>
          <w:lang w:val="bg-BG"/>
        </w:rPr>
      </w:pPr>
    </w:p>
    <w:p w14:paraId="3E129A66" w14:textId="77777777" w:rsidR="00582A55" w:rsidRDefault="00582A55" w:rsidP="00582A55">
      <w:pPr>
        <w:pStyle w:val="Heading3"/>
        <w:ind w:firstLine="360"/>
        <w:rPr>
          <w:rFonts w:ascii="Arial" w:hAnsi="Arial" w:cs="Arial"/>
          <w:b/>
          <w:color w:val="4F81BD" w:themeColor="accent1"/>
          <w:sz w:val="20"/>
          <w:szCs w:val="20"/>
          <w:lang w:val="bg-BG"/>
        </w:rPr>
      </w:pPr>
      <w:bookmarkStart w:id="16" w:name="_Toc503798471"/>
      <w:r w:rsidRPr="00252F7A">
        <w:rPr>
          <w:rFonts w:ascii="Arial" w:hAnsi="Arial" w:cs="Arial"/>
          <w:b/>
          <w:color w:val="4F81BD" w:themeColor="accent1"/>
          <w:sz w:val="20"/>
          <w:szCs w:val="20"/>
          <w:lang w:val="bg-BG"/>
        </w:rPr>
        <w:t>3.</w:t>
      </w:r>
      <w:r>
        <w:rPr>
          <w:rFonts w:ascii="Arial" w:hAnsi="Arial" w:cs="Arial"/>
          <w:b/>
          <w:color w:val="4F81BD" w:themeColor="accent1"/>
          <w:sz w:val="20"/>
          <w:szCs w:val="20"/>
          <w:lang w:val="bg-BG"/>
        </w:rPr>
        <w:t>2</w:t>
      </w:r>
      <w:r w:rsidRPr="00252F7A">
        <w:rPr>
          <w:rFonts w:ascii="Arial" w:hAnsi="Arial" w:cs="Arial"/>
          <w:b/>
          <w:color w:val="4F81BD" w:themeColor="accent1"/>
          <w:sz w:val="20"/>
          <w:szCs w:val="20"/>
          <w:lang w:val="bg-BG"/>
        </w:rPr>
        <w:t xml:space="preserve">. </w:t>
      </w:r>
      <w:r>
        <w:rPr>
          <w:rFonts w:ascii="Arial" w:hAnsi="Arial" w:cs="Arial"/>
          <w:b/>
          <w:color w:val="4F81BD" w:themeColor="accent1"/>
          <w:sz w:val="20"/>
          <w:szCs w:val="20"/>
          <w:lang w:val="bg-BG"/>
        </w:rPr>
        <w:t>Вариант 2 – Пряко прилагане на ФИ от ФМФИБ ЕАД</w:t>
      </w:r>
      <w:bookmarkEnd w:id="16"/>
    </w:p>
    <w:p w14:paraId="6ABA0BE6" w14:textId="77777777" w:rsidR="00DE4511" w:rsidRDefault="00DE4511" w:rsidP="00DE4511">
      <w:pPr>
        <w:rPr>
          <w:lang w:val="bg-BG"/>
        </w:rPr>
      </w:pPr>
    </w:p>
    <w:p w14:paraId="7E677661" w14:textId="77777777" w:rsidR="00DE4511" w:rsidRPr="00BA7629" w:rsidRDefault="00593CEF" w:rsidP="00AF229B">
      <w:pPr>
        <w:jc w:val="both"/>
        <w:rPr>
          <w:rFonts w:ascii="Arial" w:hAnsi="Arial" w:cs="Arial"/>
          <w:sz w:val="20"/>
          <w:szCs w:val="20"/>
          <w:lang w:val="bg-BG"/>
        </w:rPr>
      </w:pPr>
      <w:r w:rsidRPr="00BA7629">
        <w:rPr>
          <w:rFonts w:ascii="Arial" w:hAnsi="Arial" w:cs="Arial"/>
          <w:sz w:val="20"/>
          <w:szCs w:val="20"/>
          <w:lang w:val="bg-BG"/>
        </w:rPr>
        <w:t>Този</w:t>
      </w:r>
      <w:r w:rsidR="00DE4511" w:rsidRPr="00BA7629">
        <w:rPr>
          <w:rFonts w:ascii="Arial" w:hAnsi="Arial" w:cs="Arial"/>
          <w:sz w:val="20"/>
          <w:szCs w:val="20"/>
          <w:lang w:val="bg-BG"/>
        </w:rPr>
        <w:t xml:space="preserve"> вариант за изпълнението на Инвестиционната стратегия предвижда прилагането на ФИ във ВиК сектора да се осъществява пряко от ФМФИБ ЕАД, който в този случай ще действа по отношение на част или на целия ресурс за ФИ по ПО 1 на ОПОС 2014-2020 г., като финансов посредник предоставящ заеми и</w:t>
      </w:r>
      <w:r w:rsidR="00B42612" w:rsidRPr="00BA7629">
        <w:rPr>
          <w:rFonts w:ascii="Arial" w:hAnsi="Arial" w:cs="Arial"/>
          <w:sz w:val="20"/>
          <w:szCs w:val="20"/>
          <w:lang w:val="bg-BG"/>
        </w:rPr>
        <w:t>/или</w:t>
      </w:r>
      <w:r w:rsidR="00DE4511" w:rsidRPr="00BA7629">
        <w:rPr>
          <w:rFonts w:ascii="Arial" w:hAnsi="Arial" w:cs="Arial"/>
          <w:sz w:val="20"/>
          <w:szCs w:val="20"/>
          <w:lang w:val="bg-BG"/>
        </w:rPr>
        <w:t xml:space="preserve"> гаранции, а не като мениджър на фонд на фондове. ФМФИБ ЕАД ще бъде отговорен за прилагането на ФИ,  като ще предоставя директни заеми на допустими по ПО1 Води на ОПОС 2014 – 2020 г. крайни получатели и</w:t>
      </w:r>
      <w:r w:rsidR="00B42612" w:rsidRPr="00BA7629">
        <w:rPr>
          <w:rFonts w:ascii="Arial" w:hAnsi="Arial" w:cs="Arial"/>
          <w:sz w:val="20"/>
          <w:szCs w:val="20"/>
          <w:lang w:val="bg-BG"/>
        </w:rPr>
        <w:t>/или</w:t>
      </w:r>
      <w:r w:rsidR="00DE4511" w:rsidRPr="00BA7629">
        <w:rPr>
          <w:rFonts w:ascii="Arial" w:hAnsi="Arial" w:cs="Arial"/>
          <w:sz w:val="20"/>
          <w:szCs w:val="20"/>
          <w:lang w:val="bg-BG"/>
        </w:rPr>
        <w:t xml:space="preserve"> гаранции на търговски банки за заеми, предоставени на допустими по ПО1 Води на ОПОС 2014 – 2020 г. крайни получатели.  </w:t>
      </w:r>
    </w:p>
    <w:p w14:paraId="623562CB" w14:textId="77777777" w:rsidR="00DE4511" w:rsidRPr="00BA7629" w:rsidRDefault="00DE4511" w:rsidP="00BA7629">
      <w:pPr>
        <w:jc w:val="both"/>
        <w:rPr>
          <w:rFonts w:ascii="Arial" w:hAnsi="Arial" w:cs="Arial"/>
          <w:sz w:val="20"/>
          <w:szCs w:val="20"/>
          <w:lang w:val="bg-BG"/>
        </w:rPr>
      </w:pPr>
      <w:r w:rsidRPr="00BA7629">
        <w:rPr>
          <w:rFonts w:ascii="Arial" w:hAnsi="Arial" w:cs="Arial"/>
          <w:sz w:val="20"/>
          <w:szCs w:val="20"/>
          <w:lang w:val="bg-BG"/>
        </w:rPr>
        <w:t xml:space="preserve">При този вариант необходимият лостов ефект ще бъде осигурен, чрез мобилизиране на допълнително финансиране от публичния и частния сектор на ниво краен получател, включително чрез предоставяне на гаранции от ФМФИБ ЕАД на търговските банки на ниво проект. </w:t>
      </w:r>
    </w:p>
    <w:p w14:paraId="351BF3D1" w14:textId="77777777" w:rsidR="00DE4511" w:rsidRPr="00BA7629" w:rsidRDefault="00DE4511" w:rsidP="00BA7629">
      <w:pPr>
        <w:jc w:val="both"/>
        <w:rPr>
          <w:rFonts w:ascii="Arial" w:hAnsi="Arial" w:cs="Arial"/>
          <w:sz w:val="20"/>
          <w:szCs w:val="20"/>
          <w:lang w:val="bg-BG"/>
        </w:rPr>
      </w:pPr>
      <w:r w:rsidRPr="00BA7629">
        <w:rPr>
          <w:rFonts w:ascii="Arial" w:hAnsi="Arial" w:cs="Arial"/>
          <w:sz w:val="20"/>
          <w:szCs w:val="20"/>
          <w:lang w:val="bg-BG"/>
        </w:rPr>
        <w:t>Предвиденият вариант за прилагане на ФИ е илюстриран по-долу:</w:t>
      </w:r>
    </w:p>
    <w:p w14:paraId="0C656C40" w14:textId="77777777" w:rsidR="002C5072" w:rsidRDefault="002C5072">
      <w:pPr>
        <w:rPr>
          <w:lang w:val="bg-BG"/>
        </w:rPr>
      </w:pPr>
    </w:p>
    <w:p w14:paraId="29F68621" w14:textId="77777777" w:rsidR="002C5072" w:rsidRDefault="002C5072">
      <w:pPr>
        <w:rPr>
          <w:lang w:val="bg-BG"/>
        </w:rPr>
      </w:pPr>
    </w:p>
    <w:p w14:paraId="71846046" w14:textId="77777777" w:rsidR="00F97E5A" w:rsidRPr="008B5547" w:rsidRDefault="00F97E5A" w:rsidP="008B5547">
      <w:pPr>
        <w:pStyle w:val="Caption"/>
        <w:rPr>
          <w:rFonts w:ascii="Arial" w:hAnsi="Arial" w:cs="Arial"/>
          <w:sz w:val="20"/>
          <w:szCs w:val="20"/>
          <w:lang w:val="bg-BG"/>
        </w:rPr>
      </w:pPr>
      <w:r w:rsidRPr="008B5547">
        <w:rPr>
          <w:rFonts w:ascii="Arial" w:hAnsi="Arial" w:cs="Arial"/>
          <w:sz w:val="20"/>
          <w:szCs w:val="20"/>
          <w:lang w:val="bg-BG"/>
        </w:rPr>
        <w:t>Таблица 4: Илюстрация на структура за прилагане на ФИ пряко от ФМФИБ ЕАД</w:t>
      </w:r>
    </w:p>
    <w:p w14:paraId="7E6E57C9" w14:textId="77777777" w:rsidR="009E5E16" w:rsidRPr="00F97E5A" w:rsidRDefault="009E5E16">
      <w:pPr>
        <w:rPr>
          <w:lang w:val="bg-BG"/>
        </w:rPr>
      </w:pPr>
      <w:r>
        <w:rPr>
          <w:noProof/>
          <w:lang w:val="en-US"/>
        </w:rPr>
        <w:drawing>
          <wp:inline distT="0" distB="0" distL="0" distR="0" wp14:anchorId="598CEAF2" wp14:editId="73FDA859">
            <wp:extent cx="6182360" cy="3616960"/>
            <wp:effectExtent l="0" t="0" r="889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2360" cy="3616960"/>
                    </a:xfrm>
                    <a:prstGeom prst="rect">
                      <a:avLst/>
                    </a:prstGeom>
                    <a:noFill/>
                    <a:ln>
                      <a:noFill/>
                    </a:ln>
                  </pic:spPr>
                </pic:pic>
              </a:graphicData>
            </a:graphic>
          </wp:inline>
        </w:drawing>
      </w:r>
    </w:p>
    <w:p w14:paraId="6A2AABAF" w14:textId="77777777" w:rsidR="00641B83" w:rsidRDefault="00641B83">
      <w:pPr>
        <w:rPr>
          <w:lang w:val="bg-BG"/>
        </w:rPr>
      </w:pPr>
    </w:p>
    <w:p w14:paraId="0209478C" w14:textId="77777777" w:rsidR="00CF03AD" w:rsidRPr="00FC522C" w:rsidRDefault="00CF03AD" w:rsidP="000B327F">
      <w:pPr>
        <w:pStyle w:val="Heading3"/>
        <w:ind w:firstLine="360"/>
        <w:rPr>
          <w:rFonts w:ascii="Arial" w:hAnsi="Arial" w:cs="Arial"/>
          <w:b/>
          <w:color w:val="4F81BD" w:themeColor="accent1"/>
          <w:sz w:val="20"/>
          <w:szCs w:val="20"/>
          <w:lang w:val="bg-BG"/>
        </w:rPr>
      </w:pPr>
      <w:bookmarkStart w:id="17" w:name="_Toc503798472"/>
      <w:r w:rsidRPr="00FC522C">
        <w:rPr>
          <w:rFonts w:ascii="Arial" w:hAnsi="Arial" w:cs="Arial"/>
          <w:b/>
          <w:color w:val="4F81BD" w:themeColor="accent1"/>
          <w:sz w:val="20"/>
          <w:szCs w:val="20"/>
          <w:lang w:val="bg-BG"/>
        </w:rPr>
        <w:t>3.</w:t>
      </w:r>
      <w:r w:rsidR="00582A55">
        <w:rPr>
          <w:rFonts w:ascii="Arial" w:hAnsi="Arial" w:cs="Arial"/>
          <w:b/>
          <w:color w:val="4F81BD" w:themeColor="accent1"/>
          <w:sz w:val="20"/>
          <w:szCs w:val="20"/>
          <w:lang w:val="bg-BG"/>
        </w:rPr>
        <w:t>3</w:t>
      </w:r>
      <w:r w:rsidR="00582A55" w:rsidRPr="00FC522C">
        <w:rPr>
          <w:rFonts w:ascii="Arial" w:hAnsi="Arial" w:cs="Arial"/>
          <w:b/>
          <w:color w:val="4F81BD" w:themeColor="accent1"/>
          <w:sz w:val="20"/>
          <w:szCs w:val="20"/>
          <w:lang w:val="bg-BG"/>
        </w:rPr>
        <w:t xml:space="preserve"> </w:t>
      </w:r>
      <w:r w:rsidR="00FC522C">
        <w:rPr>
          <w:rFonts w:ascii="Arial" w:hAnsi="Arial" w:cs="Arial"/>
          <w:b/>
          <w:color w:val="4F81BD" w:themeColor="accent1"/>
          <w:sz w:val="20"/>
          <w:szCs w:val="20"/>
          <w:lang w:val="bg-BG"/>
        </w:rPr>
        <w:t>Други аспекти на прилагането на ФИ</w:t>
      </w:r>
      <w:bookmarkEnd w:id="17"/>
    </w:p>
    <w:p w14:paraId="390A79B6" w14:textId="77777777" w:rsidR="004275EB" w:rsidRPr="00FC522C" w:rsidRDefault="004275EB" w:rsidP="00475134">
      <w:pPr>
        <w:spacing w:after="120"/>
        <w:jc w:val="both"/>
        <w:rPr>
          <w:rFonts w:ascii="Arial" w:hAnsi="Arial" w:cs="Arial"/>
          <w:b/>
          <w:i/>
          <w:sz w:val="20"/>
          <w:szCs w:val="20"/>
          <w:lang w:val="bg-BG"/>
        </w:rPr>
      </w:pPr>
    </w:p>
    <w:p w14:paraId="61EC0945" w14:textId="77777777" w:rsidR="004F32D7" w:rsidRPr="00DB746D" w:rsidRDefault="005338CD" w:rsidP="004F32D7">
      <w:pPr>
        <w:spacing w:after="120"/>
        <w:jc w:val="both"/>
        <w:rPr>
          <w:rFonts w:ascii="Arial" w:eastAsia="Times New Roman" w:hAnsi="Arial" w:cs="Arial"/>
          <w:color w:val="000000"/>
          <w:sz w:val="20"/>
          <w:szCs w:val="20"/>
          <w:lang w:val="bg-BG" w:eastAsia="zh-CN"/>
        </w:rPr>
      </w:pPr>
      <w:r>
        <w:rPr>
          <w:rFonts w:ascii="Arial" w:eastAsia="Times New Roman" w:hAnsi="Arial" w:cs="Arial"/>
          <w:color w:val="000000"/>
          <w:sz w:val="20"/>
          <w:szCs w:val="20"/>
          <w:lang w:val="bg-BG" w:eastAsia="zh-CN"/>
        </w:rPr>
        <w:t>Прогнозната времева рамка</w:t>
      </w:r>
      <w:r w:rsidR="00E661B6">
        <w:rPr>
          <w:rFonts w:ascii="Arial" w:eastAsia="Times New Roman" w:hAnsi="Arial" w:cs="Arial"/>
          <w:color w:val="000000"/>
          <w:sz w:val="20"/>
          <w:szCs w:val="20"/>
          <w:lang w:val="bg-BG" w:eastAsia="zh-CN"/>
        </w:rPr>
        <w:t xml:space="preserve"> за прилагането на ФИ във ВиК сектора </w:t>
      </w:r>
      <w:r w:rsidR="00DB746D">
        <w:rPr>
          <w:rFonts w:ascii="Arial" w:eastAsia="Times New Roman" w:hAnsi="Arial" w:cs="Arial"/>
          <w:color w:val="000000"/>
          <w:sz w:val="20"/>
          <w:szCs w:val="20"/>
          <w:lang w:val="bg-BG" w:eastAsia="zh-CN"/>
        </w:rPr>
        <w:t xml:space="preserve">е изложена </w:t>
      </w:r>
      <w:r w:rsidR="00E661B6">
        <w:rPr>
          <w:rFonts w:ascii="Arial" w:eastAsia="Times New Roman" w:hAnsi="Arial" w:cs="Arial"/>
          <w:color w:val="000000"/>
          <w:sz w:val="20"/>
          <w:szCs w:val="20"/>
          <w:lang w:val="bg-BG" w:eastAsia="zh-CN"/>
        </w:rPr>
        <w:t xml:space="preserve">в таблицата по-долу. </w:t>
      </w:r>
      <w:r w:rsidR="00DB746D">
        <w:rPr>
          <w:rFonts w:ascii="Arial" w:eastAsia="Times New Roman" w:hAnsi="Arial" w:cs="Arial"/>
          <w:color w:val="000000"/>
          <w:sz w:val="20"/>
          <w:szCs w:val="20"/>
          <w:lang w:val="bg-BG" w:eastAsia="zh-CN"/>
        </w:rPr>
        <w:t xml:space="preserve"> </w:t>
      </w:r>
    </w:p>
    <w:p w14:paraId="372C77DB" w14:textId="77777777" w:rsidR="004F32D7" w:rsidRPr="00E661B6" w:rsidRDefault="00E661B6" w:rsidP="00AE3CD5">
      <w:pPr>
        <w:pStyle w:val="Caption"/>
        <w:rPr>
          <w:rFonts w:ascii="Arial" w:hAnsi="Arial" w:cs="Arial"/>
          <w:sz w:val="20"/>
          <w:szCs w:val="20"/>
          <w:lang w:val="bg-BG"/>
        </w:rPr>
      </w:pPr>
      <w:r>
        <w:rPr>
          <w:rFonts w:ascii="Arial" w:hAnsi="Arial" w:cs="Arial"/>
          <w:sz w:val="20"/>
          <w:szCs w:val="20"/>
          <w:lang w:val="bg-BG"/>
        </w:rPr>
        <w:t>Таблица</w:t>
      </w:r>
      <w:r w:rsidR="0019106D" w:rsidRPr="00E661B6">
        <w:rPr>
          <w:rFonts w:ascii="Arial" w:hAnsi="Arial" w:cs="Arial"/>
          <w:sz w:val="20"/>
          <w:szCs w:val="20"/>
          <w:lang w:val="bg-BG"/>
        </w:rPr>
        <w:t xml:space="preserve"> </w:t>
      </w:r>
      <w:r w:rsidR="00593CEF">
        <w:rPr>
          <w:rFonts w:ascii="Arial" w:hAnsi="Arial" w:cs="Arial"/>
          <w:sz w:val="20"/>
          <w:szCs w:val="20"/>
          <w:lang w:val="bg-BG"/>
        </w:rPr>
        <w:t>5</w:t>
      </w:r>
      <w:r w:rsidR="004F32D7" w:rsidRPr="00E661B6">
        <w:rPr>
          <w:rFonts w:ascii="Arial" w:hAnsi="Arial" w:cs="Arial"/>
          <w:sz w:val="20"/>
          <w:szCs w:val="20"/>
          <w:lang w:val="bg-BG"/>
        </w:rPr>
        <w:t xml:space="preserve">: </w:t>
      </w:r>
      <w:r w:rsidR="005338CD">
        <w:rPr>
          <w:rFonts w:ascii="Arial" w:hAnsi="Arial" w:cs="Arial"/>
          <w:sz w:val="20"/>
          <w:szCs w:val="20"/>
          <w:lang w:val="bg-BG"/>
        </w:rPr>
        <w:t>Стъпки</w:t>
      </w:r>
      <w:r>
        <w:rPr>
          <w:rFonts w:ascii="Arial" w:hAnsi="Arial" w:cs="Arial"/>
          <w:sz w:val="20"/>
          <w:szCs w:val="20"/>
          <w:lang w:val="bg-BG"/>
        </w:rPr>
        <w:t xml:space="preserve"> за прилагане на ФИ във ВиК сектора</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2410"/>
      </w:tblGrid>
      <w:tr w:rsidR="004F32D7" w:rsidRPr="00314448" w14:paraId="0A20EE68" w14:textId="77777777" w:rsidTr="00E661B6">
        <w:trPr>
          <w:trHeight w:val="54"/>
          <w:tblHeader/>
        </w:trPr>
        <w:tc>
          <w:tcPr>
            <w:tcW w:w="7371" w:type="dxa"/>
            <w:shd w:val="clear" w:color="000000" w:fill="D9D9D9"/>
            <w:vAlign w:val="center"/>
          </w:tcPr>
          <w:p w14:paraId="3FFED397" w14:textId="77777777" w:rsidR="004F32D7" w:rsidRPr="00E661B6" w:rsidRDefault="005338CD" w:rsidP="00AF48E5">
            <w:pPr>
              <w:spacing w:after="0" w:line="240" w:lineRule="auto"/>
              <w:rPr>
                <w:rFonts w:ascii="Arial" w:eastAsia="Times New Roman" w:hAnsi="Arial" w:cs="Arial"/>
                <w:b/>
                <w:bCs/>
                <w:color w:val="000000"/>
                <w:sz w:val="18"/>
                <w:szCs w:val="18"/>
                <w:lang w:val="bg-BG" w:eastAsia="bg-BG"/>
              </w:rPr>
            </w:pPr>
            <w:r>
              <w:rPr>
                <w:rFonts w:ascii="Arial" w:eastAsia="Times New Roman" w:hAnsi="Arial" w:cs="Arial"/>
                <w:b/>
                <w:bCs/>
                <w:color w:val="000000"/>
                <w:sz w:val="18"/>
                <w:szCs w:val="18"/>
                <w:lang w:val="bg-BG" w:eastAsia="bg-BG"/>
              </w:rPr>
              <w:t>Стъпка</w:t>
            </w:r>
          </w:p>
        </w:tc>
        <w:tc>
          <w:tcPr>
            <w:tcW w:w="2410" w:type="dxa"/>
            <w:shd w:val="clear" w:color="000000" w:fill="D9D9D9"/>
            <w:vAlign w:val="center"/>
          </w:tcPr>
          <w:p w14:paraId="2E082930" w14:textId="77777777" w:rsidR="004F32D7" w:rsidRPr="00A17FF3" w:rsidRDefault="00A17FF3" w:rsidP="00AF48E5">
            <w:pPr>
              <w:spacing w:after="0" w:line="240" w:lineRule="auto"/>
              <w:rPr>
                <w:rFonts w:ascii="Arial" w:eastAsia="Times New Roman" w:hAnsi="Arial" w:cs="Arial"/>
                <w:b/>
                <w:bCs/>
                <w:color w:val="000000"/>
                <w:sz w:val="18"/>
                <w:szCs w:val="18"/>
                <w:lang w:val="bg-BG" w:eastAsia="bg-BG"/>
              </w:rPr>
            </w:pPr>
            <w:r>
              <w:rPr>
                <w:rFonts w:ascii="Arial" w:eastAsia="Times New Roman" w:hAnsi="Arial" w:cs="Arial"/>
                <w:b/>
                <w:bCs/>
                <w:color w:val="000000"/>
                <w:sz w:val="18"/>
                <w:szCs w:val="18"/>
                <w:lang w:val="bg-BG" w:eastAsia="bg-BG"/>
              </w:rPr>
              <w:t>Времева рамка</w:t>
            </w:r>
          </w:p>
        </w:tc>
      </w:tr>
      <w:tr w:rsidR="004F32D7" w:rsidRPr="008F2C0C" w14:paraId="509A8FEB" w14:textId="77777777" w:rsidTr="00E661B6">
        <w:trPr>
          <w:trHeight w:val="285"/>
        </w:trPr>
        <w:tc>
          <w:tcPr>
            <w:tcW w:w="7371" w:type="dxa"/>
            <w:shd w:val="clear" w:color="auto" w:fill="auto"/>
          </w:tcPr>
          <w:p w14:paraId="2C66C8B3" w14:textId="77777777" w:rsidR="004F32D7" w:rsidRDefault="00E661B6" w:rsidP="001E0477">
            <w:pPr>
              <w:spacing w:after="0" w:line="240" w:lineRule="auto"/>
              <w:rPr>
                <w:rFonts w:ascii="Arial" w:eastAsia="Times New Roman" w:hAnsi="Arial" w:cs="Arial"/>
                <w:color w:val="000000"/>
                <w:sz w:val="18"/>
                <w:szCs w:val="18"/>
                <w:lang w:eastAsia="bg-BG"/>
              </w:rPr>
            </w:pPr>
            <w:r>
              <w:rPr>
                <w:rFonts w:ascii="Arial" w:eastAsia="Times New Roman" w:hAnsi="Arial" w:cs="Arial"/>
                <w:color w:val="000000"/>
                <w:sz w:val="18"/>
                <w:szCs w:val="18"/>
                <w:lang w:val="bg-BG" w:eastAsia="bg-BG"/>
              </w:rPr>
              <w:t>Избор на фонд мениджър на специална инвестиционна структура</w:t>
            </w:r>
            <w:r w:rsidR="00DB746D">
              <w:rPr>
                <w:rFonts w:ascii="Arial" w:eastAsia="Times New Roman" w:hAnsi="Arial" w:cs="Arial"/>
                <w:color w:val="000000"/>
                <w:sz w:val="18"/>
                <w:szCs w:val="18"/>
                <w:lang w:val="bg-BG" w:eastAsia="bg-BG"/>
              </w:rPr>
              <w:t xml:space="preserve">  </w:t>
            </w:r>
          </w:p>
        </w:tc>
        <w:tc>
          <w:tcPr>
            <w:tcW w:w="2410" w:type="dxa"/>
            <w:shd w:val="clear" w:color="auto" w:fill="auto"/>
          </w:tcPr>
          <w:p w14:paraId="7E2E485A" w14:textId="77777777" w:rsidR="004F32D7" w:rsidRPr="00E661B6" w:rsidRDefault="00237081" w:rsidP="00237081">
            <w:pPr>
              <w:spacing w:after="0" w:line="240" w:lineRule="auto"/>
              <w:rPr>
                <w:rFonts w:ascii="Arial" w:eastAsia="Times New Roman" w:hAnsi="Arial" w:cs="Arial"/>
                <w:sz w:val="18"/>
                <w:szCs w:val="18"/>
                <w:lang w:val="bg-BG" w:eastAsia="bg-BG"/>
              </w:rPr>
            </w:pPr>
            <w:r>
              <w:rPr>
                <w:rFonts w:ascii="Arial" w:eastAsia="Times New Roman" w:hAnsi="Arial" w:cs="Arial"/>
                <w:sz w:val="18"/>
                <w:szCs w:val="18"/>
                <w:lang w:val="bg-BG" w:eastAsia="bg-BG"/>
              </w:rPr>
              <w:t xml:space="preserve">Първо </w:t>
            </w:r>
            <w:r w:rsidR="006365CF">
              <w:rPr>
                <w:rFonts w:ascii="Arial" w:eastAsia="Times New Roman" w:hAnsi="Arial" w:cs="Arial"/>
                <w:sz w:val="18"/>
                <w:szCs w:val="18"/>
                <w:lang w:val="bg-BG" w:eastAsia="bg-BG"/>
              </w:rPr>
              <w:t>полугодие</w:t>
            </w:r>
            <w:r w:rsidR="00E661B6">
              <w:rPr>
                <w:rFonts w:ascii="Arial" w:eastAsia="Times New Roman" w:hAnsi="Arial" w:cs="Arial"/>
                <w:sz w:val="18"/>
                <w:szCs w:val="18"/>
                <w:lang w:val="bg-BG" w:eastAsia="bg-BG"/>
              </w:rPr>
              <w:t xml:space="preserve"> на </w:t>
            </w:r>
            <w:r>
              <w:rPr>
                <w:rFonts w:ascii="Arial" w:eastAsia="Times New Roman" w:hAnsi="Arial" w:cs="Arial"/>
                <w:sz w:val="18"/>
                <w:szCs w:val="18"/>
                <w:lang w:val="bg-BG" w:eastAsia="bg-BG"/>
              </w:rPr>
              <w:t xml:space="preserve">2018 </w:t>
            </w:r>
            <w:r w:rsidR="00E661B6">
              <w:rPr>
                <w:rFonts w:ascii="Arial" w:eastAsia="Times New Roman" w:hAnsi="Arial" w:cs="Arial"/>
                <w:sz w:val="18"/>
                <w:szCs w:val="18"/>
                <w:lang w:val="bg-BG" w:eastAsia="bg-BG"/>
              </w:rPr>
              <w:t>г.</w:t>
            </w:r>
          </w:p>
        </w:tc>
      </w:tr>
      <w:tr w:rsidR="004F32D7" w:rsidRPr="008F2C0C" w14:paraId="3E66D535" w14:textId="77777777" w:rsidTr="00E661B6">
        <w:trPr>
          <w:trHeight w:val="285"/>
        </w:trPr>
        <w:tc>
          <w:tcPr>
            <w:tcW w:w="7371" w:type="dxa"/>
            <w:shd w:val="clear" w:color="auto" w:fill="auto"/>
          </w:tcPr>
          <w:p w14:paraId="54900183" w14:textId="77777777" w:rsidR="004F32D7" w:rsidRPr="008F2C0C" w:rsidRDefault="00E661B6" w:rsidP="003A2823">
            <w:pPr>
              <w:spacing w:after="0" w:line="240" w:lineRule="auto"/>
              <w:rPr>
                <w:rFonts w:ascii="Arial" w:eastAsia="Times New Roman" w:hAnsi="Arial" w:cs="Arial"/>
                <w:color w:val="000000"/>
                <w:sz w:val="18"/>
                <w:szCs w:val="18"/>
                <w:lang w:eastAsia="bg-BG"/>
              </w:rPr>
            </w:pPr>
            <w:r>
              <w:rPr>
                <w:rFonts w:ascii="Arial" w:eastAsia="Times New Roman" w:hAnsi="Arial" w:cs="Arial"/>
                <w:color w:val="000000"/>
                <w:sz w:val="18"/>
                <w:szCs w:val="18"/>
                <w:lang w:val="bg-BG" w:eastAsia="bg-BG"/>
              </w:rPr>
              <w:t>Избор на финансови посредници</w:t>
            </w:r>
            <w:r w:rsidR="004F32D7">
              <w:rPr>
                <w:rFonts w:ascii="Arial" w:eastAsia="Times New Roman" w:hAnsi="Arial" w:cs="Arial"/>
                <w:color w:val="000000"/>
                <w:sz w:val="18"/>
                <w:szCs w:val="18"/>
                <w:lang w:eastAsia="bg-BG"/>
              </w:rPr>
              <w:t xml:space="preserve"> (</w:t>
            </w:r>
            <w:r>
              <w:rPr>
                <w:rFonts w:ascii="Arial" w:eastAsia="Times New Roman" w:hAnsi="Arial" w:cs="Arial"/>
                <w:color w:val="000000"/>
                <w:sz w:val="18"/>
                <w:szCs w:val="18"/>
                <w:lang w:val="bg-BG" w:eastAsia="bg-BG"/>
              </w:rPr>
              <w:t>за гаранционни продукти</w:t>
            </w:r>
            <w:r w:rsidR="004F32D7">
              <w:rPr>
                <w:rFonts w:ascii="Arial" w:eastAsia="Times New Roman" w:hAnsi="Arial" w:cs="Arial"/>
                <w:color w:val="000000"/>
                <w:sz w:val="18"/>
                <w:szCs w:val="18"/>
                <w:lang w:eastAsia="bg-BG"/>
              </w:rPr>
              <w:t>)</w:t>
            </w:r>
            <w:r w:rsidR="00CD59D8">
              <w:rPr>
                <w:rFonts w:ascii="Arial" w:eastAsia="Times New Roman" w:hAnsi="Arial" w:cs="Arial"/>
                <w:color w:val="000000"/>
                <w:sz w:val="18"/>
                <w:szCs w:val="18"/>
                <w:lang w:eastAsia="bg-BG"/>
              </w:rPr>
              <w:t>:</w:t>
            </w:r>
          </w:p>
        </w:tc>
        <w:tc>
          <w:tcPr>
            <w:tcW w:w="2410" w:type="dxa"/>
            <w:shd w:val="clear" w:color="auto" w:fill="auto"/>
          </w:tcPr>
          <w:p w14:paraId="3396E1F2" w14:textId="77777777" w:rsidR="004F32D7" w:rsidRPr="00E661B6" w:rsidRDefault="00237081" w:rsidP="00237081">
            <w:pPr>
              <w:spacing w:after="0" w:line="240" w:lineRule="auto"/>
              <w:rPr>
                <w:rFonts w:ascii="Arial" w:eastAsia="Times New Roman" w:hAnsi="Arial" w:cs="Arial"/>
                <w:sz w:val="18"/>
                <w:szCs w:val="18"/>
                <w:lang w:val="bg-BG" w:eastAsia="bg-BG"/>
              </w:rPr>
            </w:pPr>
            <w:r>
              <w:rPr>
                <w:rFonts w:ascii="Arial" w:eastAsia="Times New Roman" w:hAnsi="Arial" w:cs="Arial"/>
                <w:sz w:val="18"/>
                <w:szCs w:val="18"/>
                <w:lang w:val="bg-BG" w:eastAsia="bg-BG"/>
              </w:rPr>
              <w:t xml:space="preserve">Второ  </w:t>
            </w:r>
            <w:r w:rsidR="00CA62C6">
              <w:rPr>
                <w:rFonts w:ascii="Arial" w:eastAsia="Times New Roman" w:hAnsi="Arial" w:cs="Arial"/>
                <w:sz w:val="18"/>
                <w:szCs w:val="18"/>
                <w:lang w:val="bg-BG" w:eastAsia="bg-BG"/>
              </w:rPr>
              <w:t xml:space="preserve">полугодие на </w:t>
            </w:r>
            <w:r w:rsidR="004F32D7">
              <w:rPr>
                <w:rFonts w:ascii="Arial" w:eastAsia="Times New Roman" w:hAnsi="Arial" w:cs="Arial"/>
                <w:sz w:val="18"/>
                <w:szCs w:val="18"/>
                <w:lang w:eastAsia="bg-BG"/>
              </w:rPr>
              <w:t>201</w:t>
            </w:r>
            <w:r w:rsidR="00CA62C6">
              <w:rPr>
                <w:rFonts w:ascii="Arial" w:eastAsia="Times New Roman" w:hAnsi="Arial" w:cs="Arial"/>
                <w:sz w:val="18"/>
                <w:szCs w:val="18"/>
                <w:lang w:val="bg-BG" w:eastAsia="bg-BG"/>
              </w:rPr>
              <w:t>8</w:t>
            </w:r>
            <w:r w:rsidR="00E661B6">
              <w:rPr>
                <w:rFonts w:ascii="Arial" w:eastAsia="Times New Roman" w:hAnsi="Arial" w:cs="Arial"/>
                <w:sz w:val="18"/>
                <w:szCs w:val="18"/>
                <w:lang w:val="bg-BG" w:eastAsia="bg-BG"/>
              </w:rPr>
              <w:t xml:space="preserve"> г.</w:t>
            </w:r>
          </w:p>
        </w:tc>
      </w:tr>
      <w:tr w:rsidR="004F32D7" w:rsidRPr="008F2C0C" w14:paraId="4E1A1A5D" w14:textId="77777777" w:rsidTr="00E661B6">
        <w:trPr>
          <w:trHeight w:val="285"/>
        </w:trPr>
        <w:tc>
          <w:tcPr>
            <w:tcW w:w="7371" w:type="dxa"/>
            <w:shd w:val="clear" w:color="auto" w:fill="auto"/>
          </w:tcPr>
          <w:p w14:paraId="0A0E395C" w14:textId="77777777" w:rsidR="00CF2D8D" w:rsidRPr="008F2C0C" w:rsidRDefault="00092F88">
            <w:pPr>
              <w:spacing w:after="0" w:line="240" w:lineRule="auto"/>
              <w:rPr>
                <w:rFonts w:ascii="Arial" w:eastAsia="Times New Roman" w:hAnsi="Arial" w:cs="Arial"/>
                <w:color w:val="000000"/>
                <w:sz w:val="18"/>
                <w:szCs w:val="18"/>
                <w:lang w:eastAsia="bg-BG"/>
              </w:rPr>
            </w:pPr>
            <w:r>
              <w:rPr>
                <w:rFonts w:ascii="Arial" w:eastAsia="Times New Roman" w:hAnsi="Arial" w:cs="Arial"/>
                <w:color w:val="000000"/>
                <w:sz w:val="18"/>
                <w:szCs w:val="18"/>
                <w:lang w:val="bg-BG" w:eastAsia="bg-BG"/>
              </w:rPr>
              <w:t>Първи сключени договори за заем за ф</w:t>
            </w:r>
            <w:r w:rsidR="00E661B6">
              <w:rPr>
                <w:rFonts w:ascii="Arial" w:eastAsia="Times New Roman" w:hAnsi="Arial" w:cs="Arial"/>
                <w:color w:val="000000"/>
                <w:sz w:val="18"/>
                <w:szCs w:val="18"/>
                <w:lang w:val="bg-BG" w:eastAsia="bg-BG"/>
              </w:rPr>
              <w:t>инансиран</w:t>
            </w:r>
            <w:r>
              <w:rPr>
                <w:rFonts w:ascii="Arial" w:eastAsia="Times New Roman" w:hAnsi="Arial" w:cs="Arial"/>
                <w:color w:val="000000"/>
                <w:sz w:val="18"/>
                <w:szCs w:val="18"/>
                <w:lang w:val="bg-BG" w:eastAsia="bg-BG"/>
              </w:rPr>
              <w:t>е</w:t>
            </w:r>
            <w:r w:rsidR="00E661B6">
              <w:rPr>
                <w:rFonts w:ascii="Arial" w:eastAsia="Times New Roman" w:hAnsi="Arial" w:cs="Arial"/>
                <w:color w:val="000000"/>
                <w:sz w:val="18"/>
                <w:szCs w:val="18"/>
                <w:lang w:val="bg-BG" w:eastAsia="bg-BG"/>
              </w:rPr>
              <w:t xml:space="preserve"> </w:t>
            </w:r>
            <w:r>
              <w:rPr>
                <w:rFonts w:ascii="Arial" w:eastAsia="Times New Roman" w:hAnsi="Arial" w:cs="Arial"/>
                <w:color w:val="000000"/>
                <w:sz w:val="18"/>
                <w:szCs w:val="18"/>
                <w:lang w:val="bg-BG" w:eastAsia="bg-BG"/>
              </w:rPr>
              <w:t xml:space="preserve">на </w:t>
            </w:r>
            <w:r w:rsidR="00E661B6">
              <w:rPr>
                <w:rFonts w:ascii="Arial" w:eastAsia="Times New Roman" w:hAnsi="Arial" w:cs="Arial"/>
                <w:color w:val="000000"/>
                <w:sz w:val="18"/>
                <w:szCs w:val="18"/>
                <w:lang w:val="bg-BG" w:eastAsia="bg-BG"/>
              </w:rPr>
              <w:t>проекти</w:t>
            </w:r>
            <w:r w:rsidR="00CD59D8">
              <w:rPr>
                <w:rFonts w:ascii="Arial" w:eastAsia="Times New Roman" w:hAnsi="Arial" w:cs="Arial"/>
                <w:color w:val="000000"/>
                <w:sz w:val="18"/>
                <w:szCs w:val="18"/>
                <w:lang w:eastAsia="bg-BG"/>
              </w:rPr>
              <w:t>:</w:t>
            </w:r>
          </w:p>
        </w:tc>
        <w:tc>
          <w:tcPr>
            <w:tcW w:w="2410" w:type="dxa"/>
            <w:shd w:val="clear" w:color="auto" w:fill="auto"/>
          </w:tcPr>
          <w:p w14:paraId="5EBB2F80" w14:textId="77777777" w:rsidR="004F32D7" w:rsidRPr="00E661B6" w:rsidRDefault="00CA62C6" w:rsidP="00AF48E5">
            <w:pPr>
              <w:spacing w:after="0" w:line="240" w:lineRule="auto"/>
              <w:rPr>
                <w:rFonts w:ascii="Arial" w:eastAsia="Times New Roman" w:hAnsi="Arial" w:cs="Arial"/>
                <w:sz w:val="18"/>
                <w:szCs w:val="18"/>
                <w:lang w:val="bg-BG" w:eastAsia="bg-BG"/>
              </w:rPr>
            </w:pPr>
            <w:r>
              <w:rPr>
                <w:rFonts w:ascii="Arial" w:eastAsia="Times New Roman" w:hAnsi="Arial" w:cs="Arial"/>
                <w:sz w:val="18"/>
                <w:szCs w:val="18"/>
                <w:lang w:val="bg-BG" w:eastAsia="bg-BG"/>
              </w:rPr>
              <w:t>До</w:t>
            </w:r>
            <w:r w:rsidR="00301A53">
              <w:rPr>
                <w:rFonts w:ascii="Arial" w:eastAsia="Times New Roman" w:hAnsi="Arial" w:cs="Arial"/>
                <w:sz w:val="18"/>
                <w:szCs w:val="18"/>
                <w:lang w:val="bg-BG" w:eastAsia="bg-BG"/>
              </w:rPr>
              <w:t xml:space="preserve"> края </w:t>
            </w:r>
            <w:r>
              <w:rPr>
                <w:rFonts w:ascii="Arial" w:eastAsia="Times New Roman" w:hAnsi="Arial" w:cs="Arial"/>
                <w:sz w:val="18"/>
                <w:szCs w:val="18"/>
                <w:lang w:val="bg-BG" w:eastAsia="bg-BG"/>
              </w:rPr>
              <w:t xml:space="preserve">на </w:t>
            </w:r>
            <w:r w:rsidR="00E661B6">
              <w:rPr>
                <w:rFonts w:ascii="Arial" w:eastAsia="Times New Roman" w:hAnsi="Arial" w:cs="Arial"/>
                <w:sz w:val="18"/>
                <w:szCs w:val="18"/>
                <w:lang w:eastAsia="bg-BG"/>
              </w:rPr>
              <w:t>20</w:t>
            </w:r>
            <w:r w:rsidR="004F32D7">
              <w:rPr>
                <w:rFonts w:ascii="Arial" w:eastAsia="Times New Roman" w:hAnsi="Arial" w:cs="Arial"/>
                <w:sz w:val="18"/>
                <w:szCs w:val="18"/>
                <w:lang w:eastAsia="bg-BG"/>
              </w:rPr>
              <w:t>1</w:t>
            </w:r>
            <w:r>
              <w:rPr>
                <w:rFonts w:ascii="Arial" w:eastAsia="Times New Roman" w:hAnsi="Arial" w:cs="Arial"/>
                <w:sz w:val="18"/>
                <w:szCs w:val="18"/>
                <w:lang w:val="bg-BG" w:eastAsia="bg-BG"/>
              </w:rPr>
              <w:t>8</w:t>
            </w:r>
            <w:r w:rsidR="00E661B6">
              <w:rPr>
                <w:rFonts w:ascii="Arial" w:eastAsia="Times New Roman" w:hAnsi="Arial" w:cs="Arial"/>
                <w:sz w:val="18"/>
                <w:szCs w:val="18"/>
                <w:lang w:val="bg-BG" w:eastAsia="bg-BG"/>
              </w:rPr>
              <w:t xml:space="preserve"> г. </w:t>
            </w:r>
          </w:p>
        </w:tc>
      </w:tr>
      <w:tr w:rsidR="004F32D7" w:rsidRPr="008F2C0C" w14:paraId="33E0A9AA" w14:textId="77777777" w:rsidTr="00E661B6">
        <w:trPr>
          <w:trHeight w:val="285"/>
        </w:trPr>
        <w:tc>
          <w:tcPr>
            <w:tcW w:w="7371" w:type="dxa"/>
            <w:shd w:val="clear" w:color="auto" w:fill="auto"/>
          </w:tcPr>
          <w:p w14:paraId="5A724BF5" w14:textId="77777777" w:rsidR="004F32D7" w:rsidRPr="008F2C0C" w:rsidRDefault="00E661B6" w:rsidP="00E661B6">
            <w:pPr>
              <w:spacing w:after="0" w:line="240" w:lineRule="auto"/>
              <w:rPr>
                <w:rFonts w:ascii="Arial" w:eastAsia="Times New Roman" w:hAnsi="Arial" w:cs="Arial"/>
                <w:color w:val="000000"/>
                <w:sz w:val="18"/>
                <w:szCs w:val="18"/>
                <w:lang w:eastAsia="bg-BG"/>
              </w:rPr>
            </w:pPr>
            <w:r>
              <w:rPr>
                <w:rFonts w:ascii="Arial" w:eastAsia="Times New Roman" w:hAnsi="Arial" w:cs="Arial"/>
                <w:color w:val="000000"/>
                <w:sz w:val="18"/>
                <w:szCs w:val="18"/>
                <w:lang w:val="bg-BG" w:eastAsia="bg-BG"/>
              </w:rPr>
              <w:t xml:space="preserve">Първи </w:t>
            </w:r>
            <w:r w:rsidR="00092F88">
              <w:rPr>
                <w:rFonts w:ascii="Arial" w:eastAsia="Times New Roman" w:hAnsi="Arial" w:cs="Arial"/>
                <w:color w:val="000000"/>
                <w:sz w:val="18"/>
                <w:szCs w:val="18"/>
                <w:lang w:val="bg-BG" w:eastAsia="bg-BG"/>
              </w:rPr>
              <w:t>погашения от КП</w:t>
            </w:r>
            <w:r w:rsidR="00092F88">
              <w:rPr>
                <w:rFonts w:ascii="Arial" w:eastAsia="Times New Roman" w:hAnsi="Arial" w:cs="Arial"/>
                <w:color w:val="000000"/>
                <w:sz w:val="18"/>
                <w:szCs w:val="18"/>
                <w:lang w:eastAsia="bg-BG"/>
              </w:rPr>
              <w:t xml:space="preserve"> </w:t>
            </w:r>
            <w:r w:rsidR="004F32D7">
              <w:rPr>
                <w:rFonts w:ascii="Arial" w:eastAsia="Times New Roman" w:hAnsi="Arial" w:cs="Arial"/>
                <w:color w:val="000000"/>
                <w:sz w:val="18"/>
                <w:szCs w:val="18"/>
                <w:lang w:eastAsia="bg-BG"/>
              </w:rPr>
              <w:t>(</w:t>
            </w:r>
            <w:r>
              <w:rPr>
                <w:rFonts w:ascii="Arial" w:eastAsia="Times New Roman" w:hAnsi="Arial" w:cs="Arial"/>
                <w:color w:val="000000"/>
                <w:sz w:val="18"/>
                <w:szCs w:val="18"/>
                <w:lang w:val="bg-BG" w:eastAsia="bg-BG"/>
              </w:rPr>
              <w:t xml:space="preserve">на </w:t>
            </w:r>
            <w:r w:rsidRPr="00E661B6">
              <w:rPr>
                <w:rFonts w:ascii="Arial" w:eastAsia="Times New Roman" w:hAnsi="Arial" w:cs="Arial"/>
                <w:color w:val="000000"/>
                <w:sz w:val="18"/>
                <w:szCs w:val="18"/>
                <w:lang w:val="bg-BG" w:eastAsia="bg-BG"/>
              </w:rPr>
              <w:t>главницата, след гратисния период</w:t>
            </w:r>
            <w:r w:rsidR="004F32D7" w:rsidRPr="00E661B6">
              <w:rPr>
                <w:rFonts w:ascii="Arial" w:eastAsia="Times New Roman" w:hAnsi="Arial" w:cs="Arial"/>
                <w:color w:val="000000"/>
                <w:sz w:val="18"/>
                <w:szCs w:val="18"/>
                <w:lang w:val="bg-BG" w:eastAsia="bg-BG"/>
              </w:rPr>
              <w:t>)</w:t>
            </w:r>
            <w:r w:rsidR="00CD59D8" w:rsidRPr="00E661B6">
              <w:rPr>
                <w:rFonts w:ascii="Arial" w:eastAsia="Times New Roman" w:hAnsi="Arial" w:cs="Arial"/>
                <w:color w:val="000000"/>
                <w:sz w:val="18"/>
                <w:szCs w:val="18"/>
                <w:lang w:val="bg-BG" w:eastAsia="bg-BG"/>
              </w:rPr>
              <w:t>:</w:t>
            </w:r>
          </w:p>
        </w:tc>
        <w:tc>
          <w:tcPr>
            <w:tcW w:w="2410" w:type="dxa"/>
            <w:shd w:val="clear" w:color="auto" w:fill="auto"/>
          </w:tcPr>
          <w:p w14:paraId="6DD8DE9A" w14:textId="77777777" w:rsidR="004F32D7" w:rsidRPr="00E661B6" w:rsidRDefault="00301A53" w:rsidP="00AF48E5">
            <w:pPr>
              <w:spacing w:after="0" w:line="240" w:lineRule="auto"/>
              <w:rPr>
                <w:rFonts w:ascii="Arial" w:eastAsia="Times New Roman" w:hAnsi="Arial" w:cs="Arial"/>
                <w:sz w:val="18"/>
                <w:szCs w:val="18"/>
                <w:lang w:val="bg-BG" w:eastAsia="bg-BG"/>
              </w:rPr>
            </w:pPr>
            <w:r w:rsidRPr="00EE3437">
              <w:rPr>
                <w:rFonts w:ascii="Arial" w:eastAsia="Times New Roman" w:hAnsi="Arial" w:cs="Arial"/>
                <w:sz w:val="18"/>
                <w:szCs w:val="18"/>
                <w:lang w:val="bg-BG" w:eastAsia="bg-BG"/>
              </w:rPr>
              <w:t xml:space="preserve">В края </w:t>
            </w:r>
            <w:r w:rsidR="004F32D7" w:rsidRPr="00EE3437">
              <w:rPr>
                <w:rFonts w:ascii="Arial" w:eastAsia="Times New Roman" w:hAnsi="Arial" w:cs="Arial"/>
                <w:sz w:val="18"/>
                <w:szCs w:val="18"/>
                <w:lang w:eastAsia="bg-BG"/>
              </w:rPr>
              <w:t>20</w:t>
            </w:r>
            <w:r w:rsidR="00CA62C6" w:rsidRPr="00EE3437">
              <w:rPr>
                <w:rFonts w:ascii="Arial" w:eastAsia="Times New Roman" w:hAnsi="Arial" w:cs="Arial"/>
                <w:sz w:val="18"/>
                <w:szCs w:val="18"/>
                <w:lang w:val="bg-BG" w:eastAsia="bg-BG"/>
              </w:rPr>
              <w:t>20</w:t>
            </w:r>
            <w:r w:rsidR="00E661B6" w:rsidRPr="003C78AA">
              <w:rPr>
                <w:rFonts w:ascii="Arial" w:eastAsia="Times New Roman" w:hAnsi="Arial" w:cs="Arial"/>
                <w:sz w:val="18"/>
                <w:szCs w:val="18"/>
                <w:lang w:val="bg-BG" w:eastAsia="bg-BG"/>
              </w:rPr>
              <w:t xml:space="preserve"> г.</w:t>
            </w:r>
          </w:p>
        </w:tc>
      </w:tr>
      <w:tr w:rsidR="004F32D7" w:rsidRPr="008F2C0C" w14:paraId="39020BA0" w14:textId="77777777" w:rsidTr="00E661B6">
        <w:trPr>
          <w:trHeight w:val="285"/>
        </w:trPr>
        <w:tc>
          <w:tcPr>
            <w:tcW w:w="7371" w:type="dxa"/>
            <w:shd w:val="clear" w:color="auto" w:fill="auto"/>
          </w:tcPr>
          <w:p w14:paraId="4CD9B201" w14:textId="77777777" w:rsidR="004F32D7" w:rsidRDefault="00E661B6" w:rsidP="00AF48E5">
            <w:pPr>
              <w:spacing w:after="0" w:line="240" w:lineRule="auto"/>
              <w:rPr>
                <w:rFonts w:ascii="Arial" w:eastAsia="Times New Roman" w:hAnsi="Arial" w:cs="Arial"/>
                <w:color w:val="000000"/>
                <w:sz w:val="18"/>
                <w:szCs w:val="18"/>
                <w:lang w:eastAsia="bg-BG"/>
              </w:rPr>
            </w:pPr>
            <w:r>
              <w:rPr>
                <w:rFonts w:ascii="Arial" w:eastAsia="Times New Roman" w:hAnsi="Arial" w:cs="Arial"/>
                <w:color w:val="000000"/>
                <w:sz w:val="18"/>
                <w:szCs w:val="18"/>
                <w:lang w:val="bg-BG" w:eastAsia="bg-BG"/>
              </w:rPr>
              <w:t>Период на допустимост за плащания към крайни получатели</w:t>
            </w:r>
            <w:r w:rsidR="00CD59D8">
              <w:rPr>
                <w:rFonts w:ascii="Arial" w:eastAsia="Times New Roman" w:hAnsi="Arial" w:cs="Arial"/>
                <w:color w:val="000000"/>
                <w:sz w:val="18"/>
                <w:szCs w:val="18"/>
                <w:lang w:eastAsia="bg-BG"/>
              </w:rPr>
              <w:t>:</w:t>
            </w:r>
          </w:p>
        </w:tc>
        <w:tc>
          <w:tcPr>
            <w:tcW w:w="2410" w:type="dxa"/>
            <w:shd w:val="clear" w:color="auto" w:fill="auto"/>
          </w:tcPr>
          <w:p w14:paraId="568EA2A2" w14:textId="77777777" w:rsidR="004F32D7" w:rsidRPr="00E661B6" w:rsidRDefault="00E661B6" w:rsidP="00AF48E5">
            <w:pPr>
              <w:spacing w:after="0" w:line="240" w:lineRule="auto"/>
              <w:rPr>
                <w:rFonts w:ascii="Arial" w:eastAsia="Times New Roman" w:hAnsi="Arial" w:cs="Arial"/>
                <w:sz w:val="18"/>
                <w:szCs w:val="18"/>
                <w:lang w:val="bg-BG" w:eastAsia="bg-BG"/>
              </w:rPr>
            </w:pPr>
            <w:r>
              <w:rPr>
                <w:rFonts w:ascii="Arial" w:eastAsia="Times New Roman" w:hAnsi="Arial" w:cs="Arial"/>
                <w:sz w:val="18"/>
                <w:szCs w:val="18"/>
                <w:lang w:val="bg-BG" w:eastAsia="bg-BG"/>
              </w:rPr>
              <w:t>До</w:t>
            </w:r>
            <w:r w:rsidR="004F32D7">
              <w:rPr>
                <w:rFonts w:ascii="Arial" w:eastAsia="Times New Roman" w:hAnsi="Arial" w:cs="Arial"/>
                <w:sz w:val="18"/>
                <w:szCs w:val="18"/>
                <w:lang w:eastAsia="bg-BG"/>
              </w:rPr>
              <w:t xml:space="preserve"> </w:t>
            </w:r>
            <w:r w:rsidR="006365CF" w:rsidRPr="006365CF">
              <w:rPr>
                <w:rFonts w:ascii="Arial" w:eastAsia="Times New Roman" w:hAnsi="Arial" w:cs="Arial"/>
                <w:sz w:val="18"/>
                <w:szCs w:val="18"/>
                <w:lang w:eastAsia="bg-BG"/>
              </w:rPr>
              <w:t>31.12.</w:t>
            </w:r>
            <w:r w:rsidR="004F32D7">
              <w:rPr>
                <w:rFonts w:ascii="Arial" w:eastAsia="Times New Roman" w:hAnsi="Arial" w:cs="Arial"/>
                <w:sz w:val="18"/>
                <w:szCs w:val="18"/>
                <w:lang w:eastAsia="bg-BG"/>
              </w:rPr>
              <w:t>2023</w:t>
            </w:r>
            <w:r>
              <w:rPr>
                <w:rFonts w:ascii="Arial" w:eastAsia="Times New Roman" w:hAnsi="Arial" w:cs="Arial"/>
                <w:sz w:val="18"/>
                <w:szCs w:val="18"/>
                <w:lang w:val="bg-BG" w:eastAsia="bg-BG"/>
              </w:rPr>
              <w:t xml:space="preserve"> г.</w:t>
            </w:r>
          </w:p>
        </w:tc>
      </w:tr>
    </w:tbl>
    <w:p w14:paraId="1E84CCBF" w14:textId="77777777" w:rsidR="008022DB" w:rsidRDefault="008022DB" w:rsidP="004F32D7">
      <w:pPr>
        <w:spacing w:after="0" w:line="240" w:lineRule="auto"/>
        <w:jc w:val="both"/>
        <w:rPr>
          <w:rFonts w:ascii="Arial" w:eastAsia="Times New Roman" w:hAnsi="Arial" w:cs="Arial"/>
          <w:color w:val="000000"/>
          <w:sz w:val="20"/>
          <w:szCs w:val="20"/>
          <w:lang w:val="bg-BG" w:eastAsia="zh-CN"/>
        </w:rPr>
      </w:pPr>
    </w:p>
    <w:p w14:paraId="67AF8A22" w14:textId="77777777" w:rsidR="002C5072" w:rsidRDefault="003A2823" w:rsidP="004F32D7">
      <w:pPr>
        <w:spacing w:after="0" w:line="240" w:lineRule="auto"/>
        <w:jc w:val="both"/>
        <w:rPr>
          <w:rFonts w:ascii="Arial" w:eastAsia="Times New Roman" w:hAnsi="Arial" w:cs="Arial"/>
          <w:color w:val="000000"/>
          <w:sz w:val="20"/>
          <w:szCs w:val="20"/>
          <w:lang w:val="bg-BG" w:eastAsia="zh-CN"/>
        </w:rPr>
      </w:pPr>
      <w:r>
        <w:rPr>
          <w:rFonts w:ascii="Arial" w:eastAsia="Times New Roman" w:hAnsi="Arial" w:cs="Arial"/>
          <w:color w:val="000000"/>
          <w:sz w:val="20"/>
          <w:szCs w:val="20"/>
          <w:lang w:val="bg-BG" w:eastAsia="zh-CN"/>
        </w:rPr>
        <w:t>Изготвянето на н</w:t>
      </w:r>
      <w:r w:rsidR="00A17FF3">
        <w:rPr>
          <w:rFonts w:ascii="Arial" w:eastAsia="Times New Roman" w:hAnsi="Arial" w:cs="Arial"/>
          <w:color w:val="000000"/>
          <w:sz w:val="20"/>
          <w:szCs w:val="20"/>
          <w:lang w:val="bg-BG" w:eastAsia="zh-CN"/>
        </w:rPr>
        <w:t>астоящата ИС</w:t>
      </w:r>
      <w:r w:rsidR="004F32D7" w:rsidRPr="00785B0F">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съвпада с осъществяването на</w:t>
      </w:r>
      <w:r w:rsidR="00A17FF3">
        <w:rPr>
          <w:rFonts w:ascii="Arial" w:eastAsia="Times New Roman" w:hAnsi="Arial" w:cs="Arial"/>
          <w:color w:val="000000"/>
          <w:sz w:val="20"/>
          <w:szCs w:val="20"/>
          <w:lang w:val="bg-BG" w:eastAsia="zh-CN"/>
        </w:rPr>
        <w:t xml:space="preserve"> редица важни промени и реформи въ</w:t>
      </w:r>
      <w:r>
        <w:rPr>
          <w:rFonts w:ascii="Arial" w:eastAsia="Times New Roman" w:hAnsi="Arial" w:cs="Arial"/>
          <w:color w:val="000000"/>
          <w:sz w:val="20"/>
          <w:szCs w:val="20"/>
          <w:lang w:val="bg-BG" w:eastAsia="zh-CN"/>
        </w:rPr>
        <w:t>в ВиК сектора</w:t>
      </w:r>
      <w:r w:rsidR="00A17FF3">
        <w:rPr>
          <w:rFonts w:ascii="Arial" w:eastAsia="Times New Roman" w:hAnsi="Arial" w:cs="Arial"/>
          <w:color w:val="000000"/>
          <w:sz w:val="20"/>
          <w:szCs w:val="20"/>
          <w:lang w:val="bg-BG" w:eastAsia="zh-CN"/>
        </w:rPr>
        <w:t>.</w:t>
      </w:r>
      <w:r w:rsidR="004F32D7" w:rsidRPr="00785B0F">
        <w:rPr>
          <w:rFonts w:ascii="Arial" w:eastAsia="Times New Roman" w:hAnsi="Arial" w:cs="Arial"/>
          <w:color w:val="000000"/>
          <w:sz w:val="20"/>
          <w:szCs w:val="20"/>
          <w:lang w:val="bg-BG" w:eastAsia="zh-CN"/>
        </w:rPr>
        <w:t xml:space="preserve"> </w:t>
      </w:r>
      <w:r w:rsidR="00A17FF3">
        <w:rPr>
          <w:rFonts w:ascii="Arial" w:eastAsia="Times New Roman" w:hAnsi="Arial" w:cs="Arial"/>
          <w:color w:val="000000"/>
          <w:sz w:val="20"/>
          <w:szCs w:val="20"/>
          <w:lang w:val="bg-BG" w:eastAsia="zh-CN"/>
        </w:rPr>
        <w:t xml:space="preserve">Успешното завършване </w:t>
      </w:r>
      <w:r w:rsidR="00DB746D">
        <w:rPr>
          <w:rFonts w:ascii="Arial" w:eastAsia="Times New Roman" w:hAnsi="Arial" w:cs="Arial"/>
          <w:color w:val="000000"/>
          <w:sz w:val="20"/>
          <w:szCs w:val="20"/>
          <w:lang w:val="bg-BG" w:eastAsia="zh-CN"/>
        </w:rPr>
        <w:t xml:space="preserve">на планираните реформи е необходимо условие и има ключово значение за успешното изпълнение </w:t>
      </w:r>
      <w:r w:rsidR="00A17FF3">
        <w:rPr>
          <w:rFonts w:ascii="Arial" w:eastAsia="Times New Roman" w:hAnsi="Arial" w:cs="Arial"/>
          <w:color w:val="000000"/>
          <w:sz w:val="20"/>
          <w:szCs w:val="20"/>
          <w:lang w:val="bg-BG" w:eastAsia="zh-CN"/>
        </w:rPr>
        <w:t xml:space="preserve">на ФИ </w:t>
      </w:r>
      <w:r w:rsidR="00DB746D">
        <w:rPr>
          <w:rFonts w:ascii="Arial" w:eastAsia="Times New Roman" w:hAnsi="Arial" w:cs="Arial"/>
          <w:color w:val="000000"/>
          <w:sz w:val="20"/>
          <w:szCs w:val="20"/>
          <w:lang w:val="bg-BG" w:eastAsia="zh-CN"/>
        </w:rPr>
        <w:t>в сектор ВиК</w:t>
      </w:r>
      <w:r w:rsidR="00A17FF3">
        <w:rPr>
          <w:rFonts w:ascii="Arial" w:eastAsia="Times New Roman" w:hAnsi="Arial" w:cs="Arial"/>
          <w:color w:val="000000"/>
          <w:sz w:val="20"/>
          <w:szCs w:val="20"/>
          <w:lang w:val="bg-BG" w:eastAsia="zh-CN"/>
        </w:rPr>
        <w:t xml:space="preserve">. </w:t>
      </w:r>
      <w:r w:rsidR="00A9721A">
        <w:rPr>
          <w:rFonts w:ascii="Arial" w:eastAsia="Times New Roman" w:hAnsi="Arial" w:cs="Arial"/>
          <w:color w:val="000000"/>
          <w:sz w:val="20"/>
          <w:szCs w:val="20"/>
          <w:lang w:val="bg-BG" w:eastAsia="zh-CN"/>
        </w:rPr>
        <w:t>Л</w:t>
      </w:r>
      <w:r w:rsidR="00A17FF3">
        <w:rPr>
          <w:rFonts w:ascii="Arial" w:eastAsia="Times New Roman" w:hAnsi="Arial" w:cs="Arial"/>
          <w:color w:val="000000"/>
          <w:sz w:val="20"/>
          <w:szCs w:val="20"/>
          <w:lang w:val="bg-BG" w:eastAsia="zh-CN"/>
        </w:rPr>
        <w:t>ипсата на предишен опит от страна на крайните получатели и търговските банки в структурирането и финансирането на проекти от такова естество следва да бъд</w:t>
      </w:r>
      <w:r w:rsidR="00A9721A">
        <w:rPr>
          <w:rFonts w:ascii="Arial" w:eastAsia="Times New Roman" w:hAnsi="Arial" w:cs="Arial"/>
          <w:color w:val="000000"/>
          <w:sz w:val="20"/>
          <w:szCs w:val="20"/>
          <w:lang w:val="bg-BG" w:eastAsia="zh-CN"/>
        </w:rPr>
        <w:t>е</w:t>
      </w:r>
      <w:r w:rsidR="00A17FF3">
        <w:rPr>
          <w:rFonts w:ascii="Arial" w:eastAsia="Times New Roman" w:hAnsi="Arial" w:cs="Arial"/>
          <w:color w:val="000000"/>
          <w:sz w:val="20"/>
          <w:szCs w:val="20"/>
          <w:lang w:val="bg-BG" w:eastAsia="zh-CN"/>
        </w:rPr>
        <w:t xml:space="preserve"> отчетен</w:t>
      </w:r>
      <w:r w:rsidR="00A9721A">
        <w:rPr>
          <w:rFonts w:ascii="Arial" w:eastAsia="Times New Roman" w:hAnsi="Arial" w:cs="Arial"/>
          <w:color w:val="000000"/>
          <w:sz w:val="20"/>
          <w:szCs w:val="20"/>
          <w:lang w:val="bg-BG" w:eastAsia="zh-CN"/>
        </w:rPr>
        <w:t>а</w:t>
      </w:r>
      <w:r w:rsidR="00A17FF3">
        <w:rPr>
          <w:rFonts w:ascii="Arial" w:eastAsia="Times New Roman" w:hAnsi="Arial" w:cs="Arial"/>
          <w:color w:val="000000"/>
          <w:sz w:val="20"/>
          <w:szCs w:val="20"/>
          <w:lang w:val="bg-BG" w:eastAsia="zh-CN"/>
        </w:rPr>
        <w:t xml:space="preserve">. </w:t>
      </w:r>
    </w:p>
    <w:p w14:paraId="545336E2" w14:textId="77777777" w:rsidR="002C5072" w:rsidRDefault="00A17FF3" w:rsidP="004F32D7">
      <w:pPr>
        <w:spacing w:after="0" w:line="240" w:lineRule="auto"/>
        <w:jc w:val="both"/>
        <w:rPr>
          <w:rFonts w:ascii="Arial" w:eastAsia="Times New Roman" w:hAnsi="Arial" w:cs="Arial"/>
          <w:color w:val="000000"/>
          <w:sz w:val="20"/>
          <w:szCs w:val="20"/>
          <w:lang w:val="bg-BG" w:eastAsia="zh-CN"/>
        </w:rPr>
      </w:pPr>
      <w:r>
        <w:rPr>
          <w:rFonts w:ascii="Arial" w:eastAsia="Times New Roman" w:hAnsi="Arial" w:cs="Arial"/>
          <w:color w:val="000000"/>
          <w:sz w:val="20"/>
          <w:szCs w:val="20"/>
          <w:lang w:val="bg-BG" w:eastAsia="zh-CN"/>
        </w:rPr>
        <w:t xml:space="preserve">С оглед ефекта </w:t>
      </w:r>
      <w:r w:rsidR="003A2823">
        <w:rPr>
          <w:rFonts w:ascii="Arial" w:eastAsia="Times New Roman" w:hAnsi="Arial" w:cs="Arial"/>
          <w:color w:val="000000"/>
          <w:sz w:val="20"/>
          <w:szCs w:val="20"/>
          <w:lang w:val="bg-BG" w:eastAsia="zh-CN"/>
        </w:rPr>
        <w:t>от</w:t>
      </w:r>
      <w:r>
        <w:rPr>
          <w:rFonts w:ascii="Arial" w:eastAsia="Times New Roman" w:hAnsi="Arial" w:cs="Arial"/>
          <w:color w:val="000000"/>
          <w:sz w:val="20"/>
          <w:szCs w:val="20"/>
          <w:lang w:val="bg-BG" w:eastAsia="zh-CN"/>
        </w:rPr>
        <w:t xml:space="preserve"> споменатите по-горе промени върху сектор</w:t>
      </w:r>
      <w:r w:rsidR="00430419">
        <w:rPr>
          <w:rFonts w:ascii="Arial" w:eastAsia="Times New Roman" w:hAnsi="Arial" w:cs="Arial"/>
          <w:color w:val="000000"/>
          <w:sz w:val="20"/>
          <w:szCs w:val="20"/>
          <w:lang w:val="bg-BG" w:eastAsia="zh-CN"/>
        </w:rPr>
        <w:t>а</w:t>
      </w:r>
      <w:r>
        <w:rPr>
          <w:rFonts w:ascii="Arial" w:eastAsia="Times New Roman" w:hAnsi="Arial" w:cs="Arial"/>
          <w:color w:val="000000"/>
          <w:sz w:val="20"/>
          <w:szCs w:val="20"/>
          <w:lang w:val="bg-BG" w:eastAsia="zh-CN"/>
        </w:rPr>
        <w:t xml:space="preserve">, както и бъдещите </w:t>
      </w:r>
      <w:r w:rsidR="003A2823">
        <w:rPr>
          <w:rFonts w:ascii="Arial" w:eastAsia="Times New Roman" w:hAnsi="Arial" w:cs="Arial"/>
          <w:color w:val="000000"/>
          <w:sz w:val="20"/>
          <w:szCs w:val="20"/>
          <w:lang w:val="bg-BG" w:eastAsia="zh-CN"/>
        </w:rPr>
        <w:t>пазарни условия</w:t>
      </w:r>
      <w:r w:rsidR="00EE3437">
        <w:rPr>
          <w:rFonts w:ascii="Arial" w:eastAsia="Times New Roman" w:hAnsi="Arial" w:cs="Arial"/>
          <w:color w:val="000000"/>
          <w:sz w:val="20"/>
          <w:szCs w:val="20"/>
          <w:lang w:val="bg-BG" w:eastAsia="zh-CN"/>
        </w:rPr>
        <w:t>,</w:t>
      </w:r>
      <w:r w:rsidR="008022DB">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 xml:space="preserve">е важно да се предвиди допълнителна гъвкавост, позволяваща прехвърлянето на средства между предвидените финансови продукти. </w:t>
      </w:r>
    </w:p>
    <w:p w14:paraId="176D5199" w14:textId="77777777" w:rsidR="005077B2" w:rsidRPr="00A17FF3" w:rsidRDefault="00A17FF3" w:rsidP="004F32D7">
      <w:pPr>
        <w:spacing w:after="0" w:line="240" w:lineRule="auto"/>
        <w:jc w:val="both"/>
        <w:rPr>
          <w:rFonts w:ascii="Arial" w:eastAsia="Times New Roman" w:hAnsi="Arial" w:cs="Arial"/>
          <w:color w:val="000000"/>
          <w:sz w:val="20"/>
          <w:szCs w:val="20"/>
          <w:lang w:val="bg-BG" w:eastAsia="zh-CN"/>
        </w:rPr>
      </w:pPr>
      <w:r>
        <w:rPr>
          <w:rFonts w:ascii="Arial" w:eastAsia="Times New Roman" w:hAnsi="Arial" w:cs="Arial"/>
          <w:color w:val="000000"/>
          <w:sz w:val="20"/>
          <w:szCs w:val="20"/>
          <w:lang w:val="bg-BG" w:eastAsia="zh-CN"/>
        </w:rPr>
        <w:t>УО може да преразгледа размера на предвидения ФИ по ПО 1,</w:t>
      </w:r>
      <w:r w:rsidR="00237081">
        <w:rPr>
          <w:rFonts w:ascii="Arial" w:eastAsia="Times New Roman" w:hAnsi="Arial" w:cs="Arial"/>
          <w:color w:val="000000"/>
          <w:sz w:val="20"/>
          <w:szCs w:val="20"/>
          <w:lang w:val="bg-BG" w:eastAsia="zh-CN"/>
        </w:rPr>
        <w:t xml:space="preserve"> както и параметрите на прилагане на ФИ</w:t>
      </w:r>
      <w:r>
        <w:rPr>
          <w:rFonts w:ascii="Arial" w:eastAsia="Times New Roman" w:hAnsi="Arial" w:cs="Arial"/>
          <w:color w:val="000000"/>
          <w:sz w:val="20"/>
          <w:szCs w:val="20"/>
          <w:lang w:val="bg-BG" w:eastAsia="zh-CN"/>
        </w:rPr>
        <w:t xml:space="preserve"> в зависимост от резултатите от РПИП</w:t>
      </w:r>
      <w:r w:rsidR="00237081">
        <w:rPr>
          <w:rFonts w:ascii="Arial" w:eastAsia="Times New Roman" w:hAnsi="Arial" w:cs="Arial"/>
          <w:color w:val="000000"/>
          <w:sz w:val="20"/>
          <w:szCs w:val="20"/>
          <w:lang w:val="bg-BG" w:eastAsia="zh-CN"/>
        </w:rPr>
        <w:t xml:space="preserve"> и в случай на преразглеждане на предварителната оценка на ФИ</w:t>
      </w:r>
      <w:r>
        <w:rPr>
          <w:rFonts w:ascii="Arial" w:eastAsia="Times New Roman" w:hAnsi="Arial" w:cs="Arial"/>
          <w:color w:val="000000"/>
          <w:sz w:val="20"/>
          <w:szCs w:val="20"/>
          <w:lang w:val="bg-BG" w:eastAsia="zh-CN"/>
        </w:rPr>
        <w:t xml:space="preserve">. </w:t>
      </w:r>
    </w:p>
    <w:p w14:paraId="57E017B9" w14:textId="77777777" w:rsidR="004F32D7" w:rsidRDefault="004F32D7" w:rsidP="00AE3CD5">
      <w:pPr>
        <w:tabs>
          <w:tab w:val="left" w:pos="1215"/>
        </w:tabs>
        <w:spacing w:after="120"/>
        <w:jc w:val="both"/>
        <w:rPr>
          <w:rFonts w:ascii="Arial" w:hAnsi="Arial" w:cs="Arial"/>
          <w:sz w:val="20"/>
          <w:szCs w:val="20"/>
          <w:lang w:val="bg-BG"/>
        </w:rPr>
      </w:pPr>
    </w:p>
    <w:p w14:paraId="4AFAF670" w14:textId="77777777" w:rsidR="003E253F" w:rsidRPr="00A17FF3" w:rsidRDefault="003E253F" w:rsidP="00AE3CD5">
      <w:pPr>
        <w:tabs>
          <w:tab w:val="left" w:pos="1215"/>
        </w:tabs>
        <w:spacing w:after="120"/>
        <w:jc w:val="both"/>
        <w:rPr>
          <w:rFonts w:ascii="Arial" w:hAnsi="Arial" w:cs="Arial"/>
          <w:sz w:val="20"/>
          <w:szCs w:val="20"/>
          <w:lang w:val="bg-BG"/>
        </w:rPr>
      </w:pPr>
    </w:p>
    <w:p w14:paraId="18CD058D" w14:textId="77777777" w:rsidR="004F32D7" w:rsidRPr="00053FD1" w:rsidRDefault="009D1995" w:rsidP="00475134">
      <w:pPr>
        <w:spacing w:after="120"/>
        <w:jc w:val="both"/>
        <w:rPr>
          <w:rFonts w:ascii="Arial" w:hAnsi="Arial" w:cs="Arial"/>
          <w:b/>
          <w:i/>
          <w:sz w:val="20"/>
          <w:szCs w:val="20"/>
          <w:lang w:val="bg-BG"/>
        </w:rPr>
      </w:pPr>
      <w:r w:rsidRPr="00053FD1">
        <w:rPr>
          <w:rFonts w:ascii="Arial" w:hAnsi="Arial" w:cs="Arial"/>
          <w:b/>
          <w:i/>
          <w:sz w:val="20"/>
          <w:szCs w:val="20"/>
          <w:lang w:val="bg-BG"/>
        </w:rPr>
        <w:t>Държавни помощи</w:t>
      </w:r>
    </w:p>
    <w:p w14:paraId="0C5AA40E" w14:textId="41882EF2" w:rsidR="006C6F18" w:rsidRPr="00C5540D" w:rsidRDefault="006C6F18" w:rsidP="008C4E41">
      <w:pPr>
        <w:jc w:val="both"/>
        <w:rPr>
          <w:rFonts w:ascii="Arial" w:hAnsi="Arial" w:cs="Arial"/>
          <w:sz w:val="20"/>
          <w:szCs w:val="20"/>
          <w:lang w:val="bg-BG"/>
        </w:rPr>
      </w:pPr>
      <w:r w:rsidRPr="00053FD1">
        <w:rPr>
          <w:rFonts w:ascii="Arial" w:hAnsi="Arial" w:cs="Arial"/>
          <w:sz w:val="20"/>
          <w:szCs w:val="20"/>
          <w:lang w:val="bg-BG"/>
        </w:rPr>
        <w:t xml:space="preserve">Правилата за държавни помощи следва да бъдат съблюдавани и при използването на финансови инструменти. В тази връзка, Европейската комисия е приела Работен документ SWD(2017) 156/2.5.2017 – </w:t>
      </w:r>
      <w:r w:rsidR="008C4E41" w:rsidRPr="00C5540D">
        <w:rPr>
          <w:rFonts w:ascii="Arial" w:hAnsi="Arial" w:cs="Arial"/>
          <w:sz w:val="20"/>
          <w:szCs w:val="20"/>
          <w:lang w:val="bg-BG"/>
        </w:rPr>
        <w:t>Насоки относно държавната помощ за финансовите инструменти по европейските структурни и инвестиционни фондове през програмния период 2014—2020 г.</w:t>
      </w:r>
      <w:r w:rsidR="009123D2" w:rsidRPr="00C5540D">
        <w:rPr>
          <w:rFonts w:ascii="Arial" w:hAnsi="Arial" w:cs="Arial"/>
          <w:sz w:val="20"/>
          <w:szCs w:val="20"/>
          <w:lang w:val="bg-BG"/>
        </w:rPr>
        <w:t>.</w:t>
      </w:r>
      <w:r w:rsidRPr="00C5540D">
        <w:rPr>
          <w:rStyle w:val="FootnoteReference"/>
          <w:rFonts w:ascii="Arial" w:hAnsi="Arial" w:cs="Arial"/>
          <w:sz w:val="20"/>
          <w:szCs w:val="20"/>
          <w:lang w:val="bg-BG"/>
        </w:rPr>
        <w:footnoteReference w:id="13"/>
      </w:r>
      <w:r w:rsidRPr="00C5540D">
        <w:rPr>
          <w:rFonts w:ascii="Arial" w:hAnsi="Arial" w:cs="Arial"/>
          <w:sz w:val="20"/>
          <w:szCs w:val="20"/>
          <w:lang w:val="bg-BG"/>
        </w:rPr>
        <w:t xml:space="preserve"> </w:t>
      </w:r>
      <w:r w:rsidR="002D36D8" w:rsidRPr="001A398A">
        <w:rPr>
          <w:rFonts w:ascii="Arial" w:hAnsi="Arial" w:cs="Arial"/>
          <w:sz w:val="20"/>
          <w:szCs w:val="20"/>
          <w:lang w:val="bg-BG"/>
        </w:rPr>
        <w:t>Условията за изключване на наличието на държавни помощи са уредени и</w:t>
      </w:r>
      <w:r w:rsidRPr="00C5540D">
        <w:rPr>
          <w:rFonts w:ascii="Arial" w:hAnsi="Arial" w:cs="Arial"/>
          <w:sz w:val="20"/>
          <w:szCs w:val="20"/>
          <w:lang w:val="bg-BG"/>
        </w:rPr>
        <w:t xml:space="preserve"> </w:t>
      </w:r>
      <w:r w:rsidR="00A91156" w:rsidRPr="001A398A">
        <w:rPr>
          <w:rFonts w:ascii="Arial" w:hAnsi="Arial" w:cs="Arial"/>
          <w:sz w:val="20"/>
          <w:szCs w:val="20"/>
          <w:lang w:val="bg-BG"/>
        </w:rPr>
        <w:t xml:space="preserve">в </w:t>
      </w:r>
      <w:r w:rsidR="002D36D8" w:rsidRPr="00C5540D">
        <w:rPr>
          <w:rFonts w:ascii="Arial" w:hAnsi="Arial" w:cs="Arial"/>
          <w:sz w:val="20"/>
          <w:szCs w:val="20"/>
          <w:lang w:val="bg-BG"/>
        </w:rPr>
        <w:t>Известието на Комисията относно понятието за държавна помощ, посочено в член 107, параграф 1 от Договора за функционирането на Европейския съюз</w:t>
      </w:r>
      <w:r w:rsidR="002D36D8" w:rsidRPr="001A398A" w:rsidDel="002D36D8">
        <w:rPr>
          <w:rFonts w:ascii="Arial" w:hAnsi="Arial" w:cs="Arial"/>
          <w:sz w:val="20"/>
          <w:szCs w:val="20"/>
          <w:lang w:val="bg-BG"/>
        </w:rPr>
        <w:t xml:space="preserve"> </w:t>
      </w:r>
      <w:r w:rsidRPr="00C5540D">
        <w:rPr>
          <w:rStyle w:val="FootnoteReference"/>
          <w:rFonts w:ascii="Arial" w:hAnsi="Arial" w:cs="Arial"/>
          <w:sz w:val="20"/>
          <w:szCs w:val="20"/>
          <w:lang w:val="bg-BG"/>
        </w:rPr>
        <w:footnoteReference w:id="14"/>
      </w:r>
      <w:r w:rsidRPr="00C5540D">
        <w:rPr>
          <w:rFonts w:ascii="Arial" w:hAnsi="Arial" w:cs="Arial"/>
          <w:sz w:val="20"/>
          <w:szCs w:val="20"/>
          <w:lang w:val="bg-BG"/>
        </w:rPr>
        <w:t xml:space="preserve"> </w:t>
      </w:r>
    </w:p>
    <w:p w14:paraId="0C54588C" w14:textId="753FB633" w:rsidR="00744C1C" w:rsidRPr="00C5540D" w:rsidRDefault="006C6F18" w:rsidP="008C4E41">
      <w:pPr>
        <w:jc w:val="both"/>
        <w:rPr>
          <w:rFonts w:ascii="Arial" w:hAnsi="Arial" w:cs="Arial"/>
          <w:sz w:val="20"/>
          <w:szCs w:val="20"/>
          <w:lang w:val="bg-BG"/>
        </w:rPr>
      </w:pPr>
      <w:r w:rsidRPr="00C5540D">
        <w:rPr>
          <w:rFonts w:ascii="Arial" w:hAnsi="Arial" w:cs="Arial"/>
          <w:sz w:val="20"/>
          <w:szCs w:val="20"/>
          <w:lang w:val="bg-BG"/>
        </w:rPr>
        <w:t xml:space="preserve">Съгласно </w:t>
      </w:r>
      <w:r w:rsidR="008C4E41" w:rsidRPr="00C5540D">
        <w:rPr>
          <w:rFonts w:ascii="Arial" w:hAnsi="Arial" w:cs="Arial"/>
          <w:sz w:val="20"/>
          <w:szCs w:val="20"/>
          <w:lang w:val="bg-BG"/>
        </w:rPr>
        <w:t>Насоките относно държавната помощ за финансовите инструменти по европейските структурни и инвестиционни фондове през програмния период 2014—2020 г.</w:t>
      </w:r>
      <w:r w:rsidR="00053FD1">
        <w:rPr>
          <w:rFonts w:ascii="Arial" w:hAnsi="Arial" w:cs="Arial"/>
          <w:sz w:val="20"/>
          <w:szCs w:val="20"/>
          <w:lang w:val="bg-BG"/>
        </w:rPr>
        <w:t>,</w:t>
      </w:r>
      <w:r w:rsidR="008C4E41" w:rsidRPr="001A398A" w:rsidDel="008C4E41">
        <w:rPr>
          <w:rFonts w:ascii="Arial" w:hAnsi="Arial" w:cs="Arial"/>
          <w:sz w:val="20"/>
          <w:szCs w:val="20"/>
          <w:lang w:val="bg-BG"/>
        </w:rPr>
        <w:t xml:space="preserve"> </w:t>
      </w:r>
      <w:r w:rsidRPr="00C5540D">
        <w:rPr>
          <w:rFonts w:ascii="Arial" w:hAnsi="Arial" w:cs="Arial"/>
          <w:sz w:val="20"/>
          <w:szCs w:val="20"/>
          <w:lang w:val="bg-BG"/>
        </w:rPr>
        <w:t>д</w:t>
      </w:r>
      <w:r w:rsidR="00D35E78" w:rsidRPr="00C5540D">
        <w:rPr>
          <w:rFonts w:ascii="Arial" w:hAnsi="Arial" w:cs="Arial"/>
          <w:sz w:val="20"/>
          <w:szCs w:val="20"/>
          <w:lang w:val="bg-BG"/>
        </w:rPr>
        <w:t xml:space="preserve">ържавните помощи трябва да се разгледат на </w:t>
      </w:r>
      <w:r w:rsidRPr="00C5540D">
        <w:rPr>
          <w:rFonts w:ascii="Arial" w:hAnsi="Arial" w:cs="Arial"/>
          <w:sz w:val="20"/>
          <w:szCs w:val="20"/>
          <w:lang w:val="bg-BG"/>
        </w:rPr>
        <w:t xml:space="preserve">всички възможни нива </w:t>
      </w:r>
      <w:r w:rsidR="00C30F0C" w:rsidRPr="00C5540D">
        <w:rPr>
          <w:rFonts w:ascii="Arial" w:hAnsi="Arial" w:cs="Arial"/>
          <w:sz w:val="20"/>
          <w:szCs w:val="20"/>
          <w:lang w:val="bg-BG"/>
        </w:rPr>
        <w:t>-</w:t>
      </w:r>
      <w:r w:rsidR="00744C1C" w:rsidRPr="00C5540D">
        <w:rPr>
          <w:rFonts w:ascii="Arial" w:hAnsi="Arial" w:cs="Arial"/>
          <w:sz w:val="20"/>
          <w:szCs w:val="20"/>
          <w:lang w:val="bg-BG"/>
        </w:rPr>
        <w:t xml:space="preserve"> </w:t>
      </w:r>
      <w:r w:rsidR="00D35E78" w:rsidRPr="00C5540D">
        <w:rPr>
          <w:rFonts w:ascii="Arial" w:hAnsi="Arial" w:cs="Arial"/>
          <w:sz w:val="20"/>
          <w:szCs w:val="20"/>
          <w:lang w:val="bg-BG"/>
        </w:rPr>
        <w:t>ФМФИБ</w:t>
      </w:r>
      <w:r w:rsidR="00744C1C" w:rsidRPr="00C5540D">
        <w:rPr>
          <w:rFonts w:ascii="Arial" w:hAnsi="Arial" w:cs="Arial"/>
          <w:sz w:val="20"/>
          <w:szCs w:val="20"/>
          <w:lang w:val="bg-BG"/>
        </w:rPr>
        <w:t xml:space="preserve">; </w:t>
      </w:r>
      <w:r w:rsidR="00D35E78" w:rsidRPr="00C5540D">
        <w:rPr>
          <w:rFonts w:ascii="Arial" w:hAnsi="Arial" w:cs="Arial"/>
          <w:sz w:val="20"/>
          <w:szCs w:val="20"/>
          <w:lang w:val="bg-BG"/>
        </w:rPr>
        <w:t>специална инвестиционна структура (</w:t>
      </w:r>
      <w:r w:rsidR="00744C1C" w:rsidRPr="00C5540D">
        <w:rPr>
          <w:rFonts w:ascii="Arial" w:hAnsi="Arial" w:cs="Arial"/>
          <w:sz w:val="20"/>
          <w:szCs w:val="20"/>
        </w:rPr>
        <w:t>DIV</w:t>
      </w:r>
      <w:r w:rsidR="00D35E78" w:rsidRPr="00C5540D">
        <w:rPr>
          <w:rFonts w:ascii="Arial" w:hAnsi="Arial" w:cs="Arial"/>
          <w:sz w:val="20"/>
          <w:szCs w:val="20"/>
          <w:lang w:val="bg-BG"/>
        </w:rPr>
        <w:t>)</w:t>
      </w:r>
      <w:r w:rsidR="002C6FE2" w:rsidRPr="00C5540D">
        <w:rPr>
          <w:rFonts w:ascii="Arial" w:hAnsi="Arial" w:cs="Arial"/>
          <w:sz w:val="20"/>
          <w:szCs w:val="20"/>
          <w:lang w:val="bg-BG"/>
        </w:rPr>
        <w:t>;</w:t>
      </w:r>
      <w:r w:rsidR="00B80E33">
        <w:rPr>
          <w:rFonts w:ascii="Arial" w:hAnsi="Arial" w:cs="Arial"/>
          <w:sz w:val="20"/>
          <w:szCs w:val="20"/>
          <w:lang w:val="bg-BG"/>
        </w:rPr>
        <w:t xml:space="preserve"> частни инвеститори,</w:t>
      </w:r>
      <w:r w:rsidR="002C6FE2" w:rsidRPr="00C5540D">
        <w:rPr>
          <w:rFonts w:ascii="Arial" w:hAnsi="Arial" w:cs="Arial"/>
          <w:sz w:val="20"/>
          <w:szCs w:val="20"/>
          <w:lang w:val="bg-BG"/>
        </w:rPr>
        <w:t xml:space="preserve"> </w:t>
      </w:r>
      <w:r w:rsidR="00D35E78" w:rsidRPr="00C5540D">
        <w:rPr>
          <w:rFonts w:ascii="Arial" w:hAnsi="Arial" w:cs="Arial"/>
          <w:sz w:val="20"/>
          <w:szCs w:val="20"/>
          <w:lang w:val="bg-BG"/>
        </w:rPr>
        <w:t>търговски банки и</w:t>
      </w:r>
      <w:r w:rsidR="00744C1C" w:rsidRPr="00C5540D">
        <w:rPr>
          <w:rFonts w:ascii="Arial" w:hAnsi="Arial" w:cs="Arial"/>
          <w:sz w:val="20"/>
          <w:szCs w:val="20"/>
          <w:lang w:val="bg-BG"/>
        </w:rPr>
        <w:t xml:space="preserve"> </w:t>
      </w:r>
      <w:r w:rsidR="00D35E78" w:rsidRPr="00C5540D">
        <w:rPr>
          <w:rFonts w:ascii="Arial" w:hAnsi="Arial" w:cs="Arial"/>
          <w:sz w:val="20"/>
          <w:szCs w:val="20"/>
          <w:lang w:val="bg-BG"/>
        </w:rPr>
        <w:t>крайни получатели</w:t>
      </w:r>
      <w:r w:rsidR="00744C1C" w:rsidRPr="00C5540D">
        <w:rPr>
          <w:rFonts w:ascii="Arial" w:hAnsi="Arial" w:cs="Arial"/>
          <w:sz w:val="20"/>
          <w:szCs w:val="20"/>
          <w:lang w:val="bg-BG"/>
        </w:rPr>
        <w:t>.</w:t>
      </w:r>
      <w:r w:rsidRPr="00C5540D">
        <w:rPr>
          <w:rFonts w:ascii="Arial" w:hAnsi="Arial" w:cs="Arial"/>
          <w:sz w:val="20"/>
          <w:szCs w:val="20"/>
          <w:lang w:val="bg-BG"/>
        </w:rPr>
        <w:t xml:space="preserve"> </w:t>
      </w:r>
    </w:p>
    <w:p w14:paraId="1AD5B3D3" w14:textId="2E5AA95B" w:rsidR="008D7C3C" w:rsidRPr="00C5540D" w:rsidRDefault="002F46B5" w:rsidP="008D7C3C">
      <w:pPr>
        <w:pStyle w:val="ListParagraph"/>
        <w:numPr>
          <w:ilvl w:val="0"/>
          <w:numId w:val="68"/>
        </w:numPr>
        <w:jc w:val="both"/>
        <w:rPr>
          <w:b/>
          <w:lang w:val="bg-BG"/>
        </w:rPr>
      </w:pPr>
      <w:r w:rsidRPr="00C5540D">
        <w:rPr>
          <w:rFonts w:ascii="Arial" w:hAnsi="Arial" w:cs="Arial"/>
          <w:b/>
          <w:sz w:val="20"/>
          <w:szCs w:val="20"/>
          <w:lang w:val="bg-BG"/>
        </w:rPr>
        <w:t>Ниво ФМФИБ</w:t>
      </w:r>
      <w:r w:rsidR="008D7C3C" w:rsidRPr="00C5540D">
        <w:rPr>
          <w:rFonts w:ascii="Arial" w:hAnsi="Arial" w:cs="Arial"/>
          <w:b/>
          <w:sz w:val="20"/>
          <w:szCs w:val="20"/>
          <w:lang w:val="bg-BG"/>
        </w:rPr>
        <w:t xml:space="preserve"> </w:t>
      </w:r>
    </w:p>
    <w:p w14:paraId="55BC2380" w14:textId="77777777" w:rsidR="00FE2453" w:rsidRDefault="00D00F68" w:rsidP="00FE2453">
      <w:pPr>
        <w:jc w:val="both"/>
        <w:rPr>
          <w:rFonts w:ascii="Arial" w:hAnsi="Arial" w:cs="Arial"/>
          <w:sz w:val="20"/>
          <w:szCs w:val="20"/>
          <w:lang w:val="bg-BG"/>
        </w:rPr>
      </w:pPr>
      <w:r w:rsidRPr="00C5540D">
        <w:rPr>
          <w:rFonts w:ascii="Arial" w:hAnsi="Arial" w:cs="Arial"/>
          <w:sz w:val="20"/>
          <w:szCs w:val="20"/>
          <w:lang w:val="bg-BG"/>
        </w:rPr>
        <w:t>ФМФИБ е създаден от Министерския съвет на Република България, в изпълнение на националната нормативна рамка (ЗУСЕ</w:t>
      </w:r>
      <w:r w:rsidR="00237081" w:rsidRPr="00C5540D">
        <w:rPr>
          <w:rFonts w:ascii="Arial" w:hAnsi="Arial" w:cs="Arial"/>
          <w:sz w:val="20"/>
          <w:szCs w:val="20"/>
          <w:lang w:val="bg-BG"/>
        </w:rPr>
        <w:t>С</w:t>
      </w:r>
      <w:r w:rsidRPr="00C5540D">
        <w:rPr>
          <w:rFonts w:ascii="Arial" w:hAnsi="Arial" w:cs="Arial"/>
          <w:sz w:val="20"/>
          <w:szCs w:val="20"/>
          <w:lang w:val="bg-BG"/>
        </w:rPr>
        <w:t>ИФ), за да опосредства достигането на средствата от ФИ по ОПОС</w:t>
      </w:r>
      <w:r w:rsidR="00EE3437" w:rsidRPr="00C5540D">
        <w:rPr>
          <w:rFonts w:ascii="Arial" w:hAnsi="Arial" w:cs="Arial"/>
          <w:sz w:val="20"/>
          <w:szCs w:val="20"/>
          <w:lang w:val="bg-BG"/>
        </w:rPr>
        <w:t xml:space="preserve"> 2014 – 2020 г.</w:t>
      </w:r>
      <w:r w:rsidRPr="00C5540D">
        <w:rPr>
          <w:rFonts w:ascii="Arial" w:hAnsi="Arial" w:cs="Arial"/>
          <w:sz w:val="20"/>
          <w:szCs w:val="20"/>
          <w:lang w:val="bg-BG"/>
        </w:rPr>
        <w:t xml:space="preserve"> до крайните получатели и следва да бъде разглеждан като организация, изпълняваща фонд на фондовете.</w:t>
      </w:r>
      <w:r w:rsidR="00F3114F" w:rsidRPr="00C5540D">
        <w:rPr>
          <w:rFonts w:ascii="Arial" w:hAnsi="Arial" w:cs="Arial"/>
          <w:sz w:val="20"/>
          <w:szCs w:val="20"/>
          <w:lang w:val="bg-BG"/>
        </w:rPr>
        <w:t xml:space="preserve"> </w:t>
      </w:r>
      <w:r w:rsidR="00613607" w:rsidRPr="00C5540D">
        <w:rPr>
          <w:rFonts w:ascii="Arial" w:hAnsi="Arial" w:cs="Arial"/>
          <w:sz w:val="20"/>
          <w:szCs w:val="20"/>
          <w:lang w:val="bg-BG"/>
        </w:rPr>
        <w:t xml:space="preserve">ФМФИБ ще прилага ФИ по </w:t>
      </w:r>
      <w:r w:rsidR="00BC7716" w:rsidRPr="00C5540D">
        <w:rPr>
          <w:rFonts w:ascii="Arial" w:hAnsi="Arial" w:cs="Arial"/>
          <w:sz w:val="20"/>
          <w:szCs w:val="20"/>
          <w:lang w:val="bg-BG"/>
        </w:rPr>
        <w:t xml:space="preserve">ПО 1 на </w:t>
      </w:r>
      <w:r w:rsidR="00613607" w:rsidRPr="00C5540D">
        <w:rPr>
          <w:rFonts w:ascii="Arial" w:hAnsi="Arial" w:cs="Arial"/>
          <w:sz w:val="20"/>
          <w:szCs w:val="20"/>
          <w:lang w:val="bg-BG"/>
        </w:rPr>
        <w:t>ОПОС</w:t>
      </w:r>
      <w:r w:rsidR="00EE3437" w:rsidRPr="00C5540D">
        <w:rPr>
          <w:rFonts w:ascii="Arial" w:hAnsi="Arial" w:cs="Arial"/>
          <w:sz w:val="20"/>
          <w:szCs w:val="20"/>
          <w:lang w:val="bg-BG"/>
        </w:rPr>
        <w:t xml:space="preserve"> 2014 – 2020 г.</w:t>
      </w:r>
      <w:r w:rsidR="00613607" w:rsidRPr="00C5540D">
        <w:rPr>
          <w:rFonts w:ascii="Arial" w:hAnsi="Arial" w:cs="Arial"/>
          <w:sz w:val="20"/>
          <w:szCs w:val="20"/>
          <w:lang w:val="bg-BG"/>
        </w:rPr>
        <w:t xml:space="preserve"> чрез специална инвестиционна структура (</w:t>
      </w:r>
      <w:r w:rsidR="00613607" w:rsidRPr="00C5540D">
        <w:rPr>
          <w:rFonts w:ascii="Arial" w:hAnsi="Arial" w:cs="Arial"/>
          <w:sz w:val="20"/>
          <w:szCs w:val="20"/>
        </w:rPr>
        <w:t>DIV</w:t>
      </w:r>
      <w:r w:rsidR="00613607" w:rsidRPr="00785B0F">
        <w:rPr>
          <w:rFonts w:ascii="Arial" w:hAnsi="Arial" w:cs="Arial"/>
          <w:sz w:val="20"/>
          <w:szCs w:val="20"/>
          <w:lang w:val="bg-BG"/>
        </w:rPr>
        <w:t>)</w:t>
      </w:r>
      <w:r w:rsidR="00173B34" w:rsidRPr="00C5540D">
        <w:rPr>
          <w:rFonts w:ascii="Arial" w:hAnsi="Arial" w:cs="Arial"/>
          <w:sz w:val="20"/>
          <w:szCs w:val="20"/>
          <w:lang w:val="bg-BG"/>
        </w:rPr>
        <w:t xml:space="preserve"> при вариант 1 и</w:t>
      </w:r>
      <w:r w:rsidR="00593CEF" w:rsidRPr="00C5540D">
        <w:rPr>
          <w:rFonts w:ascii="Arial" w:hAnsi="Arial" w:cs="Arial"/>
          <w:sz w:val="20"/>
          <w:szCs w:val="20"/>
          <w:lang w:val="bg-BG"/>
        </w:rPr>
        <w:t>ли</w:t>
      </w:r>
      <w:r w:rsidR="00173B34" w:rsidRPr="00C5540D">
        <w:rPr>
          <w:rFonts w:ascii="Arial" w:hAnsi="Arial" w:cs="Arial"/>
          <w:sz w:val="20"/>
          <w:szCs w:val="20"/>
          <w:lang w:val="bg-BG"/>
        </w:rPr>
        <w:t xml:space="preserve"> чрез пряко предоставяне на заеми и</w:t>
      </w:r>
      <w:r w:rsidR="00593CEF" w:rsidRPr="00C5540D">
        <w:rPr>
          <w:rFonts w:ascii="Arial" w:hAnsi="Arial" w:cs="Arial"/>
          <w:sz w:val="20"/>
          <w:szCs w:val="20"/>
          <w:lang w:val="bg-BG"/>
        </w:rPr>
        <w:t>/или</w:t>
      </w:r>
      <w:r w:rsidR="00173B34" w:rsidRPr="00C5540D">
        <w:rPr>
          <w:rFonts w:ascii="Arial" w:hAnsi="Arial" w:cs="Arial"/>
          <w:sz w:val="20"/>
          <w:szCs w:val="20"/>
          <w:lang w:val="bg-BG"/>
        </w:rPr>
        <w:t xml:space="preserve"> гаранции при вариант 2, но без да инвестира собствени средства</w:t>
      </w:r>
      <w:r w:rsidR="00613607" w:rsidRPr="00C5540D">
        <w:rPr>
          <w:rFonts w:ascii="Arial" w:hAnsi="Arial" w:cs="Arial"/>
          <w:sz w:val="20"/>
          <w:szCs w:val="20"/>
          <w:lang w:val="bg-BG"/>
        </w:rPr>
        <w:t xml:space="preserve">, което означава, че държавните помощи </w:t>
      </w:r>
      <w:r w:rsidR="00A63EAD" w:rsidRPr="00C5540D">
        <w:rPr>
          <w:rFonts w:ascii="Arial" w:hAnsi="Arial" w:cs="Arial"/>
          <w:sz w:val="20"/>
          <w:szCs w:val="20"/>
          <w:lang w:val="bg-BG"/>
        </w:rPr>
        <w:t xml:space="preserve">на </w:t>
      </w:r>
      <w:r w:rsidR="00CA3F23" w:rsidRPr="00C5540D">
        <w:rPr>
          <w:rFonts w:ascii="Arial" w:hAnsi="Arial" w:cs="Arial"/>
          <w:sz w:val="20"/>
          <w:szCs w:val="20"/>
          <w:lang w:val="bg-BG"/>
        </w:rPr>
        <w:t>ниво ФМФИБ</w:t>
      </w:r>
      <w:r w:rsidR="00A63EAD" w:rsidRPr="00C5540D">
        <w:rPr>
          <w:rFonts w:ascii="Arial" w:hAnsi="Arial" w:cs="Arial"/>
          <w:sz w:val="20"/>
          <w:szCs w:val="20"/>
          <w:lang w:val="bg-BG"/>
        </w:rPr>
        <w:t xml:space="preserve"> </w:t>
      </w:r>
      <w:r w:rsidR="00613607" w:rsidRPr="00C5540D">
        <w:rPr>
          <w:rFonts w:ascii="Arial" w:hAnsi="Arial" w:cs="Arial"/>
          <w:sz w:val="20"/>
          <w:szCs w:val="20"/>
          <w:lang w:val="bg-BG"/>
        </w:rPr>
        <w:t>следва да бъдат разгле</w:t>
      </w:r>
      <w:r w:rsidR="00A63EAD" w:rsidRPr="00C5540D">
        <w:rPr>
          <w:rFonts w:ascii="Arial" w:hAnsi="Arial" w:cs="Arial"/>
          <w:sz w:val="20"/>
          <w:szCs w:val="20"/>
          <w:lang w:val="bg-BG"/>
        </w:rPr>
        <w:t>ж</w:t>
      </w:r>
      <w:r w:rsidR="00613607" w:rsidRPr="00C5540D">
        <w:rPr>
          <w:rFonts w:ascii="Arial" w:hAnsi="Arial" w:cs="Arial"/>
          <w:sz w:val="20"/>
          <w:szCs w:val="20"/>
          <w:lang w:val="bg-BG"/>
        </w:rPr>
        <w:t xml:space="preserve">дани в контекста на </w:t>
      </w:r>
      <w:r w:rsidR="00CA3F23" w:rsidRPr="00C5540D">
        <w:rPr>
          <w:rFonts w:ascii="Arial" w:hAnsi="Arial" w:cs="Arial"/>
          <w:sz w:val="20"/>
          <w:szCs w:val="20"/>
          <w:lang w:val="bg-BG"/>
        </w:rPr>
        <w:t>възнаграждението</w:t>
      </w:r>
      <w:r w:rsidR="001731F4" w:rsidRPr="00C5540D">
        <w:rPr>
          <w:rFonts w:ascii="Arial" w:hAnsi="Arial" w:cs="Arial"/>
          <w:sz w:val="20"/>
          <w:szCs w:val="20"/>
          <w:lang w:val="bg-BG"/>
        </w:rPr>
        <w:t xml:space="preserve"> за управление</w:t>
      </w:r>
      <w:r w:rsidR="00A63EAD" w:rsidRPr="00C5540D">
        <w:rPr>
          <w:rFonts w:ascii="Arial" w:hAnsi="Arial" w:cs="Arial"/>
          <w:sz w:val="20"/>
          <w:szCs w:val="20"/>
          <w:lang w:val="bg-BG"/>
        </w:rPr>
        <w:t>, ко</w:t>
      </w:r>
      <w:r w:rsidR="001731F4" w:rsidRPr="00C5540D">
        <w:rPr>
          <w:rFonts w:ascii="Arial" w:hAnsi="Arial" w:cs="Arial"/>
          <w:sz w:val="20"/>
          <w:szCs w:val="20"/>
          <w:lang w:val="bg-BG"/>
        </w:rPr>
        <w:t>е</w:t>
      </w:r>
      <w:r w:rsidR="00A63EAD" w:rsidRPr="00C5540D">
        <w:rPr>
          <w:rFonts w:ascii="Arial" w:hAnsi="Arial" w:cs="Arial"/>
          <w:sz w:val="20"/>
          <w:szCs w:val="20"/>
          <w:lang w:val="bg-BG"/>
        </w:rPr>
        <w:t>то ще бъд</w:t>
      </w:r>
      <w:r w:rsidR="001731F4" w:rsidRPr="00C5540D">
        <w:rPr>
          <w:rFonts w:ascii="Arial" w:hAnsi="Arial" w:cs="Arial"/>
          <w:sz w:val="20"/>
          <w:szCs w:val="20"/>
          <w:lang w:val="bg-BG"/>
        </w:rPr>
        <w:t>е</w:t>
      </w:r>
      <w:r w:rsidR="00A63EAD" w:rsidRPr="00C5540D">
        <w:rPr>
          <w:rFonts w:ascii="Arial" w:hAnsi="Arial" w:cs="Arial"/>
          <w:sz w:val="20"/>
          <w:szCs w:val="20"/>
          <w:lang w:val="bg-BG"/>
        </w:rPr>
        <w:t xml:space="preserve"> изплатен</w:t>
      </w:r>
      <w:r w:rsidR="001731F4" w:rsidRPr="00C5540D">
        <w:rPr>
          <w:rFonts w:ascii="Arial" w:hAnsi="Arial" w:cs="Arial"/>
          <w:sz w:val="20"/>
          <w:szCs w:val="20"/>
          <w:lang w:val="bg-BG"/>
        </w:rPr>
        <w:t>о</w:t>
      </w:r>
      <w:r w:rsidR="00A63EAD" w:rsidRPr="00C5540D">
        <w:rPr>
          <w:rFonts w:ascii="Arial" w:hAnsi="Arial" w:cs="Arial"/>
          <w:sz w:val="20"/>
          <w:szCs w:val="20"/>
          <w:lang w:val="bg-BG"/>
        </w:rPr>
        <w:t xml:space="preserve"> на ФМФИБ.</w:t>
      </w:r>
      <w:r w:rsidR="00FE2453" w:rsidRPr="00FE2453">
        <w:rPr>
          <w:rFonts w:ascii="Arial" w:hAnsi="Arial" w:cs="Arial"/>
          <w:sz w:val="20"/>
          <w:szCs w:val="20"/>
          <w:lang w:val="bg-BG"/>
        </w:rPr>
        <w:t xml:space="preserve"> </w:t>
      </w:r>
    </w:p>
    <w:p w14:paraId="2D852354" w14:textId="1984B074" w:rsidR="00564811" w:rsidRPr="005E6C24" w:rsidRDefault="009B6A44" w:rsidP="00D15EE5">
      <w:pPr>
        <w:jc w:val="both"/>
        <w:rPr>
          <w:rFonts w:ascii="Arial" w:hAnsi="Arial" w:cs="Arial"/>
          <w:sz w:val="20"/>
          <w:szCs w:val="20"/>
          <w:lang w:val="bg-BG"/>
        </w:rPr>
      </w:pPr>
      <w:r w:rsidRPr="001A398A">
        <w:rPr>
          <w:rFonts w:ascii="Arial" w:hAnsi="Arial" w:cs="Arial"/>
          <w:sz w:val="20"/>
          <w:szCs w:val="20"/>
          <w:lang w:val="bg-BG"/>
        </w:rPr>
        <w:t xml:space="preserve">Съгласно т. 3.3. от </w:t>
      </w:r>
      <w:r w:rsidRPr="00C5540D">
        <w:rPr>
          <w:rFonts w:ascii="Arial" w:hAnsi="Arial" w:cs="Arial"/>
          <w:sz w:val="20"/>
          <w:szCs w:val="20"/>
          <w:lang w:val="bg-BG"/>
        </w:rPr>
        <w:t>Насоките относно държавната помощ за финансовите инструменти по европейските структурни и инвестиционни фондове през програмния период 2014—2020 г.</w:t>
      </w:r>
      <w:r w:rsidRPr="001A398A">
        <w:rPr>
          <w:rFonts w:ascii="Arial" w:hAnsi="Arial" w:cs="Arial"/>
          <w:sz w:val="20"/>
          <w:szCs w:val="20"/>
          <w:lang w:val="bg-BG"/>
        </w:rPr>
        <w:t>, не е  налице държавна помощ на това ниво, когато възнаграждението за органи</w:t>
      </w:r>
      <w:r w:rsidR="00494E30" w:rsidRPr="001A398A">
        <w:rPr>
          <w:rFonts w:ascii="Arial" w:hAnsi="Arial" w:cs="Arial"/>
          <w:sz w:val="20"/>
          <w:szCs w:val="20"/>
          <w:lang w:val="bg-BG"/>
        </w:rPr>
        <w:t>зациите</w:t>
      </w:r>
      <w:r w:rsidRPr="001A398A">
        <w:rPr>
          <w:rFonts w:ascii="Arial" w:hAnsi="Arial" w:cs="Arial"/>
          <w:sz w:val="20"/>
          <w:szCs w:val="20"/>
          <w:lang w:val="bg-BG"/>
        </w:rPr>
        <w:t xml:space="preserve">, </w:t>
      </w:r>
      <w:r w:rsidR="00494E30" w:rsidRPr="001A398A">
        <w:rPr>
          <w:rFonts w:ascii="Arial" w:hAnsi="Arial" w:cs="Arial"/>
          <w:sz w:val="20"/>
          <w:szCs w:val="20"/>
          <w:lang w:val="bg-BG"/>
        </w:rPr>
        <w:t>изпълняващи</w:t>
      </w:r>
      <w:r w:rsidRPr="001A398A">
        <w:rPr>
          <w:rFonts w:ascii="Arial" w:hAnsi="Arial" w:cs="Arial"/>
          <w:sz w:val="20"/>
          <w:szCs w:val="20"/>
          <w:lang w:val="bg-BG"/>
        </w:rPr>
        <w:t xml:space="preserve"> финансови инструменти/управителите на фондове, е в съответствие с пазарните цени</w:t>
      </w:r>
      <w:r w:rsidRPr="00785B0F">
        <w:rPr>
          <w:rFonts w:ascii="Arial" w:hAnsi="Arial" w:cs="Arial"/>
          <w:sz w:val="20"/>
          <w:szCs w:val="20"/>
          <w:lang w:val="bg-BG"/>
        </w:rPr>
        <w:t>.</w:t>
      </w:r>
      <w:r w:rsidR="00494E30" w:rsidRPr="00785B0F">
        <w:rPr>
          <w:rFonts w:ascii="Arial" w:hAnsi="Arial" w:cs="Arial"/>
          <w:sz w:val="20"/>
          <w:szCs w:val="20"/>
          <w:lang w:val="bg-BG"/>
        </w:rPr>
        <w:t xml:space="preserve"> </w:t>
      </w:r>
    </w:p>
    <w:p w14:paraId="2CF30A4B" w14:textId="77777777" w:rsidR="00BA1C9F" w:rsidRPr="00785B0F" w:rsidRDefault="00BA1C9F" w:rsidP="00D15EE5">
      <w:pPr>
        <w:jc w:val="both"/>
        <w:rPr>
          <w:rFonts w:ascii="Arial" w:hAnsi="Arial" w:cs="Arial"/>
          <w:sz w:val="20"/>
          <w:szCs w:val="20"/>
          <w:lang w:val="bg-BG"/>
        </w:rPr>
      </w:pPr>
    </w:p>
    <w:p w14:paraId="33D0F29F" w14:textId="77777777" w:rsidR="00744C1C" w:rsidRPr="001A398A" w:rsidRDefault="00CA3F23" w:rsidP="001A398A">
      <w:pPr>
        <w:pStyle w:val="ListParagraph"/>
        <w:numPr>
          <w:ilvl w:val="0"/>
          <w:numId w:val="68"/>
        </w:numPr>
        <w:jc w:val="both"/>
        <w:rPr>
          <w:rFonts w:ascii="Arial" w:hAnsi="Arial" w:cs="Arial"/>
          <w:b/>
          <w:sz w:val="20"/>
          <w:szCs w:val="20"/>
          <w:lang w:val="bg-BG"/>
        </w:rPr>
      </w:pPr>
      <w:r w:rsidRPr="001A398A">
        <w:rPr>
          <w:rFonts w:ascii="Arial" w:hAnsi="Arial" w:cs="Arial"/>
          <w:b/>
          <w:sz w:val="20"/>
          <w:szCs w:val="20"/>
          <w:lang w:val="bg-BG"/>
        </w:rPr>
        <w:t>Ниво</w:t>
      </w:r>
      <w:r w:rsidRPr="00C5540D">
        <w:rPr>
          <w:b/>
          <w:lang w:val="bg-BG"/>
        </w:rPr>
        <w:t xml:space="preserve">: </w:t>
      </w:r>
      <w:r w:rsidRPr="001A398A">
        <w:rPr>
          <w:rFonts w:ascii="Arial" w:hAnsi="Arial" w:cs="Arial"/>
          <w:b/>
          <w:sz w:val="20"/>
          <w:szCs w:val="20"/>
          <w:lang w:val="bg-BG"/>
        </w:rPr>
        <w:t>специална инвестиционна структура (DIV)</w:t>
      </w:r>
    </w:p>
    <w:p w14:paraId="71F8841E" w14:textId="77777777" w:rsidR="00151B00" w:rsidRPr="00C5540D" w:rsidRDefault="00151B00" w:rsidP="00744C1C">
      <w:pPr>
        <w:jc w:val="both"/>
        <w:rPr>
          <w:rFonts w:ascii="Arial" w:hAnsi="Arial" w:cs="Arial"/>
          <w:sz w:val="20"/>
          <w:szCs w:val="20"/>
          <w:lang w:val="bg-BG"/>
        </w:rPr>
      </w:pPr>
      <w:r w:rsidRPr="00C5540D">
        <w:rPr>
          <w:rFonts w:ascii="Arial" w:hAnsi="Arial" w:cs="Arial"/>
          <w:sz w:val="20"/>
          <w:szCs w:val="20"/>
          <w:lang w:val="bg-BG"/>
        </w:rPr>
        <w:t>Приложимостта на правилата за държавни помощи на това ниво е поставена в зависимост от различните варианти за структуриране на финансовите инструменти</w:t>
      </w:r>
      <w:r w:rsidR="009123D2" w:rsidRPr="00C5540D">
        <w:rPr>
          <w:rFonts w:ascii="Arial" w:hAnsi="Arial" w:cs="Arial"/>
          <w:sz w:val="20"/>
          <w:szCs w:val="20"/>
          <w:lang w:val="bg-BG"/>
        </w:rPr>
        <w:t xml:space="preserve">. </w:t>
      </w:r>
      <w:r w:rsidRPr="00C5540D">
        <w:rPr>
          <w:rFonts w:ascii="Arial" w:hAnsi="Arial" w:cs="Arial"/>
          <w:sz w:val="20"/>
          <w:szCs w:val="20"/>
          <w:lang w:val="bg-BG"/>
        </w:rPr>
        <w:t xml:space="preserve"> </w:t>
      </w:r>
    </w:p>
    <w:p w14:paraId="65F1623D" w14:textId="0CA6B75F" w:rsidR="009123D2" w:rsidRPr="001A398A" w:rsidRDefault="009123D2" w:rsidP="006832A6">
      <w:pPr>
        <w:spacing w:line="240" w:lineRule="auto"/>
        <w:jc w:val="both"/>
        <w:rPr>
          <w:rFonts w:ascii="Arial" w:hAnsi="Arial" w:cs="Arial"/>
          <w:sz w:val="20"/>
          <w:szCs w:val="20"/>
          <w:lang w:val="bg-BG"/>
        </w:rPr>
      </w:pPr>
      <w:r w:rsidRPr="00C5540D">
        <w:rPr>
          <w:rFonts w:ascii="Arial" w:hAnsi="Arial" w:cs="Arial"/>
          <w:sz w:val="20"/>
          <w:szCs w:val="20"/>
          <w:lang w:val="bg-BG"/>
        </w:rPr>
        <w:t xml:space="preserve">В съответствие с предвиденото в </w:t>
      </w:r>
      <w:r w:rsidR="006832A6" w:rsidRPr="00C5540D">
        <w:rPr>
          <w:rFonts w:ascii="Arial" w:hAnsi="Arial" w:cs="Arial"/>
          <w:sz w:val="20"/>
          <w:szCs w:val="20"/>
          <w:lang w:val="bg-BG"/>
        </w:rPr>
        <w:t>Насоки</w:t>
      </w:r>
      <w:r w:rsidR="00EF1271" w:rsidRPr="00C5540D">
        <w:rPr>
          <w:rFonts w:ascii="Arial" w:hAnsi="Arial" w:cs="Arial"/>
          <w:sz w:val="20"/>
          <w:szCs w:val="20"/>
          <w:lang w:val="bg-BG"/>
        </w:rPr>
        <w:t>те</w:t>
      </w:r>
      <w:r w:rsidR="006832A6" w:rsidRPr="00C5540D">
        <w:rPr>
          <w:rFonts w:ascii="Arial" w:hAnsi="Arial" w:cs="Arial"/>
          <w:sz w:val="20"/>
          <w:szCs w:val="20"/>
          <w:lang w:val="bg-BG"/>
        </w:rPr>
        <w:t xml:space="preserve"> относно държавната помощ за финансовите инструменти по европейските структурни и инвестиционни фондове през програмния период 2014—2020 г.</w:t>
      </w:r>
      <w:r w:rsidRPr="00C5540D">
        <w:rPr>
          <w:rFonts w:ascii="Arial" w:hAnsi="Arial" w:cs="Arial"/>
          <w:sz w:val="20"/>
          <w:szCs w:val="20"/>
          <w:lang w:val="bg-BG"/>
        </w:rPr>
        <w:t>, Фонд мениджърът на специалната инвестиционна структура (</w:t>
      </w:r>
      <w:r w:rsidRPr="00C5540D">
        <w:rPr>
          <w:rFonts w:ascii="Arial" w:hAnsi="Arial" w:cs="Arial"/>
          <w:sz w:val="20"/>
          <w:szCs w:val="20"/>
        </w:rPr>
        <w:t>DIV</w:t>
      </w:r>
      <w:r w:rsidRPr="00C5540D">
        <w:rPr>
          <w:rFonts w:ascii="Arial" w:hAnsi="Arial" w:cs="Arial"/>
          <w:sz w:val="20"/>
          <w:szCs w:val="20"/>
          <w:lang w:val="bg-BG"/>
        </w:rPr>
        <w:t xml:space="preserve">) може да се яви получател на държавна помощ, при условие че възнаграждението, което й се изплаща, надвишава пазарните нива. Приема се, че когато тази структура е определена чрез прилагането на открита, прозрачна, безусловна и недискриминационна процедура по смисъла на </w:t>
      </w:r>
      <w:r w:rsidR="00EF1271" w:rsidRPr="00C5540D">
        <w:rPr>
          <w:rFonts w:ascii="Arial" w:hAnsi="Arial" w:cs="Arial"/>
          <w:sz w:val="20"/>
          <w:szCs w:val="20"/>
          <w:lang w:val="bg-BG"/>
        </w:rPr>
        <w:t>Известието на Комисията относно понятието за държавна помощ</w:t>
      </w:r>
      <w:r w:rsidRPr="00C5540D">
        <w:rPr>
          <w:rFonts w:ascii="Arial" w:hAnsi="Arial" w:cs="Arial"/>
          <w:sz w:val="20"/>
          <w:szCs w:val="20"/>
          <w:lang w:val="bg-BG"/>
        </w:rPr>
        <w:t>, пазарните нива са спазени и изплащането на средства на това ниво ще бъде в съответствие с</w:t>
      </w:r>
      <w:r w:rsidR="00C30F0C" w:rsidRPr="00C5540D">
        <w:rPr>
          <w:rFonts w:ascii="Arial" w:hAnsi="Arial" w:cs="Arial"/>
          <w:sz w:val="20"/>
          <w:szCs w:val="20"/>
          <w:lang w:val="bg-BG"/>
        </w:rPr>
        <w:t>ъс</w:t>
      </w:r>
      <w:r w:rsidRPr="00C5540D">
        <w:rPr>
          <w:rFonts w:ascii="Arial" w:hAnsi="Arial" w:cs="Arial"/>
          <w:sz w:val="20"/>
          <w:szCs w:val="20"/>
          <w:lang w:val="bg-BG"/>
        </w:rPr>
        <w:t xml:space="preserve"> законодателство</w:t>
      </w:r>
      <w:r w:rsidR="00C30F0C" w:rsidRPr="00C5540D">
        <w:rPr>
          <w:rFonts w:ascii="Arial" w:hAnsi="Arial" w:cs="Arial"/>
          <w:sz w:val="20"/>
          <w:szCs w:val="20"/>
          <w:lang w:val="bg-BG"/>
        </w:rPr>
        <w:t>то</w:t>
      </w:r>
      <w:r w:rsidRPr="00C5540D">
        <w:rPr>
          <w:rFonts w:ascii="Arial" w:hAnsi="Arial" w:cs="Arial"/>
          <w:sz w:val="20"/>
          <w:szCs w:val="20"/>
          <w:lang w:val="bg-BG"/>
        </w:rPr>
        <w:t xml:space="preserve"> за държавни помощи. </w:t>
      </w:r>
    </w:p>
    <w:p w14:paraId="18EACCA2" w14:textId="11FA9076" w:rsidR="009123D2" w:rsidRPr="00C5540D" w:rsidRDefault="009123D2" w:rsidP="009123D2">
      <w:pPr>
        <w:spacing w:line="240" w:lineRule="auto"/>
        <w:jc w:val="both"/>
        <w:rPr>
          <w:rFonts w:ascii="Arial" w:hAnsi="Arial" w:cs="Arial"/>
          <w:sz w:val="20"/>
          <w:szCs w:val="20"/>
          <w:lang w:val="bg-BG"/>
        </w:rPr>
      </w:pPr>
      <w:r w:rsidRPr="00C5540D">
        <w:rPr>
          <w:rFonts w:ascii="Arial" w:hAnsi="Arial" w:cs="Arial"/>
          <w:sz w:val="20"/>
          <w:szCs w:val="20"/>
          <w:lang w:val="bg-BG"/>
        </w:rPr>
        <w:t>Друга възможност е у</w:t>
      </w:r>
      <w:r w:rsidR="005F01F6" w:rsidRPr="00C5540D">
        <w:rPr>
          <w:rFonts w:ascii="Arial" w:hAnsi="Arial" w:cs="Arial"/>
          <w:sz w:val="20"/>
          <w:szCs w:val="20"/>
          <w:lang w:val="bg-BG"/>
        </w:rPr>
        <w:t>правлението на специалната инвестиционна структура (</w:t>
      </w:r>
      <w:r w:rsidR="005F01F6" w:rsidRPr="00C5540D">
        <w:rPr>
          <w:rFonts w:ascii="Arial" w:hAnsi="Arial" w:cs="Arial"/>
          <w:sz w:val="20"/>
          <w:szCs w:val="20"/>
        </w:rPr>
        <w:t>DIV</w:t>
      </w:r>
      <w:r w:rsidR="005F01F6" w:rsidRPr="00C5540D">
        <w:rPr>
          <w:rFonts w:ascii="Arial" w:hAnsi="Arial" w:cs="Arial"/>
          <w:sz w:val="20"/>
          <w:szCs w:val="20"/>
          <w:lang w:val="bg-BG"/>
        </w:rPr>
        <w:t xml:space="preserve">) да бъде поверено на МФИ. В този случай </w:t>
      </w:r>
      <w:r w:rsidRPr="00C5540D">
        <w:rPr>
          <w:rFonts w:ascii="Arial" w:hAnsi="Arial" w:cs="Arial"/>
          <w:sz w:val="20"/>
          <w:szCs w:val="20"/>
          <w:lang w:val="bg-BG"/>
        </w:rPr>
        <w:t xml:space="preserve">приложимостта на правилата за държавни помощи на ниво </w:t>
      </w:r>
      <w:r w:rsidRPr="00C5540D">
        <w:rPr>
          <w:rFonts w:ascii="Arial" w:hAnsi="Arial" w:cs="Arial"/>
          <w:sz w:val="20"/>
          <w:szCs w:val="20"/>
        </w:rPr>
        <w:t>DIV</w:t>
      </w:r>
      <w:r w:rsidRPr="00C5540D">
        <w:rPr>
          <w:rFonts w:ascii="Arial" w:hAnsi="Arial" w:cs="Arial"/>
          <w:sz w:val="20"/>
          <w:szCs w:val="20"/>
          <w:lang w:val="bg-BG"/>
        </w:rPr>
        <w:t xml:space="preserve"> </w:t>
      </w:r>
      <w:r w:rsidR="00D8071D" w:rsidRPr="00C5540D">
        <w:rPr>
          <w:rFonts w:ascii="Arial" w:hAnsi="Arial" w:cs="Arial"/>
          <w:sz w:val="20"/>
          <w:szCs w:val="20"/>
          <w:lang w:val="bg-BG"/>
        </w:rPr>
        <w:t xml:space="preserve">ще е в зависимост от конкретните условия, при които се възлага управлението. </w:t>
      </w:r>
      <w:r w:rsidRPr="00C5540D">
        <w:rPr>
          <w:rFonts w:ascii="Arial" w:hAnsi="Arial" w:cs="Arial"/>
          <w:sz w:val="20"/>
          <w:szCs w:val="20"/>
          <w:lang w:val="bg-BG"/>
        </w:rPr>
        <w:t xml:space="preserve"> </w:t>
      </w:r>
    </w:p>
    <w:p w14:paraId="2C0450A6" w14:textId="77777777" w:rsidR="00744C1C" w:rsidRPr="00C5540D" w:rsidRDefault="00E4696D" w:rsidP="00744C1C">
      <w:pPr>
        <w:pStyle w:val="ListParagraph"/>
        <w:numPr>
          <w:ilvl w:val="0"/>
          <w:numId w:val="68"/>
        </w:numPr>
        <w:jc w:val="both"/>
        <w:rPr>
          <w:rFonts w:ascii="Arial" w:hAnsi="Arial" w:cs="Arial"/>
          <w:b/>
          <w:sz w:val="20"/>
          <w:szCs w:val="20"/>
          <w:lang w:val="bg-BG"/>
        </w:rPr>
      </w:pPr>
      <w:r w:rsidRPr="00C5540D">
        <w:rPr>
          <w:rFonts w:ascii="Arial" w:hAnsi="Arial" w:cs="Arial"/>
          <w:b/>
          <w:sz w:val="20"/>
          <w:szCs w:val="20"/>
          <w:lang w:val="bg-BG"/>
        </w:rPr>
        <w:lastRenderedPageBreak/>
        <w:t>Ниво:</w:t>
      </w:r>
      <w:r w:rsidR="00EB2BDC" w:rsidRPr="00C5540D">
        <w:rPr>
          <w:rFonts w:ascii="Arial" w:hAnsi="Arial" w:cs="Arial"/>
          <w:b/>
          <w:sz w:val="20"/>
          <w:szCs w:val="20"/>
          <w:lang w:val="bg-BG"/>
        </w:rPr>
        <w:t xml:space="preserve"> </w:t>
      </w:r>
      <w:r w:rsidRPr="00C5540D">
        <w:rPr>
          <w:rFonts w:ascii="Arial" w:hAnsi="Arial" w:cs="Arial"/>
          <w:b/>
          <w:sz w:val="20"/>
          <w:szCs w:val="20"/>
          <w:lang w:val="bg-BG"/>
        </w:rPr>
        <w:t>търговски банки</w:t>
      </w:r>
      <w:r w:rsidR="00EB2BDC" w:rsidRPr="00C5540D">
        <w:rPr>
          <w:rFonts w:ascii="Arial" w:hAnsi="Arial" w:cs="Arial"/>
          <w:b/>
          <w:sz w:val="20"/>
          <w:szCs w:val="20"/>
          <w:lang w:val="bg-BG"/>
        </w:rPr>
        <w:t>, отпускащи заеми, въз основа на гаранция</w:t>
      </w:r>
    </w:p>
    <w:p w14:paraId="3C96C041" w14:textId="14761FF3" w:rsidR="00744765" w:rsidRPr="00C5540D" w:rsidRDefault="00C30F0C" w:rsidP="00744C1C">
      <w:pPr>
        <w:jc w:val="both"/>
        <w:rPr>
          <w:rFonts w:ascii="Arial" w:hAnsi="Arial" w:cs="Arial"/>
          <w:sz w:val="20"/>
          <w:szCs w:val="20"/>
          <w:lang w:val="bg-BG"/>
        </w:rPr>
      </w:pPr>
      <w:r w:rsidRPr="00C5540D">
        <w:rPr>
          <w:rFonts w:ascii="Arial" w:hAnsi="Arial" w:cs="Arial"/>
          <w:sz w:val="20"/>
          <w:szCs w:val="20"/>
          <w:lang w:val="bg-BG"/>
        </w:rPr>
        <w:t xml:space="preserve">В съответствие с предвиденото в </w:t>
      </w:r>
      <w:r w:rsidR="00EF1271" w:rsidRPr="00C5540D">
        <w:rPr>
          <w:rFonts w:ascii="Arial" w:hAnsi="Arial" w:cs="Arial"/>
          <w:sz w:val="20"/>
          <w:szCs w:val="20"/>
          <w:lang w:val="bg-BG"/>
        </w:rPr>
        <w:t>Насоките относно държавната помощ за финансовите инструменти по европейските структурни и инвестиционни фондове през програмния период 2014—2020 г.</w:t>
      </w:r>
      <w:r w:rsidRPr="00C5540D">
        <w:rPr>
          <w:rFonts w:ascii="Arial" w:hAnsi="Arial" w:cs="Arial"/>
          <w:sz w:val="20"/>
          <w:szCs w:val="20"/>
          <w:lang w:val="bg-BG"/>
        </w:rPr>
        <w:t>, с</w:t>
      </w:r>
      <w:r w:rsidR="00744765" w:rsidRPr="00C5540D">
        <w:rPr>
          <w:rFonts w:ascii="Arial" w:hAnsi="Arial" w:cs="Arial"/>
          <w:sz w:val="20"/>
          <w:szCs w:val="20"/>
          <w:lang w:val="bg-BG"/>
        </w:rPr>
        <w:t xml:space="preserve"> цел </w:t>
      </w:r>
      <w:r w:rsidR="004D1CB7" w:rsidRPr="00C5540D">
        <w:rPr>
          <w:rFonts w:ascii="Arial" w:hAnsi="Arial" w:cs="Arial"/>
          <w:sz w:val="20"/>
          <w:szCs w:val="20"/>
          <w:lang w:val="bg-BG"/>
        </w:rPr>
        <w:t xml:space="preserve">постигане на </w:t>
      </w:r>
      <w:r w:rsidR="00744765" w:rsidRPr="00C5540D">
        <w:rPr>
          <w:rFonts w:ascii="Arial" w:hAnsi="Arial" w:cs="Arial"/>
          <w:sz w:val="20"/>
          <w:szCs w:val="20"/>
          <w:lang w:val="bg-BG"/>
        </w:rPr>
        <w:t>съответствие с приложимото законодателство за държавни помощи на ниво търговски банки (</w:t>
      </w:r>
      <w:r w:rsidR="00575224" w:rsidRPr="00C5540D">
        <w:rPr>
          <w:rFonts w:ascii="Arial" w:hAnsi="Arial" w:cs="Arial"/>
          <w:sz w:val="20"/>
          <w:szCs w:val="20"/>
          <w:lang w:val="bg-BG"/>
        </w:rPr>
        <w:t>по отношение</w:t>
      </w:r>
      <w:r w:rsidR="00744765" w:rsidRPr="00C5540D">
        <w:rPr>
          <w:rFonts w:ascii="Arial" w:hAnsi="Arial" w:cs="Arial"/>
          <w:sz w:val="20"/>
          <w:szCs w:val="20"/>
          <w:lang w:val="bg-BG"/>
        </w:rPr>
        <w:t xml:space="preserve"> гаранциите)</w:t>
      </w:r>
      <w:r w:rsidR="00744C1C" w:rsidRPr="00C5540D">
        <w:rPr>
          <w:rFonts w:ascii="Arial" w:hAnsi="Arial" w:cs="Arial"/>
          <w:sz w:val="20"/>
          <w:szCs w:val="20"/>
          <w:lang w:val="bg-BG"/>
        </w:rPr>
        <w:t xml:space="preserve">, </w:t>
      </w:r>
      <w:r w:rsidR="00744765" w:rsidRPr="00C5540D">
        <w:rPr>
          <w:rFonts w:ascii="Arial" w:hAnsi="Arial" w:cs="Arial"/>
          <w:sz w:val="20"/>
          <w:szCs w:val="20"/>
          <w:lang w:val="bg-BG"/>
        </w:rPr>
        <w:t>те следва да бъдат избрани</w:t>
      </w:r>
      <w:r w:rsidR="00744C1C" w:rsidRPr="00C5540D">
        <w:rPr>
          <w:rFonts w:ascii="Arial" w:hAnsi="Arial" w:cs="Arial"/>
          <w:sz w:val="20"/>
          <w:szCs w:val="20"/>
          <w:lang w:val="bg-BG"/>
        </w:rPr>
        <w:t xml:space="preserve"> </w:t>
      </w:r>
      <w:r w:rsidR="00744765" w:rsidRPr="00C5540D">
        <w:rPr>
          <w:rFonts w:ascii="Arial" w:hAnsi="Arial" w:cs="Arial"/>
          <w:sz w:val="20"/>
          <w:szCs w:val="20"/>
          <w:lang w:val="bg-BG"/>
        </w:rPr>
        <w:t xml:space="preserve">въз основа на открити, прозрачни, </w:t>
      </w:r>
      <w:r w:rsidRPr="00C5540D">
        <w:rPr>
          <w:rFonts w:ascii="Arial" w:hAnsi="Arial" w:cs="Arial"/>
          <w:sz w:val="20"/>
          <w:szCs w:val="20"/>
          <w:lang w:val="bg-BG"/>
        </w:rPr>
        <w:t xml:space="preserve">безусловни </w:t>
      </w:r>
      <w:r w:rsidR="00744765" w:rsidRPr="00C5540D">
        <w:rPr>
          <w:rFonts w:ascii="Arial" w:hAnsi="Arial" w:cs="Arial"/>
          <w:sz w:val="20"/>
          <w:szCs w:val="20"/>
          <w:lang w:val="bg-BG"/>
        </w:rPr>
        <w:t>и недискриминационни процедури</w:t>
      </w:r>
      <w:r w:rsidR="00744C1C" w:rsidRPr="00C5540D">
        <w:rPr>
          <w:rFonts w:ascii="Arial" w:hAnsi="Arial" w:cs="Arial"/>
          <w:sz w:val="20"/>
          <w:szCs w:val="20"/>
          <w:lang w:val="bg-BG"/>
        </w:rPr>
        <w:t xml:space="preserve">. </w:t>
      </w:r>
      <w:r w:rsidRPr="00C5540D">
        <w:rPr>
          <w:rFonts w:ascii="Arial" w:hAnsi="Arial" w:cs="Arial"/>
          <w:sz w:val="20"/>
          <w:szCs w:val="20"/>
          <w:lang w:val="bg-BG"/>
        </w:rPr>
        <w:t>В случай че</w:t>
      </w:r>
      <w:r w:rsidR="00744765" w:rsidRPr="00C5540D">
        <w:rPr>
          <w:rFonts w:ascii="Arial" w:hAnsi="Arial" w:cs="Arial"/>
          <w:sz w:val="20"/>
          <w:szCs w:val="20"/>
          <w:lang w:val="bg-BG"/>
        </w:rPr>
        <w:t xml:space="preserve"> това изискване бъде изпълнено, </w:t>
      </w:r>
      <w:r w:rsidRPr="00C5540D">
        <w:rPr>
          <w:rFonts w:ascii="Arial" w:hAnsi="Arial" w:cs="Arial"/>
          <w:sz w:val="20"/>
          <w:szCs w:val="20"/>
          <w:lang w:val="bg-BG"/>
        </w:rPr>
        <w:t xml:space="preserve">подпомагането </w:t>
      </w:r>
      <w:r w:rsidR="00744765" w:rsidRPr="00C5540D">
        <w:rPr>
          <w:rFonts w:ascii="Arial" w:hAnsi="Arial" w:cs="Arial"/>
          <w:sz w:val="20"/>
          <w:szCs w:val="20"/>
          <w:lang w:val="bg-BG"/>
        </w:rPr>
        <w:t xml:space="preserve">на ниво </w:t>
      </w:r>
      <w:r w:rsidR="004D1CB7" w:rsidRPr="00C5540D">
        <w:rPr>
          <w:rFonts w:ascii="Arial" w:hAnsi="Arial" w:cs="Arial"/>
          <w:sz w:val="20"/>
          <w:szCs w:val="20"/>
          <w:lang w:val="bg-BG"/>
        </w:rPr>
        <w:t>търговски банки</w:t>
      </w:r>
      <w:r w:rsidR="00744765" w:rsidRPr="00C5540D">
        <w:rPr>
          <w:rFonts w:ascii="Arial" w:hAnsi="Arial" w:cs="Arial"/>
          <w:sz w:val="20"/>
          <w:szCs w:val="20"/>
          <w:lang w:val="bg-BG"/>
        </w:rPr>
        <w:t xml:space="preserve"> ще бъде в съответствие с</w:t>
      </w:r>
      <w:r w:rsidRPr="00C5540D">
        <w:rPr>
          <w:rFonts w:ascii="Arial" w:hAnsi="Arial" w:cs="Arial"/>
          <w:sz w:val="20"/>
          <w:szCs w:val="20"/>
          <w:lang w:val="bg-BG"/>
        </w:rPr>
        <w:t>ъс</w:t>
      </w:r>
      <w:r w:rsidR="00744765" w:rsidRPr="00C5540D">
        <w:rPr>
          <w:rFonts w:ascii="Arial" w:hAnsi="Arial" w:cs="Arial"/>
          <w:sz w:val="20"/>
          <w:szCs w:val="20"/>
          <w:lang w:val="bg-BG"/>
        </w:rPr>
        <w:t xml:space="preserve"> законодателство</w:t>
      </w:r>
      <w:r w:rsidRPr="00C5540D">
        <w:rPr>
          <w:rFonts w:ascii="Arial" w:hAnsi="Arial" w:cs="Arial"/>
          <w:sz w:val="20"/>
          <w:szCs w:val="20"/>
          <w:lang w:val="bg-BG"/>
        </w:rPr>
        <w:t>то</w:t>
      </w:r>
      <w:r w:rsidR="00744765" w:rsidRPr="00C5540D">
        <w:rPr>
          <w:rFonts w:ascii="Arial" w:hAnsi="Arial" w:cs="Arial"/>
          <w:sz w:val="20"/>
          <w:szCs w:val="20"/>
          <w:lang w:val="bg-BG"/>
        </w:rPr>
        <w:t xml:space="preserve"> за държавни помощи.</w:t>
      </w:r>
      <w:r w:rsidR="00740FB7" w:rsidRPr="00C5540D">
        <w:rPr>
          <w:rFonts w:ascii="Arial" w:hAnsi="Arial" w:cs="Arial"/>
          <w:sz w:val="20"/>
          <w:szCs w:val="20"/>
          <w:lang w:val="bg-BG"/>
        </w:rPr>
        <w:t xml:space="preserve"> </w:t>
      </w:r>
      <w:r w:rsidR="002D36D8" w:rsidRPr="001A398A">
        <w:rPr>
          <w:rFonts w:ascii="Arial" w:hAnsi="Arial" w:cs="Arial"/>
          <w:sz w:val="20"/>
          <w:szCs w:val="20"/>
          <w:lang w:val="bg-BG"/>
        </w:rPr>
        <w:t>В допълнение ще бъдат приложени и изискванията на т. 4.2.3.4 от</w:t>
      </w:r>
      <w:r w:rsidR="002D36D8" w:rsidRPr="00785B0F">
        <w:rPr>
          <w:rFonts w:ascii="Arial" w:hAnsi="Arial" w:cs="Arial"/>
          <w:sz w:val="20"/>
          <w:szCs w:val="20"/>
          <w:lang w:val="bg-BG"/>
        </w:rPr>
        <w:t xml:space="preserve"> </w:t>
      </w:r>
      <w:r w:rsidR="002D36D8" w:rsidRPr="00C5540D">
        <w:rPr>
          <w:rFonts w:ascii="Arial" w:hAnsi="Arial" w:cs="Arial"/>
          <w:sz w:val="20"/>
          <w:szCs w:val="20"/>
          <w:lang w:val="bg-BG"/>
        </w:rPr>
        <w:t>Известието на Комисията относно понятието за държавна помощ, посочено в член 107, параграф 1 от Договора за функционирането на Европейския съюз</w:t>
      </w:r>
      <w:r w:rsidR="002D36D8" w:rsidRPr="001A398A" w:rsidDel="00C30F0C">
        <w:rPr>
          <w:rFonts w:ascii="Arial" w:hAnsi="Arial" w:cs="Arial"/>
          <w:sz w:val="20"/>
          <w:szCs w:val="20"/>
          <w:lang w:val="bg-BG"/>
        </w:rPr>
        <w:t xml:space="preserve"> </w:t>
      </w:r>
    </w:p>
    <w:p w14:paraId="7E5A502E" w14:textId="46B75893" w:rsidR="004D1CB7" w:rsidRPr="005E6C24" w:rsidRDefault="004D1CB7" w:rsidP="004D1CB7">
      <w:pPr>
        <w:jc w:val="both"/>
        <w:rPr>
          <w:rFonts w:ascii="Arial" w:hAnsi="Arial" w:cs="Arial"/>
          <w:sz w:val="20"/>
          <w:szCs w:val="20"/>
          <w:lang w:val="bg-BG"/>
        </w:rPr>
      </w:pPr>
      <w:r w:rsidRPr="00C5540D">
        <w:rPr>
          <w:rFonts w:ascii="Arial" w:hAnsi="Arial" w:cs="Arial"/>
          <w:sz w:val="20"/>
          <w:szCs w:val="20"/>
          <w:lang w:val="bg-BG"/>
        </w:rPr>
        <w:t>В случай</w:t>
      </w:r>
      <w:r w:rsidR="00614D71" w:rsidRPr="00C5540D">
        <w:rPr>
          <w:rFonts w:ascii="Arial" w:hAnsi="Arial" w:cs="Arial"/>
          <w:sz w:val="20"/>
          <w:szCs w:val="20"/>
          <w:lang w:val="bg-BG"/>
        </w:rPr>
        <w:t>,</w:t>
      </w:r>
      <w:r w:rsidRPr="00C5540D">
        <w:rPr>
          <w:rFonts w:ascii="Arial" w:hAnsi="Arial" w:cs="Arial"/>
          <w:sz w:val="20"/>
          <w:szCs w:val="20"/>
          <w:lang w:val="bg-BG"/>
        </w:rPr>
        <w:t xml:space="preserve"> че управлението на специал</w:t>
      </w:r>
      <w:r w:rsidR="001E0477" w:rsidRPr="00C5540D">
        <w:rPr>
          <w:rFonts w:ascii="Arial" w:hAnsi="Arial" w:cs="Arial"/>
          <w:sz w:val="20"/>
          <w:szCs w:val="20"/>
          <w:lang w:val="bg-BG"/>
        </w:rPr>
        <w:t>н</w:t>
      </w:r>
      <w:r w:rsidRPr="00C5540D">
        <w:rPr>
          <w:rFonts w:ascii="Arial" w:hAnsi="Arial" w:cs="Arial"/>
          <w:sz w:val="20"/>
          <w:szCs w:val="20"/>
          <w:lang w:val="bg-BG"/>
        </w:rPr>
        <w:t>ата инвестиционна структура (</w:t>
      </w:r>
      <w:r w:rsidRPr="00C5540D">
        <w:rPr>
          <w:rFonts w:ascii="Arial" w:hAnsi="Arial" w:cs="Arial"/>
          <w:sz w:val="20"/>
          <w:szCs w:val="20"/>
        </w:rPr>
        <w:t>DIV</w:t>
      </w:r>
      <w:r w:rsidRPr="00C5540D">
        <w:rPr>
          <w:rFonts w:ascii="Arial" w:hAnsi="Arial" w:cs="Arial"/>
          <w:sz w:val="20"/>
          <w:szCs w:val="20"/>
          <w:lang w:val="bg-BG"/>
        </w:rPr>
        <w:t>) бъде поверено на МФИ</w:t>
      </w:r>
      <w:r w:rsidR="00B14392" w:rsidRPr="00C5540D">
        <w:rPr>
          <w:rFonts w:ascii="Arial" w:hAnsi="Arial" w:cs="Arial"/>
          <w:sz w:val="20"/>
          <w:szCs w:val="20"/>
          <w:lang w:val="bg-BG"/>
        </w:rPr>
        <w:t xml:space="preserve">, </w:t>
      </w:r>
      <w:r w:rsidRPr="00C5540D">
        <w:rPr>
          <w:rFonts w:ascii="Arial" w:hAnsi="Arial" w:cs="Arial"/>
          <w:sz w:val="20"/>
          <w:szCs w:val="20"/>
          <w:lang w:val="bg-BG"/>
        </w:rPr>
        <w:t>МФИ ще приложи свои собствени процедури за избор на търговските банки.</w:t>
      </w:r>
      <w:r w:rsidR="00B14392" w:rsidRPr="00C5540D">
        <w:rPr>
          <w:rFonts w:ascii="Arial" w:hAnsi="Arial" w:cs="Arial"/>
          <w:sz w:val="20"/>
          <w:szCs w:val="20"/>
          <w:lang w:val="bg-BG"/>
        </w:rPr>
        <w:t xml:space="preserve"> </w:t>
      </w:r>
      <w:r w:rsidRPr="00C5540D">
        <w:rPr>
          <w:rFonts w:ascii="Arial" w:hAnsi="Arial" w:cs="Arial"/>
          <w:sz w:val="20"/>
          <w:szCs w:val="20"/>
          <w:lang w:val="bg-BG"/>
        </w:rPr>
        <w:t xml:space="preserve">Тези процедури </w:t>
      </w:r>
      <w:r w:rsidR="00C30F0C" w:rsidRPr="00C5540D">
        <w:rPr>
          <w:rFonts w:ascii="Arial" w:hAnsi="Arial" w:cs="Arial"/>
          <w:sz w:val="20"/>
          <w:szCs w:val="20"/>
          <w:lang w:val="bg-BG"/>
        </w:rPr>
        <w:t xml:space="preserve">ще </w:t>
      </w:r>
      <w:r w:rsidR="00484F6F" w:rsidRPr="00C5540D">
        <w:rPr>
          <w:rFonts w:ascii="Arial" w:hAnsi="Arial" w:cs="Arial"/>
          <w:sz w:val="20"/>
          <w:szCs w:val="20"/>
          <w:lang w:val="bg-BG"/>
        </w:rPr>
        <w:t xml:space="preserve">следва да </w:t>
      </w:r>
      <w:r w:rsidRPr="00C5540D">
        <w:rPr>
          <w:rFonts w:ascii="Arial" w:hAnsi="Arial" w:cs="Arial"/>
          <w:sz w:val="20"/>
          <w:szCs w:val="20"/>
          <w:lang w:val="bg-BG"/>
        </w:rPr>
        <w:t xml:space="preserve">осигурят съответствие с приложимото законодателство за държавни помощи. </w:t>
      </w:r>
    </w:p>
    <w:p w14:paraId="6B94D67A" w14:textId="77777777" w:rsidR="004C6269" w:rsidRPr="000A493B" w:rsidRDefault="004C6269" w:rsidP="004C6269">
      <w:pPr>
        <w:pStyle w:val="ListParagraph"/>
        <w:numPr>
          <w:ilvl w:val="0"/>
          <w:numId w:val="68"/>
        </w:numPr>
        <w:jc w:val="both"/>
        <w:rPr>
          <w:rFonts w:ascii="Arial" w:hAnsi="Arial" w:cs="Arial"/>
          <w:b/>
          <w:sz w:val="20"/>
          <w:szCs w:val="20"/>
        </w:rPr>
      </w:pPr>
      <w:r w:rsidRPr="00780BE4">
        <w:rPr>
          <w:rFonts w:ascii="Arial" w:hAnsi="Arial" w:cs="Arial"/>
          <w:b/>
          <w:sz w:val="20"/>
          <w:szCs w:val="20"/>
          <w:lang w:val="bg-BG"/>
        </w:rPr>
        <w:t>Ниво: частни инвеститори</w:t>
      </w:r>
    </w:p>
    <w:p w14:paraId="47F5094B" w14:textId="77777777" w:rsidR="004C6269" w:rsidRPr="00BB3CD6" w:rsidRDefault="004C6269" w:rsidP="004C6269">
      <w:pPr>
        <w:jc w:val="both"/>
        <w:rPr>
          <w:rFonts w:ascii="Arial" w:hAnsi="Arial" w:cs="Arial"/>
          <w:sz w:val="20"/>
          <w:szCs w:val="20"/>
          <w:lang w:val="bg-BG"/>
        </w:rPr>
      </w:pPr>
      <w:r w:rsidRPr="00C15E0C">
        <w:rPr>
          <w:rFonts w:ascii="Arial" w:hAnsi="Arial" w:cs="Arial"/>
          <w:sz w:val="20"/>
          <w:szCs w:val="20"/>
          <w:lang w:val="bg-BG"/>
        </w:rPr>
        <w:t>Очаква се, че частните</w:t>
      </w:r>
      <w:r w:rsidRPr="00BB3CD6">
        <w:rPr>
          <w:rFonts w:ascii="Arial" w:hAnsi="Arial" w:cs="Arial"/>
          <w:sz w:val="20"/>
          <w:szCs w:val="20"/>
          <w:lang w:val="bg-BG"/>
        </w:rPr>
        <w:t xml:space="preserve"> инвеститори ще осигурят ефект на лоста спрямо средствата от ОПОС</w:t>
      </w:r>
      <w:r>
        <w:rPr>
          <w:rFonts w:ascii="Arial" w:hAnsi="Arial" w:cs="Arial"/>
          <w:sz w:val="20"/>
          <w:szCs w:val="20"/>
          <w:lang w:val="bg-BG"/>
        </w:rPr>
        <w:t xml:space="preserve"> 2014 – 2020 г.</w:t>
      </w:r>
      <w:r w:rsidRPr="00BB3CD6">
        <w:rPr>
          <w:rFonts w:ascii="Arial" w:hAnsi="Arial" w:cs="Arial"/>
          <w:sz w:val="20"/>
          <w:szCs w:val="20"/>
          <w:lang w:val="bg-BG"/>
        </w:rPr>
        <w:t>, като инвестират на ниво специална инвестиционна структура</w:t>
      </w:r>
      <w:r w:rsidRPr="00BB3CD6">
        <w:rPr>
          <w:rFonts w:ascii="Arial" w:hAnsi="Arial" w:cs="Arial"/>
          <w:sz w:val="20"/>
          <w:szCs w:val="20"/>
        </w:rPr>
        <w:t xml:space="preserve"> </w:t>
      </w:r>
      <w:r w:rsidRPr="00BB3CD6">
        <w:rPr>
          <w:rFonts w:ascii="Arial" w:hAnsi="Arial" w:cs="Arial"/>
          <w:sz w:val="20"/>
          <w:szCs w:val="20"/>
          <w:lang w:val="bg-BG"/>
        </w:rPr>
        <w:t>(</w:t>
      </w:r>
      <w:r w:rsidRPr="00BB3CD6">
        <w:rPr>
          <w:rFonts w:ascii="Arial" w:hAnsi="Arial" w:cs="Arial"/>
          <w:sz w:val="20"/>
          <w:szCs w:val="20"/>
        </w:rPr>
        <w:t>DIV</w:t>
      </w:r>
      <w:r w:rsidRPr="00BB3CD6">
        <w:rPr>
          <w:rFonts w:ascii="Arial" w:hAnsi="Arial" w:cs="Arial"/>
          <w:sz w:val="20"/>
          <w:szCs w:val="20"/>
          <w:lang w:val="bg-BG"/>
        </w:rPr>
        <w:t>) и/или на ниво търговски банки</w:t>
      </w:r>
      <w:r w:rsidRPr="00BB3CD6">
        <w:rPr>
          <w:rFonts w:ascii="Arial" w:hAnsi="Arial" w:cs="Arial"/>
          <w:sz w:val="20"/>
          <w:szCs w:val="20"/>
        </w:rPr>
        <w:t xml:space="preserve"> – </w:t>
      </w:r>
      <w:r w:rsidRPr="00BB3CD6">
        <w:rPr>
          <w:rFonts w:ascii="Arial" w:hAnsi="Arial" w:cs="Arial"/>
          <w:sz w:val="20"/>
          <w:szCs w:val="20"/>
          <w:lang w:val="bg-BG"/>
        </w:rPr>
        <w:t>т.е. фонд мениджърът на специалната инвестиционна структура (</w:t>
      </w:r>
      <w:r w:rsidRPr="00BB3CD6">
        <w:rPr>
          <w:rFonts w:ascii="Arial" w:hAnsi="Arial" w:cs="Arial"/>
          <w:sz w:val="20"/>
          <w:szCs w:val="20"/>
        </w:rPr>
        <w:t>DIV</w:t>
      </w:r>
      <w:r w:rsidRPr="00BB3CD6">
        <w:rPr>
          <w:rFonts w:ascii="Arial" w:hAnsi="Arial" w:cs="Arial"/>
          <w:sz w:val="20"/>
          <w:szCs w:val="20"/>
          <w:lang w:val="bg-BG"/>
        </w:rPr>
        <w:t>)</w:t>
      </w:r>
      <w:r w:rsidRPr="00BB3CD6">
        <w:rPr>
          <w:rFonts w:ascii="Arial" w:hAnsi="Arial" w:cs="Arial"/>
          <w:sz w:val="20"/>
          <w:szCs w:val="20"/>
        </w:rPr>
        <w:t xml:space="preserve">, </w:t>
      </w:r>
      <w:r w:rsidRPr="00BB3CD6">
        <w:rPr>
          <w:rFonts w:ascii="Arial" w:hAnsi="Arial" w:cs="Arial"/>
          <w:sz w:val="20"/>
          <w:szCs w:val="20"/>
          <w:lang w:val="bg-BG"/>
        </w:rPr>
        <w:t>търговските банки и други потенциални частни инвеститори ще инвестират собствени средства</w:t>
      </w:r>
      <w:r w:rsidRPr="00BB3CD6">
        <w:rPr>
          <w:rFonts w:ascii="Arial" w:hAnsi="Arial" w:cs="Arial"/>
          <w:sz w:val="20"/>
          <w:szCs w:val="20"/>
        </w:rPr>
        <w:t xml:space="preserve"> </w:t>
      </w:r>
      <w:r w:rsidRPr="00BB3CD6">
        <w:rPr>
          <w:rFonts w:ascii="Arial" w:hAnsi="Arial" w:cs="Arial"/>
          <w:sz w:val="20"/>
          <w:szCs w:val="20"/>
          <w:lang w:val="bg-BG"/>
        </w:rPr>
        <w:t xml:space="preserve">в прилаганите ФИ. В случай че това се случи, би следвало да бъде взето предвид приложимото законодателство за държавни помощи в контекста на инвестициите, направени от частни инвеститори. </w:t>
      </w:r>
    </w:p>
    <w:p w14:paraId="1E726F92" w14:textId="6DBA18EF" w:rsidR="004C6269" w:rsidRPr="005E6C24" w:rsidRDefault="00496D81" w:rsidP="004C6269">
      <w:pPr>
        <w:jc w:val="both"/>
        <w:rPr>
          <w:rFonts w:ascii="Arial" w:hAnsi="Arial" w:cs="Arial"/>
          <w:sz w:val="20"/>
          <w:szCs w:val="20"/>
          <w:lang w:val="en-US"/>
        </w:rPr>
      </w:pPr>
      <w:r w:rsidRPr="005E6C24">
        <w:rPr>
          <w:rFonts w:ascii="Arial" w:hAnsi="Arial" w:cs="Arial"/>
          <w:sz w:val="20"/>
          <w:szCs w:val="20"/>
          <w:lang w:val="bg-BG"/>
        </w:rPr>
        <w:t xml:space="preserve">Съгласно </w:t>
      </w:r>
      <w:r w:rsidRPr="00496D81">
        <w:rPr>
          <w:rFonts w:ascii="Arial" w:hAnsi="Arial" w:cs="Arial"/>
          <w:sz w:val="20"/>
          <w:szCs w:val="20"/>
          <w:lang w:val="bg-BG"/>
        </w:rPr>
        <w:t xml:space="preserve">Раздел 2.1 от Насоките относно държавните помощи за насърчаване на инвестициите в рисково финансиране (2014/С 19/04) </w:t>
      </w:r>
      <w:r>
        <w:rPr>
          <w:rFonts w:ascii="Arial" w:hAnsi="Arial" w:cs="Arial"/>
          <w:sz w:val="20"/>
          <w:szCs w:val="20"/>
          <w:lang w:val="bg-BG"/>
        </w:rPr>
        <w:t>п</w:t>
      </w:r>
      <w:r w:rsidR="004C6269">
        <w:rPr>
          <w:rFonts w:ascii="Arial" w:hAnsi="Arial" w:cs="Arial"/>
          <w:sz w:val="20"/>
          <w:szCs w:val="20"/>
          <w:lang w:val="bg-BG"/>
        </w:rPr>
        <w:t>редоставянето на ФИ</w:t>
      </w:r>
      <w:r w:rsidR="004C6269" w:rsidRPr="00BB3CD6">
        <w:rPr>
          <w:rFonts w:ascii="Arial" w:hAnsi="Arial" w:cs="Arial"/>
          <w:sz w:val="20"/>
          <w:szCs w:val="20"/>
          <w:lang w:val="bg-BG"/>
        </w:rPr>
        <w:t xml:space="preserve"> на ниво частни инвеститори ще бъде в съответствие с приложимото законодателство за държавни помощи, в случай че частните и публичните инвеститори бъдат третирани въз основа на принципа </w:t>
      </w:r>
      <w:r w:rsidR="004C6269" w:rsidRPr="00BB3CD6">
        <w:rPr>
          <w:rFonts w:ascii="Arial" w:hAnsi="Arial" w:cs="Arial"/>
          <w:i/>
          <w:sz w:val="20"/>
          <w:szCs w:val="20"/>
        </w:rPr>
        <w:t>pari</w:t>
      </w:r>
      <w:r w:rsidR="004C6269" w:rsidRPr="00BB3CD6">
        <w:rPr>
          <w:rFonts w:ascii="Arial" w:hAnsi="Arial" w:cs="Arial"/>
          <w:i/>
          <w:sz w:val="20"/>
          <w:szCs w:val="20"/>
          <w:lang w:val="bg-BG"/>
        </w:rPr>
        <w:t xml:space="preserve"> </w:t>
      </w:r>
      <w:r w:rsidR="004C6269" w:rsidRPr="00BB3CD6">
        <w:rPr>
          <w:rFonts w:ascii="Arial" w:hAnsi="Arial" w:cs="Arial"/>
          <w:i/>
          <w:sz w:val="20"/>
          <w:szCs w:val="20"/>
        </w:rPr>
        <w:t>passu</w:t>
      </w:r>
      <w:r w:rsidR="00692840">
        <w:rPr>
          <w:rFonts w:ascii="Arial" w:hAnsi="Arial" w:cs="Arial"/>
          <w:i/>
          <w:sz w:val="20"/>
          <w:szCs w:val="20"/>
          <w:lang w:val="bg-BG"/>
        </w:rPr>
        <w:t xml:space="preserve">. </w:t>
      </w:r>
      <w:r w:rsidR="00DC2C6D" w:rsidRPr="005E6C24">
        <w:rPr>
          <w:rFonts w:ascii="Arial" w:hAnsi="Arial" w:cs="Arial"/>
          <w:sz w:val="20"/>
          <w:szCs w:val="20"/>
          <w:lang w:val="bg-BG"/>
        </w:rPr>
        <w:t>Инвестиция</w:t>
      </w:r>
      <w:r w:rsidR="007B6C31">
        <w:rPr>
          <w:rFonts w:ascii="Arial" w:hAnsi="Arial" w:cs="Arial"/>
          <w:sz w:val="20"/>
          <w:szCs w:val="20"/>
          <w:lang w:val="bg-BG"/>
        </w:rPr>
        <w:t>,</w:t>
      </w:r>
      <w:r w:rsidR="00DC2C6D" w:rsidRPr="005E6C24">
        <w:rPr>
          <w:rFonts w:ascii="Arial" w:hAnsi="Arial" w:cs="Arial"/>
          <w:sz w:val="20"/>
          <w:szCs w:val="20"/>
          <w:lang w:val="bg-BG"/>
        </w:rPr>
        <w:t xml:space="preserve"> извършена на принципа pari passu</w:t>
      </w:r>
      <w:r w:rsidR="007B6C31">
        <w:rPr>
          <w:rFonts w:ascii="Arial" w:hAnsi="Arial" w:cs="Arial"/>
          <w:sz w:val="20"/>
          <w:szCs w:val="20"/>
          <w:lang w:val="bg-BG"/>
        </w:rPr>
        <w:t xml:space="preserve"> е тази, при която</w:t>
      </w:r>
      <w:r w:rsidR="00DC2C6D" w:rsidRPr="005E6C24">
        <w:rPr>
          <w:rFonts w:ascii="Arial" w:hAnsi="Arial" w:cs="Arial"/>
          <w:sz w:val="20"/>
          <w:szCs w:val="20"/>
          <w:lang w:val="bg-BG"/>
        </w:rPr>
        <w:t xml:space="preserve"> публични и частни инвеститори </w:t>
      </w:r>
      <w:r w:rsidR="007B6C31">
        <w:rPr>
          <w:rFonts w:ascii="Arial" w:hAnsi="Arial" w:cs="Arial"/>
          <w:sz w:val="20"/>
          <w:szCs w:val="20"/>
          <w:lang w:val="bg-BG"/>
        </w:rPr>
        <w:t xml:space="preserve">са поставени </w:t>
      </w:r>
      <w:r w:rsidR="00DC2C6D" w:rsidRPr="005E6C24">
        <w:rPr>
          <w:rFonts w:ascii="Arial" w:hAnsi="Arial" w:cs="Arial"/>
          <w:sz w:val="20"/>
          <w:szCs w:val="20"/>
          <w:lang w:val="bg-BG"/>
        </w:rPr>
        <w:t>при еднакви условия и двете категории оператори се намесват едновременно, а намесата на частния инвеститор е от действително икономическо значение.</w:t>
      </w:r>
      <w:r w:rsidR="00B031D9">
        <w:rPr>
          <w:rFonts w:ascii="Arial" w:hAnsi="Arial" w:cs="Arial"/>
          <w:sz w:val="20"/>
          <w:szCs w:val="20"/>
          <w:lang w:val="bg-BG"/>
        </w:rPr>
        <w:t xml:space="preserve">В тези случаи ще се счита, че ФИ е в съответствие с  </w:t>
      </w:r>
      <w:r w:rsidR="00B031D9" w:rsidRPr="00B031D9">
        <w:rPr>
          <w:rFonts w:ascii="Arial" w:hAnsi="Arial" w:cs="Arial"/>
          <w:sz w:val="20"/>
          <w:szCs w:val="20"/>
          <w:lang w:val="bg-BG"/>
        </w:rPr>
        <w:t>критерия за оператор в условията на пазарна икономика и следователно не представлява държавна помощ</w:t>
      </w:r>
      <w:r w:rsidR="005E6C24">
        <w:rPr>
          <w:rFonts w:ascii="Arial" w:hAnsi="Arial" w:cs="Arial"/>
          <w:sz w:val="20"/>
          <w:szCs w:val="20"/>
          <w:lang w:val="en-US"/>
        </w:rPr>
        <w:t>.</w:t>
      </w:r>
    </w:p>
    <w:p w14:paraId="0DFDACC1" w14:textId="32CA57E6" w:rsidR="004C6269" w:rsidRPr="00BB3CD6" w:rsidRDefault="004C6269" w:rsidP="004C6269">
      <w:pPr>
        <w:jc w:val="both"/>
        <w:rPr>
          <w:rFonts w:ascii="Arial" w:hAnsi="Arial" w:cs="Arial"/>
          <w:sz w:val="20"/>
          <w:szCs w:val="20"/>
          <w:lang w:val="bg-BG"/>
        </w:rPr>
      </w:pPr>
      <w:r w:rsidRPr="00780BE4">
        <w:rPr>
          <w:rFonts w:ascii="Arial" w:hAnsi="Arial" w:cs="Arial"/>
          <w:sz w:val="20"/>
          <w:szCs w:val="20"/>
          <w:lang w:val="bg-BG"/>
        </w:rPr>
        <w:t>Следва да се има предвид</w:t>
      </w:r>
      <w:r w:rsidRPr="00BB3CD6">
        <w:rPr>
          <w:rFonts w:ascii="Arial" w:hAnsi="Arial" w:cs="Arial"/>
          <w:sz w:val="20"/>
          <w:szCs w:val="20"/>
          <w:lang w:val="bg-BG"/>
        </w:rPr>
        <w:t>, че мерките</w:t>
      </w:r>
      <w:r w:rsidR="00692840" w:rsidRPr="005E6C24">
        <w:rPr>
          <w:rFonts w:ascii="Arial" w:hAnsi="Arial" w:cs="Arial"/>
          <w:sz w:val="20"/>
          <w:szCs w:val="20"/>
          <w:lang w:val="bg-BG"/>
        </w:rPr>
        <w:t xml:space="preserve"> </w:t>
      </w:r>
      <w:r w:rsidR="00692840">
        <w:rPr>
          <w:rFonts w:ascii="Arial" w:hAnsi="Arial" w:cs="Arial"/>
          <w:sz w:val="20"/>
          <w:szCs w:val="20"/>
          <w:lang w:val="bg-BG"/>
        </w:rPr>
        <w:t>могат да бъдат</w:t>
      </w:r>
      <w:r w:rsidRPr="00BB3CD6">
        <w:rPr>
          <w:rFonts w:ascii="Arial" w:hAnsi="Arial" w:cs="Arial"/>
          <w:sz w:val="20"/>
          <w:szCs w:val="20"/>
          <w:lang w:val="bg-BG"/>
        </w:rPr>
        <w:t xml:space="preserve"> разработени </w:t>
      </w:r>
      <w:r w:rsidR="00692840">
        <w:rPr>
          <w:rFonts w:ascii="Arial" w:hAnsi="Arial" w:cs="Arial"/>
          <w:sz w:val="20"/>
          <w:szCs w:val="20"/>
          <w:lang w:val="bg-BG"/>
        </w:rPr>
        <w:t xml:space="preserve">и </w:t>
      </w:r>
      <w:r w:rsidRPr="00BB3CD6">
        <w:rPr>
          <w:rFonts w:ascii="Arial" w:hAnsi="Arial" w:cs="Arial"/>
          <w:sz w:val="20"/>
          <w:szCs w:val="20"/>
          <w:lang w:val="bg-BG"/>
        </w:rPr>
        <w:t xml:space="preserve">в </w:t>
      </w:r>
      <w:r w:rsidR="00692840">
        <w:rPr>
          <w:rFonts w:ascii="Arial" w:hAnsi="Arial" w:cs="Arial"/>
          <w:sz w:val="20"/>
          <w:szCs w:val="20"/>
          <w:lang w:val="bg-BG"/>
        </w:rPr>
        <w:t xml:space="preserve">режим „държавна помощ“, съвместима с вътрешния пазар и освободена от задължението за уведомяване, когато са в </w:t>
      </w:r>
      <w:r w:rsidRPr="00BB3CD6">
        <w:rPr>
          <w:rFonts w:ascii="Arial" w:hAnsi="Arial" w:cs="Arial"/>
          <w:sz w:val="20"/>
          <w:szCs w:val="20"/>
          <w:lang w:val="bg-BG"/>
        </w:rPr>
        <w:t>съответствие с</w:t>
      </w:r>
      <w:r w:rsidR="007B6C31">
        <w:rPr>
          <w:rFonts w:ascii="Arial" w:hAnsi="Arial" w:cs="Arial"/>
          <w:sz w:val="20"/>
          <w:szCs w:val="20"/>
          <w:lang w:val="bg-BG"/>
        </w:rPr>
        <w:t xml:space="preserve"> изискванията на</w:t>
      </w:r>
      <w:r w:rsidRPr="00BB3CD6">
        <w:rPr>
          <w:rFonts w:ascii="Arial" w:hAnsi="Arial" w:cs="Arial"/>
          <w:sz w:val="20"/>
          <w:szCs w:val="20"/>
          <w:lang w:val="bg-BG"/>
        </w:rPr>
        <w:t xml:space="preserve"> чл.21 от Регламент 651/2014 г. </w:t>
      </w:r>
      <w:r w:rsidRPr="005D4359">
        <w:rPr>
          <w:rFonts w:ascii="Arial" w:hAnsi="Arial" w:cs="Arial"/>
          <w:sz w:val="20"/>
          <w:szCs w:val="20"/>
          <w:lang w:val="bg-BG"/>
        </w:rPr>
        <w:t>НА КОМИСИЯТА от 17 юни 2014 година за обявяване на някои категории помощи за съвместими с вътрешния пазар в приложение на членове 107 и 108 от Договора</w:t>
      </w:r>
      <w:r>
        <w:rPr>
          <w:rFonts w:ascii="Arial" w:hAnsi="Arial" w:cs="Arial"/>
          <w:sz w:val="20"/>
          <w:szCs w:val="20"/>
          <w:lang w:val="bg-BG"/>
        </w:rPr>
        <w:t xml:space="preserve"> за функционирането на ЕС. </w:t>
      </w:r>
    </w:p>
    <w:p w14:paraId="57D91299" w14:textId="46B2B234" w:rsidR="004C6269" w:rsidRPr="00BB3CD6" w:rsidDel="00692840" w:rsidRDefault="004C6269" w:rsidP="004C6269">
      <w:pPr>
        <w:jc w:val="both"/>
        <w:rPr>
          <w:rFonts w:ascii="Arial" w:hAnsi="Arial" w:cs="Arial"/>
          <w:sz w:val="20"/>
          <w:szCs w:val="20"/>
          <w:lang w:val="bg-BG"/>
        </w:rPr>
      </w:pPr>
    </w:p>
    <w:p w14:paraId="51DB5224" w14:textId="77777777" w:rsidR="00744C1C" w:rsidRPr="00C5540D" w:rsidRDefault="00BD7A76" w:rsidP="00744C1C">
      <w:pPr>
        <w:pStyle w:val="ListParagraph"/>
        <w:numPr>
          <w:ilvl w:val="0"/>
          <w:numId w:val="68"/>
        </w:numPr>
        <w:jc w:val="both"/>
        <w:rPr>
          <w:rFonts w:ascii="Arial" w:hAnsi="Arial" w:cs="Arial"/>
          <w:b/>
          <w:sz w:val="20"/>
          <w:szCs w:val="20"/>
        </w:rPr>
      </w:pPr>
      <w:r w:rsidRPr="00C5540D">
        <w:rPr>
          <w:rFonts w:ascii="Arial" w:hAnsi="Arial" w:cs="Arial"/>
          <w:b/>
          <w:sz w:val="20"/>
          <w:szCs w:val="20"/>
          <w:lang w:val="bg-BG"/>
        </w:rPr>
        <w:t>Ниво: крайни получатели</w:t>
      </w:r>
    </w:p>
    <w:p w14:paraId="65EB1B1F" w14:textId="77777777" w:rsidR="00744C1C" w:rsidRPr="00C5540D" w:rsidRDefault="00BD7A76" w:rsidP="00744C1C">
      <w:pPr>
        <w:jc w:val="both"/>
        <w:rPr>
          <w:rFonts w:ascii="Arial" w:hAnsi="Arial" w:cs="Arial"/>
          <w:sz w:val="20"/>
          <w:szCs w:val="20"/>
          <w:lang w:val="bg-BG"/>
        </w:rPr>
      </w:pPr>
      <w:r w:rsidRPr="00C5540D">
        <w:rPr>
          <w:rFonts w:ascii="Arial" w:hAnsi="Arial" w:cs="Arial"/>
          <w:sz w:val="20"/>
          <w:szCs w:val="20"/>
          <w:lang w:val="bg-BG"/>
        </w:rPr>
        <w:t>Във ВиК сектора</w:t>
      </w:r>
      <w:r w:rsidR="00744C1C" w:rsidRPr="00C5540D">
        <w:rPr>
          <w:rFonts w:ascii="Arial" w:hAnsi="Arial" w:cs="Arial"/>
          <w:sz w:val="20"/>
          <w:szCs w:val="20"/>
        </w:rPr>
        <w:t xml:space="preserve"> </w:t>
      </w:r>
      <w:r w:rsidR="00E53565" w:rsidRPr="00C5540D">
        <w:rPr>
          <w:rFonts w:ascii="Arial" w:hAnsi="Arial" w:cs="Arial"/>
          <w:sz w:val="20"/>
          <w:szCs w:val="20"/>
          <w:lang w:val="bg-BG"/>
        </w:rPr>
        <w:t>се очаква</w:t>
      </w:r>
      <w:r w:rsidR="000D771A" w:rsidRPr="00C5540D">
        <w:rPr>
          <w:rFonts w:ascii="Arial" w:hAnsi="Arial" w:cs="Arial"/>
          <w:sz w:val="20"/>
          <w:szCs w:val="20"/>
          <w:lang w:val="bg-BG"/>
        </w:rPr>
        <w:t xml:space="preserve"> </w:t>
      </w:r>
      <w:r w:rsidR="009470AA" w:rsidRPr="00C5540D">
        <w:rPr>
          <w:rFonts w:ascii="Arial" w:hAnsi="Arial" w:cs="Arial"/>
          <w:sz w:val="20"/>
          <w:szCs w:val="20"/>
          <w:lang w:val="bg-BG"/>
        </w:rPr>
        <w:t>допустимите</w:t>
      </w:r>
      <w:r w:rsidR="00394D66" w:rsidRPr="00C5540D">
        <w:rPr>
          <w:rFonts w:ascii="Arial" w:hAnsi="Arial" w:cs="Arial"/>
          <w:sz w:val="20"/>
          <w:szCs w:val="20"/>
          <w:lang w:val="bg-BG"/>
        </w:rPr>
        <w:t xml:space="preserve"> </w:t>
      </w:r>
      <w:r w:rsidR="000D771A" w:rsidRPr="00C5540D">
        <w:rPr>
          <w:rFonts w:ascii="Arial" w:hAnsi="Arial" w:cs="Arial"/>
          <w:sz w:val="20"/>
          <w:szCs w:val="20"/>
          <w:lang w:val="bg-BG"/>
        </w:rPr>
        <w:t>п</w:t>
      </w:r>
      <w:r w:rsidR="00394D66" w:rsidRPr="00C5540D">
        <w:rPr>
          <w:rFonts w:ascii="Arial" w:hAnsi="Arial" w:cs="Arial"/>
          <w:sz w:val="20"/>
          <w:szCs w:val="20"/>
          <w:lang w:val="bg-BG"/>
        </w:rPr>
        <w:t>роекти</w:t>
      </w:r>
      <w:r w:rsidR="00E53565" w:rsidRPr="00C5540D">
        <w:rPr>
          <w:rFonts w:ascii="Arial" w:hAnsi="Arial" w:cs="Arial"/>
          <w:sz w:val="20"/>
          <w:szCs w:val="20"/>
          <w:lang w:val="bg-BG"/>
        </w:rPr>
        <w:t xml:space="preserve"> да се считат за</w:t>
      </w:r>
      <w:r w:rsidR="00837EAC" w:rsidRPr="00C5540D">
        <w:rPr>
          <w:rFonts w:ascii="Arial" w:hAnsi="Arial" w:cs="Arial"/>
          <w:sz w:val="20"/>
          <w:szCs w:val="20"/>
          <w:lang w:val="bg-BG"/>
        </w:rPr>
        <w:t xml:space="preserve"> </w:t>
      </w:r>
      <w:r w:rsidR="00A935F3" w:rsidRPr="00C5540D">
        <w:rPr>
          <w:rFonts w:ascii="Arial" w:hAnsi="Arial" w:cs="Arial"/>
          <w:sz w:val="20"/>
          <w:szCs w:val="20"/>
          <w:lang w:val="bg-BG"/>
        </w:rPr>
        <w:t>икономическа</w:t>
      </w:r>
      <w:r w:rsidR="00E53565" w:rsidRPr="00C5540D">
        <w:rPr>
          <w:rFonts w:ascii="Arial" w:hAnsi="Arial" w:cs="Arial"/>
          <w:sz w:val="20"/>
          <w:szCs w:val="20"/>
          <w:lang w:val="bg-BG"/>
        </w:rPr>
        <w:t xml:space="preserve"> дейност</w:t>
      </w:r>
      <w:r w:rsidR="00394D66" w:rsidRPr="00C5540D">
        <w:rPr>
          <w:rFonts w:ascii="Arial" w:hAnsi="Arial" w:cs="Arial"/>
          <w:sz w:val="20"/>
          <w:szCs w:val="20"/>
          <w:lang w:val="bg-BG"/>
        </w:rPr>
        <w:t>. Освен това, крайните получатели (</w:t>
      </w:r>
      <w:r w:rsidR="00E53565" w:rsidRPr="00C5540D">
        <w:rPr>
          <w:rFonts w:ascii="Arial" w:hAnsi="Arial" w:cs="Arial"/>
          <w:sz w:val="20"/>
          <w:szCs w:val="20"/>
          <w:lang w:val="bg-BG"/>
        </w:rPr>
        <w:t>ВиКО</w:t>
      </w:r>
      <w:r w:rsidR="00394D66" w:rsidRPr="00C5540D">
        <w:rPr>
          <w:rFonts w:ascii="Arial" w:hAnsi="Arial" w:cs="Arial"/>
          <w:sz w:val="20"/>
          <w:szCs w:val="20"/>
          <w:lang w:val="bg-BG"/>
        </w:rPr>
        <w:t>)</w:t>
      </w:r>
      <w:r w:rsidR="00E53565" w:rsidRPr="00C5540D">
        <w:rPr>
          <w:rFonts w:ascii="Arial" w:hAnsi="Arial" w:cs="Arial"/>
          <w:sz w:val="20"/>
          <w:szCs w:val="20"/>
          <w:lang w:val="bg-BG"/>
        </w:rPr>
        <w:t xml:space="preserve"> са </w:t>
      </w:r>
      <w:r w:rsidR="00DC33AE" w:rsidRPr="00C5540D">
        <w:rPr>
          <w:rFonts w:ascii="Arial" w:hAnsi="Arial" w:cs="Arial"/>
          <w:sz w:val="20"/>
          <w:szCs w:val="20"/>
          <w:lang w:val="bg-BG"/>
        </w:rPr>
        <w:t>предприятия</w:t>
      </w:r>
      <w:r w:rsidR="00E53565" w:rsidRPr="00C5540D">
        <w:rPr>
          <w:rFonts w:ascii="Arial" w:hAnsi="Arial" w:cs="Arial"/>
          <w:sz w:val="20"/>
          <w:szCs w:val="20"/>
          <w:lang w:val="bg-BG"/>
        </w:rPr>
        <w:t xml:space="preserve">, извършващи </w:t>
      </w:r>
      <w:r w:rsidR="00A935F3" w:rsidRPr="00C5540D">
        <w:rPr>
          <w:rFonts w:ascii="Arial" w:hAnsi="Arial" w:cs="Arial"/>
          <w:sz w:val="20"/>
          <w:szCs w:val="20"/>
          <w:lang w:val="bg-BG"/>
        </w:rPr>
        <w:t>икономическа</w:t>
      </w:r>
      <w:r w:rsidR="00E53565" w:rsidRPr="00C5540D">
        <w:rPr>
          <w:rFonts w:ascii="Arial" w:hAnsi="Arial" w:cs="Arial"/>
          <w:sz w:val="20"/>
          <w:szCs w:val="20"/>
          <w:lang w:val="bg-BG"/>
        </w:rPr>
        <w:t xml:space="preserve"> дейност. В този смисъл</w:t>
      </w:r>
      <w:r w:rsidR="00744C1C" w:rsidRPr="00C5540D">
        <w:rPr>
          <w:rFonts w:ascii="Arial" w:hAnsi="Arial" w:cs="Arial"/>
          <w:sz w:val="20"/>
          <w:szCs w:val="20"/>
          <w:lang w:val="bg-BG"/>
        </w:rPr>
        <w:t>,</w:t>
      </w:r>
      <w:r w:rsidR="00E53565" w:rsidRPr="00C5540D">
        <w:rPr>
          <w:rFonts w:ascii="Arial" w:hAnsi="Arial" w:cs="Arial"/>
          <w:sz w:val="20"/>
          <w:szCs w:val="20"/>
          <w:lang w:val="bg-BG"/>
        </w:rPr>
        <w:t xml:space="preserve"> следва да бъде оценено</w:t>
      </w:r>
      <w:r w:rsidR="00744C1C" w:rsidRPr="00C5540D">
        <w:rPr>
          <w:rFonts w:ascii="Arial" w:hAnsi="Arial" w:cs="Arial"/>
          <w:sz w:val="20"/>
          <w:szCs w:val="20"/>
          <w:lang w:val="bg-BG"/>
        </w:rPr>
        <w:t xml:space="preserve"> </w:t>
      </w:r>
      <w:r w:rsidR="00E53565" w:rsidRPr="00C5540D">
        <w:rPr>
          <w:rFonts w:ascii="Arial" w:hAnsi="Arial" w:cs="Arial"/>
          <w:sz w:val="20"/>
          <w:szCs w:val="20"/>
          <w:lang w:val="bg-BG"/>
        </w:rPr>
        <w:t>съответствието с приложимото законодателство за държавни помощи</w:t>
      </w:r>
      <w:r w:rsidR="00744C1C" w:rsidRPr="00C5540D">
        <w:rPr>
          <w:rFonts w:ascii="Arial" w:hAnsi="Arial" w:cs="Arial"/>
          <w:sz w:val="20"/>
          <w:szCs w:val="20"/>
          <w:lang w:val="bg-BG"/>
        </w:rPr>
        <w:t>.</w:t>
      </w:r>
    </w:p>
    <w:p w14:paraId="077C719F" w14:textId="77777777" w:rsidR="00407B2B" w:rsidRPr="00785B0F" w:rsidRDefault="00D73BD1" w:rsidP="00407B2B">
      <w:pPr>
        <w:jc w:val="both"/>
        <w:rPr>
          <w:rFonts w:ascii="Arial" w:hAnsi="Arial" w:cs="Arial"/>
          <w:b/>
          <w:i/>
          <w:sz w:val="20"/>
          <w:szCs w:val="20"/>
          <w:lang w:val="bg-BG"/>
        </w:rPr>
      </w:pPr>
      <w:r w:rsidRPr="00C5540D">
        <w:rPr>
          <w:rFonts w:ascii="Arial" w:hAnsi="Arial" w:cs="Arial"/>
          <w:b/>
          <w:i/>
          <w:sz w:val="20"/>
          <w:szCs w:val="20"/>
          <w:lang w:val="bg-BG"/>
        </w:rPr>
        <w:t>Във връзка с посоченото н</w:t>
      </w:r>
      <w:r w:rsidR="00407B2B" w:rsidRPr="00785B0F">
        <w:rPr>
          <w:rFonts w:ascii="Arial" w:hAnsi="Arial" w:cs="Arial"/>
          <w:b/>
          <w:i/>
          <w:sz w:val="20"/>
          <w:szCs w:val="20"/>
          <w:lang w:val="bg-BG"/>
        </w:rPr>
        <w:t xml:space="preserve">а 16 август 2017г. Министерският съвет на РБългария одобри доклад на министъра на регионалното развитие и благоустройството, с което е възприета национална позиция, че финансирането с публични средства на ВиК инфраструктура не представлява държавна помощ, по смисъла на чл. 107, пар. 1 от Договора за функциониране на Европейския съюз, в резултат от което на министъра на регионалното развитие и благоустройството се възлага със съдействието на министъра на финансите да проведе консултации с Европейската комисия. </w:t>
      </w:r>
    </w:p>
    <w:p w14:paraId="4C1F8FD1" w14:textId="77777777" w:rsidR="00407B2B" w:rsidRPr="00785B0F" w:rsidRDefault="00407B2B" w:rsidP="00407B2B">
      <w:pPr>
        <w:jc w:val="both"/>
        <w:rPr>
          <w:rFonts w:ascii="Arial" w:hAnsi="Arial" w:cs="Arial"/>
          <w:b/>
          <w:i/>
          <w:sz w:val="20"/>
          <w:szCs w:val="20"/>
          <w:lang w:val="bg-BG"/>
        </w:rPr>
      </w:pPr>
      <w:r w:rsidRPr="00785B0F">
        <w:rPr>
          <w:rFonts w:ascii="Arial" w:hAnsi="Arial" w:cs="Arial"/>
          <w:b/>
          <w:i/>
          <w:sz w:val="20"/>
          <w:szCs w:val="20"/>
          <w:lang w:val="bg-BG"/>
        </w:rPr>
        <w:lastRenderedPageBreak/>
        <w:t>Консултациите с ЕК са в процес на извършване. Резултатите от тях ще бъдат съобразени и спазени.</w:t>
      </w:r>
    </w:p>
    <w:p w14:paraId="71DD2176" w14:textId="77777777" w:rsidR="00744C1C" w:rsidRPr="000111D0" w:rsidRDefault="000111D0" w:rsidP="000B327F">
      <w:pPr>
        <w:pStyle w:val="ListParagraph"/>
        <w:keepNext/>
        <w:numPr>
          <w:ilvl w:val="0"/>
          <w:numId w:val="68"/>
        </w:numPr>
        <w:ind w:left="714" w:hanging="357"/>
        <w:jc w:val="both"/>
        <w:rPr>
          <w:rFonts w:ascii="Arial" w:hAnsi="Arial" w:cs="Arial"/>
          <w:b/>
          <w:sz w:val="20"/>
          <w:szCs w:val="20"/>
        </w:rPr>
      </w:pPr>
      <w:r w:rsidRPr="000111D0">
        <w:rPr>
          <w:rFonts w:ascii="Arial" w:hAnsi="Arial" w:cs="Arial"/>
          <w:b/>
          <w:sz w:val="20"/>
          <w:szCs w:val="20"/>
          <w:lang w:val="bg-BG"/>
        </w:rPr>
        <w:t>Отговорности на организациите, прилагащи ФИ</w:t>
      </w:r>
    </w:p>
    <w:p w14:paraId="4B599238" w14:textId="77777777" w:rsidR="00744C1C" w:rsidRPr="003872FE" w:rsidRDefault="003872FE" w:rsidP="00744C1C">
      <w:pPr>
        <w:jc w:val="both"/>
        <w:rPr>
          <w:rFonts w:ascii="Arial" w:hAnsi="Arial" w:cs="Arial"/>
          <w:sz w:val="20"/>
          <w:szCs w:val="20"/>
          <w:lang w:val="bg-BG"/>
        </w:rPr>
      </w:pPr>
      <w:r>
        <w:rPr>
          <w:rFonts w:ascii="Arial" w:hAnsi="Arial" w:cs="Arial"/>
          <w:sz w:val="20"/>
          <w:szCs w:val="20"/>
          <w:lang w:val="bg-BG"/>
        </w:rPr>
        <w:t>Организациите, прилагащи ФИ, следва да осигурят съответствие</w:t>
      </w:r>
      <w:r w:rsidR="00744C1C" w:rsidRPr="00AE3CD5">
        <w:rPr>
          <w:rFonts w:ascii="Arial" w:hAnsi="Arial" w:cs="Arial"/>
          <w:sz w:val="20"/>
          <w:szCs w:val="20"/>
        </w:rPr>
        <w:t xml:space="preserve"> </w:t>
      </w:r>
      <w:r>
        <w:rPr>
          <w:rFonts w:ascii="Arial" w:hAnsi="Arial" w:cs="Arial"/>
          <w:sz w:val="20"/>
          <w:szCs w:val="20"/>
          <w:lang w:val="bg-BG"/>
        </w:rPr>
        <w:t>с приложимото законодателство, вкл. относно държавните помощи. От своя страна, крайните получатели също са длъжни да съблюдават и спазват приложимите правила за държавни помощи.</w:t>
      </w:r>
      <w:r w:rsidR="00744C1C" w:rsidRPr="003872FE">
        <w:rPr>
          <w:rFonts w:ascii="Arial" w:hAnsi="Arial" w:cs="Arial"/>
          <w:sz w:val="20"/>
          <w:szCs w:val="20"/>
          <w:lang w:val="bg-BG"/>
        </w:rPr>
        <w:t xml:space="preserve"> </w:t>
      </w:r>
    </w:p>
    <w:p w14:paraId="464B4CFA" w14:textId="25764DBB" w:rsidR="00744C1C" w:rsidRPr="00E62584" w:rsidRDefault="00535A6B" w:rsidP="005E151F">
      <w:pPr>
        <w:tabs>
          <w:tab w:val="left" w:pos="2515"/>
        </w:tabs>
        <w:spacing w:after="120"/>
        <w:jc w:val="both"/>
        <w:rPr>
          <w:rFonts w:ascii="Arial" w:hAnsi="Arial" w:cs="Arial"/>
          <w:sz w:val="20"/>
          <w:szCs w:val="20"/>
          <w:lang w:val="bg-BG"/>
        </w:rPr>
      </w:pPr>
      <w:r>
        <w:rPr>
          <w:rFonts w:ascii="Arial" w:hAnsi="Arial" w:cs="Arial"/>
          <w:sz w:val="20"/>
          <w:szCs w:val="20"/>
          <w:lang w:val="bg-BG"/>
        </w:rPr>
        <w:t xml:space="preserve">ФМФИБ е отговорен за </w:t>
      </w:r>
      <w:r w:rsidR="009470AA">
        <w:rPr>
          <w:rFonts w:ascii="Arial" w:hAnsi="Arial" w:cs="Arial"/>
          <w:sz w:val="20"/>
          <w:szCs w:val="20"/>
          <w:lang w:val="bg-BG"/>
        </w:rPr>
        <w:t>структурирането</w:t>
      </w:r>
      <w:r>
        <w:rPr>
          <w:rFonts w:ascii="Arial" w:hAnsi="Arial" w:cs="Arial"/>
          <w:sz w:val="20"/>
          <w:szCs w:val="20"/>
          <w:lang w:val="bg-BG"/>
        </w:rPr>
        <w:t xml:space="preserve"> и прилагането на ФИ в съответствие с приложимото законодателство за държавни</w:t>
      </w:r>
      <w:r w:rsidR="00E62584">
        <w:rPr>
          <w:rFonts w:ascii="Arial" w:hAnsi="Arial" w:cs="Arial"/>
          <w:sz w:val="20"/>
          <w:szCs w:val="20"/>
          <w:lang w:val="bg-BG"/>
        </w:rPr>
        <w:t xml:space="preserve"> помощи</w:t>
      </w:r>
      <w:r>
        <w:rPr>
          <w:rFonts w:ascii="Arial" w:hAnsi="Arial" w:cs="Arial"/>
          <w:sz w:val="20"/>
          <w:szCs w:val="20"/>
          <w:lang w:val="bg-BG"/>
        </w:rPr>
        <w:t>. Въпреки това фонд мениджърът на специалната инвестиционна структура (</w:t>
      </w:r>
      <w:r w:rsidR="00744C1C">
        <w:rPr>
          <w:rFonts w:ascii="Arial" w:hAnsi="Arial" w:cs="Arial"/>
          <w:sz w:val="20"/>
          <w:szCs w:val="20"/>
        </w:rPr>
        <w:t>DIV</w:t>
      </w:r>
      <w:r>
        <w:rPr>
          <w:rFonts w:ascii="Arial" w:hAnsi="Arial" w:cs="Arial"/>
          <w:sz w:val="20"/>
          <w:szCs w:val="20"/>
          <w:lang w:val="bg-BG"/>
        </w:rPr>
        <w:t>)</w:t>
      </w:r>
      <w:r w:rsidR="00744C1C" w:rsidRPr="00E62584">
        <w:rPr>
          <w:rFonts w:ascii="Arial" w:hAnsi="Arial" w:cs="Arial"/>
          <w:sz w:val="20"/>
          <w:szCs w:val="20"/>
          <w:lang w:val="bg-BG"/>
        </w:rPr>
        <w:t xml:space="preserve"> </w:t>
      </w:r>
      <w:r>
        <w:rPr>
          <w:rFonts w:ascii="Arial" w:hAnsi="Arial" w:cs="Arial"/>
          <w:sz w:val="20"/>
          <w:szCs w:val="20"/>
          <w:lang w:val="bg-BG"/>
        </w:rPr>
        <w:t xml:space="preserve">може да оценява </w:t>
      </w:r>
      <w:r w:rsidR="00E62584">
        <w:rPr>
          <w:rFonts w:ascii="Arial" w:hAnsi="Arial" w:cs="Arial"/>
          <w:sz w:val="20"/>
          <w:szCs w:val="20"/>
          <w:lang w:val="bg-BG"/>
        </w:rPr>
        <w:t xml:space="preserve">подадените към него </w:t>
      </w:r>
      <w:r w:rsidR="00E62584" w:rsidRPr="00E62584">
        <w:rPr>
          <w:rFonts w:ascii="Arial" w:hAnsi="Arial" w:cs="Arial"/>
          <w:sz w:val="20"/>
          <w:szCs w:val="20"/>
          <w:lang w:val="bg-BG"/>
        </w:rPr>
        <w:t xml:space="preserve">заявления за предоставяне на </w:t>
      </w:r>
      <w:r w:rsidR="00FF4E5B">
        <w:rPr>
          <w:rFonts w:ascii="Arial" w:hAnsi="Arial" w:cs="Arial"/>
          <w:sz w:val="20"/>
          <w:szCs w:val="20"/>
          <w:lang w:val="bg-BG"/>
        </w:rPr>
        <w:t xml:space="preserve">директни </w:t>
      </w:r>
      <w:r w:rsidR="00E62584" w:rsidRPr="00E62584">
        <w:rPr>
          <w:rFonts w:ascii="Arial" w:hAnsi="Arial" w:cs="Arial"/>
          <w:sz w:val="20"/>
          <w:szCs w:val="20"/>
          <w:lang w:val="bg-BG"/>
        </w:rPr>
        <w:t>заем</w:t>
      </w:r>
      <w:r w:rsidR="00FF4E5B">
        <w:rPr>
          <w:rFonts w:ascii="Arial" w:hAnsi="Arial" w:cs="Arial"/>
          <w:sz w:val="20"/>
          <w:szCs w:val="20"/>
          <w:lang w:val="bg-BG"/>
        </w:rPr>
        <w:t>и</w:t>
      </w:r>
      <w:r w:rsidR="00E62584">
        <w:rPr>
          <w:rFonts w:ascii="Arial" w:hAnsi="Arial" w:cs="Arial"/>
          <w:sz w:val="20"/>
          <w:szCs w:val="20"/>
          <w:lang w:val="bg-BG"/>
        </w:rPr>
        <w:t xml:space="preserve"> и условията на заемите, договорени между търговските банки и крайните получатели при гаранционния продукт</w:t>
      </w:r>
      <w:r w:rsidR="00E62584" w:rsidRPr="00E62584">
        <w:rPr>
          <w:rFonts w:ascii="Arial" w:hAnsi="Arial" w:cs="Arial"/>
          <w:sz w:val="20"/>
          <w:szCs w:val="20"/>
          <w:lang w:val="bg-BG"/>
        </w:rPr>
        <w:t xml:space="preserve">, с цел </w:t>
      </w:r>
      <w:r w:rsidR="00E62584">
        <w:rPr>
          <w:rFonts w:ascii="Arial" w:hAnsi="Arial" w:cs="Arial"/>
          <w:sz w:val="20"/>
          <w:szCs w:val="20"/>
          <w:lang w:val="bg-BG"/>
        </w:rPr>
        <w:t>предотвратяване предоставянето на несъвместима помощ</w:t>
      </w:r>
      <w:r w:rsidR="00744C1C" w:rsidRPr="00E62584">
        <w:rPr>
          <w:rFonts w:ascii="Arial" w:hAnsi="Arial" w:cs="Arial"/>
          <w:sz w:val="20"/>
          <w:szCs w:val="20"/>
          <w:lang w:val="bg-BG"/>
        </w:rPr>
        <w:t xml:space="preserve">. </w:t>
      </w:r>
      <w:r w:rsidR="00E62584">
        <w:rPr>
          <w:rFonts w:ascii="Arial" w:hAnsi="Arial" w:cs="Arial"/>
          <w:sz w:val="20"/>
          <w:szCs w:val="20"/>
          <w:lang w:val="bg-BG"/>
        </w:rPr>
        <w:t>То</w:t>
      </w:r>
      <w:r w:rsidR="00FF4E5B">
        <w:rPr>
          <w:rFonts w:ascii="Arial" w:hAnsi="Arial" w:cs="Arial"/>
          <w:sz w:val="20"/>
          <w:szCs w:val="20"/>
          <w:lang w:val="bg-BG"/>
        </w:rPr>
        <w:t>зи механизъм</w:t>
      </w:r>
      <w:r w:rsidR="00E62584">
        <w:rPr>
          <w:rFonts w:ascii="Arial" w:hAnsi="Arial" w:cs="Arial"/>
          <w:sz w:val="20"/>
          <w:szCs w:val="20"/>
          <w:lang w:val="bg-BG"/>
        </w:rPr>
        <w:t xml:space="preserve"> следва да се </w:t>
      </w:r>
      <w:r w:rsidR="00FF4E5B">
        <w:rPr>
          <w:rFonts w:ascii="Arial" w:hAnsi="Arial" w:cs="Arial"/>
          <w:sz w:val="20"/>
          <w:szCs w:val="20"/>
          <w:lang w:val="bg-BG"/>
        </w:rPr>
        <w:t>уреди</w:t>
      </w:r>
      <w:r w:rsidR="00E62584">
        <w:rPr>
          <w:rFonts w:ascii="Arial" w:hAnsi="Arial" w:cs="Arial"/>
          <w:sz w:val="20"/>
          <w:szCs w:val="20"/>
          <w:lang w:val="bg-BG"/>
        </w:rPr>
        <w:t xml:space="preserve"> чрез Оперативните споразумения и </w:t>
      </w:r>
      <w:r w:rsidR="00FF4E5B">
        <w:rPr>
          <w:rFonts w:ascii="Arial" w:hAnsi="Arial" w:cs="Arial"/>
          <w:sz w:val="20"/>
          <w:szCs w:val="20"/>
          <w:lang w:val="bg-BG"/>
        </w:rPr>
        <w:t xml:space="preserve">да съблюдава </w:t>
      </w:r>
      <w:r w:rsidR="00E62584">
        <w:rPr>
          <w:rFonts w:ascii="Arial" w:hAnsi="Arial" w:cs="Arial"/>
          <w:sz w:val="20"/>
          <w:szCs w:val="20"/>
          <w:lang w:val="bg-BG"/>
        </w:rPr>
        <w:t xml:space="preserve">допустимите условия за отделните заеми, </w:t>
      </w:r>
      <w:r w:rsidR="00EA669D">
        <w:rPr>
          <w:rFonts w:ascii="Arial" w:hAnsi="Arial" w:cs="Arial"/>
          <w:sz w:val="20"/>
          <w:szCs w:val="20"/>
          <w:lang w:val="bg-BG"/>
        </w:rPr>
        <w:t>при спазване на законодателството</w:t>
      </w:r>
      <w:r w:rsidR="00E62584">
        <w:rPr>
          <w:rFonts w:ascii="Arial" w:hAnsi="Arial" w:cs="Arial"/>
          <w:sz w:val="20"/>
          <w:szCs w:val="20"/>
          <w:lang w:val="bg-BG"/>
        </w:rPr>
        <w:t xml:space="preserve"> за </w:t>
      </w:r>
      <w:r w:rsidR="00EA669D">
        <w:rPr>
          <w:rFonts w:ascii="Arial" w:hAnsi="Arial" w:cs="Arial"/>
          <w:sz w:val="20"/>
          <w:szCs w:val="20"/>
          <w:lang w:val="bg-BG"/>
        </w:rPr>
        <w:t xml:space="preserve">държавни </w:t>
      </w:r>
      <w:r w:rsidR="00E62584">
        <w:rPr>
          <w:rFonts w:ascii="Arial" w:hAnsi="Arial" w:cs="Arial"/>
          <w:sz w:val="20"/>
          <w:szCs w:val="20"/>
          <w:lang w:val="bg-BG"/>
        </w:rPr>
        <w:t>помощ</w:t>
      </w:r>
      <w:r w:rsidR="00EA669D">
        <w:rPr>
          <w:rFonts w:ascii="Arial" w:hAnsi="Arial" w:cs="Arial"/>
          <w:sz w:val="20"/>
          <w:szCs w:val="20"/>
          <w:lang w:val="bg-BG"/>
        </w:rPr>
        <w:t>и</w:t>
      </w:r>
      <w:r w:rsidR="00744C1C" w:rsidRPr="00E62584">
        <w:rPr>
          <w:rFonts w:ascii="Arial" w:hAnsi="Arial" w:cs="Arial"/>
          <w:sz w:val="20"/>
          <w:szCs w:val="20"/>
          <w:lang w:val="bg-BG"/>
        </w:rPr>
        <w:t>.</w:t>
      </w:r>
    </w:p>
    <w:p w14:paraId="51D4FC78" w14:textId="77777777" w:rsidR="00531A80" w:rsidRPr="00314448" w:rsidRDefault="00BD3350" w:rsidP="005E151F">
      <w:pPr>
        <w:pStyle w:val="Heading3"/>
        <w:numPr>
          <w:ilvl w:val="0"/>
          <w:numId w:val="17"/>
        </w:numPr>
        <w:spacing w:after="120"/>
        <w:ind w:left="714" w:hanging="357"/>
        <w:rPr>
          <w:rFonts w:ascii="Arial" w:hAnsi="Arial" w:cs="Arial"/>
          <w:b/>
          <w:color w:val="4F81BD" w:themeColor="accent1"/>
          <w:sz w:val="20"/>
          <w:szCs w:val="20"/>
        </w:rPr>
      </w:pPr>
      <w:bookmarkStart w:id="18" w:name="_Toc503798473"/>
      <w:r>
        <w:rPr>
          <w:rFonts w:ascii="Arial" w:hAnsi="Arial" w:cs="Arial"/>
          <w:b/>
          <w:color w:val="4F81BD" w:themeColor="accent1"/>
          <w:sz w:val="20"/>
          <w:szCs w:val="20"/>
          <w:lang w:val="bg-BG"/>
        </w:rPr>
        <w:t>Финансови продукти</w:t>
      </w:r>
      <w:bookmarkEnd w:id="18"/>
    </w:p>
    <w:p w14:paraId="72E665C7" w14:textId="77777777" w:rsidR="00531A80" w:rsidRPr="00314448" w:rsidRDefault="00BD3350" w:rsidP="00531A80">
      <w:pPr>
        <w:pStyle w:val="ListParagraph"/>
        <w:spacing w:after="120"/>
        <w:ind w:left="0"/>
        <w:contextualSpacing w:val="0"/>
        <w:jc w:val="both"/>
        <w:rPr>
          <w:rFonts w:ascii="Arial" w:hAnsi="Arial" w:cs="Arial"/>
          <w:sz w:val="20"/>
          <w:szCs w:val="20"/>
        </w:rPr>
      </w:pPr>
      <w:r>
        <w:rPr>
          <w:rFonts w:ascii="Arial" w:hAnsi="Arial" w:cs="Arial"/>
          <w:sz w:val="20"/>
          <w:szCs w:val="20"/>
          <w:lang w:val="bg-BG"/>
        </w:rPr>
        <w:t>Изборът на финансови продукти е осъществен въз основа на наблюдаваните неоптимални инвестиционни ситуации и инвестиционни</w:t>
      </w:r>
      <w:r w:rsidR="006C6104">
        <w:rPr>
          <w:rFonts w:ascii="Arial" w:hAnsi="Arial" w:cs="Arial"/>
          <w:sz w:val="20"/>
          <w:szCs w:val="20"/>
          <w:lang w:val="bg-BG"/>
        </w:rPr>
        <w:t>те</w:t>
      </w:r>
      <w:r>
        <w:rPr>
          <w:rFonts w:ascii="Arial" w:hAnsi="Arial" w:cs="Arial"/>
          <w:sz w:val="20"/>
          <w:szCs w:val="20"/>
          <w:lang w:val="bg-BG"/>
        </w:rPr>
        <w:t xml:space="preserve"> нужди</w:t>
      </w:r>
      <w:r w:rsidR="00531A80">
        <w:rPr>
          <w:rFonts w:ascii="Arial" w:hAnsi="Arial" w:cs="Arial"/>
          <w:sz w:val="20"/>
          <w:szCs w:val="20"/>
        </w:rPr>
        <w:t>,</w:t>
      </w:r>
      <w:r w:rsidR="00531A80" w:rsidRPr="00314448">
        <w:rPr>
          <w:rFonts w:ascii="Arial" w:hAnsi="Arial" w:cs="Arial"/>
          <w:sz w:val="20"/>
          <w:szCs w:val="20"/>
        </w:rPr>
        <w:t xml:space="preserve"> </w:t>
      </w:r>
      <w:r w:rsidR="004A18BB">
        <w:rPr>
          <w:rFonts w:ascii="Arial" w:hAnsi="Arial" w:cs="Arial"/>
          <w:sz w:val="20"/>
          <w:szCs w:val="20"/>
          <w:lang w:val="bg-BG"/>
        </w:rPr>
        <w:t>както и приемливите н</w:t>
      </w:r>
      <w:r w:rsidR="006C6104">
        <w:rPr>
          <w:rFonts w:ascii="Arial" w:hAnsi="Arial" w:cs="Arial"/>
          <w:sz w:val="20"/>
          <w:szCs w:val="20"/>
          <w:lang w:val="bg-BG"/>
        </w:rPr>
        <w:t>ива на риск и възнаграждение за фонд мениджъра на специалната инвестиционна структура</w:t>
      </w:r>
      <w:r w:rsidR="00531A80">
        <w:rPr>
          <w:rFonts w:ascii="Arial" w:hAnsi="Arial" w:cs="Arial"/>
          <w:sz w:val="20"/>
          <w:szCs w:val="20"/>
        </w:rPr>
        <w:t xml:space="preserve"> </w:t>
      </w:r>
      <w:r w:rsidR="006C6104">
        <w:rPr>
          <w:rFonts w:ascii="Arial" w:hAnsi="Arial" w:cs="Arial"/>
          <w:sz w:val="20"/>
          <w:szCs w:val="20"/>
          <w:lang w:val="bg-BG"/>
        </w:rPr>
        <w:t>(</w:t>
      </w:r>
      <w:r w:rsidR="00780C14">
        <w:rPr>
          <w:rFonts w:ascii="Arial" w:hAnsi="Arial" w:cs="Arial"/>
          <w:sz w:val="20"/>
          <w:szCs w:val="20"/>
        </w:rPr>
        <w:t>DIV</w:t>
      </w:r>
      <w:r w:rsidR="006C6104">
        <w:rPr>
          <w:rFonts w:ascii="Arial" w:hAnsi="Arial" w:cs="Arial"/>
          <w:sz w:val="20"/>
          <w:szCs w:val="20"/>
          <w:lang w:val="bg-BG"/>
        </w:rPr>
        <w:t>)</w:t>
      </w:r>
      <w:r w:rsidR="009D44D3">
        <w:rPr>
          <w:rFonts w:ascii="Arial" w:hAnsi="Arial" w:cs="Arial"/>
          <w:sz w:val="20"/>
          <w:szCs w:val="20"/>
          <w:lang w:val="bg-BG"/>
        </w:rPr>
        <w:t xml:space="preserve"> </w:t>
      </w:r>
      <w:r w:rsidR="006C6104">
        <w:rPr>
          <w:rFonts w:ascii="Arial" w:hAnsi="Arial" w:cs="Arial"/>
          <w:sz w:val="20"/>
          <w:szCs w:val="20"/>
          <w:lang w:val="bg-BG"/>
        </w:rPr>
        <w:t>.</w:t>
      </w:r>
      <w:r w:rsidR="00780C14">
        <w:rPr>
          <w:rFonts w:ascii="Arial" w:hAnsi="Arial" w:cs="Arial"/>
          <w:sz w:val="20"/>
          <w:szCs w:val="20"/>
        </w:rPr>
        <w:t xml:space="preserve"> </w:t>
      </w:r>
    </w:p>
    <w:p w14:paraId="0BDB6980" w14:textId="77777777" w:rsidR="00531A80" w:rsidRPr="00314448" w:rsidRDefault="00942714" w:rsidP="00CE7180">
      <w:pPr>
        <w:pStyle w:val="ListParagraph"/>
        <w:keepNext/>
        <w:spacing w:after="120"/>
        <w:ind w:left="0"/>
        <w:contextualSpacing w:val="0"/>
        <w:jc w:val="both"/>
        <w:rPr>
          <w:rFonts w:ascii="Arial" w:hAnsi="Arial" w:cs="Arial"/>
          <w:sz w:val="20"/>
          <w:szCs w:val="20"/>
        </w:rPr>
      </w:pPr>
      <w:r>
        <w:rPr>
          <w:rFonts w:ascii="Arial" w:hAnsi="Arial" w:cs="Arial"/>
          <w:sz w:val="20"/>
          <w:szCs w:val="20"/>
          <w:lang w:val="bg-BG"/>
        </w:rPr>
        <w:t>Предвидените финансови продукти са изложени в таблицата по-долу</w:t>
      </w:r>
      <w:r>
        <w:rPr>
          <w:rFonts w:ascii="Arial" w:hAnsi="Arial" w:cs="Arial"/>
          <w:sz w:val="20"/>
          <w:szCs w:val="20"/>
        </w:rPr>
        <w:t>:</w:t>
      </w:r>
    </w:p>
    <w:p w14:paraId="7B6AFDAE" w14:textId="77777777" w:rsidR="00531A80" w:rsidRPr="003B3C53" w:rsidRDefault="003B3C53" w:rsidP="00CE7180">
      <w:pPr>
        <w:pStyle w:val="Caption"/>
        <w:keepNext/>
        <w:rPr>
          <w:rFonts w:ascii="Arial" w:hAnsi="Arial" w:cs="Arial"/>
          <w:sz w:val="20"/>
          <w:szCs w:val="20"/>
          <w:lang w:val="bg-BG"/>
        </w:rPr>
      </w:pPr>
      <w:bookmarkStart w:id="19" w:name="_Toc452131175"/>
      <w:r>
        <w:rPr>
          <w:rFonts w:ascii="Arial" w:hAnsi="Arial" w:cs="Arial"/>
          <w:sz w:val="20"/>
          <w:szCs w:val="20"/>
          <w:lang w:val="bg-BG"/>
        </w:rPr>
        <w:t xml:space="preserve">Таблица </w:t>
      </w:r>
      <w:r w:rsidR="00331B39">
        <w:rPr>
          <w:rFonts w:ascii="Arial" w:hAnsi="Arial" w:cs="Arial"/>
          <w:sz w:val="20"/>
          <w:szCs w:val="20"/>
          <w:lang w:val="bg-BG"/>
        </w:rPr>
        <w:t>6</w:t>
      </w:r>
      <w:r w:rsidR="00280721" w:rsidRPr="005C72AD">
        <w:rPr>
          <w:rFonts w:ascii="Arial" w:hAnsi="Arial" w:cs="Arial"/>
          <w:sz w:val="20"/>
          <w:szCs w:val="20"/>
        </w:rPr>
        <w:t xml:space="preserve">: </w:t>
      </w:r>
      <w:r>
        <w:rPr>
          <w:rFonts w:ascii="Arial" w:hAnsi="Arial" w:cs="Arial"/>
          <w:sz w:val="20"/>
          <w:szCs w:val="20"/>
          <w:lang w:val="bg-BG"/>
        </w:rPr>
        <w:t>Предвидени финансови продукти</w:t>
      </w:r>
      <w:bookmarkEnd w:id="19"/>
    </w:p>
    <w:tbl>
      <w:tblPr>
        <w:tblW w:w="10491" w:type="dxa"/>
        <w:tblInd w:w="-356" w:type="dxa"/>
        <w:tblCellMar>
          <w:left w:w="70" w:type="dxa"/>
          <w:right w:w="70" w:type="dxa"/>
        </w:tblCellMar>
        <w:tblLook w:val="04A0" w:firstRow="1" w:lastRow="0" w:firstColumn="1" w:lastColumn="0" w:noHBand="0" w:noVBand="1"/>
      </w:tblPr>
      <w:tblGrid>
        <w:gridCol w:w="2133"/>
        <w:gridCol w:w="8358"/>
      </w:tblGrid>
      <w:tr w:rsidR="00283064" w:rsidRPr="00314448" w14:paraId="3BD49515" w14:textId="77777777" w:rsidTr="00075EB6">
        <w:trPr>
          <w:trHeight w:val="945"/>
          <w:tblHeader/>
        </w:trPr>
        <w:tc>
          <w:tcPr>
            <w:tcW w:w="2133" w:type="dxa"/>
            <w:tcBorders>
              <w:top w:val="single" w:sz="4" w:space="0" w:color="auto"/>
              <w:left w:val="single" w:sz="4" w:space="0" w:color="auto"/>
              <w:bottom w:val="single" w:sz="4" w:space="0" w:color="auto"/>
              <w:right w:val="single" w:sz="4" w:space="0" w:color="auto"/>
            </w:tcBorders>
            <w:shd w:val="clear" w:color="000000" w:fill="D9D9D9"/>
            <w:vAlign w:val="center"/>
          </w:tcPr>
          <w:p w14:paraId="52930687" w14:textId="77777777" w:rsidR="00283064" w:rsidRPr="00314448" w:rsidRDefault="00283064" w:rsidP="000608CB">
            <w:pPr>
              <w:spacing w:after="0" w:line="240" w:lineRule="auto"/>
              <w:jc w:val="both"/>
              <w:rPr>
                <w:rFonts w:ascii="Arial" w:eastAsia="Times New Roman" w:hAnsi="Arial" w:cs="Arial"/>
                <w:b/>
                <w:bCs/>
                <w:color w:val="000000"/>
                <w:sz w:val="18"/>
                <w:szCs w:val="18"/>
                <w:lang w:eastAsia="bg-BG"/>
              </w:rPr>
            </w:pPr>
          </w:p>
        </w:tc>
        <w:tc>
          <w:tcPr>
            <w:tcW w:w="8358" w:type="dxa"/>
            <w:tcBorders>
              <w:top w:val="single" w:sz="4" w:space="0" w:color="auto"/>
              <w:left w:val="nil"/>
              <w:bottom w:val="single" w:sz="4" w:space="0" w:color="auto"/>
              <w:right w:val="single" w:sz="4" w:space="0" w:color="auto"/>
            </w:tcBorders>
            <w:shd w:val="clear" w:color="000000" w:fill="D9D9D9"/>
            <w:vAlign w:val="center"/>
            <w:hideMark/>
          </w:tcPr>
          <w:p w14:paraId="6D6E4EDE" w14:textId="77777777" w:rsidR="00283064" w:rsidRPr="003B3C53" w:rsidRDefault="00283064" w:rsidP="000608CB">
            <w:pPr>
              <w:spacing w:after="0" w:line="240" w:lineRule="auto"/>
              <w:jc w:val="center"/>
              <w:rPr>
                <w:rFonts w:ascii="Arial" w:eastAsia="Times New Roman" w:hAnsi="Arial" w:cs="Arial"/>
                <w:b/>
                <w:bCs/>
                <w:color w:val="000000"/>
                <w:sz w:val="18"/>
                <w:szCs w:val="18"/>
                <w:lang w:val="bg-BG" w:eastAsia="bg-BG"/>
              </w:rPr>
            </w:pPr>
            <w:r>
              <w:rPr>
                <w:rFonts w:ascii="Arial" w:eastAsia="Times New Roman" w:hAnsi="Arial" w:cs="Arial"/>
                <w:b/>
                <w:bCs/>
                <w:color w:val="000000"/>
                <w:sz w:val="18"/>
                <w:szCs w:val="18"/>
                <w:lang w:val="bg-BG" w:eastAsia="bg-BG"/>
              </w:rPr>
              <w:t>Приоритетна ос 1</w:t>
            </w:r>
            <w:r w:rsidRPr="00314448">
              <w:rPr>
                <w:rFonts w:ascii="Arial" w:eastAsia="Times New Roman" w:hAnsi="Arial" w:cs="Arial"/>
                <w:b/>
                <w:bCs/>
                <w:color w:val="000000"/>
                <w:sz w:val="18"/>
                <w:szCs w:val="18"/>
                <w:lang w:eastAsia="bg-BG"/>
              </w:rPr>
              <w:t xml:space="preserve">: </w:t>
            </w:r>
            <w:r w:rsidRPr="00314448">
              <w:rPr>
                <w:rFonts w:ascii="Arial" w:eastAsia="Times New Roman" w:hAnsi="Arial" w:cs="Arial"/>
                <w:b/>
                <w:bCs/>
                <w:color w:val="000000"/>
                <w:sz w:val="18"/>
                <w:szCs w:val="18"/>
                <w:lang w:eastAsia="bg-BG"/>
              </w:rPr>
              <w:br/>
            </w:r>
            <w:r>
              <w:rPr>
                <w:rFonts w:ascii="Arial" w:eastAsia="Times New Roman" w:hAnsi="Arial" w:cs="Arial"/>
                <w:b/>
                <w:bCs/>
                <w:color w:val="000000"/>
                <w:sz w:val="18"/>
                <w:szCs w:val="18"/>
                <w:lang w:val="bg-BG" w:eastAsia="bg-BG"/>
              </w:rPr>
              <w:t>Води</w:t>
            </w:r>
          </w:p>
        </w:tc>
      </w:tr>
      <w:tr w:rsidR="00283064" w:rsidRPr="007B6C31" w14:paraId="52954607" w14:textId="77777777" w:rsidTr="00BC7695">
        <w:trPr>
          <w:trHeight w:val="148"/>
        </w:trPr>
        <w:tc>
          <w:tcPr>
            <w:tcW w:w="2133" w:type="dxa"/>
            <w:tcBorders>
              <w:top w:val="nil"/>
              <w:left w:val="single" w:sz="4" w:space="0" w:color="auto"/>
              <w:bottom w:val="single" w:sz="4" w:space="0" w:color="auto"/>
              <w:right w:val="single" w:sz="4" w:space="0" w:color="auto"/>
            </w:tcBorders>
            <w:shd w:val="clear" w:color="auto" w:fill="auto"/>
            <w:vAlign w:val="center"/>
          </w:tcPr>
          <w:p w14:paraId="656818F9" w14:textId="77777777" w:rsidR="00283064" w:rsidRPr="003B3C53" w:rsidRDefault="00283064" w:rsidP="000608CB">
            <w:pPr>
              <w:spacing w:after="0" w:line="240" w:lineRule="auto"/>
              <w:rPr>
                <w:rFonts w:ascii="Arial" w:eastAsia="Times New Roman" w:hAnsi="Arial" w:cs="Arial"/>
                <w:b/>
                <w:bCs/>
                <w:color w:val="000000"/>
                <w:sz w:val="18"/>
                <w:szCs w:val="18"/>
                <w:lang w:val="bg-BG" w:eastAsia="bg-BG"/>
              </w:rPr>
            </w:pPr>
            <w:r>
              <w:rPr>
                <w:rFonts w:ascii="Arial" w:eastAsia="Times New Roman" w:hAnsi="Arial" w:cs="Arial"/>
                <w:b/>
                <w:bCs/>
                <w:color w:val="000000"/>
                <w:sz w:val="18"/>
                <w:szCs w:val="18"/>
                <w:lang w:val="bg-BG" w:eastAsia="bg-BG"/>
              </w:rPr>
              <w:t>Тематична цел (ТЦ)</w:t>
            </w:r>
          </w:p>
        </w:tc>
        <w:tc>
          <w:tcPr>
            <w:tcW w:w="8358" w:type="dxa"/>
            <w:tcBorders>
              <w:top w:val="nil"/>
              <w:left w:val="nil"/>
              <w:bottom w:val="single" w:sz="4" w:space="0" w:color="auto"/>
              <w:right w:val="single" w:sz="4" w:space="0" w:color="auto"/>
            </w:tcBorders>
            <w:shd w:val="clear" w:color="auto" w:fill="auto"/>
            <w:vAlign w:val="center"/>
          </w:tcPr>
          <w:p w14:paraId="6592FA32" w14:textId="77777777" w:rsidR="00283064" w:rsidRPr="003D3B87" w:rsidRDefault="00283064" w:rsidP="000608CB">
            <w:pPr>
              <w:spacing w:after="0" w:line="240" w:lineRule="auto"/>
              <w:rPr>
                <w:rFonts w:ascii="Arial" w:eastAsia="Times New Roman" w:hAnsi="Arial" w:cs="Arial"/>
                <w:color w:val="000000"/>
                <w:sz w:val="18"/>
                <w:szCs w:val="18"/>
                <w:lang w:val="bg-BG" w:eastAsia="bg-BG"/>
              </w:rPr>
            </w:pPr>
            <w:r>
              <w:rPr>
                <w:rFonts w:ascii="Arial" w:eastAsia="Times New Roman" w:hAnsi="Arial" w:cs="Arial"/>
                <w:color w:val="000000"/>
                <w:sz w:val="18"/>
                <w:szCs w:val="18"/>
                <w:lang w:val="bg-BG" w:eastAsia="bg-BG"/>
              </w:rPr>
              <w:t>ТЦ</w:t>
            </w:r>
            <w:r w:rsidRPr="003D3B87">
              <w:rPr>
                <w:rFonts w:ascii="Arial" w:eastAsia="Times New Roman" w:hAnsi="Arial" w:cs="Arial"/>
                <w:color w:val="000000"/>
                <w:sz w:val="18"/>
                <w:szCs w:val="18"/>
                <w:lang w:val="bg-BG" w:eastAsia="bg-BG"/>
              </w:rPr>
              <w:t xml:space="preserve"> 6: Съхраняване и опазване на </w:t>
            </w:r>
            <w:r>
              <w:rPr>
                <w:rFonts w:ascii="Arial" w:eastAsia="Times New Roman" w:hAnsi="Arial" w:cs="Arial"/>
                <w:color w:val="000000"/>
                <w:sz w:val="18"/>
                <w:szCs w:val="18"/>
                <w:lang w:val="bg-BG" w:eastAsia="bg-BG"/>
              </w:rPr>
              <w:t xml:space="preserve">околната среда и насърчаване на </w:t>
            </w:r>
            <w:r w:rsidRPr="003D3B87">
              <w:rPr>
                <w:rFonts w:ascii="Arial" w:eastAsia="Times New Roman" w:hAnsi="Arial" w:cs="Arial"/>
                <w:color w:val="000000"/>
                <w:sz w:val="18"/>
                <w:szCs w:val="18"/>
                <w:lang w:val="bg-BG" w:eastAsia="bg-BG"/>
              </w:rPr>
              <w:t>ресурсната ефективност</w:t>
            </w:r>
          </w:p>
        </w:tc>
      </w:tr>
      <w:tr w:rsidR="00283064" w:rsidRPr="007B6C31" w14:paraId="78380174" w14:textId="77777777" w:rsidTr="00BC7695">
        <w:trPr>
          <w:trHeight w:val="963"/>
        </w:trPr>
        <w:tc>
          <w:tcPr>
            <w:tcW w:w="2133" w:type="dxa"/>
            <w:tcBorders>
              <w:top w:val="nil"/>
              <w:left w:val="single" w:sz="4" w:space="0" w:color="auto"/>
              <w:bottom w:val="single" w:sz="4" w:space="0" w:color="auto"/>
              <w:right w:val="single" w:sz="4" w:space="0" w:color="auto"/>
            </w:tcBorders>
            <w:shd w:val="clear" w:color="auto" w:fill="auto"/>
            <w:vAlign w:val="center"/>
            <w:hideMark/>
          </w:tcPr>
          <w:p w14:paraId="43AC49AB" w14:textId="77777777" w:rsidR="00283064" w:rsidRPr="00A638A7" w:rsidRDefault="00283064" w:rsidP="000608CB">
            <w:pPr>
              <w:spacing w:after="0" w:line="240" w:lineRule="auto"/>
              <w:rPr>
                <w:rFonts w:ascii="Arial" w:eastAsia="Times New Roman" w:hAnsi="Arial" w:cs="Arial"/>
                <w:b/>
                <w:bCs/>
                <w:color w:val="000000"/>
                <w:sz w:val="18"/>
                <w:szCs w:val="18"/>
                <w:lang w:val="bg-BG" w:eastAsia="bg-BG"/>
              </w:rPr>
            </w:pPr>
            <w:r>
              <w:rPr>
                <w:rFonts w:ascii="Arial" w:eastAsia="Times New Roman" w:hAnsi="Arial" w:cs="Arial"/>
                <w:b/>
                <w:bCs/>
                <w:color w:val="000000"/>
                <w:sz w:val="18"/>
                <w:szCs w:val="18"/>
                <w:lang w:val="bg-BG" w:eastAsia="bg-BG"/>
              </w:rPr>
              <w:t>Инвестиционен приоритет</w:t>
            </w:r>
          </w:p>
        </w:tc>
        <w:tc>
          <w:tcPr>
            <w:tcW w:w="8358" w:type="dxa"/>
            <w:tcBorders>
              <w:top w:val="nil"/>
              <w:left w:val="nil"/>
              <w:bottom w:val="single" w:sz="4" w:space="0" w:color="auto"/>
              <w:right w:val="single" w:sz="4" w:space="0" w:color="auto"/>
            </w:tcBorders>
            <w:shd w:val="clear" w:color="auto" w:fill="auto"/>
            <w:vAlign w:val="center"/>
            <w:hideMark/>
          </w:tcPr>
          <w:p w14:paraId="4392F7C4" w14:textId="77777777" w:rsidR="00283064" w:rsidRPr="00A638A7" w:rsidRDefault="00283064" w:rsidP="000608CB">
            <w:pPr>
              <w:spacing w:after="0" w:line="240" w:lineRule="auto"/>
              <w:rPr>
                <w:rFonts w:ascii="Arial" w:eastAsia="Times New Roman" w:hAnsi="Arial" w:cs="Arial"/>
                <w:color w:val="000000"/>
                <w:sz w:val="18"/>
                <w:szCs w:val="18"/>
                <w:lang w:val="bg-BG" w:eastAsia="bg-BG"/>
              </w:rPr>
            </w:pPr>
            <w:r w:rsidRPr="00314448">
              <w:rPr>
                <w:rFonts w:ascii="Arial" w:eastAsia="Times New Roman" w:hAnsi="Arial" w:cs="Arial"/>
                <w:color w:val="000000"/>
                <w:sz w:val="18"/>
                <w:szCs w:val="18"/>
                <w:lang w:eastAsia="bg-BG"/>
              </w:rPr>
              <w:t>c</w:t>
            </w:r>
            <w:r w:rsidRPr="00A638A7">
              <w:rPr>
                <w:rFonts w:ascii="Arial" w:eastAsia="Times New Roman" w:hAnsi="Arial" w:cs="Arial"/>
                <w:color w:val="000000"/>
                <w:sz w:val="18"/>
                <w:szCs w:val="18"/>
                <w:lang w:val="bg-BG" w:eastAsia="bg-BG"/>
              </w:rPr>
              <w:t xml:space="preserve"> (</w:t>
            </w:r>
            <w:r w:rsidRPr="00314448">
              <w:rPr>
                <w:rFonts w:ascii="Arial" w:eastAsia="Times New Roman" w:hAnsi="Arial" w:cs="Arial"/>
                <w:color w:val="000000"/>
                <w:sz w:val="18"/>
                <w:szCs w:val="18"/>
                <w:lang w:eastAsia="bg-BG"/>
              </w:rPr>
              <w:t>ii</w:t>
            </w:r>
            <w:r w:rsidRPr="00A638A7">
              <w:rPr>
                <w:rFonts w:ascii="Arial" w:eastAsia="Times New Roman" w:hAnsi="Arial" w:cs="Arial"/>
                <w:color w:val="000000"/>
                <w:sz w:val="18"/>
                <w:szCs w:val="18"/>
                <w:lang w:val="bg-BG" w:eastAsia="bg-BG"/>
              </w:rPr>
              <w:t xml:space="preserve">): Инвестиции във водния сектор за съобразяване с изискванията на достиженията на правото на Съюза в областта на околната </w:t>
            </w:r>
            <w:r>
              <w:rPr>
                <w:rFonts w:ascii="Arial" w:eastAsia="Times New Roman" w:hAnsi="Arial" w:cs="Arial"/>
                <w:color w:val="000000"/>
                <w:sz w:val="18"/>
                <w:szCs w:val="18"/>
                <w:lang w:val="bg-BG" w:eastAsia="bg-BG"/>
              </w:rPr>
              <w:t xml:space="preserve">среда и за вземане на мерки във </w:t>
            </w:r>
            <w:r w:rsidRPr="00A638A7">
              <w:rPr>
                <w:rFonts w:ascii="Arial" w:eastAsia="Times New Roman" w:hAnsi="Arial" w:cs="Arial"/>
                <w:color w:val="000000"/>
                <w:sz w:val="18"/>
                <w:szCs w:val="18"/>
                <w:lang w:val="bg-BG" w:eastAsia="bg-BG"/>
              </w:rPr>
              <w:t>връзка с нуждите, установени от държавите членки, от инвестиции, които надхвърлят тези изисквания.</w:t>
            </w:r>
          </w:p>
        </w:tc>
      </w:tr>
      <w:tr w:rsidR="00283064" w:rsidRPr="007B6C31" w14:paraId="68CFF99E" w14:textId="77777777" w:rsidTr="00BC7695">
        <w:trPr>
          <w:trHeight w:val="417"/>
        </w:trPr>
        <w:tc>
          <w:tcPr>
            <w:tcW w:w="2133" w:type="dxa"/>
            <w:tcBorders>
              <w:top w:val="nil"/>
              <w:left w:val="single" w:sz="4" w:space="0" w:color="auto"/>
              <w:bottom w:val="single" w:sz="4" w:space="0" w:color="auto"/>
              <w:right w:val="single" w:sz="4" w:space="0" w:color="auto"/>
            </w:tcBorders>
            <w:shd w:val="clear" w:color="auto" w:fill="auto"/>
            <w:vAlign w:val="center"/>
            <w:hideMark/>
          </w:tcPr>
          <w:p w14:paraId="179CA485" w14:textId="77777777" w:rsidR="00283064" w:rsidRDefault="00283064" w:rsidP="000608CB">
            <w:pPr>
              <w:spacing w:after="0" w:line="240" w:lineRule="auto"/>
              <w:rPr>
                <w:rFonts w:ascii="Arial" w:eastAsia="Times New Roman" w:hAnsi="Arial" w:cs="Arial"/>
                <w:b/>
                <w:bCs/>
                <w:color w:val="000000"/>
                <w:sz w:val="18"/>
                <w:szCs w:val="18"/>
                <w:lang w:val="bg-BG" w:eastAsia="bg-BG"/>
              </w:rPr>
            </w:pPr>
            <w:r w:rsidRPr="00C9062E">
              <w:rPr>
                <w:rFonts w:ascii="Arial" w:eastAsia="Times New Roman" w:hAnsi="Arial" w:cs="Arial"/>
                <w:b/>
                <w:bCs/>
                <w:color w:val="000000"/>
                <w:sz w:val="18"/>
                <w:szCs w:val="18"/>
                <w:lang w:val="bg-BG" w:eastAsia="bg-BG"/>
              </w:rPr>
              <w:t>Общ бюджет</w:t>
            </w:r>
            <w:r>
              <w:rPr>
                <w:rFonts w:ascii="Arial" w:eastAsia="Times New Roman" w:hAnsi="Arial" w:cs="Arial"/>
                <w:b/>
                <w:bCs/>
                <w:color w:val="000000"/>
                <w:sz w:val="18"/>
                <w:szCs w:val="18"/>
                <w:lang w:val="bg-BG" w:eastAsia="bg-BG"/>
              </w:rPr>
              <w:t xml:space="preserve"> </w:t>
            </w:r>
            <w:r w:rsidRPr="00C9062E">
              <w:rPr>
                <w:rFonts w:ascii="Arial" w:eastAsia="Times New Roman" w:hAnsi="Arial" w:cs="Arial"/>
                <w:b/>
                <w:bCs/>
                <w:color w:val="000000"/>
                <w:sz w:val="18"/>
                <w:szCs w:val="18"/>
                <w:lang w:val="bg-BG" w:eastAsia="bg-BG"/>
              </w:rPr>
              <w:t xml:space="preserve">по ОП </w:t>
            </w:r>
          </w:p>
          <w:p w14:paraId="6F605303" w14:textId="77777777" w:rsidR="00283064" w:rsidRPr="00C9062E" w:rsidRDefault="00283064" w:rsidP="000608CB">
            <w:pPr>
              <w:spacing w:after="0" w:line="240" w:lineRule="auto"/>
              <w:rPr>
                <w:rFonts w:ascii="Arial" w:eastAsia="Times New Roman" w:hAnsi="Arial" w:cs="Arial"/>
                <w:b/>
                <w:bCs/>
                <w:color w:val="000000"/>
                <w:sz w:val="18"/>
                <w:szCs w:val="18"/>
                <w:lang w:val="bg-BG" w:eastAsia="bg-BG"/>
              </w:rPr>
            </w:pPr>
            <w:r w:rsidRPr="00C9062E">
              <w:rPr>
                <w:rFonts w:ascii="Arial" w:eastAsia="Times New Roman" w:hAnsi="Arial" w:cs="Arial"/>
                <w:b/>
                <w:bCs/>
                <w:color w:val="000000"/>
                <w:sz w:val="18"/>
                <w:szCs w:val="18"/>
                <w:lang w:val="bg-BG" w:eastAsia="bg-BG"/>
              </w:rPr>
              <w:t>(вкл. ЕС)</w:t>
            </w:r>
          </w:p>
        </w:tc>
        <w:tc>
          <w:tcPr>
            <w:tcW w:w="8358" w:type="dxa"/>
            <w:tcBorders>
              <w:top w:val="nil"/>
              <w:left w:val="nil"/>
              <w:bottom w:val="single" w:sz="4" w:space="0" w:color="auto"/>
              <w:right w:val="single" w:sz="4" w:space="0" w:color="auto"/>
            </w:tcBorders>
            <w:shd w:val="clear" w:color="auto" w:fill="auto"/>
            <w:vAlign w:val="center"/>
            <w:hideMark/>
          </w:tcPr>
          <w:p w14:paraId="5D5D8BFB" w14:textId="77777777" w:rsidR="00283064" w:rsidRPr="00C9062E" w:rsidRDefault="00283064" w:rsidP="000608CB">
            <w:pPr>
              <w:spacing w:after="0" w:line="240" w:lineRule="auto"/>
              <w:rPr>
                <w:rFonts w:ascii="Arial" w:eastAsia="Times New Roman" w:hAnsi="Arial" w:cs="Arial"/>
                <w:bCs/>
                <w:color w:val="000000"/>
                <w:sz w:val="18"/>
                <w:szCs w:val="18"/>
                <w:lang w:val="bg-BG" w:eastAsia="bg-BG"/>
              </w:rPr>
            </w:pPr>
            <w:r w:rsidRPr="00C9062E">
              <w:rPr>
                <w:rFonts w:ascii="Arial" w:eastAsia="Times New Roman" w:hAnsi="Arial" w:cs="Arial"/>
                <w:bCs/>
                <w:color w:val="000000"/>
                <w:sz w:val="18"/>
                <w:szCs w:val="18"/>
                <w:lang w:val="bg-BG" w:eastAsia="bg-BG"/>
              </w:rPr>
              <w:t>1,196.3 млн. евро</w:t>
            </w:r>
            <w:r w:rsidRPr="00C9062E">
              <w:rPr>
                <w:rFonts w:ascii="Arial" w:eastAsia="Times New Roman" w:hAnsi="Arial" w:cs="Arial"/>
                <w:bCs/>
                <w:color w:val="000000"/>
                <w:sz w:val="18"/>
                <w:szCs w:val="18"/>
                <w:lang w:val="bg-BG" w:eastAsia="bg-BG"/>
              </w:rPr>
              <w:br/>
              <w:t>(КФ: 1,016.9 млн. евро)</w:t>
            </w:r>
          </w:p>
        </w:tc>
      </w:tr>
      <w:tr w:rsidR="00283064" w:rsidRPr="00314448" w14:paraId="07B2C374" w14:textId="77777777" w:rsidTr="00BC7695">
        <w:trPr>
          <w:trHeight w:val="400"/>
        </w:trPr>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80FA6" w14:textId="77777777" w:rsidR="00283064" w:rsidRPr="00031392" w:rsidRDefault="00283064" w:rsidP="000608CB">
            <w:pPr>
              <w:spacing w:after="0" w:line="240" w:lineRule="auto"/>
              <w:rPr>
                <w:rFonts w:ascii="Arial" w:eastAsia="Times New Roman" w:hAnsi="Arial" w:cs="Arial"/>
                <w:b/>
                <w:bCs/>
                <w:color w:val="000000"/>
                <w:sz w:val="18"/>
                <w:szCs w:val="18"/>
                <w:lang w:val="bg-BG" w:eastAsia="bg-BG"/>
              </w:rPr>
            </w:pPr>
            <w:r>
              <w:rPr>
                <w:rFonts w:ascii="Arial" w:eastAsia="Times New Roman" w:hAnsi="Arial" w:cs="Arial"/>
                <w:b/>
                <w:bCs/>
                <w:color w:val="000000"/>
                <w:sz w:val="18"/>
                <w:szCs w:val="18"/>
                <w:lang w:val="bg-BG" w:eastAsia="bg-BG"/>
              </w:rPr>
              <w:t>Бюджет за ФИ</w:t>
            </w:r>
            <w:r w:rsidRPr="00031392">
              <w:rPr>
                <w:rFonts w:ascii="Arial" w:eastAsia="Times New Roman" w:hAnsi="Arial" w:cs="Arial"/>
                <w:b/>
                <w:bCs/>
                <w:color w:val="000000"/>
                <w:sz w:val="18"/>
                <w:szCs w:val="18"/>
                <w:lang w:val="bg-BG" w:eastAsia="bg-BG"/>
              </w:rPr>
              <w:br/>
              <w:t xml:space="preserve">(% </w:t>
            </w:r>
            <w:r>
              <w:rPr>
                <w:rFonts w:ascii="Arial" w:eastAsia="Times New Roman" w:hAnsi="Arial" w:cs="Arial"/>
                <w:b/>
                <w:bCs/>
                <w:color w:val="000000"/>
                <w:sz w:val="18"/>
                <w:szCs w:val="18"/>
                <w:lang w:val="bg-BG" w:eastAsia="bg-BG"/>
              </w:rPr>
              <w:t>от ПО</w:t>
            </w:r>
            <w:r w:rsidRPr="00031392">
              <w:rPr>
                <w:rFonts w:ascii="Arial" w:eastAsia="Times New Roman" w:hAnsi="Arial" w:cs="Arial"/>
                <w:b/>
                <w:bCs/>
                <w:color w:val="000000"/>
                <w:sz w:val="18"/>
                <w:szCs w:val="18"/>
                <w:lang w:val="bg-BG" w:eastAsia="bg-BG"/>
              </w:rPr>
              <w:t>)</w:t>
            </w:r>
          </w:p>
        </w:tc>
        <w:tc>
          <w:tcPr>
            <w:tcW w:w="8358" w:type="dxa"/>
            <w:tcBorders>
              <w:top w:val="single" w:sz="4" w:space="0" w:color="auto"/>
              <w:left w:val="nil"/>
              <w:bottom w:val="single" w:sz="4" w:space="0" w:color="auto"/>
              <w:right w:val="single" w:sz="4" w:space="0" w:color="auto"/>
            </w:tcBorders>
            <w:shd w:val="clear" w:color="auto" w:fill="auto"/>
            <w:vAlign w:val="center"/>
            <w:hideMark/>
          </w:tcPr>
          <w:p w14:paraId="036D0057" w14:textId="77777777" w:rsidR="00283064" w:rsidRPr="002E0175" w:rsidRDefault="00283064" w:rsidP="000608CB">
            <w:pPr>
              <w:spacing w:after="0" w:line="240" w:lineRule="auto"/>
              <w:rPr>
                <w:rFonts w:ascii="Arial" w:eastAsia="Times New Roman" w:hAnsi="Arial" w:cs="Arial"/>
                <w:bCs/>
                <w:color w:val="000000"/>
                <w:sz w:val="18"/>
                <w:szCs w:val="18"/>
                <w:lang w:eastAsia="bg-BG"/>
              </w:rPr>
            </w:pPr>
            <w:r w:rsidRPr="002E0175">
              <w:rPr>
                <w:rFonts w:ascii="Arial" w:eastAsia="Times New Roman" w:hAnsi="Arial" w:cs="Arial"/>
                <w:bCs/>
                <w:color w:val="000000"/>
                <w:sz w:val="18"/>
                <w:szCs w:val="18"/>
                <w:lang w:eastAsia="bg-BG"/>
              </w:rPr>
              <w:t>119.6</w:t>
            </w:r>
            <w:r>
              <w:rPr>
                <w:rFonts w:ascii="Arial" w:eastAsia="Times New Roman" w:hAnsi="Arial" w:cs="Arial"/>
                <w:bCs/>
                <w:color w:val="000000"/>
                <w:sz w:val="18"/>
                <w:szCs w:val="18"/>
                <w:lang w:val="bg-BG" w:eastAsia="bg-BG"/>
              </w:rPr>
              <w:t>3</w:t>
            </w:r>
            <w:r w:rsidRPr="002E0175">
              <w:rPr>
                <w:rFonts w:ascii="Arial" w:eastAsia="Times New Roman" w:hAnsi="Arial" w:cs="Arial"/>
                <w:bCs/>
                <w:color w:val="000000"/>
                <w:sz w:val="18"/>
                <w:szCs w:val="18"/>
                <w:lang w:eastAsia="bg-BG"/>
              </w:rPr>
              <w:t xml:space="preserve"> </w:t>
            </w:r>
            <w:r>
              <w:rPr>
                <w:rFonts w:ascii="Arial" w:eastAsia="Times New Roman" w:hAnsi="Arial" w:cs="Arial"/>
                <w:bCs/>
                <w:color w:val="000000"/>
                <w:sz w:val="18"/>
                <w:szCs w:val="18"/>
                <w:lang w:val="bg-BG" w:eastAsia="bg-BG"/>
              </w:rPr>
              <w:t>млн. евро</w:t>
            </w:r>
            <w:r w:rsidRPr="002E0175">
              <w:rPr>
                <w:rFonts w:ascii="Arial" w:eastAsia="Times New Roman" w:hAnsi="Arial" w:cs="Arial"/>
                <w:bCs/>
                <w:color w:val="000000"/>
                <w:sz w:val="18"/>
                <w:szCs w:val="18"/>
                <w:lang w:eastAsia="bg-BG"/>
              </w:rPr>
              <w:br/>
              <w:t>(10%)</w:t>
            </w:r>
          </w:p>
        </w:tc>
      </w:tr>
      <w:tr w:rsidR="00283064" w:rsidRPr="00314448" w14:paraId="0D08F666" w14:textId="77777777" w:rsidTr="00BC7695">
        <w:trPr>
          <w:trHeight w:val="383"/>
        </w:trPr>
        <w:tc>
          <w:tcPr>
            <w:tcW w:w="2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0F54E" w14:textId="77777777" w:rsidR="00283064" w:rsidRPr="00314448" w:rsidRDefault="00283064" w:rsidP="000608CB">
            <w:pPr>
              <w:spacing w:after="0" w:line="240" w:lineRule="auto"/>
              <w:rPr>
                <w:rFonts w:ascii="Arial" w:eastAsia="Times New Roman" w:hAnsi="Arial" w:cs="Arial"/>
                <w:b/>
                <w:bCs/>
                <w:color w:val="000000"/>
                <w:sz w:val="18"/>
                <w:szCs w:val="18"/>
                <w:lang w:eastAsia="bg-BG"/>
              </w:rPr>
            </w:pPr>
            <w:r>
              <w:rPr>
                <w:rFonts w:ascii="Arial" w:eastAsia="Times New Roman" w:hAnsi="Arial" w:cs="Arial"/>
                <w:b/>
                <w:bCs/>
                <w:color w:val="000000"/>
                <w:sz w:val="18"/>
                <w:szCs w:val="18"/>
                <w:lang w:val="bg-BG" w:eastAsia="bg-BG"/>
              </w:rPr>
              <w:t>Бюджет за ФИ по финансови продукти</w:t>
            </w:r>
            <w:r>
              <w:rPr>
                <w:rFonts w:ascii="Arial" w:eastAsia="Times New Roman" w:hAnsi="Arial" w:cs="Arial"/>
                <w:b/>
                <w:bCs/>
                <w:color w:val="000000"/>
                <w:sz w:val="18"/>
                <w:szCs w:val="18"/>
                <w:lang w:eastAsia="bg-BG"/>
              </w:rPr>
              <w:t xml:space="preserve"> (</w:t>
            </w:r>
            <w:r>
              <w:rPr>
                <w:rFonts w:ascii="Arial" w:eastAsia="Times New Roman" w:hAnsi="Arial" w:cs="Arial"/>
                <w:b/>
                <w:bCs/>
                <w:color w:val="000000"/>
                <w:sz w:val="18"/>
                <w:szCs w:val="18"/>
                <w:lang w:val="bg-BG" w:eastAsia="bg-BG"/>
              </w:rPr>
              <w:t>ЕСИФ и национално съфинансиране</w:t>
            </w:r>
            <w:r>
              <w:rPr>
                <w:rFonts w:ascii="Arial" w:eastAsia="Times New Roman" w:hAnsi="Arial" w:cs="Arial"/>
                <w:b/>
                <w:bCs/>
                <w:color w:val="000000"/>
                <w:sz w:val="18"/>
                <w:szCs w:val="18"/>
                <w:lang w:eastAsia="bg-BG"/>
              </w:rPr>
              <w:t>)</w:t>
            </w:r>
          </w:p>
        </w:tc>
        <w:tc>
          <w:tcPr>
            <w:tcW w:w="8358" w:type="dxa"/>
            <w:tcBorders>
              <w:top w:val="single" w:sz="4" w:space="0" w:color="auto"/>
              <w:left w:val="nil"/>
              <w:bottom w:val="single" w:sz="4" w:space="0" w:color="auto"/>
              <w:right w:val="single" w:sz="4" w:space="0" w:color="auto"/>
            </w:tcBorders>
            <w:shd w:val="clear" w:color="auto" w:fill="auto"/>
            <w:vAlign w:val="center"/>
            <w:hideMark/>
          </w:tcPr>
          <w:p w14:paraId="6FCFAC11" w14:textId="77777777" w:rsidR="00283064" w:rsidRPr="001C64EC" w:rsidRDefault="00283064" w:rsidP="000608CB">
            <w:pPr>
              <w:spacing w:after="0" w:line="240" w:lineRule="auto"/>
              <w:rPr>
                <w:rFonts w:ascii="Arial" w:eastAsia="Times New Roman" w:hAnsi="Arial" w:cs="Arial"/>
                <w:color w:val="000000"/>
                <w:sz w:val="18"/>
                <w:szCs w:val="18"/>
                <w:lang w:val="bg-BG" w:eastAsia="bg-BG"/>
              </w:rPr>
            </w:pPr>
            <w:r w:rsidRPr="001C64EC">
              <w:rPr>
                <w:rFonts w:ascii="Arial" w:eastAsia="Times New Roman" w:hAnsi="Arial" w:cs="Arial"/>
                <w:color w:val="000000"/>
                <w:sz w:val="18"/>
                <w:szCs w:val="18"/>
                <w:lang w:val="bg-BG" w:eastAsia="bg-BG"/>
              </w:rPr>
              <w:t>Гаранции</w:t>
            </w:r>
            <w:r w:rsidRPr="001C64EC">
              <w:rPr>
                <w:rFonts w:ascii="Arial" w:eastAsia="Times New Roman" w:hAnsi="Arial" w:cs="Arial"/>
                <w:color w:val="000000"/>
                <w:sz w:val="18"/>
                <w:szCs w:val="18"/>
                <w:lang w:val="bg-BG" w:eastAsia="bg-BG"/>
              </w:rPr>
              <w:br/>
              <w:t>(23.9</w:t>
            </w:r>
            <w:r>
              <w:rPr>
                <w:rFonts w:ascii="Arial" w:eastAsia="Times New Roman" w:hAnsi="Arial" w:cs="Arial"/>
                <w:color w:val="000000"/>
                <w:sz w:val="18"/>
                <w:szCs w:val="18"/>
                <w:lang w:val="bg-BG" w:eastAsia="bg-BG"/>
              </w:rPr>
              <w:t>3</w:t>
            </w:r>
            <w:r w:rsidRPr="001C64EC">
              <w:rPr>
                <w:rFonts w:ascii="Arial" w:eastAsia="Times New Roman" w:hAnsi="Arial" w:cs="Arial"/>
                <w:color w:val="000000"/>
                <w:sz w:val="18"/>
                <w:szCs w:val="18"/>
                <w:lang w:val="bg-BG" w:eastAsia="bg-BG"/>
              </w:rPr>
              <w:t xml:space="preserve"> млн. евро)</w:t>
            </w:r>
          </w:p>
        </w:tc>
      </w:tr>
      <w:tr w:rsidR="00283064" w:rsidRPr="00314448" w14:paraId="709466B8" w14:textId="77777777" w:rsidTr="00BC7695">
        <w:trPr>
          <w:trHeight w:val="390"/>
        </w:trPr>
        <w:tc>
          <w:tcPr>
            <w:tcW w:w="2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16206" w14:textId="77777777" w:rsidR="00283064" w:rsidRPr="00314448" w:rsidRDefault="00283064" w:rsidP="000608CB">
            <w:pPr>
              <w:spacing w:after="0" w:line="240" w:lineRule="auto"/>
              <w:rPr>
                <w:rFonts w:ascii="Arial" w:eastAsia="Times New Roman" w:hAnsi="Arial" w:cs="Arial"/>
                <w:b/>
                <w:bCs/>
                <w:color w:val="000000"/>
                <w:sz w:val="18"/>
                <w:szCs w:val="18"/>
                <w:lang w:eastAsia="bg-BG"/>
              </w:rPr>
            </w:pPr>
          </w:p>
        </w:tc>
        <w:tc>
          <w:tcPr>
            <w:tcW w:w="8358" w:type="dxa"/>
            <w:tcBorders>
              <w:top w:val="single" w:sz="4" w:space="0" w:color="auto"/>
              <w:left w:val="nil"/>
              <w:bottom w:val="single" w:sz="4" w:space="0" w:color="auto"/>
              <w:right w:val="single" w:sz="4" w:space="0" w:color="auto"/>
            </w:tcBorders>
            <w:shd w:val="clear" w:color="auto" w:fill="auto"/>
            <w:vAlign w:val="center"/>
            <w:hideMark/>
          </w:tcPr>
          <w:p w14:paraId="007A5826" w14:textId="77777777" w:rsidR="00283064" w:rsidRPr="001C64EC" w:rsidRDefault="00283064" w:rsidP="000608CB">
            <w:pPr>
              <w:spacing w:after="0" w:line="240" w:lineRule="auto"/>
              <w:rPr>
                <w:rFonts w:ascii="Arial" w:eastAsia="Times New Roman" w:hAnsi="Arial" w:cs="Arial"/>
                <w:color w:val="000000"/>
                <w:sz w:val="18"/>
                <w:szCs w:val="18"/>
                <w:lang w:val="bg-BG" w:eastAsia="bg-BG"/>
              </w:rPr>
            </w:pPr>
            <w:r w:rsidRPr="001C64EC">
              <w:rPr>
                <w:rFonts w:ascii="Arial" w:eastAsia="Times New Roman" w:hAnsi="Arial" w:cs="Arial"/>
                <w:color w:val="000000"/>
                <w:sz w:val="18"/>
                <w:szCs w:val="18"/>
                <w:lang w:val="bg-BG" w:eastAsia="bg-BG"/>
              </w:rPr>
              <w:t>Заеми</w:t>
            </w:r>
            <w:r w:rsidRPr="001C64EC">
              <w:rPr>
                <w:rFonts w:ascii="Arial" w:eastAsia="Times New Roman" w:hAnsi="Arial" w:cs="Arial"/>
                <w:color w:val="000000"/>
                <w:sz w:val="18"/>
                <w:szCs w:val="18"/>
                <w:lang w:val="bg-BG" w:eastAsia="bg-BG"/>
              </w:rPr>
              <w:br/>
              <w:t>(95.7</w:t>
            </w:r>
            <w:r>
              <w:rPr>
                <w:rFonts w:ascii="Arial" w:eastAsia="Times New Roman" w:hAnsi="Arial" w:cs="Arial"/>
                <w:color w:val="000000"/>
                <w:sz w:val="18"/>
                <w:szCs w:val="18"/>
                <w:lang w:val="bg-BG" w:eastAsia="bg-BG"/>
              </w:rPr>
              <w:t>0</w:t>
            </w:r>
            <w:r w:rsidRPr="001C64EC">
              <w:rPr>
                <w:rFonts w:ascii="Arial" w:eastAsia="Times New Roman" w:hAnsi="Arial" w:cs="Arial"/>
                <w:color w:val="000000"/>
                <w:sz w:val="18"/>
                <w:szCs w:val="18"/>
                <w:lang w:val="bg-BG" w:eastAsia="bg-BG"/>
              </w:rPr>
              <w:t xml:space="preserve"> </w:t>
            </w:r>
            <w:r>
              <w:rPr>
                <w:rFonts w:ascii="Arial" w:eastAsia="Times New Roman" w:hAnsi="Arial" w:cs="Arial"/>
                <w:color w:val="000000"/>
                <w:sz w:val="18"/>
                <w:szCs w:val="18"/>
                <w:lang w:val="bg-BG" w:eastAsia="bg-BG"/>
              </w:rPr>
              <w:t>млн. евро</w:t>
            </w:r>
            <w:r w:rsidRPr="001C64EC">
              <w:rPr>
                <w:rFonts w:ascii="Arial" w:eastAsia="Times New Roman" w:hAnsi="Arial" w:cs="Arial"/>
                <w:color w:val="000000"/>
                <w:sz w:val="18"/>
                <w:szCs w:val="18"/>
                <w:lang w:val="bg-BG" w:eastAsia="bg-BG"/>
              </w:rPr>
              <w:t>)</w:t>
            </w:r>
          </w:p>
        </w:tc>
      </w:tr>
      <w:tr w:rsidR="00283064" w:rsidRPr="00314448" w14:paraId="559573A3" w14:textId="77777777" w:rsidTr="00BC7695">
        <w:trPr>
          <w:trHeight w:val="390"/>
        </w:trPr>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0835948A" w14:textId="77777777" w:rsidR="00283064" w:rsidRPr="00314448" w:rsidRDefault="00283064" w:rsidP="000608CB">
            <w:pPr>
              <w:spacing w:after="0" w:line="240" w:lineRule="auto"/>
              <w:rPr>
                <w:rFonts w:ascii="Arial" w:eastAsia="Times New Roman" w:hAnsi="Arial" w:cs="Arial"/>
                <w:b/>
                <w:bCs/>
                <w:color w:val="000000"/>
                <w:sz w:val="18"/>
                <w:szCs w:val="18"/>
                <w:lang w:eastAsia="bg-BG"/>
              </w:rPr>
            </w:pPr>
            <w:r>
              <w:rPr>
                <w:rFonts w:ascii="Arial" w:eastAsia="Times New Roman" w:hAnsi="Arial" w:cs="Arial"/>
                <w:b/>
                <w:bCs/>
                <w:color w:val="000000"/>
                <w:sz w:val="18"/>
                <w:szCs w:val="18"/>
                <w:lang w:val="bg-BG" w:eastAsia="bg-BG"/>
              </w:rPr>
              <w:t>Очакван ефект на лоста</w:t>
            </w:r>
            <w:r>
              <w:rPr>
                <w:rFonts w:ascii="Arial" w:eastAsia="Times New Roman" w:hAnsi="Arial" w:cs="Arial"/>
                <w:b/>
                <w:bCs/>
                <w:color w:val="000000"/>
                <w:sz w:val="18"/>
                <w:szCs w:val="18"/>
                <w:lang w:eastAsia="bg-BG"/>
              </w:rPr>
              <w:t xml:space="preserve"> </w:t>
            </w:r>
          </w:p>
        </w:tc>
        <w:tc>
          <w:tcPr>
            <w:tcW w:w="8358" w:type="dxa"/>
            <w:tcBorders>
              <w:top w:val="single" w:sz="4" w:space="0" w:color="auto"/>
              <w:left w:val="nil"/>
              <w:bottom w:val="single" w:sz="4" w:space="0" w:color="auto"/>
              <w:right w:val="single" w:sz="4" w:space="0" w:color="auto"/>
            </w:tcBorders>
            <w:shd w:val="clear" w:color="auto" w:fill="auto"/>
            <w:vAlign w:val="center"/>
          </w:tcPr>
          <w:p w14:paraId="0A901C2C" w14:textId="77777777" w:rsidR="00283064" w:rsidRPr="00641B83" w:rsidRDefault="00283064" w:rsidP="000608CB">
            <w:pPr>
              <w:spacing w:after="0" w:line="240" w:lineRule="auto"/>
              <w:rPr>
                <w:rFonts w:ascii="Arial" w:eastAsia="Times New Roman" w:hAnsi="Arial" w:cs="Arial"/>
                <w:color w:val="000000"/>
                <w:sz w:val="18"/>
                <w:szCs w:val="18"/>
                <w:lang w:val="bg-BG" w:eastAsia="bg-BG"/>
              </w:rPr>
            </w:pPr>
            <w:r w:rsidRPr="008B5547">
              <w:rPr>
                <w:rFonts w:ascii="Arial" w:eastAsia="Times New Roman" w:hAnsi="Arial" w:cs="Arial"/>
                <w:color w:val="000000"/>
                <w:sz w:val="18"/>
                <w:szCs w:val="18"/>
                <w:lang w:val="bg-BG" w:eastAsia="bg-BG"/>
              </w:rPr>
              <w:t>Минимум</w:t>
            </w:r>
            <w:r w:rsidRPr="008B5547">
              <w:rPr>
                <w:rFonts w:ascii="Arial" w:eastAsia="Times New Roman" w:hAnsi="Arial" w:cs="Arial"/>
                <w:color w:val="000000"/>
                <w:sz w:val="18"/>
                <w:szCs w:val="18"/>
                <w:lang w:eastAsia="bg-BG"/>
              </w:rPr>
              <w:t xml:space="preserve"> 1:</w:t>
            </w:r>
            <w:r w:rsidR="00F6557E" w:rsidRPr="008B5547">
              <w:rPr>
                <w:rFonts w:ascii="Arial" w:eastAsia="Times New Roman" w:hAnsi="Arial" w:cs="Arial"/>
                <w:color w:val="000000"/>
                <w:sz w:val="18"/>
                <w:szCs w:val="18"/>
                <w:lang w:val="bg-BG" w:eastAsia="bg-BG"/>
              </w:rPr>
              <w:t>2</w:t>
            </w:r>
          </w:p>
        </w:tc>
      </w:tr>
      <w:tr w:rsidR="00283064" w:rsidRPr="00314448" w14:paraId="1D7AC691" w14:textId="77777777" w:rsidTr="00BC7695">
        <w:trPr>
          <w:trHeight w:val="390"/>
        </w:trPr>
        <w:tc>
          <w:tcPr>
            <w:tcW w:w="21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822222" w14:textId="77777777" w:rsidR="00283064" w:rsidRDefault="00283064" w:rsidP="000608CB">
            <w:pPr>
              <w:spacing w:after="0" w:line="240" w:lineRule="auto"/>
              <w:rPr>
                <w:rFonts w:ascii="Arial" w:eastAsia="Times New Roman" w:hAnsi="Arial" w:cs="Arial"/>
                <w:b/>
                <w:bCs/>
                <w:color w:val="000000"/>
                <w:sz w:val="18"/>
                <w:szCs w:val="18"/>
                <w:lang w:eastAsia="bg-BG"/>
              </w:rPr>
            </w:pPr>
            <w:r>
              <w:rPr>
                <w:rFonts w:ascii="Arial" w:eastAsia="Times New Roman" w:hAnsi="Arial" w:cs="Arial"/>
                <w:b/>
                <w:bCs/>
                <w:color w:val="000000"/>
                <w:sz w:val="18"/>
                <w:szCs w:val="18"/>
                <w:lang w:val="bg-BG" w:eastAsia="bg-BG"/>
              </w:rPr>
              <w:t>Общо очакван ресурс по финансови продукти</w:t>
            </w:r>
          </w:p>
        </w:tc>
        <w:tc>
          <w:tcPr>
            <w:tcW w:w="8358" w:type="dxa"/>
            <w:tcBorders>
              <w:top w:val="single" w:sz="4" w:space="0" w:color="auto"/>
              <w:left w:val="nil"/>
              <w:bottom w:val="single" w:sz="4" w:space="0" w:color="auto"/>
              <w:right w:val="single" w:sz="4" w:space="0" w:color="auto"/>
            </w:tcBorders>
            <w:shd w:val="clear" w:color="auto" w:fill="auto"/>
            <w:vAlign w:val="center"/>
          </w:tcPr>
          <w:p w14:paraId="58645E19" w14:textId="77777777" w:rsidR="00283064" w:rsidRPr="008B5547" w:rsidRDefault="00283064" w:rsidP="000608CB">
            <w:pPr>
              <w:spacing w:after="0" w:line="240" w:lineRule="auto"/>
              <w:rPr>
                <w:rFonts w:ascii="Arial" w:eastAsia="Times New Roman" w:hAnsi="Arial" w:cs="Arial"/>
                <w:color w:val="000000"/>
                <w:sz w:val="18"/>
                <w:szCs w:val="18"/>
                <w:lang w:eastAsia="bg-BG"/>
              </w:rPr>
            </w:pPr>
            <w:r w:rsidRPr="008B5547">
              <w:rPr>
                <w:rFonts w:ascii="Arial" w:eastAsia="Times New Roman" w:hAnsi="Arial" w:cs="Arial"/>
                <w:color w:val="000000"/>
                <w:sz w:val="18"/>
                <w:szCs w:val="18"/>
                <w:lang w:val="bg-BG" w:eastAsia="bg-BG"/>
              </w:rPr>
              <w:t>Гаранции</w:t>
            </w:r>
            <w:r w:rsidRPr="008B5547">
              <w:rPr>
                <w:rFonts w:ascii="Arial" w:eastAsia="Times New Roman" w:hAnsi="Arial" w:cs="Arial"/>
                <w:color w:val="000000"/>
                <w:sz w:val="18"/>
                <w:szCs w:val="18"/>
                <w:lang w:eastAsia="bg-BG"/>
              </w:rPr>
              <w:br/>
              <w:t>(&gt;47.8</w:t>
            </w:r>
            <w:r w:rsidRPr="008B5547">
              <w:rPr>
                <w:rFonts w:ascii="Arial" w:eastAsia="Times New Roman" w:hAnsi="Arial" w:cs="Arial"/>
                <w:color w:val="000000"/>
                <w:sz w:val="18"/>
                <w:szCs w:val="18"/>
                <w:lang w:val="bg-BG" w:eastAsia="bg-BG"/>
              </w:rPr>
              <w:t>6</w:t>
            </w:r>
            <w:r w:rsidRPr="008B5547">
              <w:rPr>
                <w:rFonts w:ascii="Arial" w:eastAsia="Times New Roman" w:hAnsi="Arial" w:cs="Arial"/>
                <w:color w:val="000000"/>
                <w:sz w:val="18"/>
                <w:szCs w:val="18"/>
                <w:lang w:eastAsia="bg-BG"/>
              </w:rPr>
              <w:t xml:space="preserve"> </w:t>
            </w:r>
            <w:r w:rsidRPr="008B5547">
              <w:rPr>
                <w:rFonts w:ascii="Arial" w:eastAsia="Times New Roman" w:hAnsi="Arial" w:cs="Arial"/>
                <w:color w:val="000000"/>
                <w:sz w:val="18"/>
                <w:szCs w:val="18"/>
                <w:lang w:val="bg-BG" w:eastAsia="bg-BG"/>
              </w:rPr>
              <w:t>млн. евро</w:t>
            </w:r>
            <w:r w:rsidRPr="008B5547">
              <w:rPr>
                <w:rFonts w:ascii="Arial" w:eastAsia="Times New Roman" w:hAnsi="Arial" w:cs="Arial"/>
                <w:color w:val="000000"/>
                <w:sz w:val="18"/>
                <w:szCs w:val="18"/>
                <w:lang w:eastAsia="bg-BG"/>
              </w:rPr>
              <w:t>)</w:t>
            </w:r>
          </w:p>
        </w:tc>
      </w:tr>
      <w:tr w:rsidR="00283064" w:rsidRPr="00314448" w14:paraId="0BA74AE5" w14:textId="77777777" w:rsidTr="00BC7695">
        <w:trPr>
          <w:trHeight w:val="390"/>
        </w:trPr>
        <w:tc>
          <w:tcPr>
            <w:tcW w:w="21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206838" w14:textId="77777777" w:rsidR="00283064" w:rsidRDefault="00283064" w:rsidP="000608CB">
            <w:pPr>
              <w:spacing w:after="0" w:line="240" w:lineRule="auto"/>
              <w:rPr>
                <w:rFonts w:ascii="Arial" w:eastAsia="Times New Roman" w:hAnsi="Arial" w:cs="Arial"/>
                <w:b/>
                <w:bCs/>
                <w:color w:val="000000"/>
                <w:sz w:val="18"/>
                <w:szCs w:val="18"/>
                <w:lang w:eastAsia="bg-BG"/>
              </w:rPr>
            </w:pPr>
          </w:p>
        </w:tc>
        <w:tc>
          <w:tcPr>
            <w:tcW w:w="8358" w:type="dxa"/>
            <w:tcBorders>
              <w:top w:val="single" w:sz="4" w:space="0" w:color="auto"/>
              <w:left w:val="nil"/>
              <w:bottom w:val="single" w:sz="4" w:space="0" w:color="auto"/>
              <w:right w:val="single" w:sz="4" w:space="0" w:color="auto"/>
            </w:tcBorders>
            <w:shd w:val="clear" w:color="auto" w:fill="auto"/>
            <w:vAlign w:val="center"/>
          </w:tcPr>
          <w:p w14:paraId="184AE105" w14:textId="77777777" w:rsidR="00283064" w:rsidRDefault="00283064" w:rsidP="000608CB">
            <w:pPr>
              <w:spacing w:after="0" w:line="240" w:lineRule="auto"/>
              <w:rPr>
                <w:rFonts w:ascii="Arial" w:eastAsia="Times New Roman" w:hAnsi="Arial" w:cs="Arial"/>
                <w:color w:val="000000"/>
                <w:sz w:val="18"/>
                <w:szCs w:val="18"/>
                <w:lang w:eastAsia="bg-BG"/>
              </w:rPr>
            </w:pPr>
            <w:r>
              <w:rPr>
                <w:rFonts w:ascii="Arial" w:eastAsia="Times New Roman" w:hAnsi="Arial" w:cs="Arial"/>
                <w:color w:val="000000"/>
                <w:sz w:val="18"/>
                <w:szCs w:val="18"/>
                <w:lang w:val="bg-BG" w:eastAsia="bg-BG"/>
              </w:rPr>
              <w:t>Заеми</w:t>
            </w:r>
            <w:r w:rsidRPr="00314448">
              <w:rPr>
                <w:rFonts w:ascii="Arial" w:eastAsia="Times New Roman" w:hAnsi="Arial" w:cs="Arial"/>
                <w:color w:val="000000"/>
                <w:sz w:val="18"/>
                <w:szCs w:val="18"/>
                <w:lang w:eastAsia="bg-BG"/>
              </w:rPr>
              <w:br/>
              <w:t>(</w:t>
            </w:r>
            <w:r>
              <w:rPr>
                <w:rFonts w:ascii="Arial" w:eastAsia="Times New Roman" w:hAnsi="Arial" w:cs="Arial"/>
                <w:color w:val="000000"/>
                <w:sz w:val="18"/>
                <w:szCs w:val="18"/>
                <w:lang w:eastAsia="bg-BG"/>
              </w:rPr>
              <w:t xml:space="preserve">&gt;191.4 </w:t>
            </w:r>
            <w:r>
              <w:rPr>
                <w:rFonts w:ascii="Arial" w:eastAsia="Times New Roman" w:hAnsi="Arial" w:cs="Arial"/>
                <w:color w:val="000000"/>
                <w:sz w:val="18"/>
                <w:szCs w:val="18"/>
                <w:lang w:val="bg-BG" w:eastAsia="bg-BG"/>
              </w:rPr>
              <w:t>млн. евро</w:t>
            </w:r>
            <w:r w:rsidRPr="00314448">
              <w:rPr>
                <w:rFonts w:ascii="Arial" w:eastAsia="Times New Roman" w:hAnsi="Arial" w:cs="Arial"/>
                <w:color w:val="000000"/>
                <w:sz w:val="18"/>
                <w:szCs w:val="18"/>
                <w:lang w:eastAsia="bg-BG"/>
              </w:rPr>
              <w:t>)</w:t>
            </w:r>
          </w:p>
        </w:tc>
      </w:tr>
    </w:tbl>
    <w:p w14:paraId="2BF0F102" w14:textId="77777777" w:rsidR="00531A80" w:rsidRDefault="003752F3" w:rsidP="00531A80">
      <w:pPr>
        <w:jc w:val="both"/>
        <w:rPr>
          <w:rFonts w:ascii="Arial" w:hAnsi="Arial" w:cs="Arial"/>
          <w:sz w:val="20"/>
          <w:szCs w:val="20"/>
        </w:rPr>
      </w:pPr>
      <w:r>
        <w:rPr>
          <w:rFonts w:ascii="Arial" w:hAnsi="Arial" w:cs="Arial"/>
          <w:sz w:val="20"/>
          <w:szCs w:val="20"/>
          <w:lang w:val="bg-BG"/>
        </w:rPr>
        <w:t>Основните характеристики на предвидените финансови продукти са изложени по-долу.</w:t>
      </w:r>
      <w:r w:rsidR="00E13FD8">
        <w:rPr>
          <w:rFonts w:ascii="Arial" w:hAnsi="Arial" w:cs="Arial"/>
          <w:sz w:val="20"/>
          <w:szCs w:val="20"/>
        </w:rPr>
        <w:t xml:space="preserve"> </w:t>
      </w:r>
    </w:p>
    <w:p w14:paraId="555AADF2" w14:textId="77777777" w:rsidR="00531A80" w:rsidRPr="00CB021B" w:rsidRDefault="00CB021B" w:rsidP="00531A80">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Настоящата ИС предв</w:t>
      </w:r>
      <w:r w:rsidR="004C46E4">
        <w:rPr>
          <w:rFonts w:ascii="Arial" w:hAnsi="Arial" w:cs="Arial"/>
          <w:sz w:val="20"/>
          <w:szCs w:val="20"/>
          <w:lang w:val="bg-BG"/>
        </w:rPr>
        <w:t>ижда два финансови продукта, които да</w:t>
      </w:r>
      <w:r>
        <w:rPr>
          <w:rFonts w:ascii="Arial" w:hAnsi="Arial" w:cs="Arial"/>
          <w:sz w:val="20"/>
          <w:szCs w:val="20"/>
          <w:lang w:val="bg-BG"/>
        </w:rPr>
        <w:t xml:space="preserve"> адресират идентифицираните пазарни неуспехи</w:t>
      </w:r>
      <w:r w:rsidR="00531A80" w:rsidRPr="00CB021B">
        <w:rPr>
          <w:rFonts w:ascii="Arial" w:hAnsi="Arial" w:cs="Arial"/>
          <w:sz w:val="20"/>
          <w:szCs w:val="20"/>
          <w:lang w:val="bg-BG"/>
        </w:rPr>
        <w:t xml:space="preserve"> </w:t>
      </w:r>
      <w:r>
        <w:rPr>
          <w:rFonts w:ascii="Arial" w:hAnsi="Arial" w:cs="Arial"/>
          <w:sz w:val="20"/>
          <w:szCs w:val="20"/>
          <w:lang w:val="bg-BG"/>
        </w:rPr>
        <w:t>и неоптималните инвестиционни ситуации във ВиК сектора</w:t>
      </w:r>
      <w:r w:rsidR="00531A80" w:rsidRPr="00CB021B">
        <w:rPr>
          <w:rFonts w:ascii="Arial" w:hAnsi="Arial" w:cs="Arial"/>
          <w:sz w:val="20"/>
          <w:szCs w:val="20"/>
          <w:lang w:val="bg-BG"/>
        </w:rPr>
        <w:t>:</w:t>
      </w:r>
    </w:p>
    <w:p w14:paraId="12CFFD0D" w14:textId="77777777" w:rsidR="00531A80" w:rsidRPr="00AE5738" w:rsidRDefault="004C46E4" w:rsidP="00531A80">
      <w:pPr>
        <w:pStyle w:val="ListParagraph"/>
        <w:numPr>
          <w:ilvl w:val="0"/>
          <w:numId w:val="11"/>
        </w:numPr>
        <w:jc w:val="both"/>
        <w:rPr>
          <w:rFonts w:ascii="Arial" w:hAnsi="Arial" w:cs="Arial"/>
          <w:sz w:val="20"/>
          <w:szCs w:val="20"/>
          <w:lang w:val="bg-BG"/>
        </w:rPr>
      </w:pPr>
      <w:r w:rsidRPr="00AE5738">
        <w:rPr>
          <w:rFonts w:ascii="Arial" w:hAnsi="Arial" w:cs="Arial"/>
          <w:sz w:val="20"/>
          <w:szCs w:val="20"/>
          <w:lang w:val="bg-BG"/>
        </w:rPr>
        <w:t>Гаранции; и</w:t>
      </w:r>
    </w:p>
    <w:p w14:paraId="502B90EC" w14:textId="77777777" w:rsidR="00531A80" w:rsidRPr="00AE5738" w:rsidRDefault="004C46E4" w:rsidP="00531A80">
      <w:pPr>
        <w:pStyle w:val="ListParagraph"/>
        <w:numPr>
          <w:ilvl w:val="0"/>
          <w:numId w:val="11"/>
        </w:numPr>
        <w:jc w:val="both"/>
        <w:rPr>
          <w:rFonts w:ascii="Arial" w:hAnsi="Arial" w:cs="Arial"/>
          <w:sz w:val="20"/>
          <w:szCs w:val="20"/>
          <w:lang w:val="bg-BG"/>
        </w:rPr>
      </w:pPr>
      <w:r w:rsidRPr="00AE5738">
        <w:rPr>
          <w:rFonts w:ascii="Arial" w:hAnsi="Arial" w:cs="Arial"/>
          <w:sz w:val="20"/>
          <w:szCs w:val="20"/>
          <w:lang w:val="bg-BG"/>
        </w:rPr>
        <w:t>Заеми</w:t>
      </w:r>
      <w:r w:rsidR="00531A80" w:rsidRPr="00AE5738">
        <w:rPr>
          <w:rFonts w:ascii="Arial" w:hAnsi="Arial" w:cs="Arial"/>
          <w:sz w:val="20"/>
          <w:szCs w:val="20"/>
          <w:lang w:val="bg-BG"/>
        </w:rPr>
        <w:t>.</w:t>
      </w:r>
    </w:p>
    <w:p w14:paraId="3263863A" w14:textId="77777777" w:rsidR="00531A80" w:rsidRPr="004C46E4" w:rsidRDefault="004C46E4" w:rsidP="00E22D93">
      <w:pPr>
        <w:pStyle w:val="Caption"/>
        <w:rPr>
          <w:rFonts w:ascii="Arial" w:hAnsi="Arial" w:cs="Arial"/>
          <w:sz w:val="20"/>
          <w:szCs w:val="20"/>
          <w:lang w:val="bg-BG"/>
        </w:rPr>
      </w:pPr>
      <w:r>
        <w:rPr>
          <w:rFonts w:ascii="Arial" w:hAnsi="Arial" w:cs="Arial"/>
          <w:sz w:val="20"/>
          <w:szCs w:val="20"/>
          <w:lang w:val="bg-BG"/>
        </w:rPr>
        <w:t>Таблица</w:t>
      </w:r>
      <w:r w:rsidR="00280721" w:rsidRPr="00785B0F">
        <w:rPr>
          <w:rFonts w:ascii="Arial" w:hAnsi="Arial" w:cs="Arial"/>
          <w:sz w:val="20"/>
          <w:szCs w:val="20"/>
          <w:lang w:val="bg-BG"/>
        </w:rPr>
        <w:t xml:space="preserve"> </w:t>
      </w:r>
      <w:r w:rsidR="00331B39">
        <w:rPr>
          <w:rFonts w:ascii="Arial" w:hAnsi="Arial" w:cs="Arial"/>
          <w:sz w:val="20"/>
          <w:szCs w:val="20"/>
          <w:lang w:val="bg-BG"/>
        </w:rPr>
        <w:t>7</w:t>
      </w:r>
      <w:r w:rsidR="00280721" w:rsidRPr="00785B0F">
        <w:rPr>
          <w:rFonts w:ascii="Arial" w:hAnsi="Arial" w:cs="Arial"/>
          <w:sz w:val="20"/>
          <w:szCs w:val="20"/>
          <w:lang w:val="bg-BG"/>
        </w:rPr>
        <w:t xml:space="preserve">: </w:t>
      </w:r>
      <w:r>
        <w:rPr>
          <w:rFonts w:ascii="Arial" w:hAnsi="Arial" w:cs="Arial"/>
          <w:sz w:val="20"/>
          <w:szCs w:val="20"/>
          <w:lang w:val="bg-BG"/>
        </w:rPr>
        <w:t>Характеристики на финансов продукт по ПО 1 Води</w:t>
      </w:r>
      <w:r w:rsidR="00280721" w:rsidRPr="00785B0F">
        <w:rPr>
          <w:rFonts w:ascii="Arial" w:hAnsi="Arial" w:cs="Arial"/>
          <w:sz w:val="20"/>
          <w:szCs w:val="20"/>
          <w:lang w:val="bg-BG"/>
        </w:rPr>
        <w:t xml:space="preserve"> </w:t>
      </w:r>
      <w:r>
        <w:rPr>
          <w:rFonts w:ascii="Arial" w:hAnsi="Arial" w:cs="Arial"/>
          <w:sz w:val="20"/>
          <w:szCs w:val="20"/>
          <w:lang w:val="bg-BG"/>
        </w:rPr>
        <w:t>- Гаранции</w:t>
      </w:r>
    </w:p>
    <w:tbl>
      <w:tblPr>
        <w:tblW w:w="9990" w:type="dxa"/>
        <w:tblInd w:w="70" w:type="dxa"/>
        <w:tblCellMar>
          <w:left w:w="70" w:type="dxa"/>
          <w:right w:w="70" w:type="dxa"/>
        </w:tblCellMar>
        <w:tblLook w:val="04A0" w:firstRow="1" w:lastRow="0" w:firstColumn="1" w:lastColumn="0" w:noHBand="0" w:noVBand="1"/>
      </w:tblPr>
      <w:tblGrid>
        <w:gridCol w:w="2052"/>
        <w:gridCol w:w="7938"/>
      </w:tblGrid>
      <w:tr w:rsidR="00531A80" w:rsidRPr="00314448" w14:paraId="7AD515D1" w14:textId="77777777" w:rsidTr="008B5547">
        <w:trPr>
          <w:trHeight w:val="510"/>
          <w:tblHeader/>
        </w:trPr>
        <w:tc>
          <w:tcPr>
            <w:tcW w:w="20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212667" w14:textId="77777777" w:rsidR="00531A80" w:rsidRPr="004C46E4" w:rsidRDefault="004C46E4" w:rsidP="000878D4">
            <w:pPr>
              <w:spacing w:after="0" w:line="240" w:lineRule="auto"/>
              <w:rPr>
                <w:rFonts w:ascii="Arial" w:eastAsia="Times New Roman" w:hAnsi="Arial" w:cs="Arial"/>
                <w:b/>
                <w:bCs/>
                <w:color w:val="000000"/>
                <w:sz w:val="18"/>
                <w:szCs w:val="18"/>
                <w:lang w:val="bg-BG" w:eastAsia="bg-BG"/>
              </w:rPr>
            </w:pPr>
            <w:r>
              <w:rPr>
                <w:rFonts w:ascii="Arial" w:eastAsia="Times New Roman" w:hAnsi="Arial" w:cs="Arial"/>
                <w:b/>
                <w:bCs/>
                <w:color w:val="000000"/>
                <w:sz w:val="18"/>
                <w:szCs w:val="18"/>
                <w:lang w:val="bg-BG" w:eastAsia="bg-BG"/>
              </w:rPr>
              <w:t>Характеристики на финансовия продукт</w:t>
            </w:r>
          </w:p>
        </w:tc>
        <w:tc>
          <w:tcPr>
            <w:tcW w:w="7938" w:type="dxa"/>
            <w:tcBorders>
              <w:top w:val="single" w:sz="4" w:space="0" w:color="auto"/>
              <w:left w:val="nil"/>
              <w:bottom w:val="single" w:sz="4" w:space="0" w:color="auto"/>
              <w:right w:val="single" w:sz="4" w:space="0" w:color="auto"/>
            </w:tcBorders>
            <w:shd w:val="clear" w:color="000000" w:fill="D9D9D9"/>
            <w:vAlign w:val="center"/>
            <w:hideMark/>
          </w:tcPr>
          <w:p w14:paraId="25CB1443" w14:textId="77777777" w:rsidR="00531A80" w:rsidRPr="004C46E4" w:rsidRDefault="00531A80" w:rsidP="004C46E4">
            <w:pPr>
              <w:spacing w:after="0" w:line="240" w:lineRule="auto"/>
              <w:rPr>
                <w:rFonts w:ascii="Arial" w:eastAsia="Times New Roman" w:hAnsi="Arial" w:cs="Arial"/>
                <w:b/>
                <w:bCs/>
                <w:color w:val="000000"/>
                <w:sz w:val="18"/>
                <w:szCs w:val="18"/>
                <w:lang w:val="bg-BG" w:eastAsia="bg-BG"/>
              </w:rPr>
            </w:pPr>
            <w:r w:rsidRPr="00314448">
              <w:rPr>
                <w:rFonts w:ascii="Arial" w:eastAsia="Times New Roman" w:hAnsi="Arial" w:cs="Arial"/>
                <w:b/>
                <w:bCs/>
                <w:color w:val="000000"/>
                <w:sz w:val="18"/>
                <w:szCs w:val="18"/>
                <w:lang w:eastAsia="bg-BG"/>
              </w:rPr>
              <w:t xml:space="preserve">1. </w:t>
            </w:r>
            <w:r w:rsidR="004C46E4">
              <w:rPr>
                <w:rFonts w:ascii="Arial" w:eastAsia="Times New Roman" w:hAnsi="Arial" w:cs="Arial"/>
                <w:b/>
                <w:bCs/>
                <w:color w:val="000000"/>
                <w:sz w:val="18"/>
                <w:szCs w:val="18"/>
                <w:lang w:val="bg-BG" w:eastAsia="bg-BG"/>
              </w:rPr>
              <w:t>Гаранции</w:t>
            </w:r>
          </w:p>
        </w:tc>
      </w:tr>
      <w:tr w:rsidR="00E04336" w:rsidRPr="007B6C31" w14:paraId="2E9CEABE" w14:textId="77777777" w:rsidTr="008B5547">
        <w:trPr>
          <w:trHeight w:val="230"/>
        </w:trPr>
        <w:tc>
          <w:tcPr>
            <w:tcW w:w="2052" w:type="dxa"/>
            <w:tcBorders>
              <w:top w:val="nil"/>
              <w:left w:val="single" w:sz="4" w:space="0" w:color="auto"/>
              <w:bottom w:val="single" w:sz="4" w:space="0" w:color="auto"/>
              <w:right w:val="single" w:sz="4" w:space="0" w:color="auto"/>
            </w:tcBorders>
            <w:shd w:val="clear" w:color="auto" w:fill="auto"/>
          </w:tcPr>
          <w:p w14:paraId="5BB2FE11" w14:textId="77777777" w:rsidR="00E04336" w:rsidRPr="004C46E4" w:rsidRDefault="004C46E4" w:rsidP="00CE7180">
            <w:pPr>
              <w:spacing w:after="0" w:line="240" w:lineRule="auto"/>
              <w:rPr>
                <w:rFonts w:ascii="Arial" w:eastAsia="Times New Roman" w:hAnsi="Arial" w:cs="Arial"/>
                <w:color w:val="000000"/>
                <w:sz w:val="18"/>
                <w:szCs w:val="18"/>
                <w:lang w:val="bg-BG" w:eastAsia="bg-BG"/>
              </w:rPr>
            </w:pPr>
            <w:r>
              <w:rPr>
                <w:rFonts w:ascii="Arial" w:eastAsia="Times New Roman" w:hAnsi="Arial" w:cs="Arial"/>
                <w:color w:val="000000"/>
                <w:sz w:val="18"/>
                <w:szCs w:val="18"/>
                <w:lang w:val="bg-BG" w:eastAsia="bg-BG"/>
              </w:rPr>
              <w:lastRenderedPageBreak/>
              <w:t>Описание</w:t>
            </w:r>
          </w:p>
        </w:tc>
        <w:tc>
          <w:tcPr>
            <w:tcW w:w="7938" w:type="dxa"/>
            <w:tcBorders>
              <w:top w:val="nil"/>
              <w:left w:val="nil"/>
              <w:bottom w:val="single" w:sz="4" w:space="0" w:color="auto"/>
              <w:right w:val="single" w:sz="4" w:space="0" w:color="auto"/>
            </w:tcBorders>
            <w:shd w:val="clear" w:color="auto" w:fill="auto"/>
          </w:tcPr>
          <w:p w14:paraId="7CC9B7DA" w14:textId="77777777" w:rsidR="00021EE1" w:rsidRPr="004C46E4" w:rsidRDefault="004C46E4" w:rsidP="0042627C">
            <w:pPr>
              <w:spacing w:after="0" w:line="240" w:lineRule="auto"/>
              <w:rPr>
                <w:rFonts w:ascii="Arial" w:eastAsia="Times New Roman" w:hAnsi="Arial" w:cs="Arial"/>
                <w:color w:val="000000"/>
                <w:sz w:val="18"/>
                <w:szCs w:val="18"/>
                <w:lang w:val="bg-BG" w:eastAsia="bg-BG"/>
              </w:rPr>
            </w:pPr>
            <w:r w:rsidRPr="004C46E4">
              <w:rPr>
                <w:rFonts w:ascii="Arial" w:eastAsia="Times New Roman" w:hAnsi="Arial" w:cs="Arial"/>
                <w:color w:val="000000"/>
                <w:sz w:val="18"/>
                <w:szCs w:val="18"/>
                <w:lang w:val="bg-BG" w:eastAsia="bg-BG"/>
              </w:rPr>
              <w:t>Ще бъдат предоставяни гаранции за покриване на част от кредитния риск</w:t>
            </w:r>
            <w:r w:rsidR="00021EE1" w:rsidRPr="004C46E4">
              <w:rPr>
                <w:rFonts w:ascii="Arial" w:eastAsia="Times New Roman" w:hAnsi="Arial" w:cs="Arial"/>
                <w:color w:val="000000"/>
                <w:sz w:val="18"/>
                <w:szCs w:val="18"/>
                <w:lang w:val="bg-BG" w:eastAsia="bg-BG"/>
              </w:rPr>
              <w:t xml:space="preserve"> </w:t>
            </w:r>
            <w:r w:rsidRPr="004C46E4">
              <w:rPr>
                <w:rFonts w:ascii="Arial" w:eastAsia="Times New Roman" w:hAnsi="Arial" w:cs="Arial"/>
                <w:color w:val="000000"/>
                <w:sz w:val="18"/>
                <w:szCs w:val="18"/>
                <w:lang w:val="bg-BG" w:eastAsia="bg-BG"/>
              </w:rPr>
              <w:t>на ниво отде</w:t>
            </w:r>
            <w:r w:rsidR="000A50F0">
              <w:rPr>
                <w:rFonts w:ascii="Arial" w:eastAsia="Times New Roman" w:hAnsi="Arial" w:cs="Arial"/>
                <w:color w:val="000000"/>
                <w:sz w:val="18"/>
                <w:szCs w:val="18"/>
                <w:lang w:val="bg-BG" w:eastAsia="bg-BG"/>
              </w:rPr>
              <w:t>лен заем към допустимите</w:t>
            </w:r>
            <w:r w:rsidRPr="004C46E4">
              <w:rPr>
                <w:rFonts w:ascii="Arial" w:eastAsia="Times New Roman" w:hAnsi="Arial" w:cs="Arial"/>
                <w:color w:val="000000"/>
                <w:sz w:val="18"/>
                <w:szCs w:val="18"/>
                <w:lang w:val="bg-BG" w:eastAsia="bg-BG"/>
              </w:rPr>
              <w:t xml:space="preserve"> крайни получатели</w:t>
            </w:r>
            <w:r w:rsidR="009D44D3">
              <w:rPr>
                <w:rFonts w:ascii="Arial" w:eastAsia="Times New Roman" w:hAnsi="Arial" w:cs="Arial"/>
                <w:color w:val="000000"/>
                <w:sz w:val="18"/>
                <w:szCs w:val="18"/>
                <w:lang w:val="bg-BG" w:eastAsia="bg-BG"/>
              </w:rPr>
              <w:t>.</w:t>
            </w:r>
          </w:p>
          <w:p w14:paraId="619F12B1" w14:textId="77777777" w:rsidR="00021EE1" w:rsidRPr="004C46E4" w:rsidRDefault="00793BA2" w:rsidP="00075EB6">
            <w:pPr>
              <w:spacing w:after="0" w:line="240" w:lineRule="auto"/>
              <w:rPr>
                <w:rFonts w:ascii="Arial" w:eastAsia="Times New Roman" w:hAnsi="Arial" w:cs="Arial"/>
                <w:color w:val="000000"/>
                <w:sz w:val="18"/>
                <w:szCs w:val="18"/>
                <w:lang w:val="bg-BG" w:eastAsia="bg-BG"/>
              </w:rPr>
            </w:pPr>
            <w:r w:rsidRPr="004C46E4">
              <w:rPr>
                <w:rFonts w:ascii="Arial" w:eastAsia="Times New Roman" w:hAnsi="Arial" w:cs="Arial"/>
                <w:color w:val="000000"/>
                <w:sz w:val="18"/>
                <w:szCs w:val="18"/>
                <w:lang w:val="bg-BG" w:eastAsia="bg-BG"/>
              </w:rPr>
              <w:t>Гаранциите ще бъдат издавани от специалната инвестиционна структура (DIV)</w:t>
            </w:r>
            <w:r>
              <w:rPr>
                <w:rFonts w:ascii="Arial" w:eastAsia="Times New Roman" w:hAnsi="Arial" w:cs="Arial"/>
                <w:color w:val="000000"/>
                <w:sz w:val="18"/>
                <w:szCs w:val="18"/>
                <w:lang w:val="bg-BG" w:eastAsia="bg-BG"/>
              </w:rPr>
              <w:t xml:space="preserve"> </w:t>
            </w:r>
            <w:r w:rsidR="00DC35B1">
              <w:rPr>
                <w:rFonts w:ascii="Arial" w:eastAsia="Times New Roman" w:hAnsi="Arial" w:cs="Arial"/>
                <w:color w:val="000000"/>
                <w:sz w:val="18"/>
                <w:szCs w:val="18"/>
                <w:lang w:val="bg-BG" w:eastAsia="bg-BG"/>
              </w:rPr>
              <w:t xml:space="preserve">или от ФМФИБ </w:t>
            </w:r>
            <w:r>
              <w:rPr>
                <w:rFonts w:ascii="Arial" w:eastAsia="Times New Roman" w:hAnsi="Arial" w:cs="Arial"/>
                <w:color w:val="000000"/>
                <w:sz w:val="18"/>
                <w:szCs w:val="18"/>
                <w:lang w:val="bg-BG" w:eastAsia="bg-BG"/>
              </w:rPr>
              <w:t>в полза на</w:t>
            </w:r>
            <w:r w:rsidRPr="004C46E4">
              <w:rPr>
                <w:rFonts w:ascii="Arial" w:eastAsia="Times New Roman" w:hAnsi="Arial" w:cs="Arial"/>
                <w:color w:val="000000"/>
                <w:sz w:val="18"/>
                <w:szCs w:val="18"/>
                <w:lang w:val="bg-BG" w:eastAsia="bg-BG"/>
              </w:rPr>
              <w:t xml:space="preserve"> търговските банки.</w:t>
            </w:r>
          </w:p>
        </w:tc>
      </w:tr>
      <w:tr w:rsidR="00CE7180" w:rsidRPr="007B6C31" w14:paraId="0582E05D" w14:textId="77777777" w:rsidTr="008B5547">
        <w:trPr>
          <w:trHeight w:val="230"/>
        </w:trPr>
        <w:tc>
          <w:tcPr>
            <w:tcW w:w="2052" w:type="dxa"/>
            <w:tcBorders>
              <w:top w:val="nil"/>
              <w:left w:val="single" w:sz="4" w:space="0" w:color="auto"/>
              <w:bottom w:val="single" w:sz="4" w:space="0" w:color="auto"/>
              <w:right w:val="single" w:sz="4" w:space="0" w:color="auto"/>
            </w:tcBorders>
            <w:shd w:val="clear" w:color="auto" w:fill="auto"/>
            <w:hideMark/>
          </w:tcPr>
          <w:p w14:paraId="54E637B7" w14:textId="77777777" w:rsidR="00CE7180" w:rsidRPr="006A03CA" w:rsidRDefault="006A03CA" w:rsidP="00CE7180">
            <w:pPr>
              <w:spacing w:after="0" w:line="240" w:lineRule="auto"/>
              <w:rPr>
                <w:rFonts w:ascii="Arial" w:eastAsia="Times New Roman" w:hAnsi="Arial" w:cs="Arial"/>
                <w:color w:val="000000"/>
                <w:sz w:val="18"/>
                <w:szCs w:val="18"/>
                <w:lang w:val="bg-BG" w:eastAsia="bg-BG"/>
              </w:rPr>
            </w:pPr>
            <w:r>
              <w:rPr>
                <w:rFonts w:ascii="Arial" w:eastAsia="Times New Roman" w:hAnsi="Arial" w:cs="Arial"/>
                <w:color w:val="000000"/>
                <w:sz w:val="18"/>
                <w:szCs w:val="18"/>
                <w:lang w:val="bg-BG" w:eastAsia="bg-BG"/>
              </w:rPr>
              <w:t>Допустими проекти</w:t>
            </w:r>
          </w:p>
        </w:tc>
        <w:tc>
          <w:tcPr>
            <w:tcW w:w="7938" w:type="dxa"/>
            <w:tcBorders>
              <w:top w:val="nil"/>
              <w:left w:val="nil"/>
              <w:bottom w:val="single" w:sz="4" w:space="0" w:color="auto"/>
              <w:right w:val="single" w:sz="4" w:space="0" w:color="auto"/>
            </w:tcBorders>
            <w:shd w:val="clear" w:color="auto" w:fill="auto"/>
            <w:hideMark/>
          </w:tcPr>
          <w:p w14:paraId="1EF44644" w14:textId="77777777" w:rsidR="00396D04" w:rsidRPr="004C46E4" w:rsidRDefault="004C46E4" w:rsidP="0042627C">
            <w:pPr>
              <w:pStyle w:val="ListParagraph"/>
              <w:numPr>
                <w:ilvl w:val="0"/>
                <w:numId w:val="53"/>
              </w:numPr>
              <w:spacing w:after="0" w:line="240" w:lineRule="auto"/>
              <w:rPr>
                <w:rFonts w:ascii="Arial" w:eastAsia="Times New Roman" w:hAnsi="Arial" w:cs="Arial"/>
                <w:color w:val="000000"/>
                <w:sz w:val="18"/>
                <w:szCs w:val="18"/>
                <w:lang w:val="bg-BG" w:eastAsia="bg-BG"/>
              </w:rPr>
            </w:pPr>
            <w:r w:rsidRPr="004C46E4">
              <w:rPr>
                <w:rFonts w:ascii="Arial" w:eastAsia="Times New Roman" w:hAnsi="Arial" w:cs="Arial"/>
                <w:color w:val="000000"/>
                <w:sz w:val="18"/>
                <w:szCs w:val="18"/>
                <w:lang w:val="bg-BG" w:eastAsia="bg-BG"/>
              </w:rPr>
              <w:t>Проектите следва да бъдат устойчиви и финансово жизнеспособни</w:t>
            </w:r>
            <w:r w:rsidR="008B710B" w:rsidRPr="004C46E4">
              <w:rPr>
                <w:rFonts w:ascii="Arial" w:eastAsia="Times New Roman" w:hAnsi="Arial" w:cs="Arial"/>
                <w:color w:val="000000"/>
                <w:sz w:val="18"/>
                <w:szCs w:val="18"/>
                <w:lang w:val="bg-BG" w:eastAsia="bg-BG"/>
              </w:rPr>
              <w:t xml:space="preserve">. </w:t>
            </w:r>
          </w:p>
          <w:p w14:paraId="1C386FEE" w14:textId="77777777" w:rsidR="00E13FD8" w:rsidRPr="00C02DBB" w:rsidRDefault="00AE4E26" w:rsidP="009E2898">
            <w:pPr>
              <w:pStyle w:val="ListParagraph"/>
              <w:numPr>
                <w:ilvl w:val="0"/>
                <w:numId w:val="53"/>
              </w:numPr>
              <w:spacing w:after="0" w:line="240" w:lineRule="auto"/>
              <w:jc w:val="both"/>
              <w:rPr>
                <w:rFonts w:ascii="Arial" w:eastAsia="Times New Roman" w:hAnsi="Arial" w:cs="Arial"/>
                <w:color w:val="000000"/>
                <w:sz w:val="18"/>
                <w:szCs w:val="18"/>
                <w:lang w:val="bg-BG" w:eastAsia="bg-BG"/>
              </w:rPr>
            </w:pPr>
            <w:r>
              <w:rPr>
                <w:rFonts w:ascii="Arial" w:eastAsia="Times New Roman" w:hAnsi="Arial" w:cs="Arial"/>
                <w:color w:val="000000"/>
                <w:sz w:val="18"/>
                <w:szCs w:val="18"/>
                <w:lang w:val="bg-BG" w:eastAsia="bg-BG"/>
              </w:rPr>
              <w:t>П</w:t>
            </w:r>
            <w:r w:rsidR="004C46E4" w:rsidRPr="004C46E4">
              <w:rPr>
                <w:rFonts w:ascii="Arial" w:eastAsia="Times New Roman" w:hAnsi="Arial" w:cs="Arial"/>
                <w:color w:val="000000"/>
                <w:sz w:val="18"/>
                <w:szCs w:val="18"/>
                <w:lang w:val="bg-BG" w:eastAsia="bg-BG"/>
              </w:rPr>
              <w:t>роект</w:t>
            </w:r>
            <w:r w:rsidR="00C02DBB">
              <w:rPr>
                <w:rFonts w:ascii="Arial" w:eastAsia="Times New Roman" w:hAnsi="Arial" w:cs="Arial"/>
                <w:color w:val="000000"/>
                <w:sz w:val="18"/>
                <w:szCs w:val="18"/>
                <w:lang w:val="bg-BG" w:eastAsia="bg-BG"/>
              </w:rPr>
              <w:t xml:space="preserve">ите следва да </w:t>
            </w:r>
            <w:r w:rsidR="00C02DBB" w:rsidRPr="00C02DBB">
              <w:rPr>
                <w:rFonts w:ascii="Arial" w:eastAsia="Times New Roman" w:hAnsi="Arial" w:cs="Arial"/>
                <w:color w:val="000000"/>
                <w:sz w:val="18"/>
                <w:szCs w:val="18"/>
                <w:lang w:val="bg-BG" w:eastAsia="bg-BG"/>
              </w:rPr>
              <w:t>бъдат насочени към</w:t>
            </w:r>
            <w:r w:rsidR="00C02DBB">
              <w:rPr>
                <w:rFonts w:ascii="Arial" w:eastAsia="Times New Roman" w:hAnsi="Arial" w:cs="Arial"/>
                <w:color w:val="000000"/>
                <w:sz w:val="18"/>
                <w:szCs w:val="18"/>
                <w:lang w:val="bg-BG" w:eastAsia="bg-BG"/>
              </w:rPr>
              <w:t xml:space="preserve"> </w:t>
            </w:r>
            <w:r w:rsidR="00C02DBB" w:rsidRPr="00C02DBB">
              <w:rPr>
                <w:rFonts w:ascii="Arial" w:eastAsia="Times New Roman" w:hAnsi="Arial" w:cs="Arial"/>
                <w:color w:val="000000"/>
                <w:sz w:val="18"/>
                <w:szCs w:val="18"/>
                <w:lang w:val="bg-BG" w:eastAsia="bg-BG"/>
              </w:rPr>
              <w:t>агломерации с над 10 000 е</w:t>
            </w:r>
            <w:r w:rsidR="00C02DBB">
              <w:rPr>
                <w:rFonts w:ascii="Arial" w:eastAsia="Times New Roman" w:hAnsi="Arial" w:cs="Arial"/>
                <w:color w:val="000000"/>
                <w:sz w:val="18"/>
                <w:szCs w:val="18"/>
                <w:lang w:val="bg-BG" w:eastAsia="bg-BG"/>
              </w:rPr>
              <w:t>кв</w:t>
            </w:r>
            <w:r w:rsidR="00C02DBB" w:rsidRPr="00C02DBB">
              <w:rPr>
                <w:rFonts w:ascii="Arial" w:eastAsia="Times New Roman" w:hAnsi="Arial" w:cs="Arial"/>
                <w:color w:val="000000"/>
                <w:sz w:val="18"/>
                <w:szCs w:val="18"/>
                <w:lang w:val="bg-BG" w:eastAsia="bg-BG"/>
              </w:rPr>
              <w:t>.</w:t>
            </w:r>
            <w:r w:rsidR="00C02DBB">
              <w:rPr>
                <w:rFonts w:ascii="Arial" w:eastAsia="Times New Roman" w:hAnsi="Arial" w:cs="Arial"/>
                <w:color w:val="000000"/>
                <w:sz w:val="18"/>
                <w:szCs w:val="18"/>
                <w:lang w:val="bg-BG" w:eastAsia="bg-BG"/>
              </w:rPr>
              <w:t xml:space="preserve"> </w:t>
            </w:r>
            <w:r w:rsidR="00C02DBB" w:rsidRPr="00C02DBB">
              <w:rPr>
                <w:rFonts w:ascii="Arial" w:eastAsia="Times New Roman" w:hAnsi="Arial" w:cs="Arial"/>
                <w:color w:val="000000"/>
                <w:sz w:val="18"/>
                <w:szCs w:val="18"/>
                <w:lang w:val="bg-BG" w:eastAsia="bg-BG"/>
              </w:rPr>
              <w:t>ж. на територи</w:t>
            </w:r>
            <w:r>
              <w:rPr>
                <w:rFonts w:ascii="Arial" w:eastAsia="Times New Roman" w:hAnsi="Arial" w:cs="Arial"/>
                <w:color w:val="000000"/>
                <w:sz w:val="18"/>
                <w:szCs w:val="18"/>
                <w:lang w:val="bg-BG" w:eastAsia="bg-BG"/>
              </w:rPr>
              <w:t xml:space="preserve">и, обслужвани от </w:t>
            </w:r>
            <w:r w:rsidR="00C02DBB" w:rsidRPr="00C02DBB">
              <w:rPr>
                <w:rFonts w:ascii="Arial" w:eastAsia="Times New Roman" w:hAnsi="Arial" w:cs="Arial"/>
                <w:color w:val="000000"/>
                <w:sz w:val="18"/>
                <w:szCs w:val="18"/>
                <w:lang w:val="bg-BG" w:eastAsia="bg-BG"/>
              </w:rPr>
              <w:t>консолидиран</w:t>
            </w:r>
            <w:r>
              <w:rPr>
                <w:rFonts w:ascii="Arial" w:eastAsia="Times New Roman" w:hAnsi="Arial" w:cs="Arial"/>
                <w:color w:val="000000"/>
                <w:sz w:val="18"/>
                <w:szCs w:val="18"/>
                <w:lang w:val="bg-BG" w:eastAsia="bg-BG"/>
              </w:rPr>
              <w:t>и</w:t>
            </w:r>
            <w:r w:rsidR="00C02DBB">
              <w:rPr>
                <w:rFonts w:ascii="Arial" w:eastAsia="Times New Roman" w:hAnsi="Arial" w:cs="Arial"/>
                <w:color w:val="000000"/>
                <w:sz w:val="18"/>
                <w:szCs w:val="18"/>
                <w:lang w:val="bg-BG" w:eastAsia="bg-BG"/>
              </w:rPr>
              <w:t xml:space="preserve"> ВиКО.</w:t>
            </w:r>
          </w:p>
          <w:p w14:paraId="3C2AAD0A" w14:textId="77777777" w:rsidR="00734618" w:rsidRPr="004C46E4" w:rsidRDefault="004C46E4" w:rsidP="005E151F">
            <w:pPr>
              <w:pStyle w:val="ListParagraph"/>
              <w:numPr>
                <w:ilvl w:val="0"/>
                <w:numId w:val="53"/>
              </w:numPr>
              <w:spacing w:after="0" w:line="240" w:lineRule="auto"/>
              <w:rPr>
                <w:rFonts w:ascii="Arial" w:hAnsi="Arial" w:cs="Arial"/>
                <w:sz w:val="18"/>
                <w:szCs w:val="18"/>
                <w:lang w:val="bg-BG" w:eastAsia="bg-BG"/>
              </w:rPr>
            </w:pPr>
            <w:r>
              <w:rPr>
                <w:rFonts w:ascii="Arial" w:hAnsi="Arial" w:cs="Arial"/>
                <w:sz w:val="18"/>
                <w:szCs w:val="18"/>
                <w:lang w:val="bg-BG" w:eastAsia="bg-BG"/>
              </w:rPr>
              <w:t>Допустими</w:t>
            </w:r>
            <w:r w:rsidR="00724056">
              <w:rPr>
                <w:rFonts w:ascii="Arial" w:hAnsi="Arial" w:cs="Arial"/>
                <w:sz w:val="18"/>
                <w:szCs w:val="18"/>
                <w:lang w:val="bg-BG" w:eastAsia="bg-BG"/>
              </w:rPr>
              <w:t>те</w:t>
            </w:r>
            <w:r>
              <w:rPr>
                <w:rFonts w:ascii="Arial" w:hAnsi="Arial" w:cs="Arial"/>
                <w:sz w:val="18"/>
                <w:szCs w:val="18"/>
                <w:lang w:val="bg-BG" w:eastAsia="bg-BG"/>
              </w:rPr>
              <w:t xml:space="preserve"> проекти</w:t>
            </w:r>
            <w:r w:rsidR="007249D8">
              <w:rPr>
                <w:rFonts w:ascii="Arial" w:hAnsi="Arial" w:cs="Arial"/>
                <w:sz w:val="18"/>
                <w:szCs w:val="18"/>
                <w:lang w:val="bg-BG" w:eastAsia="bg-BG"/>
              </w:rPr>
              <w:t xml:space="preserve"> съгласно ПО 1 на ОПОС </w:t>
            </w:r>
            <w:r>
              <w:rPr>
                <w:rFonts w:ascii="Arial" w:hAnsi="Arial" w:cs="Arial"/>
                <w:sz w:val="18"/>
                <w:szCs w:val="18"/>
                <w:lang w:val="bg-BG" w:eastAsia="bg-BG"/>
              </w:rPr>
              <w:t xml:space="preserve"> включват</w:t>
            </w:r>
            <w:r w:rsidR="004D4B93">
              <w:rPr>
                <w:rFonts w:ascii="Arial" w:hAnsi="Arial" w:cs="Arial"/>
                <w:sz w:val="18"/>
                <w:szCs w:val="18"/>
                <w:lang w:val="bg-BG" w:eastAsia="bg-BG"/>
              </w:rPr>
              <w:t xml:space="preserve"> следните</w:t>
            </w:r>
            <w:r w:rsidR="000A39EE">
              <w:rPr>
                <w:rFonts w:ascii="Arial" w:hAnsi="Arial" w:cs="Arial"/>
                <w:sz w:val="18"/>
                <w:szCs w:val="18"/>
                <w:lang w:val="bg-BG" w:eastAsia="bg-BG"/>
              </w:rPr>
              <w:t xml:space="preserve"> дейности</w:t>
            </w:r>
            <w:r w:rsidR="00734618" w:rsidRPr="004C46E4">
              <w:rPr>
                <w:rFonts w:ascii="Arial" w:hAnsi="Arial" w:cs="Arial"/>
                <w:sz w:val="18"/>
                <w:szCs w:val="18"/>
                <w:lang w:val="bg-BG" w:eastAsia="bg-BG"/>
              </w:rPr>
              <w:t xml:space="preserve">: </w:t>
            </w:r>
          </w:p>
          <w:p w14:paraId="4C3D3F95" w14:textId="77777777" w:rsidR="00B25879" w:rsidRPr="00C02DBB" w:rsidRDefault="00C02DBB" w:rsidP="009E2898">
            <w:pPr>
              <w:pStyle w:val="ListParagraph"/>
              <w:numPr>
                <w:ilvl w:val="0"/>
                <w:numId w:val="20"/>
              </w:numPr>
              <w:spacing w:after="0" w:line="240" w:lineRule="auto"/>
              <w:jc w:val="both"/>
              <w:rPr>
                <w:rFonts w:ascii="Arial" w:eastAsia="Times New Roman" w:hAnsi="Arial" w:cs="Arial"/>
                <w:color w:val="000000"/>
                <w:sz w:val="18"/>
                <w:szCs w:val="18"/>
                <w:lang w:val="bg-BG" w:eastAsia="bg-BG"/>
              </w:rPr>
            </w:pPr>
            <w:r w:rsidRPr="00C02DBB">
              <w:rPr>
                <w:rFonts w:ascii="Arial" w:eastAsia="Times New Roman" w:hAnsi="Arial" w:cs="Arial"/>
                <w:color w:val="000000"/>
                <w:sz w:val="18"/>
                <w:szCs w:val="18"/>
                <w:lang w:val="bg-BG" w:eastAsia="bg-BG"/>
              </w:rPr>
              <w:t>Проектиране/изграждане/</w:t>
            </w:r>
            <w:r w:rsidR="00E6069C" w:rsidRPr="00C02DBB" w:rsidDel="00E6069C">
              <w:rPr>
                <w:rFonts w:ascii="Arial" w:eastAsia="Times New Roman" w:hAnsi="Arial" w:cs="Arial"/>
                <w:color w:val="000000"/>
                <w:sz w:val="18"/>
                <w:szCs w:val="18"/>
                <w:lang w:val="bg-BG" w:eastAsia="bg-BG"/>
              </w:rPr>
              <w:t xml:space="preserve"> </w:t>
            </w:r>
            <w:r w:rsidRPr="00C02DBB">
              <w:rPr>
                <w:rFonts w:ascii="Arial" w:eastAsia="Times New Roman" w:hAnsi="Arial" w:cs="Arial"/>
                <w:color w:val="000000"/>
                <w:sz w:val="18"/>
                <w:szCs w:val="18"/>
                <w:lang w:val="bg-BG" w:eastAsia="bg-BG"/>
              </w:rPr>
              <w:t>реконструкция на съоръжения за пречистване на отпадъчните води, вкл. на съоръжения за</w:t>
            </w:r>
            <w:r w:rsidR="00B25879" w:rsidRPr="004C46E4">
              <w:rPr>
                <w:rFonts w:ascii="Arial" w:eastAsia="Times New Roman" w:hAnsi="Arial" w:cs="Arial"/>
                <w:color w:val="000000"/>
                <w:sz w:val="18"/>
                <w:szCs w:val="18"/>
                <w:lang w:val="bg-BG" w:eastAsia="bg-BG"/>
              </w:rPr>
              <w:t xml:space="preserve"> </w:t>
            </w:r>
            <w:r w:rsidRPr="00C02DBB">
              <w:rPr>
                <w:rFonts w:ascii="Arial" w:eastAsia="Times New Roman" w:hAnsi="Arial" w:cs="Arial"/>
                <w:color w:val="000000"/>
                <w:sz w:val="18"/>
                <w:szCs w:val="18"/>
                <w:lang w:val="bg-BG" w:eastAsia="bg-BG"/>
              </w:rPr>
              <w:t>третиране на утайки (съгласно изискванията на Директивата за пречистване на отпадъчните води и условията в разрешителното за</w:t>
            </w:r>
            <w:r>
              <w:rPr>
                <w:rFonts w:ascii="Arial" w:eastAsia="Times New Roman" w:hAnsi="Arial" w:cs="Arial"/>
                <w:color w:val="000000"/>
                <w:sz w:val="18"/>
                <w:szCs w:val="18"/>
                <w:lang w:val="bg-BG" w:eastAsia="bg-BG"/>
              </w:rPr>
              <w:t xml:space="preserve"> </w:t>
            </w:r>
            <w:r w:rsidRPr="00C02DBB">
              <w:rPr>
                <w:rFonts w:ascii="Arial" w:eastAsia="Times New Roman" w:hAnsi="Arial" w:cs="Arial"/>
                <w:color w:val="000000"/>
                <w:sz w:val="18"/>
                <w:szCs w:val="18"/>
                <w:lang w:val="bg-BG" w:eastAsia="bg-BG"/>
              </w:rPr>
              <w:t>заустване, вкл. осигуряване на по-строго пречистване с отстраняване на биогенни елементи от отпадъчните води – за агломерации над</w:t>
            </w:r>
            <w:r>
              <w:rPr>
                <w:rFonts w:ascii="Arial" w:eastAsia="Times New Roman" w:hAnsi="Arial" w:cs="Arial"/>
                <w:color w:val="000000"/>
                <w:sz w:val="18"/>
                <w:szCs w:val="18"/>
                <w:lang w:val="bg-BG" w:eastAsia="bg-BG"/>
              </w:rPr>
              <w:t xml:space="preserve"> </w:t>
            </w:r>
            <w:r w:rsidRPr="00C02DBB">
              <w:rPr>
                <w:rFonts w:ascii="Arial" w:eastAsia="Times New Roman" w:hAnsi="Arial" w:cs="Arial"/>
                <w:color w:val="000000"/>
                <w:sz w:val="18"/>
                <w:szCs w:val="18"/>
                <w:lang w:val="bg-BG" w:eastAsia="bg-BG"/>
              </w:rPr>
              <w:t>10,000 е</w:t>
            </w:r>
            <w:r>
              <w:rPr>
                <w:rFonts w:ascii="Arial" w:eastAsia="Times New Roman" w:hAnsi="Arial" w:cs="Arial"/>
                <w:color w:val="000000"/>
                <w:sz w:val="18"/>
                <w:szCs w:val="18"/>
                <w:lang w:val="bg-BG" w:eastAsia="bg-BG"/>
              </w:rPr>
              <w:t>кв</w:t>
            </w:r>
            <w:r w:rsidRPr="00C02DBB">
              <w:rPr>
                <w:rFonts w:ascii="Arial" w:eastAsia="Times New Roman" w:hAnsi="Arial" w:cs="Arial"/>
                <w:color w:val="000000"/>
                <w:sz w:val="18"/>
                <w:szCs w:val="18"/>
                <w:lang w:val="bg-BG" w:eastAsia="bg-BG"/>
              </w:rPr>
              <w:t>.</w:t>
            </w:r>
            <w:r>
              <w:rPr>
                <w:rFonts w:ascii="Arial" w:eastAsia="Times New Roman" w:hAnsi="Arial" w:cs="Arial"/>
                <w:color w:val="000000"/>
                <w:sz w:val="18"/>
                <w:szCs w:val="18"/>
                <w:lang w:val="bg-BG" w:eastAsia="bg-BG"/>
              </w:rPr>
              <w:t xml:space="preserve"> </w:t>
            </w:r>
            <w:r w:rsidRPr="00C02DBB">
              <w:rPr>
                <w:rFonts w:ascii="Arial" w:eastAsia="Times New Roman" w:hAnsi="Arial" w:cs="Arial"/>
                <w:color w:val="000000"/>
                <w:sz w:val="18"/>
                <w:szCs w:val="18"/>
                <w:lang w:val="bg-BG" w:eastAsia="bg-BG"/>
              </w:rPr>
              <w:t>ж., заустващи в чувствителни зони);</w:t>
            </w:r>
          </w:p>
          <w:p w14:paraId="64BD26FF" w14:textId="77777777" w:rsidR="00C02DBB" w:rsidRPr="00FA4400" w:rsidRDefault="00C02DBB" w:rsidP="009E2898">
            <w:pPr>
              <w:pStyle w:val="ListParagraph"/>
              <w:numPr>
                <w:ilvl w:val="0"/>
                <w:numId w:val="20"/>
              </w:numPr>
              <w:spacing w:after="0" w:line="240" w:lineRule="auto"/>
              <w:jc w:val="both"/>
              <w:rPr>
                <w:rFonts w:ascii="Arial" w:eastAsia="Times New Roman" w:hAnsi="Arial" w:cs="Arial"/>
                <w:color w:val="000000"/>
                <w:sz w:val="18"/>
                <w:szCs w:val="18"/>
                <w:lang w:val="bg-BG" w:eastAsia="bg-BG"/>
              </w:rPr>
            </w:pPr>
            <w:r w:rsidRPr="00C02DBB">
              <w:rPr>
                <w:rFonts w:ascii="Arial" w:eastAsia="Times New Roman" w:hAnsi="Arial" w:cs="Arial"/>
                <w:color w:val="000000"/>
                <w:sz w:val="18"/>
                <w:szCs w:val="18"/>
                <w:lang w:val="bg-BG" w:eastAsia="bg-BG"/>
              </w:rPr>
              <w:t>Проектиране/изграждане/реконструкция или подмяна на канализационни мрежи и съоръжения към или от ПСОВ с цел</w:t>
            </w:r>
            <w:r w:rsidR="00FA4400">
              <w:rPr>
                <w:rFonts w:ascii="Arial" w:eastAsia="Times New Roman" w:hAnsi="Arial" w:cs="Arial"/>
                <w:color w:val="000000"/>
                <w:sz w:val="18"/>
                <w:szCs w:val="18"/>
                <w:lang w:val="bg-BG" w:eastAsia="bg-BG"/>
              </w:rPr>
              <w:t xml:space="preserve"> </w:t>
            </w:r>
            <w:r w:rsidRPr="00FA4400">
              <w:rPr>
                <w:rFonts w:ascii="Arial" w:eastAsia="Times New Roman" w:hAnsi="Arial" w:cs="Arial"/>
                <w:color w:val="000000"/>
                <w:sz w:val="18"/>
                <w:szCs w:val="18"/>
                <w:lang w:val="bg-BG" w:eastAsia="bg-BG"/>
              </w:rPr>
              <w:t>приоритетно осигуряване на екологосъобразно и икономически ефективно функциониране на ВиК системите, съобразно ангажиментите</w:t>
            </w:r>
            <w:r w:rsidR="00FA4400">
              <w:rPr>
                <w:rFonts w:ascii="Arial" w:eastAsia="Times New Roman" w:hAnsi="Arial" w:cs="Arial"/>
                <w:color w:val="000000"/>
                <w:sz w:val="18"/>
                <w:szCs w:val="18"/>
                <w:lang w:val="bg-BG" w:eastAsia="bg-BG"/>
              </w:rPr>
              <w:t xml:space="preserve"> </w:t>
            </w:r>
            <w:r w:rsidRPr="00FA4400">
              <w:rPr>
                <w:rFonts w:ascii="Arial" w:eastAsia="Times New Roman" w:hAnsi="Arial" w:cs="Arial"/>
                <w:color w:val="000000"/>
                <w:sz w:val="18"/>
                <w:szCs w:val="18"/>
                <w:lang w:val="bg-BG" w:eastAsia="bg-BG"/>
              </w:rPr>
              <w:t>на страната по Директивата за пречистване на градските отпадъчни води;</w:t>
            </w:r>
          </w:p>
          <w:p w14:paraId="478DE5BE" w14:textId="77777777" w:rsidR="00FA4400" w:rsidRPr="00FA4400" w:rsidRDefault="00FA4400" w:rsidP="009E2898">
            <w:pPr>
              <w:pStyle w:val="ListParagraph"/>
              <w:numPr>
                <w:ilvl w:val="0"/>
                <w:numId w:val="20"/>
              </w:numPr>
              <w:spacing w:after="0" w:line="240" w:lineRule="auto"/>
              <w:jc w:val="both"/>
              <w:rPr>
                <w:rFonts w:ascii="Arial" w:eastAsia="Times New Roman" w:hAnsi="Arial" w:cs="Arial"/>
                <w:color w:val="000000"/>
                <w:sz w:val="18"/>
                <w:szCs w:val="18"/>
                <w:lang w:val="bg-BG" w:eastAsia="bg-BG"/>
              </w:rPr>
            </w:pPr>
            <w:r w:rsidRPr="00FA4400">
              <w:rPr>
                <w:rFonts w:ascii="Arial" w:eastAsia="Times New Roman" w:hAnsi="Arial" w:cs="Arial"/>
                <w:color w:val="000000"/>
                <w:sz w:val="18"/>
                <w:szCs w:val="18"/>
                <w:lang w:val="bg-BG" w:eastAsia="bg-BG"/>
              </w:rPr>
              <w:t>Проектиране/изграждане/реконструкция на съоръжения за пречистване на питейни води, или ако е икономически по-</w:t>
            </w:r>
            <w:r>
              <w:rPr>
                <w:rFonts w:ascii="Arial" w:eastAsia="Times New Roman" w:hAnsi="Arial" w:cs="Arial"/>
                <w:color w:val="000000"/>
                <w:sz w:val="18"/>
                <w:szCs w:val="18"/>
                <w:lang w:val="bg-BG" w:eastAsia="bg-BG"/>
              </w:rPr>
              <w:t xml:space="preserve">ефективно - </w:t>
            </w:r>
            <w:r w:rsidRPr="00FA4400">
              <w:rPr>
                <w:rFonts w:ascii="Arial" w:eastAsia="Times New Roman" w:hAnsi="Arial" w:cs="Arial"/>
                <w:color w:val="000000"/>
                <w:sz w:val="18"/>
                <w:szCs w:val="18"/>
                <w:lang w:val="bg-BG" w:eastAsia="bg-BG"/>
              </w:rPr>
              <w:t>изграждане на нови водовземни съоръжения;</w:t>
            </w:r>
          </w:p>
          <w:p w14:paraId="29B39373" w14:textId="77777777" w:rsidR="00FA4400" w:rsidRPr="00FA4400" w:rsidRDefault="00FA4400" w:rsidP="009E2898">
            <w:pPr>
              <w:pStyle w:val="ListParagraph"/>
              <w:numPr>
                <w:ilvl w:val="0"/>
                <w:numId w:val="20"/>
              </w:numPr>
              <w:spacing w:after="0" w:line="240" w:lineRule="auto"/>
              <w:jc w:val="both"/>
              <w:rPr>
                <w:rFonts w:ascii="Arial" w:eastAsia="Times New Roman" w:hAnsi="Arial" w:cs="Arial"/>
                <w:color w:val="000000"/>
                <w:sz w:val="18"/>
                <w:szCs w:val="18"/>
                <w:lang w:val="bg-BG" w:eastAsia="bg-BG"/>
              </w:rPr>
            </w:pPr>
            <w:r w:rsidRPr="00FA4400">
              <w:rPr>
                <w:rFonts w:ascii="Arial" w:eastAsia="Times New Roman" w:hAnsi="Arial" w:cs="Arial"/>
                <w:color w:val="000000"/>
                <w:sz w:val="18"/>
                <w:szCs w:val="18"/>
                <w:lang w:val="bg-BG" w:eastAsia="bg-BG"/>
              </w:rPr>
              <w:t>Проектиране/изграждане/реконструкция на водоснабдителни мрежи и съоръжения за питейни води с цел повишаване</w:t>
            </w:r>
            <w:r>
              <w:rPr>
                <w:rFonts w:ascii="Arial" w:eastAsia="Times New Roman" w:hAnsi="Arial" w:cs="Arial"/>
                <w:color w:val="000000"/>
                <w:sz w:val="18"/>
                <w:szCs w:val="18"/>
                <w:lang w:val="bg-BG" w:eastAsia="bg-BG"/>
              </w:rPr>
              <w:t xml:space="preserve"> </w:t>
            </w:r>
            <w:r w:rsidRPr="00FA4400">
              <w:rPr>
                <w:rFonts w:ascii="Arial" w:eastAsia="Times New Roman" w:hAnsi="Arial" w:cs="Arial"/>
                <w:color w:val="000000"/>
                <w:sz w:val="18"/>
                <w:szCs w:val="18"/>
                <w:lang w:val="bg-BG" w:eastAsia="bg-BG"/>
              </w:rPr>
              <w:t>на ефективността на ползване на водите и намаляване на загубите на вода във водопреносните мрежи и изпълнение на задълженията по</w:t>
            </w:r>
            <w:r>
              <w:rPr>
                <w:rFonts w:ascii="Arial" w:eastAsia="Times New Roman" w:hAnsi="Arial" w:cs="Arial"/>
                <w:color w:val="000000"/>
                <w:sz w:val="18"/>
                <w:szCs w:val="18"/>
                <w:lang w:val="bg-BG" w:eastAsia="bg-BG"/>
              </w:rPr>
              <w:t xml:space="preserve"> </w:t>
            </w:r>
            <w:r w:rsidRPr="00FA4400">
              <w:rPr>
                <w:rFonts w:ascii="Arial" w:eastAsia="Times New Roman" w:hAnsi="Arial" w:cs="Arial"/>
                <w:color w:val="000000"/>
                <w:sz w:val="18"/>
                <w:szCs w:val="18"/>
                <w:lang w:val="bg-BG" w:eastAsia="bg-BG"/>
              </w:rPr>
              <w:t>Директива 98/83/ЕО;</w:t>
            </w:r>
          </w:p>
          <w:p w14:paraId="692C6C0E" w14:textId="77777777" w:rsidR="00FA4400" w:rsidRDefault="00FA4400" w:rsidP="009E2898">
            <w:pPr>
              <w:pStyle w:val="ListParagraph"/>
              <w:numPr>
                <w:ilvl w:val="0"/>
                <w:numId w:val="20"/>
              </w:numPr>
              <w:spacing w:after="0" w:line="240" w:lineRule="auto"/>
              <w:jc w:val="both"/>
              <w:rPr>
                <w:rFonts w:ascii="Arial" w:eastAsia="Times New Roman" w:hAnsi="Arial" w:cs="Arial"/>
                <w:color w:val="000000"/>
                <w:sz w:val="18"/>
                <w:szCs w:val="18"/>
                <w:lang w:val="bg-BG" w:eastAsia="bg-BG"/>
              </w:rPr>
            </w:pPr>
            <w:r w:rsidRPr="00FA4400">
              <w:rPr>
                <w:rFonts w:ascii="Arial" w:eastAsia="Times New Roman" w:hAnsi="Arial" w:cs="Arial"/>
                <w:color w:val="000000"/>
                <w:sz w:val="18"/>
                <w:szCs w:val="18"/>
                <w:lang w:val="bg-BG" w:eastAsia="bg-BG"/>
              </w:rPr>
              <w:t>Проектиране/изграждане на съпътстваща инфрастру</w:t>
            </w:r>
            <w:r>
              <w:rPr>
                <w:rFonts w:ascii="Arial" w:eastAsia="Times New Roman" w:hAnsi="Arial" w:cs="Arial"/>
                <w:color w:val="000000"/>
                <w:sz w:val="18"/>
                <w:szCs w:val="18"/>
                <w:lang w:val="bg-BG" w:eastAsia="bg-BG"/>
              </w:rPr>
              <w:t xml:space="preserve">ктура (напр. </w:t>
            </w:r>
            <w:r w:rsidRPr="00FA4400">
              <w:rPr>
                <w:rFonts w:ascii="Arial" w:eastAsia="Times New Roman" w:hAnsi="Arial" w:cs="Arial"/>
                <w:color w:val="000000"/>
                <w:sz w:val="18"/>
                <w:szCs w:val="18"/>
                <w:lang w:val="bg-BG" w:eastAsia="bg-BG"/>
              </w:rPr>
              <w:t>електроснабдяване, път, водоснабдяване), която обслужва само</w:t>
            </w:r>
            <w:r>
              <w:rPr>
                <w:rFonts w:ascii="Arial" w:eastAsia="Times New Roman" w:hAnsi="Arial" w:cs="Arial"/>
                <w:color w:val="000000"/>
                <w:sz w:val="18"/>
                <w:szCs w:val="18"/>
                <w:lang w:val="bg-BG" w:eastAsia="bg-BG"/>
              </w:rPr>
              <w:t xml:space="preserve"> </w:t>
            </w:r>
            <w:r w:rsidRPr="00FA4400">
              <w:rPr>
                <w:rFonts w:ascii="Arial" w:eastAsia="Times New Roman" w:hAnsi="Arial" w:cs="Arial"/>
                <w:color w:val="000000"/>
                <w:sz w:val="18"/>
                <w:szCs w:val="18"/>
                <w:lang w:val="bg-BG" w:eastAsia="bg-BG"/>
              </w:rPr>
              <w:t>изгражданите обекти (напр. ПСОВ, ПСПВ, резервоари и помпени станции);</w:t>
            </w:r>
          </w:p>
          <w:p w14:paraId="683A47A6" w14:textId="77777777" w:rsidR="00183436" w:rsidRPr="00BC7695" w:rsidRDefault="00295AD6" w:rsidP="008B5547">
            <w:pPr>
              <w:pStyle w:val="ListParagraph"/>
              <w:numPr>
                <w:ilvl w:val="0"/>
                <w:numId w:val="53"/>
              </w:numPr>
              <w:spacing w:after="0"/>
              <w:ind w:left="357" w:hanging="357"/>
              <w:contextualSpacing w:val="0"/>
              <w:jc w:val="both"/>
              <w:rPr>
                <w:rFonts w:ascii="Arial" w:eastAsia="Times New Roman" w:hAnsi="Arial" w:cs="Arial"/>
                <w:color w:val="000000"/>
                <w:sz w:val="18"/>
                <w:szCs w:val="18"/>
                <w:lang w:val="bg-BG" w:eastAsia="bg-BG"/>
              </w:rPr>
            </w:pPr>
            <w:r>
              <w:rPr>
                <w:rFonts w:ascii="Arial" w:eastAsia="Times New Roman" w:hAnsi="Arial" w:cs="Arial"/>
                <w:color w:val="000000"/>
                <w:sz w:val="18"/>
                <w:szCs w:val="18"/>
                <w:lang w:val="bg-BG" w:eastAsia="bg-BG"/>
              </w:rPr>
              <w:t>За с</w:t>
            </w:r>
            <w:r w:rsidR="00AE4E26">
              <w:rPr>
                <w:rFonts w:ascii="Arial" w:eastAsia="Times New Roman" w:hAnsi="Arial" w:cs="Arial"/>
                <w:color w:val="000000"/>
                <w:sz w:val="18"/>
                <w:szCs w:val="18"/>
                <w:lang w:val="bg-BG" w:eastAsia="bg-BG"/>
              </w:rPr>
              <w:t xml:space="preserve">ледните примерни мерки могат да бъдат </w:t>
            </w:r>
            <w:r w:rsidR="00F44B1A">
              <w:rPr>
                <w:rFonts w:ascii="Arial" w:eastAsia="Times New Roman" w:hAnsi="Arial" w:cs="Arial"/>
                <w:color w:val="000000"/>
                <w:sz w:val="18"/>
                <w:szCs w:val="18"/>
                <w:lang w:val="bg-BG" w:eastAsia="bg-BG"/>
              </w:rPr>
              <w:t xml:space="preserve"> </w:t>
            </w:r>
            <w:r>
              <w:rPr>
                <w:rFonts w:ascii="Arial" w:eastAsia="Times New Roman" w:hAnsi="Arial" w:cs="Arial"/>
                <w:color w:val="000000"/>
                <w:sz w:val="18"/>
                <w:szCs w:val="18"/>
                <w:lang w:val="bg-BG" w:eastAsia="bg-BG"/>
              </w:rPr>
              <w:t>предоставяни гаранции</w:t>
            </w:r>
            <w:r w:rsidR="00FA23CA" w:rsidRPr="001578EB">
              <w:rPr>
                <w:rFonts w:ascii="Arial" w:hAnsi="Arial" w:cs="Arial"/>
                <w:sz w:val="18"/>
                <w:szCs w:val="18"/>
                <w:lang w:val="bg-BG"/>
              </w:rPr>
              <w:t xml:space="preserve"> </w:t>
            </w:r>
            <w:r w:rsidR="00FA23CA">
              <w:rPr>
                <w:rFonts w:ascii="Arial" w:hAnsi="Arial" w:cs="Arial"/>
                <w:sz w:val="18"/>
                <w:szCs w:val="18"/>
                <w:lang w:val="bg-BG"/>
              </w:rPr>
              <w:t>з</w:t>
            </w:r>
            <w:r w:rsidR="00FA23CA" w:rsidRPr="001578EB">
              <w:rPr>
                <w:rFonts w:ascii="Arial" w:hAnsi="Arial" w:cs="Arial"/>
                <w:sz w:val="18"/>
                <w:szCs w:val="18"/>
                <w:lang w:val="bg-BG"/>
              </w:rPr>
              <w:t>а покриване на кредитния риск по заеми на ВиКО за</w:t>
            </w:r>
            <w:r w:rsidR="00F44B1A" w:rsidRPr="00F44B1A">
              <w:rPr>
                <w:rFonts w:ascii="Arial" w:eastAsia="Times New Roman" w:hAnsi="Arial" w:cs="Arial"/>
                <w:color w:val="000000"/>
                <w:sz w:val="18"/>
                <w:szCs w:val="18"/>
                <w:lang w:val="bg-BG" w:eastAsia="bg-BG"/>
              </w:rPr>
              <w:t>:</w:t>
            </w:r>
          </w:p>
          <w:p w14:paraId="1EDBA118" w14:textId="77777777" w:rsidR="00AE4E26" w:rsidRPr="008B5547" w:rsidRDefault="00295AD6" w:rsidP="00FA4400">
            <w:pPr>
              <w:pStyle w:val="ListParagraph"/>
              <w:numPr>
                <w:ilvl w:val="0"/>
                <w:numId w:val="20"/>
              </w:numPr>
              <w:spacing w:after="0" w:line="240" w:lineRule="auto"/>
              <w:jc w:val="both"/>
              <w:rPr>
                <w:rFonts w:ascii="Arial" w:hAnsi="Arial" w:cs="Arial"/>
                <w:sz w:val="18"/>
                <w:szCs w:val="18"/>
                <w:lang w:val="bg-BG"/>
              </w:rPr>
            </w:pPr>
            <w:r w:rsidRPr="008B5547">
              <w:rPr>
                <w:rFonts w:ascii="Arial" w:hAnsi="Arial" w:cs="Arial"/>
                <w:sz w:val="18"/>
                <w:szCs w:val="18"/>
                <w:lang w:val="bg-BG"/>
              </w:rPr>
              <w:t>о</w:t>
            </w:r>
            <w:r w:rsidR="00AE4E26" w:rsidRPr="008B5547">
              <w:rPr>
                <w:rFonts w:ascii="Arial" w:hAnsi="Arial" w:cs="Arial"/>
                <w:sz w:val="18"/>
                <w:szCs w:val="18"/>
                <w:lang w:val="bg-BG"/>
              </w:rPr>
              <w:t xml:space="preserve">сигуряване на </w:t>
            </w:r>
            <w:r w:rsidRPr="008B5547">
              <w:rPr>
                <w:rFonts w:ascii="Arial" w:hAnsi="Arial" w:cs="Arial"/>
                <w:sz w:val="18"/>
                <w:szCs w:val="18"/>
                <w:lang w:val="bg-BG"/>
              </w:rPr>
              <w:t>финансиране за част от допустимите инвестиционни разходи по ВиК проекти, за които се предоставя БФП по ОПОС 2014-2020 г.</w:t>
            </w:r>
          </w:p>
          <w:p w14:paraId="6ABFDDDF" w14:textId="77777777" w:rsidR="00B25879" w:rsidRPr="000A493B" w:rsidRDefault="00CA090D" w:rsidP="00FA23CA">
            <w:pPr>
              <w:pStyle w:val="ListParagraph"/>
              <w:numPr>
                <w:ilvl w:val="0"/>
                <w:numId w:val="20"/>
              </w:numPr>
              <w:spacing w:after="0" w:line="240" w:lineRule="auto"/>
              <w:jc w:val="both"/>
              <w:rPr>
                <w:rFonts w:ascii="Arial" w:hAnsi="Arial" w:cs="Arial"/>
                <w:sz w:val="18"/>
                <w:szCs w:val="18"/>
                <w:lang w:val="bg-BG"/>
              </w:rPr>
            </w:pPr>
            <w:r>
              <w:rPr>
                <w:rFonts w:ascii="Arial" w:hAnsi="Arial" w:cs="Arial"/>
                <w:sz w:val="18"/>
                <w:szCs w:val="18"/>
                <w:lang w:val="bg-BG"/>
              </w:rPr>
              <w:t>дейности</w:t>
            </w:r>
            <w:r w:rsidR="00256204" w:rsidRPr="006147E7">
              <w:rPr>
                <w:rFonts w:ascii="Arial" w:hAnsi="Arial" w:cs="Arial"/>
                <w:sz w:val="18"/>
                <w:szCs w:val="18"/>
                <w:lang w:val="bg-BG"/>
              </w:rPr>
              <w:t xml:space="preserve">, насочени към </w:t>
            </w:r>
            <w:r w:rsidR="00AE5738" w:rsidRPr="006147E7">
              <w:rPr>
                <w:rFonts w:ascii="Arial" w:hAnsi="Arial" w:cs="Arial"/>
                <w:sz w:val="18"/>
                <w:szCs w:val="18"/>
                <w:lang w:val="bg-BG"/>
              </w:rPr>
              <w:t xml:space="preserve">намаляване </w:t>
            </w:r>
            <w:r w:rsidR="00DD7CCA">
              <w:rPr>
                <w:rFonts w:ascii="Arial" w:hAnsi="Arial" w:cs="Arial"/>
                <w:sz w:val="18"/>
                <w:szCs w:val="18"/>
                <w:lang w:val="bg-BG"/>
              </w:rPr>
              <w:t xml:space="preserve">общите </w:t>
            </w:r>
            <w:r w:rsidR="00AE5738" w:rsidRPr="006147E7">
              <w:rPr>
                <w:rFonts w:ascii="Arial" w:hAnsi="Arial" w:cs="Arial"/>
                <w:sz w:val="18"/>
                <w:szCs w:val="18"/>
                <w:lang w:val="bg-BG"/>
              </w:rPr>
              <w:t>загуби на вода (неносеща приходи вода)</w:t>
            </w:r>
            <w:r w:rsidR="00B25879" w:rsidRPr="00780BE4">
              <w:rPr>
                <w:rFonts w:ascii="Arial" w:hAnsi="Arial" w:cs="Arial"/>
                <w:sz w:val="18"/>
                <w:szCs w:val="18"/>
                <w:lang w:val="bg-BG"/>
              </w:rPr>
              <w:t xml:space="preserve"> </w:t>
            </w:r>
            <w:r w:rsidR="00CA588D" w:rsidRPr="00780BE4">
              <w:rPr>
                <w:rFonts w:ascii="Arial" w:hAnsi="Arial" w:cs="Arial"/>
                <w:sz w:val="18"/>
                <w:szCs w:val="18"/>
                <w:lang w:val="bg-BG"/>
              </w:rPr>
              <w:t>на ниво крайни</w:t>
            </w:r>
            <w:r w:rsidR="00AE5738" w:rsidRPr="00780BE4">
              <w:rPr>
                <w:rFonts w:ascii="Arial" w:hAnsi="Arial" w:cs="Arial"/>
                <w:sz w:val="18"/>
                <w:szCs w:val="18"/>
                <w:lang w:val="bg-BG"/>
              </w:rPr>
              <w:t xml:space="preserve"> получатели</w:t>
            </w:r>
            <w:r w:rsidR="00B25879" w:rsidRPr="000A493B">
              <w:rPr>
                <w:rFonts w:ascii="Arial" w:hAnsi="Arial" w:cs="Arial"/>
                <w:sz w:val="18"/>
                <w:szCs w:val="18"/>
                <w:lang w:val="bg-BG"/>
              </w:rPr>
              <w:t>;</w:t>
            </w:r>
          </w:p>
          <w:p w14:paraId="5DAFB124" w14:textId="77777777" w:rsidR="00B25879" w:rsidRPr="006147E7" w:rsidRDefault="00CA090D" w:rsidP="00B25879">
            <w:pPr>
              <w:pStyle w:val="ListParagraph"/>
              <w:numPr>
                <w:ilvl w:val="0"/>
                <w:numId w:val="20"/>
              </w:numPr>
              <w:spacing w:after="0" w:line="240" w:lineRule="auto"/>
              <w:ind w:left="714" w:hanging="357"/>
              <w:jc w:val="both"/>
              <w:rPr>
                <w:rFonts w:ascii="Arial" w:hAnsi="Arial" w:cs="Arial"/>
                <w:sz w:val="18"/>
                <w:szCs w:val="18"/>
                <w:lang w:val="bg-BG"/>
              </w:rPr>
            </w:pPr>
            <w:r>
              <w:rPr>
                <w:rFonts w:ascii="Arial" w:hAnsi="Arial" w:cs="Arial"/>
                <w:sz w:val="18"/>
                <w:szCs w:val="18"/>
                <w:lang w:val="bg-BG"/>
              </w:rPr>
              <w:t>дейности</w:t>
            </w:r>
            <w:r w:rsidR="00BB05F5" w:rsidRPr="00C15E0C">
              <w:rPr>
                <w:rFonts w:ascii="Arial" w:hAnsi="Arial" w:cs="Arial"/>
                <w:sz w:val="18"/>
                <w:szCs w:val="18"/>
                <w:lang w:val="bg-BG"/>
              </w:rPr>
              <w:t>, насочени към подобряване на е</w:t>
            </w:r>
            <w:r w:rsidR="00311A18" w:rsidRPr="00C15E0C">
              <w:rPr>
                <w:rFonts w:ascii="Arial" w:hAnsi="Arial" w:cs="Arial"/>
                <w:sz w:val="18"/>
                <w:szCs w:val="18"/>
                <w:lang w:val="bg-BG"/>
              </w:rPr>
              <w:t>нергийната ефективност на ниво крайни</w:t>
            </w:r>
            <w:r w:rsidR="00BB05F5" w:rsidRPr="006147E7">
              <w:rPr>
                <w:rFonts w:ascii="Arial" w:hAnsi="Arial" w:cs="Arial"/>
                <w:sz w:val="18"/>
                <w:szCs w:val="18"/>
                <w:lang w:val="bg-BG"/>
              </w:rPr>
              <w:t xml:space="preserve"> получатели;</w:t>
            </w:r>
          </w:p>
          <w:p w14:paraId="382B98F5" w14:textId="77777777" w:rsidR="00B25879" w:rsidRPr="00780BE4" w:rsidRDefault="00CA090D" w:rsidP="00B25879">
            <w:pPr>
              <w:pStyle w:val="ListParagraph"/>
              <w:numPr>
                <w:ilvl w:val="0"/>
                <w:numId w:val="20"/>
              </w:numPr>
              <w:spacing w:after="0" w:line="240" w:lineRule="auto"/>
              <w:ind w:left="714" w:hanging="357"/>
              <w:jc w:val="both"/>
              <w:rPr>
                <w:rFonts w:ascii="Arial" w:hAnsi="Arial" w:cs="Arial"/>
                <w:sz w:val="18"/>
                <w:szCs w:val="18"/>
                <w:lang w:val="bg-BG"/>
              </w:rPr>
            </w:pPr>
            <w:r>
              <w:rPr>
                <w:rFonts w:ascii="Arial" w:hAnsi="Arial" w:cs="Arial"/>
                <w:sz w:val="18"/>
                <w:szCs w:val="18"/>
                <w:lang w:val="bg-BG"/>
              </w:rPr>
              <w:t>дейности</w:t>
            </w:r>
            <w:r w:rsidR="00BB05F5" w:rsidRPr="006147E7">
              <w:rPr>
                <w:rFonts w:ascii="Arial" w:hAnsi="Arial" w:cs="Arial"/>
                <w:sz w:val="18"/>
                <w:szCs w:val="18"/>
                <w:lang w:val="bg-BG"/>
              </w:rPr>
              <w:t>, насочени към оптимизиране на оперативните разходи на допустимите крайни получатели</w:t>
            </w:r>
          </w:p>
          <w:p w14:paraId="7B97B189" w14:textId="77777777" w:rsidR="00CE7180" w:rsidRPr="004C46E4" w:rsidRDefault="0033750B" w:rsidP="00DD7CCA">
            <w:pPr>
              <w:pStyle w:val="ListParagraph"/>
              <w:numPr>
                <w:ilvl w:val="0"/>
                <w:numId w:val="20"/>
              </w:numPr>
              <w:spacing w:after="0" w:line="240" w:lineRule="auto"/>
              <w:ind w:left="714" w:hanging="357"/>
              <w:rPr>
                <w:rFonts w:ascii="Arial" w:eastAsia="Times New Roman" w:hAnsi="Arial" w:cs="Arial"/>
                <w:color w:val="000000"/>
                <w:sz w:val="18"/>
                <w:szCs w:val="18"/>
                <w:lang w:val="bg-BG" w:eastAsia="bg-BG"/>
              </w:rPr>
            </w:pPr>
            <w:r w:rsidRPr="006147E7">
              <w:rPr>
                <w:rFonts w:ascii="Arial" w:eastAsia="Times New Roman" w:hAnsi="Arial" w:cs="Arial"/>
                <w:color w:val="000000"/>
                <w:sz w:val="18"/>
                <w:szCs w:val="18"/>
                <w:lang w:val="bg-BG" w:eastAsia="bg-BG"/>
              </w:rPr>
              <w:t>Други финансово жизнеспособни проекти, изпълн</w:t>
            </w:r>
            <w:r w:rsidR="00DD7CCA">
              <w:rPr>
                <w:rFonts w:ascii="Arial" w:eastAsia="Times New Roman" w:hAnsi="Arial" w:cs="Arial"/>
                <w:color w:val="000000"/>
                <w:sz w:val="18"/>
                <w:szCs w:val="18"/>
                <w:lang w:val="bg-BG" w:eastAsia="bg-BG"/>
              </w:rPr>
              <w:t>ява</w:t>
            </w:r>
            <w:r w:rsidRPr="006147E7">
              <w:rPr>
                <w:rFonts w:ascii="Arial" w:eastAsia="Times New Roman" w:hAnsi="Arial" w:cs="Arial"/>
                <w:color w:val="000000"/>
                <w:sz w:val="18"/>
                <w:szCs w:val="18"/>
                <w:lang w:val="bg-BG" w:eastAsia="bg-BG"/>
              </w:rPr>
              <w:t xml:space="preserve">ни </w:t>
            </w:r>
            <w:r w:rsidR="005C169E" w:rsidRPr="006147E7">
              <w:rPr>
                <w:rFonts w:ascii="Arial" w:eastAsia="Times New Roman" w:hAnsi="Arial" w:cs="Arial"/>
                <w:color w:val="000000"/>
                <w:sz w:val="18"/>
                <w:szCs w:val="18"/>
                <w:lang w:val="bg-BG" w:eastAsia="bg-BG"/>
              </w:rPr>
              <w:t>на ниво крайни получатели, в съответствие с целите на ОПОС.</w:t>
            </w:r>
            <w:r w:rsidR="00B25879" w:rsidRPr="004C46E4">
              <w:rPr>
                <w:rFonts w:ascii="Arial" w:eastAsia="Times New Roman" w:hAnsi="Arial" w:cs="Arial"/>
                <w:color w:val="000000"/>
                <w:sz w:val="18"/>
                <w:szCs w:val="18"/>
                <w:lang w:val="bg-BG" w:eastAsia="bg-BG"/>
              </w:rPr>
              <w:t xml:space="preserve"> </w:t>
            </w:r>
          </w:p>
        </w:tc>
      </w:tr>
      <w:tr w:rsidR="00C6141D" w:rsidRPr="007B6C31" w14:paraId="40EEF52D" w14:textId="77777777" w:rsidTr="008B5547">
        <w:trPr>
          <w:trHeight w:val="285"/>
        </w:trPr>
        <w:tc>
          <w:tcPr>
            <w:tcW w:w="2052" w:type="dxa"/>
            <w:tcBorders>
              <w:top w:val="nil"/>
              <w:left w:val="single" w:sz="4" w:space="0" w:color="auto"/>
              <w:bottom w:val="single" w:sz="4" w:space="0" w:color="auto"/>
              <w:right w:val="single" w:sz="4" w:space="0" w:color="auto"/>
            </w:tcBorders>
            <w:shd w:val="clear" w:color="auto" w:fill="auto"/>
            <w:hideMark/>
          </w:tcPr>
          <w:p w14:paraId="08E6128D" w14:textId="77777777" w:rsidR="00C6141D" w:rsidRPr="005C169E" w:rsidRDefault="005C169E" w:rsidP="00C6141D">
            <w:pPr>
              <w:spacing w:after="0" w:line="240" w:lineRule="auto"/>
              <w:rPr>
                <w:rFonts w:ascii="Arial" w:eastAsia="Times New Roman" w:hAnsi="Arial" w:cs="Arial"/>
                <w:color w:val="000000"/>
                <w:sz w:val="18"/>
                <w:szCs w:val="18"/>
                <w:lang w:val="bg-BG" w:eastAsia="bg-BG"/>
              </w:rPr>
            </w:pPr>
            <w:r>
              <w:rPr>
                <w:rFonts w:ascii="Arial" w:eastAsia="Times New Roman" w:hAnsi="Arial" w:cs="Arial"/>
                <w:color w:val="000000"/>
                <w:sz w:val="18"/>
                <w:szCs w:val="18"/>
                <w:lang w:val="bg-BG" w:eastAsia="bg-BG"/>
              </w:rPr>
              <w:t xml:space="preserve">Допустими </w:t>
            </w:r>
            <w:r w:rsidR="00D74EEF">
              <w:rPr>
                <w:rFonts w:ascii="Arial" w:eastAsia="Times New Roman" w:hAnsi="Arial" w:cs="Arial"/>
                <w:color w:val="000000"/>
                <w:sz w:val="18"/>
                <w:szCs w:val="18"/>
                <w:lang w:val="bg-BG" w:eastAsia="bg-BG"/>
              </w:rPr>
              <w:t>крайни получатели</w:t>
            </w:r>
          </w:p>
        </w:tc>
        <w:tc>
          <w:tcPr>
            <w:tcW w:w="7938" w:type="dxa"/>
            <w:tcBorders>
              <w:top w:val="nil"/>
              <w:left w:val="nil"/>
              <w:bottom w:val="single" w:sz="4" w:space="0" w:color="auto"/>
              <w:right w:val="single" w:sz="4" w:space="0" w:color="auto"/>
            </w:tcBorders>
            <w:shd w:val="clear" w:color="auto" w:fill="auto"/>
            <w:hideMark/>
          </w:tcPr>
          <w:p w14:paraId="7D6258A0" w14:textId="77777777" w:rsidR="00C6141D" w:rsidRPr="00075EB6" w:rsidRDefault="00D64A01" w:rsidP="008B5547">
            <w:pPr>
              <w:spacing w:after="0" w:line="240" w:lineRule="auto"/>
              <w:jc w:val="both"/>
              <w:rPr>
                <w:rFonts w:ascii="Arial" w:eastAsia="Times New Roman" w:hAnsi="Arial" w:cs="Arial"/>
                <w:sz w:val="18"/>
                <w:szCs w:val="18"/>
                <w:lang w:val="bg-BG" w:eastAsia="bg-BG"/>
              </w:rPr>
            </w:pPr>
            <w:r w:rsidRPr="00075EB6">
              <w:rPr>
                <w:rFonts w:ascii="Arial" w:eastAsia="Times New Roman" w:hAnsi="Arial" w:cs="Arial"/>
                <w:sz w:val="18"/>
                <w:szCs w:val="18"/>
                <w:lang w:val="bg-BG" w:eastAsia="bg-BG"/>
              </w:rPr>
              <w:t>Регионални ВиКО</w:t>
            </w:r>
            <w:r w:rsidR="00E07427" w:rsidRPr="00075EB6">
              <w:rPr>
                <w:rFonts w:ascii="Arial" w:eastAsia="Times New Roman" w:hAnsi="Arial" w:cs="Arial"/>
                <w:sz w:val="18"/>
                <w:szCs w:val="18"/>
                <w:lang w:val="bg-BG" w:eastAsia="bg-BG"/>
              </w:rPr>
              <w:t xml:space="preserve">, </w:t>
            </w:r>
            <w:r w:rsidRPr="00075EB6">
              <w:rPr>
                <w:rFonts w:ascii="Arial" w:eastAsia="Times New Roman" w:hAnsi="Arial" w:cs="Arial"/>
                <w:color w:val="000000"/>
                <w:sz w:val="18"/>
                <w:szCs w:val="18"/>
                <w:lang w:val="bg-BG" w:eastAsia="bg-BG"/>
              </w:rPr>
              <w:t>ако</w:t>
            </w:r>
            <w:r w:rsidR="00E07427" w:rsidRPr="00075EB6">
              <w:rPr>
                <w:rFonts w:ascii="Arial" w:eastAsia="Times New Roman" w:hAnsi="Arial" w:cs="Arial"/>
                <w:color w:val="000000"/>
                <w:sz w:val="18"/>
                <w:szCs w:val="18"/>
                <w:lang w:val="bg-BG" w:eastAsia="bg-BG"/>
              </w:rPr>
              <w:t xml:space="preserve"> (</w:t>
            </w:r>
            <w:r w:rsidR="00E07427" w:rsidRPr="00075EB6">
              <w:rPr>
                <w:rFonts w:ascii="Arial" w:eastAsia="Times New Roman" w:hAnsi="Arial" w:cs="Arial"/>
                <w:color w:val="000000"/>
                <w:sz w:val="18"/>
                <w:szCs w:val="18"/>
                <w:lang w:eastAsia="bg-BG"/>
              </w:rPr>
              <w:t>i</w:t>
            </w:r>
            <w:r w:rsidR="00E07427" w:rsidRPr="00075EB6">
              <w:rPr>
                <w:rFonts w:ascii="Arial" w:eastAsia="Times New Roman" w:hAnsi="Arial" w:cs="Arial"/>
                <w:color w:val="000000"/>
                <w:sz w:val="18"/>
                <w:szCs w:val="18"/>
                <w:lang w:val="bg-BG" w:eastAsia="bg-BG"/>
              </w:rPr>
              <w:t xml:space="preserve">) </w:t>
            </w:r>
            <w:r w:rsidRPr="00075EB6">
              <w:rPr>
                <w:rFonts w:ascii="Arial" w:eastAsia="Times New Roman" w:hAnsi="Arial" w:cs="Arial"/>
                <w:color w:val="000000"/>
                <w:sz w:val="18"/>
                <w:szCs w:val="18"/>
                <w:lang w:val="bg-BG" w:eastAsia="bg-BG"/>
              </w:rPr>
              <w:t>ВиКО е консолидиран</w:t>
            </w:r>
            <w:r w:rsidR="00E07427" w:rsidRPr="00075EB6">
              <w:rPr>
                <w:rFonts w:ascii="Arial" w:eastAsia="Times New Roman" w:hAnsi="Arial" w:cs="Arial"/>
                <w:color w:val="000000"/>
                <w:sz w:val="18"/>
                <w:szCs w:val="18"/>
                <w:lang w:val="bg-BG" w:eastAsia="bg-BG"/>
              </w:rPr>
              <w:t>, (</w:t>
            </w:r>
            <w:r w:rsidR="00E07427" w:rsidRPr="00075EB6">
              <w:rPr>
                <w:rFonts w:ascii="Arial" w:eastAsia="Times New Roman" w:hAnsi="Arial" w:cs="Arial"/>
                <w:color w:val="000000"/>
                <w:sz w:val="18"/>
                <w:szCs w:val="18"/>
                <w:lang w:eastAsia="bg-BG"/>
              </w:rPr>
              <w:t>ii</w:t>
            </w:r>
            <w:r w:rsidR="00E07427" w:rsidRPr="00075EB6">
              <w:rPr>
                <w:rFonts w:ascii="Arial" w:eastAsia="Times New Roman" w:hAnsi="Arial" w:cs="Arial"/>
                <w:color w:val="000000"/>
                <w:sz w:val="18"/>
                <w:szCs w:val="18"/>
                <w:lang w:val="bg-BG" w:eastAsia="bg-BG"/>
              </w:rPr>
              <w:t xml:space="preserve">) </w:t>
            </w:r>
            <w:r w:rsidRPr="00075EB6">
              <w:rPr>
                <w:rFonts w:ascii="Arial" w:eastAsia="Times New Roman" w:hAnsi="Arial" w:cs="Arial"/>
                <w:color w:val="000000"/>
                <w:sz w:val="18"/>
                <w:szCs w:val="18"/>
                <w:lang w:val="bg-BG" w:eastAsia="bg-BG"/>
              </w:rPr>
              <w:t>има подписан договор със съответната АВиК</w:t>
            </w:r>
            <w:r w:rsidR="00E457A7" w:rsidRPr="00075EB6">
              <w:rPr>
                <w:rFonts w:ascii="Arial" w:eastAsia="Times New Roman" w:hAnsi="Arial" w:cs="Arial"/>
                <w:color w:val="000000"/>
                <w:sz w:val="18"/>
                <w:szCs w:val="18"/>
                <w:lang w:val="bg-BG" w:eastAsia="bg-BG"/>
              </w:rPr>
              <w:t xml:space="preserve"> и</w:t>
            </w:r>
            <w:r w:rsidR="00E07427" w:rsidRPr="00075EB6">
              <w:rPr>
                <w:rFonts w:ascii="Arial" w:eastAsia="Times New Roman" w:hAnsi="Arial" w:cs="Arial"/>
                <w:color w:val="000000"/>
                <w:sz w:val="18"/>
                <w:szCs w:val="18"/>
                <w:lang w:val="bg-BG" w:eastAsia="bg-BG"/>
              </w:rPr>
              <w:t xml:space="preserve"> (</w:t>
            </w:r>
            <w:r w:rsidR="00E07427" w:rsidRPr="00075EB6">
              <w:rPr>
                <w:rFonts w:ascii="Arial" w:eastAsia="Times New Roman" w:hAnsi="Arial" w:cs="Arial"/>
                <w:color w:val="000000"/>
                <w:sz w:val="18"/>
                <w:szCs w:val="18"/>
                <w:lang w:eastAsia="bg-BG"/>
              </w:rPr>
              <w:t>iii</w:t>
            </w:r>
            <w:r w:rsidR="00E07427" w:rsidRPr="00075EB6">
              <w:rPr>
                <w:rFonts w:ascii="Arial" w:eastAsia="Times New Roman" w:hAnsi="Arial" w:cs="Arial"/>
                <w:color w:val="000000"/>
                <w:sz w:val="18"/>
                <w:szCs w:val="18"/>
                <w:lang w:val="bg-BG" w:eastAsia="bg-BG"/>
              </w:rPr>
              <w:t xml:space="preserve">) </w:t>
            </w:r>
            <w:r w:rsidRPr="00075EB6">
              <w:rPr>
                <w:rFonts w:ascii="Arial" w:eastAsia="Times New Roman" w:hAnsi="Arial" w:cs="Arial"/>
                <w:color w:val="000000"/>
                <w:sz w:val="18"/>
                <w:szCs w:val="18"/>
                <w:lang w:val="bg-BG" w:eastAsia="bg-BG"/>
              </w:rPr>
              <w:t>има завършен</w:t>
            </w:r>
            <w:r w:rsidR="000A50F0" w:rsidRPr="00075EB6">
              <w:rPr>
                <w:rFonts w:ascii="Arial" w:eastAsia="Times New Roman" w:hAnsi="Arial" w:cs="Arial"/>
                <w:color w:val="000000"/>
                <w:sz w:val="18"/>
                <w:szCs w:val="18"/>
                <w:lang w:val="bg-BG" w:eastAsia="bg-BG"/>
              </w:rPr>
              <w:t>о</w:t>
            </w:r>
            <w:r w:rsidRPr="00075EB6">
              <w:rPr>
                <w:rFonts w:ascii="Arial" w:eastAsia="Times New Roman" w:hAnsi="Arial" w:cs="Arial"/>
                <w:color w:val="000000"/>
                <w:sz w:val="18"/>
                <w:szCs w:val="18"/>
                <w:lang w:val="bg-BG" w:eastAsia="bg-BG"/>
              </w:rPr>
              <w:t xml:space="preserve"> РПИП, което определя списъка от проекти за изпълнение за региона</w:t>
            </w:r>
            <w:r w:rsidR="00E07427" w:rsidRPr="00075EB6">
              <w:rPr>
                <w:rFonts w:ascii="Arial" w:eastAsia="Times New Roman" w:hAnsi="Arial" w:cs="Arial"/>
                <w:color w:val="000000"/>
                <w:sz w:val="18"/>
                <w:szCs w:val="18"/>
                <w:lang w:val="bg-BG" w:eastAsia="bg-BG"/>
              </w:rPr>
              <w:t>.</w:t>
            </w:r>
          </w:p>
        </w:tc>
      </w:tr>
      <w:tr w:rsidR="00C6141D" w:rsidRPr="007B6C31" w14:paraId="5EFFE8D6" w14:textId="77777777" w:rsidTr="008B5547">
        <w:trPr>
          <w:trHeight w:val="285"/>
        </w:trPr>
        <w:tc>
          <w:tcPr>
            <w:tcW w:w="2052" w:type="dxa"/>
            <w:tcBorders>
              <w:top w:val="nil"/>
              <w:left w:val="single" w:sz="4" w:space="0" w:color="auto"/>
              <w:bottom w:val="single" w:sz="4" w:space="0" w:color="auto"/>
              <w:right w:val="single" w:sz="4" w:space="0" w:color="auto"/>
            </w:tcBorders>
            <w:shd w:val="clear" w:color="auto" w:fill="auto"/>
          </w:tcPr>
          <w:p w14:paraId="2A408D5A" w14:textId="77777777" w:rsidR="00C6141D" w:rsidRPr="00D74EEF" w:rsidRDefault="00D74EEF" w:rsidP="00C6141D">
            <w:pPr>
              <w:spacing w:after="0" w:line="240" w:lineRule="auto"/>
              <w:rPr>
                <w:rFonts w:ascii="Arial" w:eastAsia="Times New Roman" w:hAnsi="Arial" w:cs="Arial"/>
                <w:color w:val="000000"/>
                <w:sz w:val="18"/>
                <w:szCs w:val="18"/>
                <w:lang w:val="bg-BG" w:eastAsia="bg-BG"/>
              </w:rPr>
            </w:pPr>
            <w:r>
              <w:rPr>
                <w:rFonts w:ascii="Arial" w:eastAsia="Times New Roman" w:hAnsi="Arial" w:cs="Arial"/>
                <w:color w:val="000000"/>
                <w:sz w:val="18"/>
                <w:szCs w:val="18"/>
                <w:lang w:val="bg-BG" w:eastAsia="bg-BG"/>
              </w:rPr>
              <w:t>Допустими финансови посредници</w:t>
            </w:r>
          </w:p>
        </w:tc>
        <w:tc>
          <w:tcPr>
            <w:tcW w:w="7938" w:type="dxa"/>
            <w:tcBorders>
              <w:top w:val="nil"/>
              <w:left w:val="nil"/>
              <w:bottom w:val="single" w:sz="4" w:space="0" w:color="auto"/>
              <w:right w:val="single" w:sz="4" w:space="0" w:color="auto"/>
            </w:tcBorders>
            <w:shd w:val="clear" w:color="auto" w:fill="auto"/>
          </w:tcPr>
          <w:p w14:paraId="097B6C8C" w14:textId="77777777" w:rsidR="00C6141D" w:rsidRPr="00D74EEF" w:rsidRDefault="00D74EEF" w:rsidP="00D74EEF">
            <w:pPr>
              <w:spacing w:after="0" w:line="240" w:lineRule="auto"/>
              <w:rPr>
                <w:rFonts w:ascii="Arial" w:eastAsia="Times New Roman" w:hAnsi="Arial" w:cs="Arial"/>
                <w:sz w:val="18"/>
                <w:szCs w:val="18"/>
                <w:lang w:val="bg-BG" w:eastAsia="bg-BG"/>
              </w:rPr>
            </w:pPr>
            <w:r>
              <w:rPr>
                <w:rFonts w:ascii="Arial" w:eastAsia="Times New Roman" w:hAnsi="Arial" w:cs="Arial"/>
                <w:sz w:val="18"/>
                <w:szCs w:val="18"/>
                <w:lang w:val="bg-BG" w:eastAsia="bg-BG"/>
              </w:rPr>
              <w:t>Всички финансови посредници, които се възползват от гаранционния механизъм, следва да бъдат финансово стабилни институции с добра репутация.</w:t>
            </w:r>
          </w:p>
        </w:tc>
      </w:tr>
      <w:tr w:rsidR="00C6141D" w:rsidRPr="007B6C31" w14:paraId="4C1715FD" w14:textId="77777777" w:rsidTr="008B5547">
        <w:trPr>
          <w:trHeight w:val="285"/>
        </w:trPr>
        <w:tc>
          <w:tcPr>
            <w:tcW w:w="2052" w:type="dxa"/>
            <w:tcBorders>
              <w:top w:val="nil"/>
              <w:left w:val="single" w:sz="4" w:space="0" w:color="auto"/>
              <w:bottom w:val="single" w:sz="4" w:space="0" w:color="auto"/>
              <w:right w:val="single" w:sz="4" w:space="0" w:color="auto"/>
            </w:tcBorders>
            <w:shd w:val="clear" w:color="auto" w:fill="auto"/>
          </w:tcPr>
          <w:p w14:paraId="1A943981" w14:textId="77777777" w:rsidR="00C6141D" w:rsidRPr="00D657E9" w:rsidRDefault="00D657E9" w:rsidP="00A26110">
            <w:pPr>
              <w:spacing w:after="0" w:line="240" w:lineRule="auto"/>
              <w:jc w:val="both"/>
              <w:rPr>
                <w:rFonts w:ascii="Arial" w:eastAsia="Times New Roman" w:hAnsi="Arial" w:cs="Arial"/>
                <w:color w:val="000000"/>
                <w:sz w:val="18"/>
                <w:szCs w:val="18"/>
                <w:lang w:val="bg-BG" w:eastAsia="bg-BG"/>
              </w:rPr>
            </w:pPr>
            <w:r>
              <w:rPr>
                <w:rFonts w:ascii="Arial" w:eastAsia="Times New Roman" w:hAnsi="Arial" w:cs="Arial"/>
                <w:color w:val="000000"/>
                <w:sz w:val="18"/>
                <w:szCs w:val="18"/>
                <w:lang w:val="bg-BG" w:eastAsia="bg-BG"/>
              </w:rPr>
              <w:t>Условия на гаранциите</w:t>
            </w:r>
          </w:p>
        </w:tc>
        <w:tc>
          <w:tcPr>
            <w:tcW w:w="7938" w:type="dxa"/>
            <w:tcBorders>
              <w:top w:val="nil"/>
              <w:left w:val="nil"/>
              <w:bottom w:val="single" w:sz="4" w:space="0" w:color="auto"/>
              <w:right w:val="single" w:sz="4" w:space="0" w:color="auto"/>
            </w:tcBorders>
            <w:shd w:val="clear" w:color="auto" w:fill="auto"/>
          </w:tcPr>
          <w:p w14:paraId="436EC296" w14:textId="77777777" w:rsidR="00D3574E" w:rsidRPr="002D0B2E" w:rsidRDefault="00D657E9" w:rsidP="00A26110">
            <w:pPr>
              <w:spacing w:after="0" w:line="240" w:lineRule="auto"/>
              <w:jc w:val="both"/>
              <w:rPr>
                <w:rFonts w:ascii="Arial" w:eastAsia="Times New Roman" w:hAnsi="Arial" w:cs="Arial"/>
                <w:sz w:val="18"/>
                <w:szCs w:val="18"/>
                <w:lang w:val="bg-BG" w:eastAsia="bg-BG"/>
              </w:rPr>
            </w:pPr>
            <w:r>
              <w:rPr>
                <w:rFonts w:ascii="Arial" w:eastAsia="Times New Roman" w:hAnsi="Arial" w:cs="Arial"/>
                <w:sz w:val="18"/>
                <w:szCs w:val="18"/>
                <w:lang w:val="bg-BG" w:eastAsia="bg-BG"/>
              </w:rPr>
              <w:t xml:space="preserve">Гаранциите ще бъдат издавани </w:t>
            </w:r>
            <w:r w:rsidRPr="008B5547">
              <w:rPr>
                <w:rFonts w:ascii="Arial" w:eastAsia="Times New Roman" w:hAnsi="Arial" w:cs="Arial"/>
                <w:sz w:val="18"/>
                <w:szCs w:val="18"/>
                <w:lang w:val="bg-BG" w:eastAsia="bg-BG"/>
              </w:rPr>
              <w:t>за инвестиционни заеми</w:t>
            </w:r>
            <w:r w:rsidR="00D3574E" w:rsidRPr="00785B0F">
              <w:rPr>
                <w:lang w:val="bg-BG"/>
              </w:rPr>
              <w:t xml:space="preserve"> </w:t>
            </w:r>
            <w:r w:rsidR="00D3574E" w:rsidRPr="008B5547">
              <w:rPr>
                <w:rFonts w:ascii="Arial" w:eastAsia="Times New Roman" w:hAnsi="Arial" w:cs="Arial"/>
                <w:sz w:val="18"/>
                <w:szCs w:val="18"/>
                <w:lang w:val="bg-BG" w:eastAsia="bg-BG"/>
              </w:rPr>
              <w:t>или за заеми за дейности, насочени към оптимизиране на оперативните разходи и други допустими дейности в съответствие с целите на ОПОС</w:t>
            </w:r>
            <w:r w:rsidR="00031860" w:rsidRPr="002D0B2E">
              <w:rPr>
                <w:rFonts w:ascii="Arial" w:eastAsia="Times New Roman" w:hAnsi="Arial" w:cs="Arial"/>
                <w:sz w:val="18"/>
                <w:szCs w:val="18"/>
                <w:lang w:val="bg-BG" w:eastAsia="bg-BG"/>
              </w:rPr>
              <w:t xml:space="preserve">. </w:t>
            </w:r>
          </w:p>
          <w:p w14:paraId="0B2BBB3A" w14:textId="77777777" w:rsidR="00C6141D" w:rsidRPr="00D657E9" w:rsidRDefault="00D657E9" w:rsidP="00A26110">
            <w:pPr>
              <w:spacing w:after="0" w:line="240" w:lineRule="auto"/>
              <w:jc w:val="both"/>
              <w:rPr>
                <w:rFonts w:ascii="Arial" w:eastAsia="Times New Roman" w:hAnsi="Arial" w:cs="Arial"/>
                <w:sz w:val="18"/>
                <w:szCs w:val="18"/>
                <w:lang w:val="bg-BG" w:eastAsia="bg-BG"/>
              </w:rPr>
            </w:pPr>
            <w:r>
              <w:rPr>
                <w:rFonts w:ascii="Arial" w:eastAsia="Times New Roman" w:hAnsi="Arial" w:cs="Arial"/>
                <w:sz w:val="18"/>
                <w:szCs w:val="18"/>
                <w:lang w:val="bg-BG" w:eastAsia="bg-BG"/>
              </w:rPr>
              <w:t>Предвиждат се следните общи условия на гаранциите:</w:t>
            </w:r>
          </w:p>
          <w:p w14:paraId="27BA6588" w14:textId="77777777" w:rsidR="00CD4732" w:rsidRPr="00D657E9" w:rsidRDefault="00D657E9" w:rsidP="00A26110">
            <w:pPr>
              <w:spacing w:after="0" w:line="240" w:lineRule="auto"/>
              <w:jc w:val="both"/>
              <w:rPr>
                <w:rFonts w:ascii="Arial" w:eastAsia="Times New Roman" w:hAnsi="Arial" w:cs="Arial"/>
                <w:sz w:val="18"/>
                <w:szCs w:val="18"/>
                <w:lang w:val="bg-BG" w:eastAsia="bg-BG"/>
              </w:rPr>
            </w:pPr>
            <w:r>
              <w:rPr>
                <w:rFonts w:ascii="Arial" w:eastAsia="Times New Roman" w:hAnsi="Arial" w:cs="Arial"/>
                <w:b/>
                <w:sz w:val="18"/>
                <w:szCs w:val="18"/>
                <w:lang w:val="bg-BG" w:eastAsia="bg-BG"/>
              </w:rPr>
              <w:t>Вид гаранция</w:t>
            </w:r>
            <w:r w:rsidR="00CD4732" w:rsidRPr="00D657E9">
              <w:rPr>
                <w:rFonts w:ascii="Arial" w:eastAsia="Times New Roman" w:hAnsi="Arial" w:cs="Arial"/>
                <w:b/>
                <w:sz w:val="18"/>
                <w:szCs w:val="18"/>
                <w:lang w:val="bg-BG" w:eastAsia="bg-BG"/>
              </w:rPr>
              <w:t>:</w:t>
            </w:r>
            <w:r w:rsidR="00CD4732" w:rsidRPr="00D657E9">
              <w:rPr>
                <w:rFonts w:ascii="Arial" w:eastAsia="Times New Roman" w:hAnsi="Arial" w:cs="Arial"/>
                <w:sz w:val="18"/>
                <w:szCs w:val="18"/>
                <w:lang w:val="bg-BG" w:eastAsia="bg-BG"/>
              </w:rPr>
              <w:t xml:space="preserve"> </w:t>
            </w:r>
            <w:r w:rsidR="00A32FC5">
              <w:rPr>
                <w:rFonts w:ascii="Arial" w:eastAsia="Times New Roman" w:hAnsi="Arial" w:cs="Arial"/>
                <w:sz w:val="18"/>
                <w:szCs w:val="18"/>
                <w:lang w:val="bg-BG" w:eastAsia="bg-BG"/>
              </w:rPr>
              <w:t>Безусловна и неотменима</w:t>
            </w:r>
          </w:p>
          <w:p w14:paraId="34D5D47E" w14:textId="77777777" w:rsidR="00C6141D" w:rsidRDefault="009D44D3" w:rsidP="00A26110">
            <w:pPr>
              <w:spacing w:after="0" w:line="240" w:lineRule="auto"/>
              <w:jc w:val="both"/>
              <w:rPr>
                <w:rFonts w:ascii="Arial" w:eastAsia="Times New Roman" w:hAnsi="Arial" w:cs="Arial"/>
                <w:sz w:val="18"/>
                <w:szCs w:val="18"/>
                <w:lang w:val="bg-BG" w:eastAsia="bg-BG"/>
              </w:rPr>
            </w:pPr>
            <w:r>
              <w:rPr>
                <w:rFonts w:ascii="Arial" w:eastAsia="Times New Roman" w:hAnsi="Arial" w:cs="Arial"/>
                <w:b/>
                <w:i/>
                <w:sz w:val="18"/>
                <w:szCs w:val="18"/>
                <w:lang w:val="bg-BG" w:eastAsia="bg-BG"/>
              </w:rPr>
              <w:t xml:space="preserve">Покритие на ниво кредит - </w:t>
            </w:r>
            <w:r w:rsidR="00C6141D" w:rsidRPr="00D657E9">
              <w:rPr>
                <w:rFonts w:ascii="Arial" w:eastAsia="Times New Roman" w:hAnsi="Arial" w:cs="Arial"/>
                <w:b/>
                <w:i/>
                <w:sz w:val="18"/>
                <w:szCs w:val="18"/>
                <w:lang w:eastAsia="bg-BG"/>
              </w:rPr>
              <w:t>Pari</w:t>
            </w:r>
            <w:r w:rsidR="00C6141D" w:rsidRPr="00D657E9">
              <w:rPr>
                <w:rFonts w:ascii="Arial" w:eastAsia="Times New Roman" w:hAnsi="Arial" w:cs="Arial"/>
                <w:b/>
                <w:i/>
                <w:sz w:val="18"/>
                <w:szCs w:val="18"/>
                <w:lang w:val="bg-BG" w:eastAsia="bg-BG"/>
              </w:rPr>
              <w:t xml:space="preserve"> </w:t>
            </w:r>
            <w:r w:rsidR="00C6141D" w:rsidRPr="00D657E9">
              <w:rPr>
                <w:rFonts w:ascii="Arial" w:eastAsia="Times New Roman" w:hAnsi="Arial" w:cs="Arial"/>
                <w:b/>
                <w:i/>
                <w:sz w:val="18"/>
                <w:szCs w:val="18"/>
                <w:lang w:eastAsia="bg-BG"/>
              </w:rPr>
              <w:t>passu</w:t>
            </w:r>
            <w:r w:rsidR="002501C4">
              <w:rPr>
                <w:rFonts w:ascii="Arial" w:eastAsia="Times New Roman" w:hAnsi="Arial" w:cs="Arial"/>
                <w:b/>
                <w:i/>
                <w:sz w:val="18"/>
                <w:szCs w:val="18"/>
                <w:lang w:val="bg-BG" w:eastAsia="bg-BG"/>
              </w:rPr>
              <w:t xml:space="preserve"> </w:t>
            </w:r>
            <w:r w:rsidR="002501C4">
              <w:rPr>
                <w:rFonts w:ascii="Arial" w:eastAsia="Times New Roman" w:hAnsi="Arial" w:cs="Arial"/>
                <w:sz w:val="18"/>
                <w:szCs w:val="18"/>
                <w:lang w:val="bg-BG" w:eastAsia="bg-BG"/>
              </w:rPr>
              <w:t>или с прилагане на асиметрия при спазване на приложимите правила за държавни помощи</w:t>
            </w:r>
            <w:r w:rsidR="00C6141D" w:rsidRPr="00D657E9">
              <w:rPr>
                <w:rFonts w:ascii="Arial" w:eastAsia="Times New Roman" w:hAnsi="Arial" w:cs="Arial"/>
                <w:b/>
                <w:sz w:val="18"/>
                <w:szCs w:val="18"/>
                <w:lang w:val="bg-BG" w:eastAsia="bg-BG"/>
              </w:rPr>
              <w:t xml:space="preserve">: </w:t>
            </w:r>
            <w:r w:rsidR="00D657E9">
              <w:rPr>
                <w:rFonts w:ascii="Arial" w:eastAsia="Times New Roman" w:hAnsi="Arial" w:cs="Arial"/>
                <w:sz w:val="18"/>
                <w:szCs w:val="18"/>
                <w:lang w:val="bg-BG" w:eastAsia="bg-BG"/>
              </w:rPr>
              <w:t>до</w:t>
            </w:r>
            <w:r w:rsidR="00C6141D" w:rsidRPr="00D657E9">
              <w:rPr>
                <w:rFonts w:ascii="Arial" w:eastAsia="Times New Roman" w:hAnsi="Arial" w:cs="Arial"/>
                <w:sz w:val="18"/>
                <w:szCs w:val="18"/>
                <w:lang w:val="bg-BG" w:eastAsia="bg-BG"/>
              </w:rPr>
              <w:t xml:space="preserve"> </w:t>
            </w:r>
            <w:r w:rsidR="002501C4">
              <w:rPr>
                <w:rFonts w:ascii="Arial" w:eastAsia="Times New Roman" w:hAnsi="Arial" w:cs="Arial"/>
                <w:sz w:val="18"/>
                <w:szCs w:val="18"/>
                <w:lang w:val="bg-BG" w:eastAsia="bg-BG"/>
              </w:rPr>
              <w:t>8</w:t>
            </w:r>
            <w:r w:rsidR="002501C4" w:rsidRPr="00D657E9">
              <w:rPr>
                <w:rFonts w:ascii="Arial" w:eastAsia="Times New Roman" w:hAnsi="Arial" w:cs="Arial"/>
                <w:sz w:val="18"/>
                <w:szCs w:val="18"/>
                <w:lang w:val="bg-BG" w:eastAsia="bg-BG"/>
              </w:rPr>
              <w:t>0</w:t>
            </w:r>
            <w:r w:rsidR="002501C4">
              <w:rPr>
                <w:rFonts w:ascii="Arial" w:eastAsia="Times New Roman" w:hAnsi="Arial" w:cs="Arial"/>
                <w:sz w:val="18"/>
                <w:szCs w:val="18"/>
                <w:lang w:val="bg-BG" w:eastAsia="bg-BG"/>
              </w:rPr>
              <w:t xml:space="preserve"> </w:t>
            </w:r>
            <w:r w:rsidR="00C6141D" w:rsidRPr="00D657E9">
              <w:rPr>
                <w:rFonts w:ascii="Arial" w:eastAsia="Times New Roman" w:hAnsi="Arial" w:cs="Arial"/>
                <w:sz w:val="18"/>
                <w:szCs w:val="18"/>
                <w:lang w:val="bg-BG" w:eastAsia="bg-BG"/>
              </w:rPr>
              <w:t>%</w:t>
            </w:r>
            <w:r w:rsidR="00013B8A" w:rsidRPr="00D657E9">
              <w:rPr>
                <w:rFonts w:ascii="Arial" w:eastAsia="Times New Roman" w:hAnsi="Arial" w:cs="Arial"/>
                <w:sz w:val="18"/>
                <w:szCs w:val="18"/>
                <w:lang w:val="bg-BG" w:eastAsia="bg-BG"/>
              </w:rPr>
              <w:t xml:space="preserve"> </w:t>
            </w:r>
            <w:r w:rsidR="00D657E9">
              <w:rPr>
                <w:rFonts w:ascii="Arial" w:eastAsia="Times New Roman" w:hAnsi="Arial" w:cs="Arial"/>
                <w:sz w:val="18"/>
                <w:szCs w:val="18"/>
                <w:lang w:val="bg-BG" w:eastAsia="bg-BG"/>
              </w:rPr>
              <w:t>от общата стойност на финансирането към крайния получател</w:t>
            </w:r>
          </w:p>
          <w:p w14:paraId="0A45C78F" w14:textId="77777777" w:rsidR="00092F88" w:rsidRPr="00580A5C" w:rsidRDefault="00092F88" w:rsidP="00092F88">
            <w:pPr>
              <w:spacing w:after="0" w:line="240" w:lineRule="auto"/>
              <w:jc w:val="both"/>
              <w:rPr>
                <w:rFonts w:ascii="Arial" w:eastAsia="Times New Roman" w:hAnsi="Arial" w:cs="Arial"/>
                <w:sz w:val="18"/>
                <w:szCs w:val="18"/>
                <w:lang w:val="bg-BG" w:eastAsia="bg-BG"/>
              </w:rPr>
            </w:pPr>
            <w:r w:rsidRPr="008B5547">
              <w:rPr>
                <w:rFonts w:ascii="Arial" w:eastAsia="Times New Roman" w:hAnsi="Arial" w:cs="Arial"/>
                <w:sz w:val="18"/>
                <w:szCs w:val="18"/>
                <w:lang w:val="bg-BG" w:eastAsia="bg-BG"/>
              </w:rPr>
              <w:t>При изг</w:t>
            </w:r>
            <w:r>
              <w:rPr>
                <w:rFonts w:ascii="Arial" w:eastAsia="Times New Roman" w:hAnsi="Arial" w:cs="Arial"/>
                <w:sz w:val="18"/>
                <w:szCs w:val="18"/>
                <w:lang w:val="bg-BG" w:eastAsia="bg-BG"/>
              </w:rPr>
              <w:t>р</w:t>
            </w:r>
            <w:r w:rsidRPr="008B5547">
              <w:rPr>
                <w:rFonts w:ascii="Arial" w:eastAsia="Times New Roman" w:hAnsi="Arial" w:cs="Arial"/>
                <w:sz w:val="18"/>
                <w:szCs w:val="18"/>
                <w:lang w:val="bg-BG" w:eastAsia="bg-BG"/>
              </w:rPr>
              <w:t>аждане на портфейл от няколко заема</w:t>
            </w:r>
            <w:r>
              <w:rPr>
                <w:rFonts w:ascii="Arial" w:eastAsia="Times New Roman" w:hAnsi="Arial" w:cs="Arial"/>
                <w:sz w:val="18"/>
                <w:szCs w:val="18"/>
                <w:lang w:val="bg-BG" w:eastAsia="bg-BG"/>
              </w:rPr>
              <w:t xml:space="preserve"> за ВиКО</w:t>
            </w:r>
            <w:r w:rsidRPr="008B5547">
              <w:rPr>
                <w:rFonts w:ascii="Arial" w:eastAsia="Times New Roman" w:hAnsi="Arial" w:cs="Arial"/>
                <w:sz w:val="18"/>
                <w:szCs w:val="18"/>
                <w:lang w:val="bg-BG" w:eastAsia="bg-BG"/>
              </w:rPr>
              <w:t xml:space="preserve">, предоставени от една търговска банка покритието на ниво индивидуален кредит може да бъде до 80 %, но не повече от </w:t>
            </w:r>
            <w:r w:rsidRPr="00092F88">
              <w:rPr>
                <w:rFonts w:ascii="Arial" w:eastAsia="Times New Roman" w:hAnsi="Arial" w:cs="Arial"/>
                <w:sz w:val="18"/>
                <w:szCs w:val="18"/>
                <w:lang w:val="bg-BG" w:eastAsia="bg-BG"/>
              </w:rPr>
              <w:t xml:space="preserve">25% от общата стойност на финансирането на ниво портфейл създаден </w:t>
            </w:r>
            <w:r w:rsidRPr="00580A5C">
              <w:rPr>
                <w:rFonts w:ascii="Arial" w:eastAsia="Times New Roman" w:hAnsi="Arial" w:cs="Arial"/>
                <w:sz w:val="18"/>
                <w:szCs w:val="18"/>
                <w:lang w:val="bg-BG" w:eastAsia="bg-BG"/>
              </w:rPr>
              <w:t>от тази банка</w:t>
            </w:r>
          </w:p>
          <w:p w14:paraId="32056E00" w14:textId="77777777" w:rsidR="00C6141D" w:rsidRPr="00D657E9" w:rsidRDefault="009D44D3" w:rsidP="00A26110">
            <w:pPr>
              <w:spacing w:after="0" w:line="240" w:lineRule="auto"/>
              <w:jc w:val="both"/>
              <w:rPr>
                <w:rFonts w:ascii="Arial" w:eastAsia="Times New Roman" w:hAnsi="Arial" w:cs="Arial"/>
                <w:sz w:val="18"/>
                <w:szCs w:val="18"/>
                <w:lang w:val="bg-BG" w:eastAsia="bg-BG"/>
              </w:rPr>
            </w:pPr>
            <w:r>
              <w:rPr>
                <w:rFonts w:ascii="Arial" w:eastAsia="Times New Roman" w:hAnsi="Arial" w:cs="Arial"/>
                <w:b/>
                <w:sz w:val="18"/>
                <w:szCs w:val="18"/>
                <w:lang w:val="bg-BG" w:eastAsia="bg-BG"/>
              </w:rPr>
              <w:t>Покритие на ниво портфейл -</w:t>
            </w:r>
            <w:r w:rsidR="00C6141D" w:rsidRPr="00D657E9">
              <w:rPr>
                <w:rFonts w:ascii="Arial" w:eastAsia="Times New Roman" w:hAnsi="Arial" w:cs="Arial"/>
                <w:b/>
                <w:sz w:val="18"/>
                <w:szCs w:val="18"/>
                <w:lang w:val="bg-BG" w:eastAsia="bg-BG"/>
              </w:rPr>
              <w:t xml:space="preserve"> </w:t>
            </w:r>
            <w:r w:rsidR="00D657E9">
              <w:rPr>
                <w:rFonts w:ascii="Arial" w:eastAsia="Times New Roman" w:hAnsi="Arial" w:cs="Arial"/>
                <w:sz w:val="18"/>
                <w:szCs w:val="18"/>
                <w:lang w:val="bg-BG" w:eastAsia="bg-BG"/>
              </w:rPr>
              <w:t>до</w:t>
            </w:r>
            <w:r w:rsidR="00C6141D" w:rsidRPr="00D657E9">
              <w:rPr>
                <w:rFonts w:ascii="Arial" w:eastAsia="Times New Roman" w:hAnsi="Arial" w:cs="Arial"/>
                <w:sz w:val="18"/>
                <w:szCs w:val="18"/>
                <w:lang w:val="bg-BG" w:eastAsia="bg-BG"/>
              </w:rPr>
              <w:t xml:space="preserve"> 25%</w:t>
            </w:r>
            <w:r w:rsidR="00013B8A" w:rsidRPr="00D657E9">
              <w:rPr>
                <w:rFonts w:ascii="Arial" w:eastAsia="Times New Roman" w:hAnsi="Arial" w:cs="Arial"/>
                <w:sz w:val="18"/>
                <w:szCs w:val="18"/>
                <w:lang w:val="bg-BG" w:eastAsia="bg-BG"/>
              </w:rPr>
              <w:t xml:space="preserve"> </w:t>
            </w:r>
            <w:r w:rsidR="00D657E9">
              <w:rPr>
                <w:rFonts w:ascii="Arial" w:eastAsia="Times New Roman" w:hAnsi="Arial" w:cs="Arial"/>
                <w:sz w:val="18"/>
                <w:szCs w:val="18"/>
                <w:lang w:val="bg-BG" w:eastAsia="bg-BG"/>
              </w:rPr>
              <w:t xml:space="preserve">от общата стойност на финансирането </w:t>
            </w:r>
            <w:r w:rsidR="004627BA">
              <w:rPr>
                <w:rFonts w:ascii="Arial" w:eastAsia="Times New Roman" w:hAnsi="Arial" w:cs="Arial"/>
                <w:sz w:val="18"/>
                <w:szCs w:val="18"/>
                <w:lang w:val="bg-BG" w:eastAsia="bg-BG"/>
              </w:rPr>
              <w:t>на ниво портфейл</w:t>
            </w:r>
          </w:p>
          <w:p w14:paraId="1559C08E" w14:textId="77777777" w:rsidR="00E04336" w:rsidRPr="00D657E9" w:rsidRDefault="00D657E9" w:rsidP="00A26110">
            <w:pPr>
              <w:spacing w:after="0" w:line="240" w:lineRule="auto"/>
              <w:jc w:val="both"/>
              <w:rPr>
                <w:rFonts w:ascii="Arial" w:eastAsia="Times New Roman" w:hAnsi="Arial" w:cs="Arial"/>
                <w:sz w:val="18"/>
                <w:szCs w:val="18"/>
                <w:lang w:val="bg-BG" w:eastAsia="bg-BG"/>
              </w:rPr>
            </w:pPr>
            <w:r w:rsidRPr="00F84D87">
              <w:rPr>
                <w:rFonts w:ascii="Arial" w:eastAsia="Times New Roman" w:hAnsi="Arial" w:cs="Arial"/>
                <w:color w:val="000000"/>
                <w:sz w:val="18"/>
                <w:szCs w:val="18"/>
                <w:lang w:val="bg-BG" w:eastAsia="bg-BG"/>
              </w:rPr>
              <w:t>Процентът на гаранцията</w:t>
            </w:r>
            <w:r w:rsidR="00580A5C">
              <w:rPr>
                <w:rFonts w:ascii="Arial" w:eastAsia="Times New Roman" w:hAnsi="Arial" w:cs="Arial"/>
                <w:color w:val="000000"/>
                <w:sz w:val="18"/>
                <w:szCs w:val="18"/>
                <w:lang w:val="bg-BG" w:eastAsia="bg-BG"/>
              </w:rPr>
              <w:t xml:space="preserve"> на ниво портфейл</w:t>
            </w:r>
            <w:r>
              <w:rPr>
                <w:rFonts w:ascii="Arial" w:eastAsia="Times New Roman" w:hAnsi="Arial" w:cs="Arial"/>
                <w:color w:val="000000"/>
                <w:sz w:val="18"/>
                <w:szCs w:val="18"/>
                <w:lang w:val="bg-BG" w:eastAsia="bg-BG"/>
              </w:rPr>
              <w:t xml:space="preserve"> ще варира спрямо оценката на риска </w:t>
            </w:r>
            <w:r w:rsidR="009A75CB">
              <w:rPr>
                <w:rFonts w:ascii="Arial" w:eastAsia="Times New Roman" w:hAnsi="Arial" w:cs="Arial"/>
                <w:color w:val="000000"/>
                <w:sz w:val="18"/>
                <w:szCs w:val="18"/>
                <w:lang w:val="bg-BG" w:eastAsia="bg-BG"/>
              </w:rPr>
              <w:t xml:space="preserve"> </w:t>
            </w:r>
          </w:p>
          <w:p w14:paraId="2F3CD729" w14:textId="77777777" w:rsidR="00C6141D" w:rsidRPr="00D657E9" w:rsidRDefault="00D657E9" w:rsidP="00A26110">
            <w:pPr>
              <w:spacing w:after="0" w:line="240" w:lineRule="auto"/>
              <w:jc w:val="both"/>
              <w:rPr>
                <w:rFonts w:ascii="Arial" w:eastAsia="Times New Roman" w:hAnsi="Arial" w:cs="Arial"/>
                <w:sz w:val="18"/>
                <w:szCs w:val="18"/>
                <w:lang w:val="bg-BG" w:eastAsia="bg-BG"/>
              </w:rPr>
            </w:pPr>
            <w:r w:rsidRPr="000A493B">
              <w:rPr>
                <w:rFonts w:ascii="Arial" w:eastAsia="Times New Roman" w:hAnsi="Arial" w:cs="Arial"/>
                <w:b/>
                <w:sz w:val="18"/>
                <w:szCs w:val="18"/>
                <w:lang w:val="bg-BG" w:eastAsia="bg-BG"/>
              </w:rPr>
              <w:t>Гаранционна такса</w:t>
            </w:r>
            <w:r w:rsidR="00C6141D" w:rsidRPr="000A493B">
              <w:rPr>
                <w:rFonts w:ascii="Arial" w:eastAsia="Times New Roman" w:hAnsi="Arial" w:cs="Arial"/>
                <w:b/>
                <w:sz w:val="18"/>
                <w:szCs w:val="18"/>
                <w:lang w:val="bg-BG" w:eastAsia="bg-BG"/>
              </w:rPr>
              <w:t>:</w:t>
            </w:r>
            <w:r w:rsidR="00C6141D" w:rsidRPr="000A493B">
              <w:rPr>
                <w:rFonts w:ascii="Arial" w:eastAsia="Times New Roman" w:hAnsi="Arial" w:cs="Arial"/>
                <w:sz w:val="18"/>
                <w:szCs w:val="18"/>
                <w:lang w:val="bg-BG" w:eastAsia="bg-BG"/>
              </w:rPr>
              <w:t xml:space="preserve"> </w:t>
            </w:r>
            <w:r w:rsidR="009A75CB">
              <w:rPr>
                <w:rFonts w:ascii="Arial" w:eastAsia="Times New Roman" w:hAnsi="Arial" w:cs="Arial"/>
                <w:sz w:val="18"/>
                <w:szCs w:val="18"/>
                <w:lang w:val="bg-BG" w:eastAsia="bg-BG"/>
              </w:rPr>
              <w:t>без такса за банките и крайните получатели</w:t>
            </w:r>
            <w:r w:rsidR="00AC7B2C">
              <w:rPr>
                <w:rFonts w:ascii="Arial" w:eastAsia="Times New Roman" w:hAnsi="Arial" w:cs="Arial"/>
                <w:sz w:val="18"/>
                <w:szCs w:val="18"/>
                <w:lang w:val="bg-BG" w:eastAsia="bg-BG"/>
              </w:rPr>
              <w:t xml:space="preserve"> за гаранция</w:t>
            </w:r>
            <w:r w:rsidR="00070669">
              <w:rPr>
                <w:rFonts w:ascii="Arial" w:eastAsia="Times New Roman" w:hAnsi="Arial" w:cs="Arial"/>
                <w:sz w:val="18"/>
                <w:szCs w:val="18"/>
                <w:lang w:val="bg-BG" w:eastAsia="bg-BG"/>
              </w:rPr>
              <w:t xml:space="preserve"> покриваща очакваните загуби</w:t>
            </w:r>
            <w:r w:rsidR="00AC7B2C">
              <w:rPr>
                <w:rFonts w:ascii="Arial" w:eastAsia="Times New Roman" w:hAnsi="Arial" w:cs="Arial"/>
                <w:sz w:val="18"/>
                <w:szCs w:val="18"/>
                <w:lang w:val="bg-BG" w:eastAsia="bg-BG"/>
              </w:rPr>
              <w:t xml:space="preserve">, обезпечена със средства от ОПОС. </w:t>
            </w:r>
            <w:r w:rsidR="00DC57D8">
              <w:rPr>
                <w:rFonts w:ascii="Arial" w:eastAsia="Times New Roman" w:hAnsi="Arial" w:cs="Arial"/>
                <w:sz w:val="18"/>
                <w:szCs w:val="18"/>
                <w:lang w:val="bg-BG" w:eastAsia="bg-BG"/>
              </w:rPr>
              <w:t xml:space="preserve">В случай че </w:t>
            </w:r>
            <w:r w:rsidR="00092F88">
              <w:rPr>
                <w:rFonts w:ascii="Arial" w:eastAsia="Times New Roman" w:hAnsi="Arial" w:cs="Arial"/>
                <w:sz w:val="18"/>
                <w:szCs w:val="18"/>
                <w:lang w:val="bg-BG" w:eastAsia="bg-BG"/>
              </w:rPr>
              <w:t xml:space="preserve">МФИ, като мениджър на </w:t>
            </w:r>
            <w:r w:rsidR="00092F88">
              <w:rPr>
                <w:rFonts w:ascii="Arial" w:eastAsia="Times New Roman" w:hAnsi="Arial" w:cs="Arial"/>
                <w:sz w:val="18"/>
                <w:szCs w:val="18"/>
                <w:lang w:eastAsia="bg-BG"/>
              </w:rPr>
              <w:t>DIV</w:t>
            </w:r>
            <w:r w:rsidR="00DC57D8">
              <w:rPr>
                <w:rFonts w:ascii="Arial" w:eastAsia="Times New Roman" w:hAnsi="Arial" w:cs="Arial"/>
                <w:sz w:val="18"/>
                <w:szCs w:val="18"/>
                <w:lang w:val="bg-BG" w:eastAsia="bg-BG"/>
              </w:rPr>
              <w:t xml:space="preserve"> предостави допълнителна гаранция </w:t>
            </w:r>
            <w:r w:rsidR="00042CAB">
              <w:rPr>
                <w:rFonts w:ascii="Arial" w:eastAsia="Times New Roman" w:hAnsi="Arial" w:cs="Arial"/>
                <w:sz w:val="18"/>
                <w:szCs w:val="18"/>
                <w:lang w:val="bg-BG" w:eastAsia="bg-BG"/>
              </w:rPr>
              <w:t xml:space="preserve">но не повече от 80 % </w:t>
            </w:r>
            <w:r w:rsidR="00DC57D8" w:rsidRPr="00DC57D8">
              <w:rPr>
                <w:rFonts w:ascii="Arial" w:eastAsia="Times New Roman" w:hAnsi="Arial" w:cs="Arial"/>
                <w:sz w:val="18"/>
                <w:szCs w:val="18"/>
                <w:lang w:val="bg-BG" w:eastAsia="bg-BG"/>
              </w:rPr>
              <w:t>от общата стойност на финансирането към крайния получател</w:t>
            </w:r>
            <w:r w:rsidR="00DC57D8">
              <w:rPr>
                <w:rFonts w:ascii="Arial" w:eastAsia="Times New Roman" w:hAnsi="Arial" w:cs="Arial"/>
                <w:sz w:val="18"/>
                <w:szCs w:val="18"/>
                <w:lang w:val="bg-BG" w:eastAsia="bg-BG"/>
              </w:rPr>
              <w:t>,</w:t>
            </w:r>
            <w:r w:rsidR="00DC57D8" w:rsidRPr="00DC57D8">
              <w:rPr>
                <w:rFonts w:ascii="Arial" w:eastAsia="Times New Roman" w:hAnsi="Arial" w:cs="Arial"/>
                <w:sz w:val="18"/>
                <w:szCs w:val="18"/>
                <w:lang w:val="bg-BG" w:eastAsia="bg-BG"/>
              </w:rPr>
              <w:t xml:space="preserve"> </w:t>
            </w:r>
            <w:r w:rsidR="00DC57D8">
              <w:rPr>
                <w:rFonts w:ascii="Arial" w:eastAsia="Times New Roman" w:hAnsi="Arial" w:cs="Arial"/>
                <w:sz w:val="18"/>
                <w:szCs w:val="18"/>
                <w:lang w:val="bg-BG" w:eastAsia="bg-BG"/>
              </w:rPr>
              <w:t>обезпечена с допълнителни частни средства, то за това допълнително гаранционно покритие може да се начислява гаранционна такса.</w:t>
            </w:r>
          </w:p>
        </w:tc>
      </w:tr>
      <w:tr w:rsidR="00B64AB1" w:rsidRPr="007B6C31" w14:paraId="3FC7F222" w14:textId="77777777" w:rsidTr="008B5547">
        <w:trPr>
          <w:trHeight w:val="285"/>
        </w:trPr>
        <w:tc>
          <w:tcPr>
            <w:tcW w:w="2052" w:type="dxa"/>
            <w:tcBorders>
              <w:top w:val="nil"/>
              <w:left w:val="single" w:sz="4" w:space="0" w:color="auto"/>
              <w:bottom w:val="single" w:sz="4" w:space="0" w:color="auto"/>
              <w:right w:val="single" w:sz="4" w:space="0" w:color="auto"/>
            </w:tcBorders>
            <w:shd w:val="clear" w:color="auto" w:fill="auto"/>
          </w:tcPr>
          <w:p w14:paraId="2CB35970" w14:textId="77777777" w:rsidR="00B64AB1" w:rsidRPr="00D657E9" w:rsidRDefault="00D657E9" w:rsidP="001E0477">
            <w:pPr>
              <w:keepNext/>
              <w:spacing w:after="0" w:line="240" w:lineRule="auto"/>
              <w:rPr>
                <w:rFonts w:ascii="Arial" w:eastAsia="Times New Roman" w:hAnsi="Arial" w:cs="Arial"/>
                <w:sz w:val="18"/>
                <w:szCs w:val="18"/>
                <w:lang w:val="bg-BG" w:eastAsia="bg-BG"/>
              </w:rPr>
            </w:pPr>
            <w:r>
              <w:rPr>
                <w:rFonts w:ascii="Arial" w:eastAsia="Times New Roman" w:hAnsi="Arial" w:cs="Arial"/>
                <w:sz w:val="18"/>
                <w:szCs w:val="18"/>
                <w:lang w:val="bg-BG" w:eastAsia="bg-BG"/>
              </w:rPr>
              <w:lastRenderedPageBreak/>
              <w:t>Условия на заемите, гарантирани от специалната инвестиционна структура</w:t>
            </w:r>
            <w:r w:rsidR="00B64AB1" w:rsidRPr="00D657E9">
              <w:rPr>
                <w:rFonts w:ascii="Arial" w:eastAsia="Times New Roman" w:hAnsi="Arial" w:cs="Arial"/>
                <w:sz w:val="18"/>
                <w:szCs w:val="18"/>
                <w:lang w:val="bg-BG" w:eastAsia="bg-BG"/>
              </w:rPr>
              <w:t xml:space="preserve"> </w:t>
            </w:r>
            <w:r>
              <w:rPr>
                <w:rFonts w:ascii="Arial" w:eastAsia="Times New Roman" w:hAnsi="Arial" w:cs="Arial"/>
                <w:sz w:val="18"/>
                <w:szCs w:val="18"/>
                <w:lang w:val="bg-BG" w:eastAsia="bg-BG"/>
              </w:rPr>
              <w:t>(</w:t>
            </w:r>
            <w:r w:rsidR="00B64AB1">
              <w:rPr>
                <w:rFonts w:ascii="Arial" w:eastAsia="Times New Roman" w:hAnsi="Arial" w:cs="Arial"/>
                <w:sz w:val="18"/>
                <w:szCs w:val="18"/>
                <w:lang w:eastAsia="bg-BG"/>
              </w:rPr>
              <w:t>DIV</w:t>
            </w:r>
            <w:r>
              <w:rPr>
                <w:rFonts w:ascii="Arial" w:eastAsia="Times New Roman" w:hAnsi="Arial" w:cs="Arial"/>
                <w:sz w:val="18"/>
                <w:szCs w:val="18"/>
                <w:lang w:val="bg-BG" w:eastAsia="bg-BG"/>
              </w:rPr>
              <w:t>)</w:t>
            </w:r>
          </w:p>
        </w:tc>
        <w:tc>
          <w:tcPr>
            <w:tcW w:w="7938" w:type="dxa"/>
            <w:tcBorders>
              <w:top w:val="nil"/>
              <w:left w:val="nil"/>
              <w:bottom w:val="single" w:sz="4" w:space="0" w:color="auto"/>
              <w:right w:val="single" w:sz="4" w:space="0" w:color="auto"/>
            </w:tcBorders>
            <w:shd w:val="clear" w:color="auto" w:fill="auto"/>
          </w:tcPr>
          <w:p w14:paraId="777ADEF2" w14:textId="77777777" w:rsidR="00B64AB1" w:rsidRPr="00B20083" w:rsidRDefault="00B20083" w:rsidP="00BC7695">
            <w:pPr>
              <w:keepNext/>
              <w:spacing w:after="0" w:line="240" w:lineRule="auto"/>
              <w:jc w:val="both"/>
              <w:rPr>
                <w:rFonts w:ascii="Arial" w:eastAsia="Times New Roman" w:hAnsi="Arial" w:cs="Arial"/>
                <w:sz w:val="18"/>
                <w:szCs w:val="18"/>
                <w:lang w:val="bg-BG" w:eastAsia="bg-BG"/>
              </w:rPr>
            </w:pPr>
            <w:r>
              <w:rPr>
                <w:rFonts w:ascii="Arial" w:eastAsia="Times New Roman" w:hAnsi="Arial" w:cs="Arial"/>
                <w:sz w:val="18"/>
                <w:szCs w:val="18"/>
                <w:lang w:val="bg-BG" w:eastAsia="bg-BG"/>
              </w:rPr>
              <w:t>Условията на заемите, предоставяни от търговските банки и гарантирани от специалната инвестиционна структура (</w:t>
            </w:r>
            <w:r w:rsidR="00B64AB1">
              <w:rPr>
                <w:rFonts w:ascii="Arial" w:eastAsia="Times New Roman" w:hAnsi="Arial" w:cs="Arial"/>
                <w:sz w:val="18"/>
                <w:szCs w:val="18"/>
                <w:lang w:eastAsia="bg-BG"/>
              </w:rPr>
              <w:t>DIV</w:t>
            </w:r>
            <w:r>
              <w:rPr>
                <w:rFonts w:ascii="Arial" w:eastAsia="Times New Roman" w:hAnsi="Arial" w:cs="Arial"/>
                <w:sz w:val="18"/>
                <w:szCs w:val="18"/>
                <w:lang w:val="bg-BG" w:eastAsia="bg-BG"/>
              </w:rPr>
              <w:t>)</w:t>
            </w:r>
            <w:r w:rsidRPr="00B20083">
              <w:rPr>
                <w:rFonts w:ascii="Arial" w:eastAsia="Times New Roman" w:hAnsi="Arial" w:cs="Arial"/>
                <w:sz w:val="18"/>
                <w:szCs w:val="18"/>
                <w:lang w:val="bg-BG" w:eastAsia="bg-BG"/>
              </w:rPr>
              <w:t xml:space="preserve"> </w:t>
            </w:r>
            <w:r w:rsidR="00DC57D8">
              <w:rPr>
                <w:rFonts w:ascii="Arial" w:eastAsia="Times New Roman" w:hAnsi="Arial" w:cs="Arial"/>
                <w:sz w:val="18"/>
                <w:szCs w:val="18"/>
                <w:lang w:val="bg-BG" w:eastAsia="bg-BG"/>
              </w:rPr>
              <w:t xml:space="preserve">или от ФМФИБ </w:t>
            </w:r>
            <w:r w:rsidRPr="00B20083">
              <w:rPr>
                <w:rFonts w:ascii="Arial" w:eastAsia="Times New Roman" w:hAnsi="Arial" w:cs="Arial"/>
                <w:sz w:val="18"/>
                <w:szCs w:val="18"/>
                <w:lang w:val="bg-BG" w:eastAsia="bg-BG"/>
              </w:rPr>
              <w:t xml:space="preserve">(напр. продължителност </w:t>
            </w:r>
            <w:r>
              <w:rPr>
                <w:rFonts w:ascii="Arial" w:eastAsia="Times New Roman" w:hAnsi="Arial" w:cs="Arial"/>
                <w:sz w:val="18"/>
                <w:szCs w:val="18"/>
                <w:lang w:val="bg-BG" w:eastAsia="bg-BG"/>
              </w:rPr>
              <w:t>на заема, лихва, изисквания за обезпечение</w:t>
            </w:r>
            <w:r w:rsidR="00B64AB1" w:rsidRPr="00B20083">
              <w:rPr>
                <w:rFonts w:ascii="Arial" w:eastAsia="Times New Roman" w:hAnsi="Arial" w:cs="Arial"/>
                <w:sz w:val="18"/>
                <w:szCs w:val="18"/>
                <w:lang w:val="bg-BG" w:eastAsia="bg-BG"/>
              </w:rPr>
              <w:t>)</w:t>
            </w:r>
            <w:r>
              <w:rPr>
                <w:rFonts w:ascii="Arial" w:eastAsia="Times New Roman" w:hAnsi="Arial" w:cs="Arial"/>
                <w:sz w:val="18"/>
                <w:szCs w:val="18"/>
                <w:lang w:val="bg-BG" w:eastAsia="bg-BG"/>
              </w:rPr>
              <w:t xml:space="preserve">, </w:t>
            </w:r>
            <w:r w:rsidR="009A75CB">
              <w:rPr>
                <w:rFonts w:ascii="Arial" w:eastAsia="Times New Roman" w:hAnsi="Arial" w:cs="Arial"/>
                <w:sz w:val="18"/>
                <w:szCs w:val="18"/>
                <w:lang w:val="bg-BG" w:eastAsia="bg-BG"/>
              </w:rPr>
              <w:t>следва да отразяват кредитното облекчение</w:t>
            </w:r>
            <w:r w:rsidR="00DD7CCA">
              <w:rPr>
                <w:rFonts w:ascii="Arial" w:eastAsia="Times New Roman" w:hAnsi="Arial" w:cs="Arial"/>
                <w:sz w:val="18"/>
                <w:szCs w:val="18"/>
                <w:lang w:val="bg-BG" w:eastAsia="bg-BG"/>
              </w:rPr>
              <w:t>,</w:t>
            </w:r>
            <w:r w:rsidR="009A75CB">
              <w:rPr>
                <w:rFonts w:ascii="Arial" w:eastAsia="Times New Roman" w:hAnsi="Arial" w:cs="Arial"/>
                <w:sz w:val="18"/>
                <w:szCs w:val="18"/>
                <w:lang w:val="bg-BG" w:eastAsia="bg-BG"/>
              </w:rPr>
              <w:t xml:space="preserve"> получено в резултат на гаранцията</w:t>
            </w:r>
          </w:p>
        </w:tc>
      </w:tr>
      <w:tr w:rsidR="008B710B" w:rsidRPr="00314448" w14:paraId="602897D0" w14:textId="77777777" w:rsidTr="008B5547">
        <w:trPr>
          <w:trHeight w:val="320"/>
        </w:trPr>
        <w:tc>
          <w:tcPr>
            <w:tcW w:w="2052" w:type="dxa"/>
            <w:tcBorders>
              <w:top w:val="nil"/>
              <w:left w:val="single" w:sz="4" w:space="0" w:color="auto"/>
              <w:bottom w:val="single" w:sz="4" w:space="0" w:color="auto"/>
              <w:right w:val="single" w:sz="4" w:space="0" w:color="auto"/>
            </w:tcBorders>
            <w:shd w:val="clear" w:color="auto" w:fill="auto"/>
            <w:hideMark/>
          </w:tcPr>
          <w:p w14:paraId="74A0E4E1" w14:textId="77777777" w:rsidR="008B710B" w:rsidRPr="00EA47BD" w:rsidRDefault="00102489" w:rsidP="00102489">
            <w:pPr>
              <w:spacing w:after="0" w:line="240" w:lineRule="auto"/>
              <w:rPr>
                <w:rFonts w:ascii="Arial" w:eastAsia="Times New Roman" w:hAnsi="Arial" w:cs="Arial"/>
                <w:color w:val="000000"/>
                <w:sz w:val="18"/>
                <w:szCs w:val="18"/>
                <w:lang w:val="bg-BG" w:eastAsia="bg-BG"/>
              </w:rPr>
            </w:pPr>
            <w:r w:rsidRPr="00EA47BD">
              <w:rPr>
                <w:rFonts w:ascii="Arial" w:eastAsia="Times New Roman" w:hAnsi="Arial" w:cs="Arial"/>
                <w:color w:val="000000"/>
                <w:sz w:val="18"/>
                <w:szCs w:val="18"/>
                <w:lang w:val="bg-BG" w:eastAsia="bg-BG"/>
              </w:rPr>
              <w:t>Бюджет (КФ и</w:t>
            </w:r>
            <w:r w:rsidR="00D23894">
              <w:rPr>
                <w:rFonts w:ascii="Arial" w:eastAsia="Times New Roman" w:hAnsi="Arial" w:cs="Arial"/>
                <w:color w:val="000000"/>
                <w:sz w:val="18"/>
                <w:szCs w:val="18"/>
                <w:lang w:val="bg-BG" w:eastAsia="bg-BG"/>
              </w:rPr>
              <w:t xml:space="preserve"> </w:t>
            </w:r>
            <w:r w:rsidR="00D23894" w:rsidRPr="00EA47BD">
              <w:rPr>
                <w:rFonts w:ascii="Arial" w:eastAsia="Times New Roman" w:hAnsi="Arial" w:cs="Arial"/>
                <w:color w:val="000000"/>
                <w:sz w:val="18"/>
                <w:szCs w:val="18"/>
                <w:lang w:val="bg-BG" w:eastAsia="bg-BG"/>
              </w:rPr>
              <w:t>нац</w:t>
            </w:r>
            <w:r w:rsidR="00D23894">
              <w:rPr>
                <w:rFonts w:ascii="Arial" w:eastAsia="Times New Roman" w:hAnsi="Arial" w:cs="Arial"/>
                <w:color w:val="000000"/>
                <w:sz w:val="18"/>
                <w:szCs w:val="18"/>
                <w:lang w:val="bg-BG" w:eastAsia="bg-BG"/>
              </w:rPr>
              <w:t xml:space="preserve">. </w:t>
            </w:r>
            <w:r w:rsidRPr="00EA47BD">
              <w:rPr>
                <w:rFonts w:ascii="Arial" w:eastAsia="Times New Roman" w:hAnsi="Arial" w:cs="Arial"/>
                <w:color w:val="000000"/>
                <w:sz w:val="18"/>
                <w:szCs w:val="18"/>
                <w:lang w:val="bg-BG" w:eastAsia="bg-BG"/>
              </w:rPr>
              <w:t>съфинанси</w:t>
            </w:r>
            <w:r w:rsidR="00B20083" w:rsidRPr="00EA47BD">
              <w:rPr>
                <w:rFonts w:ascii="Arial" w:eastAsia="Times New Roman" w:hAnsi="Arial" w:cs="Arial"/>
                <w:color w:val="000000"/>
                <w:sz w:val="18"/>
                <w:szCs w:val="18"/>
                <w:lang w:val="bg-BG" w:eastAsia="bg-BG"/>
              </w:rPr>
              <w:t>ране</w:t>
            </w:r>
            <w:r w:rsidR="008B710B" w:rsidRPr="00EA47BD">
              <w:rPr>
                <w:rFonts w:ascii="Arial" w:eastAsia="Times New Roman" w:hAnsi="Arial" w:cs="Arial"/>
                <w:color w:val="000000"/>
                <w:sz w:val="18"/>
                <w:szCs w:val="18"/>
                <w:lang w:val="bg-BG" w:eastAsia="bg-BG"/>
              </w:rPr>
              <w:t>)</w:t>
            </w:r>
          </w:p>
        </w:tc>
        <w:tc>
          <w:tcPr>
            <w:tcW w:w="7938" w:type="dxa"/>
            <w:tcBorders>
              <w:top w:val="nil"/>
              <w:left w:val="nil"/>
              <w:bottom w:val="single" w:sz="4" w:space="0" w:color="auto"/>
              <w:right w:val="single" w:sz="4" w:space="0" w:color="auto"/>
            </w:tcBorders>
            <w:shd w:val="clear" w:color="auto" w:fill="auto"/>
            <w:hideMark/>
          </w:tcPr>
          <w:p w14:paraId="5B798678" w14:textId="77777777" w:rsidR="008B710B" w:rsidRPr="00102489" w:rsidRDefault="008B710B" w:rsidP="00102489">
            <w:pPr>
              <w:spacing w:after="0" w:line="240" w:lineRule="auto"/>
              <w:rPr>
                <w:rFonts w:ascii="Arial" w:eastAsia="Times New Roman" w:hAnsi="Arial" w:cs="Arial"/>
                <w:color w:val="000000"/>
                <w:sz w:val="18"/>
                <w:szCs w:val="18"/>
                <w:lang w:val="bg-BG" w:eastAsia="bg-BG"/>
              </w:rPr>
            </w:pPr>
            <w:r w:rsidRPr="008B710B">
              <w:rPr>
                <w:rFonts w:ascii="Arial" w:eastAsia="Times New Roman" w:hAnsi="Arial" w:cs="Arial"/>
                <w:sz w:val="18"/>
                <w:szCs w:val="18"/>
                <w:lang w:eastAsia="bg-BG"/>
              </w:rPr>
              <w:t>23.9</w:t>
            </w:r>
            <w:r w:rsidR="00DC57D8">
              <w:rPr>
                <w:rFonts w:ascii="Arial" w:eastAsia="Times New Roman" w:hAnsi="Arial" w:cs="Arial"/>
                <w:sz w:val="18"/>
                <w:szCs w:val="18"/>
                <w:lang w:val="bg-BG" w:eastAsia="bg-BG"/>
              </w:rPr>
              <w:t>3</w:t>
            </w:r>
            <w:r w:rsidRPr="008B710B">
              <w:rPr>
                <w:rFonts w:ascii="Arial" w:eastAsia="Times New Roman" w:hAnsi="Arial" w:cs="Arial"/>
                <w:sz w:val="18"/>
                <w:szCs w:val="18"/>
                <w:lang w:eastAsia="bg-BG"/>
              </w:rPr>
              <w:t xml:space="preserve"> </w:t>
            </w:r>
            <w:r w:rsidR="00102489">
              <w:rPr>
                <w:rFonts w:ascii="Arial" w:eastAsia="Times New Roman" w:hAnsi="Arial" w:cs="Arial"/>
                <w:sz w:val="18"/>
                <w:szCs w:val="18"/>
                <w:lang w:val="bg-BG" w:eastAsia="bg-BG"/>
              </w:rPr>
              <w:t>млн. евро</w:t>
            </w:r>
          </w:p>
        </w:tc>
      </w:tr>
      <w:tr w:rsidR="00531A80" w:rsidRPr="007B6C31" w14:paraId="6738BBEB" w14:textId="77777777" w:rsidTr="008B5547">
        <w:trPr>
          <w:trHeight w:val="285"/>
        </w:trPr>
        <w:tc>
          <w:tcPr>
            <w:tcW w:w="2052" w:type="dxa"/>
            <w:tcBorders>
              <w:top w:val="nil"/>
              <w:left w:val="single" w:sz="4" w:space="0" w:color="auto"/>
              <w:bottom w:val="single" w:sz="4" w:space="0" w:color="auto"/>
              <w:right w:val="single" w:sz="4" w:space="0" w:color="auto"/>
            </w:tcBorders>
            <w:shd w:val="clear" w:color="auto" w:fill="auto"/>
            <w:hideMark/>
          </w:tcPr>
          <w:p w14:paraId="1054E7D3" w14:textId="77777777" w:rsidR="00531A80" w:rsidRPr="00B20083" w:rsidRDefault="00B20083" w:rsidP="000878D4">
            <w:pPr>
              <w:spacing w:after="0" w:line="240" w:lineRule="auto"/>
              <w:rPr>
                <w:rFonts w:ascii="Arial" w:eastAsia="Times New Roman" w:hAnsi="Arial" w:cs="Arial"/>
                <w:sz w:val="18"/>
                <w:szCs w:val="18"/>
                <w:lang w:val="bg-BG" w:eastAsia="bg-BG"/>
              </w:rPr>
            </w:pPr>
            <w:r>
              <w:rPr>
                <w:rFonts w:ascii="Arial" w:eastAsia="Times New Roman" w:hAnsi="Arial" w:cs="Arial"/>
                <w:sz w:val="18"/>
                <w:szCs w:val="18"/>
                <w:lang w:val="bg-BG" w:eastAsia="bg-BG"/>
              </w:rPr>
              <w:t>Очакван ефект на лоста</w:t>
            </w:r>
          </w:p>
        </w:tc>
        <w:tc>
          <w:tcPr>
            <w:tcW w:w="7938" w:type="dxa"/>
            <w:tcBorders>
              <w:top w:val="nil"/>
              <w:left w:val="nil"/>
              <w:bottom w:val="single" w:sz="4" w:space="0" w:color="auto"/>
              <w:right w:val="single" w:sz="4" w:space="0" w:color="auto"/>
            </w:tcBorders>
            <w:shd w:val="clear" w:color="auto" w:fill="auto"/>
            <w:hideMark/>
          </w:tcPr>
          <w:p w14:paraId="244E344A" w14:textId="77777777" w:rsidR="00531A80" w:rsidRPr="006A03CA" w:rsidRDefault="00B20083" w:rsidP="002D0B2E">
            <w:pPr>
              <w:spacing w:after="0" w:line="240" w:lineRule="auto"/>
              <w:rPr>
                <w:rFonts w:ascii="Arial" w:eastAsia="Times New Roman" w:hAnsi="Arial" w:cs="Arial"/>
                <w:sz w:val="18"/>
                <w:szCs w:val="18"/>
                <w:lang w:val="bg-BG" w:eastAsia="bg-BG"/>
              </w:rPr>
            </w:pPr>
            <w:r>
              <w:rPr>
                <w:rFonts w:ascii="Arial" w:eastAsia="Times New Roman" w:hAnsi="Arial" w:cs="Arial"/>
                <w:sz w:val="18"/>
                <w:szCs w:val="18"/>
                <w:lang w:val="bg-BG" w:eastAsia="bg-BG"/>
              </w:rPr>
              <w:t>Финансовият продукт ще се ст</w:t>
            </w:r>
            <w:r w:rsidR="00EA47BD">
              <w:rPr>
                <w:rFonts w:ascii="Arial" w:eastAsia="Times New Roman" w:hAnsi="Arial" w:cs="Arial"/>
                <w:sz w:val="18"/>
                <w:szCs w:val="18"/>
                <w:lang w:val="bg-BG" w:eastAsia="bg-BG"/>
              </w:rPr>
              <w:t xml:space="preserve">реми да постигне ефект на лоста </w:t>
            </w:r>
            <w:r>
              <w:rPr>
                <w:rFonts w:ascii="Arial" w:eastAsia="Times New Roman" w:hAnsi="Arial" w:cs="Arial"/>
                <w:sz w:val="18"/>
                <w:szCs w:val="18"/>
                <w:lang w:val="bg-BG" w:eastAsia="bg-BG"/>
              </w:rPr>
              <w:t>най-малко</w:t>
            </w:r>
            <w:r w:rsidR="00EA47BD">
              <w:rPr>
                <w:rFonts w:ascii="Arial" w:eastAsia="Times New Roman" w:hAnsi="Arial" w:cs="Arial"/>
                <w:sz w:val="18"/>
                <w:szCs w:val="18"/>
                <w:lang w:val="bg-BG" w:eastAsia="bg-BG"/>
              </w:rPr>
              <w:t xml:space="preserve"> в размер</w:t>
            </w:r>
            <w:r w:rsidR="00531A80" w:rsidRPr="00B20083">
              <w:rPr>
                <w:rFonts w:ascii="Arial" w:eastAsia="Times New Roman" w:hAnsi="Arial" w:cs="Arial"/>
                <w:sz w:val="18"/>
                <w:szCs w:val="18"/>
                <w:lang w:val="bg-BG" w:eastAsia="bg-BG"/>
              </w:rPr>
              <w:t xml:space="preserve"> 1:</w:t>
            </w:r>
            <w:r w:rsidR="00DC57D8">
              <w:rPr>
                <w:rFonts w:ascii="Arial" w:eastAsia="Times New Roman" w:hAnsi="Arial" w:cs="Arial"/>
                <w:sz w:val="18"/>
                <w:szCs w:val="18"/>
                <w:lang w:val="bg-BG" w:eastAsia="bg-BG"/>
              </w:rPr>
              <w:t>2</w:t>
            </w:r>
            <w:r w:rsidR="009E3606">
              <w:rPr>
                <w:rFonts w:ascii="Arial" w:eastAsia="Times New Roman" w:hAnsi="Arial" w:cs="Arial"/>
                <w:sz w:val="18"/>
                <w:szCs w:val="18"/>
                <w:lang w:val="bg-BG" w:eastAsia="bg-BG"/>
              </w:rPr>
              <w:t xml:space="preserve"> </w:t>
            </w:r>
            <w:r w:rsidR="00031392">
              <w:rPr>
                <w:rFonts w:ascii="Arial" w:eastAsia="Times New Roman" w:hAnsi="Arial" w:cs="Arial"/>
                <w:sz w:val="18"/>
                <w:szCs w:val="18"/>
                <w:lang w:val="bg-BG" w:eastAsia="bg-BG"/>
              </w:rPr>
              <w:t>Точният размер на очаквания</w:t>
            </w:r>
            <w:r w:rsidR="006A03CA">
              <w:rPr>
                <w:rFonts w:ascii="Arial" w:eastAsia="Times New Roman" w:hAnsi="Arial" w:cs="Arial"/>
                <w:sz w:val="18"/>
                <w:szCs w:val="18"/>
                <w:lang w:val="bg-BG" w:eastAsia="bg-BG"/>
              </w:rPr>
              <w:t xml:space="preserve"> ефект на лоста</w:t>
            </w:r>
            <w:r w:rsidR="00531A80" w:rsidRPr="006A03CA">
              <w:rPr>
                <w:rFonts w:ascii="Arial" w:eastAsia="Times New Roman" w:hAnsi="Arial" w:cs="Arial"/>
                <w:sz w:val="18"/>
                <w:szCs w:val="18"/>
                <w:lang w:val="bg-BG" w:eastAsia="bg-BG"/>
              </w:rPr>
              <w:t xml:space="preserve"> </w:t>
            </w:r>
            <w:r w:rsidR="006A03CA">
              <w:rPr>
                <w:rFonts w:ascii="Arial" w:eastAsia="Times New Roman" w:hAnsi="Arial" w:cs="Arial"/>
                <w:sz w:val="18"/>
                <w:szCs w:val="18"/>
                <w:lang w:val="bg-BG" w:eastAsia="bg-BG"/>
              </w:rPr>
              <w:t>щ</w:t>
            </w:r>
            <w:r w:rsidR="00EA47BD">
              <w:rPr>
                <w:rFonts w:ascii="Arial" w:eastAsia="Times New Roman" w:hAnsi="Arial" w:cs="Arial"/>
                <w:sz w:val="18"/>
                <w:szCs w:val="18"/>
                <w:lang w:val="bg-BG" w:eastAsia="bg-BG"/>
              </w:rPr>
              <w:t xml:space="preserve">е се уточни </w:t>
            </w:r>
            <w:r w:rsidR="000A39EE">
              <w:rPr>
                <w:rFonts w:ascii="Arial" w:eastAsia="Times New Roman" w:hAnsi="Arial" w:cs="Arial"/>
                <w:sz w:val="18"/>
                <w:szCs w:val="18"/>
                <w:lang w:val="bg-BG" w:eastAsia="bg-BG"/>
              </w:rPr>
              <w:t>при подбора на</w:t>
            </w:r>
            <w:r w:rsidR="006A03CA">
              <w:rPr>
                <w:rFonts w:ascii="Arial" w:eastAsia="Times New Roman" w:hAnsi="Arial" w:cs="Arial"/>
                <w:sz w:val="18"/>
                <w:szCs w:val="18"/>
                <w:lang w:val="bg-BG" w:eastAsia="bg-BG"/>
              </w:rPr>
              <w:t xml:space="preserve"> </w:t>
            </w:r>
            <w:r w:rsidR="009A75CB">
              <w:rPr>
                <w:rFonts w:ascii="Arial" w:eastAsia="Times New Roman" w:hAnsi="Arial" w:cs="Arial"/>
                <w:sz w:val="18"/>
                <w:szCs w:val="18"/>
                <w:lang w:val="bg-BG" w:eastAsia="bg-BG"/>
              </w:rPr>
              <w:t>банките</w:t>
            </w:r>
            <w:r w:rsidR="006A03CA">
              <w:rPr>
                <w:rFonts w:ascii="Arial" w:eastAsia="Times New Roman" w:hAnsi="Arial" w:cs="Arial"/>
                <w:sz w:val="18"/>
                <w:szCs w:val="18"/>
                <w:lang w:val="bg-BG" w:eastAsia="bg-BG"/>
              </w:rPr>
              <w:t xml:space="preserve"> </w:t>
            </w:r>
            <w:r w:rsidR="00D23894">
              <w:rPr>
                <w:rFonts w:ascii="Arial" w:eastAsia="Times New Roman" w:hAnsi="Arial" w:cs="Arial"/>
                <w:sz w:val="18"/>
                <w:szCs w:val="18"/>
                <w:lang w:val="bg-BG" w:eastAsia="bg-BG"/>
              </w:rPr>
              <w:t>и</w:t>
            </w:r>
            <w:r w:rsidR="009A75CB">
              <w:rPr>
                <w:rFonts w:ascii="Arial" w:eastAsia="Times New Roman" w:hAnsi="Arial" w:cs="Arial"/>
                <w:sz w:val="18"/>
                <w:szCs w:val="18"/>
                <w:lang w:val="bg-BG" w:eastAsia="bg-BG"/>
              </w:rPr>
              <w:t xml:space="preserve"> </w:t>
            </w:r>
            <w:r w:rsidR="00D23894" w:rsidRPr="00D23894">
              <w:rPr>
                <w:rFonts w:ascii="Arial" w:eastAsia="Times New Roman" w:hAnsi="Arial" w:cs="Arial"/>
                <w:sz w:val="18"/>
                <w:szCs w:val="18"/>
                <w:lang w:val="bg-BG" w:eastAsia="bg-BG"/>
              </w:rPr>
              <w:t>след одобряване от страна на Европейската комисия на проекта на Насоки за докладване на</w:t>
            </w:r>
            <w:r w:rsidR="00D23894" w:rsidRPr="008B5547">
              <w:rPr>
                <w:rFonts w:ascii="Arial" w:eastAsia="Times New Roman" w:hAnsi="Arial" w:cs="Arial"/>
                <w:sz w:val="18"/>
                <w:szCs w:val="18"/>
                <w:lang w:val="bg-BG" w:eastAsia="bg-BG"/>
              </w:rPr>
              <w:t xml:space="preserve"> ФИ по чл.46 и за лостовия ефект по чл.37 (2)(c)</w:t>
            </w:r>
            <w:r w:rsidR="00D23894" w:rsidRPr="008B5547">
              <w:rPr>
                <w:rFonts w:ascii="Arial" w:eastAsia="Times New Roman" w:hAnsi="Arial" w:cs="Arial"/>
                <w:sz w:val="18"/>
                <w:szCs w:val="18"/>
                <w:vertAlign w:val="superscript"/>
                <w:lang w:eastAsia="bg-BG"/>
              </w:rPr>
              <w:footnoteReference w:id="15"/>
            </w:r>
            <w:r w:rsidR="00D23894" w:rsidRPr="008B5547">
              <w:rPr>
                <w:rFonts w:ascii="Arial" w:eastAsia="Times New Roman" w:hAnsi="Arial" w:cs="Arial"/>
                <w:sz w:val="18"/>
                <w:szCs w:val="18"/>
                <w:lang w:val="bg-BG" w:eastAsia="bg-BG"/>
              </w:rPr>
              <w:t>.</w:t>
            </w:r>
            <w:r w:rsidR="00D23894">
              <w:rPr>
                <w:lang w:val="bg-BG"/>
              </w:rPr>
              <w:t xml:space="preserve"> </w:t>
            </w:r>
          </w:p>
        </w:tc>
      </w:tr>
      <w:tr w:rsidR="00531A80" w:rsidRPr="00314448" w14:paraId="7D493818" w14:textId="77777777" w:rsidTr="008B5547">
        <w:trPr>
          <w:trHeight w:val="462"/>
        </w:trPr>
        <w:tc>
          <w:tcPr>
            <w:tcW w:w="2052" w:type="dxa"/>
            <w:tcBorders>
              <w:top w:val="nil"/>
              <w:left w:val="single" w:sz="4" w:space="0" w:color="auto"/>
              <w:bottom w:val="single" w:sz="4" w:space="0" w:color="auto"/>
              <w:right w:val="single" w:sz="4" w:space="0" w:color="auto"/>
            </w:tcBorders>
            <w:shd w:val="clear" w:color="auto" w:fill="auto"/>
          </w:tcPr>
          <w:p w14:paraId="068E19B1" w14:textId="77777777" w:rsidR="00531A80" w:rsidRPr="006A03CA" w:rsidRDefault="006A03CA" w:rsidP="00A72F64">
            <w:pPr>
              <w:spacing w:after="0" w:line="240" w:lineRule="auto"/>
              <w:rPr>
                <w:rFonts w:ascii="Arial" w:eastAsia="Times New Roman" w:hAnsi="Arial" w:cs="Arial"/>
                <w:color w:val="000000"/>
                <w:sz w:val="18"/>
                <w:szCs w:val="18"/>
                <w:lang w:val="bg-BG" w:eastAsia="bg-BG"/>
              </w:rPr>
            </w:pPr>
            <w:r>
              <w:rPr>
                <w:rFonts w:ascii="Arial" w:eastAsia="Times New Roman" w:hAnsi="Arial" w:cs="Arial"/>
                <w:sz w:val="18"/>
                <w:szCs w:val="18"/>
                <w:lang w:val="bg-BG" w:eastAsia="bg-BG"/>
              </w:rPr>
              <w:t xml:space="preserve">Очакван общ ресурс на финансовия </w:t>
            </w:r>
            <w:r w:rsidR="00A72F64">
              <w:rPr>
                <w:rFonts w:ascii="Arial" w:eastAsia="Times New Roman" w:hAnsi="Arial" w:cs="Arial"/>
                <w:sz w:val="18"/>
                <w:szCs w:val="18"/>
                <w:lang w:val="bg-BG" w:eastAsia="bg-BG"/>
              </w:rPr>
              <w:t>продукт</w:t>
            </w:r>
          </w:p>
        </w:tc>
        <w:tc>
          <w:tcPr>
            <w:tcW w:w="7938" w:type="dxa"/>
            <w:tcBorders>
              <w:top w:val="nil"/>
              <w:left w:val="nil"/>
              <w:bottom w:val="single" w:sz="4" w:space="0" w:color="auto"/>
              <w:right w:val="single" w:sz="4" w:space="0" w:color="auto"/>
            </w:tcBorders>
            <w:shd w:val="clear" w:color="auto" w:fill="auto"/>
          </w:tcPr>
          <w:p w14:paraId="147C3D52" w14:textId="77777777" w:rsidR="00531A80" w:rsidRPr="006A03CA" w:rsidRDefault="00320566" w:rsidP="006A03CA">
            <w:pPr>
              <w:spacing w:after="0" w:line="240" w:lineRule="auto"/>
              <w:rPr>
                <w:rFonts w:ascii="Arial" w:eastAsia="Times New Roman" w:hAnsi="Arial" w:cs="Arial"/>
                <w:color w:val="000000"/>
                <w:sz w:val="18"/>
                <w:szCs w:val="18"/>
                <w:lang w:val="bg-BG" w:eastAsia="bg-BG"/>
              </w:rPr>
            </w:pPr>
            <w:r>
              <w:rPr>
                <w:rFonts w:ascii="Arial" w:eastAsia="Times New Roman" w:hAnsi="Arial" w:cs="Arial"/>
                <w:color w:val="000000"/>
                <w:sz w:val="18"/>
                <w:szCs w:val="18"/>
                <w:lang w:eastAsia="bg-BG"/>
              </w:rPr>
              <w:t>&gt;</w:t>
            </w:r>
            <w:r w:rsidR="00636A46">
              <w:rPr>
                <w:rFonts w:ascii="Arial" w:eastAsia="Times New Roman" w:hAnsi="Arial" w:cs="Arial"/>
                <w:color w:val="000000"/>
                <w:sz w:val="18"/>
                <w:szCs w:val="18"/>
                <w:lang w:eastAsia="bg-BG"/>
              </w:rPr>
              <w:t>47.8</w:t>
            </w:r>
            <w:r w:rsidR="00DC57D8">
              <w:rPr>
                <w:rFonts w:ascii="Arial" w:eastAsia="Times New Roman" w:hAnsi="Arial" w:cs="Arial"/>
                <w:color w:val="000000"/>
                <w:sz w:val="18"/>
                <w:szCs w:val="18"/>
                <w:lang w:val="bg-BG" w:eastAsia="bg-BG"/>
              </w:rPr>
              <w:t>6</w:t>
            </w:r>
            <w:r w:rsidR="008B710B" w:rsidRPr="00314448">
              <w:rPr>
                <w:rFonts w:ascii="Arial" w:eastAsia="Times New Roman" w:hAnsi="Arial" w:cs="Arial"/>
                <w:color w:val="000000"/>
                <w:sz w:val="18"/>
                <w:szCs w:val="18"/>
                <w:lang w:eastAsia="bg-BG"/>
              </w:rPr>
              <w:t xml:space="preserve"> </w:t>
            </w:r>
            <w:r w:rsidR="006A03CA">
              <w:rPr>
                <w:rFonts w:ascii="Arial" w:eastAsia="Times New Roman" w:hAnsi="Arial" w:cs="Arial"/>
                <w:color w:val="000000"/>
                <w:sz w:val="18"/>
                <w:szCs w:val="18"/>
                <w:lang w:val="bg-BG" w:eastAsia="bg-BG"/>
              </w:rPr>
              <w:t>млн. евро</w:t>
            </w:r>
          </w:p>
        </w:tc>
      </w:tr>
    </w:tbl>
    <w:p w14:paraId="7CF9F198" w14:textId="77777777" w:rsidR="005C72AD" w:rsidRDefault="005C72AD" w:rsidP="005C72AD">
      <w:pPr>
        <w:pStyle w:val="Caption"/>
        <w:rPr>
          <w:rFonts w:ascii="Arial" w:hAnsi="Arial" w:cs="Arial"/>
          <w:sz w:val="20"/>
          <w:szCs w:val="20"/>
        </w:rPr>
      </w:pPr>
    </w:p>
    <w:p w14:paraId="1BB63E3F" w14:textId="77777777" w:rsidR="00531A80" w:rsidRPr="00EA47BD" w:rsidRDefault="00EA47BD" w:rsidP="00D66B77">
      <w:pPr>
        <w:pStyle w:val="Caption"/>
        <w:keepNext/>
        <w:rPr>
          <w:rFonts w:ascii="Arial" w:hAnsi="Arial" w:cs="Arial"/>
          <w:b/>
          <w:sz w:val="20"/>
          <w:szCs w:val="20"/>
          <w:lang w:val="bg-BG"/>
        </w:rPr>
      </w:pPr>
      <w:r w:rsidRPr="00EA47BD">
        <w:rPr>
          <w:rFonts w:ascii="Arial" w:hAnsi="Arial" w:cs="Arial"/>
          <w:sz w:val="20"/>
          <w:szCs w:val="20"/>
          <w:lang w:val="bg-BG"/>
        </w:rPr>
        <w:t xml:space="preserve">Таблица </w:t>
      </w:r>
      <w:r w:rsidR="006E684F">
        <w:rPr>
          <w:rFonts w:ascii="Arial" w:hAnsi="Arial" w:cs="Arial"/>
          <w:sz w:val="20"/>
          <w:szCs w:val="20"/>
        </w:rPr>
        <w:t>8</w:t>
      </w:r>
      <w:r w:rsidR="00280721" w:rsidRPr="00EA47BD">
        <w:rPr>
          <w:rFonts w:ascii="Arial" w:hAnsi="Arial" w:cs="Arial"/>
          <w:sz w:val="20"/>
          <w:szCs w:val="20"/>
          <w:lang w:val="bg-BG"/>
        </w:rPr>
        <w:t xml:space="preserve">: </w:t>
      </w:r>
      <w:r w:rsidRPr="00EA47BD">
        <w:rPr>
          <w:rFonts w:ascii="Arial" w:hAnsi="Arial" w:cs="Arial"/>
          <w:sz w:val="20"/>
          <w:szCs w:val="20"/>
          <w:lang w:val="bg-BG"/>
        </w:rPr>
        <w:t xml:space="preserve">Характеристики на финансов продукт по ПО 1 Води </w:t>
      </w:r>
      <w:r w:rsidR="00280721" w:rsidRPr="00EA47BD">
        <w:rPr>
          <w:rFonts w:ascii="Arial" w:hAnsi="Arial" w:cs="Arial"/>
          <w:sz w:val="20"/>
          <w:szCs w:val="20"/>
          <w:lang w:val="bg-BG"/>
        </w:rPr>
        <w:t xml:space="preserve">- </w:t>
      </w:r>
      <w:r w:rsidRPr="00EA47BD">
        <w:rPr>
          <w:rFonts w:ascii="Arial" w:hAnsi="Arial" w:cs="Arial"/>
          <w:sz w:val="20"/>
          <w:szCs w:val="20"/>
          <w:lang w:val="bg-BG"/>
        </w:rPr>
        <w:t>Заеми</w:t>
      </w:r>
    </w:p>
    <w:tbl>
      <w:tblPr>
        <w:tblW w:w="9923" w:type="dxa"/>
        <w:tblInd w:w="70" w:type="dxa"/>
        <w:tblCellMar>
          <w:left w:w="70" w:type="dxa"/>
          <w:right w:w="70" w:type="dxa"/>
        </w:tblCellMar>
        <w:tblLook w:val="04A0" w:firstRow="1" w:lastRow="0" w:firstColumn="1" w:lastColumn="0" w:noHBand="0" w:noVBand="1"/>
      </w:tblPr>
      <w:tblGrid>
        <w:gridCol w:w="2127"/>
        <w:gridCol w:w="7796"/>
      </w:tblGrid>
      <w:tr w:rsidR="00531A80" w:rsidRPr="00314448" w14:paraId="15BEEF96" w14:textId="77777777" w:rsidTr="000878D4">
        <w:trPr>
          <w:trHeight w:val="510"/>
          <w:tblHeader/>
        </w:trPr>
        <w:tc>
          <w:tcPr>
            <w:tcW w:w="21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7EAB43" w14:textId="77777777" w:rsidR="00531A80" w:rsidRPr="00314448" w:rsidRDefault="00EA47BD" w:rsidP="005C72AD">
            <w:pPr>
              <w:spacing w:after="0" w:line="240" w:lineRule="auto"/>
              <w:rPr>
                <w:rFonts w:ascii="Arial" w:eastAsia="Times New Roman" w:hAnsi="Arial" w:cs="Arial"/>
                <w:b/>
                <w:bCs/>
                <w:color w:val="000000"/>
                <w:sz w:val="18"/>
                <w:szCs w:val="18"/>
                <w:lang w:eastAsia="bg-BG"/>
              </w:rPr>
            </w:pPr>
            <w:r>
              <w:rPr>
                <w:rFonts w:ascii="Arial" w:eastAsia="Times New Roman" w:hAnsi="Arial" w:cs="Arial"/>
                <w:b/>
                <w:bCs/>
                <w:color w:val="000000"/>
                <w:sz w:val="18"/>
                <w:szCs w:val="18"/>
                <w:lang w:val="bg-BG" w:eastAsia="bg-BG"/>
              </w:rPr>
              <w:t>Характеристики на финансовия продукт</w:t>
            </w:r>
          </w:p>
        </w:tc>
        <w:tc>
          <w:tcPr>
            <w:tcW w:w="7796" w:type="dxa"/>
            <w:tcBorders>
              <w:top w:val="single" w:sz="4" w:space="0" w:color="auto"/>
              <w:left w:val="nil"/>
              <w:bottom w:val="single" w:sz="4" w:space="0" w:color="auto"/>
              <w:right w:val="single" w:sz="4" w:space="0" w:color="auto"/>
            </w:tcBorders>
            <w:shd w:val="clear" w:color="000000" w:fill="D9D9D9"/>
            <w:vAlign w:val="center"/>
            <w:hideMark/>
          </w:tcPr>
          <w:p w14:paraId="4B7D01E8" w14:textId="77777777" w:rsidR="00531A80" w:rsidRPr="00EA47BD" w:rsidRDefault="00531A80" w:rsidP="00EA47BD">
            <w:pPr>
              <w:spacing w:after="0" w:line="240" w:lineRule="auto"/>
              <w:rPr>
                <w:rFonts w:ascii="Arial" w:eastAsia="Times New Roman" w:hAnsi="Arial" w:cs="Arial"/>
                <w:b/>
                <w:bCs/>
                <w:color w:val="000000"/>
                <w:sz w:val="18"/>
                <w:szCs w:val="18"/>
                <w:lang w:val="bg-BG" w:eastAsia="bg-BG"/>
              </w:rPr>
            </w:pPr>
            <w:r w:rsidRPr="00314448">
              <w:rPr>
                <w:rFonts w:ascii="Arial" w:eastAsia="Times New Roman" w:hAnsi="Arial" w:cs="Arial"/>
                <w:b/>
                <w:bCs/>
                <w:color w:val="000000"/>
                <w:sz w:val="18"/>
                <w:szCs w:val="18"/>
                <w:lang w:eastAsia="bg-BG"/>
              </w:rPr>
              <w:t xml:space="preserve">2. </w:t>
            </w:r>
            <w:r w:rsidR="00EA47BD">
              <w:rPr>
                <w:rFonts w:ascii="Arial" w:eastAsia="Times New Roman" w:hAnsi="Arial" w:cs="Arial"/>
                <w:b/>
                <w:bCs/>
                <w:color w:val="000000"/>
                <w:sz w:val="18"/>
                <w:szCs w:val="18"/>
                <w:lang w:val="bg-BG" w:eastAsia="bg-BG"/>
              </w:rPr>
              <w:t>Заеми</w:t>
            </w:r>
          </w:p>
        </w:tc>
      </w:tr>
      <w:tr w:rsidR="00B64AB1" w:rsidRPr="007B6C31" w14:paraId="69BD1BFA" w14:textId="77777777" w:rsidTr="004E4F22">
        <w:trPr>
          <w:trHeight w:val="394"/>
        </w:trPr>
        <w:tc>
          <w:tcPr>
            <w:tcW w:w="2127" w:type="dxa"/>
            <w:tcBorders>
              <w:top w:val="nil"/>
              <w:left w:val="single" w:sz="4" w:space="0" w:color="auto"/>
              <w:bottom w:val="single" w:sz="4" w:space="0" w:color="auto"/>
              <w:right w:val="single" w:sz="4" w:space="0" w:color="auto"/>
            </w:tcBorders>
            <w:shd w:val="clear" w:color="auto" w:fill="auto"/>
          </w:tcPr>
          <w:p w14:paraId="58F9F9D9" w14:textId="77777777" w:rsidR="00B64AB1" w:rsidRPr="00EA47BD" w:rsidRDefault="00EA47BD" w:rsidP="005C72AD">
            <w:pPr>
              <w:spacing w:after="0" w:line="240" w:lineRule="auto"/>
              <w:rPr>
                <w:rFonts w:ascii="Arial" w:eastAsia="Times New Roman" w:hAnsi="Arial" w:cs="Arial"/>
                <w:color w:val="000000"/>
                <w:sz w:val="18"/>
                <w:szCs w:val="18"/>
                <w:lang w:val="bg-BG" w:eastAsia="bg-BG"/>
              </w:rPr>
            </w:pPr>
            <w:r>
              <w:rPr>
                <w:rFonts w:ascii="Arial" w:eastAsia="Times New Roman" w:hAnsi="Arial" w:cs="Arial"/>
                <w:color w:val="000000"/>
                <w:sz w:val="18"/>
                <w:szCs w:val="18"/>
                <w:lang w:val="bg-BG" w:eastAsia="bg-BG"/>
              </w:rPr>
              <w:t>Описание</w:t>
            </w:r>
          </w:p>
        </w:tc>
        <w:tc>
          <w:tcPr>
            <w:tcW w:w="7796" w:type="dxa"/>
            <w:tcBorders>
              <w:top w:val="nil"/>
              <w:left w:val="nil"/>
              <w:bottom w:val="single" w:sz="4" w:space="0" w:color="auto"/>
              <w:right w:val="single" w:sz="4" w:space="0" w:color="auto"/>
            </w:tcBorders>
            <w:shd w:val="clear" w:color="auto" w:fill="auto"/>
          </w:tcPr>
          <w:p w14:paraId="08F2E80E" w14:textId="77777777" w:rsidR="00B64AB1" w:rsidRPr="00A72F64" w:rsidRDefault="00A72F64" w:rsidP="00BC7695">
            <w:pPr>
              <w:spacing w:after="0" w:line="240" w:lineRule="auto"/>
              <w:jc w:val="both"/>
              <w:rPr>
                <w:rFonts w:ascii="Arial" w:eastAsia="Times New Roman" w:hAnsi="Arial" w:cs="Arial"/>
                <w:color w:val="000000"/>
                <w:sz w:val="18"/>
                <w:szCs w:val="18"/>
                <w:lang w:val="bg-BG" w:eastAsia="bg-BG"/>
              </w:rPr>
            </w:pPr>
            <w:r>
              <w:rPr>
                <w:rFonts w:ascii="Arial" w:eastAsia="Times New Roman" w:hAnsi="Arial" w:cs="Arial"/>
                <w:color w:val="000000"/>
                <w:sz w:val="18"/>
                <w:szCs w:val="18"/>
                <w:lang w:val="bg-BG" w:eastAsia="bg-BG"/>
              </w:rPr>
              <w:t xml:space="preserve">Директни заеми, които ще бъдат предоставяни от специалната инвестиционна структура </w:t>
            </w:r>
            <w:r w:rsidRPr="00A72F64">
              <w:rPr>
                <w:rFonts w:ascii="Arial" w:eastAsia="Times New Roman" w:hAnsi="Arial" w:cs="Arial"/>
                <w:color w:val="000000"/>
                <w:sz w:val="18"/>
                <w:szCs w:val="18"/>
                <w:lang w:val="bg-BG" w:eastAsia="bg-BG"/>
              </w:rPr>
              <w:t>(</w:t>
            </w:r>
            <w:r w:rsidR="00B64AB1">
              <w:rPr>
                <w:rFonts w:ascii="Arial" w:eastAsia="Times New Roman" w:hAnsi="Arial" w:cs="Arial"/>
                <w:color w:val="000000"/>
                <w:sz w:val="18"/>
                <w:szCs w:val="18"/>
                <w:lang w:eastAsia="bg-BG"/>
              </w:rPr>
              <w:t>DIV</w:t>
            </w:r>
            <w:r>
              <w:rPr>
                <w:rFonts w:ascii="Arial" w:eastAsia="Times New Roman" w:hAnsi="Arial" w:cs="Arial"/>
                <w:color w:val="000000"/>
                <w:sz w:val="18"/>
                <w:szCs w:val="18"/>
                <w:lang w:val="bg-BG" w:eastAsia="bg-BG"/>
              </w:rPr>
              <w:t xml:space="preserve">) </w:t>
            </w:r>
            <w:r w:rsidR="00DC57D8">
              <w:rPr>
                <w:rFonts w:ascii="Arial" w:eastAsia="Times New Roman" w:hAnsi="Arial" w:cs="Arial"/>
                <w:color w:val="000000"/>
                <w:sz w:val="18"/>
                <w:szCs w:val="18"/>
                <w:lang w:val="bg-BG" w:eastAsia="bg-BG"/>
              </w:rPr>
              <w:t xml:space="preserve">или от ФМФИБ ЕАД </w:t>
            </w:r>
            <w:r>
              <w:rPr>
                <w:rFonts w:ascii="Arial" w:eastAsia="Times New Roman" w:hAnsi="Arial" w:cs="Arial"/>
                <w:color w:val="000000"/>
                <w:sz w:val="18"/>
                <w:szCs w:val="18"/>
                <w:lang w:val="bg-BG" w:eastAsia="bg-BG"/>
              </w:rPr>
              <w:t xml:space="preserve">на крайните получатели за финансиране на проекти, финансирани чрез безвъзмездна финансова помощ </w:t>
            </w:r>
            <w:r w:rsidR="00897CEE">
              <w:rPr>
                <w:rFonts w:ascii="Arial" w:eastAsia="Times New Roman" w:hAnsi="Arial" w:cs="Arial"/>
                <w:color w:val="000000"/>
                <w:sz w:val="18"/>
                <w:szCs w:val="18"/>
                <w:lang w:val="bg-BG" w:eastAsia="bg-BG"/>
              </w:rPr>
              <w:t xml:space="preserve">съгласно условията, изложени в </w:t>
            </w:r>
            <w:r w:rsidR="00897CEE" w:rsidRPr="00075EB6">
              <w:rPr>
                <w:rFonts w:ascii="Arial" w:eastAsia="Times New Roman" w:hAnsi="Arial" w:cs="Arial"/>
                <w:color w:val="000000"/>
                <w:sz w:val="18"/>
                <w:szCs w:val="18"/>
                <w:lang w:val="bg-BG" w:eastAsia="bg-BG"/>
              </w:rPr>
              <w:t xml:space="preserve">т. </w:t>
            </w:r>
            <w:r w:rsidR="001F47BB" w:rsidRPr="00075EB6">
              <w:rPr>
                <w:rFonts w:ascii="Arial" w:eastAsia="Times New Roman" w:hAnsi="Arial" w:cs="Arial"/>
                <w:color w:val="000000"/>
                <w:sz w:val="18"/>
                <w:szCs w:val="18"/>
                <w:lang w:val="bg-BG" w:eastAsia="bg-BG"/>
              </w:rPr>
              <w:t>2.2.</w:t>
            </w:r>
            <w:r w:rsidR="001F47BB">
              <w:rPr>
                <w:rFonts w:ascii="Arial" w:eastAsia="Times New Roman" w:hAnsi="Arial" w:cs="Arial"/>
                <w:color w:val="000000"/>
                <w:sz w:val="18"/>
                <w:szCs w:val="18"/>
                <w:lang w:val="bg-BG" w:eastAsia="bg-BG"/>
              </w:rPr>
              <w:t xml:space="preserve"> </w:t>
            </w:r>
            <w:r w:rsidR="009B5870">
              <w:rPr>
                <w:rFonts w:ascii="Arial" w:eastAsia="Times New Roman" w:hAnsi="Arial" w:cs="Arial"/>
                <w:color w:val="000000"/>
                <w:sz w:val="18"/>
                <w:szCs w:val="18"/>
                <w:lang w:val="bg-BG" w:eastAsia="bg-BG"/>
              </w:rPr>
              <w:t xml:space="preserve">Обхват на ОПОС 2014 – 2020 г. </w:t>
            </w:r>
            <w:r>
              <w:rPr>
                <w:rFonts w:ascii="Arial" w:eastAsia="Times New Roman" w:hAnsi="Arial" w:cs="Arial"/>
                <w:color w:val="000000"/>
                <w:sz w:val="18"/>
                <w:szCs w:val="18"/>
                <w:lang w:val="bg-BG" w:eastAsia="bg-BG"/>
              </w:rPr>
              <w:t xml:space="preserve">или финансиране изцяло или частично на други допустими проекти, без участието на </w:t>
            </w:r>
            <w:r w:rsidR="000A50F0">
              <w:rPr>
                <w:rFonts w:ascii="Arial" w:eastAsia="Times New Roman" w:hAnsi="Arial" w:cs="Arial"/>
                <w:color w:val="000000"/>
                <w:sz w:val="18"/>
                <w:szCs w:val="18"/>
                <w:lang w:val="bg-BG" w:eastAsia="bg-BG"/>
              </w:rPr>
              <w:t>безвъзмездно</w:t>
            </w:r>
            <w:r>
              <w:rPr>
                <w:rFonts w:ascii="Arial" w:eastAsia="Times New Roman" w:hAnsi="Arial" w:cs="Arial"/>
                <w:color w:val="000000"/>
                <w:sz w:val="18"/>
                <w:szCs w:val="18"/>
                <w:lang w:val="bg-BG" w:eastAsia="bg-BG"/>
              </w:rPr>
              <w:t xml:space="preserve"> финансиране.</w:t>
            </w:r>
          </w:p>
        </w:tc>
      </w:tr>
      <w:tr w:rsidR="00CE7180" w:rsidRPr="007B6C31" w14:paraId="7647351A" w14:textId="77777777" w:rsidTr="005929A6">
        <w:trPr>
          <w:trHeight w:val="636"/>
        </w:trPr>
        <w:tc>
          <w:tcPr>
            <w:tcW w:w="2127" w:type="dxa"/>
            <w:tcBorders>
              <w:top w:val="nil"/>
              <w:left w:val="single" w:sz="4" w:space="0" w:color="auto"/>
              <w:bottom w:val="single" w:sz="4" w:space="0" w:color="auto"/>
              <w:right w:val="single" w:sz="4" w:space="0" w:color="auto"/>
            </w:tcBorders>
            <w:shd w:val="clear" w:color="auto" w:fill="auto"/>
          </w:tcPr>
          <w:p w14:paraId="16E73D2F" w14:textId="77777777" w:rsidR="00CE7180" w:rsidRPr="00314448" w:rsidRDefault="00EA47BD" w:rsidP="005C72AD">
            <w:pPr>
              <w:spacing w:after="0" w:line="240" w:lineRule="auto"/>
              <w:rPr>
                <w:rFonts w:ascii="Arial" w:eastAsia="Times New Roman" w:hAnsi="Arial" w:cs="Arial"/>
                <w:color w:val="000000"/>
                <w:sz w:val="18"/>
                <w:szCs w:val="18"/>
                <w:lang w:eastAsia="bg-BG"/>
              </w:rPr>
            </w:pPr>
            <w:r>
              <w:rPr>
                <w:rFonts w:ascii="Arial" w:eastAsia="Times New Roman" w:hAnsi="Arial" w:cs="Arial"/>
                <w:color w:val="000000"/>
                <w:sz w:val="18"/>
                <w:szCs w:val="18"/>
                <w:lang w:val="bg-BG" w:eastAsia="bg-BG"/>
              </w:rPr>
              <w:t>Допустими проекти</w:t>
            </w:r>
          </w:p>
        </w:tc>
        <w:tc>
          <w:tcPr>
            <w:tcW w:w="7796" w:type="dxa"/>
            <w:tcBorders>
              <w:top w:val="nil"/>
              <w:left w:val="nil"/>
              <w:bottom w:val="single" w:sz="4" w:space="0" w:color="auto"/>
              <w:right w:val="single" w:sz="4" w:space="0" w:color="auto"/>
            </w:tcBorders>
            <w:shd w:val="clear" w:color="auto" w:fill="auto"/>
          </w:tcPr>
          <w:p w14:paraId="4022F51D" w14:textId="77777777" w:rsidR="00BD5958" w:rsidRPr="004D4B93" w:rsidRDefault="00BD5958" w:rsidP="00295AD6">
            <w:pPr>
              <w:pStyle w:val="ListParagraph"/>
              <w:numPr>
                <w:ilvl w:val="0"/>
                <w:numId w:val="69"/>
              </w:numPr>
              <w:spacing w:after="0" w:line="240" w:lineRule="auto"/>
              <w:jc w:val="both"/>
              <w:rPr>
                <w:rFonts w:ascii="Arial" w:eastAsia="Times New Roman" w:hAnsi="Arial" w:cs="Arial"/>
                <w:color w:val="000000"/>
                <w:sz w:val="18"/>
                <w:szCs w:val="18"/>
                <w:lang w:val="bg-BG" w:eastAsia="bg-BG"/>
              </w:rPr>
            </w:pPr>
            <w:r w:rsidRPr="004D4B93">
              <w:rPr>
                <w:rFonts w:ascii="Arial" w:eastAsia="Times New Roman" w:hAnsi="Arial" w:cs="Arial"/>
                <w:color w:val="000000"/>
                <w:sz w:val="18"/>
                <w:szCs w:val="18"/>
                <w:lang w:val="bg-BG" w:eastAsia="bg-BG"/>
              </w:rPr>
              <w:t xml:space="preserve">Проектите следва да бъдат устойчиви и финансово жизнеспособни. </w:t>
            </w:r>
          </w:p>
          <w:p w14:paraId="1822267D" w14:textId="77777777" w:rsidR="009402B8" w:rsidRPr="004D4B93" w:rsidRDefault="009402B8" w:rsidP="00295AD6">
            <w:pPr>
              <w:pStyle w:val="ListParagraph"/>
              <w:numPr>
                <w:ilvl w:val="0"/>
                <w:numId w:val="69"/>
              </w:numPr>
              <w:spacing w:after="0" w:line="240" w:lineRule="auto"/>
              <w:jc w:val="both"/>
              <w:rPr>
                <w:rFonts w:ascii="Arial" w:eastAsia="Times New Roman" w:hAnsi="Arial" w:cs="Arial"/>
                <w:color w:val="000000"/>
                <w:sz w:val="18"/>
                <w:szCs w:val="18"/>
                <w:lang w:val="bg-BG" w:eastAsia="bg-BG"/>
              </w:rPr>
            </w:pPr>
            <w:r w:rsidRPr="004D4B93">
              <w:rPr>
                <w:rFonts w:ascii="Arial" w:eastAsia="Times New Roman" w:hAnsi="Arial" w:cs="Arial"/>
                <w:color w:val="000000"/>
                <w:sz w:val="18"/>
                <w:szCs w:val="18"/>
                <w:lang w:val="bg-BG" w:eastAsia="bg-BG"/>
              </w:rPr>
              <w:t>Когато крайният получател е ВиКО, проектите следва да бъдат насочени към агломерации с над 10 000 екв. ж. на територията на консолидираните райони (районите на консолидираните ВиКО).</w:t>
            </w:r>
          </w:p>
          <w:p w14:paraId="712B51CA" w14:textId="77777777" w:rsidR="002C12D4" w:rsidRPr="00785B0F" w:rsidRDefault="004D4B93" w:rsidP="00295AD6">
            <w:pPr>
              <w:pStyle w:val="ListParagraph"/>
              <w:numPr>
                <w:ilvl w:val="0"/>
                <w:numId w:val="69"/>
              </w:numPr>
              <w:spacing w:after="0" w:line="240" w:lineRule="auto"/>
              <w:jc w:val="both"/>
              <w:rPr>
                <w:rFonts w:ascii="Arial" w:eastAsia="Times New Roman" w:hAnsi="Arial" w:cs="Arial"/>
                <w:color w:val="000000"/>
                <w:sz w:val="18"/>
                <w:szCs w:val="18"/>
                <w:lang w:val="bg-BG" w:eastAsia="bg-BG"/>
              </w:rPr>
            </w:pPr>
            <w:r>
              <w:rPr>
                <w:rFonts w:ascii="Arial" w:eastAsia="Times New Roman" w:hAnsi="Arial" w:cs="Arial"/>
                <w:color w:val="000000"/>
                <w:sz w:val="18"/>
                <w:szCs w:val="18"/>
                <w:lang w:val="bg-BG" w:eastAsia="bg-BG"/>
              </w:rPr>
              <w:t>Допустими</w:t>
            </w:r>
            <w:r w:rsidR="00724056">
              <w:rPr>
                <w:rFonts w:ascii="Arial" w:eastAsia="Times New Roman" w:hAnsi="Arial" w:cs="Arial"/>
                <w:color w:val="000000"/>
                <w:sz w:val="18"/>
                <w:szCs w:val="18"/>
                <w:lang w:val="bg-BG" w:eastAsia="bg-BG"/>
              </w:rPr>
              <w:t>те</w:t>
            </w:r>
            <w:r>
              <w:rPr>
                <w:rFonts w:ascii="Arial" w:eastAsia="Times New Roman" w:hAnsi="Arial" w:cs="Arial"/>
                <w:color w:val="000000"/>
                <w:sz w:val="18"/>
                <w:szCs w:val="18"/>
                <w:lang w:val="bg-BG" w:eastAsia="bg-BG"/>
              </w:rPr>
              <w:t xml:space="preserve"> проекти</w:t>
            </w:r>
            <w:r w:rsidR="002C12D4" w:rsidRPr="00785B0F">
              <w:rPr>
                <w:rFonts w:ascii="Arial" w:eastAsia="Times New Roman" w:hAnsi="Arial" w:cs="Arial"/>
                <w:color w:val="000000"/>
                <w:sz w:val="18"/>
                <w:szCs w:val="18"/>
                <w:lang w:val="bg-BG" w:eastAsia="bg-BG"/>
              </w:rPr>
              <w:t xml:space="preserve"> </w:t>
            </w:r>
            <w:r>
              <w:rPr>
                <w:rFonts w:ascii="Arial" w:eastAsia="Times New Roman" w:hAnsi="Arial" w:cs="Arial"/>
                <w:color w:val="000000"/>
                <w:sz w:val="18"/>
                <w:szCs w:val="18"/>
                <w:lang w:val="bg-BG" w:eastAsia="bg-BG"/>
              </w:rPr>
              <w:t>включват следните</w:t>
            </w:r>
            <w:r w:rsidR="00924786">
              <w:rPr>
                <w:rFonts w:ascii="Arial" w:eastAsia="Times New Roman" w:hAnsi="Arial" w:cs="Arial"/>
                <w:color w:val="000000"/>
                <w:sz w:val="18"/>
                <w:szCs w:val="18"/>
                <w:lang w:val="bg-BG" w:eastAsia="bg-BG"/>
              </w:rPr>
              <w:t xml:space="preserve"> дейности</w:t>
            </w:r>
            <w:r w:rsidR="002C12D4" w:rsidRPr="00785B0F">
              <w:rPr>
                <w:rFonts w:ascii="Arial" w:eastAsia="Times New Roman" w:hAnsi="Arial" w:cs="Arial"/>
                <w:color w:val="000000"/>
                <w:sz w:val="18"/>
                <w:szCs w:val="18"/>
                <w:lang w:val="bg-BG" w:eastAsia="bg-BG"/>
              </w:rPr>
              <w:t xml:space="preserve">: </w:t>
            </w:r>
          </w:p>
          <w:p w14:paraId="25ED9E0F" w14:textId="77777777" w:rsidR="00774F3E" w:rsidRPr="00CA588D" w:rsidRDefault="00774F3E" w:rsidP="008B5547">
            <w:pPr>
              <w:pStyle w:val="ListParagraph"/>
              <w:numPr>
                <w:ilvl w:val="0"/>
                <w:numId w:val="79"/>
              </w:numPr>
              <w:jc w:val="both"/>
              <w:rPr>
                <w:rFonts w:ascii="Arial" w:eastAsia="Times New Roman" w:hAnsi="Arial" w:cs="Arial"/>
                <w:color w:val="000000"/>
                <w:sz w:val="18"/>
                <w:szCs w:val="18"/>
                <w:lang w:val="bg-BG" w:eastAsia="bg-BG"/>
              </w:rPr>
            </w:pPr>
            <w:r w:rsidRPr="00CA588D">
              <w:rPr>
                <w:rFonts w:ascii="Arial" w:eastAsia="Times New Roman" w:hAnsi="Arial" w:cs="Arial"/>
                <w:color w:val="000000"/>
                <w:sz w:val="18"/>
                <w:szCs w:val="18"/>
                <w:lang w:val="bg-BG" w:eastAsia="bg-BG"/>
              </w:rPr>
              <w:t>Проектиране/изграждане/</w:t>
            </w:r>
            <w:r w:rsidR="00E6069C" w:rsidRPr="00CA588D" w:rsidDel="00E6069C">
              <w:rPr>
                <w:rFonts w:ascii="Arial" w:eastAsia="Times New Roman" w:hAnsi="Arial" w:cs="Arial"/>
                <w:color w:val="000000"/>
                <w:sz w:val="18"/>
                <w:szCs w:val="18"/>
                <w:lang w:val="bg-BG" w:eastAsia="bg-BG"/>
              </w:rPr>
              <w:t xml:space="preserve"> </w:t>
            </w:r>
            <w:r w:rsidRPr="00CA588D">
              <w:rPr>
                <w:rFonts w:ascii="Arial" w:eastAsia="Times New Roman" w:hAnsi="Arial" w:cs="Arial"/>
                <w:color w:val="000000"/>
                <w:sz w:val="18"/>
                <w:szCs w:val="18"/>
                <w:lang w:val="bg-BG" w:eastAsia="bg-BG"/>
              </w:rPr>
              <w:t>/реконструкция на съоръжения за пречистване на отпадъчните води, вкл. на съоръжения за третиране на утайки (съгласно изискванията на Директивата за пречистване на отпадъчните води и условията в разрешителното за заустване, вкл. осигуряване на по-строго пречистване с отстраняване на биогенни елементи от отпадъчните води – за агломерации над 10,000 екв. ж., заустващи в чувствителни зони);</w:t>
            </w:r>
          </w:p>
          <w:p w14:paraId="27D559AD" w14:textId="77777777" w:rsidR="00CA588D" w:rsidRPr="00CA588D" w:rsidRDefault="00CA588D" w:rsidP="008B5547">
            <w:pPr>
              <w:pStyle w:val="ListParagraph"/>
              <w:numPr>
                <w:ilvl w:val="0"/>
                <w:numId w:val="79"/>
              </w:numPr>
              <w:jc w:val="both"/>
              <w:rPr>
                <w:rFonts w:ascii="Arial" w:eastAsia="Times New Roman" w:hAnsi="Arial" w:cs="Arial"/>
                <w:color w:val="000000"/>
                <w:sz w:val="18"/>
                <w:szCs w:val="18"/>
                <w:lang w:val="bg-BG" w:eastAsia="bg-BG"/>
              </w:rPr>
            </w:pPr>
            <w:r w:rsidRPr="00CA588D">
              <w:rPr>
                <w:rFonts w:ascii="Arial" w:eastAsia="Times New Roman" w:hAnsi="Arial" w:cs="Arial"/>
                <w:color w:val="000000"/>
                <w:sz w:val="18"/>
                <w:szCs w:val="18"/>
                <w:lang w:val="bg-BG" w:eastAsia="bg-BG"/>
              </w:rPr>
              <w:t>Проектиране/изграждане</w:t>
            </w:r>
            <w:r w:rsidR="00E6069C" w:rsidRPr="00CA588D" w:rsidDel="00E6069C">
              <w:rPr>
                <w:rFonts w:ascii="Arial" w:eastAsia="Times New Roman" w:hAnsi="Arial" w:cs="Arial"/>
                <w:color w:val="000000"/>
                <w:sz w:val="18"/>
                <w:szCs w:val="18"/>
                <w:lang w:val="bg-BG" w:eastAsia="bg-BG"/>
              </w:rPr>
              <w:t xml:space="preserve"> </w:t>
            </w:r>
            <w:r w:rsidRPr="00CA588D">
              <w:rPr>
                <w:rFonts w:ascii="Arial" w:eastAsia="Times New Roman" w:hAnsi="Arial" w:cs="Arial"/>
                <w:color w:val="000000"/>
                <w:sz w:val="18"/>
                <w:szCs w:val="18"/>
                <w:lang w:val="bg-BG" w:eastAsia="bg-BG"/>
              </w:rPr>
              <w:t>/реконструкция или подмяна на канализационни мрежи и съоръжения към или от ПСОВ с цел приоритетно осигуряване на екологосъобразно и икономически ефективно функциониране на ВиК системите, съобразно ангажиментите на страната по Директивата за пречистване на градските отпадъчни води;</w:t>
            </w:r>
          </w:p>
          <w:p w14:paraId="3EDE0C7A" w14:textId="77777777" w:rsidR="00CA588D" w:rsidRPr="00CA588D" w:rsidRDefault="00CA588D" w:rsidP="008B5547">
            <w:pPr>
              <w:pStyle w:val="ListParagraph"/>
              <w:numPr>
                <w:ilvl w:val="0"/>
                <w:numId w:val="79"/>
              </w:numPr>
              <w:jc w:val="both"/>
              <w:rPr>
                <w:rFonts w:ascii="Arial" w:eastAsia="Times New Roman" w:hAnsi="Arial" w:cs="Arial"/>
                <w:color w:val="000000"/>
                <w:sz w:val="18"/>
                <w:szCs w:val="18"/>
                <w:lang w:val="bg-BG" w:eastAsia="bg-BG"/>
              </w:rPr>
            </w:pPr>
            <w:r w:rsidRPr="00CA588D">
              <w:rPr>
                <w:rFonts w:ascii="Arial" w:eastAsia="Times New Roman" w:hAnsi="Arial" w:cs="Arial"/>
                <w:color w:val="000000"/>
                <w:sz w:val="18"/>
                <w:szCs w:val="18"/>
                <w:lang w:val="bg-BG" w:eastAsia="bg-BG"/>
              </w:rPr>
              <w:t>Проектиране/</w:t>
            </w:r>
            <w:r w:rsidRPr="00E05483">
              <w:rPr>
                <w:rFonts w:ascii="Arial" w:eastAsia="Times New Roman" w:hAnsi="Arial" w:cs="Arial"/>
                <w:color w:val="000000"/>
                <w:sz w:val="18"/>
                <w:szCs w:val="18"/>
                <w:lang w:val="bg-BG" w:eastAsia="bg-BG"/>
              </w:rPr>
              <w:t>изграждане/</w:t>
            </w:r>
            <w:r w:rsidR="00455061" w:rsidRPr="00E05483" w:rsidDel="00455061">
              <w:rPr>
                <w:rFonts w:ascii="Arial" w:eastAsia="Times New Roman" w:hAnsi="Arial" w:cs="Arial"/>
                <w:color w:val="000000"/>
                <w:sz w:val="18"/>
                <w:szCs w:val="18"/>
                <w:lang w:val="bg-BG" w:eastAsia="bg-BG"/>
              </w:rPr>
              <w:t xml:space="preserve"> </w:t>
            </w:r>
            <w:r w:rsidRPr="00E05483">
              <w:rPr>
                <w:rFonts w:ascii="Arial" w:eastAsia="Times New Roman" w:hAnsi="Arial" w:cs="Arial"/>
                <w:color w:val="000000"/>
                <w:sz w:val="18"/>
                <w:szCs w:val="18"/>
                <w:lang w:val="bg-BG" w:eastAsia="bg-BG"/>
              </w:rPr>
              <w:t>реконструкция</w:t>
            </w:r>
            <w:r w:rsidRPr="00CA588D">
              <w:rPr>
                <w:rFonts w:ascii="Arial" w:eastAsia="Times New Roman" w:hAnsi="Arial" w:cs="Arial"/>
                <w:color w:val="000000"/>
                <w:sz w:val="18"/>
                <w:szCs w:val="18"/>
                <w:lang w:val="bg-BG" w:eastAsia="bg-BG"/>
              </w:rPr>
              <w:t xml:space="preserve"> на съоръжения за пречистване на питейни води, или ако е икономически по-ефективно - изграждане на нови водовземни съоръжения;</w:t>
            </w:r>
          </w:p>
          <w:p w14:paraId="67917ADC" w14:textId="77777777" w:rsidR="00DD7CCA" w:rsidRDefault="00CA588D" w:rsidP="008B5547">
            <w:pPr>
              <w:pStyle w:val="ListParagraph"/>
              <w:numPr>
                <w:ilvl w:val="0"/>
                <w:numId w:val="79"/>
              </w:numPr>
              <w:jc w:val="both"/>
              <w:rPr>
                <w:rFonts w:ascii="Arial" w:eastAsia="Times New Roman" w:hAnsi="Arial" w:cs="Arial"/>
                <w:color w:val="000000"/>
                <w:sz w:val="18"/>
                <w:szCs w:val="18"/>
                <w:lang w:val="bg-BG" w:eastAsia="bg-BG"/>
              </w:rPr>
            </w:pPr>
            <w:r w:rsidRPr="00CA588D">
              <w:rPr>
                <w:rFonts w:ascii="Arial" w:eastAsia="Times New Roman" w:hAnsi="Arial" w:cs="Arial"/>
                <w:color w:val="000000"/>
                <w:sz w:val="18"/>
                <w:szCs w:val="18"/>
                <w:lang w:val="bg-BG" w:eastAsia="bg-BG"/>
              </w:rPr>
              <w:t>Проектиране/ изграждане</w:t>
            </w:r>
            <w:r w:rsidR="00455061" w:rsidRPr="00CA588D" w:rsidDel="00455061">
              <w:rPr>
                <w:rFonts w:ascii="Arial" w:eastAsia="Times New Roman" w:hAnsi="Arial" w:cs="Arial"/>
                <w:color w:val="000000"/>
                <w:sz w:val="18"/>
                <w:szCs w:val="18"/>
                <w:lang w:val="bg-BG" w:eastAsia="bg-BG"/>
              </w:rPr>
              <w:t xml:space="preserve"> </w:t>
            </w:r>
            <w:r w:rsidRPr="00CA588D">
              <w:rPr>
                <w:rFonts w:ascii="Arial" w:eastAsia="Times New Roman" w:hAnsi="Arial" w:cs="Arial"/>
                <w:color w:val="000000"/>
                <w:sz w:val="18"/>
                <w:szCs w:val="18"/>
                <w:lang w:val="bg-BG" w:eastAsia="bg-BG"/>
              </w:rPr>
              <w:t>/ реконструкция на водоснабдителни мрежи и съоръжения за питейни води с цел повишаване на ефективността на ползване на водите и намаляване на загубите на вода във водопреносните мрежи и изпълнение на задълженията по Директива 98/83/ЕО;</w:t>
            </w:r>
          </w:p>
          <w:p w14:paraId="53234242" w14:textId="77777777" w:rsidR="00060E45" w:rsidRPr="00BC7695" w:rsidRDefault="00CA588D" w:rsidP="008B5547">
            <w:pPr>
              <w:pStyle w:val="ListParagraph"/>
              <w:numPr>
                <w:ilvl w:val="0"/>
                <w:numId w:val="79"/>
              </w:numPr>
              <w:jc w:val="both"/>
              <w:rPr>
                <w:rFonts w:ascii="Arial" w:eastAsia="Times New Roman" w:hAnsi="Arial" w:cs="Arial"/>
                <w:color w:val="000000"/>
                <w:sz w:val="18"/>
                <w:szCs w:val="18"/>
                <w:lang w:val="bg-BG" w:eastAsia="bg-BG"/>
              </w:rPr>
            </w:pPr>
            <w:r w:rsidRPr="00BC7695">
              <w:rPr>
                <w:rFonts w:ascii="Arial" w:eastAsia="Times New Roman" w:hAnsi="Arial" w:cs="Arial"/>
                <w:color w:val="000000"/>
                <w:sz w:val="18"/>
                <w:szCs w:val="18"/>
                <w:lang w:val="bg-BG" w:eastAsia="bg-BG"/>
              </w:rPr>
              <w:t>Проектиране/изграждане на съпътстваща инфраструктура (напр. електроснабдяване, път, водоснабдяване), която обслужва само изгражданите обекти (напр. ПСОВ, ПСПВ, резервоари и помпени станции);</w:t>
            </w:r>
            <w:r w:rsidR="00060E45" w:rsidRPr="00BC7695">
              <w:rPr>
                <w:rFonts w:ascii="Arial" w:eastAsia="Times New Roman" w:hAnsi="Arial" w:cs="Arial"/>
                <w:color w:val="000000"/>
                <w:sz w:val="18"/>
                <w:szCs w:val="18"/>
                <w:lang w:val="bg-BG" w:eastAsia="bg-BG"/>
              </w:rPr>
              <w:t xml:space="preserve">  </w:t>
            </w:r>
          </w:p>
          <w:p w14:paraId="0AB1ACE1" w14:textId="77777777" w:rsidR="00060E45" w:rsidRDefault="00295AD6" w:rsidP="00295AD6">
            <w:pPr>
              <w:pStyle w:val="ListParagraph"/>
              <w:numPr>
                <w:ilvl w:val="0"/>
                <w:numId w:val="69"/>
              </w:numPr>
              <w:spacing w:after="120"/>
              <w:contextualSpacing w:val="0"/>
              <w:jc w:val="both"/>
              <w:rPr>
                <w:rFonts w:ascii="Arial" w:eastAsia="Times New Roman" w:hAnsi="Arial" w:cs="Arial"/>
                <w:color w:val="000000"/>
                <w:sz w:val="18"/>
                <w:szCs w:val="18"/>
                <w:lang w:val="bg-BG" w:eastAsia="bg-BG"/>
              </w:rPr>
            </w:pPr>
            <w:r>
              <w:rPr>
                <w:rFonts w:ascii="Arial" w:eastAsia="Times New Roman" w:hAnsi="Arial" w:cs="Arial"/>
                <w:color w:val="000000"/>
                <w:sz w:val="18"/>
                <w:szCs w:val="18"/>
                <w:lang w:val="bg-BG" w:eastAsia="bg-BG"/>
              </w:rPr>
              <w:t>Следните примерни мерки, могат да бъдат финанснирани чрез предоставянето на директни заеми</w:t>
            </w:r>
            <w:r w:rsidR="00060E45" w:rsidRPr="00F44B1A">
              <w:rPr>
                <w:rFonts w:ascii="Arial" w:eastAsia="Times New Roman" w:hAnsi="Arial" w:cs="Arial"/>
                <w:color w:val="000000"/>
                <w:sz w:val="18"/>
                <w:szCs w:val="18"/>
                <w:lang w:val="bg-BG" w:eastAsia="bg-BG"/>
              </w:rPr>
              <w:t>:</w:t>
            </w:r>
          </w:p>
          <w:p w14:paraId="5D41F17A" w14:textId="77777777" w:rsidR="00295AD6" w:rsidRPr="00D3574E" w:rsidRDefault="00295AD6" w:rsidP="00295AD6">
            <w:pPr>
              <w:pStyle w:val="ListParagraph"/>
              <w:numPr>
                <w:ilvl w:val="0"/>
                <w:numId w:val="78"/>
              </w:numPr>
              <w:spacing w:after="0" w:line="240" w:lineRule="auto"/>
              <w:jc w:val="both"/>
              <w:rPr>
                <w:rFonts w:ascii="Arial" w:hAnsi="Arial" w:cs="Arial"/>
                <w:sz w:val="18"/>
                <w:szCs w:val="18"/>
                <w:lang w:val="bg-BG"/>
              </w:rPr>
            </w:pPr>
            <w:r w:rsidRPr="00D3574E">
              <w:rPr>
                <w:rFonts w:ascii="Arial" w:hAnsi="Arial" w:cs="Arial"/>
                <w:sz w:val="18"/>
                <w:szCs w:val="18"/>
                <w:lang w:val="bg-BG"/>
              </w:rPr>
              <w:t>осигуряване на финансиране за част от допустимите инвестиционни разходи по ВиК проекти, за които се предоставя БФП по ОПОС 2014-2020 г.</w:t>
            </w:r>
          </w:p>
          <w:p w14:paraId="45D9C8EF" w14:textId="77777777" w:rsidR="00CA588D" w:rsidRPr="00295AD6" w:rsidRDefault="00E05483" w:rsidP="00295AD6">
            <w:pPr>
              <w:pStyle w:val="ListParagraph"/>
              <w:numPr>
                <w:ilvl w:val="0"/>
                <w:numId w:val="78"/>
              </w:numPr>
              <w:spacing w:after="0" w:line="240" w:lineRule="auto"/>
              <w:jc w:val="both"/>
              <w:rPr>
                <w:rFonts w:ascii="Arial" w:hAnsi="Arial" w:cs="Arial"/>
                <w:sz w:val="18"/>
                <w:szCs w:val="18"/>
                <w:lang w:val="bg-BG"/>
              </w:rPr>
            </w:pPr>
            <w:r>
              <w:rPr>
                <w:rFonts w:ascii="Arial" w:hAnsi="Arial" w:cs="Arial"/>
                <w:sz w:val="18"/>
                <w:szCs w:val="18"/>
                <w:lang w:val="bg-BG"/>
              </w:rPr>
              <w:t>дейности</w:t>
            </w:r>
            <w:r w:rsidR="00CA588D" w:rsidRPr="00295AD6">
              <w:rPr>
                <w:rFonts w:ascii="Arial" w:hAnsi="Arial" w:cs="Arial"/>
                <w:sz w:val="18"/>
                <w:szCs w:val="18"/>
                <w:lang w:val="bg-BG"/>
              </w:rPr>
              <w:t xml:space="preserve">, насочени към намаляване </w:t>
            </w:r>
            <w:r w:rsidR="00DD7CCA">
              <w:rPr>
                <w:rFonts w:ascii="Arial" w:hAnsi="Arial" w:cs="Arial"/>
                <w:sz w:val="18"/>
                <w:szCs w:val="18"/>
                <w:lang w:val="bg-BG"/>
              </w:rPr>
              <w:t xml:space="preserve">общите </w:t>
            </w:r>
            <w:r w:rsidR="00CA588D" w:rsidRPr="00295AD6">
              <w:rPr>
                <w:rFonts w:ascii="Arial" w:hAnsi="Arial" w:cs="Arial"/>
                <w:sz w:val="18"/>
                <w:szCs w:val="18"/>
                <w:lang w:val="bg-BG"/>
              </w:rPr>
              <w:t>загуби на вода (неносеща приходи вода) на ниво крайни получатели;</w:t>
            </w:r>
          </w:p>
          <w:p w14:paraId="4EFE5D14" w14:textId="77777777" w:rsidR="00311A18" w:rsidRPr="00295AD6" w:rsidRDefault="00455061" w:rsidP="00295AD6">
            <w:pPr>
              <w:pStyle w:val="ListParagraph"/>
              <w:numPr>
                <w:ilvl w:val="0"/>
                <w:numId w:val="78"/>
              </w:numPr>
              <w:spacing w:after="0" w:line="240" w:lineRule="auto"/>
              <w:jc w:val="both"/>
              <w:rPr>
                <w:rFonts w:ascii="Arial" w:hAnsi="Arial" w:cs="Arial"/>
                <w:sz w:val="18"/>
                <w:szCs w:val="18"/>
                <w:lang w:val="bg-BG"/>
              </w:rPr>
            </w:pPr>
            <w:r>
              <w:rPr>
                <w:rFonts w:ascii="Arial" w:hAnsi="Arial" w:cs="Arial"/>
                <w:sz w:val="18"/>
                <w:szCs w:val="18"/>
                <w:lang w:val="bg-BG"/>
              </w:rPr>
              <w:t>дейности</w:t>
            </w:r>
            <w:r w:rsidR="00311A18" w:rsidRPr="00295AD6">
              <w:rPr>
                <w:rFonts w:ascii="Arial" w:hAnsi="Arial" w:cs="Arial"/>
                <w:sz w:val="18"/>
                <w:szCs w:val="18"/>
                <w:lang w:val="bg-BG"/>
              </w:rPr>
              <w:t xml:space="preserve">, насочени към подобряване на енергийната ефективност на ниво </w:t>
            </w:r>
            <w:r w:rsidR="00311A18" w:rsidRPr="00295AD6">
              <w:rPr>
                <w:rFonts w:ascii="Arial" w:hAnsi="Arial" w:cs="Arial"/>
                <w:sz w:val="18"/>
                <w:szCs w:val="18"/>
                <w:lang w:val="bg-BG"/>
              </w:rPr>
              <w:lastRenderedPageBreak/>
              <w:t>крайни получатели;</w:t>
            </w:r>
          </w:p>
          <w:p w14:paraId="0F45A375" w14:textId="77777777" w:rsidR="00E05483" w:rsidRDefault="00455061" w:rsidP="00455061">
            <w:pPr>
              <w:pStyle w:val="ListParagraph"/>
              <w:numPr>
                <w:ilvl w:val="0"/>
                <w:numId w:val="78"/>
              </w:numPr>
              <w:spacing w:after="0" w:line="240" w:lineRule="auto"/>
              <w:jc w:val="both"/>
              <w:rPr>
                <w:rFonts w:ascii="Arial" w:hAnsi="Arial" w:cs="Arial"/>
                <w:sz w:val="18"/>
                <w:szCs w:val="18"/>
                <w:lang w:val="bg-BG"/>
              </w:rPr>
            </w:pPr>
            <w:r w:rsidRPr="00455061">
              <w:rPr>
                <w:rFonts w:ascii="Arial" w:hAnsi="Arial" w:cs="Arial"/>
                <w:sz w:val="18"/>
                <w:szCs w:val="18"/>
                <w:lang w:val="bg-BG"/>
              </w:rPr>
              <w:t>дейности</w:t>
            </w:r>
            <w:r w:rsidR="00311A18" w:rsidRPr="00455061">
              <w:rPr>
                <w:rFonts w:ascii="Arial" w:hAnsi="Arial" w:cs="Arial"/>
                <w:sz w:val="18"/>
                <w:szCs w:val="18"/>
                <w:lang w:val="bg-BG"/>
              </w:rPr>
              <w:t>, насочени към оптимизиране на оперативните разходи на допустимите крайни получатели</w:t>
            </w:r>
          </w:p>
          <w:p w14:paraId="7D9C7526" w14:textId="77777777" w:rsidR="00CE7180" w:rsidRPr="00311A18" w:rsidRDefault="00E05483" w:rsidP="00295AD6">
            <w:pPr>
              <w:pStyle w:val="ListParagraph"/>
              <w:numPr>
                <w:ilvl w:val="0"/>
                <w:numId w:val="78"/>
              </w:numPr>
              <w:spacing w:after="0" w:line="240" w:lineRule="auto"/>
              <w:jc w:val="both"/>
              <w:rPr>
                <w:rFonts w:ascii="Arial" w:eastAsia="Times New Roman" w:hAnsi="Arial" w:cs="Arial"/>
                <w:color w:val="000000"/>
                <w:sz w:val="18"/>
                <w:szCs w:val="18"/>
                <w:lang w:val="bg-BG" w:eastAsia="bg-BG"/>
              </w:rPr>
            </w:pPr>
            <w:r w:rsidRPr="00455061" w:rsidDel="00E05483">
              <w:rPr>
                <w:rFonts w:ascii="Arial" w:hAnsi="Arial" w:cs="Arial"/>
                <w:sz w:val="18"/>
                <w:szCs w:val="18"/>
                <w:lang w:val="bg-BG"/>
              </w:rPr>
              <w:t xml:space="preserve"> </w:t>
            </w:r>
            <w:r w:rsidR="00311A18" w:rsidRPr="00295AD6">
              <w:rPr>
                <w:rFonts w:ascii="Arial" w:hAnsi="Arial" w:cs="Arial"/>
                <w:sz w:val="18"/>
                <w:szCs w:val="18"/>
                <w:lang w:val="bg-BG"/>
              </w:rPr>
              <w:t>Други финансово жизнеспособни проекти, изпълнени на ниво крайни получатели, в съответствие с целите на ОПОС.</w:t>
            </w:r>
          </w:p>
        </w:tc>
      </w:tr>
      <w:tr w:rsidR="00E81EA9" w:rsidRPr="003807BF" w14:paraId="32B2DA14" w14:textId="77777777" w:rsidTr="00E81EA9">
        <w:trPr>
          <w:trHeight w:val="483"/>
        </w:trPr>
        <w:tc>
          <w:tcPr>
            <w:tcW w:w="2127" w:type="dxa"/>
            <w:tcBorders>
              <w:top w:val="nil"/>
              <w:left w:val="single" w:sz="4" w:space="0" w:color="auto"/>
              <w:bottom w:val="single" w:sz="4" w:space="0" w:color="auto"/>
              <w:right w:val="single" w:sz="4" w:space="0" w:color="auto"/>
            </w:tcBorders>
            <w:shd w:val="clear" w:color="auto" w:fill="auto"/>
          </w:tcPr>
          <w:p w14:paraId="24CD21DB" w14:textId="77777777" w:rsidR="00E81EA9" w:rsidRDefault="00EA47BD" w:rsidP="00E81EA9">
            <w:pPr>
              <w:keepNext/>
              <w:spacing w:after="0" w:line="240" w:lineRule="auto"/>
              <w:rPr>
                <w:rFonts w:ascii="Arial" w:eastAsia="Times New Roman" w:hAnsi="Arial" w:cs="Arial"/>
                <w:color w:val="000000"/>
                <w:sz w:val="18"/>
                <w:szCs w:val="18"/>
                <w:lang w:eastAsia="bg-BG"/>
              </w:rPr>
            </w:pPr>
            <w:r>
              <w:rPr>
                <w:rFonts w:ascii="Arial" w:eastAsia="Times New Roman" w:hAnsi="Arial" w:cs="Arial"/>
                <w:color w:val="000000"/>
                <w:sz w:val="18"/>
                <w:szCs w:val="18"/>
                <w:lang w:val="bg-BG" w:eastAsia="bg-BG"/>
              </w:rPr>
              <w:lastRenderedPageBreak/>
              <w:t>Допустими крайни получатели</w:t>
            </w:r>
          </w:p>
        </w:tc>
        <w:tc>
          <w:tcPr>
            <w:tcW w:w="7796" w:type="dxa"/>
            <w:tcBorders>
              <w:top w:val="nil"/>
              <w:left w:val="nil"/>
              <w:bottom w:val="single" w:sz="4" w:space="0" w:color="auto"/>
              <w:right w:val="single" w:sz="4" w:space="0" w:color="auto"/>
            </w:tcBorders>
            <w:shd w:val="clear" w:color="auto" w:fill="auto"/>
          </w:tcPr>
          <w:p w14:paraId="6C988853" w14:textId="77777777" w:rsidR="00E81EA9" w:rsidRPr="00E457A7" w:rsidRDefault="00E457A7" w:rsidP="008B5547">
            <w:pPr>
              <w:spacing w:after="0" w:line="240" w:lineRule="auto"/>
              <w:rPr>
                <w:rFonts w:ascii="Arial" w:eastAsia="Times New Roman" w:hAnsi="Arial" w:cs="Arial"/>
                <w:sz w:val="18"/>
                <w:szCs w:val="18"/>
                <w:lang w:val="bg-BG" w:eastAsia="bg-BG"/>
              </w:rPr>
            </w:pPr>
            <w:r w:rsidRPr="00BC7695">
              <w:rPr>
                <w:rFonts w:ascii="Arial" w:eastAsia="Times New Roman" w:hAnsi="Arial" w:cs="Arial"/>
                <w:sz w:val="18"/>
                <w:szCs w:val="18"/>
                <w:lang w:val="bg-BG" w:eastAsia="bg-BG"/>
              </w:rPr>
              <w:t>Регионални ВиКО, ако (i) ВиКО е консолидиран, (ii) има подписан договор със съответната АВиК и (iii) има завършен РПИП, което определя списъка от проекти за изпълнение за региона.</w:t>
            </w:r>
            <w:r w:rsidR="009A75CB">
              <w:rPr>
                <w:rFonts w:ascii="Arial" w:eastAsia="Times New Roman" w:hAnsi="Arial" w:cs="Arial"/>
                <w:b/>
                <w:sz w:val="18"/>
                <w:szCs w:val="18"/>
                <w:lang w:val="bg-BG" w:eastAsia="bg-BG"/>
              </w:rPr>
              <w:t xml:space="preserve"> </w:t>
            </w:r>
          </w:p>
        </w:tc>
      </w:tr>
      <w:tr w:rsidR="00060B49" w:rsidRPr="007B6C31" w14:paraId="29FF6B25" w14:textId="77777777" w:rsidTr="000878D4">
        <w:trPr>
          <w:trHeight w:val="765"/>
        </w:trPr>
        <w:tc>
          <w:tcPr>
            <w:tcW w:w="2127" w:type="dxa"/>
            <w:tcBorders>
              <w:top w:val="nil"/>
              <w:left w:val="single" w:sz="4" w:space="0" w:color="auto"/>
              <w:bottom w:val="single" w:sz="4" w:space="0" w:color="auto"/>
              <w:right w:val="single" w:sz="4" w:space="0" w:color="auto"/>
            </w:tcBorders>
            <w:shd w:val="clear" w:color="auto" w:fill="auto"/>
          </w:tcPr>
          <w:p w14:paraId="126509E9" w14:textId="77777777" w:rsidR="00060B49" w:rsidRPr="00FC26DF" w:rsidRDefault="00EA47BD" w:rsidP="000878D4">
            <w:pPr>
              <w:spacing w:after="0" w:line="240" w:lineRule="auto"/>
              <w:rPr>
                <w:rFonts w:ascii="Arial" w:eastAsia="Times New Roman" w:hAnsi="Arial" w:cs="Arial"/>
                <w:sz w:val="18"/>
                <w:szCs w:val="18"/>
                <w:lang w:val="bg-BG" w:eastAsia="bg-BG"/>
              </w:rPr>
            </w:pPr>
            <w:r w:rsidRPr="00FC26DF">
              <w:rPr>
                <w:rFonts w:ascii="Arial" w:eastAsia="Times New Roman" w:hAnsi="Arial" w:cs="Arial"/>
                <w:sz w:val="18"/>
                <w:szCs w:val="18"/>
                <w:lang w:val="bg-BG" w:eastAsia="bg-BG"/>
              </w:rPr>
              <w:t>Условия на заемите</w:t>
            </w:r>
          </w:p>
        </w:tc>
        <w:tc>
          <w:tcPr>
            <w:tcW w:w="7796" w:type="dxa"/>
            <w:tcBorders>
              <w:top w:val="nil"/>
              <w:left w:val="nil"/>
              <w:bottom w:val="single" w:sz="4" w:space="0" w:color="auto"/>
              <w:right w:val="single" w:sz="4" w:space="0" w:color="auto"/>
            </w:tcBorders>
            <w:shd w:val="clear" w:color="auto" w:fill="auto"/>
          </w:tcPr>
          <w:p w14:paraId="4939DE8D" w14:textId="77777777" w:rsidR="00B25879" w:rsidRPr="00FC26DF" w:rsidRDefault="00913021" w:rsidP="008F742B">
            <w:pPr>
              <w:keepNext/>
              <w:spacing w:after="0" w:line="240" w:lineRule="auto"/>
              <w:rPr>
                <w:rFonts w:ascii="Arial" w:eastAsia="Times New Roman" w:hAnsi="Arial" w:cs="Arial"/>
                <w:sz w:val="18"/>
                <w:szCs w:val="18"/>
                <w:lang w:val="bg-BG" w:eastAsia="bg-BG"/>
              </w:rPr>
            </w:pPr>
            <w:r w:rsidRPr="00FC26DF">
              <w:rPr>
                <w:rFonts w:ascii="Arial" w:eastAsia="Times New Roman" w:hAnsi="Arial" w:cs="Arial"/>
                <w:b/>
                <w:sz w:val="18"/>
                <w:szCs w:val="18"/>
                <w:lang w:val="bg-BG" w:eastAsia="bg-BG"/>
              </w:rPr>
              <w:t>Вид заеми</w:t>
            </w:r>
            <w:r w:rsidR="00B25879" w:rsidRPr="00FC26DF">
              <w:rPr>
                <w:rFonts w:ascii="Arial" w:eastAsia="Times New Roman" w:hAnsi="Arial" w:cs="Arial"/>
                <w:b/>
                <w:sz w:val="18"/>
                <w:szCs w:val="18"/>
                <w:lang w:val="bg-BG" w:eastAsia="bg-BG"/>
              </w:rPr>
              <w:t xml:space="preserve">: </w:t>
            </w:r>
            <w:r w:rsidRPr="00FC26DF">
              <w:rPr>
                <w:rFonts w:ascii="Arial" w:eastAsia="Times New Roman" w:hAnsi="Arial" w:cs="Arial"/>
                <w:sz w:val="18"/>
                <w:szCs w:val="18"/>
                <w:lang w:val="bg-BG" w:eastAsia="bg-BG"/>
              </w:rPr>
              <w:t>Инвестиционни заеми</w:t>
            </w:r>
            <w:r w:rsidR="00D3574E">
              <w:rPr>
                <w:rFonts w:ascii="Arial" w:eastAsia="Times New Roman" w:hAnsi="Arial" w:cs="Arial"/>
                <w:sz w:val="18"/>
                <w:szCs w:val="18"/>
                <w:lang w:val="bg-BG" w:eastAsia="bg-BG"/>
              </w:rPr>
              <w:t xml:space="preserve"> или заеми за дейности, насочени към оптимизиране на оперативните разходи и други допустими дейности в съответствие с целите на ОПОС </w:t>
            </w:r>
            <w:r w:rsidRPr="00FC26DF">
              <w:rPr>
                <w:rFonts w:ascii="Arial" w:eastAsia="Times New Roman" w:hAnsi="Arial" w:cs="Arial"/>
                <w:sz w:val="18"/>
                <w:szCs w:val="18"/>
                <w:lang w:val="bg-BG" w:eastAsia="bg-BG"/>
              </w:rPr>
              <w:t xml:space="preserve"> </w:t>
            </w:r>
          </w:p>
          <w:p w14:paraId="4C1B95D2" w14:textId="77777777" w:rsidR="00060B49" w:rsidRPr="00FC26DF" w:rsidRDefault="00913021" w:rsidP="008F742B">
            <w:pPr>
              <w:keepNext/>
              <w:spacing w:after="0" w:line="240" w:lineRule="auto"/>
              <w:rPr>
                <w:rFonts w:ascii="Arial" w:eastAsia="Times New Roman" w:hAnsi="Arial" w:cs="Arial"/>
                <w:sz w:val="18"/>
                <w:szCs w:val="18"/>
                <w:lang w:val="bg-BG" w:eastAsia="bg-BG"/>
              </w:rPr>
            </w:pPr>
            <w:r w:rsidRPr="00FC26DF">
              <w:rPr>
                <w:rFonts w:ascii="Arial" w:eastAsia="Times New Roman" w:hAnsi="Arial" w:cs="Arial"/>
                <w:b/>
                <w:sz w:val="18"/>
                <w:szCs w:val="18"/>
                <w:lang w:val="bg-BG" w:eastAsia="bg-BG"/>
              </w:rPr>
              <w:t>Продължителност на заемите</w:t>
            </w:r>
            <w:r w:rsidR="00060B49" w:rsidRPr="00FC26DF">
              <w:rPr>
                <w:rFonts w:ascii="Arial" w:eastAsia="Times New Roman" w:hAnsi="Arial" w:cs="Arial"/>
                <w:b/>
                <w:sz w:val="18"/>
                <w:szCs w:val="18"/>
                <w:lang w:val="bg-BG" w:eastAsia="bg-BG"/>
              </w:rPr>
              <w:t>:</w:t>
            </w:r>
            <w:r w:rsidR="00060B49" w:rsidRPr="00FC26DF">
              <w:rPr>
                <w:rFonts w:ascii="Arial" w:eastAsia="Times New Roman" w:hAnsi="Arial" w:cs="Arial"/>
                <w:sz w:val="18"/>
                <w:szCs w:val="18"/>
                <w:lang w:val="bg-BG" w:eastAsia="bg-BG"/>
              </w:rPr>
              <w:t xml:space="preserve"> </w:t>
            </w:r>
            <w:r w:rsidRPr="00FC26DF">
              <w:rPr>
                <w:rFonts w:ascii="Arial" w:eastAsia="Times New Roman" w:hAnsi="Arial" w:cs="Arial"/>
                <w:sz w:val="18"/>
                <w:szCs w:val="18"/>
                <w:lang w:val="bg-BG" w:eastAsia="bg-BG"/>
              </w:rPr>
              <w:t>до</w:t>
            </w:r>
            <w:r w:rsidR="00060B49" w:rsidRPr="00FC26DF">
              <w:rPr>
                <w:rFonts w:ascii="Arial" w:eastAsia="Times New Roman" w:hAnsi="Arial" w:cs="Arial"/>
                <w:sz w:val="18"/>
                <w:szCs w:val="18"/>
                <w:lang w:val="bg-BG" w:eastAsia="bg-BG"/>
              </w:rPr>
              <w:t xml:space="preserve"> 15 </w:t>
            </w:r>
            <w:r w:rsidRPr="00FC26DF">
              <w:rPr>
                <w:rFonts w:ascii="Arial" w:eastAsia="Times New Roman" w:hAnsi="Arial" w:cs="Arial"/>
                <w:sz w:val="18"/>
                <w:szCs w:val="18"/>
                <w:lang w:val="bg-BG" w:eastAsia="bg-BG"/>
              </w:rPr>
              <w:t>г.</w:t>
            </w:r>
          </w:p>
          <w:p w14:paraId="594F87E2" w14:textId="77777777" w:rsidR="00060B49" w:rsidRPr="00FC26DF" w:rsidRDefault="00913021" w:rsidP="008F742B">
            <w:pPr>
              <w:keepNext/>
              <w:spacing w:after="0" w:line="240" w:lineRule="auto"/>
              <w:rPr>
                <w:rFonts w:ascii="Arial" w:eastAsia="Times New Roman" w:hAnsi="Arial" w:cs="Arial"/>
                <w:sz w:val="18"/>
                <w:szCs w:val="18"/>
                <w:lang w:val="bg-BG" w:eastAsia="bg-BG"/>
              </w:rPr>
            </w:pPr>
            <w:r w:rsidRPr="00FC26DF">
              <w:rPr>
                <w:rFonts w:ascii="Arial" w:eastAsia="Times New Roman" w:hAnsi="Arial" w:cs="Arial"/>
                <w:b/>
                <w:sz w:val="18"/>
                <w:szCs w:val="18"/>
                <w:lang w:val="bg-BG" w:eastAsia="bg-BG"/>
              </w:rPr>
              <w:t>Гратисен период</w:t>
            </w:r>
            <w:r w:rsidR="00060B49" w:rsidRPr="00FC26DF">
              <w:rPr>
                <w:rFonts w:ascii="Arial" w:eastAsia="Times New Roman" w:hAnsi="Arial" w:cs="Arial"/>
                <w:b/>
                <w:sz w:val="18"/>
                <w:szCs w:val="18"/>
                <w:lang w:val="bg-BG" w:eastAsia="bg-BG"/>
              </w:rPr>
              <w:t>:</w:t>
            </w:r>
            <w:r w:rsidR="00060B49" w:rsidRPr="00FC26DF">
              <w:rPr>
                <w:rFonts w:ascii="Arial" w:eastAsia="Times New Roman" w:hAnsi="Arial" w:cs="Arial"/>
                <w:sz w:val="18"/>
                <w:szCs w:val="18"/>
                <w:lang w:val="bg-BG" w:eastAsia="bg-BG"/>
              </w:rPr>
              <w:t xml:space="preserve"> </w:t>
            </w:r>
            <w:r w:rsidRPr="00FC26DF">
              <w:rPr>
                <w:rFonts w:ascii="Arial" w:eastAsia="Times New Roman" w:hAnsi="Arial" w:cs="Arial"/>
                <w:sz w:val="18"/>
                <w:szCs w:val="18"/>
                <w:lang w:val="bg-BG" w:eastAsia="bg-BG"/>
              </w:rPr>
              <w:t>до 3 г.</w:t>
            </w:r>
          </w:p>
          <w:p w14:paraId="5B1CC6D6" w14:textId="77777777" w:rsidR="00060B49" w:rsidRPr="00FC26DF" w:rsidRDefault="00913021" w:rsidP="008F742B">
            <w:pPr>
              <w:keepNext/>
              <w:spacing w:after="0" w:line="240" w:lineRule="auto"/>
              <w:rPr>
                <w:rFonts w:ascii="Arial" w:eastAsia="Times New Roman" w:hAnsi="Arial" w:cs="Arial"/>
                <w:sz w:val="18"/>
                <w:szCs w:val="18"/>
                <w:lang w:val="bg-BG" w:eastAsia="bg-BG"/>
              </w:rPr>
            </w:pPr>
            <w:r w:rsidRPr="00FC26DF">
              <w:rPr>
                <w:rFonts w:ascii="Arial" w:eastAsia="Times New Roman" w:hAnsi="Arial" w:cs="Arial"/>
                <w:b/>
                <w:sz w:val="18"/>
                <w:szCs w:val="18"/>
                <w:lang w:val="bg-BG" w:eastAsia="bg-BG"/>
              </w:rPr>
              <w:t>Изискуемо обезпечение</w:t>
            </w:r>
            <w:r w:rsidR="00060B49" w:rsidRPr="00FC26DF">
              <w:rPr>
                <w:rFonts w:ascii="Arial" w:eastAsia="Times New Roman" w:hAnsi="Arial" w:cs="Arial"/>
                <w:b/>
                <w:sz w:val="18"/>
                <w:szCs w:val="18"/>
                <w:lang w:val="bg-BG" w:eastAsia="bg-BG"/>
              </w:rPr>
              <w:t>:</w:t>
            </w:r>
            <w:r w:rsidR="00060B49" w:rsidRPr="00FC26DF">
              <w:rPr>
                <w:rFonts w:ascii="Arial" w:eastAsia="Times New Roman" w:hAnsi="Arial" w:cs="Arial"/>
                <w:sz w:val="18"/>
                <w:szCs w:val="18"/>
                <w:lang w:val="bg-BG" w:eastAsia="bg-BG"/>
              </w:rPr>
              <w:t xml:space="preserve"> </w:t>
            </w:r>
            <w:r w:rsidRPr="00FC26DF">
              <w:rPr>
                <w:rFonts w:ascii="Arial" w:eastAsia="Times New Roman" w:hAnsi="Arial" w:cs="Arial"/>
                <w:sz w:val="18"/>
                <w:szCs w:val="18"/>
                <w:lang w:val="bg-BG" w:eastAsia="bg-BG"/>
              </w:rPr>
              <w:t>залог на банкови сметки</w:t>
            </w:r>
            <w:r w:rsidR="00060B49" w:rsidRPr="00FC26DF">
              <w:rPr>
                <w:rFonts w:ascii="Arial" w:eastAsia="Times New Roman" w:hAnsi="Arial" w:cs="Arial"/>
                <w:sz w:val="18"/>
                <w:szCs w:val="18"/>
                <w:lang w:val="bg-BG" w:eastAsia="bg-BG"/>
              </w:rPr>
              <w:t xml:space="preserve">; </w:t>
            </w:r>
            <w:r w:rsidRPr="00FC26DF">
              <w:rPr>
                <w:rFonts w:ascii="Arial" w:eastAsia="Times New Roman" w:hAnsi="Arial" w:cs="Arial"/>
                <w:sz w:val="18"/>
                <w:szCs w:val="18"/>
                <w:lang w:val="bg-BG" w:eastAsia="bg-BG"/>
              </w:rPr>
              <w:t>залог на бъдещи вземания</w:t>
            </w:r>
            <w:r w:rsidR="001306F8" w:rsidRPr="00FC26DF">
              <w:rPr>
                <w:rFonts w:ascii="Arial" w:eastAsia="Times New Roman" w:hAnsi="Arial" w:cs="Arial"/>
                <w:sz w:val="18"/>
                <w:szCs w:val="18"/>
                <w:lang w:val="bg-BG" w:eastAsia="bg-BG"/>
              </w:rPr>
              <w:t xml:space="preserve"> </w:t>
            </w:r>
            <w:r w:rsidRPr="00FC26DF">
              <w:rPr>
                <w:rFonts w:ascii="Arial" w:eastAsia="Times New Roman" w:hAnsi="Arial" w:cs="Arial"/>
                <w:sz w:val="18"/>
                <w:szCs w:val="18"/>
                <w:lang w:val="bg-BG" w:eastAsia="bg-BG"/>
              </w:rPr>
              <w:t>и други активи</w:t>
            </w:r>
          </w:p>
          <w:p w14:paraId="7A04E27F" w14:textId="77777777" w:rsidR="00B25879" w:rsidRDefault="00913021" w:rsidP="001306F8">
            <w:pPr>
              <w:keepNext/>
              <w:spacing w:after="0" w:line="240" w:lineRule="auto"/>
              <w:rPr>
                <w:rFonts w:ascii="Arial" w:eastAsia="Times New Roman" w:hAnsi="Arial" w:cs="Arial"/>
                <w:sz w:val="18"/>
                <w:szCs w:val="18"/>
                <w:lang w:val="bg-BG" w:eastAsia="bg-BG"/>
              </w:rPr>
            </w:pPr>
            <w:r w:rsidRPr="00FC26DF">
              <w:rPr>
                <w:rFonts w:ascii="Arial" w:eastAsia="Times New Roman" w:hAnsi="Arial" w:cs="Arial"/>
                <w:b/>
                <w:sz w:val="18"/>
                <w:szCs w:val="18"/>
                <w:lang w:val="bg-BG" w:eastAsia="bg-BG"/>
              </w:rPr>
              <w:t>Лихва</w:t>
            </w:r>
            <w:r w:rsidR="00060B49" w:rsidRPr="00FC26DF">
              <w:rPr>
                <w:rFonts w:ascii="Arial" w:eastAsia="Times New Roman" w:hAnsi="Arial" w:cs="Arial"/>
                <w:b/>
                <w:sz w:val="18"/>
                <w:szCs w:val="18"/>
                <w:lang w:val="bg-BG" w:eastAsia="bg-BG"/>
              </w:rPr>
              <w:t xml:space="preserve">: </w:t>
            </w:r>
            <w:r w:rsidRPr="00FC26DF">
              <w:rPr>
                <w:rFonts w:ascii="Arial" w:eastAsia="Times New Roman" w:hAnsi="Arial" w:cs="Arial"/>
                <w:sz w:val="18"/>
                <w:szCs w:val="18"/>
                <w:lang w:val="bg-BG" w:eastAsia="bg-BG"/>
              </w:rPr>
              <w:t>фиксирана или плаваща</w:t>
            </w:r>
            <w:r w:rsidR="00060B49" w:rsidRPr="00FC26DF">
              <w:rPr>
                <w:rFonts w:ascii="Arial" w:eastAsia="Times New Roman" w:hAnsi="Arial" w:cs="Arial"/>
                <w:sz w:val="18"/>
                <w:szCs w:val="18"/>
                <w:lang w:val="bg-BG" w:eastAsia="bg-BG"/>
              </w:rPr>
              <w:t xml:space="preserve">, </w:t>
            </w:r>
            <w:r w:rsidRPr="00FC26DF">
              <w:rPr>
                <w:rFonts w:ascii="Arial" w:eastAsia="Times New Roman" w:hAnsi="Arial" w:cs="Arial"/>
                <w:sz w:val="18"/>
                <w:szCs w:val="18"/>
                <w:lang w:val="bg-BG" w:eastAsia="bg-BG"/>
              </w:rPr>
              <w:t>да покрива разходите за финансиране + пазарен процент на рискова премия</w:t>
            </w:r>
          </w:p>
          <w:p w14:paraId="28720B6A" w14:textId="77777777" w:rsidR="003A4452" w:rsidRPr="008B5547" w:rsidRDefault="003A4452" w:rsidP="003A4452">
            <w:pPr>
              <w:pStyle w:val="CommentText"/>
              <w:rPr>
                <w:rFonts w:ascii="Arial" w:eastAsia="Times New Roman" w:hAnsi="Arial" w:cs="Arial"/>
                <w:sz w:val="18"/>
                <w:szCs w:val="18"/>
                <w:lang w:val="bg-BG" w:eastAsia="bg-BG"/>
              </w:rPr>
            </w:pPr>
            <w:r w:rsidRPr="008B5547">
              <w:rPr>
                <w:rFonts w:ascii="Arial" w:eastAsia="Times New Roman" w:hAnsi="Arial" w:cs="Arial"/>
                <w:sz w:val="18"/>
                <w:szCs w:val="18"/>
                <w:lang w:val="bg-BG" w:eastAsia="bg-BG"/>
              </w:rPr>
              <w:t xml:space="preserve">Частта </w:t>
            </w:r>
            <w:r w:rsidR="00921105" w:rsidRPr="008B5547">
              <w:rPr>
                <w:rFonts w:ascii="Arial" w:eastAsia="Times New Roman" w:hAnsi="Arial" w:cs="Arial"/>
                <w:sz w:val="18"/>
                <w:szCs w:val="18"/>
                <w:lang w:val="bg-BG" w:eastAsia="bg-BG"/>
              </w:rPr>
              <w:t xml:space="preserve">от заема, </w:t>
            </w:r>
            <w:r w:rsidRPr="008B5547">
              <w:rPr>
                <w:rFonts w:ascii="Arial" w:eastAsia="Times New Roman" w:hAnsi="Arial" w:cs="Arial"/>
                <w:sz w:val="18"/>
                <w:szCs w:val="18"/>
                <w:lang w:val="bg-BG" w:eastAsia="bg-BG"/>
              </w:rPr>
              <w:t>финансирана по ОПОС</w:t>
            </w:r>
            <w:r w:rsidR="00386131">
              <w:rPr>
                <w:rFonts w:ascii="Arial" w:eastAsia="Times New Roman" w:hAnsi="Arial" w:cs="Arial"/>
                <w:sz w:val="18"/>
                <w:szCs w:val="18"/>
                <w:lang w:val="bg-BG" w:eastAsia="bg-BG"/>
              </w:rPr>
              <w:t>,</w:t>
            </w:r>
            <w:r w:rsidRPr="008B5547">
              <w:rPr>
                <w:rFonts w:ascii="Arial" w:eastAsia="Times New Roman" w:hAnsi="Arial" w:cs="Arial"/>
                <w:sz w:val="18"/>
                <w:szCs w:val="18"/>
                <w:lang w:val="bg-BG" w:eastAsia="bg-BG"/>
              </w:rPr>
              <w:t xml:space="preserve"> може да е безлихвен</w:t>
            </w:r>
            <w:r w:rsidR="00921105" w:rsidRPr="008B5547">
              <w:rPr>
                <w:rFonts w:ascii="Arial" w:eastAsia="Times New Roman" w:hAnsi="Arial" w:cs="Arial"/>
                <w:sz w:val="18"/>
                <w:szCs w:val="18"/>
                <w:lang w:val="bg-BG" w:eastAsia="bg-BG"/>
              </w:rPr>
              <w:t xml:space="preserve">а </w:t>
            </w:r>
            <w:r w:rsidR="002163F1" w:rsidRPr="008B5547">
              <w:rPr>
                <w:rFonts w:ascii="Arial" w:eastAsia="Times New Roman" w:hAnsi="Arial" w:cs="Arial"/>
                <w:sz w:val="18"/>
                <w:szCs w:val="18"/>
                <w:lang w:val="bg-BG" w:eastAsia="bg-BG"/>
              </w:rPr>
              <w:t>или при облекчени лихвени условия</w:t>
            </w:r>
            <w:r w:rsidRPr="008B5547">
              <w:rPr>
                <w:rFonts w:ascii="Arial" w:eastAsia="Times New Roman" w:hAnsi="Arial" w:cs="Arial"/>
                <w:sz w:val="18"/>
                <w:szCs w:val="18"/>
                <w:lang w:val="bg-BG" w:eastAsia="bg-BG"/>
              </w:rPr>
              <w:t xml:space="preserve"> и с намалени обезпечения, което да рефлектира като цяло </w:t>
            </w:r>
            <w:r w:rsidR="00921105" w:rsidRPr="008B5547">
              <w:rPr>
                <w:rFonts w:ascii="Arial" w:eastAsia="Times New Roman" w:hAnsi="Arial" w:cs="Arial"/>
                <w:sz w:val="18"/>
                <w:szCs w:val="18"/>
                <w:lang w:val="bg-BG" w:eastAsia="bg-BG"/>
              </w:rPr>
              <w:t>в облекчени условия за крайния получател</w:t>
            </w:r>
            <w:r w:rsidRPr="008B5547">
              <w:rPr>
                <w:rFonts w:ascii="Arial" w:eastAsia="Times New Roman" w:hAnsi="Arial" w:cs="Arial"/>
                <w:sz w:val="18"/>
                <w:szCs w:val="18"/>
                <w:lang w:val="bg-BG" w:eastAsia="bg-BG"/>
              </w:rPr>
              <w:t>.</w:t>
            </w:r>
          </w:p>
          <w:p w14:paraId="3A2C9CED" w14:textId="77777777" w:rsidR="003A4452" w:rsidRPr="008B5547" w:rsidRDefault="00921105" w:rsidP="003A4452">
            <w:pPr>
              <w:pStyle w:val="CommentText"/>
              <w:rPr>
                <w:rFonts w:ascii="Arial" w:eastAsia="Times New Roman" w:hAnsi="Arial" w:cs="Arial"/>
                <w:sz w:val="18"/>
                <w:szCs w:val="18"/>
                <w:lang w:val="bg-BG" w:eastAsia="bg-BG"/>
              </w:rPr>
            </w:pPr>
            <w:r w:rsidRPr="008B5547">
              <w:rPr>
                <w:rFonts w:ascii="Arial" w:eastAsia="Times New Roman" w:hAnsi="Arial" w:cs="Arial"/>
                <w:sz w:val="18"/>
                <w:szCs w:val="18"/>
                <w:lang w:val="bg-BG" w:eastAsia="bg-BG"/>
              </w:rPr>
              <w:t xml:space="preserve">Условията за </w:t>
            </w:r>
            <w:r w:rsidR="003A4452" w:rsidRPr="008B5547">
              <w:rPr>
                <w:rFonts w:ascii="Arial" w:eastAsia="Times New Roman" w:hAnsi="Arial" w:cs="Arial"/>
                <w:sz w:val="18"/>
                <w:szCs w:val="18"/>
                <w:lang w:val="bg-BG" w:eastAsia="bg-BG"/>
              </w:rPr>
              <w:t>публичн</w:t>
            </w:r>
            <w:r w:rsidRPr="008B5547">
              <w:rPr>
                <w:rFonts w:ascii="Arial" w:eastAsia="Times New Roman" w:hAnsi="Arial" w:cs="Arial"/>
                <w:sz w:val="18"/>
                <w:szCs w:val="18"/>
                <w:lang w:val="bg-BG" w:eastAsia="bg-BG"/>
              </w:rPr>
              <w:t xml:space="preserve">ото </w:t>
            </w:r>
            <w:r w:rsidR="003A4452" w:rsidRPr="008B5547">
              <w:rPr>
                <w:rFonts w:ascii="Arial" w:eastAsia="Times New Roman" w:hAnsi="Arial" w:cs="Arial"/>
                <w:sz w:val="18"/>
                <w:szCs w:val="18"/>
                <w:lang w:val="bg-BG" w:eastAsia="bg-BG"/>
              </w:rPr>
              <w:t>и частн</w:t>
            </w:r>
            <w:r w:rsidRPr="008B5547">
              <w:rPr>
                <w:rFonts w:ascii="Arial" w:eastAsia="Times New Roman" w:hAnsi="Arial" w:cs="Arial"/>
                <w:sz w:val="18"/>
                <w:szCs w:val="18"/>
                <w:lang w:val="bg-BG" w:eastAsia="bg-BG"/>
              </w:rPr>
              <w:t>ото съфинансиране по</w:t>
            </w:r>
            <w:r w:rsidR="003A4452" w:rsidRPr="008B5547">
              <w:rPr>
                <w:rFonts w:ascii="Arial" w:eastAsia="Times New Roman" w:hAnsi="Arial" w:cs="Arial"/>
                <w:sz w:val="18"/>
                <w:szCs w:val="18"/>
                <w:lang w:val="bg-BG" w:eastAsia="bg-BG"/>
              </w:rPr>
              <w:t xml:space="preserve"> заема ще </w:t>
            </w:r>
            <w:r w:rsidRPr="008B5547">
              <w:rPr>
                <w:rFonts w:ascii="Arial" w:eastAsia="Times New Roman" w:hAnsi="Arial" w:cs="Arial"/>
                <w:sz w:val="18"/>
                <w:szCs w:val="18"/>
                <w:lang w:val="bg-BG" w:eastAsia="bg-BG"/>
              </w:rPr>
              <w:t>са</w:t>
            </w:r>
            <w:r w:rsidR="003A4452" w:rsidRPr="008B5547">
              <w:rPr>
                <w:rFonts w:ascii="Arial" w:eastAsia="Times New Roman" w:hAnsi="Arial" w:cs="Arial"/>
                <w:sz w:val="18"/>
                <w:szCs w:val="18"/>
                <w:lang w:val="bg-BG" w:eastAsia="bg-BG"/>
              </w:rPr>
              <w:t xml:space="preserve"> в съответствие с принципа pari passu</w:t>
            </w:r>
            <w:r w:rsidR="00751CB7" w:rsidRPr="00785B0F">
              <w:rPr>
                <w:rFonts w:ascii="Arial" w:eastAsia="Times New Roman" w:hAnsi="Arial" w:cs="Arial"/>
                <w:sz w:val="18"/>
                <w:szCs w:val="18"/>
                <w:lang w:val="bg-BG" w:eastAsia="bg-BG"/>
              </w:rPr>
              <w:t xml:space="preserve"> </w:t>
            </w:r>
            <w:r w:rsidR="00950152">
              <w:rPr>
                <w:rFonts w:ascii="Arial" w:eastAsia="Times New Roman" w:hAnsi="Arial" w:cs="Arial"/>
                <w:sz w:val="18"/>
                <w:szCs w:val="18"/>
                <w:lang w:val="bg-BG" w:eastAsia="bg-BG"/>
              </w:rPr>
              <w:t>или с прилагане на асиметрия при спазване на приложимите правила за държавни помощи.</w:t>
            </w:r>
          </w:p>
          <w:p w14:paraId="5C8D0B82" w14:textId="77777777" w:rsidR="00021EE1" w:rsidRPr="00FC26DF" w:rsidRDefault="00913021" w:rsidP="000A50F0">
            <w:pPr>
              <w:keepNext/>
              <w:spacing w:after="0" w:line="240" w:lineRule="auto"/>
              <w:rPr>
                <w:rFonts w:ascii="Arial" w:eastAsia="Times New Roman" w:hAnsi="Arial" w:cs="Arial"/>
                <w:sz w:val="18"/>
                <w:szCs w:val="18"/>
                <w:lang w:val="bg-BG" w:eastAsia="bg-BG"/>
              </w:rPr>
            </w:pPr>
            <w:r w:rsidRPr="00FC26DF">
              <w:rPr>
                <w:rFonts w:ascii="Arial" w:eastAsia="Times New Roman" w:hAnsi="Arial" w:cs="Arial"/>
                <w:b/>
                <w:sz w:val="18"/>
                <w:szCs w:val="18"/>
                <w:lang w:val="bg-BG" w:eastAsia="bg-BG"/>
              </w:rPr>
              <w:t>Такса за ангажимент</w:t>
            </w:r>
            <w:r w:rsidR="00021EE1" w:rsidRPr="00FC26DF">
              <w:rPr>
                <w:rFonts w:ascii="Arial" w:eastAsia="Times New Roman" w:hAnsi="Arial" w:cs="Arial"/>
                <w:b/>
                <w:sz w:val="18"/>
                <w:szCs w:val="18"/>
                <w:lang w:val="bg-BG" w:eastAsia="bg-BG"/>
              </w:rPr>
              <w:t>:</w:t>
            </w:r>
            <w:r w:rsidRPr="00FC26DF">
              <w:rPr>
                <w:rFonts w:ascii="Arial" w:eastAsia="Times New Roman" w:hAnsi="Arial" w:cs="Arial"/>
                <w:sz w:val="18"/>
                <w:szCs w:val="18"/>
                <w:lang w:val="bg-BG" w:eastAsia="bg-BG"/>
              </w:rPr>
              <w:t xml:space="preserve"> </w:t>
            </w:r>
            <w:r w:rsidR="00D3574E">
              <w:rPr>
                <w:rFonts w:ascii="Arial" w:eastAsia="Times New Roman" w:hAnsi="Arial" w:cs="Arial"/>
                <w:sz w:val="18"/>
                <w:szCs w:val="18"/>
                <w:lang w:val="bg-BG" w:eastAsia="bg-BG"/>
              </w:rPr>
              <w:t xml:space="preserve">до </w:t>
            </w:r>
            <w:r w:rsidRPr="00FC26DF">
              <w:rPr>
                <w:rFonts w:ascii="Arial" w:eastAsia="Times New Roman" w:hAnsi="Arial" w:cs="Arial"/>
                <w:sz w:val="18"/>
                <w:szCs w:val="18"/>
                <w:lang w:val="bg-BG" w:eastAsia="bg-BG"/>
              </w:rPr>
              <w:t>0.5% от непредоставената сума</w:t>
            </w:r>
            <w:r w:rsidR="005A46AF">
              <w:rPr>
                <w:rFonts w:ascii="Arial" w:eastAsia="Times New Roman" w:hAnsi="Arial" w:cs="Arial"/>
                <w:sz w:val="18"/>
                <w:szCs w:val="18"/>
                <w:lang w:val="bg-BG" w:eastAsia="bg-BG"/>
              </w:rPr>
              <w:t xml:space="preserve"> в рамките на срока за усвояване</w:t>
            </w:r>
            <w:r w:rsidR="00021EE1" w:rsidRPr="00FC26DF">
              <w:rPr>
                <w:rFonts w:ascii="Arial" w:eastAsia="Times New Roman" w:hAnsi="Arial" w:cs="Arial"/>
                <w:sz w:val="18"/>
                <w:szCs w:val="18"/>
                <w:lang w:val="bg-BG" w:eastAsia="bg-BG"/>
              </w:rPr>
              <w:t xml:space="preserve">. </w:t>
            </w:r>
            <w:r w:rsidRPr="00FC26DF">
              <w:rPr>
                <w:rFonts w:ascii="Arial" w:eastAsia="Times New Roman" w:hAnsi="Arial" w:cs="Arial"/>
                <w:sz w:val="18"/>
                <w:szCs w:val="18"/>
                <w:lang w:val="bg-BG" w:eastAsia="bg-BG"/>
              </w:rPr>
              <w:t xml:space="preserve">Таксата за ангажимент </w:t>
            </w:r>
            <w:r w:rsidR="00844D34" w:rsidRPr="00FC26DF">
              <w:rPr>
                <w:rFonts w:ascii="Arial" w:eastAsia="Times New Roman" w:hAnsi="Arial" w:cs="Arial"/>
                <w:sz w:val="18"/>
                <w:szCs w:val="18"/>
                <w:lang w:val="bg-BG" w:eastAsia="bg-BG"/>
              </w:rPr>
              <w:t>има за цел да въведе дисциплина на ниво краен получател относно навременн</w:t>
            </w:r>
            <w:r w:rsidR="000A50F0">
              <w:rPr>
                <w:rFonts w:ascii="Arial" w:eastAsia="Times New Roman" w:hAnsi="Arial" w:cs="Arial"/>
                <w:sz w:val="18"/>
                <w:szCs w:val="18"/>
                <w:lang w:val="bg-BG" w:eastAsia="bg-BG"/>
              </w:rPr>
              <w:t>ото</w:t>
            </w:r>
            <w:r w:rsidR="00844D34" w:rsidRPr="00FC26DF">
              <w:rPr>
                <w:rFonts w:ascii="Arial" w:eastAsia="Times New Roman" w:hAnsi="Arial" w:cs="Arial"/>
                <w:sz w:val="18"/>
                <w:szCs w:val="18"/>
                <w:lang w:val="bg-BG" w:eastAsia="bg-BG"/>
              </w:rPr>
              <w:t xml:space="preserve"> </w:t>
            </w:r>
            <w:r w:rsidR="000A50F0">
              <w:rPr>
                <w:rFonts w:ascii="Arial" w:eastAsia="Times New Roman" w:hAnsi="Arial" w:cs="Arial"/>
                <w:sz w:val="18"/>
                <w:szCs w:val="18"/>
                <w:lang w:val="bg-BG" w:eastAsia="bg-BG"/>
              </w:rPr>
              <w:t>изпълнение</w:t>
            </w:r>
            <w:r w:rsidR="00844D34" w:rsidRPr="00FC26DF">
              <w:rPr>
                <w:rFonts w:ascii="Arial" w:eastAsia="Times New Roman" w:hAnsi="Arial" w:cs="Arial"/>
                <w:sz w:val="18"/>
                <w:szCs w:val="18"/>
                <w:lang w:val="bg-BG" w:eastAsia="bg-BG"/>
              </w:rPr>
              <w:t xml:space="preserve"> на проекта и </w:t>
            </w:r>
            <w:r w:rsidR="00921105">
              <w:rPr>
                <w:rFonts w:ascii="Arial" w:eastAsia="Times New Roman" w:hAnsi="Arial" w:cs="Arial"/>
                <w:sz w:val="18"/>
                <w:szCs w:val="18"/>
                <w:lang w:val="bg-BG" w:eastAsia="bg-BG"/>
              </w:rPr>
              <w:t>свързаните обществени поръчки и други дейности</w:t>
            </w:r>
            <w:r w:rsidR="00021EE1" w:rsidRPr="00FC26DF">
              <w:rPr>
                <w:rFonts w:ascii="Arial" w:eastAsia="Times New Roman" w:hAnsi="Arial" w:cs="Arial"/>
                <w:sz w:val="18"/>
                <w:szCs w:val="18"/>
                <w:lang w:val="bg-BG" w:eastAsia="bg-BG"/>
              </w:rPr>
              <w:t xml:space="preserve">.  </w:t>
            </w:r>
          </w:p>
        </w:tc>
      </w:tr>
      <w:tr w:rsidR="00B25879" w:rsidRPr="00314448" w14:paraId="2FAAA663" w14:textId="77777777" w:rsidTr="00B25879">
        <w:trPr>
          <w:trHeight w:val="457"/>
        </w:trPr>
        <w:tc>
          <w:tcPr>
            <w:tcW w:w="2127" w:type="dxa"/>
            <w:tcBorders>
              <w:top w:val="nil"/>
              <w:left w:val="single" w:sz="4" w:space="0" w:color="auto"/>
              <w:bottom w:val="single" w:sz="4" w:space="0" w:color="auto"/>
              <w:right w:val="single" w:sz="4" w:space="0" w:color="auto"/>
            </w:tcBorders>
            <w:shd w:val="clear" w:color="auto" w:fill="auto"/>
          </w:tcPr>
          <w:p w14:paraId="46BE3A04" w14:textId="77777777" w:rsidR="00B25879" w:rsidRPr="00FC26DF" w:rsidRDefault="00A72F64" w:rsidP="008B710B">
            <w:pPr>
              <w:spacing w:after="0" w:line="240" w:lineRule="auto"/>
              <w:rPr>
                <w:rFonts w:ascii="Arial" w:eastAsia="Times New Roman" w:hAnsi="Arial" w:cs="Arial"/>
                <w:color w:val="000000"/>
                <w:sz w:val="18"/>
                <w:szCs w:val="18"/>
                <w:lang w:val="bg-BG" w:eastAsia="bg-BG"/>
              </w:rPr>
            </w:pPr>
            <w:r w:rsidRPr="00FC26DF">
              <w:rPr>
                <w:rFonts w:ascii="Arial" w:eastAsia="Times New Roman" w:hAnsi="Arial" w:cs="Arial"/>
                <w:color w:val="000000"/>
                <w:sz w:val="18"/>
                <w:szCs w:val="18"/>
                <w:lang w:val="bg-BG" w:eastAsia="bg-BG"/>
              </w:rPr>
              <w:t>Бюджет (КФ и национално съфинансиране)</w:t>
            </w:r>
          </w:p>
        </w:tc>
        <w:tc>
          <w:tcPr>
            <w:tcW w:w="7796" w:type="dxa"/>
            <w:tcBorders>
              <w:top w:val="nil"/>
              <w:left w:val="nil"/>
              <w:bottom w:val="single" w:sz="4" w:space="0" w:color="auto"/>
              <w:right w:val="single" w:sz="4" w:space="0" w:color="auto"/>
            </w:tcBorders>
            <w:shd w:val="clear" w:color="auto" w:fill="auto"/>
          </w:tcPr>
          <w:p w14:paraId="0AC4818D" w14:textId="77777777" w:rsidR="00B25879" w:rsidRPr="00FC26DF" w:rsidRDefault="00B25879" w:rsidP="00BC4FD7">
            <w:pPr>
              <w:spacing w:after="0" w:line="240" w:lineRule="auto"/>
              <w:rPr>
                <w:rFonts w:ascii="Arial" w:eastAsia="Times New Roman" w:hAnsi="Arial" w:cs="Arial"/>
                <w:color w:val="000000"/>
                <w:sz w:val="18"/>
                <w:szCs w:val="18"/>
                <w:lang w:val="bg-BG" w:eastAsia="bg-BG"/>
              </w:rPr>
            </w:pPr>
            <w:r w:rsidRPr="00FC26DF">
              <w:rPr>
                <w:rFonts w:ascii="Arial" w:eastAsia="Times New Roman" w:hAnsi="Arial" w:cs="Arial"/>
                <w:color w:val="000000"/>
                <w:sz w:val="18"/>
                <w:szCs w:val="18"/>
                <w:lang w:val="bg-BG" w:eastAsia="bg-BG"/>
              </w:rPr>
              <w:t xml:space="preserve">95.7 </w:t>
            </w:r>
            <w:r w:rsidR="00532818" w:rsidRPr="00FC26DF">
              <w:rPr>
                <w:rFonts w:ascii="Arial" w:eastAsia="Times New Roman" w:hAnsi="Arial" w:cs="Arial"/>
                <w:color w:val="000000"/>
                <w:sz w:val="18"/>
                <w:szCs w:val="18"/>
                <w:lang w:val="bg-BG" w:eastAsia="bg-BG"/>
              </w:rPr>
              <w:t>млн. евро</w:t>
            </w:r>
          </w:p>
        </w:tc>
      </w:tr>
      <w:tr w:rsidR="00531A80" w:rsidRPr="007B6C31" w14:paraId="272F5E1E" w14:textId="77777777" w:rsidTr="00B25879">
        <w:trPr>
          <w:trHeight w:val="28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0BDE53A" w14:textId="77777777" w:rsidR="00531A80" w:rsidRPr="00FC26DF" w:rsidRDefault="00A72F64" w:rsidP="000878D4">
            <w:pPr>
              <w:spacing w:after="0" w:line="240" w:lineRule="auto"/>
              <w:rPr>
                <w:rFonts w:ascii="Arial" w:eastAsia="Times New Roman" w:hAnsi="Arial" w:cs="Arial"/>
                <w:sz w:val="18"/>
                <w:szCs w:val="18"/>
                <w:lang w:val="bg-BG" w:eastAsia="bg-BG"/>
              </w:rPr>
            </w:pPr>
            <w:r w:rsidRPr="00FC26DF">
              <w:rPr>
                <w:rFonts w:ascii="Arial" w:eastAsia="Times New Roman" w:hAnsi="Arial" w:cs="Arial"/>
                <w:sz w:val="18"/>
                <w:szCs w:val="18"/>
                <w:lang w:val="bg-BG" w:eastAsia="bg-BG"/>
              </w:rPr>
              <w:t>Очакван ефект на лоста</w:t>
            </w:r>
          </w:p>
        </w:tc>
        <w:tc>
          <w:tcPr>
            <w:tcW w:w="7796" w:type="dxa"/>
            <w:tcBorders>
              <w:top w:val="single" w:sz="4" w:space="0" w:color="auto"/>
              <w:left w:val="nil"/>
              <w:bottom w:val="single" w:sz="4" w:space="0" w:color="auto"/>
              <w:right w:val="single" w:sz="4" w:space="0" w:color="auto"/>
            </w:tcBorders>
            <w:shd w:val="clear" w:color="auto" w:fill="auto"/>
            <w:hideMark/>
          </w:tcPr>
          <w:p w14:paraId="500FC3ED" w14:textId="77777777" w:rsidR="00531A80" w:rsidRPr="00FC26DF" w:rsidRDefault="006F344A" w:rsidP="000878D4">
            <w:pPr>
              <w:spacing w:after="0" w:line="240" w:lineRule="auto"/>
              <w:rPr>
                <w:rFonts w:ascii="Arial" w:eastAsia="Times New Roman" w:hAnsi="Arial" w:cs="Arial"/>
                <w:sz w:val="18"/>
                <w:szCs w:val="18"/>
                <w:lang w:val="bg-BG" w:eastAsia="bg-BG"/>
              </w:rPr>
            </w:pPr>
            <w:r w:rsidRPr="00FC26DF">
              <w:rPr>
                <w:rFonts w:ascii="Arial" w:eastAsia="Times New Roman" w:hAnsi="Arial" w:cs="Arial"/>
                <w:sz w:val="18"/>
                <w:szCs w:val="18"/>
                <w:lang w:val="bg-BG" w:eastAsia="bg-BG"/>
              </w:rPr>
              <w:t>Финансовият продукт ще се стреми да постигне ефект на лоста най-малко в размер 1:</w:t>
            </w:r>
            <w:r w:rsidR="00E05483">
              <w:rPr>
                <w:rFonts w:ascii="Arial" w:eastAsia="Times New Roman" w:hAnsi="Arial" w:cs="Arial"/>
                <w:sz w:val="18"/>
                <w:szCs w:val="18"/>
                <w:lang w:val="bg-BG" w:eastAsia="bg-BG"/>
              </w:rPr>
              <w:t>2</w:t>
            </w:r>
          </w:p>
          <w:p w14:paraId="07DC3D7B" w14:textId="77777777" w:rsidR="00031392" w:rsidRPr="00FC26DF" w:rsidRDefault="00031392" w:rsidP="001E0477">
            <w:pPr>
              <w:spacing w:after="0" w:line="240" w:lineRule="auto"/>
              <w:rPr>
                <w:rFonts w:ascii="Arial" w:eastAsia="Times New Roman" w:hAnsi="Arial" w:cs="Arial"/>
                <w:sz w:val="18"/>
                <w:szCs w:val="18"/>
                <w:lang w:val="bg-BG" w:eastAsia="bg-BG"/>
              </w:rPr>
            </w:pPr>
            <w:r w:rsidRPr="00FC26DF">
              <w:rPr>
                <w:rFonts w:ascii="Arial" w:eastAsia="Times New Roman" w:hAnsi="Arial" w:cs="Arial"/>
                <w:sz w:val="18"/>
                <w:szCs w:val="18"/>
                <w:lang w:val="bg-BG" w:eastAsia="bg-BG"/>
              </w:rPr>
              <w:t xml:space="preserve">Точният размер на очаквания ефект на лоста ще се уточни </w:t>
            </w:r>
            <w:r w:rsidR="009A3EFF">
              <w:rPr>
                <w:rFonts w:ascii="Arial" w:eastAsia="Times New Roman" w:hAnsi="Arial" w:cs="Arial"/>
                <w:sz w:val="18"/>
                <w:szCs w:val="18"/>
                <w:lang w:val="bg-BG" w:eastAsia="bg-BG"/>
              </w:rPr>
              <w:t xml:space="preserve">след одобряване от страна на Европейската комисия на проекта на Насоки </w:t>
            </w:r>
            <w:r w:rsidR="00D23894" w:rsidRPr="00D23894">
              <w:rPr>
                <w:rFonts w:ascii="Arial" w:eastAsia="Times New Roman" w:hAnsi="Arial" w:cs="Arial"/>
                <w:sz w:val="18"/>
                <w:szCs w:val="18"/>
                <w:lang w:val="bg-BG" w:eastAsia="bg-BG"/>
              </w:rPr>
              <w:t>за докладване на ФИ по чл.46 и за лостовия ефект по чл.37 (2)(c)</w:t>
            </w:r>
            <w:r w:rsidR="009A3EFF">
              <w:rPr>
                <w:rFonts w:ascii="Arial" w:eastAsia="Times New Roman" w:hAnsi="Arial" w:cs="Arial"/>
                <w:sz w:val="18"/>
                <w:szCs w:val="18"/>
                <w:lang w:val="bg-BG" w:eastAsia="bg-BG"/>
              </w:rPr>
              <w:t xml:space="preserve"> </w:t>
            </w:r>
            <w:r w:rsidR="009A3EFF" w:rsidRPr="00785B0F">
              <w:rPr>
                <w:rFonts w:ascii="Arial" w:eastAsia="Times New Roman" w:hAnsi="Arial" w:cs="Arial"/>
                <w:sz w:val="18"/>
                <w:szCs w:val="18"/>
                <w:lang w:val="bg-BG" w:eastAsia="bg-BG"/>
              </w:rPr>
              <w:t xml:space="preserve"> </w:t>
            </w:r>
          </w:p>
        </w:tc>
      </w:tr>
      <w:tr w:rsidR="00B25879" w:rsidRPr="00314448" w14:paraId="2E07FEB4" w14:textId="77777777" w:rsidTr="00B25879">
        <w:trPr>
          <w:trHeight w:val="285"/>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F3A74D8" w14:textId="77777777" w:rsidR="00B25879" w:rsidRPr="00FC26DF" w:rsidRDefault="00A72F64" w:rsidP="000878D4">
            <w:pPr>
              <w:spacing w:after="0" w:line="240" w:lineRule="auto"/>
              <w:rPr>
                <w:rFonts w:ascii="Arial" w:eastAsia="Times New Roman" w:hAnsi="Arial" w:cs="Arial"/>
                <w:sz w:val="18"/>
                <w:szCs w:val="18"/>
                <w:lang w:val="bg-BG" w:eastAsia="bg-BG"/>
              </w:rPr>
            </w:pPr>
            <w:r w:rsidRPr="00FC26DF">
              <w:rPr>
                <w:rFonts w:ascii="Arial" w:eastAsia="Times New Roman" w:hAnsi="Arial" w:cs="Arial"/>
                <w:sz w:val="18"/>
                <w:szCs w:val="18"/>
                <w:lang w:val="bg-BG" w:eastAsia="bg-BG"/>
              </w:rPr>
              <w:t>Очакван общ ресурс на финансовия продукт</w:t>
            </w:r>
          </w:p>
        </w:tc>
        <w:tc>
          <w:tcPr>
            <w:tcW w:w="7796" w:type="dxa"/>
            <w:tcBorders>
              <w:top w:val="single" w:sz="4" w:space="0" w:color="auto"/>
              <w:left w:val="nil"/>
              <w:bottom w:val="single" w:sz="4" w:space="0" w:color="auto"/>
              <w:right w:val="single" w:sz="4" w:space="0" w:color="auto"/>
            </w:tcBorders>
            <w:shd w:val="clear" w:color="auto" w:fill="auto"/>
          </w:tcPr>
          <w:p w14:paraId="60A17B67" w14:textId="77777777" w:rsidR="00B25879" w:rsidRPr="00FC26DF" w:rsidRDefault="00320566" w:rsidP="00DB07C0">
            <w:pPr>
              <w:spacing w:after="0" w:line="240" w:lineRule="auto"/>
              <w:rPr>
                <w:rFonts w:ascii="Arial" w:eastAsia="Times New Roman" w:hAnsi="Arial" w:cs="Arial"/>
                <w:sz w:val="18"/>
                <w:szCs w:val="18"/>
                <w:lang w:val="bg-BG" w:eastAsia="bg-BG"/>
              </w:rPr>
            </w:pPr>
            <w:r w:rsidRPr="00FC26DF">
              <w:rPr>
                <w:rFonts w:ascii="Arial" w:eastAsia="Times New Roman" w:hAnsi="Arial" w:cs="Arial"/>
                <w:color w:val="000000"/>
                <w:sz w:val="18"/>
                <w:szCs w:val="18"/>
                <w:lang w:val="bg-BG" w:eastAsia="bg-BG"/>
              </w:rPr>
              <w:t>&gt;</w:t>
            </w:r>
            <w:r w:rsidR="00DB07C0" w:rsidRPr="00FC26DF">
              <w:rPr>
                <w:rFonts w:ascii="Arial" w:eastAsia="Times New Roman" w:hAnsi="Arial" w:cs="Arial"/>
                <w:color w:val="000000"/>
                <w:sz w:val="18"/>
                <w:szCs w:val="18"/>
                <w:lang w:val="bg-BG" w:eastAsia="bg-BG"/>
              </w:rPr>
              <w:t xml:space="preserve"> </w:t>
            </w:r>
            <w:r w:rsidR="00636A46" w:rsidRPr="00FC26DF">
              <w:rPr>
                <w:rFonts w:ascii="Arial" w:eastAsia="Times New Roman" w:hAnsi="Arial" w:cs="Arial"/>
                <w:color w:val="000000"/>
                <w:sz w:val="18"/>
                <w:szCs w:val="18"/>
                <w:lang w:val="bg-BG" w:eastAsia="bg-BG"/>
              </w:rPr>
              <w:t>191.4</w:t>
            </w:r>
            <w:r w:rsidR="00B25879" w:rsidRPr="00FC26DF">
              <w:rPr>
                <w:rFonts w:ascii="Arial" w:eastAsia="Times New Roman" w:hAnsi="Arial" w:cs="Arial"/>
                <w:color w:val="000000"/>
                <w:sz w:val="18"/>
                <w:szCs w:val="18"/>
                <w:lang w:val="bg-BG" w:eastAsia="bg-BG"/>
              </w:rPr>
              <w:t xml:space="preserve"> </w:t>
            </w:r>
            <w:r w:rsidR="00DB07C0" w:rsidRPr="00FC26DF">
              <w:rPr>
                <w:rFonts w:ascii="Arial" w:eastAsia="Times New Roman" w:hAnsi="Arial" w:cs="Arial"/>
                <w:color w:val="000000"/>
                <w:sz w:val="18"/>
                <w:szCs w:val="18"/>
                <w:lang w:val="bg-BG" w:eastAsia="bg-BG"/>
              </w:rPr>
              <w:t>млн. евро</w:t>
            </w:r>
          </w:p>
        </w:tc>
      </w:tr>
    </w:tbl>
    <w:p w14:paraId="03C30288" w14:textId="77777777" w:rsidR="000B1D8A" w:rsidRPr="00FC26DF" w:rsidRDefault="000B1D8A" w:rsidP="00531A80">
      <w:pPr>
        <w:pStyle w:val="ListParagraph"/>
        <w:ind w:left="0"/>
        <w:contextualSpacing w:val="0"/>
        <w:jc w:val="both"/>
        <w:rPr>
          <w:rFonts w:ascii="Arial" w:hAnsi="Arial" w:cs="Arial"/>
          <w:b/>
          <w:sz w:val="20"/>
          <w:szCs w:val="20"/>
          <w:lang w:val="bg-BG"/>
        </w:rPr>
      </w:pPr>
    </w:p>
    <w:p w14:paraId="6B44C54A" w14:textId="77777777" w:rsidR="00A37432" w:rsidRPr="00893615" w:rsidRDefault="00EE209C" w:rsidP="005E151F">
      <w:pPr>
        <w:pStyle w:val="Heading3"/>
        <w:numPr>
          <w:ilvl w:val="0"/>
          <w:numId w:val="17"/>
        </w:numPr>
        <w:spacing w:after="120"/>
        <w:ind w:left="714" w:hanging="357"/>
        <w:rPr>
          <w:rFonts w:ascii="Arial" w:hAnsi="Arial" w:cs="Arial"/>
          <w:b/>
          <w:color w:val="4F81BD" w:themeColor="accent1"/>
          <w:sz w:val="20"/>
          <w:szCs w:val="20"/>
          <w:lang w:val="bg-BG"/>
        </w:rPr>
      </w:pPr>
      <w:bookmarkStart w:id="20" w:name="_Toc503798474"/>
      <w:r>
        <w:rPr>
          <w:rFonts w:ascii="Arial" w:hAnsi="Arial" w:cs="Arial"/>
          <w:b/>
          <w:color w:val="4F81BD" w:themeColor="accent1"/>
          <w:sz w:val="20"/>
          <w:szCs w:val="20"/>
          <w:lang w:val="bg-BG"/>
        </w:rPr>
        <w:t>Важни</w:t>
      </w:r>
      <w:r w:rsidR="00893615" w:rsidRPr="00893615">
        <w:rPr>
          <w:rFonts w:ascii="Arial" w:hAnsi="Arial" w:cs="Arial"/>
          <w:b/>
          <w:color w:val="4F81BD" w:themeColor="accent1"/>
          <w:sz w:val="20"/>
          <w:szCs w:val="20"/>
          <w:lang w:val="bg-BG"/>
        </w:rPr>
        <w:t xml:space="preserve"> изисквания и условия за успешното прилагане на ФИ</w:t>
      </w:r>
      <w:bookmarkEnd w:id="20"/>
      <w:r w:rsidR="00A37432" w:rsidRPr="00893615">
        <w:rPr>
          <w:rFonts w:ascii="Arial" w:hAnsi="Arial" w:cs="Arial"/>
          <w:b/>
          <w:color w:val="4F81BD" w:themeColor="accent1"/>
          <w:sz w:val="20"/>
          <w:szCs w:val="20"/>
          <w:lang w:val="bg-BG"/>
        </w:rPr>
        <w:t xml:space="preserve"> </w:t>
      </w:r>
    </w:p>
    <w:p w14:paraId="48519654" w14:textId="77777777" w:rsidR="00A37432" w:rsidRDefault="005A790E" w:rsidP="00A37432">
      <w:pPr>
        <w:jc w:val="both"/>
        <w:rPr>
          <w:rFonts w:ascii="Arial" w:hAnsi="Arial" w:cs="Arial"/>
          <w:sz w:val="20"/>
          <w:szCs w:val="20"/>
          <w:lang w:val="bg-BG"/>
        </w:rPr>
      </w:pPr>
      <w:r>
        <w:rPr>
          <w:rFonts w:ascii="Arial" w:hAnsi="Arial" w:cs="Arial"/>
          <w:b/>
          <w:sz w:val="20"/>
          <w:szCs w:val="20"/>
          <w:lang w:val="bg-BG"/>
        </w:rPr>
        <w:t xml:space="preserve">Във </w:t>
      </w:r>
      <w:r w:rsidR="00893615">
        <w:rPr>
          <w:rFonts w:ascii="Arial" w:hAnsi="Arial" w:cs="Arial"/>
          <w:b/>
          <w:sz w:val="20"/>
          <w:szCs w:val="20"/>
          <w:lang w:val="bg-BG"/>
        </w:rPr>
        <w:t>ВиК сектор</w:t>
      </w:r>
      <w:r>
        <w:rPr>
          <w:rFonts w:ascii="Arial" w:hAnsi="Arial" w:cs="Arial"/>
          <w:b/>
          <w:sz w:val="20"/>
          <w:szCs w:val="20"/>
          <w:lang w:val="bg-BG"/>
        </w:rPr>
        <w:t>а, основните изисквания и условия за успешното прилагане на ФИ са следните</w:t>
      </w:r>
      <w:r w:rsidR="00A37432" w:rsidRPr="005A790E">
        <w:rPr>
          <w:rFonts w:ascii="Arial" w:hAnsi="Arial" w:cs="Arial"/>
          <w:sz w:val="20"/>
          <w:szCs w:val="20"/>
          <w:lang w:val="bg-BG"/>
        </w:rPr>
        <w:t>:</w:t>
      </w:r>
    </w:p>
    <w:p w14:paraId="7D00E476" w14:textId="77777777" w:rsidR="004627BA" w:rsidRDefault="004627BA" w:rsidP="004627BA">
      <w:pPr>
        <w:jc w:val="both"/>
        <w:rPr>
          <w:rFonts w:ascii="Arial" w:hAnsi="Arial" w:cs="Arial"/>
          <w:sz w:val="20"/>
          <w:szCs w:val="20"/>
          <w:lang w:val="bg-BG"/>
        </w:rPr>
      </w:pPr>
      <w:r>
        <w:rPr>
          <w:rFonts w:ascii="Arial" w:hAnsi="Arial" w:cs="Arial"/>
          <w:sz w:val="20"/>
          <w:szCs w:val="20"/>
          <w:lang w:val="bg-BG"/>
        </w:rPr>
        <w:t>Основното условие за прилагането на подкрепа чрез ФИ по ПО 1 е изпълнението на предварителн</w:t>
      </w:r>
      <w:r w:rsidR="00B75838">
        <w:rPr>
          <w:rFonts w:ascii="Arial" w:hAnsi="Arial" w:cs="Arial"/>
          <w:sz w:val="20"/>
          <w:szCs w:val="20"/>
          <w:lang w:val="bg-BG"/>
        </w:rPr>
        <w:t>и</w:t>
      </w:r>
      <w:r>
        <w:rPr>
          <w:rFonts w:ascii="Arial" w:hAnsi="Arial" w:cs="Arial"/>
          <w:sz w:val="20"/>
          <w:szCs w:val="20"/>
          <w:lang w:val="bg-BG"/>
        </w:rPr>
        <w:t>т</w:t>
      </w:r>
      <w:r w:rsidR="00B75838">
        <w:rPr>
          <w:rFonts w:ascii="Arial" w:hAnsi="Arial" w:cs="Arial"/>
          <w:sz w:val="20"/>
          <w:szCs w:val="20"/>
          <w:lang w:val="bg-BG"/>
        </w:rPr>
        <w:t>е</w:t>
      </w:r>
      <w:r>
        <w:rPr>
          <w:rFonts w:ascii="Arial" w:hAnsi="Arial" w:cs="Arial"/>
          <w:sz w:val="20"/>
          <w:szCs w:val="20"/>
          <w:lang w:val="bg-BG"/>
        </w:rPr>
        <w:t xml:space="preserve"> условия в </w:t>
      </w:r>
      <w:r w:rsidRPr="00B75838">
        <w:rPr>
          <w:rFonts w:ascii="Arial" w:hAnsi="Arial" w:cs="Arial"/>
          <w:sz w:val="20"/>
          <w:szCs w:val="20"/>
          <w:lang w:val="bg-BG"/>
        </w:rPr>
        <w:t>Таблица 24</w:t>
      </w:r>
      <w:r>
        <w:rPr>
          <w:rFonts w:ascii="Arial" w:hAnsi="Arial" w:cs="Arial"/>
          <w:sz w:val="20"/>
          <w:szCs w:val="20"/>
          <w:lang w:val="bg-BG"/>
        </w:rPr>
        <w:t xml:space="preserve"> на ОПОС, както следва:</w:t>
      </w:r>
    </w:p>
    <w:p w14:paraId="26497BCE" w14:textId="77777777" w:rsidR="004627BA" w:rsidRDefault="004627BA" w:rsidP="004627BA">
      <w:pPr>
        <w:jc w:val="both"/>
        <w:rPr>
          <w:rFonts w:ascii="Arial" w:hAnsi="Arial" w:cs="Arial"/>
          <w:sz w:val="20"/>
          <w:szCs w:val="20"/>
          <w:lang w:val="bg-BG"/>
        </w:rPr>
      </w:pPr>
      <w:r w:rsidRPr="004627BA">
        <w:rPr>
          <w:rFonts w:ascii="Arial" w:hAnsi="Arial" w:cs="Arial"/>
          <w:sz w:val="20"/>
          <w:szCs w:val="20"/>
          <w:lang w:val="bg-BG"/>
        </w:rPr>
        <w:t>T.06.1 - Воден сектор: Наличие на</w:t>
      </w:r>
      <w:r w:rsidR="00B75838">
        <w:rPr>
          <w:rFonts w:ascii="Arial" w:hAnsi="Arial" w:cs="Arial"/>
          <w:sz w:val="20"/>
          <w:szCs w:val="20"/>
          <w:lang w:val="bg-BG"/>
        </w:rPr>
        <w:t>:</w:t>
      </w:r>
      <w:r w:rsidR="007D0804">
        <w:rPr>
          <w:rFonts w:ascii="Arial" w:hAnsi="Arial" w:cs="Arial"/>
          <w:sz w:val="20"/>
          <w:szCs w:val="20"/>
          <w:lang w:val="bg-BG"/>
        </w:rPr>
        <w:t xml:space="preserve"> </w:t>
      </w:r>
      <w:r w:rsidRPr="004627BA">
        <w:rPr>
          <w:rFonts w:ascii="Arial" w:hAnsi="Arial" w:cs="Arial"/>
          <w:sz w:val="20"/>
          <w:szCs w:val="20"/>
          <w:lang w:val="bg-BG"/>
        </w:rPr>
        <w:t>а) политика за определяне на</w:t>
      </w:r>
      <w:r w:rsidR="007D0804">
        <w:rPr>
          <w:rFonts w:ascii="Arial" w:hAnsi="Arial" w:cs="Arial"/>
          <w:sz w:val="20"/>
          <w:szCs w:val="20"/>
          <w:lang w:val="bg-BG"/>
        </w:rPr>
        <w:t xml:space="preserve"> </w:t>
      </w:r>
      <w:r w:rsidRPr="004627BA">
        <w:rPr>
          <w:rFonts w:ascii="Arial" w:hAnsi="Arial" w:cs="Arial"/>
          <w:sz w:val="20"/>
          <w:szCs w:val="20"/>
          <w:lang w:val="bg-BG"/>
        </w:rPr>
        <w:t>цените на водата, която осигурява</w:t>
      </w:r>
      <w:r w:rsidR="007D0804">
        <w:rPr>
          <w:rFonts w:ascii="Arial" w:hAnsi="Arial" w:cs="Arial"/>
          <w:sz w:val="20"/>
          <w:szCs w:val="20"/>
          <w:lang w:val="bg-BG"/>
        </w:rPr>
        <w:t xml:space="preserve"> </w:t>
      </w:r>
      <w:r w:rsidRPr="004627BA">
        <w:rPr>
          <w:rFonts w:ascii="Arial" w:hAnsi="Arial" w:cs="Arial"/>
          <w:sz w:val="20"/>
          <w:szCs w:val="20"/>
          <w:lang w:val="bg-BG"/>
        </w:rPr>
        <w:t>на потребителите подходящи</w:t>
      </w:r>
      <w:r w:rsidR="007D0804">
        <w:rPr>
          <w:rFonts w:ascii="Arial" w:hAnsi="Arial" w:cs="Arial"/>
          <w:sz w:val="20"/>
          <w:szCs w:val="20"/>
          <w:lang w:val="bg-BG"/>
        </w:rPr>
        <w:t xml:space="preserve"> </w:t>
      </w:r>
      <w:r w:rsidRPr="004627BA">
        <w:rPr>
          <w:rFonts w:ascii="Arial" w:hAnsi="Arial" w:cs="Arial"/>
          <w:sz w:val="20"/>
          <w:szCs w:val="20"/>
          <w:lang w:val="bg-BG"/>
        </w:rPr>
        <w:t>стимули да използват водните</w:t>
      </w:r>
      <w:r w:rsidR="007D0804">
        <w:rPr>
          <w:rFonts w:ascii="Arial" w:hAnsi="Arial" w:cs="Arial"/>
          <w:sz w:val="20"/>
          <w:szCs w:val="20"/>
          <w:lang w:val="bg-BG"/>
        </w:rPr>
        <w:t xml:space="preserve"> </w:t>
      </w:r>
      <w:r w:rsidRPr="004627BA">
        <w:rPr>
          <w:rFonts w:ascii="Arial" w:hAnsi="Arial" w:cs="Arial"/>
          <w:sz w:val="20"/>
          <w:szCs w:val="20"/>
          <w:lang w:val="bg-BG"/>
        </w:rPr>
        <w:t>ресурси ефективно, и б) адекватен</w:t>
      </w:r>
      <w:r w:rsidR="007D0804">
        <w:rPr>
          <w:rFonts w:ascii="Arial" w:hAnsi="Arial" w:cs="Arial"/>
          <w:sz w:val="20"/>
          <w:szCs w:val="20"/>
          <w:lang w:val="bg-BG"/>
        </w:rPr>
        <w:t xml:space="preserve"> </w:t>
      </w:r>
      <w:r w:rsidRPr="004627BA">
        <w:rPr>
          <w:rFonts w:ascii="Arial" w:hAnsi="Arial" w:cs="Arial"/>
          <w:sz w:val="20"/>
          <w:szCs w:val="20"/>
          <w:lang w:val="bg-BG"/>
        </w:rPr>
        <w:t>принос на различните потребители</w:t>
      </w:r>
      <w:r w:rsidR="007D0804">
        <w:rPr>
          <w:rFonts w:ascii="Arial" w:hAnsi="Arial" w:cs="Arial"/>
          <w:sz w:val="20"/>
          <w:szCs w:val="20"/>
          <w:lang w:val="bg-BG"/>
        </w:rPr>
        <w:t xml:space="preserve"> </w:t>
      </w:r>
      <w:r w:rsidRPr="004627BA">
        <w:rPr>
          <w:rFonts w:ascii="Arial" w:hAnsi="Arial" w:cs="Arial"/>
          <w:sz w:val="20"/>
          <w:szCs w:val="20"/>
          <w:lang w:val="bg-BG"/>
        </w:rPr>
        <w:t>на вода към възстановяването на</w:t>
      </w:r>
      <w:r w:rsidR="007D0804">
        <w:rPr>
          <w:rFonts w:ascii="Arial" w:hAnsi="Arial" w:cs="Arial"/>
          <w:sz w:val="20"/>
          <w:szCs w:val="20"/>
          <w:lang w:val="bg-BG"/>
        </w:rPr>
        <w:t xml:space="preserve"> </w:t>
      </w:r>
      <w:r w:rsidRPr="004627BA">
        <w:rPr>
          <w:rFonts w:ascii="Arial" w:hAnsi="Arial" w:cs="Arial"/>
          <w:sz w:val="20"/>
          <w:szCs w:val="20"/>
          <w:lang w:val="bg-BG"/>
        </w:rPr>
        <w:t>разходите за водни услуги на</w:t>
      </w:r>
      <w:r w:rsidR="007D0804">
        <w:rPr>
          <w:rFonts w:ascii="Arial" w:hAnsi="Arial" w:cs="Arial"/>
          <w:sz w:val="20"/>
          <w:szCs w:val="20"/>
          <w:lang w:val="bg-BG"/>
        </w:rPr>
        <w:t xml:space="preserve"> </w:t>
      </w:r>
      <w:r w:rsidRPr="004627BA">
        <w:rPr>
          <w:rFonts w:ascii="Arial" w:hAnsi="Arial" w:cs="Arial"/>
          <w:sz w:val="20"/>
          <w:szCs w:val="20"/>
          <w:lang w:val="bg-BG"/>
        </w:rPr>
        <w:t>равнище, определено в одобрения</w:t>
      </w:r>
      <w:r w:rsidR="007D0804">
        <w:rPr>
          <w:rFonts w:ascii="Arial" w:hAnsi="Arial" w:cs="Arial"/>
          <w:sz w:val="20"/>
          <w:szCs w:val="20"/>
          <w:lang w:val="bg-BG"/>
        </w:rPr>
        <w:t xml:space="preserve"> </w:t>
      </w:r>
      <w:r w:rsidRPr="004627BA">
        <w:rPr>
          <w:rFonts w:ascii="Arial" w:hAnsi="Arial" w:cs="Arial"/>
          <w:sz w:val="20"/>
          <w:szCs w:val="20"/>
          <w:lang w:val="bg-BG"/>
        </w:rPr>
        <w:t>план за управление на речни</w:t>
      </w:r>
      <w:r w:rsidR="007D0804">
        <w:rPr>
          <w:rFonts w:ascii="Arial" w:hAnsi="Arial" w:cs="Arial"/>
          <w:sz w:val="20"/>
          <w:szCs w:val="20"/>
          <w:lang w:val="bg-BG"/>
        </w:rPr>
        <w:t xml:space="preserve"> </w:t>
      </w:r>
      <w:r w:rsidRPr="004627BA">
        <w:rPr>
          <w:rFonts w:ascii="Arial" w:hAnsi="Arial" w:cs="Arial"/>
          <w:sz w:val="20"/>
          <w:szCs w:val="20"/>
          <w:lang w:val="bg-BG"/>
        </w:rPr>
        <w:t>басейни за инвестиции,</w:t>
      </w:r>
      <w:r w:rsidR="007D0804">
        <w:rPr>
          <w:rFonts w:ascii="Arial" w:hAnsi="Arial" w:cs="Arial"/>
          <w:sz w:val="20"/>
          <w:szCs w:val="20"/>
          <w:lang w:val="bg-BG"/>
        </w:rPr>
        <w:t xml:space="preserve"> </w:t>
      </w:r>
      <w:r w:rsidRPr="004627BA">
        <w:rPr>
          <w:rFonts w:ascii="Arial" w:hAnsi="Arial" w:cs="Arial"/>
          <w:sz w:val="20"/>
          <w:szCs w:val="20"/>
          <w:lang w:val="bg-BG"/>
        </w:rPr>
        <w:t>подкрепени от програмите.</w:t>
      </w:r>
      <w:r w:rsidR="00295AD6">
        <w:rPr>
          <w:rFonts w:ascii="Arial" w:hAnsi="Arial" w:cs="Arial"/>
          <w:sz w:val="20"/>
          <w:szCs w:val="20"/>
          <w:lang w:val="bg-BG"/>
        </w:rPr>
        <w:t xml:space="preserve"> </w:t>
      </w:r>
    </w:p>
    <w:p w14:paraId="6C1F47E7" w14:textId="77777777" w:rsidR="00295AD6" w:rsidRDefault="00295AD6" w:rsidP="004627BA">
      <w:pPr>
        <w:jc w:val="both"/>
        <w:rPr>
          <w:rFonts w:ascii="Arial" w:hAnsi="Arial" w:cs="Arial"/>
          <w:sz w:val="20"/>
          <w:szCs w:val="20"/>
          <w:lang w:val="bg-BG"/>
        </w:rPr>
      </w:pPr>
      <w:r>
        <w:rPr>
          <w:rFonts w:ascii="Arial" w:hAnsi="Arial" w:cs="Arial"/>
          <w:sz w:val="20"/>
          <w:szCs w:val="20"/>
          <w:lang w:val="bg-BG"/>
        </w:rPr>
        <w:t>Предварително тематично условие 6.1 е потвърдено като изпълнено от страна на ЕК с писмо от 3 август 2017 г.</w:t>
      </w:r>
    </w:p>
    <w:p w14:paraId="0716605C" w14:textId="77777777" w:rsidR="007D0804" w:rsidRPr="005A790E" w:rsidRDefault="007D0804" w:rsidP="004627BA">
      <w:pPr>
        <w:jc w:val="both"/>
        <w:rPr>
          <w:rFonts w:ascii="Arial" w:hAnsi="Arial" w:cs="Arial"/>
          <w:sz w:val="20"/>
          <w:szCs w:val="20"/>
          <w:lang w:val="bg-BG"/>
        </w:rPr>
      </w:pPr>
      <w:r>
        <w:rPr>
          <w:rFonts w:ascii="Arial" w:hAnsi="Arial" w:cs="Arial"/>
          <w:sz w:val="20"/>
          <w:szCs w:val="20"/>
          <w:lang w:val="bg-BG"/>
        </w:rPr>
        <w:t>Наред с това може да се отчетат следните предпоставки за ефективно прилагане на ФИ:</w:t>
      </w:r>
    </w:p>
    <w:p w14:paraId="007B4B38" w14:textId="77777777" w:rsidR="00893615" w:rsidRPr="009C41FD" w:rsidRDefault="00893615" w:rsidP="00893615">
      <w:pPr>
        <w:pStyle w:val="ListParagraph"/>
        <w:numPr>
          <w:ilvl w:val="0"/>
          <w:numId w:val="35"/>
        </w:numPr>
        <w:jc w:val="both"/>
        <w:rPr>
          <w:rFonts w:ascii="Arial" w:hAnsi="Arial" w:cs="Arial"/>
          <w:sz w:val="20"/>
          <w:szCs w:val="20"/>
          <w:lang w:val="bg-BG"/>
        </w:rPr>
      </w:pPr>
      <w:r w:rsidRPr="009C41FD">
        <w:rPr>
          <w:rFonts w:ascii="Arial" w:hAnsi="Arial" w:cs="Arial"/>
          <w:b/>
          <w:sz w:val="20"/>
          <w:szCs w:val="20"/>
          <w:lang w:val="bg-BG"/>
        </w:rPr>
        <w:t>Разширяване обхвата на допустимите крайни получатели и проекти.</w:t>
      </w:r>
      <w:r w:rsidRPr="00BC7695">
        <w:rPr>
          <w:rFonts w:ascii="Arial" w:hAnsi="Arial" w:cs="Arial"/>
          <w:sz w:val="20"/>
          <w:szCs w:val="20"/>
          <w:lang w:val="bg-BG"/>
        </w:rPr>
        <w:t xml:space="preserve"> </w:t>
      </w:r>
      <w:r w:rsidRPr="009C41FD">
        <w:rPr>
          <w:rFonts w:ascii="Arial" w:hAnsi="Arial" w:cs="Arial"/>
          <w:sz w:val="20"/>
          <w:szCs w:val="20"/>
          <w:lang w:val="bg-BG"/>
        </w:rPr>
        <w:t xml:space="preserve">Настоящата ИС </w:t>
      </w:r>
      <w:r w:rsidR="006F658A" w:rsidRPr="009C41FD">
        <w:rPr>
          <w:rFonts w:ascii="Arial" w:hAnsi="Arial" w:cs="Arial"/>
          <w:sz w:val="20"/>
          <w:szCs w:val="20"/>
          <w:lang w:val="bg-BG"/>
        </w:rPr>
        <w:t xml:space="preserve">идентифицира възможност за </w:t>
      </w:r>
      <w:r w:rsidRPr="009C41FD">
        <w:rPr>
          <w:rFonts w:ascii="Arial" w:hAnsi="Arial" w:cs="Arial"/>
          <w:sz w:val="20"/>
          <w:szCs w:val="20"/>
          <w:lang w:val="bg-BG"/>
        </w:rPr>
        <w:t xml:space="preserve">разширяване на критериите на ОПОС </w:t>
      </w:r>
      <w:r w:rsidR="00E05483">
        <w:rPr>
          <w:rFonts w:ascii="Arial" w:hAnsi="Arial" w:cs="Arial"/>
          <w:sz w:val="20"/>
          <w:szCs w:val="20"/>
          <w:lang w:val="bg-BG"/>
        </w:rPr>
        <w:t>2014 – 2020 г.</w:t>
      </w:r>
      <w:r w:rsidR="00D3574E">
        <w:rPr>
          <w:rFonts w:ascii="Arial" w:hAnsi="Arial" w:cs="Arial"/>
          <w:sz w:val="20"/>
          <w:szCs w:val="20"/>
          <w:lang w:val="bg-BG"/>
        </w:rPr>
        <w:t xml:space="preserve"> </w:t>
      </w:r>
      <w:r w:rsidRPr="009C41FD">
        <w:rPr>
          <w:rFonts w:ascii="Arial" w:hAnsi="Arial" w:cs="Arial"/>
          <w:sz w:val="20"/>
          <w:szCs w:val="20"/>
          <w:lang w:val="bg-BG"/>
        </w:rPr>
        <w:t>за допустими крайни получатели</w:t>
      </w:r>
      <w:r w:rsidR="006F658A" w:rsidRPr="009C41FD">
        <w:rPr>
          <w:rFonts w:ascii="Arial" w:hAnsi="Arial" w:cs="Arial"/>
          <w:sz w:val="20"/>
          <w:szCs w:val="20"/>
          <w:lang w:val="bg-BG"/>
        </w:rPr>
        <w:t>, което може да се осъществи при наличие на съответно решение от страна на УО на ОПОС и Комитета за наблюдение на програмата</w:t>
      </w:r>
      <w:r w:rsidRPr="009C41FD">
        <w:rPr>
          <w:rFonts w:ascii="Arial" w:hAnsi="Arial" w:cs="Arial"/>
          <w:sz w:val="20"/>
          <w:szCs w:val="20"/>
          <w:lang w:val="bg-BG"/>
        </w:rPr>
        <w:t xml:space="preserve">. </w:t>
      </w:r>
      <w:r w:rsidR="0079271C" w:rsidRPr="009C41FD">
        <w:rPr>
          <w:rFonts w:ascii="Arial" w:hAnsi="Arial" w:cs="Arial"/>
          <w:sz w:val="20"/>
          <w:szCs w:val="20"/>
          <w:lang w:val="bg-BG"/>
        </w:rPr>
        <w:t xml:space="preserve">При всички положения </w:t>
      </w:r>
      <w:r w:rsidR="0079271C" w:rsidRPr="009C41FD">
        <w:rPr>
          <w:rFonts w:ascii="Arial" w:hAnsi="Arial" w:cs="Arial"/>
          <w:sz w:val="20"/>
          <w:szCs w:val="20"/>
          <w:lang w:val="bg-BG"/>
        </w:rPr>
        <w:lastRenderedPageBreak/>
        <w:t>п</w:t>
      </w:r>
      <w:r w:rsidRPr="009C41FD">
        <w:rPr>
          <w:rFonts w:ascii="Arial" w:hAnsi="Arial" w:cs="Arial"/>
          <w:sz w:val="20"/>
          <w:szCs w:val="20"/>
          <w:lang w:val="bg-BG"/>
        </w:rPr>
        <w:t>редложените по-общи критерии за допустимост</w:t>
      </w:r>
      <w:r w:rsidR="0079271C" w:rsidRPr="009C41FD">
        <w:rPr>
          <w:rFonts w:ascii="Arial" w:hAnsi="Arial" w:cs="Arial"/>
          <w:sz w:val="20"/>
          <w:szCs w:val="20"/>
          <w:lang w:val="bg-BG"/>
        </w:rPr>
        <w:t xml:space="preserve"> на крайните получатели</w:t>
      </w:r>
      <w:r w:rsidRPr="009C41FD">
        <w:rPr>
          <w:rFonts w:ascii="Arial" w:hAnsi="Arial" w:cs="Arial"/>
          <w:sz w:val="20"/>
          <w:szCs w:val="20"/>
          <w:lang w:val="bg-BG"/>
        </w:rPr>
        <w:t xml:space="preserve"> трябва да </w:t>
      </w:r>
      <w:r w:rsidR="0079271C" w:rsidRPr="009C41FD">
        <w:rPr>
          <w:rFonts w:ascii="Arial" w:hAnsi="Arial" w:cs="Arial"/>
          <w:sz w:val="20"/>
          <w:szCs w:val="20"/>
          <w:lang w:val="bg-BG"/>
        </w:rPr>
        <w:t>са в съответствие с</w:t>
      </w:r>
      <w:r w:rsidRPr="009C41FD">
        <w:rPr>
          <w:rFonts w:ascii="Arial" w:hAnsi="Arial" w:cs="Arial"/>
          <w:sz w:val="20"/>
          <w:szCs w:val="20"/>
          <w:lang w:val="bg-BG"/>
        </w:rPr>
        <w:t xml:space="preserve"> обхвата на инвестиционния приоритет</w:t>
      </w:r>
      <w:r w:rsidR="00386F32" w:rsidRPr="009C41FD">
        <w:rPr>
          <w:rFonts w:ascii="Arial" w:hAnsi="Arial" w:cs="Arial"/>
          <w:sz w:val="20"/>
          <w:szCs w:val="20"/>
          <w:lang w:val="bg-BG"/>
        </w:rPr>
        <w:t>;</w:t>
      </w:r>
      <w:r w:rsidRPr="009C41FD">
        <w:rPr>
          <w:rFonts w:ascii="Arial" w:hAnsi="Arial" w:cs="Arial"/>
          <w:sz w:val="20"/>
          <w:szCs w:val="20"/>
          <w:lang w:val="bg-BG"/>
        </w:rPr>
        <w:t xml:space="preserve"> </w:t>
      </w:r>
    </w:p>
    <w:p w14:paraId="150153C0" w14:textId="77777777" w:rsidR="00893615" w:rsidRPr="0051416F" w:rsidRDefault="00893615" w:rsidP="00893615">
      <w:pPr>
        <w:pStyle w:val="ListParagraph"/>
        <w:numPr>
          <w:ilvl w:val="0"/>
          <w:numId w:val="35"/>
        </w:numPr>
        <w:jc w:val="both"/>
        <w:rPr>
          <w:rFonts w:ascii="Arial" w:hAnsi="Arial" w:cs="Arial"/>
          <w:sz w:val="20"/>
          <w:szCs w:val="20"/>
          <w:lang w:val="bg-BG"/>
        </w:rPr>
      </w:pPr>
      <w:r>
        <w:rPr>
          <w:rFonts w:ascii="Arial" w:hAnsi="Arial" w:cs="Arial"/>
          <w:b/>
          <w:sz w:val="20"/>
          <w:szCs w:val="20"/>
          <w:lang w:val="bg-BG"/>
        </w:rPr>
        <w:t xml:space="preserve">Приключване на реформата във ВиК сектора. </w:t>
      </w:r>
      <w:r>
        <w:rPr>
          <w:rFonts w:ascii="Arial" w:hAnsi="Arial" w:cs="Arial"/>
          <w:sz w:val="20"/>
          <w:szCs w:val="20"/>
          <w:lang w:val="bg-BG"/>
        </w:rPr>
        <w:t xml:space="preserve">Консолидацията на ВиКО в България следва да даде възможност за реализирането на </w:t>
      </w:r>
      <w:r w:rsidRPr="00893615">
        <w:rPr>
          <w:rFonts w:ascii="Arial" w:hAnsi="Arial" w:cs="Arial"/>
          <w:sz w:val="20"/>
          <w:szCs w:val="20"/>
          <w:lang w:val="bg-BG"/>
        </w:rPr>
        <w:t>икономии от мащаба</w:t>
      </w:r>
      <w:r w:rsidR="008341B1">
        <w:rPr>
          <w:rFonts w:ascii="Arial" w:hAnsi="Arial" w:cs="Arial"/>
          <w:sz w:val="20"/>
          <w:szCs w:val="20"/>
          <w:lang w:val="bg-BG"/>
        </w:rPr>
        <w:t>, както</w:t>
      </w:r>
      <w:r>
        <w:rPr>
          <w:rFonts w:ascii="Arial" w:hAnsi="Arial" w:cs="Arial"/>
          <w:sz w:val="20"/>
          <w:szCs w:val="20"/>
          <w:lang w:val="bg-BG"/>
        </w:rPr>
        <w:t xml:space="preserve"> и за увеличаване на икономическата жизнеспособност на </w:t>
      </w:r>
      <w:r w:rsidR="008208C6">
        <w:rPr>
          <w:rFonts w:ascii="Arial" w:hAnsi="Arial" w:cs="Arial"/>
          <w:sz w:val="20"/>
          <w:szCs w:val="20"/>
          <w:lang w:val="bg-BG"/>
        </w:rPr>
        <w:t>операторите</w:t>
      </w:r>
      <w:r>
        <w:rPr>
          <w:rFonts w:ascii="Arial" w:hAnsi="Arial" w:cs="Arial"/>
          <w:sz w:val="20"/>
          <w:szCs w:val="20"/>
          <w:lang w:val="bg-BG"/>
        </w:rPr>
        <w:t xml:space="preserve"> в дългосрочен план</w:t>
      </w:r>
      <w:r w:rsidRPr="0051416F">
        <w:rPr>
          <w:rFonts w:ascii="Arial" w:hAnsi="Arial" w:cs="Arial"/>
          <w:sz w:val="20"/>
          <w:szCs w:val="20"/>
          <w:lang w:val="bg-BG"/>
        </w:rPr>
        <w:t xml:space="preserve">. </w:t>
      </w:r>
      <w:r>
        <w:rPr>
          <w:rFonts w:ascii="Arial" w:hAnsi="Arial" w:cs="Arial"/>
          <w:sz w:val="20"/>
          <w:szCs w:val="20"/>
          <w:lang w:val="bg-BG"/>
        </w:rPr>
        <w:t>Приключването на процеса по консолидация ще направи финансовите продукти достъпни до по-голям брой крайни получатели</w:t>
      </w:r>
      <w:r w:rsidRPr="0051416F">
        <w:rPr>
          <w:rFonts w:ascii="Arial" w:hAnsi="Arial" w:cs="Arial"/>
          <w:sz w:val="20"/>
          <w:szCs w:val="20"/>
          <w:lang w:val="bg-BG"/>
        </w:rPr>
        <w:t xml:space="preserve">. </w:t>
      </w:r>
      <w:r>
        <w:rPr>
          <w:rFonts w:ascii="Arial" w:hAnsi="Arial" w:cs="Arial"/>
          <w:sz w:val="20"/>
          <w:szCs w:val="20"/>
          <w:lang w:val="bg-BG"/>
        </w:rPr>
        <w:t xml:space="preserve">В допълнение, това ще допринесе за увеличаване на </w:t>
      </w:r>
      <w:r w:rsidR="008341B1">
        <w:rPr>
          <w:rFonts w:ascii="Arial" w:hAnsi="Arial" w:cs="Arial"/>
          <w:sz w:val="20"/>
          <w:szCs w:val="20"/>
          <w:lang w:val="bg-BG"/>
        </w:rPr>
        <w:t xml:space="preserve">броя </w:t>
      </w:r>
      <w:r>
        <w:rPr>
          <w:rFonts w:ascii="Arial" w:hAnsi="Arial" w:cs="Arial"/>
          <w:sz w:val="20"/>
          <w:szCs w:val="20"/>
          <w:lang w:val="bg-BG"/>
        </w:rPr>
        <w:t>рентабилни</w:t>
      </w:r>
      <w:r w:rsidR="008341B1">
        <w:rPr>
          <w:rFonts w:ascii="Arial" w:hAnsi="Arial" w:cs="Arial"/>
          <w:sz w:val="20"/>
          <w:szCs w:val="20"/>
          <w:lang w:val="bg-BG"/>
        </w:rPr>
        <w:t xml:space="preserve"> и приемливи за банките</w:t>
      </w:r>
      <w:r>
        <w:rPr>
          <w:rFonts w:ascii="Arial" w:hAnsi="Arial" w:cs="Arial"/>
          <w:sz w:val="20"/>
          <w:szCs w:val="20"/>
          <w:lang w:val="bg-BG"/>
        </w:rPr>
        <w:t xml:space="preserve"> </w:t>
      </w:r>
      <w:r w:rsidR="008341B1">
        <w:rPr>
          <w:rFonts w:ascii="Arial" w:hAnsi="Arial" w:cs="Arial"/>
          <w:sz w:val="20"/>
          <w:szCs w:val="20"/>
          <w:lang w:val="bg-BG"/>
        </w:rPr>
        <w:t xml:space="preserve">ВиК </w:t>
      </w:r>
      <w:r>
        <w:rPr>
          <w:rFonts w:ascii="Arial" w:hAnsi="Arial" w:cs="Arial"/>
          <w:sz w:val="20"/>
          <w:szCs w:val="20"/>
          <w:lang w:val="bg-BG"/>
        </w:rPr>
        <w:t xml:space="preserve">проекти </w:t>
      </w:r>
      <w:r w:rsidR="008341B1">
        <w:rPr>
          <w:rFonts w:ascii="Arial" w:hAnsi="Arial" w:cs="Arial"/>
          <w:sz w:val="20"/>
          <w:szCs w:val="20"/>
          <w:lang w:val="bg-BG"/>
        </w:rPr>
        <w:t>в дългосрочен план</w:t>
      </w:r>
      <w:r>
        <w:rPr>
          <w:rFonts w:ascii="Arial" w:hAnsi="Arial" w:cs="Arial"/>
          <w:sz w:val="20"/>
          <w:szCs w:val="20"/>
          <w:lang w:val="bg-BG"/>
        </w:rPr>
        <w:t xml:space="preserve"> и подобряване на финансо</w:t>
      </w:r>
      <w:r w:rsidR="008341B1">
        <w:rPr>
          <w:rFonts w:ascii="Arial" w:hAnsi="Arial" w:cs="Arial"/>
          <w:sz w:val="20"/>
          <w:szCs w:val="20"/>
          <w:lang w:val="bg-BG"/>
        </w:rPr>
        <w:t>вия</w:t>
      </w:r>
      <w:r>
        <w:rPr>
          <w:rFonts w:ascii="Arial" w:hAnsi="Arial" w:cs="Arial"/>
          <w:sz w:val="20"/>
          <w:szCs w:val="20"/>
          <w:lang w:val="bg-BG"/>
        </w:rPr>
        <w:t xml:space="preserve"> капацитет</w:t>
      </w:r>
      <w:r w:rsidR="008341B1">
        <w:rPr>
          <w:rFonts w:ascii="Arial" w:hAnsi="Arial" w:cs="Arial"/>
          <w:sz w:val="20"/>
          <w:szCs w:val="20"/>
          <w:lang w:val="bg-BG"/>
        </w:rPr>
        <w:t xml:space="preserve"> на ВиКО</w:t>
      </w:r>
      <w:r w:rsidR="00386F32">
        <w:rPr>
          <w:rFonts w:ascii="Arial" w:hAnsi="Arial" w:cs="Arial"/>
          <w:sz w:val="20"/>
          <w:szCs w:val="20"/>
          <w:lang w:val="bg-BG"/>
        </w:rPr>
        <w:t>;</w:t>
      </w:r>
    </w:p>
    <w:p w14:paraId="6EF6AD43" w14:textId="77777777" w:rsidR="002C4479" w:rsidRPr="0051416F" w:rsidRDefault="002C4479" w:rsidP="002C4479">
      <w:pPr>
        <w:pStyle w:val="ListParagraph"/>
        <w:numPr>
          <w:ilvl w:val="0"/>
          <w:numId w:val="35"/>
        </w:numPr>
        <w:jc w:val="both"/>
        <w:rPr>
          <w:rFonts w:ascii="Arial" w:hAnsi="Arial" w:cs="Arial"/>
          <w:sz w:val="20"/>
          <w:szCs w:val="20"/>
          <w:lang w:val="bg-BG"/>
        </w:rPr>
      </w:pPr>
      <w:r>
        <w:rPr>
          <w:rFonts w:ascii="Arial" w:hAnsi="Arial" w:cs="Arial"/>
          <w:b/>
          <w:sz w:val="20"/>
          <w:szCs w:val="20"/>
          <w:lang w:val="bg-BG"/>
        </w:rPr>
        <w:t>Преразглеждане на методологията за ценообразуване на ВиК услугите</w:t>
      </w:r>
      <w:r w:rsidRPr="0051416F">
        <w:rPr>
          <w:rFonts w:ascii="Arial" w:hAnsi="Arial" w:cs="Arial"/>
          <w:b/>
          <w:sz w:val="20"/>
          <w:szCs w:val="20"/>
          <w:lang w:val="bg-BG"/>
        </w:rPr>
        <w:t xml:space="preserve">. </w:t>
      </w:r>
      <w:r w:rsidRPr="005D0016">
        <w:rPr>
          <w:rFonts w:ascii="Arial" w:hAnsi="Arial" w:cs="Arial"/>
          <w:sz w:val="20"/>
          <w:szCs w:val="20"/>
          <w:lang w:val="bg-BG"/>
        </w:rPr>
        <w:t>Наредба</w:t>
      </w:r>
      <w:r w:rsidR="00B21543">
        <w:rPr>
          <w:rFonts w:ascii="Arial" w:hAnsi="Arial" w:cs="Arial"/>
          <w:sz w:val="20"/>
          <w:szCs w:val="20"/>
          <w:lang w:val="bg-BG"/>
        </w:rPr>
        <w:t>та</w:t>
      </w:r>
      <w:r w:rsidRPr="005D0016">
        <w:rPr>
          <w:rFonts w:ascii="Arial" w:hAnsi="Arial" w:cs="Arial"/>
          <w:sz w:val="20"/>
          <w:szCs w:val="20"/>
          <w:lang w:val="bg-BG"/>
        </w:rPr>
        <w:t xml:space="preserve"> за регулиране на цените във ВиК сектора</w:t>
      </w:r>
      <w:r>
        <w:rPr>
          <w:rFonts w:ascii="Arial" w:hAnsi="Arial" w:cs="Arial"/>
          <w:sz w:val="20"/>
          <w:szCs w:val="20"/>
          <w:lang w:val="bg-BG"/>
        </w:rPr>
        <w:t xml:space="preserve"> влезе в сила</w:t>
      </w:r>
      <w:r w:rsidR="008208C6">
        <w:rPr>
          <w:rFonts w:ascii="Arial" w:hAnsi="Arial" w:cs="Arial"/>
          <w:sz w:val="20"/>
          <w:szCs w:val="20"/>
          <w:lang w:val="bg-BG"/>
        </w:rPr>
        <w:t xml:space="preserve"> на </w:t>
      </w:r>
      <w:r w:rsidR="001926F1">
        <w:rPr>
          <w:rFonts w:ascii="Arial" w:hAnsi="Arial" w:cs="Arial"/>
          <w:sz w:val="20"/>
          <w:szCs w:val="20"/>
          <w:lang w:val="bg-BG"/>
        </w:rPr>
        <w:t>22</w:t>
      </w:r>
      <w:r w:rsidR="003367B4">
        <w:rPr>
          <w:rFonts w:ascii="Arial" w:hAnsi="Arial" w:cs="Arial"/>
          <w:sz w:val="20"/>
          <w:szCs w:val="20"/>
          <w:lang w:val="bg-BG"/>
        </w:rPr>
        <w:t>.01.</w:t>
      </w:r>
      <w:r w:rsidR="001926F1">
        <w:rPr>
          <w:rFonts w:ascii="Arial" w:hAnsi="Arial" w:cs="Arial"/>
          <w:sz w:val="20"/>
          <w:szCs w:val="20"/>
          <w:lang w:val="bg-BG"/>
        </w:rPr>
        <w:t xml:space="preserve">2016 </w:t>
      </w:r>
      <w:r w:rsidR="008208C6">
        <w:rPr>
          <w:rFonts w:ascii="Arial" w:hAnsi="Arial" w:cs="Arial"/>
          <w:sz w:val="20"/>
          <w:szCs w:val="20"/>
          <w:lang w:val="bg-BG"/>
        </w:rPr>
        <w:t>г.</w:t>
      </w:r>
      <w:r w:rsidRPr="0051416F">
        <w:rPr>
          <w:rFonts w:ascii="Arial" w:hAnsi="Arial" w:cs="Arial"/>
          <w:sz w:val="20"/>
          <w:szCs w:val="20"/>
          <w:lang w:val="bg-BG"/>
        </w:rPr>
        <w:t xml:space="preserve"> </w:t>
      </w:r>
      <w:r>
        <w:rPr>
          <w:rFonts w:ascii="Arial" w:hAnsi="Arial" w:cs="Arial"/>
          <w:sz w:val="20"/>
          <w:szCs w:val="20"/>
          <w:lang w:val="bg-BG"/>
        </w:rPr>
        <w:t>Т</w:t>
      </w:r>
      <w:r w:rsidR="00720119">
        <w:rPr>
          <w:rFonts w:ascii="Arial" w:hAnsi="Arial" w:cs="Arial"/>
          <w:sz w:val="20"/>
          <w:szCs w:val="20"/>
          <w:lang w:val="bg-BG"/>
        </w:rPr>
        <w:t>я</w:t>
      </w:r>
      <w:r>
        <w:rPr>
          <w:rFonts w:ascii="Arial" w:hAnsi="Arial" w:cs="Arial"/>
          <w:sz w:val="20"/>
          <w:szCs w:val="20"/>
          <w:lang w:val="bg-BG"/>
        </w:rPr>
        <w:t xml:space="preserve"> </w:t>
      </w:r>
      <w:r w:rsidR="003367B4">
        <w:rPr>
          <w:rFonts w:ascii="Arial" w:hAnsi="Arial" w:cs="Arial"/>
          <w:sz w:val="20"/>
          <w:szCs w:val="20"/>
          <w:lang w:val="bg-BG"/>
        </w:rPr>
        <w:t>въве</w:t>
      </w:r>
      <w:r w:rsidR="00A23960">
        <w:rPr>
          <w:rFonts w:ascii="Arial" w:hAnsi="Arial" w:cs="Arial"/>
          <w:sz w:val="20"/>
          <w:szCs w:val="20"/>
          <w:lang w:val="bg-BG"/>
        </w:rPr>
        <w:t>ж</w:t>
      </w:r>
      <w:r w:rsidR="00FE0ADE">
        <w:rPr>
          <w:rFonts w:ascii="Arial" w:hAnsi="Arial" w:cs="Arial"/>
          <w:sz w:val="20"/>
          <w:szCs w:val="20"/>
          <w:lang w:val="bg-BG"/>
        </w:rPr>
        <w:t>д</w:t>
      </w:r>
      <w:r w:rsidR="00A23960">
        <w:rPr>
          <w:rFonts w:ascii="Arial" w:hAnsi="Arial" w:cs="Arial"/>
          <w:sz w:val="20"/>
          <w:szCs w:val="20"/>
          <w:lang w:val="bg-BG"/>
        </w:rPr>
        <w:t>а</w:t>
      </w:r>
      <w:r w:rsidR="003367B4">
        <w:rPr>
          <w:rFonts w:ascii="Arial" w:hAnsi="Arial" w:cs="Arial"/>
          <w:sz w:val="20"/>
          <w:szCs w:val="20"/>
          <w:lang w:val="bg-BG"/>
        </w:rPr>
        <w:t xml:space="preserve"> </w:t>
      </w:r>
      <w:r>
        <w:rPr>
          <w:rFonts w:ascii="Arial" w:hAnsi="Arial" w:cs="Arial"/>
          <w:sz w:val="20"/>
          <w:szCs w:val="20"/>
          <w:lang w:val="bg-BG"/>
        </w:rPr>
        <w:t xml:space="preserve">нов метод за </w:t>
      </w:r>
      <w:r w:rsidR="00B21543">
        <w:rPr>
          <w:rFonts w:ascii="Arial" w:hAnsi="Arial" w:cs="Arial"/>
          <w:sz w:val="20"/>
          <w:szCs w:val="20"/>
          <w:lang w:val="bg-BG"/>
        </w:rPr>
        <w:t>ценообразуване</w:t>
      </w:r>
      <w:r>
        <w:rPr>
          <w:rFonts w:ascii="Arial" w:hAnsi="Arial" w:cs="Arial"/>
          <w:sz w:val="20"/>
          <w:szCs w:val="20"/>
          <w:lang w:val="bg-BG"/>
        </w:rPr>
        <w:t xml:space="preserve"> на ВиК услугите, включващ преминаване от метод, базиран на </w:t>
      </w:r>
      <w:r w:rsidR="00B21543">
        <w:rPr>
          <w:rFonts w:ascii="Arial" w:hAnsi="Arial" w:cs="Arial"/>
          <w:sz w:val="20"/>
          <w:szCs w:val="20"/>
          <w:lang w:val="bg-BG"/>
        </w:rPr>
        <w:t xml:space="preserve">процента </w:t>
      </w:r>
      <w:r>
        <w:rPr>
          <w:rFonts w:ascii="Arial" w:hAnsi="Arial" w:cs="Arial"/>
          <w:sz w:val="20"/>
          <w:szCs w:val="20"/>
          <w:lang w:val="bg-BG"/>
        </w:rPr>
        <w:t xml:space="preserve">на възвращаемост, към метод на ценообразуване, </w:t>
      </w:r>
      <w:r w:rsidR="00B21543">
        <w:rPr>
          <w:rFonts w:ascii="Arial" w:hAnsi="Arial" w:cs="Arial"/>
          <w:sz w:val="20"/>
          <w:szCs w:val="20"/>
          <w:lang w:val="bg-BG"/>
        </w:rPr>
        <w:t>който се основава</w:t>
      </w:r>
      <w:r>
        <w:rPr>
          <w:rFonts w:ascii="Arial" w:hAnsi="Arial" w:cs="Arial"/>
          <w:sz w:val="20"/>
          <w:szCs w:val="20"/>
          <w:lang w:val="bg-BG"/>
        </w:rPr>
        <w:t xml:space="preserve"> на</w:t>
      </w:r>
      <w:r w:rsidRPr="0051416F">
        <w:rPr>
          <w:rFonts w:ascii="Arial" w:hAnsi="Arial" w:cs="Arial"/>
          <w:sz w:val="20"/>
          <w:szCs w:val="20"/>
          <w:lang w:val="bg-BG"/>
        </w:rPr>
        <w:t xml:space="preserve"> </w:t>
      </w:r>
      <w:r w:rsidR="00B21543">
        <w:rPr>
          <w:rFonts w:ascii="Arial" w:hAnsi="Arial" w:cs="Arial"/>
          <w:sz w:val="20"/>
          <w:szCs w:val="20"/>
          <w:lang w:val="bg-BG"/>
        </w:rPr>
        <w:t xml:space="preserve">определени </w:t>
      </w:r>
      <w:r>
        <w:rPr>
          <w:rFonts w:ascii="Arial" w:hAnsi="Arial" w:cs="Arial"/>
          <w:sz w:val="20"/>
          <w:szCs w:val="20"/>
          <w:lang w:val="bg-BG"/>
        </w:rPr>
        <w:t>таван</w:t>
      </w:r>
      <w:r w:rsidR="00B21543">
        <w:rPr>
          <w:rFonts w:ascii="Arial" w:hAnsi="Arial" w:cs="Arial"/>
          <w:sz w:val="20"/>
          <w:szCs w:val="20"/>
          <w:lang w:val="bg-BG"/>
        </w:rPr>
        <w:t>и</w:t>
      </w:r>
      <w:r>
        <w:rPr>
          <w:rFonts w:ascii="Arial" w:hAnsi="Arial" w:cs="Arial"/>
          <w:sz w:val="20"/>
          <w:szCs w:val="20"/>
          <w:lang w:val="bg-BG"/>
        </w:rPr>
        <w:t xml:space="preserve"> на цената и приходите</w:t>
      </w:r>
      <w:r w:rsidRPr="0051416F">
        <w:rPr>
          <w:rFonts w:ascii="Arial" w:hAnsi="Arial" w:cs="Arial"/>
          <w:sz w:val="20"/>
          <w:szCs w:val="20"/>
          <w:lang w:val="bg-BG"/>
        </w:rPr>
        <w:t>.</w:t>
      </w:r>
      <w:r>
        <w:rPr>
          <w:rFonts w:ascii="Arial" w:hAnsi="Arial" w:cs="Arial"/>
          <w:sz w:val="20"/>
          <w:szCs w:val="20"/>
          <w:lang w:val="bg-BG"/>
        </w:rPr>
        <w:t xml:space="preserve"> Очаква се новият метод за ценообразуване да подобри капацитета на ВиКО за поемане на нов дълг и </w:t>
      </w:r>
      <w:r w:rsidR="00B21543">
        <w:rPr>
          <w:rFonts w:ascii="Arial" w:hAnsi="Arial" w:cs="Arial"/>
          <w:sz w:val="20"/>
          <w:szCs w:val="20"/>
          <w:lang w:val="bg-BG"/>
        </w:rPr>
        <w:t>увеличаване на</w:t>
      </w:r>
      <w:r>
        <w:rPr>
          <w:rFonts w:ascii="Arial" w:hAnsi="Arial" w:cs="Arial"/>
          <w:sz w:val="20"/>
          <w:szCs w:val="20"/>
          <w:lang w:val="bg-BG"/>
        </w:rPr>
        <w:t xml:space="preserve"> годишни</w:t>
      </w:r>
      <w:r w:rsidR="00B21543">
        <w:rPr>
          <w:rFonts w:ascii="Arial" w:hAnsi="Arial" w:cs="Arial"/>
          <w:sz w:val="20"/>
          <w:szCs w:val="20"/>
          <w:lang w:val="bg-BG"/>
        </w:rPr>
        <w:t>те капиталови разходи</w:t>
      </w:r>
      <w:r w:rsidR="00386F32">
        <w:rPr>
          <w:rFonts w:ascii="Arial" w:hAnsi="Arial" w:cs="Arial"/>
          <w:sz w:val="20"/>
          <w:szCs w:val="20"/>
          <w:lang w:val="bg-BG"/>
        </w:rPr>
        <w:t>;</w:t>
      </w:r>
      <w:r w:rsidR="00386F32" w:rsidRPr="0051416F">
        <w:rPr>
          <w:rFonts w:ascii="Arial" w:hAnsi="Arial" w:cs="Arial"/>
          <w:sz w:val="20"/>
          <w:szCs w:val="20"/>
          <w:lang w:val="bg-BG"/>
        </w:rPr>
        <w:t xml:space="preserve"> </w:t>
      </w:r>
    </w:p>
    <w:p w14:paraId="0861D7BF" w14:textId="77777777" w:rsidR="00B21543" w:rsidRPr="0051416F" w:rsidRDefault="00B21543" w:rsidP="00B21543">
      <w:pPr>
        <w:pStyle w:val="ListParagraph"/>
        <w:numPr>
          <w:ilvl w:val="0"/>
          <w:numId w:val="35"/>
        </w:numPr>
        <w:jc w:val="both"/>
        <w:rPr>
          <w:rFonts w:ascii="Arial" w:hAnsi="Arial" w:cs="Arial"/>
          <w:sz w:val="20"/>
          <w:szCs w:val="20"/>
          <w:lang w:val="bg-BG"/>
        </w:rPr>
      </w:pPr>
      <w:r>
        <w:rPr>
          <w:rFonts w:ascii="Arial" w:hAnsi="Arial" w:cs="Arial"/>
          <w:b/>
          <w:sz w:val="20"/>
          <w:szCs w:val="20"/>
          <w:lang w:val="bg-BG"/>
        </w:rPr>
        <w:t xml:space="preserve">Подпомагане присъединяването на домакинствата към канализационната мрежа </w:t>
      </w:r>
      <w:r w:rsidRPr="0051416F">
        <w:rPr>
          <w:rFonts w:ascii="Arial" w:hAnsi="Arial" w:cs="Arial"/>
          <w:sz w:val="20"/>
          <w:szCs w:val="20"/>
          <w:lang w:val="bg-BG"/>
        </w:rPr>
        <w:t xml:space="preserve"> </w:t>
      </w:r>
      <w:r>
        <w:rPr>
          <w:rFonts w:ascii="Arial" w:hAnsi="Arial" w:cs="Arial"/>
          <w:sz w:val="20"/>
          <w:szCs w:val="20"/>
          <w:lang w:val="bg-BG"/>
        </w:rPr>
        <w:t>чрез финансиране, предоставено на ВиКО, за изграждане на нужната инфраструктура, която да свързва индивидуалните потребители (домакинства) към канализационната мрежа. Този тип инвестиции към момента не са включени в обхвата на ОПОС. Те обаче ще подобрят значително достъпа на домакинствата до пречистване на отпад</w:t>
      </w:r>
      <w:r w:rsidR="00386131">
        <w:rPr>
          <w:rFonts w:ascii="Arial" w:hAnsi="Arial" w:cs="Arial"/>
          <w:sz w:val="20"/>
          <w:szCs w:val="20"/>
          <w:lang w:val="bg-BG"/>
        </w:rPr>
        <w:t>ъч</w:t>
      </w:r>
      <w:r>
        <w:rPr>
          <w:rFonts w:ascii="Arial" w:hAnsi="Arial" w:cs="Arial"/>
          <w:sz w:val="20"/>
          <w:szCs w:val="20"/>
          <w:lang w:val="bg-BG"/>
        </w:rPr>
        <w:t>ни води и може да увелич</w:t>
      </w:r>
      <w:r w:rsidR="00AC57D5">
        <w:rPr>
          <w:rFonts w:ascii="Arial" w:hAnsi="Arial" w:cs="Arial"/>
          <w:sz w:val="20"/>
          <w:szCs w:val="20"/>
          <w:lang w:val="bg-BG"/>
        </w:rPr>
        <w:t>ат</w:t>
      </w:r>
      <w:r>
        <w:rPr>
          <w:rFonts w:ascii="Arial" w:hAnsi="Arial" w:cs="Arial"/>
          <w:sz w:val="20"/>
          <w:szCs w:val="20"/>
          <w:lang w:val="bg-BG"/>
        </w:rPr>
        <w:t xml:space="preserve"> приходите на ВиКО. </w:t>
      </w:r>
      <w:r w:rsidR="002735E8" w:rsidRPr="00785B0F">
        <w:rPr>
          <w:rFonts w:ascii="Arial" w:hAnsi="Arial" w:cs="Arial"/>
          <w:sz w:val="20"/>
          <w:szCs w:val="20"/>
          <w:lang w:val="bg-BG"/>
        </w:rPr>
        <w:t xml:space="preserve"> </w:t>
      </w:r>
    </w:p>
    <w:p w14:paraId="2C9E6193" w14:textId="77777777" w:rsidR="00BD5864" w:rsidRPr="0051416F" w:rsidRDefault="00DF5BEE" w:rsidP="00BD5864">
      <w:pPr>
        <w:pStyle w:val="ListParagraph"/>
        <w:numPr>
          <w:ilvl w:val="0"/>
          <w:numId w:val="35"/>
        </w:numPr>
        <w:jc w:val="both"/>
        <w:rPr>
          <w:rFonts w:ascii="Arial" w:hAnsi="Arial" w:cs="Arial"/>
          <w:sz w:val="20"/>
          <w:szCs w:val="20"/>
          <w:lang w:val="bg-BG"/>
        </w:rPr>
      </w:pPr>
      <w:r>
        <w:rPr>
          <w:rFonts w:ascii="Arial" w:hAnsi="Arial" w:cs="Arial"/>
          <w:b/>
          <w:sz w:val="20"/>
          <w:szCs w:val="20"/>
          <w:lang w:val="bg-BG"/>
        </w:rPr>
        <w:t>Укрепване капацитета на ВиКО</w:t>
      </w:r>
      <w:r w:rsidR="00BD5864" w:rsidRPr="00627AB4">
        <w:rPr>
          <w:rFonts w:ascii="Arial" w:hAnsi="Arial" w:cs="Arial"/>
          <w:b/>
          <w:sz w:val="20"/>
          <w:szCs w:val="20"/>
          <w:lang w:val="bg-BG"/>
        </w:rPr>
        <w:t xml:space="preserve">. </w:t>
      </w:r>
      <w:r>
        <w:rPr>
          <w:rFonts w:ascii="Arial" w:hAnsi="Arial" w:cs="Arial"/>
          <w:sz w:val="20"/>
          <w:szCs w:val="20"/>
          <w:lang w:val="bg-BG"/>
        </w:rPr>
        <w:t>Важно е ВиКО</w:t>
      </w:r>
      <w:r w:rsidR="00BD5864">
        <w:rPr>
          <w:rFonts w:ascii="Arial" w:hAnsi="Arial" w:cs="Arial"/>
          <w:sz w:val="20"/>
          <w:szCs w:val="20"/>
          <w:lang w:val="bg-BG"/>
        </w:rPr>
        <w:t xml:space="preserve"> да изградят капацитет за управление на инвестиционни проекти и да </w:t>
      </w:r>
      <w:r w:rsidR="00AC57D5">
        <w:rPr>
          <w:rFonts w:ascii="Arial" w:hAnsi="Arial" w:cs="Arial"/>
          <w:sz w:val="20"/>
          <w:szCs w:val="20"/>
          <w:lang w:val="bg-BG"/>
        </w:rPr>
        <w:t>подобрят</w:t>
      </w:r>
      <w:r w:rsidR="001E0477">
        <w:rPr>
          <w:rFonts w:ascii="Arial" w:hAnsi="Arial" w:cs="Arial"/>
          <w:sz w:val="20"/>
          <w:szCs w:val="20"/>
          <w:lang w:val="bg-BG"/>
        </w:rPr>
        <w:t xml:space="preserve"> </w:t>
      </w:r>
      <w:r w:rsidR="00AC57D5">
        <w:rPr>
          <w:rFonts w:ascii="Arial" w:hAnsi="Arial" w:cs="Arial"/>
          <w:sz w:val="20"/>
          <w:szCs w:val="20"/>
          <w:lang w:val="bg-BG"/>
        </w:rPr>
        <w:t xml:space="preserve">своята </w:t>
      </w:r>
      <w:r w:rsidR="00BD5864">
        <w:rPr>
          <w:rFonts w:ascii="Arial" w:hAnsi="Arial" w:cs="Arial"/>
          <w:sz w:val="20"/>
          <w:szCs w:val="20"/>
          <w:lang w:val="bg-BG"/>
        </w:rPr>
        <w:t>финансова и оперативна дейност. Както е подчертано в предварителната оценка, ВиКО досега не са били краен получател на средства по ОПОС и в момента нямат нужния капацитет структурирано да подготвят и изпълняват инвестиционни проекти.</w:t>
      </w:r>
      <w:r w:rsidR="00BD5864" w:rsidRPr="0051416F">
        <w:rPr>
          <w:rFonts w:ascii="Arial" w:hAnsi="Arial" w:cs="Arial"/>
          <w:sz w:val="20"/>
          <w:szCs w:val="20"/>
          <w:lang w:val="bg-BG"/>
        </w:rPr>
        <w:t xml:space="preserve"> </w:t>
      </w:r>
      <w:r w:rsidR="00642F38">
        <w:rPr>
          <w:rFonts w:ascii="Arial" w:hAnsi="Arial" w:cs="Arial"/>
          <w:sz w:val="20"/>
          <w:szCs w:val="20"/>
          <w:lang w:val="bg-BG"/>
        </w:rPr>
        <w:t>П</w:t>
      </w:r>
      <w:r w:rsidR="00BD5864">
        <w:rPr>
          <w:rFonts w:ascii="Arial" w:hAnsi="Arial" w:cs="Arial"/>
          <w:sz w:val="20"/>
          <w:szCs w:val="20"/>
          <w:lang w:val="bg-BG"/>
        </w:rPr>
        <w:t xml:space="preserve">одкрепа на ВиКО </w:t>
      </w:r>
      <w:r w:rsidR="002735E8">
        <w:rPr>
          <w:rFonts w:ascii="Arial" w:hAnsi="Arial" w:cs="Arial"/>
          <w:sz w:val="20"/>
          <w:szCs w:val="20"/>
          <w:lang w:val="bg-BG"/>
        </w:rPr>
        <w:t>ще</w:t>
      </w:r>
      <w:r w:rsidR="00B22949">
        <w:rPr>
          <w:rFonts w:ascii="Arial" w:hAnsi="Arial" w:cs="Arial"/>
          <w:sz w:val="20"/>
          <w:szCs w:val="20"/>
          <w:lang w:val="bg-BG"/>
        </w:rPr>
        <w:t xml:space="preserve"> се предостави</w:t>
      </w:r>
      <w:r w:rsidR="00BD5864">
        <w:rPr>
          <w:rFonts w:ascii="Arial" w:hAnsi="Arial" w:cs="Arial"/>
          <w:sz w:val="20"/>
          <w:szCs w:val="20"/>
          <w:lang w:val="bg-BG"/>
        </w:rPr>
        <w:t xml:space="preserve"> чрез ОПОС 2014-2020 г., </w:t>
      </w:r>
      <w:r>
        <w:rPr>
          <w:rFonts w:ascii="Arial" w:hAnsi="Arial" w:cs="Arial"/>
          <w:sz w:val="20"/>
          <w:szCs w:val="20"/>
          <w:lang w:val="bg-BG"/>
        </w:rPr>
        <w:t xml:space="preserve">като обхватът </w:t>
      </w:r>
      <w:r w:rsidR="00642F38">
        <w:rPr>
          <w:rFonts w:ascii="Arial" w:hAnsi="Arial" w:cs="Arial"/>
          <w:sz w:val="20"/>
          <w:szCs w:val="20"/>
          <w:lang w:val="bg-BG"/>
        </w:rPr>
        <w:t xml:space="preserve">й </w:t>
      </w:r>
      <w:r>
        <w:rPr>
          <w:rFonts w:ascii="Arial" w:hAnsi="Arial" w:cs="Arial"/>
          <w:sz w:val="20"/>
          <w:szCs w:val="20"/>
          <w:lang w:val="bg-BG"/>
        </w:rPr>
        <w:t>ще бъде уточнен с МРРБ с оглед избягване на двойно финансиране</w:t>
      </w:r>
      <w:r w:rsidR="00386F32">
        <w:rPr>
          <w:rFonts w:ascii="Arial" w:hAnsi="Arial" w:cs="Arial"/>
          <w:sz w:val="20"/>
          <w:szCs w:val="20"/>
          <w:lang w:val="bg-BG"/>
        </w:rPr>
        <w:t>;</w:t>
      </w:r>
      <w:r w:rsidR="00386F32" w:rsidRPr="0051416F">
        <w:rPr>
          <w:rFonts w:ascii="Arial" w:hAnsi="Arial" w:cs="Arial"/>
          <w:sz w:val="20"/>
          <w:szCs w:val="20"/>
          <w:lang w:val="bg-BG"/>
        </w:rPr>
        <w:t xml:space="preserve"> </w:t>
      </w:r>
    </w:p>
    <w:p w14:paraId="53121E2A" w14:textId="77777777" w:rsidR="001E0477" w:rsidRPr="00D96F83" w:rsidRDefault="001E0477" w:rsidP="001E0477">
      <w:pPr>
        <w:pStyle w:val="ListParagraph"/>
        <w:numPr>
          <w:ilvl w:val="0"/>
          <w:numId w:val="35"/>
        </w:numPr>
        <w:jc w:val="both"/>
        <w:rPr>
          <w:rFonts w:ascii="Arial" w:hAnsi="Arial" w:cs="Arial"/>
          <w:sz w:val="20"/>
          <w:szCs w:val="20"/>
          <w:lang w:val="bg-BG"/>
        </w:rPr>
      </w:pPr>
      <w:r>
        <w:rPr>
          <w:rFonts w:ascii="Arial" w:hAnsi="Arial" w:cs="Arial"/>
          <w:b/>
          <w:sz w:val="20"/>
          <w:szCs w:val="20"/>
          <w:lang w:val="bg-BG"/>
        </w:rPr>
        <w:t>Навременното</w:t>
      </w:r>
      <w:r w:rsidRPr="00D96F83">
        <w:rPr>
          <w:rFonts w:ascii="Arial" w:hAnsi="Arial" w:cs="Arial"/>
          <w:b/>
          <w:sz w:val="20"/>
          <w:szCs w:val="20"/>
          <w:lang w:val="bg-BG"/>
        </w:rPr>
        <w:t xml:space="preserve"> завършване на </w:t>
      </w:r>
      <w:r>
        <w:rPr>
          <w:rFonts w:ascii="Arial" w:hAnsi="Arial" w:cs="Arial"/>
          <w:b/>
          <w:sz w:val="20"/>
          <w:szCs w:val="20"/>
          <w:lang w:val="bg-BG"/>
        </w:rPr>
        <w:t>РПИП</w:t>
      </w:r>
      <w:r w:rsidRPr="00D96F83">
        <w:rPr>
          <w:rFonts w:ascii="Arial" w:hAnsi="Arial" w:cs="Arial"/>
          <w:b/>
          <w:sz w:val="20"/>
          <w:szCs w:val="20"/>
          <w:lang w:val="bg-BG"/>
        </w:rPr>
        <w:t xml:space="preserve"> </w:t>
      </w:r>
      <w:r>
        <w:rPr>
          <w:rFonts w:ascii="Arial" w:hAnsi="Arial" w:cs="Arial"/>
          <w:sz w:val="20"/>
          <w:szCs w:val="20"/>
          <w:lang w:val="bg-BG"/>
        </w:rPr>
        <w:t>за всеки консолидиран</w:t>
      </w:r>
      <w:r w:rsidRPr="00D96F83">
        <w:rPr>
          <w:rFonts w:ascii="Arial" w:hAnsi="Arial" w:cs="Arial"/>
          <w:sz w:val="20"/>
          <w:szCs w:val="20"/>
          <w:lang w:val="bg-BG"/>
        </w:rPr>
        <w:t xml:space="preserve"> ВиКО е също ключово условие за </w:t>
      </w:r>
      <w:r>
        <w:rPr>
          <w:rFonts w:ascii="Arial" w:hAnsi="Arial" w:cs="Arial"/>
          <w:sz w:val="20"/>
          <w:szCs w:val="20"/>
          <w:lang w:val="bg-BG"/>
        </w:rPr>
        <w:t>успешното прилагане</w:t>
      </w:r>
      <w:r w:rsidRPr="00D96F83">
        <w:rPr>
          <w:rFonts w:ascii="Arial" w:hAnsi="Arial" w:cs="Arial"/>
          <w:sz w:val="20"/>
          <w:szCs w:val="20"/>
          <w:lang w:val="bg-BG"/>
        </w:rPr>
        <w:t xml:space="preserve"> на финансови</w:t>
      </w:r>
      <w:r>
        <w:rPr>
          <w:rFonts w:ascii="Arial" w:hAnsi="Arial" w:cs="Arial"/>
          <w:sz w:val="20"/>
          <w:szCs w:val="20"/>
          <w:lang w:val="bg-BG"/>
        </w:rPr>
        <w:t>те продукти, тъй</w:t>
      </w:r>
      <w:r w:rsidRPr="00D96F83">
        <w:rPr>
          <w:rFonts w:ascii="Arial" w:hAnsi="Arial" w:cs="Arial"/>
          <w:sz w:val="20"/>
          <w:szCs w:val="20"/>
          <w:lang w:val="bg-BG"/>
        </w:rPr>
        <w:t xml:space="preserve"> </w:t>
      </w:r>
      <w:r w:rsidRPr="006D4D94">
        <w:rPr>
          <w:rFonts w:ascii="Arial" w:hAnsi="Arial" w:cs="Arial"/>
          <w:sz w:val="20"/>
          <w:szCs w:val="20"/>
          <w:lang w:val="bg-BG"/>
        </w:rPr>
        <w:t xml:space="preserve">като </w:t>
      </w:r>
      <w:r>
        <w:rPr>
          <w:rFonts w:ascii="Arial" w:hAnsi="Arial" w:cs="Arial"/>
          <w:sz w:val="20"/>
          <w:szCs w:val="20"/>
          <w:lang w:val="bg-BG"/>
        </w:rPr>
        <w:t>списъкът с потенциални проекти (</w:t>
      </w:r>
      <w:r w:rsidRPr="006D4D94">
        <w:rPr>
          <w:rFonts w:ascii="Arial" w:hAnsi="Arial" w:cs="Arial"/>
          <w:sz w:val="20"/>
          <w:szCs w:val="20"/>
          <w:lang w:val="bg-BG"/>
        </w:rPr>
        <w:t>и съответно</w:t>
      </w:r>
      <w:r>
        <w:rPr>
          <w:rFonts w:ascii="Arial" w:hAnsi="Arial" w:cs="Arial"/>
          <w:sz w:val="20"/>
          <w:szCs w:val="20"/>
          <w:lang w:val="bg-BG"/>
        </w:rPr>
        <w:t xml:space="preserve"> потенциални</w:t>
      </w:r>
      <w:r w:rsidRPr="006D4D94">
        <w:rPr>
          <w:rFonts w:ascii="Arial" w:hAnsi="Arial" w:cs="Arial"/>
          <w:sz w:val="20"/>
          <w:szCs w:val="20"/>
          <w:lang w:val="bg-BG"/>
        </w:rPr>
        <w:t xml:space="preserve"> крайни получатели) трябва да бъде ясно дефиниран</w:t>
      </w:r>
      <w:r w:rsidR="002735E8">
        <w:rPr>
          <w:rFonts w:ascii="Arial" w:hAnsi="Arial" w:cs="Arial"/>
          <w:sz w:val="20"/>
          <w:szCs w:val="20"/>
          <w:lang w:val="bg-BG"/>
        </w:rPr>
        <w:t xml:space="preserve"> в рамките на РПИП</w:t>
      </w:r>
      <w:r w:rsidRPr="00D96F83">
        <w:rPr>
          <w:rFonts w:ascii="Arial" w:hAnsi="Arial" w:cs="Arial"/>
          <w:sz w:val="20"/>
          <w:szCs w:val="20"/>
          <w:lang w:val="bg-BG"/>
        </w:rPr>
        <w:t xml:space="preserve">. </w:t>
      </w:r>
    </w:p>
    <w:p w14:paraId="791C2252" w14:textId="77777777" w:rsidR="001E0477" w:rsidRPr="00642F38" w:rsidRDefault="001E0477" w:rsidP="00DB1FFB">
      <w:pPr>
        <w:pStyle w:val="ListParagraph"/>
        <w:numPr>
          <w:ilvl w:val="0"/>
          <w:numId w:val="35"/>
        </w:numPr>
        <w:jc w:val="both"/>
        <w:rPr>
          <w:rFonts w:ascii="Arial" w:hAnsi="Arial" w:cs="Arial"/>
          <w:sz w:val="20"/>
          <w:szCs w:val="20"/>
          <w:lang w:val="bg-BG"/>
        </w:rPr>
      </w:pPr>
      <w:r w:rsidRPr="00642F38">
        <w:rPr>
          <w:rFonts w:ascii="Arial" w:hAnsi="Arial" w:cs="Arial"/>
          <w:b/>
          <w:sz w:val="20"/>
          <w:szCs w:val="20"/>
          <w:lang w:val="bg-BG"/>
        </w:rPr>
        <w:t xml:space="preserve">Признаване </w:t>
      </w:r>
      <w:r w:rsidR="00DB1FFB" w:rsidRPr="003C78AA">
        <w:rPr>
          <w:rFonts w:ascii="Arial" w:hAnsi="Arial" w:cs="Arial"/>
          <w:b/>
          <w:sz w:val="20"/>
          <w:szCs w:val="20"/>
          <w:lang w:val="bg-BG"/>
        </w:rPr>
        <w:t xml:space="preserve">от БНБ, </w:t>
      </w:r>
      <w:r w:rsidR="00DB1FFB" w:rsidRPr="008B5547">
        <w:rPr>
          <w:rFonts w:ascii="Arial" w:hAnsi="Arial" w:cs="Arial"/>
          <w:sz w:val="20"/>
          <w:szCs w:val="20"/>
          <w:lang w:val="bg-BG"/>
        </w:rPr>
        <w:t xml:space="preserve">че </w:t>
      </w:r>
      <w:r w:rsidRPr="008B5547">
        <w:rPr>
          <w:rFonts w:ascii="Arial" w:hAnsi="Arial" w:cs="Arial"/>
          <w:sz w:val="20"/>
          <w:szCs w:val="20"/>
          <w:lang w:val="bg-BG"/>
        </w:rPr>
        <w:t>гаранциите, предоставяни от специалната инвестиционна структура (DIV)</w:t>
      </w:r>
      <w:r w:rsidR="003D399E" w:rsidRPr="008B5547">
        <w:rPr>
          <w:rFonts w:ascii="Arial" w:hAnsi="Arial" w:cs="Arial"/>
          <w:sz w:val="20"/>
          <w:szCs w:val="20"/>
          <w:lang w:val="bg-BG"/>
        </w:rPr>
        <w:t xml:space="preserve"> </w:t>
      </w:r>
      <w:r w:rsidR="00D3574E" w:rsidRPr="008B5547">
        <w:rPr>
          <w:rFonts w:ascii="Arial" w:hAnsi="Arial" w:cs="Arial"/>
          <w:sz w:val="20"/>
          <w:szCs w:val="20"/>
          <w:lang w:val="bg-BG"/>
        </w:rPr>
        <w:t xml:space="preserve">или от ФМФИБ ЕАД </w:t>
      </w:r>
      <w:r w:rsidR="003D399E" w:rsidRPr="008B5547">
        <w:rPr>
          <w:rFonts w:ascii="Arial" w:hAnsi="Arial" w:cs="Arial"/>
          <w:sz w:val="20"/>
          <w:szCs w:val="20"/>
          <w:lang w:val="bg-BG"/>
        </w:rPr>
        <w:t>могат да предоставят</w:t>
      </w:r>
      <w:r w:rsidR="00584EB4" w:rsidRPr="008B5547">
        <w:rPr>
          <w:rFonts w:ascii="Arial" w:hAnsi="Arial" w:cs="Arial"/>
          <w:sz w:val="20"/>
          <w:szCs w:val="20"/>
          <w:lang w:val="bg-BG"/>
        </w:rPr>
        <w:t xml:space="preserve"> </w:t>
      </w:r>
      <w:r w:rsidRPr="008B5547">
        <w:rPr>
          <w:rFonts w:ascii="Arial" w:hAnsi="Arial" w:cs="Arial"/>
          <w:sz w:val="20"/>
          <w:szCs w:val="20"/>
          <w:lang w:val="bg-BG"/>
        </w:rPr>
        <w:t>капиталови облекчения</w:t>
      </w:r>
      <w:r w:rsidRPr="00642F38">
        <w:rPr>
          <w:rFonts w:ascii="Arial" w:hAnsi="Arial" w:cs="Arial"/>
          <w:b/>
          <w:sz w:val="20"/>
          <w:szCs w:val="20"/>
          <w:lang w:val="bg-BG"/>
        </w:rPr>
        <w:t xml:space="preserve"> </w:t>
      </w:r>
      <w:r w:rsidR="00DB1FFB" w:rsidRPr="00642F38">
        <w:rPr>
          <w:rFonts w:ascii="Arial" w:hAnsi="Arial" w:cs="Arial"/>
          <w:sz w:val="20"/>
          <w:szCs w:val="20"/>
          <w:lang w:val="bg-BG"/>
        </w:rPr>
        <w:t xml:space="preserve">на </w:t>
      </w:r>
      <w:r w:rsidRPr="00642F38">
        <w:rPr>
          <w:rFonts w:ascii="Arial" w:hAnsi="Arial" w:cs="Arial"/>
          <w:sz w:val="20"/>
          <w:szCs w:val="20"/>
          <w:lang w:val="bg-BG"/>
        </w:rPr>
        <w:t>търговските банки.</w:t>
      </w:r>
      <w:r w:rsidRPr="00642F38">
        <w:rPr>
          <w:rFonts w:ascii="Arial" w:hAnsi="Arial" w:cs="Arial"/>
          <w:b/>
          <w:sz w:val="20"/>
          <w:szCs w:val="20"/>
          <w:lang w:val="bg-BG"/>
        </w:rPr>
        <w:t xml:space="preserve"> </w:t>
      </w:r>
    </w:p>
    <w:p w14:paraId="475DA7AA" w14:textId="77777777" w:rsidR="00BC4D37" w:rsidRPr="00DC6802" w:rsidRDefault="00DC6802" w:rsidP="005E151F">
      <w:pPr>
        <w:pStyle w:val="Heading3"/>
        <w:numPr>
          <w:ilvl w:val="0"/>
          <w:numId w:val="17"/>
        </w:numPr>
        <w:spacing w:after="120"/>
        <w:ind w:left="714" w:hanging="357"/>
        <w:rPr>
          <w:rFonts w:ascii="Arial" w:hAnsi="Arial" w:cs="Arial"/>
          <w:b/>
          <w:color w:val="4F81BD" w:themeColor="accent1"/>
          <w:sz w:val="20"/>
          <w:szCs w:val="20"/>
          <w:lang w:val="bg-BG"/>
        </w:rPr>
      </w:pPr>
      <w:bookmarkStart w:id="21" w:name="_Toc503798475"/>
      <w:r w:rsidRPr="00DC6802">
        <w:rPr>
          <w:rFonts w:ascii="Arial" w:hAnsi="Arial" w:cs="Arial"/>
          <w:b/>
          <w:color w:val="4F81BD" w:themeColor="accent1"/>
          <w:sz w:val="20"/>
          <w:szCs w:val="20"/>
          <w:lang w:val="bg-BG"/>
        </w:rPr>
        <w:t>Източници на съ</w:t>
      </w:r>
      <w:r>
        <w:rPr>
          <w:rFonts w:ascii="Arial" w:hAnsi="Arial" w:cs="Arial"/>
          <w:b/>
          <w:color w:val="4F81BD" w:themeColor="accent1"/>
          <w:sz w:val="20"/>
          <w:szCs w:val="20"/>
          <w:lang w:val="bg-BG"/>
        </w:rPr>
        <w:t>ин</w:t>
      </w:r>
      <w:r w:rsidR="00FF3268">
        <w:rPr>
          <w:rFonts w:ascii="Arial" w:hAnsi="Arial" w:cs="Arial"/>
          <w:b/>
          <w:color w:val="4F81BD" w:themeColor="accent1"/>
          <w:sz w:val="20"/>
          <w:szCs w:val="20"/>
          <w:lang w:val="bg-BG"/>
        </w:rPr>
        <w:t>вестиране</w:t>
      </w:r>
      <w:r>
        <w:rPr>
          <w:rFonts w:ascii="Arial" w:hAnsi="Arial" w:cs="Arial"/>
          <w:b/>
          <w:color w:val="4F81BD" w:themeColor="accent1"/>
          <w:sz w:val="20"/>
          <w:szCs w:val="20"/>
          <w:lang w:val="bg-BG"/>
        </w:rPr>
        <w:t xml:space="preserve"> (</w:t>
      </w:r>
      <w:r>
        <w:rPr>
          <w:rFonts w:ascii="Arial" w:hAnsi="Arial" w:cs="Arial"/>
          <w:b/>
          <w:color w:val="4F81BD" w:themeColor="accent1"/>
          <w:sz w:val="20"/>
          <w:szCs w:val="20"/>
        </w:rPr>
        <w:t>co</w:t>
      </w:r>
      <w:r w:rsidRPr="00DC6802">
        <w:rPr>
          <w:rFonts w:ascii="Arial" w:hAnsi="Arial" w:cs="Arial"/>
          <w:b/>
          <w:color w:val="4F81BD" w:themeColor="accent1"/>
          <w:sz w:val="20"/>
          <w:szCs w:val="20"/>
          <w:lang w:val="bg-BG"/>
        </w:rPr>
        <w:t>-</w:t>
      </w:r>
      <w:r>
        <w:rPr>
          <w:rFonts w:ascii="Arial" w:hAnsi="Arial" w:cs="Arial"/>
          <w:b/>
          <w:color w:val="4F81BD" w:themeColor="accent1"/>
          <w:sz w:val="20"/>
          <w:szCs w:val="20"/>
        </w:rPr>
        <w:t>investment</w:t>
      </w:r>
      <w:r w:rsidRPr="00DC6802">
        <w:rPr>
          <w:rFonts w:ascii="Arial" w:hAnsi="Arial" w:cs="Arial"/>
          <w:b/>
          <w:color w:val="4F81BD" w:themeColor="accent1"/>
          <w:sz w:val="20"/>
          <w:szCs w:val="20"/>
          <w:lang w:val="bg-BG"/>
        </w:rPr>
        <w:t xml:space="preserve">) и </w:t>
      </w:r>
      <w:r>
        <w:rPr>
          <w:rFonts w:ascii="Arial" w:hAnsi="Arial" w:cs="Arial"/>
          <w:b/>
          <w:color w:val="4F81BD" w:themeColor="accent1"/>
          <w:sz w:val="20"/>
          <w:szCs w:val="20"/>
          <w:lang w:val="bg-BG"/>
        </w:rPr>
        <w:t>съ</w:t>
      </w:r>
      <w:r w:rsidRPr="00DC6802">
        <w:rPr>
          <w:rFonts w:ascii="Arial" w:hAnsi="Arial" w:cs="Arial"/>
          <w:b/>
          <w:color w:val="4F81BD" w:themeColor="accent1"/>
          <w:sz w:val="20"/>
          <w:szCs w:val="20"/>
          <w:lang w:val="bg-BG"/>
        </w:rPr>
        <w:t>финансиране (</w:t>
      </w:r>
      <w:r>
        <w:rPr>
          <w:rFonts w:ascii="Arial" w:hAnsi="Arial" w:cs="Arial"/>
          <w:b/>
          <w:color w:val="4F81BD" w:themeColor="accent1"/>
          <w:sz w:val="20"/>
          <w:szCs w:val="20"/>
        </w:rPr>
        <w:t>co</w:t>
      </w:r>
      <w:r w:rsidRPr="00DC6802">
        <w:rPr>
          <w:rFonts w:ascii="Arial" w:hAnsi="Arial" w:cs="Arial"/>
          <w:b/>
          <w:color w:val="4F81BD" w:themeColor="accent1"/>
          <w:sz w:val="20"/>
          <w:szCs w:val="20"/>
          <w:lang w:val="bg-BG"/>
        </w:rPr>
        <w:t>-</w:t>
      </w:r>
      <w:r>
        <w:rPr>
          <w:rFonts w:ascii="Arial" w:hAnsi="Arial" w:cs="Arial"/>
          <w:b/>
          <w:color w:val="4F81BD" w:themeColor="accent1"/>
          <w:sz w:val="20"/>
          <w:szCs w:val="20"/>
        </w:rPr>
        <w:t>financing</w:t>
      </w:r>
      <w:r w:rsidRPr="00DC6802">
        <w:rPr>
          <w:rFonts w:ascii="Arial" w:hAnsi="Arial" w:cs="Arial"/>
          <w:b/>
          <w:color w:val="4F81BD" w:themeColor="accent1"/>
          <w:sz w:val="20"/>
          <w:szCs w:val="20"/>
          <w:lang w:val="bg-BG"/>
        </w:rPr>
        <w:t>)</w:t>
      </w:r>
      <w:bookmarkEnd w:id="21"/>
    </w:p>
    <w:p w14:paraId="6EF5F29B" w14:textId="77777777" w:rsidR="00DC6802" w:rsidRDefault="00DC6802" w:rsidP="008F2C0C">
      <w:pPr>
        <w:jc w:val="both"/>
        <w:rPr>
          <w:rFonts w:ascii="Arial" w:hAnsi="Arial" w:cs="Arial"/>
          <w:sz w:val="20"/>
          <w:szCs w:val="20"/>
          <w:lang w:val="bg-BG"/>
        </w:rPr>
      </w:pPr>
      <w:r>
        <w:rPr>
          <w:rFonts w:ascii="Arial" w:hAnsi="Arial" w:cs="Arial"/>
          <w:sz w:val="20"/>
          <w:szCs w:val="20"/>
          <w:lang w:val="bg-BG"/>
        </w:rPr>
        <w:t>Въз основа на предварителната оценка и допълнителния пазарен анализ, изготвен за целите на настоящата ИС, идентифицираните източници на съ</w:t>
      </w:r>
      <w:r w:rsidR="00FF3268">
        <w:rPr>
          <w:rFonts w:ascii="Arial" w:hAnsi="Arial" w:cs="Arial"/>
          <w:sz w:val="20"/>
          <w:szCs w:val="20"/>
          <w:lang w:val="bg-BG"/>
        </w:rPr>
        <w:t xml:space="preserve">инвестиране </w:t>
      </w:r>
      <w:r>
        <w:rPr>
          <w:rFonts w:ascii="Arial" w:hAnsi="Arial" w:cs="Arial"/>
          <w:sz w:val="20"/>
          <w:szCs w:val="20"/>
          <w:lang w:val="bg-BG"/>
        </w:rPr>
        <w:t>(</w:t>
      </w:r>
      <w:r w:rsidRPr="00DC6802">
        <w:rPr>
          <w:rFonts w:ascii="Arial" w:hAnsi="Arial" w:cs="Arial"/>
          <w:sz w:val="20"/>
          <w:szCs w:val="20"/>
          <w:lang w:val="bg-BG"/>
        </w:rPr>
        <w:t>co-investment</w:t>
      </w:r>
      <w:r>
        <w:rPr>
          <w:rFonts w:ascii="Arial" w:hAnsi="Arial" w:cs="Arial"/>
          <w:sz w:val="20"/>
          <w:szCs w:val="20"/>
          <w:lang w:val="bg-BG"/>
        </w:rPr>
        <w:t>) и на съфинансиране (</w:t>
      </w:r>
      <w:r w:rsidRPr="00DC6802">
        <w:rPr>
          <w:rFonts w:ascii="Arial" w:hAnsi="Arial" w:cs="Arial"/>
          <w:sz w:val="20"/>
          <w:szCs w:val="20"/>
          <w:lang w:val="bg-BG"/>
        </w:rPr>
        <w:t>co-financing</w:t>
      </w:r>
      <w:r>
        <w:rPr>
          <w:rFonts w:ascii="Arial" w:hAnsi="Arial" w:cs="Arial"/>
          <w:sz w:val="20"/>
          <w:szCs w:val="20"/>
          <w:lang w:val="bg-BG"/>
        </w:rPr>
        <w:t>) за предложените ФИ включват:</w:t>
      </w:r>
    </w:p>
    <w:p w14:paraId="6C6919F2" w14:textId="77777777" w:rsidR="00DC6802" w:rsidRPr="009A62A7" w:rsidRDefault="00DC6802" w:rsidP="00DC6802">
      <w:pPr>
        <w:spacing w:after="0"/>
        <w:jc w:val="both"/>
        <w:rPr>
          <w:rFonts w:ascii="Arial" w:hAnsi="Arial" w:cs="Arial"/>
          <w:sz w:val="20"/>
          <w:szCs w:val="20"/>
          <w:lang w:val="bg-BG"/>
        </w:rPr>
      </w:pPr>
      <w:r>
        <w:rPr>
          <w:rFonts w:ascii="Arial" w:hAnsi="Arial" w:cs="Arial"/>
          <w:sz w:val="20"/>
          <w:szCs w:val="20"/>
          <w:lang w:val="bg-BG"/>
        </w:rPr>
        <w:t>(1</w:t>
      </w:r>
      <w:r w:rsidRPr="009A62A7">
        <w:rPr>
          <w:rFonts w:ascii="Arial" w:hAnsi="Arial" w:cs="Arial"/>
          <w:sz w:val="20"/>
          <w:szCs w:val="20"/>
          <w:lang w:val="bg-BG"/>
        </w:rPr>
        <w:t>) М</w:t>
      </w:r>
      <w:r w:rsidR="00D3574E">
        <w:rPr>
          <w:rFonts w:ascii="Arial" w:hAnsi="Arial" w:cs="Arial"/>
          <w:sz w:val="20"/>
          <w:szCs w:val="20"/>
          <w:lang w:val="bg-BG"/>
        </w:rPr>
        <w:t>еждународни финансови институции</w:t>
      </w:r>
      <w:r>
        <w:rPr>
          <w:rFonts w:ascii="Arial" w:hAnsi="Arial" w:cs="Arial"/>
          <w:sz w:val="20"/>
          <w:szCs w:val="20"/>
          <w:lang w:val="bg-BG"/>
        </w:rPr>
        <w:t>;</w:t>
      </w:r>
    </w:p>
    <w:p w14:paraId="171539A6" w14:textId="77777777" w:rsidR="00DC6802" w:rsidRPr="009A62A7" w:rsidRDefault="00DC6802" w:rsidP="00DC6802">
      <w:pPr>
        <w:spacing w:after="0"/>
        <w:jc w:val="both"/>
        <w:rPr>
          <w:rFonts w:ascii="Arial" w:hAnsi="Arial" w:cs="Arial"/>
          <w:sz w:val="20"/>
          <w:szCs w:val="20"/>
          <w:lang w:val="bg-BG"/>
        </w:rPr>
      </w:pPr>
      <w:r>
        <w:rPr>
          <w:rFonts w:ascii="Arial" w:hAnsi="Arial" w:cs="Arial"/>
          <w:sz w:val="20"/>
          <w:szCs w:val="20"/>
          <w:lang w:val="bg-BG"/>
        </w:rPr>
        <w:t>(2</w:t>
      </w:r>
      <w:r w:rsidRPr="009A62A7">
        <w:rPr>
          <w:rFonts w:ascii="Arial" w:hAnsi="Arial" w:cs="Arial"/>
          <w:sz w:val="20"/>
          <w:szCs w:val="20"/>
          <w:lang w:val="bg-BG"/>
        </w:rPr>
        <w:t>) Местни търговски банки</w:t>
      </w:r>
      <w:r w:rsidR="00FF3268">
        <w:rPr>
          <w:rFonts w:ascii="Arial" w:hAnsi="Arial" w:cs="Arial"/>
          <w:sz w:val="20"/>
          <w:szCs w:val="20"/>
          <w:lang w:val="bg-BG"/>
        </w:rPr>
        <w:t>;</w:t>
      </w:r>
    </w:p>
    <w:p w14:paraId="24515BF7" w14:textId="77777777" w:rsidR="00D12A24" w:rsidRDefault="00DC6802" w:rsidP="000B327F">
      <w:pPr>
        <w:spacing w:after="0"/>
        <w:jc w:val="both"/>
        <w:rPr>
          <w:rFonts w:ascii="Arial" w:hAnsi="Arial" w:cs="Arial"/>
          <w:sz w:val="20"/>
          <w:szCs w:val="20"/>
          <w:lang w:val="bg-BG"/>
        </w:rPr>
      </w:pPr>
      <w:r>
        <w:rPr>
          <w:rFonts w:ascii="Arial" w:hAnsi="Arial" w:cs="Arial"/>
          <w:sz w:val="20"/>
          <w:szCs w:val="20"/>
          <w:lang w:val="bg-BG"/>
        </w:rPr>
        <w:t>(3</w:t>
      </w:r>
      <w:r w:rsidRPr="009A62A7">
        <w:rPr>
          <w:rFonts w:ascii="Arial" w:hAnsi="Arial" w:cs="Arial"/>
          <w:sz w:val="20"/>
          <w:szCs w:val="20"/>
          <w:lang w:val="bg-BG"/>
        </w:rPr>
        <w:t>) Други частни инвеститори</w:t>
      </w:r>
      <w:r w:rsidR="001A25CB">
        <w:rPr>
          <w:rFonts w:ascii="Arial" w:hAnsi="Arial" w:cs="Arial"/>
          <w:sz w:val="20"/>
          <w:szCs w:val="20"/>
          <w:lang w:val="bg-BG"/>
        </w:rPr>
        <w:t>.</w:t>
      </w:r>
      <w:r w:rsidR="002735E8">
        <w:rPr>
          <w:rFonts w:ascii="Arial" w:hAnsi="Arial" w:cs="Arial"/>
          <w:sz w:val="20"/>
          <w:szCs w:val="20"/>
          <w:lang w:val="bg-BG"/>
        </w:rPr>
        <w:t xml:space="preserve"> </w:t>
      </w:r>
    </w:p>
    <w:p w14:paraId="6041D138" w14:textId="77777777" w:rsidR="00DC6802" w:rsidRPr="009A62A7" w:rsidRDefault="00DC6802" w:rsidP="00DC6802">
      <w:pPr>
        <w:spacing w:after="0"/>
        <w:jc w:val="both"/>
        <w:rPr>
          <w:rFonts w:ascii="Arial" w:hAnsi="Arial" w:cs="Arial"/>
          <w:sz w:val="20"/>
          <w:szCs w:val="20"/>
          <w:lang w:val="bg-BG"/>
        </w:rPr>
      </w:pPr>
      <w:r>
        <w:rPr>
          <w:rFonts w:ascii="Arial" w:hAnsi="Arial" w:cs="Arial"/>
          <w:sz w:val="20"/>
          <w:szCs w:val="20"/>
          <w:lang w:val="bg-BG"/>
        </w:rPr>
        <w:t xml:space="preserve">Горепосочените организации могат да предоставят финансиране на следните три нива: </w:t>
      </w:r>
    </w:p>
    <w:p w14:paraId="58043DEA" w14:textId="77777777" w:rsidR="00DC6802" w:rsidRPr="0051416F" w:rsidRDefault="00DC6802" w:rsidP="00DC6802">
      <w:pPr>
        <w:spacing w:after="0"/>
        <w:jc w:val="both"/>
        <w:rPr>
          <w:rFonts w:ascii="Arial" w:hAnsi="Arial" w:cs="Arial"/>
          <w:sz w:val="20"/>
          <w:szCs w:val="20"/>
          <w:lang w:val="bg-BG"/>
        </w:rPr>
      </w:pPr>
      <w:r w:rsidRPr="0051416F">
        <w:rPr>
          <w:rFonts w:ascii="Arial" w:hAnsi="Arial" w:cs="Arial"/>
          <w:sz w:val="20"/>
          <w:szCs w:val="20"/>
          <w:lang w:val="bg-BG"/>
        </w:rPr>
        <w:t>(</w:t>
      </w:r>
      <w:r w:rsidRPr="00DC6802">
        <w:rPr>
          <w:rFonts w:ascii="Arial" w:hAnsi="Arial" w:cs="Arial"/>
          <w:sz w:val="20"/>
          <w:szCs w:val="20"/>
          <w:lang w:val="bg-BG"/>
        </w:rPr>
        <w:t>1</w:t>
      </w:r>
      <w:r w:rsidRPr="0051416F">
        <w:rPr>
          <w:rFonts w:ascii="Arial" w:hAnsi="Arial" w:cs="Arial"/>
          <w:sz w:val="20"/>
          <w:szCs w:val="20"/>
          <w:lang w:val="bg-BG"/>
        </w:rPr>
        <w:t xml:space="preserve">) </w:t>
      </w:r>
      <w:r>
        <w:rPr>
          <w:rFonts w:ascii="Arial" w:hAnsi="Arial" w:cs="Arial"/>
          <w:sz w:val="20"/>
          <w:szCs w:val="20"/>
          <w:lang w:val="bg-BG"/>
        </w:rPr>
        <w:t xml:space="preserve">На ниво </w:t>
      </w:r>
      <w:r w:rsidR="002735E8">
        <w:rPr>
          <w:rFonts w:ascii="Arial" w:hAnsi="Arial" w:cs="Arial"/>
          <w:sz w:val="20"/>
          <w:szCs w:val="20"/>
          <w:lang w:val="bg-BG"/>
        </w:rPr>
        <w:t>ФнФ</w:t>
      </w:r>
      <w:r w:rsidR="00FF3268">
        <w:rPr>
          <w:rFonts w:ascii="Arial" w:hAnsi="Arial" w:cs="Arial"/>
          <w:sz w:val="20"/>
          <w:szCs w:val="20"/>
          <w:lang w:val="bg-BG"/>
        </w:rPr>
        <w:t>;</w:t>
      </w:r>
    </w:p>
    <w:p w14:paraId="35C81B6A" w14:textId="77777777" w:rsidR="00DC6802" w:rsidRPr="009A62A7" w:rsidRDefault="00DC6802" w:rsidP="00DC6802">
      <w:pPr>
        <w:spacing w:after="0"/>
        <w:jc w:val="both"/>
        <w:rPr>
          <w:rFonts w:ascii="Arial" w:hAnsi="Arial" w:cs="Arial"/>
          <w:sz w:val="20"/>
          <w:szCs w:val="20"/>
          <w:lang w:val="bg-BG"/>
        </w:rPr>
      </w:pPr>
      <w:r w:rsidRPr="0051416F">
        <w:rPr>
          <w:rFonts w:ascii="Arial" w:hAnsi="Arial" w:cs="Arial"/>
          <w:sz w:val="20"/>
          <w:szCs w:val="20"/>
          <w:lang w:val="bg-BG"/>
        </w:rPr>
        <w:t>(</w:t>
      </w:r>
      <w:r w:rsidRPr="00DC6802">
        <w:rPr>
          <w:rFonts w:ascii="Arial" w:hAnsi="Arial" w:cs="Arial"/>
          <w:sz w:val="20"/>
          <w:szCs w:val="20"/>
          <w:lang w:val="bg-BG"/>
        </w:rPr>
        <w:t>2</w:t>
      </w:r>
      <w:r w:rsidRPr="0051416F">
        <w:rPr>
          <w:rFonts w:ascii="Arial" w:hAnsi="Arial" w:cs="Arial"/>
          <w:sz w:val="20"/>
          <w:szCs w:val="20"/>
          <w:lang w:val="bg-BG"/>
        </w:rPr>
        <w:t xml:space="preserve">) </w:t>
      </w:r>
      <w:r>
        <w:rPr>
          <w:rFonts w:ascii="Arial" w:hAnsi="Arial" w:cs="Arial"/>
          <w:sz w:val="20"/>
          <w:szCs w:val="20"/>
          <w:lang w:val="bg-BG"/>
        </w:rPr>
        <w:t xml:space="preserve">На ниво </w:t>
      </w:r>
      <w:r>
        <w:rPr>
          <w:rFonts w:ascii="Arial" w:eastAsia="Times New Roman" w:hAnsi="Arial" w:cs="Arial"/>
          <w:color w:val="000000"/>
          <w:sz w:val="20"/>
          <w:szCs w:val="20"/>
          <w:lang w:val="bg-BG" w:eastAsia="zh-CN"/>
        </w:rPr>
        <w:t>с</w:t>
      </w:r>
      <w:r w:rsidRPr="009A62A7">
        <w:rPr>
          <w:rFonts w:ascii="Arial" w:eastAsia="Times New Roman" w:hAnsi="Arial" w:cs="Arial"/>
          <w:color w:val="000000"/>
          <w:sz w:val="20"/>
          <w:szCs w:val="20"/>
          <w:lang w:val="bg-BG" w:eastAsia="zh-CN"/>
        </w:rPr>
        <w:t>пец</w:t>
      </w:r>
      <w:r>
        <w:rPr>
          <w:rFonts w:ascii="Arial" w:eastAsia="Times New Roman" w:hAnsi="Arial" w:cs="Arial"/>
          <w:color w:val="000000"/>
          <w:sz w:val="20"/>
          <w:szCs w:val="20"/>
          <w:lang w:val="bg-BG" w:eastAsia="zh-CN"/>
        </w:rPr>
        <w:t>иалн</w:t>
      </w:r>
      <w:r w:rsidR="00A167F2">
        <w:rPr>
          <w:rFonts w:ascii="Arial" w:eastAsia="Times New Roman" w:hAnsi="Arial" w:cs="Arial"/>
          <w:color w:val="000000"/>
          <w:sz w:val="20"/>
          <w:szCs w:val="20"/>
          <w:lang w:val="bg-BG" w:eastAsia="zh-CN"/>
        </w:rPr>
        <w:t>а</w:t>
      </w:r>
      <w:r w:rsidRPr="009A62A7">
        <w:rPr>
          <w:rFonts w:ascii="Arial" w:eastAsia="Times New Roman" w:hAnsi="Arial" w:cs="Arial"/>
          <w:color w:val="000000"/>
          <w:sz w:val="20"/>
          <w:szCs w:val="20"/>
          <w:lang w:val="bg-BG" w:eastAsia="zh-CN"/>
        </w:rPr>
        <w:t xml:space="preserve"> инвестиционн</w:t>
      </w:r>
      <w:r w:rsidR="00A167F2">
        <w:rPr>
          <w:rFonts w:ascii="Arial" w:eastAsia="Times New Roman" w:hAnsi="Arial" w:cs="Arial"/>
          <w:color w:val="000000"/>
          <w:sz w:val="20"/>
          <w:szCs w:val="20"/>
          <w:lang w:val="bg-BG" w:eastAsia="zh-CN"/>
        </w:rPr>
        <w:t>а</w:t>
      </w:r>
      <w:r w:rsidRPr="009A62A7">
        <w:rPr>
          <w:rFonts w:ascii="Arial" w:eastAsia="Times New Roman" w:hAnsi="Arial" w:cs="Arial"/>
          <w:color w:val="000000"/>
          <w:sz w:val="20"/>
          <w:szCs w:val="20"/>
          <w:lang w:val="bg-BG" w:eastAsia="zh-CN"/>
        </w:rPr>
        <w:t xml:space="preserve"> структур</w:t>
      </w:r>
      <w:r w:rsidR="00A167F2">
        <w:rPr>
          <w:rFonts w:ascii="Arial" w:eastAsia="Times New Roman" w:hAnsi="Arial" w:cs="Arial"/>
          <w:color w:val="000000"/>
          <w:sz w:val="20"/>
          <w:szCs w:val="20"/>
          <w:lang w:val="bg-BG" w:eastAsia="zh-CN"/>
        </w:rPr>
        <w:t>а</w:t>
      </w:r>
      <w:r w:rsidRPr="009A62A7">
        <w:rPr>
          <w:rFonts w:ascii="Arial" w:eastAsia="Times New Roman" w:hAnsi="Arial" w:cs="Arial"/>
          <w:color w:val="000000"/>
          <w:sz w:val="20"/>
          <w:szCs w:val="20"/>
          <w:lang w:val="bg-BG" w:eastAsia="zh-CN"/>
        </w:rPr>
        <w:t xml:space="preserve"> (DIV)</w:t>
      </w:r>
      <w:r w:rsidRPr="009A62A7">
        <w:rPr>
          <w:rFonts w:ascii="Arial" w:hAnsi="Arial" w:cs="Arial"/>
          <w:sz w:val="20"/>
          <w:szCs w:val="20"/>
          <w:lang w:val="bg-BG"/>
        </w:rPr>
        <w:t xml:space="preserve"> </w:t>
      </w:r>
      <w:r w:rsidRPr="0051416F">
        <w:rPr>
          <w:rFonts w:ascii="Arial" w:hAnsi="Arial" w:cs="Arial"/>
          <w:sz w:val="20"/>
          <w:szCs w:val="20"/>
          <w:lang w:val="bg-BG"/>
        </w:rPr>
        <w:t>(</w:t>
      </w:r>
      <w:r w:rsidR="00FF3268">
        <w:rPr>
          <w:rFonts w:ascii="Arial" w:hAnsi="Arial" w:cs="Arial"/>
          <w:sz w:val="20"/>
          <w:szCs w:val="20"/>
          <w:lang w:val="bg-BG"/>
        </w:rPr>
        <w:t>съинвестиране</w:t>
      </w:r>
      <w:r w:rsidRPr="0051416F">
        <w:rPr>
          <w:rFonts w:ascii="Arial" w:hAnsi="Arial" w:cs="Arial"/>
          <w:sz w:val="20"/>
          <w:szCs w:val="20"/>
          <w:lang w:val="bg-BG"/>
        </w:rPr>
        <w:t>)</w:t>
      </w:r>
      <w:r w:rsidR="00FF3268">
        <w:rPr>
          <w:rFonts w:ascii="Arial" w:hAnsi="Arial" w:cs="Arial"/>
          <w:sz w:val="20"/>
          <w:szCs w:val="20"/>
          <w:lang w:val="bg-BG"/>
        </w:rPr>
        <w:t>;</w:t>
      </w:r>
    </w:p>
    <w:p w14:paraId="58D09071" w14:textId="77777777" w:rsidR="00DC6802" w:rsidRPr="0051416F" w:rsidRDefault="00DC6802" w:rsidP="00DC6802">
      <w:pPr>
        <w:spacing w:after="0"/>
        <w:jc w:val="both"/>
        <w:rPr>
          <w:rFonts w:ascii="Arial" w:hAnsi="Arial" w:cs="Arial"/>
          <w:sz w:val="20"/>
          <w:szCs w:val="20"/>
          <w:lang w:val="bg-BG"/>
        </w:rPr>
      </w:pPr>
      <w:r w:rsidRPr="0051416F">
        <w:rPr>
          <w:rFonts w:ascii="Arial" w:hAnsi="Arial" w:cs="Arial"/>
          <w:sz w:val="20"/>
          <w:szCs w:val="20"/>
          <w:lang w:val="bg-BG"/>
        </w:rPr>
        <w:t>(</w:t>
      </w:r>
      <w:r w:rsidRPr="00DC6802">
        <w:rPr>
          <w:rFonts w:ascii="Arial" w:hAnsi="Arial" w:cs="Arial"/>
          <w:sz w:val="20"/>
          <w:szCs w:val="20"/>
          <w:lang w:val="bg-BG"/>
        </w:rPr>
        <w:t>3</w:t>
      </w:r>
      <w:r w:rsidRPr="0051416F">
        <w:rPr>
          <w:rFonts w:ascii="Arial" w:hAnsi="Arial" w:cs="Arial"/>
          <w:sz w:val="20"/>
          <w:szCs w:val="20"/>
          <w:lang w:val="bg-BG"/>
        </w:rPr>
        <w:t xml:space="preserve">) </w:t>
      </w:r>
      <w:r>
        <w:rPr>
          <w:rFonts w:ascii="Arial" w:hAnsi="Arial" w:cs="Arial"/>
          <w:sz w:val="20"/>
          <w:szCs w:val="20"/>
          <w:lang w:val="bg-BG"/>
        </w:rPr>
        <w:t>На ниво допустими инвестиционни проекти/ крайни получатели (съфинансиране)</w:t>
      </w:r>
      <w:r w:rsidR="00FF3268">
        <w:rPr>
          <w:rFonts w:ascii="Arial" w:hAnsi="Arial" w:cs="Arial"/>
          <w:sz w:val="20"/>
          <w:szCs w:val="20"/>
          <w:lang w:val="bg-BG"/>
        </w:rPr>
        <w:t>.</w:t>
      </w:r>
    </w:p>
    <w:p w14:paraId="54421E35" w14:textId="77777777" w:rsidR="005E0066" w:rsidRPr="00FF3268" w:rsidRDefault="005E0066" w:rsidP="000B327F">
      <w:pPr>
        <w:spacing w:after="0"/>
        <w:jc w:val="both"/>
        <w:rPr>
          <w:rFonts w:ascii="Arial" w:hAnsi="Arial" w:cs="Arial"/>
          <w:sz w:val="20"/>
          <w:szCs w:val="20"/>
          <w:lang w:val="bg-BG"/>
        </w:rPr>
      </w:pPr>
    </w:p>
    <w:p w14:paraId="078DCB52" w14:textId="77777777" w:rsidR="00DC6802" w:rsidRPr="00DC6802" w:rsidRDefault="00DC6802" w:rsidP="008F2C0C">
      <w:pPr>
        <w:jc w:val="both"/>
        <w:rPr>
          <w:rFonts w:ascii="Arial" w:hAnsi="Arial" w:cs="Arial"/>
          <w:sz w:val="20"/>
          <w:szCs w:val="20"/>
          <w:lang w:val="bg-BG"/>
        </w:rPr>
      </w:pPr>
      <w:r>
        <w:rPr>
          <w:rFonts w:ascii="Arial" w:hAnsi="Arial" w:cs="Arial"/>
          <w:sz w:val="20"/>
          <w:szCs w:val="20"/>
          <w:lang w:val="bg-BG"/>
        </w:rPr>
        <w:t>Финансирането може да бъде под формата на дълг</w:t>
      </w:r>
      <w:r w:rsidR="00AD5786">
        <w:rPr>
          <w:rFonts w:ascii="Arial" w:hAnsi="Arial" w:cs="Arial"/>
          <w:sz w:val="20"/>
          <w:szCs w:val="20"/>
          <w:lang w:val="bg-BG"/>
        </w:rPr>
        <w:t xml:space="preserve"> за всички нива</w:t>
      </w:r>
      <w:r>
        <w:rPr>
          <w:rFonts w:ascii="Arial" w:hAnsi="Arial" w:cs="Arial"/>
          <w:sz w:val="20"/>
          <w:szCs w:val="20"/>
          <w:lang w:val="bg-BG"/>
        </w:rPr>
        <w:t xml:space="preserve"> или капиталово </w:t>
      </w:r>
      <w:r w:rsidR="00FF3268">
        <w:rPr>
          <w:rFonts w:ascii="Arial" w:hAnsi="Arial" w:cs="Arial"/>
          <w:sz w:val="20"/>
          <w:szCs w:val="20"/>
          <w:lang w:val="bg-BG"/>
        </w:rPr>
        <w:t>финансиране</w:t>
      </w:r>
      <w:r w:rsidR="00AD5786">
        <w:rPr>
          <w:rFonts w:ascii="Arial" w:hAnsi="Arial" w:cs="Arial"/>
          <w:sz w:val="20"/>
          <w:szCs w:val="20"/>
          <w:lang w:val="bg-BG"/>
        </w:rPr>
        <w:t xml:space="preserve"> за ниво </w:t>
      </w:r>
      <w:r w:rsidR="00AD5786">
        <w:rPr>
          <w:rFonts w:ascii="Arial" w:hAnsi="Arial" w:cs="Arial"/>
          <w:sz w:val="20"/>
          <w:szCs w:val="20"/>
        </w:rPr>
        <w:t>DIV</w:t>
      </w:r>
      <w:r>
        <w:rPr>
          <w:rFonts w:ascii="Arial" w:hAnsi="Arial" w:cs="Arial"/>
          <w:sz w:val="20"/>
          <w:szCs w:val="20"/>
          <w:lang w:val="bg-BG"/>
        </w:rPr>
        <w:t xml:space="preserve">. Идентифицираните </w:t>
      </w:r>
      <w:r w:rsidR="00C67B0B">
        <w:rPr>
          <w:rFonts w:ascii="Arial" w:hAnsi="Arial" w:cs="Arial"/>
          <w:sz w:val="20"/>
          <w:szCs w:val="20"/>
          <w:lang w:val="bg-BG"/>
        </w:rPr>
        <w:t xml:space="preserve">при изготвянето на настоящата ИС </w:t>
      </w:r>
      <w:r>
        <w:rPr>
          <w:rFonts w:ascii="Arial" w:hAnsi="Arial" w:cs="Arial"/>
          <w:sz w:val="20"/>
          <w:szCs w:val="20"/>
          <w:lang w:val="bg-BG"/>
        </w:rPr>
        <w:t xml:space="preserve">съинвеститори не </w:t>
      </w:r>
      <w:r w:rsidR="00FF3268">
        <w:rPr>
          <w:rFonts w:ascii="Arial" w:hAnsi="Arial" w:cs="Arial"/>
          <w:sz w:val="20"/>
          <w:szCs w:val="20"/>
          <w:lang w:val="bg-BG"/>
        </w:rPr>
        <w:t>проявиха</w:t>
      </w:r>
      <w:r>
        <w:rPr>
          <w:rFonts w:ascii="Arial" w:hAnsi="Arial" w:cs="Arial"/>
          <w:sz w:val="20"/>
          <w:szCs w:val="20"/>
          <w:lang w:val="bg-BG"/>
        </w:rPr>
        <w:t xml:space="preserve"> интерес в осигуряване на хибридно финансиране („мецанин“ дълг, преференциални акции и т.н.)</w:t>
      </w:r>
      <w:r w:rsidR="00FB612E">
        <w:rPr>
          <w:rFonts w:ascii="Arial" w:hAnsi="Arial" w:cs="Arial"/>
          <w:sz w:val="20"/>
          <w:szCs w:val="20"/>
          <w:lang w:val="bg-BG"/>
        </w:rPr>
        <w:t>.</w:t>
      </w:r>
    </w:p>
    <w:p w14:paraId="65BDCA20" w14:textId="77777777" w:rsidR="00FB612E" w:rsidRPr="00D02304" w:rsidRDefault="00FB612E" w:rsidP="00FB612E">
      <w:pPr>
        <w:jc w:val="both"/>
        <w:rPr>
          <w:rFonts w:ascii="Arial" w:hAnsi="Arial" w:cs="Arial"/>
          <w:b/>
          <w:i/>
          <w:sz w:val="20"/>
          <w:szCs w:val="20"/>
          <w:lang w:val="bg-BG"/>
        </w:rPr>
      </w:pPr>
      <w:r>
        <w:rPr>
          <w:rFonts w:ascii="Arial" w:hAnsi="Arial" w:cs="Arial"/>
          <w:b/>
          <w:i/>
          <w:sz w:val="20"/>
          <w:szCs w:val="20"/>
          <w:lang w:val="bg-BG"/>
        </w:rPr>
        <w:t xml:space="preserve">Финансиране на ниво </w:t>
      </w:r>
      <w:r w:rsidR="007D0804">
        <w:rPr>
          <w:rFonts w:ascii="Arial" w:hAnsi="Arial" w:cs="Arial"/>
          <w:b/>
          <w:i/>
          <w:sz w:val="20"/>
          <w:szCs w:val="20"/>
          <w:lang w:val="bg-BG"/>
        </w:rPr>
        <w:t>ФнФ</w:t>
      </w:r>
    </w:p>
    <w:p w14:paraId="3D001673" w14:textId="77777777" w:rsidR="00FB612E" w:rsidRPr="00FB612E" w:rsidRDefault="007D0804" w:rsidP="008F2C0C">
      <w:pPr>
        <w:jc w:val="both"/>
        <w:rPr>
          <w:rFonts w:ascii="Arial" w:hAnsi="Arial" w:cs="Arial"/>
          <w:sz w:val="20"/>
          <w:szCs w:val="20"/>
          <w:lang w:val="bg-BG"/>
        </w:rPr>
      </w:pPr>
      <w:r>
        <w:rPr>
          <w:rFonts w:ascii="Arial" w:hAnsi="Arial" w:cs="Arial"/>
          <w:sz w:val="20"/>
          <w:szCs w:val="20"/>
          <w:lang w:val="bg-BG"/>
        </w:rPr>
        <w:t>Въпреки че привличането на съфинансиране на ниво ФнФ е възможна опция, към момента не е идентифицирана съществена възможност за тази опция предвид спецификата на проектите в сектора</w:t>
      </w:r>
      <w:r w:rsidR="00FB612E">
        <w:rPr>
          <w:rFonts w:ascii="Arial" w:hAnsi="Arial" w:cs="Arial"/>
          <w:sz w:val="20"/>
          <w:szCs w:val="20"/>
          <w:lang w:val="bg-BG"/>
        </w:rPr>
        <w:t xml:space="preserve">. </w:t>
      </w:r>
    </w:p>
    <w:p w14:paraId="476A1809" w14:textId="77777777" w:rsidR="005E0066" w:rsidRPr="00FB612E" w:rsidRDefault="00FB612E" w:rsidP="008F2C0C">
      <w:pPr>
        <w:jc w:val="both"/>
        <w:rPr>
          <w:rFonts w:ascii="Arial" w:hAnsi="Arial" w:cs="Arial"/>
          <w:b/>
          <w:i/>
          <w:sz w:val="20"/>
          <w:szCs w:val="20"/>
          <w:lang w:val="bg-BG"/>
        </w:rPr>
      </w:pPr>
      <w:r>
        <w:rPr>
          <w:rFonts w:ascii="Arial" w:hAnsi="Arial" w:cs="Arial"/>
          <w:b/>
          <w:i/>
          <w:sz w:val="20"/>
          <w:szCs w:val="20"/>
          <w:lang w:val="bg-BG"/>
        </w:rPr>
        <w:lastRenderedPageBreak/>
        <w:t>Финансиране</w:t>
      </w:r>
      <w:r w:rsidR="00445B0D" w:rsidRPr="00FB612E">
        <w:rPr>
          <w:rFonts w:ascii="Arial" w:hAnsi="Arial" w:cs="Arial"/>
          <w:b/>
          <w:i/>
          <w:sz w:val="20"/>
          <w:szCs w:val="20"/>
          <w:lang w:val="bg-BG"/>
        </w:rPr>
        <w:t xml:space="preserve"> </w:t>
      </w:r>
      <w:r>
        <w:rPr>
          <w:rFonts w:ascii="Arial" w:hAnsi="Arial" w:cs="Arial"/>
          <w:b/>
          <w:i/>
          <w:sz w:val="20"/>
          <w:szCs w:val="20"/>
          <w:lang w:val="bg-BG"/>
        </w:rPr>
        <w:t>на ниво специалн</w:t>
      </w:r>
      <w:r w:rsidR="00670EEE">
        <w:rPr>
          <w:rFonts w:ascii="Arial" w:hAnsi="Arial" w:cs="Arial"/>
          <w:b/>
          <w:i/>
          <w:sz w:val="20"/>
          <w:szCs w:val="20"/>
          <w:lang w:val="bg-BG"/>
        </w:rPr>
        <w:t>а</w:t>
      </w:r>
      <w:r>
        <w:rPr>
          <w:rFonts w:ascii="Arial" w:hAnsi="Arial" w:cs="Arial"/>
          <w:b/>
          <w:i/>
          <w:sz w:val="20"/>
          <w:szCs w:val="20"/>
          <w:lang w:val="bg-BG"/>
        </w:rPr>
        <w:t xml:space="preserve"> инвестиционн</w:t>
      </w:r>
      <w:r w:rsidR="00670EEE">
        <w:rPr>
          <w:rFonts w:ascii="Arial" w:hAnsi="Arial" w:cs="Arial"/>
          <w:b/>
          <w:i/>
          <w:sz w:val="20"/>
          <w:szCs w:val="20"/>
          <w:lang w:val="bg-BG"/>
        </w:rPr>
        <w:t>а</w:t>
      </w:r>
      <w:r>
        <w:rPr>
          <w:rFonts w:ascii="Arial" w:hAnsi="Arial" w:cs="Arial"/>
          <w:b/>
          <w:i/>
          <w:sz w:val="20"/>
          <w:szCs w:val="20"/>
          <w:lang w:val="bg-BG"/>
        </w:rPr>
        <w:t xml:space="preserve"> структур</w:t>
      </w:r>
      <w:r w:rsidR="00670EEE">
        <w:rPr>
          <w:rFonts w:ascii="Arial" w:hAnsi="Arial" w:cs="Arial"/>
          <w:b/>
          <w:i/>
          <w:sz w:val="20"/>
          <w:szCs w:val="20"/>
          <w:lang w:val="bg-BG"/>
        </w:rPr>
        <w:t>а</w:t>
      </w:r>
      <w:r>
        <w:rPr>
          <w:rFonts w:ascii="Arial" w:hAnsi="Arial" w:cs="Arial"/>
          <w:b/>
          <w:i/>
          <w:sz w:val="20"/>
          <w:szCs w:val="20"/>
          <w:lang w:val="bg-BG"/>
        </w:rPr>
        <w:t xml:space="preserve"> </w:t>
      </w:r>
      <w:r w:rsidRPr="00FB612E">
        <w:rPr>
          <w:rFonts w:ascii="Arial" w:hAnsi="Arial" w:cs="Arial"/>
          <w:b/>
          <w:i/>
          <w:sz w:val="20"/>
          <w:szCs w:val="20"/>
          <w:lang w:val="bg-BG"/>
        </w:rPr>
        <w:t xml:space="preserve">(DIV) </w:t>
      </w:r>
      <w:r w:rsidR="00824F06" w:rsidRPr="00FB612E">
        <w:rPr>
          <w:rFonts w:ascii="Arial" w:hAnsi="Arial" w:cs="Arial"/>
          <w:b/>
          <w:i/>
          <w:sz w:val="20"/>
          <w:szCs w:val="20"/>
          <w:lang w:val="bg-BG"/>
        </w:rPr>
        <w:t>(</w:t>
      </w:r>
      <w:r>
        <w:rPr>
          <w:rFonts w:ascii="Arial" w:hAnsi="Arial" w:cs="Arial"/>
          <w:b/>
          <w:i/>
          <w:sz w:val="20"/>
          <w:szCs w:val="20"/>
          <w:lang w:val="bg-BG"/>
        </w:rPr>
        <w:t>съ</w:t>
      </w:r>
      <w:r w:rsidR="00565F3D">
        <w:rPr>
          <w:rFonts w:ascii="Arial" w:hAnsi="Arial" w:cs="Arial"/>
          <w:b/>
          <w:i/>
          <w:sz w:val="20"/>
          <w:szCs w:val="20"/>
          <w:lang w:val="bg-BG"/>
        </w:rPr>
        <w:t>инвестиране</w:t>
      </w:r>
      <w:r w:rsidR="00824F06" w:rsidRPr="00FB612E">
        <w:rPr>
          <w:rFonts w:ascii="Arial" w:hAnsi="Arial" w:cs="Arial"/>
          <w:b/>
          <w:i/>
          <w:sz w:val="20"/>
          <w:szCs w:val="20"/>
          <w:lang w:val="bg-BG"/>
        </w:rPr>
        <w:t>)</w:t>
      </w:r>
    </w:p>
    <w:p w14:paraId="4C28FE71" w14:textId="77777777" w:rsidR="00FB612E" w:rsidRPr="00FB612E" w:rsidRDefault="00FB612E" w:rsidP="00AE3CD5">
      <w:pPr>
        <w:jc w:val="both"/>
        <w:rPr>
          <w:rFonts w:ascii="Arial" w:hAnsi="Arial" w:cs="Arial"/>
          <w:sz w:val="20"/>
          <w:szCs w:val="20"/>
          <w:lang w:val="bg-BG"/>
        </w:rPr>
      </w:pPr>
      <w:r>
        <w:rPr>
          <w:rFonts w:ascii="Arial" w:hAnsi="Arial" w:cs="Arial"/>
          <w:sz w:val="20"/>
          <w:szCs w:val="20"/>
          <w:lang w:val="bg-BG"/>
        </w:rPr>
        <w:t>Финансирането на ниво с</w:t>
      </w:r>
      <w:r w:rsidRPr="00FE77A7">
        <w:rPr>
          <w:rFonts w:ascii="Arial" w:hAnsi="Arial" w:cs="Arial"/>
          <w:sz w:val="20"/>
          <w:szCs w:val="20"/>
          <w:lang w:val="bg-BG"/>
        </w:rPr>
        <w:t>пециалн</w:t>
      </w:r>
      <w:r w:rsidR="009F7891">
        <w:rPr>
          <w:rFonts w:ascii="Arial" w:hAnsi="Arial" w:cs="Arial"/>
          <w:sz w:val="20"/>
          <w:szCs w:val="20"/>
          <w:lang w:val="bg-BG"/>
        </w:rPr>
        <w:t>а</w:t>
      </w:r>
      <w:r w:rsidRPr="00FE77A7">
        <w:rPr>
          <w:rFonts w:ascii="Arial" w:hAnsi="Arial" w:cs="Arial"/>
          <w:sz w:val="20"/>
          <w:szCs w:val="20"/>
          <w:lang w:val="bg-BG"/>
        </w:rPr>
        <w:t xml:space="preserve"> инвестиционн</w:t>
      </w:r>
      <w:r w:rsidR="009F7891">
        <w:rPr>
          <w:rFonts w:ascii="Arial" w:hAnsi="Arial" w:cs="Arial"/>
          <w:sz w:val="20"/>
          <w:szCs w:val="20"/>
          <w:lang w:val="bg-BG"/>
        </w:rPr>
        <w:t>а</w:t>
      </w:r>
      <w:r w:rsidRPr="00FE77A7">
        <w:rPr>
          <w:rFonts w:ascii="Arial" w:hAnsi="Arial" w:cs="Arial"/>
          <w:sz w:val="20"/>
          <w:szCs w:val="20"/>
          <w:lang w:val="bg-BG"/>
        </w:rPr>
        <w:t xml:space="preserve"> структур</w:t>
      </w:r>
      <w:r w:rsidR="009F7891">
        <w:rPr>
          <w:rFonts w:ascii="Arial" w:hAnsi="Arial" w:cs="Arial"/>
          <w:sz w:val="20"/>
          <w:szCs w:val="20"/>
          <w:lang w:val="bg-BG"/>
        </w:rPr>
        <w:t>а</w:t>
      </w:r>
      <w:r w:rsidRPr="00FE77A7">
        <w:rPr>
          <w:rFonts w:ascii="Arial" w:hAnsi="Arial" w:cs="Arial"/>
          <w:sz w:val="20"/>
          <w:szCs w:val="20"/>
          <w:lang w:val="bg-BG"/>
        </w:rPr>
        <w:t xml:space="preserve"> (DIV)</w:t>
      </w:r>
      <w:r>
        <w:rPr>
          <w:rFonts w:ascii="Arial" w:hAnsi="Arial" w:cs="Arial"/>
          <w:sz w:val="20"/>
          <w:szCs w:val="20"/>
          <w:lang w:val="bg-BG"/>
        </w:rPr>
        <w:t xml:space="preserve"> може да бъде предоставено от МФИ, търговските банки и потенциални</w:t>
      </w:r>
      <w:r w:rsidR="009F7891">
        <w:rPr>
          <w:rFonts w:ascii="Arial" w:hAnsi="Arial" w:cs="Arial"/>
          <w:sz w:val="20"/>
          <w:szCs w:val="20"/>
          <w:lang w:val="bg-BG"/>
        </w:rPr>
        <w:t>я</w:t>
      </w:r>
      <w:r>
        <w:rPr>
          <w:rFonts w:ascii="Arial" w:hAnsi="Arial" w:cs="Arial"/>
          <w:sz w:val="20"/>
          <w:szCs w:val="20"/>
          <w:lang w:val="bg-BG"/>
        </w:rPr>
        <w:t xml:space="preserve"> фонд мениджър на </w:t>
      </w:r>
      <w:r w:rsidR="00FF3268">
        <w:rPr>
          <w:rFonts w:ascii="Arial" w:hAnsi="Arial" w:cs="Arial"/>
          <w:sz w:val="20"/>
          <w:szCs w:val="20"/>
          <w:lang w:val="bg-BG"/>
        </w:rPr>
        <w:t>т</w:t>
      </w:r>
      <w:r w:rsidR="009F7891">
        <w:rPr>
          <w:rFonts w:ascii="Arial" w:hAnsi="Arial" w:cs="Arial"/>
          <w:sz w:val="20"/>
          <w:szCs w:val="20"/>
          <w:lang w:val="bg-BG"/>
        </w:rPr>
        <w:t>а</w:t>
      </w:r>
      <w:r w:rsidR="00FF3268">
        <w:rPr>
          <w:rFonts w:ascii="Arial" w:hAnsi="Arial" w:cs="Arial"/>
          <w:sz w:val="20"/>
          <w:szCs w:val="20"/>
          <w:lang w:val="bg-BG"/>
        </w:rPr>
        <w:t>зи</w:t>
      </w:r>
      <w:r w:rsidRPr="00FE77A7">
        <w:rPr>
          <w:rFonts w:ascii="Arial" w:hAnsi="Arial" w:cs="Arial"/>
          <w:sz w:val="20"/>
          <w:szCs w:val="20"/>
          <w:lang w:val="bg-BG"/>
        </w:rPr>
        <w:t xml:space="preserve"> структур</w:t>
      </w:r>
      <w:r w:rsidR="009F7891">
        <w:rPr>
          <w:rFonts w:ascii="Arial" w:hAnsi="Arial" w:cs="Arial"/>
          <w:sz w:val="20"/>
          <w:szCs w:val="20"/>
          <w:lang w:val="bg-BG"/>
        </w:rPr>
        <w:t>а</w:t>
      </w:r>
      <w:r w:rsidRPr="00FE77A7">
        <w:rPr>
          <w:rFonts w:ascii="Arial" w:hAnsi="Arial" w:cs="Arial"/>
          <w:sz w:val="20"/>
          <w:szCs w:val="20"/>
          <w:lang w:val="bg-BG"/>
        </w:rPr>
        <w:t xml:space="preserve"> (DIV)</w:t>
      </w:r>
      <w:r>
        <w:rPr>
          <w:rFonts w:ascii="Arial" w:hAnsi="Arial" w:cs="Arial"/>
          <w:sz w:val="20"/>
          <w:szCs w:val="20"/>
          <w:lang w:val="bg-BG"/>
        </w:rPr>
        <w:t xml:space="preserve">. Инвестициите могат да бъдат под формата на дълг (вероятно от МФИ и търговските банки) и капиталово </w:t>
      </w:r>
      <w:r w:rsidR="007728E1">
        <w:rPr>
          <w:rFonts w:ascii="Arial" w:hAnsi="Arial" w:cs="Arial"/>
          <w:sz w:val="20"/>
          <w:szCs w:val="20"/>
          <w:lang w:val="bg-BG"/>
        </w:rPr>
        <w:t>финансиране</w:t>
      </w:r>
      <w:r>
        <w:rPr>
          <w:rFonts w:ascii="Arial" w:hAnsi="Arial" w:cs="Arial"/>
          <w:sz w:val="20"/>
          <w:szCs w:val="20"/>
          <w:lang w:val="bg-BG"/>
        </w:rPr>
        <w:t xml:space="preserve"> (вероятно от фонд мениджър</w:t>
      </w:r>
      <w:r w:rsidR="009F7891">
        <w:rPr>
          <w:rFonts w:ascii="Arial" w:hAnsi="Arial" w:cs="Arial"/>
          <w:sz w:val="20"/>
          <w:szCs w:val="20"/>
          <w:lang w:val="bg-BG"/>
        </w:rPr>
        <w:t>а</w:t>
      </w:r>
      <w:r>
        <w:rPr>
          <w:rFonts w:ascii="Arial" w:hAnsi="Arial" w:cs="Arial"/>
          <w:sz w:val="20"/>
          <w:szCs w:val="20"/>
          <w:lang w:val="bg-BG"/>
        </w:rPr>
        <w:t xml:space="preserve"> на с</w:t>
      </w:r>
      <w:r w:rsidRPr="00FE77A7">
        <w:rPr>
          <w:rFonts w:ascii="Arial" w:hAnsi="Arial" w:cs="Arial"/>
          <w:sz w:val="20"/>
          <w:szCs w:val="20"/>
          <w:lang w:val="bg-BG"/>
        </w:rPr>
        <w:t>пециалн</w:t>
      </w:r>
      <w:r w:rsidR="009F7891">
        <w:rPr>
          <w:rFonts w:ascii="Arial" w:hAnsi="Arial" w:cs="Arial"/>
          <w:sz w:val="20"/>
          <w:szCs w:val="20"/>
          <w:lang w:val="bg-BG"/>
        </w:rPr>
        <w:t>а</w:t>
      </w:r>
      <w:r>
        <w:rPr>
          <w:rFonts w:ascii="Arial" w:hAnsi="Arial" w:cs="Arial"/>
          <w:sz w:val="20"/>
          <w:szCs w:val="20"/>
          <w:lang w:val="bg-BG"/>
        </w:rPr>
        <w:t>т</w:t>
      </w:r>
      <w:r w:rsidR="009F7891">
        <w:rPr>
          <w:rFonts w:ascii="Arial" w:hAnsi="Arial" w:cs="Arial"/>
          <w:sz w:val="20"/>
          <w:szCs w:val="20"/>
          <w:lang w:val="bg-BG"/>
        </w:rPr>
        <w:t>а</w:t>
      </w:r>
      <w:r w:rsidRPr="00FE77A7">
        <w:rPr>
          <w:rFonts w:ascii="Arial" w:hAnsi="Arial" w:cs="Arial"/>
          <w:sz w:val="20"/>
          <w:szCs w:val="20"/>
          <w:lang w:val="bg-BG"/>
        </w:rPr>
        <w:t xml:space="preserve"> инвестиционн</w:t>
      </w:r>
      <w:r w:rsidR="009F7891">
        <w:rPr>
          <w:rFonts w:ascii="Arial" w:hAnsi="Arial" w:cs="Arial"/>
          <w:sz w:val="20"/>
          <w:szCs w:val="20"/>
          <w:lang w:val="bg-BG"/>
        </w:rPr>
        <w:t>а</w:t>
      </w:r>
      <w:r w:rsidRPr="00FE77A7">
        <w:rPr>
          <w:rFonts w:ascii="Arial" w:hAnsi="Arial" w:cs="Arial"/>
          <w:sz w:val="20"/>
          <w:szCs w:val="20"/>
          <w:lang w:val="bg-BG"/>
        </w:rPr>
        <w:t xml:space="preserve"> структур</w:t>
      </w:r>
      <w:r w:rsidR="009F7891">
        <w:rPr>
          <w:rFonts w:ascii="Arial" w:hAnsi="Arial" w:cs="Arial"/>
          <w:sz w:val="20"/>
          <w:szCs w:val="20"/>
          <w:lang w:val="bg-BG"/>
        </w:rPr>
        <w:t>а</w:t>
      </w:r>
      <w:r w:rsidRPr="00FE77A7">
        <w:rPr>
          <w:rFonts w:ascii="Arial" w:hAnsi="Arial" w:cs="Arial"/>
          <w:sz w:val="20"/>
          <w:szCs w:val="20"/>
          <w:lang w:val="bg-BG"/>
        </w:rPr>
        <w:t xml:space="preserve"> (DIV)</w:t>
      </w:r>
      <w:r>
        <w:rPr>
          <w:rFonts w:ascii="Arial" w:hAnsi="Arial" w:cs="Arial"/>
          <w:sz w:val="20"/>
          <w:szCs w:val="20"/>
          <w:lang w:val="bg-BG"/>
        </w:rPr>
        <w:t xml:space="preserve">). </w:t>
      </w:r>
      <w:r w:rsidR="007728E1">
        <w:rPr>
          <w:rFonts w:ascii="Arial" w:hAnsi="Arial" w:cs="Arial"/>
          <w:sz w:val="20"/>
          <w:szCs w:val="20"/>
          <w:lang w:val="bg-BG"/>
        </w:rPr>
        <w:t xml:space="preserve">Процентът капиталово финансиране </w:t>
      </w:r>
      <w:r>
        <w:rPr>
          <w:rFonts w:ascii="Arial" w:hAnsi="Arial" w:cs="Arial"/>
          <w:sz w:val="20"/>
          <w:szCs w:val="20"/>
          <w:lang w:val="bg-BG"/>
        </w:rPr>
        <w:t>от общата структура на финансиране на специалн</w:t>
      </w:r>
      <w:r w:rsidR="009F7891">
        <w:rPr>
          <w:rFonts w:ascii="Arial" w:hAnsi="Arial" w:cs="Arial"/>
          <w:sz w:val="20"/>
          <w:szCs w:val="20"/>
          <w:lang w:val="bg-BG"/>
        </w:rPr>
        <w:t>а</w:t>
      </w:r>
      <w:r w:rsidR="00B7307D">
        <w:rPr>
          <w:rFonts w:ascii="Arial" w:hAnsi="Arial" w:cs="Arial"/>
          <w:sz w:val="20"/>
          <w:szCs w:val="20"/>
          <w:lang w:val="bg-BG"/>
        </w:rPr>
        <w:t>т</w:t>
      </w:r>
      <w:r w:rsidR="009F7891">
        <w:rPr>
          <w:rFonts w:ascii="Arial" w:hAnsi="Arial" w:cs="Arial"/>
          <w:sz w:val="20"/>
          <w:szCs w:val="20"/>
          <w:lang w:val="bg-BG"/>
        </w:rPr>
        <w:t>а</w:t>
      </w:r>
      <w:r w:rsidR="00B7307D">
        <w:rPr>
          <w:rFonts w:ascii="Arial" w:hAnsi="Arial" w:cs="Arial"/>
          <w:sz w:val="20"/>
          <w:szCs w:val="20"/>
          <w:lang w:val="bg-BG"/>
        </w:rPr>
        <w:t xml:space="preserve"> инвестиционн</w:t>
      </w:r>
      <w:r w:rsidR="009F7891">
        <w:rPr>
          <w:rFonts w:ascii="Arial" w:hAnsi="Arial" w:cs="Arial"/>
          <w:sz w:val="20"/>
          <w:szCs w:val="20"/>
          <w:lang w:val="bg-BG"/>
        </w:rPr>
        <w:t>а</w:t>
      </w:r>
      <w:r w:rsidR="00B7307D">
        <w:rPr>
          <w:rFonts w:ascii="Arial" w:hAnsi="Arial" w:cs="Arial"/>
          <w:sz w:val="20"/>
          <w:szCs w:val="20"/>
          <w:lang w:val="bg-BG"/>
        </w:rPr>
        <w:t xml:space="preserve"> структур</w:t>
      </w:r>
      <w:r w:rsidR="009F7891">
        <w:rPr>
          <w:rFonts w:ascii="Arial" w:hAnsi="Arial" w:cs="Arial"/>
          <w:sz w:val="20"/>
          <w:szCs w:val="20"/>
          <w:lang w:val="bg-BG"/>
        </w:rPr>
        <w:t>а</w:t>
      </w:r>
      <w:r w:rsidRPr="00FE77A7">
        <w:rPr>
          <w:rFonts w:ascii="Arial" w:hAnsi="Arial" w:cs="Arial"/>
          <w:sz w:val="20"/>
          <w:szCs w:val="20"/>
          <w:lang w:val="bg-BG"/>
        </w:rPr>
        <w:t xml:space="preserve"> (DIV)</w:t>
      </w:r>
      <w:r>
        <w:rPr>
          <w:rFonts w:ascii="Arial" w:hAnsi="Arial" w:cs="Arial"/>
          <w:sz w:val="20"/>
          <w:szCs w:val="20"/>
          <w:lang w:val="bg-BG"/>
        </w:rPr>
        <w:t xml:space="preserve"> се очаква да бъде нисък. Причината за това е естеството на допустимите инвест</w:t>
      </w:r>
      <w:r w:rsidRPr="007728E1">
        <w:rPr>
          <w:rFonts w:ascii="Arial" w:hAnsi="Arial" w:cs="Arial"/>
          <w:sz w:val="20"/>
          <w:szCs w:val="20"/>
          <w:lang w:val="bg-BG"/>
        </w:rPr>
        <w:t>иции, които ще бъдат финансирани от специалн</w:t>
      </w:r>
      <w:r w:rsidR="003620B6">
        <w:rPr>
          <w:rFonts w:ascii="Arial" w:hAnsi="Arial" w:cs="Arial"/>
          <w:sz w:val="20"/>
          <w:szCs w:val="20"/>
          <w:lang w:val="bg-BG"/>
        </w:rPr>
        <w:t>а</w:t>
      </w:r>
      <w:r w:rsidR="00B7307D">
        <w:rPr>
          <w:rFonts w:ascii="Arial" w:hAnsi="Arial" w:cs="Arial"/>
          <w:sz w:val="20"/>
          <w:szCs w:val="20"/>
          <w:lang w:val="bg-BG"/>
        </w:rPr>
        <w:t>т</w:t>
      </w:r>
      <w:r w:rsidR="003620B6">
        <w:rPr>
          <w:rFonts w:ascii="Arial" w:hAnsi="Arial" w:cs="Arial"/>
          <w:sz w:val="20"/>
          <w:szCs w:val="20"/>
          <w:lang w:val="bg-BG"/>
        </w:rPr>
        <w:t>а</w:t>
      </w:r>
      <w:r w:rsidR="00B7307D">
        <w:rPr>
          <w:rFonts w:ascii="Arial" w:hAnsi="Arial" w:cs="Arial"/>
          <w:sz w:val="20"/>
          <w:szCs w:val="20"/>
          <w:lang w:val="bg-BG"/>
        </w:rPr>
        <w:t xml:space="preserve"> инвестиционн</w:t>
      </w:r>
      <w:r w:rsidR="003620B6">
        <w:rPr>
          <w:rFonts w:ascii="Arial" w:hAnsi="Arial" w:cs="Arial"/>
          <w:sz w:val="20"/>
          <w:szCs w:val="20"/>
          <w:lang w:val="bg-BG"/>
        </w:rPr>
        <w:t>а</w:t>
      </w:r>
      <w:r w:rsidR="00B7307D">
        <w:rPr>
          <w:rFonts w:ascii="Arial" w:hAnsi="Arial" w:cs="Arial"/>
          <w:sz w:val="20"/>
          <w:szCs w:val="20"/>
          <w:lang w:val="bg-BG"/>
        </w:rPr>
        <w:t xml:space="preserve"> структур</w:t>
      </w:r>
      <w:r w:rsidR="003620B6">
        <w:rPr>
          <w:rFonts w:ascii="Arial" w:hAnsi="Arial" w:cs="Arial"/>
          <w:sz w:val="20"/>
          <w:szCs w:val="20"/>
          <w:lang w:val="bg-BG"/>
        </w:rPr>
        <w:t>а</w:t>
      </w:r>
      <w:r w:rsidRPr="007728E1">
        <w:rPr>
          <w:rFonts w:ascii="Arial" w:hAnsi="Arial" w:cs="Arial"/>
          <w:sz w:val="20"/>
          <w:szCs w:val="20"/>
          <w:lang w:val="bg-BG"/>
        </w:rPr>
        <w:t xml:space="preserve"> (DIV). </w:t>
      </w:r>
      <w:r w:rsidR="003629FA">
        <w:rPr>
          <w:rFonts w:ascii="Arial" w:hAnsi="Arial" w:cs="Arial"/>
          <w:sz w:val="20"/>
          <w:szCs w:val="20"/>
          <w:lang w:val="bg-BG"/>
        </w:rPr>
        <w:t>Допустимите</w:t>
      </w:r>
      <w:r w:rsidR="00400494" w:rsidRPr="007728E1">
        <w:rPr>
          <w:rFonts w:ascii="Arial" w:hAnsi="Arial" w:cs="Arial"/>
          <w:sz w:val="20"/>
          <w:szCs w:val="20"/>
          <w:lang w:val="bg-BG"/>
        </w:rPr>
        <w:t xml:space="preserve"> инвестиции се характеризират с </w:t>
      </w:r>
      <w:r w:rsidRPr="007728E1">
        <w:rPr>
          <w:rFonts w:ascii="Arial" w:hAnsi="Arial" w:cs="Arial"/>
          <w:sz w:val="20"/>
          <w:szCs w:val="20"/>
          <w:lang w:val="bg-BG"/>
        </w:rPr>
        <w:t xml:space="preserve">дълги периоди на изплащане, </w:t>
      </w:r>
      <w:r w:rsidR="007728E1" w:rsidRPr="007728E1">
        <w:rPr>
          <w:rFonts w:ascii="Arial" w:hAnsi="Arial" w:cs="Arial"/>
          <w:sz w:val="20"/>
          <w:szCs w:val="20"/>
          <w:lang w:val="bg-BG"/>
        </w:rPr>
        <w:t xml:space="preserve">ограничени </w:t>
      </w:r>
      <w:r w:rsidRPr="007728E1">
        <w:rPr>
          <w:rFonts w:ascii="Arial" w:hAnsi="Arial" w:cs="Arial"/>
          <w:sz w:val="20"/>
          <w:szCs w:val="20"/>
          <w:lang w:val="bg-BG"/>
        </w:rPr>
        <w:t xml:space="preserve">възможности за </w:t>
      </w:r>
      <w:r w:rsidR="007728E1" w:rsidRPr="007728E1">
        <w:rPr>
          <w:rFonts w:ascii="Arial" w:hAnsi="Arial" w:cs="Arial"/>
          <w:sz w:val="20"/>
          <w:szCs w:val="20"/>
          <w:lang w:val="bg-BG"/>
        </w:rPr>
        <w:t>бързо</w:t>
      </w:r>
      <w:r w:rsidR="007728E1">
        <w:rPr>
          <w:rFonts w:ascii="Arial" w:hAnsi="Arial" w:cs="Arial"/>
          <w:sz w:val="20"/>
          <w:szCs w:val="20"/>
          <w:lang w:val="bg-BG"/>
        </w:rPr>
        <w:t xml:space="preserve"> излизане </w:t>
      </w:r>
      <w:r>
        <w:rPr>
          <w:rFonts w:ascii="Arial" w:hAnsi="Arial" w:cs="Arial"/>
          <w:sz w:val="20"/>
          <w:szCs w:val="20"/>
          <w:lang w:val="bg-BG"/>
        </w:rPr>
        <w:t xml:space="preserve">и </w:t>
      </w:r>
      <w:r w:rsidR="007728E1">
        <w:rPr>
          <w:rFonts w:ascii="Arial" w:hAnsi="Arial" w:cs="Arial"/>
          <w:sz w:val="20"/>
          <w:szCs w:val="20"/>
          <w:lang w:val="bg-BG"/>
        </w:rPr>
        <w:t xml:space="preserve">стабилна, но </w:t>
      </w:r>
      <w:r>
        <w:rPr>
          <w:rFonts w:ascii="Arial" w:hAnsi="Arial" w:cs="Arial"/>
          <w:sz w:val="20"/>
          <w:szCs w:val="20"/>
          <w:lang w:val="bg-BG"/>
        </w:rPr>
        <w:t xml:space="preserve">ниска възвращаемост на инвестициите. Тези условия не са привлекателни за капиталовите инвеститори, които обикновено </w:t>
      </w:r>
      <w:r w:rsidR="007728E1">
        <w:rPr>
          <w:rFonts w:ascii="Arial" w:hAnsi="Arial" w:cs="Arial"/>
          <w:sz w:val="20"/>
          <w:szCs w:val="20"/>
          <w:lang w:val="bg-BG"/>
        </w:rPr>
        <w:t>се ръководят от</w:t>
      </w:r>
      <w:r>
        <w:rPr>
          <w:rFonts w:ascii="Arial" w:hAnsi="Arial" w:cs="Arial"/>
          <w:sz w:val="20"/>
          <w:szCs w:val="20"/>
          <w:lang w:val="bg-BG"/>
        </w:rPr>
        <w:t xml:space="preserve"> краткосрочни</w:t>
      </w:r>
      <w:r w:rsidR="007728E1">
        <w:rPr>
          <w:rFonts w:ascii="Arial" w:hAnsi="Arial" w:cs="Arial"/>
          <w:sz w:val="20"/>
          <w:szCs w:val="20"/>
          <w:lang w:val="bg-BG"/>
        </w:rPr>
        <w:t xml:space="preserve">я или </w:t>
      </w:r>
      <w:r>
        <w:rPr>
          <w:rFonts w:ascii="Arial" w:hAnsi="Arial" w:cs="Arial"/>
          <w:sz w:val="20"/>
          <w:szCs w:val="20"/>
          <w:lang w:val="bg-BG"/>
        </w:rPr>
        <w:t>средносрочни</w:t>
      </w:r>
      <w:r w:rsidR="007728E1">
        <w:rPr>
          <w:rFonts w:ascii="Arial" w:hAnsi="Arial" w:cs="Arial"/>
          <w:sz w:val="20"/>
          <w:szCs w:val="20"/>
          <w:lang w:val="bg-BG"/>
        </w:rPr>
        <w:t>я хоризонт на инвестицията</w:t>
      </w:r>
      <w:r w:rsidR="00FF3268">
        <w:rPr>
          <w:rFonts w:ascii="Arial" w:hAnsi="Arial" w:cs="Arial"/>
          <w:sz w:val="20"/>
          <w:szCs w:val="20"/>
          <w:lang w:val="bg-BG"/>
        </w:rPr>
        <w:t xml:space="preserve"> и са склонни да приемат по-високи нива на риск в името на висока възвращаемост</w:t>
      </w:r>
      <w:r>
        <w:rPr>
          <w:rFonts w:ascii="Arial" w:hAnsi="Arial" w:cs="Arial"/>
          <w:sz w:val="20"/>
          <w:szCs w:val="20"/>
          <w:lang w:val="bg-BG"/>
        </w:rPr>
        <w:t xml:space="preserve">. Целта на капиталовите инвестиции, които ще се </w:t>
      </w:r>
      <w:r w:rsidR="00FF3268">
        <w:rPr>
          <w:rFonts w:ascii="Arial" w:hAnsi="Arial" w:cs="Arial"/>
          <w:sz w:val="20"/>
          <w:szCs w:val="20"/>
          <w:lang w:val="bg-BG"/>
        </w:rPr>
        <w:t>предоставят</w:t>
      </w:r>
      <w:r>
        <w:rPr>
          <w:rFonts w:ascii="Arial" w:hAnsi="Arial" w:cs="Arial"/>
          <w:sz w:val="20"/>
          <w:szCs w:val="20"/>
          <w:lang w:val="bg-BG"/>
        </w:rPr>
        <w:t xml:space="preserve"> от фонд мениджър</w:t>
      </w:r>
      <w:r w:rsidR="003620B6">
        <w:rPr>
          <w:rFonts w:ascii="Arial" w:hAnsi="Arial" w:cs="Arial"/>
          <w:sz w:val="20"/>
          <w:szCs w:val="20"/>
          <w:lang w:val="bg-BG"/>
        </w:rPr>
        <w:t>а</w:t>
      </w:r>
      <w:r>
        <w:rPr>
          <w:rFonts w:ascii="Arial" w:hAnsi="Arial" w:cs="Arial"/>
          <w:sz w:val="20"/>
          <w:szCs w:val="20"/>
          <w:lang w:val="bg-BG"/>
        </w:rPr>
        <w:t xml:space="preserve"> на</w:t>
      </w:r>
      <w:r w:rsidR="00FF3268">
        <w:rPr>
          <w:rFonts w:ascii="Arial" w:hAnsi="Arial" w:cs="Arial"/>
          <w:sz w:val="20"/>
          <w:szCs w:val="20"/>
          <w:lang w:val="bg-BG"/>
        </w:rPr>
        <w:t xml:space="preserve"> с</w:t>
      </w:r>
      <w:r w:rsidRPr="00FE77A7">
        <w:rPr>
          <w:rFonts w:ascii="Arial" w:hAnsi="Arial" w:cs="Arial"/>
          <w:sz w:val="20"/>
          <w:szCs w:val="20"/>
          <w:lang w:val="bg-BG"/>
        </w:rPr>
        <w:t>пециалн</w:t>
      </w:r>
      <w:r w:rsidR="003620B6">
        <w:rPr>
          <w:rFonts w:ascii="Arial" w:hAnsi="Arial" w:cs="Arial"/>
          <w:sz w:val="20"/>
          <w:szCs w:val="20"/>
          <w:lang w:val="bg-BG"/>
        </w:rPr>
        <w:t>а</w:t>
      </w:r>
      <w:r>
        <w:rPr>
          <w:rFonts w:ascii="Arial" w:hAnsi="Arial" w:cs="Arial"/>
          <w:sz w:val="20"/>
          <w:szCs w:val="20"/>
          <w:lang w:val="bg-BG"/>
        </w:rPr>
        <w:t>т</w:t>
      </w:r>
      <w:r w:rsidR="003620B6">
        <w:rPr>
          <w:rFonts w:ascii="Arial" w:hAnsi="Arial" w:cs="Arial"/>
          <w:sz w:val="20"/>
          <w:szCs w:val="20"/>
          <w:lang w:val="bg-BG"/>
        </w:rPr>
        <w:t>а</w:t>
      </w:r>
      <w:r>
        <w:rPr>
          <w:rFonts w:ascii="Arial" w:hAnsi="Arial" w:cs="Arial"/>
          <w:sz w:val="20"/>
          <w:szCs w:val="20"/>
          <w:lang w:val="bg-BG"/>
        </w:rPr>
        <w:t xml:space="preserve"> инвестиционн</w:t>
      </w:r>
      <w:r w:rsidR="003620B6">
        <w:rPr>
          <w:rFonts w:ascii="Arial" w:hAnsi="Arial" w:cs="Arial"/>
          <w:sz w:val="20"/>
          <w:szCs w:val="20"/>
          <w:lang w:val="bg-BG"/>
        </w:rPr>
        <w:t>а</w:t>
      </w:r>
      <w:r>
        <w:rPr>
          <w:rFonts w:ascii="Arial" w:hAnsi="Arial" w:cs="Arial"/>
          <w:sz w:val="20"/>
          <w:szCs w:val="20"/>
          <w:lang w:val="bg-BG"/>
        </w:rPr>
        <w:t xml:space="preserve"> структур</w:t>
      </w:r>
      <w:r w:rsidR="003620B6">
        <w:rPr>
          <w:rFonts w:ascii="Arial" w:hAnsi="Arial" w:cs="Arial"/>
          <w:sz w:val="20"/>
          <w:szCs w:val="20"/>
          <w:lang w:val="bg-BG"/>
        </w:rPr>
        <w:t>а</w:t>
      </w:r>
      <w:r>
        <w:rPr>
          <w:rFonts w:ascii="Arial" w:hAnsi="Arial" w:cs="Arial"/>
          <w:sz w:val="20"/>
          <w:szCs w:val="20"/>
          <w:lang w:val="bg-BG"/>
        </w:rPr>
        <w:t xml:space="preserve"> (DIV) е да </w:t>
      </w:r>
      <w:r w:rsidR="00FF3268">
        <w:rPr>
          <w:rFonts w:ascii="Arial" w:hAnsi="Arial" w:cs="Arial"/>
          <w:sz w:val="20"/>
          <w:szCs w:val="20"/>
          <w:lang w:val="bg-BG"/>
        </w:rPr>
        <w:t xml:space="preserve">осигурят </w:t>
      </w:r>
      <w:r>
        <w:rPr>
          <w:rFonts w:ascii="Arial" w:hAnsi="Arial" w:cs="Arial"/>
          <w:sz w:val="20"/>
          <w:szCs w:val="20"/>
          <w:lang w:val="bg-BG"/>
        </w:rPr>
        <w:t xml:space="preserve">съответствие </w:t>
      </w:r>
      <w:r w:rsidR="00FF3268">
        <w:rPr>
          <w:rFonts w:ascii="Arial" w:hAnsi="Arial" w:cs="Arial"/>
          <w:sz w:val="20"/>
          <w:szCs w:val="20"/>
          <w:lang w:val="bg-BG"/>
        </w:rPr>
        <w:t>между</w:t>
      </w:r>
      <w:r>
        <w:rPr>
          <w:rFonts w:ascii="Arial" w:hAnsi="Arial" w:cs="Arial"/>
          <w:sz w:val="20"/>
          <w:szCs w:val="20"/>
          <w:lang w:val="bg-BG"/>
        </w:rPr>
        <w:t xml:space="preserve"> интересите на фонд мениджър</w:t>
      </w:r>
      <w:r w:rsidR="003620B6">
        <w:rPr>
          <w:rFonts w:ascii="Arial" w:hAnsi="Arial" w:cs="Arial"/>
          <w:sz w:val="20"/>
          <w:szCs w:val="20"/>
          <w:lang w:val="bg-BG"/>
        </w:rPr>
        <w:t>а</w:t>
      </w:r>
      <w:r>
        <w:rPr>
          <w:rFonts w:ascii="Arial" w:hAnsi="Arial" w:cs="Arial"/>
          <w:sz w:val="20"/>
          <w:szCs w:val="20"/>
          <w:lang w:val="bg-BG"/>
        </w:rPr>
        <w:t xml:space="preserve"> и </w:t>
      </w:r>
      <w:r w:rsidR="00FF3268">
        <w:rPr>
          <w:rFonts w:ascii="Arial" w:hAnsi="Arial" w:cs="Arial"/>
          <w:sz w:val="20"/>
          <w:szCs w:val="20"/>
          <w:lang w:val="bg-BG"/>
        </w:rPr>
        <w:t xml:space="preserve">тези </w:t>
      </w:r>
      <w:r>
        <w:rPr>
          <w:rFonts w:ascii="Arial" w:hAnsi="Arial" w:cs="Arial"/>
          <w:sz w:val="20"/>
          <w:szCs w:val="20"/>
          <w:lang w:val="bg-BG"/>
        </w:rPr>
        <w:t>на другите съинвеститори (вкл. ФМФИБ)</w:t>
      </w:r>
      <w:r w:rsidR="00FF3268">
        <w:rPr>
          <w:rFonts w:ascii="Arial" w:hAnsi="Arial" w:cs="Arial"/>
          <w:sz w:val="20"/>
          <w:szCs w:val="20"/>
          <w:lang w:val="bg-BG"/>
        </w:rPr>
        <w:t>, както</w:t>
      </w:r>
      <w:r>
        <w:rPr>
          <w:rFonts w:ascii="Arial" w:hAnsi="Arial" w:cs="Arial"/>
          <w:sz w:val="20"/>
          <w:szCs w:val="20"/>
          <w:lang w:val="bg-BG"/>
        </w:rPr>
        <w:t xml:space="preserve"> и да </w:t>
      </w:r>
      <w:r w:rsidR="003629FA">
        <w:rPr>
          <w:rFonts w:ascii="Arial" w:hAnsi="Arial" w:cs="Arial"/>
          <w:sz w:val="20"/>
          <w:szCs w:val="20"/>
          <w:lang w:val="bg-BG"/>
        </w:rPr>
        <w:t>набавят основния</w:t>
      </w:r>
      <w:r w:rsidR="00FF3268">
        <w:rPr>
          <w:rFonts w:ascii="Arial" w:hAnsi="Arial" w:cs="Arial"/>
          <w:sz w:val="20"/>
          <w:szCs w:val="20"/>
          <w:lang w:val="bg-BG"/>
        </w:rPr>
        <w:t xml:space="preserve"> капитал за с</w:t>
      </w:r>
      <w:r>
        <w:rPr>
          <w:rFonts w:ascii="Arial" w:hAnsi="Arial" w:cs="Arial"/>
          <w:sz w:val="20"/>
          <w:szCs w:val="20"/>
          <w:lang w:val="bg-BG"/>
        </w:rPr>
        <w:t>пециалната инвестиционна структура (DIV)</w:t>
      </w:r>
      <w:r w:rsidRPr="0051416F">
        <w:rPr>
          <w:rFonts w:ascii="Arial" w:hAnsi="Arial" w:cs="Arial"/>
          <w:sz w:val="20"/>
          <w:szCs w:val="20"/>
          <w:lang w:val="bg-BG"/>
        </w:rPr>
        <w:t>.</w:t>
      </w:r>
    </w:p>
    <w:p w14:paraId="5BB6017A" w14:textId="77777777" w:rsidR="00A25842" w:rsidRPr="00F31871" w:rsidRDefault="00A25842" w:rsidP="00AE3CD5">
      <w:pPr>
        <w:jc w:val="both"/>
        <w:rPr>
          <w:rFonts w:ascii="Arial" w:hAnsi="Arial" w:cs="Arial"/>
          <w:sz w:val="20"/>
          <w:szCs w:val="20"/>
          <w:lang w:val="bg-BG"/>
        </w:rPr>
      </w:pPr>
      <w:r>
        <w:rPr>
          <w:rFonts w:ascii="Arial" w:hAnsi="Arial" w:cs="Arial"/>
          <w:sz w:val="20"/>
          <w:szCs w:val="20"/>
          <w:lang w:val="bg-BG"/>
        </w:rPr>
        <w:t>МФИ и търговските банки могат да предоставят дългово финансиране на ниво специална инвестиционна структура (DIV) чрез подписване на договори за заеми с избрания фонд мениджър на специалната инвестиционна структура (DIV). Конкретните условия на заема не могат да бъдат определени на този етап</w:t>
      </w:r>
      <w:r w:rsidR="00616C34">
        <w:rPr>
          <w:rFonts w:ascii="Arial" w:hAnsi="Arial" w:cs="Arial"/>
          <w:sz w:val="20"/>
          <w:szCs w:val="20"/>
          <w:lang w:val="bg-BG"/>
        </w:rPr>
        <w:t>, а следва да</w:t>
      </w:r>
      <w:r>
        <w:rPr>
          <w:rFonts w:ascii="Arial" w:hAnsi="Arial" w:cs="Arial"/>
          <w:sz w:val="20"/>
          <w:szCs w:val="20"/>
          <w:lang w:val="bg-BG"/>
        </w:rPr>
        <w:t xml:space="preserve"> бъдат определени след преговори между фонд мениджъра и съответния инвеститор. </w:t>
      </w:r>
      <w:r w:rsidR="00F31871">
        <w:rPr>
          <w:rFonts w:ascii="Arial" w:hAnsi="Arial" w:cs="Arial"/>
          <w:sz w:val="20"/>
          <w:szCs w:val="20"/>
          <w:lang w:val="bg-BG"/>
        </w:rPr>
        <w:t>Предвид</w:t>
      </w:r>
      <w:r>
        <w:rPr>
          <w:rFonts w:ascii="Arial" w:hAnsi="Arial" w:cs="Arial"/>
          <w:sz w:val="20"/>
          <w:szCs w:val="20"/>
          <w:lang w:val="bg-BG"/>
        </w:rPr>
        <w:t xml:space="preserve"> очаквания дългосрочен профил на инвестиционн</w:t>
      </w:r>
      <w:r w:rsidR="00F31871">
        <w:rPr>
          <w:rFonts w:ascii="Arial" w:hAnsi="Arial" w:cs="Arial"/>
          <w:sz w:val="20"/>
          <w:szCs w:val="20"/>
          <w:lang w:val="bg-BG"/>
        </w:rPr>
        <w:t xml:space="preserve">ия портфейл </w:t>
      </w:r>
      <w:r>
        <w:rPr>
          <w:rFonts w:ascii="Arial" w:hAnsi="Arial" w:cs="Arial"/>
          <w:sz w:val="20"/>
          <w:szCs w:val="20"/>
          <w:lang w:val="bg-BG"/>
        </w:rPr>
        <w:t xml:space="preserve">на специалната инвестиционна структура (DIV), се </w:t>
      </w:r>
      <w:r w:rsidRPr="00A25842">
        <w:rPr>
          <w:rFonts w:ascii="Arial" w:hAnsi="Arial" w:cs="Arial"/>
          <w:sz w:val="20"/>
          <w:szCs w:val="20"/>
          <w:lang w:val="bg-BG"/>
        </w:rPr>
        <w:t>очаква фонд мениджърът да търси дългосрочен дълг (над 10 или повече години) с достатъчно дъл</w:t>
      </w:r>
      <w:r>
        <w:rPr>
          <w:rFonts w:ascii="Arial" w:hAnsi="Arial" w:cs="Arial"/>
          <w:sz w:val="20"/>
          <w:szCs w:val="20"/>
          <w:lang w:val="bg-BG"/>
        </w:rPr>
        <w:t>ъг</w:t>
      </w:r>
      <w:r w:rsidRPr="00A25842">
        <w:rPr>
          <w:rFonts w:ascii="Arial" w:hAnsi="Arial" w:cs="Arial"/>
          <w:sz w:val="20"/>
          <w:szCs w:val="20"/>
          <w:lang w:val="bg-BG"/>
        </w:rPr>
        <w:t xml:space="preserve"> </w:t>
      </w:r>
      <w:r>
        <w:rPr>
          <w:rFonts w:ascii="Arial" w:hAnsi="Arial" w:cs="Arial"/>
          <w:sz w:val="20"/>
          <w:szCs w:val="20"/>
          <w:lang w:val="bg-BG"/>
        </w:rPr>
        <w:t>период</w:t>
      </w:r>
      <w:r w:rsidRPr="00A25842">
        <w:rPr>
          <w:rFonts w:ascii="Arial" w:hAnsi="Arial" w:cs="Arial"/>
          <w:sz w:val="20"/>
          <w:szCs w:val="20"/>
          <w:lang w:val="bg-BG"/>
        </w:rPr>
        <w:t xml:space="preserve"> на ангажимент</w:t>
      </w:r>
      <w:r>
        <w:rPr>
          <w:rFonts w:ascii="Arial" w:hAnsi="Arial" w:cs="Arial"/>
          <w:sz w:val="20"/>
          <w:szCs w:val="20"/>
          <w:lang w:val="bg-BG"/>
        </w:rPr>
        <w:t xml:space="preserve">, за да съответства на очакваното време за изплащане на съответните инвестиции. </w:t>
      </w:r>
      <w:r w:rsidR="00F31871">
        <w:rPr>
          <w:rFonts w:ascii="Arial" w:hAnsi="Arial" w:cs="Arial"/>
          <w:sz w:val="20"/>
          <w:szCs w:val="20"/>
          <w:lang w:val="bg-BG"/>
        </w:rPr>
        <w:t>Заради</w:t>
      </w:r>
      <w:r>
        <w:rPr>
          <w:rFonts w:ascii="Arial" w:hAnsi="Arial" w:cs="Arial"/>
          <w:sz w:val="20"/>
          <w:szCs w:val="20"/>
          <w:lang w:val="bg-BG"/>
        </w:rPr>
        <w:t xml:space="preserve"> тези особености и факта, че местните търговски банки рядко могат да предоставят заеми с продължителност над 10 години, </w:t>
      </w:r>
      <w:r w:rsidR="00F31871">
        <w:rPr>
          <w:rFonts w:ascii="Arial" w:hAnsi="Arial" w:cs="Arial"/>
          <w:sz w:val="20"/>
          <w:szCs w:val="20"/>
          <w:lang w:val="bg-BG"/>
        </w:rPr>
        <w:t>преобладаващата част от дълговото финансиране</w:t>
      </w:r>
      <w:r>
        <w:rPr>
          <w:rFonts w:ascii="Arial" w:hAnsi="Arial" w:cs="Arial"/>
          <w:sz w:val="20"/>
          <w:szCs w:val="20"/>
          <w:lang w:val="bg-BG"/>
        </w:rPr>
        <w:t xml:space="preserve"> на фонд мениджъра</w:t>
      </w:r>
      <w:r w:rsidR="00F31871">
        <w:rPr>
          <w:rFonts w:ascii="Arial" w:hAnsi="Arial" w:cs="Arial"/>
          <w:sz w:val="20"/>
          <w:szCs w:val="20"/>
          <w:lang w:val="bg-BG"/>
        </w:rPr>
        <w:t xml:space="preserve"> на с</w:t>
      </w:r>
      <w:r>
        <w:rPr>
          <w:rFonts w:ascii="Arial" w:hAnsi="Arial" w:cs="Arial"/>
          <w:sz w:val="20"/>
          <w:szCs w:val="20"/>
          <w:lang w:val="bg-BG"/>
        </w:rPr>
        <w:t xml:space="preserve">пециалната инвестиционна структура (DIV) </w:t>
      </w:r>
      <w:r w:rsidR="00F31871">
        <w:rPr>
          <w:rFonts w:ascii="Arial" w:hAnsi="Arial" w:cs="Arial"/>
          <w:sz w:val="20"/>
          <w:szCs w:val="20"/>
          <w:lang w:val="bg-BG"/>
        </w:rPr>
        <w:t>вероятно ще бъде осигурена</w:t>
      </w:r>
      <w:r>
        <w:rPr>
          <w:rFonts w:ascii="Arial" w:hAnsi="Arial" w:cs="Arial"/>
          <w:sz w:val="20"/>
          <w:szCs w:val="20"/>
          <w:lang w:val="bg-BG"/>
        </w:rPr>
        <w:t xml:space="preserve"> от МФИ. МФИ имат възможност</w:t>
      </w:r>
      <w:r w:rsidR="00F31871">
        <w:rPr>
          <w:rFonts w:ascii="Arial" w:hAnsi="Arial" w:cs="Arial"/>
          <w:sz w:val="20"/>
          <w:szCs w:val="20"/>
          <w:lang w:val="bg-BG"/>
        </w:rPr>
        <w:t xml:space="preserve"> да предоставят заеми с по-дълга</w:t>
      </w:r>
      <w:r>
        <w:rPr>
          <w:rFonts w:ascii="Arial" w:hAnsi="Arial" w:cs="Arial"/>
          <w:sz w:val="20"/>
          <w:szCs w:val="20"/>
          <w:lang w:val="bg-BG"/>
        </w:rPr>
        <w:t xml:space="preserve"> продължителност (15-20 години) и период на ангажимент (1-5 години). От друга страна, търговските банки могат да осигурят</w:t>
      </w:r>
      <w:r w:rsidR="00F31871">
        <w:rPr>
          <w:rFonts w:ascii="Arial" w:hAnsi="Arial" w:cs="Arial"/>
          <w:sz w:val="20"/>
          <w:szCs w:val="20"/>
          <w:lang w:val="bg-BG"/>
        </w:rPr>
        <w:t xml:space="preserve"> по-краткосрочни</w:t>
      </w:r>
      <w:r>
        <w:rPr>
          <w:rFonts w:ascii="Arial" w:hAnsi="Arial" w:cs="Arial"/>
          <w:sz w:val="20"/>
          <w:szCs w:val="20"/>
          <w:lang w:val="bg-BG"/>
        </w:rPr>
        <w:t xml:space="preserve"> </w:t>
      </w:r>
      <w:r w:rsidR="00F31871">
        <w:rPr>
          <w:rFonts w:ascii="Arial" w:hAnsi="Arial" w:cs="Arial"/>
          <w:sz w:val="20"/>
          <w:szCs w:val="20"/>
          <w:lang w:val="bg-BG"/>
        </w:rPr>
        <w:t>заеми</w:t>
      </w:r>
      <w:r>
        <w:rPr>
          <w:rFonts w:ascii="Arial" w:hAnsi="Arial" w:cs="Arial"/>
          <w:sz w:val="20"/>
          <w:szCs w:val="20"/>
          <w:lang w:val="bg-BG"/>
        </w:rPr>
        <w:t xml:space="preserve">, които да бъдат използвани от фонд мениджъра </w:t>
      </w:r>
      <w:r w:rsidR="00F31871">
        <w:rPr>
          <w:rFonts w:ascii="Arial" w:hAnsi="Arial" w:cs="Arial"/>
          <w:sz w:val="20"/>
          <w:szCs w:val="20"/>
          <w:lang w:val="bg-BG"/>
        </w:rPr>
        <w:t>на с</w:t>
      </w:r>
      <w:r>
        <w:rPr>
          <w:rFonts w:ascii="Arial" w:hAnsi="Arial" w:cs="Arial"/>
          <w:sz w:val="20"/>
          <w:szCs w:val="20"/>
          <w:lang w:val="bg-BG"/>
        </w:rPr>
        <w:t>пециалната</w:t>
      </w:r>
      <w:r w:rsidR="00F31871">
        <w:rPr>
          <w:rFonts w:ascii="Arial" w:hAnsi="Arial" w:cs="Arial"/>
          <w:sz w:val="20"/>
          <w:szCs w:val="20"/>
          <w:lang w:val="bg-BG"/>
        </w:rPr>
        <w:t xml:space="preserve"> инвестиционна структура (</w:t>
      </w:r>
      <w:bookmarkStart w:id="22" w:name="_Hlk503429160"/>
      <w:r w:rsidR="00F31871">
        <w:rPr>
          <w:rFonts w:ascii="Arial" w:hAnsi="Arial" w:cs="Arial"/>
          <w:sz w:val="20"/>
          <w:szCs w:val="20"/>
          <w:lang w:val="bg-BG"/>
        </w:rPr>
        <w:t>DIV</w:t>
      </w:r>
      <w:bookmarkEnd w:id="22"/>
      <w:r w:rsidR="00F31871">
        <w:rPr>
          <w:rFonts w:ascii="Arial" w:hAnsi="Arial" w:cs="Arial"/>
          <w:sz w:val="20"/>
          <w:szCs w:val="20"/>
          <w:lang w:val="bg-BG"/>
        </w:rPr>
        <w:t xml:space="preserve">) </w:t>
      </w:r>
      <w:r w:rsidR="00F31871" w:rsidRPr="00BC7695">
        <w:rPr>
          <w:rFonts w:ascii="Arial" w:hAnsi="Arial" w:cs="Arial"/>
          <w:sz w:val="20"/>
          <w:szCs w:val="20"/>
          <w:lang w:val="bg-BG"/>
        </w:rPr>
        <w:t xml:space="preserve">за предоставяне на </w:t>
      </w:r>
      <w:r w:rsidRPr="00BC7695">
        <w:rPr>
          <w:rFonts w:ascii="Arial" w:hAnsi="Arial" w:cs="Arial"/>
          <w:sz w:val="20"/>
          <w:szCs w:val="20"/>
          <w:lang w:val="bg-BG"/>
        </w:rPr>
        <w:t>оборотен капитал и мостов</w:t>
      </w:r>
      <w:r w:rsidR="00F31871" w:rsidRPr="00BC7695">
        <w:rPr>
          <w:rFonts w:ascii="Arial" w:hAnsi="Arial" w:cs="Arial"/>
          <w:sz w:val="20"/>
          <w:szCs w:val="20"/>
          <w:lang w:val="bg-BG"/>
        </w:rPr>
        <w:t xml:space="preserve">о финансиране </w:t>
      </w:r>
      <w:r w:rsidRPr="00BC7695">
        <w:rPr>
          <w:rFonts w:ascii="Arial" w:hAnsi="Arial" w:cs="Arial"/>
          <w:sz w:val="20"/>
          <w:szCs w:val="20"/>
          <w:lang w:val="bg-BG"/>
        </w:rPr>
        <w:t>на допустимите крайни получатели</w:t>
      </w:r>
      <w:r w:rsidR="0079271C">
        <w:rPr>
          <w:rFonts w:ascii="Arial" w:hAnsi="Arial" w:cs="Arial"/>
          <w:sz w:val="20"/>
          <w:szCs w:val="20"/>
          <w:lang w:val="bg-BG"/>
        </w:rPr>
        <w:t>, без да се отчитат като операции на ФИ по ОПОС</w:t>
      </w:r>
      <w:r w:rsidR="00642F38">
        <w:rPr>
          <w:rFonts w:ascii="Arial" w:hAnsi="Arial" w:cs="Arial"/>
          <w:sz w:val="20"/>
          <w:szCs w:val="20"/>
          <w:lang w:val="bg-BG"/>
        </w:rPr>
        <w:t xml:space="preserve"> 2014 – 2020 г.</w:t>
      </w:r>
      <w:r w:rsidR="0079271C">
        <w:rPr>
          <w:rFonts w:ascii="Arial" w:hAnsi="Arial" w:cs="Arial"/>
          <w:sz w:val="20"/>
          <w:szCs w:val="20"/>
          <w:lang w:val="bg-BG"/>
        </w:rPr>
        <w:t xml:space="preserve"> и без да се разходват средства от такса управление на организацията, управляваща специалната инвестиционна структура за целите на управление на подобни заеми</w:t>
      </w:r>
      <w:r w:rsidRPr="0079271C">
        <w:rPr>
          <w:rFonts w:ascii="Arial" w:hAnsi="Arial" w:cs="Arial"/>
          <w:sz w:val="20"/>
          <w:szCs w:val="20"/>
          <w:lang w:val="bg-BG"/>
        </w:rPr>
        <w:t>.</w:t>
      </w:r>
    </w:p>
    <w:p w14:paraId="706389A6" w14:textId="77777777" w:rsidR="00042CAB" w:rsidRDefault="00F31871" w:rsidP="00F52C14">
      <w:pPr>
        <w:jc w:val="both"/>
        <w:rPr>
          <w:rFonts w:ascii="Arial" w:hAnsi="Arial" w:cs="Arial"/>
          <w:sz w:val="20"/>
          <w:szCs w:val="20"/>
          <w:lang w:val="bg-BG"/>
        </w:rPr>
      </w:pPr>
      <w:r>
        <w:rPr>
          <w:rFonts w:ascii="Arial" w:hAnsi="Arial" w:cs="Arial"/>
          <w:sz w:val="20"/>
          <w:szCs w:val="20"/>
          <w:lang w:val="bg-BG"/>
        </w:rPr>
        <w:t>На ниво специална инвестиционна структура (DIV) дълговото финансиране, получено от МФИ и търговските банки, ще бъде използвано заедно със средствата по ОПОС</w:t>
      </w:r>
      <w:r w:rsidR="00642F38">
        <w:rPr>
          <w:rFonts w:ascii="Arial" w:hAnsi="Arial" w:cs="Arial"/>
          <w:sz w:val="20"/>
          <w:szCs w:val="20"/>
          <w:lang w:val="bg-BG"/>
        </w:rPr>
        <w:t xml:space="preserve"> 2014 – 2020 г</w:t>
      </w:r>
      <w:r>
        <w:rPr>
          <w:rFonts w:ascii="Arial" w:hAnsi="Arial" w:cs="Arial"/>
          <w:sz w:val="20"/>
          <w:szCs w:val="20"/>
          <w:lang w:val="bg-BG"/>
        </w:rPr>
        <w:t xml:space="preserve">. </w:t>
      </w:r>
      <w:r w:rsidR="00464D8B">
        <w:rPr>
          <w:rFonts w:ascii="Arial" w:hAnsi="Arial" w:cs="Arial"/>
          <w:sz w:val="20"/>
          <w:szCs w:val="20"/>
          <w:lang w:val="bg-BG"/>
        </w:rPr>
        <w:t>З</w:t>
      </w:r>
      <w:r w:rsidR="00ED5B0A">
        <w:rPr>
          <w:rFonts w:ascii="Arial" w:hAnsi="Arial" w:cs="Arial"/>
          <w:sz w:val="20"/>
          <w:szCs w:val="20"/>
          <w:lang w:val="bg-BG"/>
        </w:rPr>
        <w:t xml:space="preserve">а </w:t>
      </w:r>
      <w:r>
        <w:rPr>
          <w:rFonts w:ascii="Arial" w:hAnsi="Arial" w:cs="Arial"/>
          <w:sz w:val="20"/>
          <w:szCs w:val="20"/>
          <w:lang w:val="bg-BG"/>
        </w:rPr>
        <w:t>да се стимулират съинвеститорите да предоставят заеми на специалната инвестиционна структура (DIV),</w:t>
      </w:r>
      <w:r w:rsidR="00EB1186">
        <w:rPr>
          <w:rFonts w:ascii="Arial" w:hAnsi="Arial" w:cs="Arial"/>
          <w:sz w:val="20"/>
          <w:szCs w:val="20"/>
          <w:lang w:val="bg-BG"/>
        </w:rPr>
        <w:t xml:space="preserve"> </w:t>
      </w:r>
      <w:r w:rsidR="00CD7CA5">
        <w:rPr>
          <w:rFonts w:ascii="Arial" w:hAnsi="Arial" w:cs="Arial"/>
          <w:sz w:val="20"/>
          <w:szCs w:val="20"/>
          <w:lang w:val="bg-BG"/>
        </w:rPr>
        <w:t>следва</w:t>
      </w:r>
      <w:r w:rsidR="00EB1186">
        <w:rPr>
          <w:rFonts w:ascii="Arial" w:hAnsi="Arial" w:cs="Arial"/>
          <w:sz w:val="20"/>
          <w:szCs w:val="20"/>
          <w:lang w:val="bg-BG"/>
        </w:rPr>
        <w:t xml:space="preserve"> да се подобри профилът</w:t>
      </w:r>
      <w:r>
        <w:rPr>
          <w:rFonts w:ascii="Arial" w:hAnsi="Arial" w:cs="Arial"/>
          <w:sz w:val="20"/>
          <w:szCs w:val="20"/>
          <w:lang w:val="bg-BG"/>
        </w:rPr>
        <w:t xml:space="preserve"> на кредитния риск на фонд мениджъра на специалната инвестиционна структура (DIV). </w:t>
      </w:r>
    </w:p>
    <w:p w14:paraId="35A48776" w14:textId="77777777" w:rsidR="00042CAB" w:rsidRDefault="00F31871" w:rsidP="00F52C14">
      <w:pPr>
        <w:jc w:val="both"/>
        <w:rPr>
          <w:rFonts w:ascii="Arial" w:hAnsi="Arial" w:cs="Arial"/>
          <w:sz w:val="20"/>
          <w:szCs w:val="20"/>
          <w:lang w:val="bg-BG"/>
        </w:rPr>
      </w:pPr>
      <w:r>
        <w:rPr>
          <w:rFonts w:ascii="Arial" w:hAnsi="Arial" w:cs="Arial"/>
          <w:sz w:val="20"/>
          <w:szCs w:val="20"/>
          <w:lang w:val="bg-BG"/>
        </w:rPr>
        <w:t>Това може да бъде постигнато чрез механизъм за споделяне на риска между средствата по ОПОС</w:t>
      </w:r>
      <w:r w:rsidR="00642F38">
        <w:rPr>
          <w:rFonts w:ascii="Arial" w:hAnsi="Arial" w:cs="Arial"/>
          <w:sz w:val="20"/>
          <w:szCs w:val="20"/>
          <w:lang w:val="bg-BG"/>
        </w:rPr>
        <w:t xml:space="preserve"> 2014 – 2020 г.</w:t>
      </w:r>
      <w:r>
        <w:rPr>
          <w:rFonts w:ascii="Arial" w:hAnsi="Arial" w:cs="Arial"/>
          <w:sz w:val="20"/>
          <w:szCs w:val="20"/>
          <w:lang w:val="bg-BG"/>
        </w:rPr>
        <w:t xml:space="preserve"> и средствата, предоставени от съинвеститорите. По</w:t>
      </w:r>
      <w:r w:rsidR="00386131">
        <w:rPr>
          <w:rFonts w:ascii="Arial" w:hAnsi="Arial" w:cs="Arial"/>
          <w:sz w:val="20"/>
          <w:szCs w:val="20"/>
          <w:lang w:val="bg-BG"/>
        </w:rPr>
        <w:t>-</w:t>
      </w:r>
      <w:r>
        <w:rPr>
          <w:rFonts w:ascii="Arial" w:hAnsi="Arial" w:cs="Arial"/>
          <w:sz w:val="20"/>
          <w:szCs w:val="20"/>
          <w:lang w:val="bg-BG"/>
        </w:rPr>
        <w:t xml:space="preserve">конкретно се предвижда средствата по ОПОС </w:t>
      </w:r>
      <w:r w:rsidR="00642F38">
        <w:rPr>
          <w:rFonts w:ascii="Arial" w:hAnsi="Arial" w:cs="Arial"/>
          <w:sz w:val="20"/>
          <w:szCs w:val="20"/>
          <w:lang w:val="bg-BG"/>
        </w:rPr>
        <w:t xml:space="preserve">2014 – 2020 г. </w:t>
      </w:r>
      <w:r>
        <w:rPr>
          <w:rFonts w:ascii="Arial" w:hAnsi="Arial" w:cs="Arial"/>
          <w:sz w:val="20"/>
          <w:szCs w:val="20"/>
          <w:lang w:val="bg-BG"/>
        </w:rPr>
        <w:t xml:space="preserve">да включват гаранция </w:t>
      </w:r>
      <w:r w:rsidR="001D6174">
        <w:rPr>
          <w:rFonts w:ascii="Arial" w:hAnsi="Arial" w:cs="Arial"/>
          <w:sz w:val="20"/>
          <w:szCs w:val="20"/>
          <w:lang w:val="bg-BG"/>
        </w:rPr>
        <w:t>с лимит на</w:t>
      </w:r>
      <w:r>
        <w:rPr>
          <w:rFonts w:ascii="Arial" w:hAnsi="Arial" w:cs="Arial"/>
          <w:sz w:val="20"/>
          <w:szCs w:val="20"/>
          <w:lang w:val="bg-BG"/>
        </w:rPr>
        <w:t xml:space="preserve"> загуба</w:t>
      </w:r>
      <w:r w:rsidR="001D6174">
        <w:rPr>
          <w:rFonts w:ascii="Arial" w:hAnsi="Arial" w:cs="Arial"/>
          <w:sz w:val="20"/>
          <w:szCs w:val="20"/>
          <w:lang w:val="bg-BG"/>
        </w:rPr>
        <w:t xml:space="preserve">та </w:t>
      </w:r>
      <w:r>
        <w:rPr>
          <w:rFonts w:ascii="Arial" w:hAnsi="Arial" w:cs="Arial"/>
          <w:sz w:val="20"/>
          <w:szCs w:val="20"/>
          <w:lang w:val="bg-BG"/>
        </w:rPr>
        <w:t>спрямо предоставеното финансиране от другите инвеститори, която ще се приложи на база портфейл.</w:t>
      </w:r>
      <w:r w:rsidRPr="00F31871">
        <w:rPr>
          <w:rFonts w:ascii="Arial" w:hAnsi="Arial" w:cs="Arial"/>
          <w:sz w:val="20"/>
          <w:szCs w:val="20"/>
          <w:lang w:val="bg-BG"/>
        </w:rPr>
        <w:t xml:space="preserve"> </w:t>
      </w:r>
      <w:r w:rsidRPr="00642F38">
        <w:rPr>
          <w:rFonts w:ascii="Arial" w:hAnsi="Arial" w:cs="Arial"/>
          <w:sz w:val="20"/>
          <w:szCs w:val="20"/>
          <w:lang w:val="bg-BG"/>
        </w:rPr>
        <w:t>Това означава че загуби</w:t>
      </w:r>
      <w:r w:rsidR="00EB1186" w:rsidRPr="00642F38">
        <w:rPr>
          <w:rFonts w:ascii="Arial" w:hAnsi="Arial" w:cs="Arial"/>
          <w:sz w:val="20"/>
          <w:szCs w:val="20"/>
          <w:lang w:val="bg-BG"/>
        </w:rPr>
        <w:t>те</w:t>
      </w:r>
      <w:r w:rsidR="00EB1186">
        <w:rPr>
          <w:rFonts w:ascii="Arial" w:hAnsi="Arial" w:cs="Arial"/>
          <w:sz w:val="20"/>
          <w:szCs w:val="20"/>
          <w:lang w:val="bg-BG"/>
        </w:rPr>
        <w:t>, дължащи се на неизпълнение на задълженията от страна на крайните получатели, понесени от с</w:t>
      </w:r>
      <w:r>
        <w:rPr>
          <w:rFonts w:ascii="Arial" w:hAnsi="Arial" w:cs="Arial"/>
          <w:sz w:val="20"/>
          <w:szCs w:val="20"/>
          <w:lang w:val="bg-BG"/>
        </w:rPr>
        <w:t>пециалната инвестиционна структура (DIV)</w:t>
      </w:r>
      <w:r w:rsidR="00EB1186">
        <w:rPr>
          <w:rFonts w:ascii="Arial" w:hAnsi="Arial" w:cs="Arial"/>
          <w:sz w:val="20"/>
          <w:szCs w:val="20"/>
          <w:lang w:val="bg-BG"/>
        </w:rPr>
        <w:t>,</w:t>
      </w:r>
      <w:r>
        <w:rPr>
          <w:rFonts w:ascii="Arial" w:hAnsi="Arial" w:cs="Arial"/>
          <w:sz w:val="20"/>
          <w:szCs w:val="20"/>
          <w:lang w:val="bg-BG"/>
        </w:rPr>
        <w:t xml:space="preserve"> ще се </w:t>
      </w:r>
      <w:r w:rsidR="00EB1186">
        <w:rPr>
          <w:rFonts w:ascii="Arial" w:hAnsi="Arial" w:cs="Arial"/>
          <w:sz w:val="20"/>
          <w:szCs w:val="20"/>
          <w:lang w:val="bg-BG"/>
        </w:rPr>
        <w:t>понасят от</w:t>
      </w:r>
      <w:r>
        <w:rPr>
          <w:rFonts w:ascii="Arial" w:hAnsi="Arial" w:cs="Arial"/>
          <w:sz w:val="20"/>
          <w:szCs w:val="20"/>
          <w:lang w:val="bg-BG"/>
        </w:rPr>
        <w:t xml:space="preserve"> средствата</w:t>
      </w:r>
      <w:r w:rsidR="00EB1186">
        <w:rPr>
          <w:rFonts w:ascii="Arial" w:hAnsi="Arial" w:cs="Arial"/>
          <w:sz w:val="20"/>
          <w:szCs w:val="20"/>
          <w:lang w:val="bg-BG"/>
        </w:rPr>
        <w:t xml:space="preserve"> по ОПОС</w:t>
      </w:r>
      <w:r w:rsidR="003C78AA">
        <w:rPr>
          <w:rFonts w:ascii="Arial" w:hAnsi="Arial" w:cs="Arial"/>
          <w:sz w:val="20"/>
          <w:szCs w:val="20"/>
          <w:lang w:val="bg-BG"/>
        </w:rPr>
        <w:t xml:space="preserve"> 2014 – 2020 г.</w:t>
      </w:r>
      <w:r w:rsidR="00EB1186">
        <w:rPr>
          <w:rFonts w:ascii="Arial" w:hAnsi="Arial" w:cs="Arial"/>
          <w:sz w:val="20"/>
          <w:szCs w:val="20"/>
          <w:lang w:val="bg-BG"/>
        </w:rPr>
        <w:t xml:space="preserve">, докато не се достигне тавана на </w:t>
      </w:r>
      <w:r w:rsidR="00634FC4">
        <w:rPr>
          <w:rFonts w:ascii="Arial" w:hAnsi="Arial" w:cs="Arial"/>
          <w:sz w:val="20"/>
          <w:szCs w:val="20"/>
          <w:lang w:val="bg-BG"/>
        </w:rPr>
        <w:t>загуби по продукта</w:t>
      </w:r>
      <w:r>
        <w:rPr>
          <w:rFonts w:ascii="Arial" w:hAnsi="Arial" w:cs="Arial"/>
          <w:sz w:val="20"/>
          <w:szCs w:val="20"/>
          <w:lang w:val="bg-BG"/>
        </w:rPr>
        <w:t>.</w:t>
      </w:r>
      <w:r w:rsidR="00042CAB">
        <w:rPr>
          <w:rFonts w:ascii="Arial" w:hAnsi="Arial" w:cs="Arial"/>
          <w:sz w:val="20"/>
          <w:szCs w:val="20"/>
          <w:lang w:val="bg-BG"/>
        </w:rPr>
        <w:t xml:space="preserve"> Посоченият механизъм е приложим само ако привлеченото финансиране на ниво </w:t>
      </w:r>
      <w:r w:rsidR="00042CAB">
        <w:rPr>
          <w:rFonts w:ascii="Arial" w:hAnsi="Arial" w:cs="Arial"/>
          <w:sz w:val="20"/>
          <w:szCs w:val="20"/>
        </w:rPr>
        <w:t>DIV</w:t>
      </w:r>
      <w:r w:rsidR="00042CAB" w:rsidRPr="00785B0F">
        <w:rPr>
          <w:rFonts w:ascii="Arial" w:hAnsi="Arial" w:cs="Arial"/>
          <w:sz w:val="20"/>
          <w:szCs w:val="20"/>
          <w:lang w:val="bg-BG"/>
        </w:rPr>
        <w:t xml:space="preserve"> </w:t>
      </w:r>
      <w:r w:rsidR="00042CAB">
        <w:rPr>
          <w:rFonts w:ascii="Arial" w:hAnsi="Arial" w:cs="Arial"/>
          <w:sz w:val="20"/>
          <w:szCs w:val="20"/>
          <w:lang w:val="bg-BG"/>
        </w:rPr>
        <w:t>е осигурено от МФИ.</w:t>
      </w:r>
    </w:p>
    <w:p w14:paraId="03ED91E9" w14:textId="77777777" w:rsidR="00F31871" w:rsidRPr="00F31871" w:rsidRDefault="00F31871" w:rsidP="00F52C14">
      <w:pPr>
        <w:jc w:val="both"/>
        <w:rPr>
          <w:rFonts w:ascii="Arial" w:hAnsi="Arial" w:cs="Arial"/>
          <w:sz w:val="20"/>
          <w:szCs w:val="20"/>
          <w:lang w:val="bg-BG"/>
        </w:rPr>
      </w:pPr>
      <w:r>
        <w:rPr>
          <w:rFonts w:ascii="Arial" w:hAnsi="Arial" w:cs="Arial"/>
          <w:sz w:val="20"/>
          <w:szCs w:val="20"/>
          <w:lang w:val="bg-BG"/>
        </w:rPr>
        <w:t xml:space="preserve"> </w:t>
      </w:r>
      <w:r w:rsidR="00EB1186">
        <w:rPr>
          <w:rFonts w:ascii="Arial" w:hAnsi="Arial" w:cs="Arial"/>
          <w:sz w:val="20"/>
          <w:szCs w:val="20"/>
          <w:lang w:val="bg-BG"/>
        </w:rPr>
        <w:t>Приблизителният</w:t>
      </w:r>
      <w:r>
        <w:rPr>
          <w:rFonts w:ascii="Arial" w:hAnsi="Arial" w:cs="Arial"/>
          <w:sz w:val="20"/>
          <w:szCs w:val="20"/>
          <w:lang w:val="bg-BG"/>
        </w:rPr>
        <w:t xml:space="preserve"> процент </w:t>
      </w:r>
      <w:r w:rsidR="00CC365F">
        <w:rPr>
          <w:rFonts w:ascii="Arial" w:hAnsi="Arial" w:cs="Arial"/>
          <w:sz w:val="20"/>
          <w:szCs w:val="20"/>
          <w:lang w:val="bg-BG"/>
        </w:rPr>
        <w:t>на</w:t>
      </w:r>
      <w:r w:rsidR="00EB1186">
        <w:rPr>
          <w:rFonts w:ascii="Arial" w:hAnsi="Arial" w:cs="Arial"/>
          <w:sz w:val="20"/>
          <w:szCs w:val="20"/>
          <w:lang w:val="bg-BG"/>
        </w:rPr>
        <w:t xml:space="preserve"> </w:t>
      </w:r>
      <w:r w:rsidR="00CC365F">
        <w:rPr>
          <w:rFonts w:ascii="Arial" w:hAnsi="Arial" w:cs="Arial"/>
          <w:sz w:val="20"/>
          <w:szCs w:val="20"/>
          <w:lang w:val="bg-BG"/>
        </w:rPr>
        <w:t xml:space="preserve">загубите </w:t>
      </w:r>
      <w:r>
        <w:rPr>
          <w:rFonts w:ascii="Arial" w:hAnsi="Arial" w:cs="Arial"/>
          <w:sz w:val="20"/>
          <w:szCs w:val="20"/>
          <w:lang w:val="bg-BG"/>
        </w:rPr>
        <w:t xml:space="preserve">не трябва да надвишава 25% от стойността на </w:t>
      </w:r>
      <w:r w:rsidR="00EB1186">
        <w:rPr>
          <w:rFonts w:ascii="Arial" w:hAnsi="Arial" w:cs="Arial"/>
          <w:sz w:val="20"/>
          <w:szCs w:val="20"/>
          <w:lang w:val="bg-BG"/>
        </w:rPr>
        <w:t>предоставеното от инвеститора</w:t>
      </w:r>
      <w:r>
        <w:rPr>
          <w:rFonts w:ascii="Arial" w:hAnsi="Arial" w:cs="Arial"/>
          <w:sz w:val="20"/>
          <w:szCs w:val="20"/>
          <w:lang w:val="bg-BG"/>
        </w:rPr>
        <w:t xml:space="preserve"> финансиране</w:t>
      </w:r>
      <w:r w:rsidR="0079271C">
        <w:rPr>
          <w:rFonts w:ascii="Arial" w:hAnsi="Arial" w:cs="Arial"/>
          <w:sz w:val="20"/>
          <w:szCs w:val="20"/>
          <w:lang w:val="bg-BG"/>
        </w:rPr>
        <w:t xml:space="preserve"> при спазване на</w:t>
      </w:r>
      <w:r>
        <w:rPr>
          <w:rFonts w:ascii="Arial" w:hAnsi="Arial" w:cs="Arial"/>
          <w:sz w:val="20"/>
          <w:szCs w:val="20"/>
          <w:lang w:val="bg-BG"/>
        </w:rPr>
        <w:t xml:space="preserve"> </w:t>
      </w:r>
      <w:r w:rsidR="008F173B">
        <w:rPr>
          <w:rFonts w:ascii="Arial" w:hAnsi="Arial" w:cs="Arial"/>
          <w:sz w:val="20"/>
          <w:szCs w:val="20"/>
          <w:lang w:val="bg-BG"/>
        </w:rPr>
        <w:t xml:space="preserve">прага за максимален размер на гаранцията за всеки индивидуален кредит и </w:t>
      </w:r>
      <w:r w:rsidR="00EB1186">
        <w:rPr>
          <w:rFonts w:ascii="Arial" w:hAnsi="Arial" w:cs="Arial"/>
          <w:sz w:val="20"/>
          <w:szCs w:val="20"/>
          <w:lang w:val="bg-BG"/>
        </w:rPr>
        <w:t>приложимото законодателство</w:t>
      </w:r>
      <w:r w:rsidR="00B7307D">
        <w:rPr>
          <w:rFonts w:ascii="Arial" w:hAnsi="Arial" w:cs="Arial"/>
          <w:sz w:val="20"/>
          <w:szCs w:val="20"/>
          <w:lang w:val="bg-BG"/>
        </w:rPr>
        <w:t xml:space="preserve"> за държавни</w:t>
      </w:r>
      <w:r>
        <w:rPr>
          <w:rFonts w:ascii="Arial" w:hAnsi="Arial" w:cs="Arial"/>
          <w:sz w:val="20"/>
          <w:szCs w:val="20"/>
          <w:lang w:val="bg-BG"/>
        </w:rPr>
        <w:t xml:space="preserve"> помощ</w:t>
      </w:r>
      <w:r w:rsidR="00B7307D">
        <w:rPr>
          <w:rFonts w:ascii="Arial" w:hAnsi="Arial" w:cs="Arial"/>
          <w:sz w:val="20"/>
          <w:szCs w:val="20"/>
          <w:lang w:val="bg-BG"/>
        </w:rPr>
        <w:t>и</w:t>
      </w:r>
      <w:r w:rsidR="00EB1186">
        <w:rPr>
          <w:rFonts w:ascii="Arial" w:hAnsi="Arial" w:cs="Arial"/>
          <w:sz w:val="20"/>
          <w:szCs w:val="20"/>
          <w:lang w:val="bg-BG"/>
        </w:rPr>
        <w:t>. Всички загуби</w:t>
      </w:r>
      <w:r w:rsidR="00994480">
        <w:rPr>
          <w:rFonts w:ascii="Arial" w:hAnsi="Arial" w:cs="Arial"/>
          <w:sz w:val="20"/>
          <w:szCs w:val="20"/>
          <w:lang w:val="bg-BG"/>
        </w:rPr>
        <w:t xml:space="preserve"> на ниво индивидуален кредит</w:t>
      </w:r>
      <w:r w:rsidR="00EB1186">
        <w:rPr>
          <w:rFonts w:ascii="Arial" w:hAnsi="Arial" w:cs="Arial"/>
          <w:sz w:val="20"/>
          <w:szCs w:val="20"/>
          <w:lang w:val="bg-BG"/>
        </w:rPr>
        <w:t xml:space="preserve"> </w:t>
      </w:r>
      <w:r w:rsidR="00412124">
        <w:rPr>
          <w:rFonts w:ascii="Arial" w:hAnsi="Arial" w:cs="Arial"/>
          <w:sz w:val="20"/>
          <w:szCs w:val="20"/>
          <w:lang w:val="bg-BG"/>
        </w:rPr>
        <w:t xml:space="preserve">до достигане на </w:t>
      </w:r>
      <w:r w:rsidR="00EB1186">
        <w:rPr>
          <w:rFonts w:ascii="Arial" w:hAnsi="Arial" w:cs="Arial"/>
          <w:sz w:val="20"/>
          <w:szCs w:val="20"/>
          <w:lang w:val="bg-BG"/>
        </w:rPr>
        <w:t>тавана</w:t>
      </w:r>
      <w:r w:rsidR="00994480">
        <w:rPr>
          <w:rFonts w:ascii="Arial" w:hAnsi="Arial" w:cs="Arial"/>
          <w:sz w:val="20"/>
          <w:szCs w:val="20"/>
          <w:lang w:val="bg-BG"/>
        </w:rPr>
        <w:t xml:space="preserve"> на ниво портфейл</w:t>
      </w:r>
      <w:r w:rsidR="00EB1186">
        <w:rPr>
          <w:rFonts w:ascii="Arial" w:hAnsi="Arial" w:cs="Arial"/>
          <w:sz w:val="20"/>
          <w:szCs w:val="20"/>
          <w:lang w:val="bg-BG"/>
        </w:rPr>
        <w:t xml:space="preserve"> </w:t>
      </w:r>
      <w:r>
        <w:rPr>
          <w:rFonts w:ascii="Arial" w:hAnsi="Arial" w:cs="Arial"/>
          <w:sz w:val="20"/>
          <w:szCs w:val="20"/>
          <w:lang w:val="bg-BG"/>
        </w:rPr>
        <w:t xml:space="preserve">ще бъдат споделени на </w:t>
      </w:r>
      <w:r w:rsidRPr="00EB1186">
        <w:rPr>
          <w:rFonts w:ascii="Arial" w:hAnsi="Arial" w:cs="Arial"/>
          <w:sz w:val="20"/>
          <w:szCs w:val="20"/>
          <w:lang w:val="bg-BG"/>
        </w:rPr>
        <w:t xml:space="preserve">принципа </w:t>
      </w:r>
      <w:r w:rsidRPr="00EB1186">
        <w:rPr>
          <w:rFonts w:ascii="Arial" w:hAnsi="Arial" w:cs="Arial"/>
          <w:i/>
          <w:sz w:val="20"/>
          <w:szCs w:val="20"/>
        </w:rPr>
        <w:t>pari</w:t>
      </w:r>
      <w:r w:rsidRPr="00EB1186">
        <w:rPr>
          <w:rFonts w:ascii="Arial" w:hAnsi="Arial" w:cs="Arial"/>
          <w:i/>
          <w:sz w:val="20"/>
          <w:szCs w:val="20"/>
          <w:lang w:val="bg-BG"/>
        </w:rPr>
        <w:t>-</w:t>
      </w:r>
      <w:r w:rsidRPr="00EB1186">
        <w:rPr>
          <w:rFonts w:ascii="Arial" w:hAnsi="Arial" w:cs="Arial"/>
          <w:i/>
          <w:sz w:val="20"/>
          <w:szCs w:val="20"/>
        </w:rPr>
        <w:t>passu</w:t>
      </w:r>
      <w:r w:rsidRPr="00EB1186">
        <w:rPr>
          <w:rFonts w:ascii="Arial" w:hAnsi="Arial" w:cs="Arial"/>
          <w:i/>
          <w:sz w:val="20"/>
          <w:szCs w:val="20"/>
          <w:lang w:val="bg-BG"/>
        </w:rPr>
        <w:t xml:space="preserve"> </w:t>
      </w:r>
      <w:r w:rsidRPr="00EB1186">
        <w:rPr>
          <w:rFonts w:ascii="Arial" w:hAnsi="Arial" w:cs="Arial"/>
          <w:sz w:val="20"/>
          <w:szCs w:val="20"/>
          <w:lang w:val="bg-BG"/>
        </w:rPr>
        <w:t>между</w:t>
      </w:r>
      <w:r>
        <w:rPr>
          <w:rFonts w:ascii="Arial" w:hAnsi="Arial" w:cs="Arial"/>
          <w:sz w:val="20"/>
          <w:szCs w:val="20"/>
          <w:lang w:val="bg-BG"/>
        </w:rPr>
        <w:t xml:space="preserve"> средствата по ОПОС и</w:t>
      </w:r>
      <w:r w:rsidR="00B7307D">
        <w:rPr>
          <w:rFonts w:ascii="Arial" w:hAnsi="Arial" w:cs="Arial"/>
          <w:sz w:val="20"/>
          <w:szCs w:val="20"/>
          <w:lang w:val="bg-BG"/>
        </w:rPr>
        <w:t xml:space="preserve"> финансирането, предоставено от</w:t>
      </w:r>
      <w:r>
        <w:rPr>
          <w:rFonts w:ascii="Arial" w:hAnsi="Arial" w:cs="Arial"/>
          <w:sz w:val="20"/>
          <w:szCs w:val="20"/>
          <w:lang w:val="bg-BG"/>
        </w:rPr>
        <w:t xml:space="preserve"> </w:t>
      </w:r>
      <w:r w:rsidR="00EB1186">
        <w:rPr>
          <w:rFonts w:ascii="Arial" w:hAnsi="Arial" w:cs="Arial"/>
          <w:sz w:val="20"/>
          <w:szCs w:val="20"/>
          <w:lang w:val="bg-BG"/>
        </w:rPr>
        <w:t>другите съинвеститори</w:t>
      </w:r>
      <w:r w:rsidR="00412124">
        <w:rPr>
          <w:rFonts w:ascii="Arial" w:hAnsi="Arial" w:cs="Arial"/>
          <w:sz w:val="20"/>
          <w:szCs w:val="20"/>
          <w:lang w:val="bg-BG"/>
        </w:rPr>
        <w:t xml:space="preserve"> </w:t>
      </w:r>
      <w:r w:rsidR="00412124">
        <w:rPr>
          <w:rFonts w:ascii="Arial" w:hAnsi="Arial" w:cs="Arial"/>
          <w:sz w:val="20"/>
          <w:szCs w:val="20"/>
          <w:lang w:val="bg-BG"/>
        </w:rPr>
        <w:lastRenderedPageBreak/>
        <w:t>съобразно процента на покритие на гаранцията</w:t>
      </w:r>
      <w:r w:rsidR="00331B39" w:rsidRPr="00785B0F">
        <w:rPr>
          <w:lang w:val="bg-BG"/>
        </w:rPr>
        <w:t xml:space="preserve"> </w:t>
      </w:r>
      <w:r w:rsidR="00331B39" w:rsidRPr="00331B39">
        <w:rPr>
          <w:rFonts w:ascii="Arial" w:hAnsi="Arial" w:cs="Arial"/>
          <w:sz w:val="20"/>
          <w:szCs w:val="20"/>
          <w:lang w:val="bg-BG"/>
        </w:rPr>
        <w:t>или с прилагане на асиметрия при спазване на приложимите правила за държавни помощи</w:t>
      </w:r>
      <w:r>
        <w:rPr>
          <w:rFonts w:ascii="Arial" w:hAnsi="Arial" w:cs="Arial"/>
          <w:sz w:val="20"/>
          <w:szCs w:val="20"/>
          <w:lang w:val="bg-BG"/>
        </w:rPr>
        <w:t>.</w:t>
      </w:r>
    </w:p>
    <w:p w14:paraId="4C035B87" w14:textId="77777777" w:rsidR="00870DE8" w:rsidRPr="009A7D98" w:rsidRDefault="009A7D98" w:rsidP="00AE3CD5">
      <w:pPr>
        <w:rPr>
          <w:rFonts w:ascii="Arial" w:hAnsi="Arial" w:cs="Arial"/>
          <w:b/>
          <w:i/>
          <w:sz w:val="20"/>
          <w:szCs w:val="20"/>
          <w:lang w:val="bg-BG"/>
        </w:rPr>
      </w:pPr>
      <w:r>
        <w:rPr>
          <w:rFonts w:ascii="Arial" w:hAnsi="Arial" w:cs="Arial"/>
          <w:b/>
          <w:i/>
          <w:sz w:val="20"/>
          <w:szCs w:val="20"/>
          <w:lang w:val="bg-BG"/>
        </w:rPr>
        <w:t>Финансиране на ниво проект</w:t>
      </w:r>
      <w:r w:rsidR="00897C0C">
        <w:rPr>
          <w:rFonts w:ascii="Arial" w:hAnsi="Arial" w:cs="Arial"/>
          <w:b/>
          <w:i/>
          <w:sz w:val="20"/>
          <w:szCs w:val="20"/>
          <w:lang w:val="bg-BG"/>
        </w:rPr>
        <w:t>и</w:t>
      </w:r>
      <w:r w:rsidR="00824F06" w:rsidRPr="009A7D98">
        <w:rPr>
          <w:rFonts w:ascii="Arial" w:hAnsi="Arial" w:cs="Arial"/>
          <w:b/>
          <w:i/>
          <w:sz w:val="20"/>
          <w:szCs w:val="20"/>
          <w:lang w:val="bg-BG"/>
        </w:rPr>
        <w:t>/</w:t>
      </w:r>
      <w:r>
        <w:rPr>
          <w:rFonts w:ascii="Arial" w:hAnsi="Arial" w:cs="Arial"/>
          <w:b/>
          <w:i/>
          <w:sz w:val="20"/>
          <w:szCs w:val="20"/>
          <w:lang w:val="bg-BG"/>
        </w:rPr>
        <w:t xml:space="preserve"> крайни получатели</w:t>
      </w:r>
      <w:r w:rsidR="00824F06" w:rsidRPr="009A7D98">
        <w:rPr>
          <w:rFonts w:ascii="Arial" w:hAnsi="Arial" w:cs="Arial"/>
          <w:b/>
          <w:i/>
          <w:sz w:val="20"/>
          <w:szCs w:val="20"/>
          <w:lang w:val="bg-BG"/>
        </w:rPr>
        <w:t xml:space="preserve"> </w:t>
      </w:r>
      <w:r>
        <w:rPr>
          <w:rFonts w:ascii="Arial" w:hAnsi="Arial" w:cs="Arial"/>
          <w:b/>
          <w:i/>
          <w:sz w:val="20"/>
          <w:szCs w:val="20"/>
          <w:lang w:val="bg-BG"/>
        </w:rPr>
        <w:t>(съфинансиране</w:t>
      </w:r>
      <w:r w:rsidR="00824F06" w:rsidRPr="009A7D98">
        <w:rPr>
          <w:rFonts w:ascii="Arial" w:hAnsi="Arial" w:cs="Arial"/>
          <w:b/>
          <w:i/>
          <w:sz w:val="20"/>
          <w:szCs w:val="20"/>
          <w:lang w:val="bg-BG"/>
        </w:rPr>
        <w:t>)</w:t>
      </w:r>
    </w:p>
    <w:p w14:paraId="37DB399D" w14:textId="77777777" w:rsidR="00897C0C" w:rsidRPr="00F70C24" w:rsidRDefault="00897C0C" w:rsidP="00897C0C">
      <w:pPr>
        <w:jc w:val="both"/>
        <w:rPr>
          <w:rFonts w:ascii="Arial" w:hAnsi="Arial" w:cs="Arial"/>
          <w:sz w:val="20"/>
          <w:szCs w:val="20"/>
          <w:lang w:val="bg-BG"/>
        </w:rPr>
      </w:pPr>
      <w:r>
        <w:rPr>
          <w:rFonts w:ascii="Arial" w:hAnsi="Arial" w:cs="Arial"/>
          <w:sz w:val="20"/>
          <w:szCs w:val="20"/>
          <w:lang w:val="bg-BG"/>
        </w:rPr>
        <w:t xml:space="preserve">Финансирането на ниво проекти и крайни получатели се очаква да </w:t>
      </w:r>
      <w:r w:rsidR="00FB4D3A">
        <w:rPr>
          <w:rFonts w:ascii="Arial" w:hAnsi="Arial" w:cs="Arial"/>
          <w:sz w:val="20"/>
          <w:szCs w:val="20"/>
          <w:lang w:val="bg-BG"/>
        </w:rPr>
        <w:t>бъде</w:t>
      </w:r>
      <w:r>
        <w:rPr>
          <w:rFonts w:ascii="Arial" w:hAnsi="Arial" w:cs="Arial"/>
          <w:sz w:val="20"/>
          <w:szCs w:val="20"/>
          <w:lang w:val="bg-BG"/>
        </w:rPr>
        <w:t xml:space="preserve"> основно </w:t>
      </w:r>
      <w:r w:rsidR="00FB4D3A">
        <w:rPr>
          <w:rFonts w:ascii="Arial" w:hAnsi="Arial" w:cs="Arial"/>
          <w:sz w:val="20"/>
          <w:szCs w:val="20"/>
          <w:lang w:val="bg-BG"/>
        </w:rPr>
        <w:t xml:space="preserve">предоставено </w:t>
      </w:r>
      <w:r>
        <w:rPr>
          <w:rFonts w:ascii="Arial" w:hAnsi="Arial" w:cs="Arial"/>
          <w:sz w:val="20"/>
          <w:szCs w:val="20"/>
          <w:lang w:val="bg-BG"/>
        </w:rPr>
        <w:t>от търговските банки под формата на директни заеми към крайните получатели. Заемите могат да бъдат подпомогнати чрез гаранции, предоставяни от специалната инвестиционна структура (DIV</w:t>
      </w:r>
      <w:r w:rsidR="00042CAB">
        <w:rPr>
          <w:rFonts w:ascii="Arial" w:hAnsi="Arial" w:cs="Arial"/>
          <w:sz w:val="20"/>
          <w:szCs w:val="20"/>
          <w:lang w:val="bg-BG"/>
        </w:rPr>
        <w:t xml:space="preserve">) или ФМФИБ ЕАД, </w:t>
      </w:r>
      <w:r>
        <w:rPr>
          <w:rFonts w:ascii="Arial" w:hAnsi="Arial" w:cs="Arial"/>
          <w:sz w:val="20"/>
          <w:szCs w:val="20"/>
          <w:lang w:val="bg-BG"/>
        </w:rPr>
        <w:t xml:space="preserve">които ще покрият предварително определен дял от кредитния риск, свързан с допустимия проект (да не надвишава </w:t>
      </w:r>
      <w:r w:rsidR="00A60D49">
        <w:rPr>
          <w:rFonts w:ascii="Arial" w:hAnsi="Arial" w:cs="Arial"/>
          <w:sz w:val="20"/>
          <w:szCs w:val="20"/>
          <w:lang w:val="bg-BG"/>
        </w:rPr>
        <w:t>80</w:t>
      </w:r>
      <w:r>
        <w:rPr>
          <w:rFonts w:ascii="Arial" w:hAnsi="Arial" w:cs="Arial"/>
          <w:sz w:val="20"/>
          <w:szCs w:val="20"/>
          <w:lang w:val="bg-BG"/>
        </w:rPr>
        <w:t>% на</w:t>
      </w:r>
      <w:r w:rsidR="004627BA">
        <w:rPr>
          <w:rFonts w:ascii="Arial" w:hAnsi="Arial" w:cs="Arial"/>
          <w:sz w:val="20"/>
          <w:szCs w:val="20"/>
          <w:lang w:val="bg-BG"/>
        </w:rPr>
        <w:t xml:space="preserve"> ниво заем на</w:t>
      </w:r>
      <w:r>
        <w:rPr>
          <w:rFonts w:ascii="Arial" w:hAnsi="Arial" w:cs="Arial"/>
          <w:sz w:val="20"/>
          <w:szCs w:val="20"/>
          <w:lang w:val="bg-BG"/>
        </w:rPr>
        <w:t xml:space="preserve"> принципа </w:t>
      </w:r>
      <w:r w:rsidRPr="000B327F">
        <w:rPr>
          <w:rFonts w:ascii="Arial" w:hAnsi="Arial" w:cs="Arial"/>
          <w:i/>
          <w:sz w:val="20"/>
          <w:szCs w:val="20"/>
        </w:rPr>
        <w:t>pari</w:t>
      </w:r>
      <w:r w:rsidRPr="0051416F">
        <w:rPr>
          <w:rFonts w:ascii="Arial" w:hAnsi="Arial" w:cs="Arial"/>
          <w:i/>
          <w:sz w:val="20"/>
          <w:szCs w:val="20"/>
          <w:lang w:val="bg-BG"/>
        </w:rPr>
        <w:t>-</w:t>
      </w:r>
      <w:r w:rsidRPr="000B327F">
        <w:rPr>
          <w:rFonts w:ascii="Arial" w:hAnsi="Arial" w:cs="Arial"/>
          <w:i/>
          <w:sz w:val="20"/>
          <w:szCs w:val="20"/>
        </w:rPr>
        <w:t>passu</w:t>
      </w:r>
      <w:r>
        <w:rPr>
          <w:rFonts w:ascii="Arial" w:hAnsi="Arial" w:cs="Arial"/>
          <w:i/>
          <w:sz w:val="20"/>
          <w:szCs w:val="20"/>
          <w:lang w:val="bg-BG"/>
        </w:rPr>
        <w:t xml:space="preserve"> </w:t>
      </w:r>
      <w:r w:rsidR="00412124">
        <w:rPr>
          <w:rFonts w:ascii="Arial" w:hAnsi="Arial" w:cs="Arial"/>
          <w:sz w:val="20"/>
          <w:szCs w:val="20"/>
          <w:lang w:val="bg-BG"/>
        </w:rPr>
        <w:t xml:space="preserve">при </w:t>
      </w:r>
      <w:r>
        <w:rPr>
          <w:rFonts w:ascii="Arial" w:hAnsi="Arial" w:cs="Arial"/>
          <w:sz w:val="20"/>
          <w:szCs w:val="20"/>
          <w:lang w:val="bg-BG"/>
        </w:rPr>
        <w:t xml:space="preserve">25% </w:t>
      </w:r>
      <w:r w:rsidR="00412124">
        <w:rPr>
          <w:rFonts w:ascii="Arial" w:hAnsi="Arial" w:cs="Arial"/>
          <w:sz w:val="20"/>
          <w:szCs w:val="20"/>
          <w:lang w:val="bg-BG"/>
        </w:rPr>
        <w:t>таван на</w:t>
      </w:r>
      <w:r>
        <w:rPr>
          <w:rFonts w:ascii="Arial" w:hAnsi="Arial" w:cs="Arial"/>
          <w:sz w:val="20"/>
          <w:szCs w:val="20"/>
          <w:lang w:val="bg-BG"/>
        </w:rPr>
        <w:t xml:space="preserve"> загуб</w:t>
      </w:r>
      <w:r w:rsidR="00412124">
        <w:rPr>
          <w:rFonts w:ascii="Arial" w:hAnsi="Arial" w:cs="Arial"/>
          <w:sz w:val="20"/>
          <w:szCs w:val="20"/>
          <w:lang w:val="bg-BG"/>
        </w:rPr>
        <w:t>ите</w:t>
      </w:r>
      <w:r w:rsidR="004627BA">
        <w:rPr>
          <w:rFonts w:ascii="Arial" w:hAnsi="Arial" w:cs="Arial"/>
          <w:sz w:val="20"/>
          <w:szCs w:val="20"/>
          <w:lang w:val="bg-BG"/>
        </w:rPr>
        <w:t xml:space="preserve"> на ниво портфейл</w:t>
      </w:r>
      <w:r>
        <w:rPr>
          <w:rFonts w:ascii="Arial" w:hAnsi="Arial" w:cs="Arial"/>
          <w:sz w:val="20"/>
          <w:szCs w:val="20"/>
          <w:lang w:val="bg-BG"/>
        </w:rPr>
        <w:t>).</w:t>
      </w:r>
    </w:p>
    <w:p w14:paraId="703E0144" w14:textId="77777777" w:rsidR="00FB4D3A" w:rsidRPr="00E3615F" w:rsidRDefault="00FB4D3A" w:rsidP="00FB4D3A">
      <w:pPr>
        <w:jc w:val="both"/>
        <w:rPr>
          <w:rFonts w:ascii="Arial" w:hAnsi="Arial" w:cs="Arial"/>
          <w:b/>
          <w:sz w:val="20"/>
          <w:szCs w:val="20"/>
          <w:lang w:val="bg-BG"/>
        </w:rPr>
      </w:pPr>
      <w:r>
        <w:rPr>
          <w:rFonts w:ascii="Arial" w:hAnsi="Arial" w:cs="Arial"/>
          <w:sz w:val="20"/>
          <w:szCs w:val="20"/>
          <w:lang w:val="bg-BG"/>
        </w:rPr>
        <w:t xml:space="preserve">Фонд мениджърът на специалната инвестиционна структура (DIV) </w:t>
      </w:r>
      <w:r w:rsidR="00042CAB">
        <w:rPr>
          <w:rFonts w:ascii="Arial" w:hAnsi="Arial" w:cs="Arial"/>
          <w:sz w:val="20"/>
          <w:szCs w:val="20"/>
          <w:lang w:val="bg-BG"/>
        </w:rPr>
        <w:t xml:space="preserve">или ФМФИБ ЕАД </w:t>
      </w:r>
      <w:r>
        <w:rPr>
          <w:rFonts w:ascii="Arial" w:hAnsi="Arial" w:cs="Arial"/>
          <w:sz w:val="20"/>
          <w:szCs w:val="20"/>
          <w:lang w:val="bg-BG"/>
        </w:rPr>
        <w:t>ще предоставя гаранции на допустимите търговски банки, избрани на базата на тяхното стабилно финансово състояние, добри бизнес практики и репутация. Търсенето от страна на търговските банки на гаранции, издадени от специалната инвестиционн</w:t>
      </w:r>
      <w:r w:rsidR="0085009F">
        <w:rPr>
          <w:rFonts w:ascii="Arial" w:hAnsi="Arial" w:cs="Arial"/>
          <w:sz w:val="20"/>
          <w:szCs w:val="20"/>
          <w:lang w:val="bg-BG"/>
        </w:rPr>
        <w:t>а</w:t>
      </w:r>
      <w:r>
        <w:rPr>
          <w:rFonts w:ascii="Arial" w:hAnsi="Arial" w:cs="Arial"/>
          <w:sz w:val="20"/>
          <w:szCs w:val="20"/>
          <w:lang w:val="bg-BG"/>
        </w:rPr>
        <w:t xml:space="preserve"> структура (DIV)</w:t>
      </w:r>
      <w:r w:rsidR="00042CAB">
        <w:rPr>
          <w:rFonts w:ascii="Arial" w:hAnsi="Arial" w:cs="Arial"/>
          <w:sz w:val="20"/>
          <w:szCs w:val="20"/>
          <w:lang w:val="bg-BG"/>
        </w:rPr>
        <w:t xml:space="preserve"> или ФМФИБ ЕАД</w:t>
      </w:r>
      <w:r>
        <w:rPr>
          <w:rFonts w:ascii="Arial" w:hAnsi="Arial" w:cs="Arial"/>
          <w:sz w:val="20"/>
          <w:szCs w:val="20"/>
          <w:lang w:val="bg-BG"/>
        </w:rPr>
        <w:t>, ще зависи от</w:t>
      </w:r>
      <w:r w:rsidRPr="0051416F">
        <w:rPr>
          <w:rFonts w:ascii="Arial" w:hAnsi="Arial" w:cs="Arial"/>
          <w:sz w:val="20"/>
          <w:szCs w:val="20"/>
          <w:lang w:val="bg-BG"/>
        </w:rPr>
        <w:t>: (</w:t>
      </w:r>
      <w:r w:rsidRPr="00FB4D3A">
        <w:rPr>
          <w:rFonts w:ascii="Arial" w:hAnsi="Arial" w:cs="Arial"/>
          <w:sz w:val="20"/>
          <w:szCs w:val="20"/>
          <w:lang w:val="bg-BG"/>
        </w:rPr>
        <w:t>1</w:t>
      </w:r>
      <w:r w:rsidRPr="0051416F">
        <w:rPr>
          <w:rFonts w:ascii="Arial" w:hAnsi="Arial" w:cs="Arial"/>
          <w:sz w:val="20"/>
          <w:szCs w:val="20"/>
          <w:lang w:val="bg-BG"/>
        </w:rPr>
        <w:t xml:space="preserve">) </w:t>
      </w:r>
      <w:r>
        <w:rPr>
          <w:rFonts w:ascii="Arial" w:hAnsi="Arial" w:cs="Arial"/>
          <w:sz w:val="20"/>
          <w:szCs w:val="20"/>
          <w:lang w:val="bg-BG"/>
        </w:rPr>
        <w:t xml:space="preserve">признаване от БНБ на гаранциите </w:t>
      </w:r>
      <w:r w:rsidR="00E43561">
        <w:rPr>
          <w:rFonts w:ascii="Arial" w:hAnsi="Arial" w:cs="Arial"/>
          <w:sz w:val="20"/>
          <w:szCs w:val="20"/>
          <w:lang w:val="bg-BG"/>
        </w:rPr>
        <w:t>за целите на</w:t>
      </w:r>
      <w:r>
        <w:rPr>
          <w:rFonts w:ascii="Arial" w:hAnsi="Arial" w:cs="Arial"/>
          <w:sz w:val="20"/>
          <w:szCs w:val="20"/>
          <w:lang w:val="bg-BG"/>
        </w:rPr>
        <w:t xml:space="preserve"> капиталови облекчения</w:t>
      </w:r>
      <w:r w:rsidRPr="0051416F">
        <w:rPr>
          <w:rFonts w:ascii="Arial" w:hAnsi="Arial" w:cs="Arial"/>
          <w:sz w:val="20"/>
          <w:szCs w:val="20"/>
          <w:lang w:val="bg-BG"/>
        </w:rPr>
        <w:t>, (</w:t>
      </w:r>
      <w:r w:rsidRPr="00FB4D3A">
        <w:rPr>
          <w:rFonts w:ascii="Arial" w:hAnsi="Arial" w:cs="Arial"/>
          <w:sz w:val="20"/>
          <w:szCs w:val="20"/>
          <w:lang w:val="bg-BG"/>
        </w:rPr>
        <w:t>2</w:t>
      </w:r>
      <w:r w:rsidRPr="0051416F">
        <w:rPr>
          <w:rFonts w:ascii="Arial" w:hAnsi="Arial" w:cs="Arial"/>
          <w:sz w:val="20"/>
          <w:szCs w:val="20"/>
          <w:lang w:val="bg-BG"/>
        </w:rPr>
        <w:t xml:space="preserve">) </w:t>
      </w:r>
      <w:r>
        <w:rPr>
          <w:rFonts w:ascii="Arial" w:hAnsi="Arial" w:cs="Arial"/>
          <w:sz w:val="20"/>
          <w:szCs w:val="20"/>
          <w:lang w:val="bg-BG"/>
        </w:rPr>
        <w:t>размера на покритието на кредитния риск, предоставено от гаранциите, и</w:t>
      </w:r>
      <w:r w:rsidRPr="0051416F">
        <w:rPr>
          <w:rFonts w:ascii="Arial" w:hAnsi="Arial" w:cs="Arial"/>
          <w:sz w:val="20"/>
          <w:szCs w:val="20"/>
          <w:lang w:val="bg-BG"/>
        </w:rPr>
        <w:t xml:space="preserve"> (</w:t>
      </w:r>
      <w:r w:rsidRPr="00FB4D3A">
        <w:rPr>
          <w:rFonts w:ascii="Arial" w:hAnsi="Arial" w:cs="Arial"/>
          <w:sz w:val="20"/>
          <w:szCs w:val="20"/>
          <w:lang w:val="bg-BG"/>
        </w:rPr>
        <w:t>3</w:t>
      </w:r>
      <w:r w:rsidRPr="0051416F">
        <w:rPr>
          <w:rFonts w:ascii="Arial" w:hAnsi="Arial" w:cs="Arial"/>
          <w:sz w:val="20"/>
          <w:szCs w:val="20"/>
          <w:lang w:val="bg-BG"/>
        </w:rPr>
        <w:t xml:space="preserve">) </w:t>
      </w:r>
      <w:r w:rsidR="00B7307D">
        <w:rPr>
          <w:rFonts w:ascii="Arial" w:hAnsi="Arial" w:cs="Arial"/>
          <w:sz w:val="20"/>
          <w:szCs w:val="20"/>
          <w:lang w:val="bg-BG"/>
        </w:rPr>
        <w:t xml:space="preserve">ценовите условия </w:t>
      </w:r>
      <w:r>
        <w:rPr>
          <w:rFonts w:ascii="Arial" w:hAnsi="Arial" w:cs="Arial"/>
          <w:sz w:val="20"/>
          <w:szCs w:val="20"/>
          <w:lang w:val="bg-BG"/>
        </w:rPr>
        <w:t>на финансовия продукт</w:t>
      </w:r>
      <w:r w:rsidRPr="0051416F">
        <w:rPr>
          <w:rFonts w:ascii="Arial" w:hAnsi="Arial" w:cs="Arial"/>
          <w:sz w:val="20"/>
          <w:szCs w:val="20"/>
          <w:lang w:val="bg-BG"/>
        </w:rPr>
        <w:t xml:space="preserve">. </w:t>
      </w:r>
    </w:p>
    <w:p w14:paraId="15C3879D" w14:textId="77777777" w:rsidR="00FB4D3A" w:rsidRDefault="00FB4D3A">
      <w:pPr>
        <w:jc w:val="both"/>
        <w:rPr>
          <w:rFonts w:ascii="Arial" w:hAnsi="Arial" w:cs="Arial"/>
          <w:sz w:val="20"/>
          <w:szCs w:val="20"/>
          <w:lang w:val="bg-BG"/>
        </w:rPr>
      </w:pPr>
      <w:r>
        <w:rPr>
          <w:rFonts w:ascii="Arial" w:hAnsi="Arial" w:cs="Arial"/>
          <w:sz w:val="20"/>
          <w:szCs w:val="20"/>
          <w:lang w:val="bg-BG"/>
        </w:rPr>
        <w:t>Търговските банки могат също да инвестират на ниво проект чрез синдикирани или паралелни заеми</w:t>
      </w:r>
      <w:r w:rsidR="00F52C14">
        <w:rPr>
          <w:rFonts w:ascii="Arial" w:hAnsi="Arial" w:cs="Arial"/>
          <w:sz w:val="20"/>
          <w:szCs w:val="20"/>
          <w:lang w:val="bg-BG"/>
        </w:rPr>
        <w:t xml:space="preserve">. </w:t>
      </w:r>
      <w:r>
        <w:rPr>
          <w:rFonts w:ascii="Arial" w:hAnsi="Arial" w:cs="Arial"/>
          <w:sz w:val="20"/>
          <w:szCs w:val="20"/>
          <w:lang w:val="bg-BG"/>
        </w:rPr>
        <w:t>Специфичните услови</w:t>
      </w:r>
      <w:r w:rsidR="00F52C14">
        <w:rPr>
          <w:rFonts w:ascii="Arial" w:hAnsi="Arial" w:cs="Arial"/>
          <w:sz w:val="20"/>
          <w:szCs w:val="20"/>
          <w:lang w:val="bg-BG"/>
        </w:rPr>
        <w:t>я на съфинансирането, предоставено</w:t>
      </w:r>
      <w:r>
        <w:rPr>
          <w:rFonts w:ascii="Arial" w:hAnsi="Arial" w:cs="Arial"/>
          <w:sz w:val="20"/>
          <w:szCs w:val="20"/>
          <w:lang w:val="bg-BG"/>
        </w:rPr>
        <w:t xml:space="preserve"> от търговските банки, ще бъдат определени между допустимите крайни получатели и съответн</w:t>
      </w:r>
      <w:r w:rsidR="00B7307D">
        <w:rPr>
          <w:rFonts w:ascii="Arial" w:hAnsi="Arial" w:cs="Arial"/>
          <w:sz w:val="20"/>
          <w:szCs w:val="20"/>
          <w:lang w:val="bg-BG"/>
        </w:rPr>
        <w:t>ите търговски банки</w:t>
      </w:r>
      <w:r w:rsidR="00616C34">
        <w:rPr>
          <w:rFonts w:ascii="Arial" w:hAnsi="Arial" w:cs="Arial"/>
          <w:sz w:val="20"/>
          <w:szCs w:val="20"/>
          <w:lang w:val="bg-BG"/>
        </w:rPr>
        <w:t xml:space="preserve">, като следва да се </w:t>
      </w:r>
      <w:r w:rsidR="0079271C">
        <w:rPr>
          <w:rFonts w:ascii="Arial" w:hAnsi="Arial" w:cs="Arial"/>
          <w:sz w:val="20"/>
          <w:szCs w:val="20"/>
          <w:lang w:val="bg-BG"/>
        </w:rPr>
        <w:t xml:space="preserve">осигури </w:t>
      </w:r>
      <w:r w:rsidR="00616C34">
        <w:rPr>
          <w:rFonts w:ascii="Arial" w:hAnsi="Arial" w:cs="Arial"/>
          <w:sz w:val="20"/>
          <w:szCs w:val="20"/>
          <w:lang w:val="bg-BG"/>
        </w:rPr>
        <w:t>отчита</w:t>
      </w:r>
      <w:r w:rsidR="0079271C">
        <w:rPr>
          <w:rFonts w:ascii="Arial" w:hAnsi="Arial" w:cs="Arial"/>
          <w:sz w:val="20"/>
          <w:szCs w:val="20"/>
          <w:lang w:val="bg-BG"/>
        </w:rPr>
        <w:t>не на</w:t>
      </w:r>
      <w:r w:rsidR="00616C34">
        <w:rPr>
          <w:rFonts w:ascii="Arial" w:hAnsi="Arial" w:cs="Arial"/>
          <w:sz w:val="20"/>
          <w:szCs w:val="20"/>
          <w:lang w:val="bg-BG"/>
        </w:rPr>
        <w:t xml:space="preserve"> преференциалните условия на публичната подкрепа по ОПОС</w:t>
      </w:r>
      <w:r w:rsidR="003C78AA">
        <w:rPr>
          <w:rFonts w:ascii="Arial" w:hAnsi="Arial" w:cs="Arial"/>
          <w:sz w:val="20"/>
          <w:szCs w:val="20"/>
          <w:lang w:val="bg-BG"/>
        </w:rPr>
        <w:t xml:space="preserve"> 2014 – 2020 г</w:t>
      </w:r>
      <w:r>
        <w:rPr>
          <w:rFonts w:ascii="Arial" w:hAnsi="Arial" w:cs="Arial"/>
          <w:sz w:val="20"/>
          <w:szCs w:val="20"/>
          <w:lang w:val="bg-BG"/>
        </w:rPr>
        <w:t>.</w:t>
      </w:r>
    </w:p>
    <w:p w14:paraId="093659E5" w14:textId="77777777" w:rsidR="00753E88" w:rsidRPr="00FB4D3A" w:rsidRDefault="00753E88">
      <w:pPr>
        <w:jc w:val="both"/>
        <w:rPr>
          <w:rFonts w:ascii="Arial" w:hAnsi="Arial" w:cs="Arial"/>
          <w:sz w:val="20"/>
          <w:szCs w:val="20"/>
          <w:lang w:val="bg-BG"/>
        </w:rPr>
      </w:pPr>
      <w:r w:rsidRPr="00BC7695">
        <w:rPr>
          <w:rFonts w:ascii="Arial" w:hAnsi="Arial" w:cs="Arial"/>
          <w:sz w:val="20"/>
          <w:szCs w:val="20"/>
          <w:lang w:val="bg-BG"/>
        </w:rPr>
        <w:t xml:space="preserve">В  зависимост от наличието на жизнеспособни проекти допълнителни частни инвестиции могат да бъдат привлечени на ниво проекти, изпълнявани от </w:t>
      </w:r>
      <w:r w:rsidR="00F50FB8">
        <w:rPr>
          <w:rFonts w:ascii="Arial" w:hAnsi="Arial" w:cs="Arial"/>
          <w:sz w:val="20"/>
          <w:szCs w:val="20"/>
          <w:lang w:val="bg-BG"/>
        </w:rPr>
        <w:t>крайните получатели</w:t>
      </w:r>
      <w:r w:rsidRPr="00BC7695">
        <w:rPr>
          <w:rFonts w:ascii="Arial" w:hAnsi="Arial" w:cs="Arial"/>
          <w:sz w:val="20"/>
          <w:szCs w:val="20"/>
          <w:lang w:val="bg-BG"/>
        </w:rPr>
        <w:t xml:space="preserve">. В този случай, следва да се подчертае че съфинансирането от страна на самия </w:t>
      </w:r>
      <w:r w:rsidR="00F50FB8">
        <w:rPr>
          <w:rFonts w:ascii="Arial" w:hAnsi="Arial" w:cs="Arial"/>
          <w:sz w:val="20"/>
          <w:szCs w:val="20"/>
          <w:lang w:val="bg-BG"/>
        </w:rPr>
        <w:t>краен получател</w:t>
      </w:r>
      <w:r w:rsidRPr="00BC7695">
        <w:rPr>
          <w:rFonts w:ascii="Arial" w:hAnsi="Arial" w:cs="Arial"/>
          <w:sz w:val="20"/>
          <w:szCs w:val="20"/>
          <w:lang w:val="bg-BG"/>
        </w:rPr>
        <w:t xml:space="preserve"> не се взема предвид при изчисляване на действителния ефект на лоста, съгласно </w:t>
      </w:r>
      <w:r w:rsidR="0024721A" w:rsidRPr="00BC7695">
        <w:rPr>
          <w:rFonts w:ascii="Arial" w:hAnsi="Arial" w:cs="Arial"/>
          <w:sz w:val="20"/>
          <w:szCs w:val="20"/>
          <w:lang w:val="bg-BG"/>
        </w:rPr>
        <w:t>горепосочени</w:t>
      </w:r>
      <w:r w:rsidR="0024721A">
        <w:rPr>
          <w:rFonts w:ascii="Arial" w:hAnsi="Arial" w:cs="Arial"/>
          <w:sz w:val="20"/>
          <w:szCs w:val="20"/>
          <w:lang w:val="bg-BG"/>
        </w:rPr>
        <w:t>я проект на</w:t>
      </w:r>
      <w:r w:rsidR="0024721A" w:rsidRPr="00BC7695">
        <w:rPr>
          <w:rFonts w:ascii="Arial" w:hAnsi="Arial" w:cs="Arial"/>
          <w:sz w:val="20"/>
          <w:szCs w:val="20"/>
          <w:lang w:val="bg-BG"/>
        </w:rPr>
        <w:t xml:space="preserve"> </w:t>
      </w:r>
      <w:r w:rsidRPr="00BC7695">
        <w:rPr>
          <w:rFonts w:ascii="Arial" w:hAnsi="Arial" w:cs="Arial"/>
          <w:sz w:val="20"/>
          <w:szCs w:val="20"/>
          <w:lang w:val="bg-BG"/>
        </w:rPr>
        <w:t>Насоки на ЕК.</w:t>
      </w:r>
    </w:p>
    <w:p w14:paraId="05236117" w14:textId="77777777" w:rsidR="00870DE8" w:rsidRPr="00FE0ADE" w:rsidRDefault="00CC7C2D" w:rsidP="008F2C0C">
      <w:pPr>
        <w:jc w:val="both"/>
        <w:rPr>
          <w:rFonts w:ascii="Arial" w:hAnsi="Arial" w:cs="Arial"/>
          <w:b/>
          <w:i/>
          <w:sz w:val="20"/>
          <w:szCs w:val="20"/>
          <w:lang w:val="bg-BG"/>
        </w:rPr>
      </w:pPr>
      <w:r w:rsidRPr="00FE0ADE">
        <w:rPr>
          <w:rFonts w:ascii="Arial" w:hAnsi="Arial" w:cs="Arial"/>
          <w:b/>
          <w:i/>
          <w:sz w:val="20"/>
          <w:szCs w:val="20"/>
          <w:lang w:val="bg-BG"/>
        </w:rPr>
        <w:t>Ключови съображения на</w:t>
      </w:r>
      <w:r w:rsidR="00870DE8" w:rsidRPr="00FE0ADE">
        <w:rPr>
          <w:rFonts w:ascii="Arial" w:hAnsi="Arial" w:cs="Arial"/>
          <w:b/>
          <w:i/>
          <w:sz w:val="20"/>
          <w:szCs w:val="20"/>
          <w:lang w:val="bg-BG"/>
        </w:rPr>
        <w:t xml:space="preserve"> </w:t>
      </w:r>
      <w:r w:rsidRPr="00FE0ADE">
        <w:rPr>
          <w:rFonts w:ascii="Arial" w:hAnsi="Arial" w:cs="Arial"/>
          <w:b/>
          <w:i/>
          <w:sz w:val="20"/>
          <w:szCs w:val="20"/>
          <w:lang w:val="bg-BG"/>
        </w:rPr>
        <w:t>потенциалните инвеститори</w:t>
      </w:r>
    </w:p>
    <w:p w14:paraId="395059FE" w14:textId="77777777" w:rsidR="001D1CD7" w:rsidRPr="00FE0ADE" w:rsidRDefault="001D1CD7" w:rsidP="006404F6">
      <w:pPr>
        <w:spacing w:after="120"/>
        <w:jc w:val="both"/>
        <w:rPr>
          <w:rFonts w:ascii="Arial" w:hAnsi="Arial" w:cs="Arial"/>
          <w:sz w:val="20"/>
          <w:szCs w:val="20"/>
          <w:lang w:val="bg-BG"/>
        </w:rPr>
      </w:pPr>
      <w:r w:rsidRPr="00FE0ADE">
        <w:rPr>
          <w:rFonts w:ascii="Arial" w:hAnsi="Arial" w:cs="Arial"/>
          <w:sz w:val="20"/>
          <w:szCs w:val="20"/>
          <w:lang w:val="bg-BG"/>
        </w:rPr>
        <w:t xml:space="preserve">МФИ, търговски банки и други инвеститори </w:t>
      </w:r>
      <w:r w:rsidR="00FE0ADE">
        <w:rPr>
          <w:rFonts w:ascii="Arial" w:hAnsi="Arial" w:cs="Arial"/>
          <w:sz w:val="20"/>
          <w:szCs w:val="20"/>
          <w:lang w:val="bg-BG"/>
        </w:rPr>
        <w:t>са изразили</w:t>
      </w:r>
      <w:r w:rsidR="005E523B">
        <w:rPr>
          <w:rFonts w:ascii="Arial" w:hAnsi="Arial" w:cs="Arial"/>
          <w:sz w:val="20"/>
          <w:szCs w:val="20"/>
          <w:lang w:val="bg-BG"/>
        </w:rPr>
        <w:t xml:space="preserve"> </w:t>
      </w:r>
      <w:r w:rsidR="00693927" w:rsidRPr="00FE0ADE">
        <w:rPr>
          <w:rFonts w:ascii="Arial" w:hAnsi="Arial" w:cs="Arial"/>
          <w:sz w:val="20"/>
          <w:szCs w:val="20"/>
          <w:lang w:val="bg-BG"/>
        </w:rPr>
        <w:t>опасения</w:t>
      </w:r>
      <w:r w:rsidR="005E523B">
        <w:rPr>
          <w:rFonts w:ascii="Arial" w:hAnsi="Arial" w:cs="Arial"/>
          <w:sz w:val="20"/>
          <w:szCs w:val="20"/>
          <w:lang w:val="bg-BG"/>
        </w:rPr>
        <w:t>,</w:t>
      </w:r>
      <w:r w:rsidR="00693927" w:rsidRPr="00FE0ADE">
        <w:rPr>
          <w:rFonts w:ascii="Arial" w:hAnsi="Arial" w:cs="Arial"/>
          <w:sz w:val="20"/>
          <w:szCs w:val="20"/>
          <w:lang w:val="bg-BG"/>
        </w:rPr>
        <w:t xml:space="preserve"> </w:t>
      </w:r>
      <w:r w:rsidR="00FE0ADE">
        <w:rPr>
          <w:rFonts w:ascii="Arial" w:hAnsi="Arial" w:cs="Arial"/>
          <w:sz w:val="20"/>
          <w:szCs w:val="20"/>
          <w:lang w:val="bg-BG"/>
        </w:rPr>
        <w:t>свързани с изпълнението на ФИ в сектор ВиК</w:t>
      </w:r>
      <w:r w:rsidR="007603A7" w:rsidRPr="00FE0ADE">
        <w:rPr>
          <w:rFonts w:ascii="Arial" w:hAnsi="Arial" w:cs="Arial"/>
          <w:sz w:val="20"/>
          <w:szCs w:val="20"/>
          <w:lang w:val="bg-BG"/>
        </w:rPr>
        <w:t>, както следва</w:t>
      </w:r>
      <w:r w:rsidRPr="00FE0ADE">
        <w:rPr>
          <w:rFonts w:ascii="Arial" w:hAnsi="Arial" w:cs="Arial"/>
          <w:sz w:val="20"/>
          <w:szCs w:val="20"/>
          <w:lang w:val="bg-BG"/>
        </w:rPr>
        <w:t>:</w:t>
      </w:r>
    </w:p>
    <w:p w14:paraId="5A99264F" w14:textId="77777777" w:rsidR="00B7307D" w:rsidRPr="00FE0ADE" w:rsidRDefault="00B7307D" w:rsidP="00B7307D">
      <w:pPr>
        <w:pStyle w:val="ListParagraph"/>
        <w:numPr>
          <w:ilvl w:val="0"/>
          <w:numId w:val="38"/>
        </w:numPr>
        <w:jc w:val="both"/>
        <w:rPr>
          <w:rFonts w:ascii="Arial" w:hAnsi="Arial" w:cs="Arial"/>
          <w:sz w:val="20"/>
          <w:szCs w:val="20"/>
          <w:lang w:val="bg-BG"/>
        </w:rPr>
      </w:pPr>
      <w:r w:rsidRPr="00FE0ADE">
        <w:rPr>
          <w:rFonts w:ascii="Arial" w:hAnsi="Arial" w:cs="Arial"/>
          <w:sz w:val="20"/>
          <w:szCs w:val="20"/>
          <w:lang w:val="bg-BG"/>
        </w:rPr>
        <w:t xml:space="preserve">Предвид относително малкия брой допустими проекти и очакваната значителна стойност на всеки отделен проект, търговските банки няма да очакват </w:t>
      </w:r>
      <w:r w:rsidRPr="00FE0ADE">
        <w:rPr>
          <w:rFonts w:ascii="Arial" w:hAnsi="Arial" w:cs="Arial"/>
          <w:iCs/>
          <w:sz w:val="20"/>
          <w:szCs w:val="20"/>
          <w:lang w:val="bg-BG"/>
        </w:rPr>
        <w:t>г</w:t>
      </w:r>
      <w:r w:rsidRPr="00FE0ADE">
        <w:rPr>
          <w:rFonts w:ascii="Arial" w:hAnsi="Arial" w:cs="Arial"/>
          <w:sz w:val="20"/>
          <w:szCs w:val="20"/>
          <w:lang w:val="bg-BG"/>
        </w:rPr>
        <w:t>аранциите да се прилагат на база портфейл, а по-скоро на база на отделните заеми, предоставени на допустимите крайни получатели.</w:t>
      </w:r>
    </w:p>
    <w:p w14:paraId="405F9804" w14:textId="77777777" w:rsidR="00B7307D" w:rsidRPr="00FE0ADE" w:rsidRDefault="00B7307D" w:rsidP="00B7307D">
      <w:pPr>
        <w:pStyle w:val="ListParagraph"/>
        <w:numPr>
          <w:ilvl w:val="0"/>
          <w:numId w:val="38"/>
        </w:numPr>
        <w:jc w:val="both"/>
        <w:rPr>
          <w:rFonts w:ascii="Arial" w:hAnsi="Arial" w:cs="Arial"/>
          <w:sz w:val="20"/>
          <w:szCs w:val="20"/>
          <w:lang w:val="bg-BG"/>
        </w:rPr>
      </w:pPr>
      <w:r w:rsidRPr="00FE0ADE">
        <w:rPr>
          <w:rFonts w:ascii="Arial" w:hAnsi="Arial" w:cs="Arial"/>
          <w:sz w:val="20"/>
          <w:szCs w:val="20"/>
          <w:lang w:val="bg-BG"/>
        </w:rPr>
        <w:t xml:space="preserve">Предвид малкия брой допустими проекти, които се очаква да бъдат финансирани чрез ФИ и </w:t>
      </w:r>
      <w:r w:rsidR="003C78AA">
        <w:rPr>
          <w:rFonts w:ascii="Arial" w:hAnsi="Arial" w:cs="Arial"/>
          <w:sz w:val="20"/>
          <w:szCs w:val="20"/>
          <w:lang w:val="bg-BG"/>
        </w:rPr>
        <w:t>липсата на опит</w:t>
      </w:r>
      <w:r w:rsidR="002002BF" w:rsidRPr="003C78AA">
        <w:rPr>
          <w:rFonts w:ascii="Arial" w:hAnsi="Arial" w:cs="Arial"/>
          <w:sz w:val="20"/>
          <w:szCs w:val="20"/>
          <w:lang w:val="bg-BG"/>
        </w:rPr>
        <w:t xml:space="preserve"> </w:t>
      </w:r>
      <w:r w:rsidR="00F50FB8">
        <w:rPr>
          <w:rFonts w:ascii="Arial" w:hAnsi="Arial" w:cs="Arial"/>
          <w:sz w:val="20"/>
          <w:szCs w:val="20"/>
          <w:lang w:val="bg-BG"/>
        </w:rPr>
        <w:t>в проектно финансиране в</w:t>
      </w:r>
      <w:r w:rsidR="002002BF" w:rsidRPr="003C78AA">
        <w:rPr>
          <w:rFonts w:ascii="Arial" w:hAnsi="Arial" w:cs="Arial"/>
          <w:sz w:val="20"/>
          <w:szCs w:val="20"/>
          <w:lang w:val="bg-BG"/>
        </w:rPr>
        <w:t xml:space="preserve"> сектор ВиК</w:t>
      </w:r>
      <w:r w:rsidRPr="00FE0ADE">
        <w:rPr>
          <w:rFonts w:ascii="Arial" w:hAnsi="Arial" w:cs="Arial"/>
          <w:sz w:val="20"/>
          <w:szCs w:val="20"/>
          <w:lang w:val="bg-BG"/>
        </w:rPr>
        <w:t>,</w:t>
      </w:r>
      <w:r w:rsidR="00D63ED4" w:rsidRPr="00FE0ADE">
        <w:rPr>
          <w:rFonts w:ascii="Arial" w:hAnsi="Arial" w:cs="Arial"/>
          <w:sz w:val="20"/>
          <w:szCs w:val="20"/>
          <w:lang w:val="bg-BG"/>
        </w:rPr>
        <w:t xml:space="preserve"> може да се окаже ненужно ангажирането на</w:t>
      </w:r>
      <w:r w:rsidRPr="00FE0ADE">
        <w:rPr>
          <w:rFonts w:ascii="Arial" w:hAnsi="Arial" w:cs="Arial"/>
          <w:sz w:val="20"/>
          <w:szCs w:val="20"/>
          <w:lang w:val="bg-BG"/>
        </w:rPr>
        <w:t xml:space="preserve"> по</w:t>
      </w:r>
      <w:r w:rsidR="00D63ED4" w:rsidRPr="00FE0ADE">
        <w:rPr>
          <w:rFonts w:ascii="Arial" w:hAnsi="Arial" w:cs="Arial"/>
          <w:sz w:val="20"/>
          <w:szCs w:val="20"/>
          <w:lang w:val="bg-BG"/>
        </w:rPr>
        <w:t xml:space="preserve">вече от три </w:t>
      </w:r>
      <w:r w:rsidRPr="00FE0ADE">
        <w:rPr>
          <w:rFonts w:ascii="Arial" w:hAnsi="Arial" w:cs="Arial"/>
          <w:sz w:val="20"/>
          <w:szCs w:val="20"/>
          <w:lang w:val="bg-BG"/>
        </w:rPr>
        <w:t xml:space="preserve">търговски банки </w:t>
      </w:r>
      <w:r w:rsidR="00D63ED4" w:rsidRPr="00FE0ADE">
        <w:rPr>
          <w:rFonts w:ascii="Arial" w:hAnsi="Arial" w:cs="Arial"/>
          <w:sz w:val="20"/>
          <w:szCs w:val="20"/>
          <w:lang w:val="bg-BG"/>
        </w:rPr>
        <w:t>за гаранционния продукт</w:t>
      </w:r>
      <w:r w:rsidRPr="00FE0ADE">
        <w:rPr>
          <w:rFonts w:ascii="Arial" w:hAnsi="Arial" w:cs="Arial"/>
          <w:sz w:val="20"/>
          <w:szCs w:val="20"/>
          <w:lang w:val="bg-BG"/>
        </w:rPr>
        <w:t>.</w:t>
      </w:r>
    </w:p>
    <w:p w14:paraId="2E5799D6" w14:textId="77777777" w:rsidR="006404F6" w:rsidRDefault="00D63ED4" w:rsidP="00D63ED4">
      <w:pPr>
        <w:pStyle w:val="ListParagraph"/>
        <w:numPr>
          <w:ilvl w:val="0"/>
          <w:numId w:val="38"/>
        </w:numPr>
        <w:jc w:val="both"/>
        <w:rPr>
          <w:rFonts w:ascii="Arial" w:hAnsi="Arial" w:cs="Arial"/>
          <w:sz w:val="20"/>
          <w:szCs w:val="20"/>
          <w:lang w:val="bg-BG"/>
        </w:rPr>
      </w:pPr>
      <w:r>
        <w:rPr>
          <w:rFonts w:ascii="Arial" w:hAnsi="Arial" w:cs="Arial"/>
          <w:sz w:val="20"/>
          <w:szCs w:val="20"/>
          <w:lang w:val="bg-BG"/>
        </w:rPr>
        <w:t xml:space="preserve">Поддържането на определени нива на гъвкавост в прилагането на ИС ще даде възможност, ако е необходимо, за решения за преразпределяне и/или промяна на бюджета на финансовите продукти </w:t>
      </w:r>
      <w:r w:rsidRPr="00BC7695">
        <w:rPr>
          <w:rFonts w:ascii="Arial" w:hAnsi="Arial" w:cs="Arial"/>
          <w:sz w:val="20"/>
          <w:szCs w:val="20"/>
          <w:lang w:val="bg-BG"/>
        </w:rPr>
        <w:t>(т.е. между гаранция и заем в рамките на ПО)</w:t>
      </w:r>
      <w:r>
        <w:rPr>
          <w:rFonts w:ascii="Arial" w:hAnsi="Arial" w:cs="Arial"/>
          <w:sz w:val="20"/>
          <w:szCs w:val="20"/>
          <w:lang w:val="bg-BG"/>
        </w:rPr>
        <w:t xml:space="preserve"> и техните характеристики.</w:t>
      </w:r>
      <w:r w:rsidR="006404F6" w:rsidRPr="006404F6">
        <w:rPr>
          <w:rFonts w:ascii="Arial" w:hAnsi="Arial" w:cs="Arial"/>
          <w:sz w:val="20"/>
          <w:szCs w:val="20"/>
          <w:lang w:val="bg-BG"/>
        </w:rPr>
        <w:t xml:space="preserve"> </w:t>
      </w:r>
    </w:p>
    <w:p w14:paraId="71B56C0C" w14:textId="77777777" w:rsidR="00D63ED4" w:rsidRPr="0051416F" w:rsidRDefault="006404F6" w:rsidP="008B5547">
      <w:pPr>
        <w:pStyle w:val="ListParagraph"/>
        <w:numPr>
          <w:ilvl w:val="0"/>
          <w:numId w:val="38"/>
        </w:numPr>
        <w:jc w:val="both"/>
        <w:rPr>
          <w:rFonts w:ascii="Arial" w:hAnsi="Arial" w:cs="Arial"/>
          <w:sz w:val="20"/>
          <w:szCs w:val="20"/>
          <w:lang w:val="bg-BG"/>
        </w:rPr>
      </w:pPr>
      <w:r w:rsidRPr="00151DC3">
        <w:rPr>
          <w:rFonts w:ascii="Arial" w:hAnsi="Arial" w:cs="Arial"/>
          <w:sz w:val="20"/>
          <w:szCs w:val="20"/>
          <w:lang w:val="bg-BG"/>
        </w:rPr>
        <w:t>Интересът на търговските банки към гаранционните продукти ще зависи до голяма степен от това дали издадените гаранции, ще бъдат признати от БНБ за целите на капиталови облекчения</w:t>
      </w:r>
      <w:r w:rsidR="00EE4127">
        <w:rPr>
          <w:rFonts w:ascii="Arial" w:hAnsi="Arial" w:cs="Arial"/>
          <w:sz w:val="20"/>
          <w:szCs w:val="20"/>
          <w:lang w:val="bg-BG"/>
        </w:rPr>
        <w:t>.</w:t>
      </w:r>
    </w:p>
    <w:p w14:paraId="57FF093C" w14:textId="77777777" w:rsidR="00531A80" w:rsidRPr="00757CE2" w:rsidRDefault="007603A7" w:rsidP="005E151F">
      <w:pPr>
        <w:pStyle w:val="Heading3"/>
        <w:numPr>
          <w:ilvl w:val="0"/>
          <w:numId w:val="17"/>
        </w:numPr>
        <w:spacing w:after="120"/>
        <w:ind w:left="714" w:hanging="357"/>
        <w:rPr>
          <w:rFonts w:ascii="Arial" w:hAnsi="Arial" w:cs="Arial"/>
          <w:b/>
          <w:color w:val="4F81BD" w:themeColor="accent1"/>
          <w:sz w:val="20"/>
          <w:szCs w:val="20"/>
        </w:rPr>
      </w:pPr>
      <w:bookmarkStart w:id="23" w:name="_Toc503798476"/>
      <w:r w:rsidRPr="00151DC3">
        <w:rPr>
          <w:rFonts w:ascii="Arial" w:hAnsi="Arial" w:cs="Arial"/>
          <w:sz w:val="20"/>
          <w:szCs w:val="20"/>
          <w:lang w:val="bg-BG"/>
        </w:rPr>
        <w:t>.</w:t>
      </w:r>
      <w:bookmarkStart w:id="24" w:name="_Toc433786312"/>
      <w:bookmarkStart w:id="25" w:name="_Toc433786968"/>
      <w:bookmarkStart w:id="26" w:name="_Toc433787096"/>
      <w:bookmarkEnd w:id="24"/>
      <w:bookmarkEnd w:id="25"/>
      <w:bookmarkEnd w:id="26"/>
      <w:r w:rsidR="00AF1FBD">
        <w:rPr>
          <w:rFonts w:ascii="Arial" w:hAnsi="Arial" w:cs="Arial"/>
          <w:b/>
          <w:color w:val="4F81BD" w:themeColor="accent1"/>
          <w:sz w:val="20"/>
          <w:szCs w:val="20"/>
          <w:lang w:val="bg-BG"/>
        </w:rPr>
        <w:t>Показатели</w:t>
      </w:r>
      <w:bookmarkEnd w:id="23"/>
    </w:p>
    <w:p w14:paraId="6E122CD1" w14:textId="77777777" w:rsidR="00AF1FBD" w:rsidRDefault="00AF1FBD" w:rsidP="00531A80">
      <w:pPr>
        <w:jc w:val="both"/>
        <w:rPr>
          <w:rFonts w:ascii="Arial" w:hAnsi="Arial" w:cs="Arial"/>
          <w:sz w:val="20"/>
          <w:szCs w:val="20"/>
          <w:lang w:val="bg-BG"/>
        </w:rPr>
      </w:pPr>
      <w:r>
        <w:rPr>
          <w:rFonts w:ascii="Arial" w:hAnsi="Arial" w:cs="Arial"/>
          <w:sz w:val="20"/>
          <w:szCs w:val="20"/>
          <w:lang w:val="bg-BG"/>
        </w:rPr>
        <w:t>Дефинирани са следните видове показатели за ПО 1 на ОПОС: показатели за резултат, показатели за краен продукт</w:t>
      </w:r>
      <w:r w:rsidRPr="00087124">
        <w:rPr>
          <w:rFonts w:ascii="Arial" w:hAnsi="Arial" w:cs="Arial"/>
          <w:sz w:val="20"/>
          <w:szCs w:val="20"/>
          <w:lang w:val="en-US"/>
        </w:rPr>
        <w:t xml:space="preserve"> </w:t>
      </w:r>
      <w:r>
        <w:rPr>
          <w:rFonts w:ascii="Arial" w:hAnsi="Arial" w:cs="Arial"/>
          <w:sz w:val="20"/>
          <w:szCs w:val="20"/>
          <w:lang w:val="bg-BG"/>
        </w:rPr>
        <w:t>и показатели за изпълнение. Те включват показатели, определени на ниво ПО (т.е. произлизащи от ОП), както и допълнителни показатели, които са били идентифицирани в предварителната оценка. Останалите показатели са определени в процеса на изготвяне на настоящата ИС.</w:t>
      </w:r>
    </w:p>
    <w:p w14:paraId="4A4E4EF4" w14:textId="77777777" w:rsidR="00AF1FBD" w:rsidRPr="00AF1FBD" w:rsidRDefault="00AF1FBD" w:rsidP="00531A80">
      <w:pPr>
        <w:jc w:val="both"/>
        <w:rPr>
          <w:rFonts w:ascii="Arial" w:hAnsi="Arial" w:cs="Arial"/>
          <w:sz w:val="20"/>
          <w:szCs w:val="20"/>
          <w:lang w:val="bg-BG"/>
        </w:rPr>
      </w:pPr>
      <w:r>
        <w:rPr>
          <w:rFonts w:ascii="Arial" w:hAnsi="Arial" w:cs="Arial"/>
          <w:sz w:val="20"/>
          <w:szCs w:val="20"/>
          <w:lang w:val="bg-BG"/>
        </w:rPr>
        <w:t>Стойностите на целите за резултат са дефинирани въз основа на следните ключови допускания:</w:t>
      </w:r>
    </w:p>
    <w:p w14:paraId="3937B863" w14:textId="77777777" w:rsidR="00AF1FBD" w:rsidRPr="0051416F" w:rsidRDefault="00AF1FBD" w:rsidP="00AF1FBD">
      <w:pPr>
        <w:pStyle w:val="ListParagraph"/>
        <w:numPr>
          <w:ilvl w:val="0"/>
          <w:numId w:val="63"/>
        </w:numPr>
        <w:jc w:val="both"/>
        <w:rPr>
          <w:rFonts w:ascii="Arial" w:hAnsi="Arial" w:cs="Arial"/>
          <w:sz w:val="20"/>
          <w:szCs w:val="20"/>
          <w:lang w:val="bg-BG"/>
        </w:rPr>
      </w:pPr>
      <w:r>
        <w:rPr>
          <w:rFonts w:ascii="Arial" w:hAnsi="Arial" w:cs="Arial"/>
          <w:sz w:val="20"/>
          <w:szCs w:val="20"/>
          <w:lang w:val="bg-BG"/>
        </w:rPr>
        <w:lastRenderedPageBreak/>
        <w:t>Не съществува предишен опит на ниво ЕС в използването на ФИ за подкрепа на съответните приоритети на КФ.</w:t>
      </w:r>
    </w:p>
    <w:p w14:paraId="29A98E53" w14:textId="77777777" w:rsidR="00AF1FBD" w:rsidRPr="0051416F" w:rsidRDefault="00AF1FBD" w:rsidP="00AF1FBD">
      <w:pPr>
        <w:pStyle w:val="ListParagraph"/>
        <w:numPr>
          <w:ilvl w:val="0"/>
          <w:numId w:val="63"/>
        </w:numPr>
        <w:jc w:val="both"/>
        <w:rPr>
          <w:rFonts w:ascii="Arial" w:hAnsi="Arial" w:cs="Arial"/>
          <w:sz w:val="20"/>
          <w:szCs w:val="20"/>
          <w:lang w:val="bg-BG"/>
        </w:rPr>
      </w:pPr>
      <w:r>
        <w:rPr>
          <w:rFonts w:ascii="Arial" w:hAnsi="Arial" w:cs="Arial"/>
          <w:sz w:val="20"/>
          <w:szCs w:val="20"/>
          <w:lang w:val="bg-BG"/>
        </w:rPr>
        <w:t xml:space="preserve">УО </w:t>
      </w:r>
      <w:r w:rsidR="00676794">
        <w:rPr>
          <w:rFonts w:ascii="Arial" w:hAnsi="Arial" w:cs="Arial"/>
          <w:sz w:val="20"/>
          <w:szCs w:val="20"/>
          <w:lang w:val="bg-BG"/>
        </w:rPr>
        <w:t>няма опит</w:t>
      </w:r>
      <w:r>
        <w:rPr>
          <w:rFonts w:ascii="Arial" w:hAnsi="Arial" w:cs="Arial"/>
          <w:sz w:val="20"/>
          <w:szCs w:val="20"/>
          <w:lang w:val="bg-BG"/>
        </w:rPr>
        <w:t xml:space="preserve"> в прилагането на ФИ</w:t>
      </w:r>
      <w:r w:rsidR="00676794">
        <w:rPr>
          <w:rFonts w:ascii="Arial" w:hAnsi="Arial" w:cs="Arial"/>
          <w:sz w:val="20"/>
          <w:szCs w:val="20"/>
          <w:lang w:val="bg-BG"/>
        </w:rPr>
        <w:t xml:space="preserve">. </w:t>
      </w:r>
    </w:p>
    <w:p w14:paraId="68C5D041" w14:textId="77777777" w:rsidR="00676794" w:rsidRPr="00676794" w:rsidRDefault="00676794" w:rsidP="000215DA">
      <w:pPr>
        <w:pStyle w:val="ListParagraph"/>
        <w:numPr>
          <w:ilvl w:val="0"/>
          <w:numId w:val="63"/>
        </w:numPr>
        <w:jc w:val="both"/>
        <w:rPr>
          <w:rFonts w:ascii="Arial" w:hAnsi="Arial" w:cs="Arial"/>
          <w:sz w:val="20"/>
          <w:szCs w:val="20"/>
          <w:lang w:val="bg-BG"/>
        </w:rPr>
      </w:pPr>
      <w:r w:rsidRPr="00676794">
        <w:rPr>
          <w:rFonts w:ascii="Arial" w:hAnsi="Arial" w:cs="Arial"/>
          <w:sz w:val="20"/>
          <w:szCs w:val="20"/>
          <w:lang w:val="bg-BG"/>
        </w:rPr>
        <w:t xml:space="preserve">Крайните получатели по ПО 1 (ВиКО) нямат </w:t>
      </w:r>
      <w:r>
        <w:rPr>
          <w:rFonts w:ascii="Arial" w:hAnsi="Arial" w:cs="Arial"/>
          <w:sz w:val="20"/>
          <w:szCs w:val="20"/>
          <w:lang w:val="bg-BG"/>
        </w:rPr>
        <w:t>опит в получаване на финансиране от ЕСИФ.</w:t>
      </w:r>
    </w:p>
    <w:p w14:paraId="07D3401C" w14:textId="77777777" w:rsidR="00C92A68" w:rsidRDefault="00C92A68" w:rsidP="00C92A68">
      <w:pPr>
        <w:jc w:val="both"/>
        <w:rPr>
          <w:rFonts w:ascii="Arial" w:hAnsi="Arial" w:cs="Arial"/>
          <w:sz w:val="20"/>
          <w:szCs w:val="20"/>
          <w:lang w:val="bg-BG"/>
        </w:rPr>
      </w:pPr>
      <w:r>
        <w:rPr>
          <w:rFonts w:ascii="Arial" w:hAnsi="Arial" w:cs="Arial"/>
          <w:sz w:val="20"/>
          <w:szCs w:val="20"/>
          <w:lang w:val="bg-BG"/>
        </w:rPr>
        <w:t xml:space="preserve">С оглед на това </w:t>
      </w:r>
      <w:r w:rsidR="007516FC">
        <w:rPr>
          <w:rFonts w:ascii="Arial" w:hAnsi="Arial" w:cs="Arial"/>
          <w:sz w:val="20"/>
          <w:szCs w:val="20"/>
          <w:lang w:val="bg-BG"/>
        </w:rPr>
        <w:t xml:space="preserve">в </w:t>
      </w:r>
      <w:r>
        <w:rPr>
          <w:rFonts w:ascii="Arial" w:hAnsi="Arial" w:cs="Arial"/>
          <w:sz w:val="20"/>
          <w:szCs w:val="20"/>
          <w:lang w:val="bg-BG"/>
        </w:rPr>
        <w:t xml:space="preserve">ИС </w:t>
      </w:r>
      <w:r w:rsidR="007516FC">
        <w:rPr>
          <w:rFonts w:ascii="Arial" w:hAnsi="Arial" w:cs="Arial"/>
          <w:sz w:val="20"/>
          <w:szCs w:val="20"/>
          <w:lang w:val="bg-BG"/>
        </w:rPr>
        <w:t>е приложен</w:t>
      </w:r>
      <w:r w:rsidR="006404F6">
        <w:rPr>
          <w:rFonts w:ascii="Arial" w:hAnsi="Arial" w:cs="Arial"/>
          <w:sz w:val="20"/>
          <w:szCs w:val="20"/>
          <w:lang w:val="bg-BG"/>
        </w:rPr>
        <w:t xml:space="preserve"> </w:t>
      </w:r>
      <w:r>
        <w:rPr>
          <w:rFonts w:ascii="Arial" w:hAnsi="Arial" w:cs="Arial"/>
          <w:sz w:val="20"/>
          <w:szCs w:val="20"/>
          <w:lang w:val="bg-BG"/>
        </w:rPr>
        <w:t xml:space="preserve">подход </w:t>
      </w:r>
      <w:r w:rsidR="007516FC">
        <w:rPr>
          <w:rFonts w:ascii="Arial" w:hAnsi="Arial" w:cs="Arial"/>
          <w:sz w:val="20"/>
          <w:szCs w:val="20"/>
          <w:lang w:val="bg-BG"/>
        </w:rPr>
        <w:t xml:space="preserve">при </w:t>
      </w:r>
      <w:r>
        <w:rPr>
          <w:rFonts w:ascii="Arial" w:hAnsi="Arial" w:cs="Arial"/>
          <w:sz w:val="20"/>
          <w:szCs w:val="20"/>
          <w:lang w:val="bg-BG"/>
        </w:rPr>
        <w:t>определяне на целевите стойности на показателите</w:t>
      </w:r>
      <w:r w:rsidR="007516FC">
        <w:rPr>
          <w:rFonts w:ascii="Arial" w:hAnsi="Arial" w:cs="Arial"/>
          <w:sz w:val="20"/>
          <w:szCs w:val="20"/>
          <w:lang w:val="bg-BG"/>
        </w:rPr>
        <w:t>, както следва</w:t>
      </w:r>
      <w:r>
        <w:rPr>
          <w:rFonts w:ascii="Arial" w:hAnsi="Arial" w:cs="Arial"/>
          <w:sz w:val="20"/>
          <w:szCs w:val="20"/>
          <w:lang w:val="bg-BG"/>
        </w:rPr>
        <w:t xml:space="preserve">: </w:t>
      </w:r>
    </w:p>
    <w:p w14:paraId="4E4F1444" w14:textId="77777777" w:rsidR="00C92A68" w:rsidRDefault="00C92A68" w:rsidP="00C92A68">
      <w:pPr>
        <w:pStyle w:val="ListParagraph"/>
        <w:numPr>
          <w:ilvl w:val="0"/>
          <w:numId w:val="64"/>
        </w:numPr>
        <w:jc w:val="both"/>
        <w:rPr>
          <w:rFonts w:ascii="Arial" w:hAnsi="Arial" w:cs="Arial"/>
          <w:sz w:val="20"/>
          <w:szCs w:val="20"/>
          <w:lang w:val="bg-BG"/>
        </w:rPr>
      </w:pPr>
      <w:r>
        <w:rPr>
          <w:rFonts w:ascii="Arial" w:hAnsi="Arial" w:cs="Arial"/>
          <w:sz w:val="20"/>
          <w:szCs w:val="20"/>
          <w:lang w:val="bg-BG"/>
        </w:rPr>
        <w:t xml:space="preserve">Не са предложени целеви </w:t>
      </w:r>
      <w:r w:rsidR="00FB789B">
        <w:rPr>
          <w:rFonts w:ascii="Arial" w:hAnsi="Arial" w:cs="Arial"/>
          <w:sz w:val="20"/>
          <w:szCs w:val="20"/>
          <w:lang w:val="bg-BG"/>
        </w:rPr>
        <w:t xml:space="preserve">етапни </w:t>
      </w:r>
      <w:r>
        <w:rPr>
          <w:rFonts w:ascii="Arial" w:hAnsi="Arial" w:cs="Arial"/>
          <w:sz w:val="20"/>
          <w:szCs w:val="20"/>
          <w:lang w:val="bg-BG"/>
        </w:rPr>
        <w:t>стойности</w:t>
      </w:r>
      <w:r w:rsidRPr="00246A22">
        <w:rPr>
          <w:rFonts w:ascii="Arial" w:hAnsi="Arial" w:cs="Arial"/>
          <w:sz w:val="20"/>
          <w:szCs w:val="20"/>
          <w:lang w:val="bg-BG"/>
        </w:rPr>
        <w:t xml:space="preserve"> за </w:t>
      </w:r>
      <w:r w:rsidR="001E53E7">
        <w:rPr>
          <w:rFonts w:ascii="Arial" w:hAnsi="Arial" w:cs="Arial"/>
          <w:sz w:val="20"/>
          <w:szCs w:val="20"/>
          <w:lang w:val="bg-BG"/>
        </w:rPr>
        <w:t xml:space="preserve">края на </w:t>
      </w:r>
      <w:r w:rsidRPr="00246A22">
        <w:rPr>
          <w:rFonts w:ascii="Arial" w:hAnsi="Arial" w:cs="Arial"/>
          <w:sz w:val="20"/>
          <w:szCs w:val="20"/>
          <w:lang w:val="bg-BG"/>
        </w:rPr>
        <w:t xml:space="preserve">2018 г. </w:t>
      </w:r>
      <w:r w:rsidR="007516FC">
        <w:rPr>
          <w:rFonts w:ascii="Arial" w:hAnsi="Arial" w:cs="Arial"/>
          <w:sz w:val="20"/>
          <w:szCs w:val="20"/>
          <w:lang w:val="bg-BG"/>
        </w:rPr>
        <w:t>О</w:t>
      </w:r>
      <w:r>
        <w:rPr>
          <w:rFonts w:ascii="Arial" w:hAnsi="Arial" w:cs="Arial"/>
          <w:sz w:val="20"/>
          <w:szCs w:val="20"/>
          <w:lang w:val="bg-BG"/>
        </w:rPr>
        <w:t>чаква</w:t>
      </w:r>
      <w:r w:rsidR="007516FC">
        <w:rPr>
          <w:rFonts w:ascii="Arial" w:hAnsi="Arial" w:cs="Arial"/>
          <w:sz w:val="20"/>
          <w:szCs w:val="20"/>
          <w:lang w:val="bg-BG"/>
        </w:rPr>
        <w:t xml:space="preserve"> се първите проекти</w:t>
      </w:r>
      <w:r>
        <w:rPr>
          <w:rFonts w:ascii="Arial" w:hAnsi="Arial" w:cs="Arial"/>
          <w:sz w:val="20"/>
          <w:szCs w:val="20"/>
          <w:lang w:val="bg-BG"/>
        </w:rPr>
        <w:t xml:space="preserve"> </w:t>
      </w:r>
      <w:r w:rsidRPr="00246A22">
        <w:rPr>
          <w:rFonts w:ascii="Arial" w:hAnsi="Arial" w:cs="Arial"/>
          <w:sz w:val="20"/>
          <w:szCs w:val="20"/>
          <w:lang w:val="bg-BG"/>
        </w:rPr>
        <w:t xml:space="preserve">да бъдат финансирани </w:t>
      </w:r>
      <w:r w:rsidR="001E53E7" w:rsidRPr="00EB1E76">
        <w:rPr>
          <w:rFonts w:ascii="Arial" w:hAnsi="Arial" w:cs="Arial"/>
          <w:sz w:val="20"/>
          <w:szCs w:val="20"/>
          <w:lang w:val="bg-BG"/>
        </w:rPr>
        <w:t xml:space="preserve">най-рано </w:t>
      </w:r>
      <w:r w:rsidRPr="00EB1E76">
        <w:rPr>
          <w:rFonts w:ascii="Arial" w:hAnsi="Arial" w:cs="Arial"/>
          <w:sz w:val="20"/>
          <w:szCs w:val="20"/>
          <w:lang w:val="bg-BG"/>
        </w:rPr>
        <w:t>през 201</w:t>
      </w:r>
      <w:r w:rsidR="0036216F" w:rsidRPr="00EB1E76">
        <w:rPr>
          <w:rFonts w:ascii="Arial" w:hAnsi="Arial" w:cs="Arial"/>
          <w:sz w:val="20"/>
          <w:szCs w:val="20"/>
          <w:lang w:val="bg-BG"/>
        </w:rPr>
        <w:t>8</w:t>
      </w:r>
      <w:r w:rsidRPr="00246A22">
        <w:rPr>
          <w:rFonts w:ascii="Arial" w:hAnsi="Arial" w:cs="Arial"/>
          <w:sz w:val="20"/>
          <w:szCs w:val="20"/>
          <w:lang w:val="bg-BG"/>
        </w:rPr>
        <w:t xml:space="preserve"> г. Предвид характеристик</w:t>
      </w:r>
      <w:r>
        <w:rPr>
          <w:rFonts w:ascii="Arial" w:hAnsi="Arial" w:cs="Arial"/>
          <w:sz w:val="20"/>
          <w:szCs w:val="20"/>
          <w:lang w:val="bg-BG"/>
        </w:rPr>
        <w:t>ите на инвестиционните проекти, се очаква</w:t>
      </w:r>
      <w:r w:rsidRPr="00246A22">
        <w:rPr>
          <w:rFonts w:ascii="Arial" w:hAnsi="Arial" w:cs="Arial"/>
          <w:sz w:val="20"/>
          <w:szCs w:val="20"/>
          <w:lang w:val="bg-BG"/>
        </w:rPr>
        <w:t xml:space="preserve"> </w:t>
      </w:r>
      <w:r w:rsidR="00EE4745">
        <w:rPr>
          <w:rFonts w:ascii="Arial" w:hAnsi="Arial" w:cs="Arial"/>
          <w:sz w:val="20"/>
          <w:szCs w:val="20"/>
          <w:lang w:val="bg-BG"/>
        </w:rPr>
        <w:t>те да бъдат в процес на изпълнение</w:t>
      </w:r>
      <w:r>
        <w:rPr>
          <w:rFonts w:ascii="Arial" w:hAnsi="Arial" w:cs="Arial"/>
          <w:sz w:val="20"/>
          <w:szCs w:val="20"/>
          <w:lang w:val="bg-BG"/>
        </w:rPr>
        <w:t xml:space="preserve"> през 2018 г.</w:t>
      </w:r>
      <w:r w:rsidR="0036216F">
        <w:rPr>
          <w:rFonts w:ascii="Arial" w:hAnsi="Arial" w:cs="Arial"/>
          <w:sz w:val="20"/>
          <w:szCs w:val="20"/>
          <w:lang w:val="bg-BG"/>
        </w:rPr>
        <w:t xml:space="preserve"> </w:t>
      </w:r>
      <w:r>
        <w:rPr>
          <w:rFonts w:ascii="Arial" w:hAnsi="Arial" w:cs="Arial"/>
          <w:sz w:val="20"/>
          <w:szCs w:val="20"/>
          <w:lang w:val="bg-BG"/>
        </w:rPr>
        <w:t xml:space="preserve">В този смисъл, инвестиционните проекти, които ще бъдат финансирани чрез ФИ, </w:t>
      </w:r>
      <w:r w:rsidR="00FB789B">
        <w:rPr>
          <w:rFonts w:ascii="Arial" w:hAnsi="Arial" w:cs="Arial"/>
          <w:sz w:val="20"/>
          <w:szCs w:val="20"/>
          <w:lang w:val="bg-BG"/>
        </w:rPr>
        <w:t>не се очаква да</w:t>
      </w:r>
      <w:r>
        <w:rPr>
          <w:rFonts w:ascii="Arial" w:hAnsi="Arial" w:cs="Arial"/>
          <w:sz w:val="20"/>
          <w:szCs w:val="20"/>
          <w:lang w:val="bg-BG"/>
        </w:rPr>
        <w:t xml:space="preserve"> </w:t>
      </w:r>
      <w:r w:rsidR="00EE4745">
        <w:rPr>
          <w:rFonts w:ascii="Arial" w:hAnsi="Arial" w:cs="Arial"/>
          <w:sz w:val="20"/>
          <w:szCs w:val="20"/>
          <w:lang w:val="bg-BG"/>
        </w:rPr>
        <w:t>имат принос</w:t>
      </w:r>
      <w:r>
        <w:rPr>
          <w:rFonts w:ascii="Arial" w:hAnsi="Arial" w:cs="Arial"/>
          <w:sz w:val="20"/>
          <w:szCs w:val="20"/>
          <w:lang w:val="bg-BG"/>
        </w:rPr>
        <w:t xml:space="preserve"> за постигане </w:t>
      </w:r>
      <w:r w:rsidR="00FB789B">
        <w:rPr>
          <w:rFonts w:ascii="Arial" w:hAnsi="Arial" w:cs="Arial"/>
          <w:sz w:val="20"/>
          <w:szCs w:val="20"/>
          <w:lang w:val="bg-BG"/>
        </w:rPr>
        <w:t xml:space="preserve">етапните </w:t>
      </w:r>
      <w:r>
        <w:rPr>
          <w:rFonts w:ascii="Arial" w:hAnsi="Arial" w:cs="Arial"/>
          <w:sz w:val="20"/>
          <w:szCs w:val="20"/>
          <w:lang w:val="bg-BG"/>
        </w:rPr>
        <w:t>цели на ОПОС за 2018 г.</w:t>
      </w:r>
    </w:p>
    <w:p w14:paraId="4AC940FB" w14:textId="77777777" w:rsidR="00C92A68" w:rsidRPr="004F66F8" w:rsidRDefault="00C92A68" w:rsidP="004F66F8">
      <w:pPr>
        <w:pStyle w:val="ListParagraph"/>
        <w:keepNext/>
        <w:numPr>
          <w:ilvl w:val="0"/>
          <w:numId w:val="64"/>
        </w:numPr>
        <w:ind w:left="714" w:hanging="357"/>
        <w:jc w:val="both"/>
        <w:rPr>
          <w:rFonts w:ascii="Arial" w:hAnsi="Arial" w:cs="Arial"/>
          <w:sz w:val="20"/>
          <w:szCs w:val="20"/>
          <w:lang w:val="bg-BG"/>
        </w:rPr>
      </w:pPr>
      <w:r>
        <w:rPr>
          <w:rFonts w:ascii="Arial" w:hAnsi="Arial" w:cs="Arial"/>
          <w:sz w:val="20"/>
          <w:szCs w:val="20"/>
          <w:lang w:val="bg-BG"/>
        </w:rPr>
        <w:t>Целевите стойности за 2023 г. са определени на базата на приноса на ФИ към общите цели на ОПОС.</w:t>
      </w:r>
      <w:r w:rsidRPr="0051416F">
        <w:rPr>
          <w:rFonts w:ascii="Arial" w:hAnsi="Arial" w:cs="Arial"/>
          <w:sz w:val="20"/>
          <w:szCs w:val="20"/>
          <w:lang w:val="bg-BG"/>
        </w:rPr>
        <w:t xml:space="preserve"> </w:t>
      </w:r>
      <w:r w:rsidR="00EE4127">
        <w:rPr>
          <w:rFonts w:ascii="Arial" w:hAnsi="Arial" w:cs="Arial"/>
          <w:sz w:val="20"/>
          <w:szCs w:val="20"/>
          <w:lang w:val="bg-BG"/>
        </w:rPr>
        <w:t xml:space="preserve">Подкрепа чрез </w:t>
      </w:r>
      <w:r w:rsidRPr="004F66F8">
        <w:rPr>
          <w:rFonts w:ascii="Arial" w:hAnsi="Arial" w:cs="Arial"/>
          <w:sz w:val="20"/>
          <w:szCs w:val="20"/>
          <w:lang w:val="bg-BG"/>
        </w:rPr>
        <w:t xml:space="preserve">ФИ по ПО 1 </w:t>
      </w:r>
      <w:r w:rsidR="00EE4127">
        <w:rPr>
          <w:rFonts w:ascii="Arial" w:hAnsi="Arial" w:cs="Arial"/>
          <w:sz w:val="20"/>
          <w:szCs w:val="20"/>
          <w:lang w:val="bg-BG"/>
        </w:rPr>
        <w:t xml:space="preserve">ще се предоставя </w:t>
      </w:r>
      <w:r w:rsidRPr="004F66F8">
        <w:rPr>
          <w:rFonts w:ascii="Arial" w:hAnsi="Arial" w:cs="Arial"/>
          <w:sz w:val="20"/>
          <w:szCs w:val="20"/>
          <w:lang w:val="bg-BG"/>
        </w:rPr>
        <w:t xml:space="preserve">за </w:t>
      </w:r>
      <w:r w:rsidR="00D750FB" w:rsidRPr="004F66F8">
        <w:rPr>
          <w:rFonts w:ascii="Arial" w:hAnsi="Arial" w:cs="Arial"/>
          <w:sz w:val="20"/>
          <w:szCs w:val="20"/>
          <w:lang w:val="bg-BG"/>
        </w:rPr>
        <w:t>проекти на</w:t>
      </w:r>
      <w:r w:rsidRPr="004F66F8">
        <w:rPr>
          <w:rFonts w:ascii="Arial" w:hAnsi="Arial" w:cs="Arial"/>
          <w:sz w:val="20"/>
          <w:szCs w:val="20"/>
          <w:lang w:val="bg-BG"/>
        </w:rPr>
        <w:t xml:space="preserve"> ВиК</w:t>
      </w:r>
      <w:r w:rsidR="00D750FB" w:rsidRPr="004F66F8">
        <w:rPr>
          <w:rFonts w:ascii="Arial" w:hAnsi="Arial" w:cs="Arial"/>
          <w:sz w:val="20"/>
          <w:szCs w:val="20"/>
          <w:lang w:val="bg-BG"/>
        </w:rPr>
        <w:t xml:space="preserve">О, финансирани също чрез </w:t>
      </w:r>
      <w:r w:rsidR="00EE4745" w:rsidRPr="004F66F8">
        <w:rPr>
          <w:rFonts w:ascii="Arial" w:hAnsi="Arial" w:cs="Arial"/>
          <w:sz w:val="20"/>
          <w:szCs w:val="20"/>
          <w:lang w:val="bg-BG"/>
        </w:rPr>
        <w:t>безвъзмездна финансова помощ</w:t>
      </w:r>
      <w:r w:rsidRPr="004F66F8">
        <w:rPr>
          <w:rFonts w:ascii="Arial" w:hAnsi="Arial" w:cs="Arial"/>
          <w:sz w:val="20"/>
          <w:szCs w:val="20"/>
          <w:lang w:val="bg-BG"/>
        </w:rPr>
        <w:t xml:space="preserve">. В този случай, няма да </w:t>
      </w:r>
      <w:r w:rsidR="00D750FB" w:rsidRPr="004F66F8">
        <w:rPr>
          <w:rFonts w:ascii="Arial" w:hAnsi="Arial" w:cs="Arial"/>
          <w:sz w:val="20"/>
          <w:szCs w:val="20"/>
          <w:lang w:val="bg-BG"/>
        </w:rPr>
        <w:t>бъде възможно да се разграничи приносът на ФИ към</w:t>
      </w:r>
      <w:r w:rsidRPr="004F66F8">
        <w:rPr>
          <w:rFonts w:ascii="Arial" w:hAnsi="Arial" w:cs="Arial"/>
          <w:sz w:val="20"/>
          <w:szCs w:val="20"/>
          <w:lang w:val="bg-BG"/>
        </w:rPr>
        <w:t xml:space="preserve"> </w:t>
      </w:r>
      <w:r w:rsidR="001E53E7">
        <w:rPr>
          <w:rFonts w:ascii="Arial" w:hAnsi="Arial" w:cs="Arial"/>
          <w:sz w:val="20"/>
          <w:szCs w:val="20"/>
          <w:lang w:val="bg-BG"/>
        </w:rPr>
        <w:t>постигнатите показатели освен ако се приложи пропорционален подход</w:t>
      </w:r>
      <w:r w:rsidRPr="004F66F8">
        <w:rPr>
          <w:rFonts w:ascii="Arial" w:hAnsi="Arial" w:cs="Arial"/>
          <w:sz w:val="20"/>
          <w:szCs w:val="20"/>
          <w:lang w:val="bg-BG"/>
        </w:rPr>
        <w:t xml:space="preserve">. </w:t>
      </w:r>
    </w:p>
    <w:p w14:paraId="25CEB394" w14:textId="77777777" w:rsidR="00D1082C" w:rsidRPr="00D1082C" w:rsidRDefault="00D1082C" w:rsidP="00D1082C">
      <w:pPr>
        <w:pStyle w:val="ListParagraph"/>
        <w:ind w:left="1440"/>
        <w:jc w:val="both"/>
        <w:rPr>
          <w:rFonts w:ascii="Arial" w:hAnsi="Arial" w:cs="Arial"/>
          <w:sz w:val="20"/>
          <w:szCs w:val="20"/>
          <w:lang w:val="bg-BG"/>
        </w:rPr>
      </w:pPr>
    </w:p>
    <w:p w14:paraId="05CBF8CE" w14:textId="77777777" w:rsidR="00531A80" w:rsidRPr="00AF1FBD" w:rsidRDefault="00AF1FBD" w:rsidP="00531A80">
      <w:pPr>
        <w:pStyle w:val="ListParagraph"/>
        <w:spacing w:after="120"/>
        <w:ind w:left="0"/>
        <w:contextualSpacing w:val="0"/>
        <w:jc w:val="both"/>
        <w:rPr>
          <w:rFonts w:ascii="Arial" w:hAnsi="Arial" w:cs="Arial"/>
          <w:b/>
          <w:i/>
          <w:sz w:val="20"/>
          <w:szCs w:val="20"/>
          <w:lang w:val="bg-BG"/>
        </w:rPr>
      </w:pPr>
      <w:r>
        <w:rPr>
          <w:rFonts w:ascii="Arial" w:hAnsi="Arial" w:cs="Arial"/>
          <w:b/>
          <w:i/>
          <w:sz w:val="20"/>
          <w:szCs w:val="20"/>
          <w:lang w:val="bg-BG"/>
        </w:rPr>
        <w:t xml:space="preserve">Показатели </w:t>
      </w:r>
      <w:r w:rsidR="001D4BEF">
        <w:rPr>
          <w:rFonts w:ascii="Arial" w:hAnsi="Arial" w:cs="Arial"/>
          <w:b/>
          <w:i/>
          <w:sz w:val="20"/>
          <w:szCs w:val="20"/>
          <w:lang w:val="bg-BG"/>
        </w:rPr>
        <w:t xml:space="preserve">за </w:t>
      </w:r>
      <w:r w:rsidR="006404F6">
        <w:rPr>
          <w:rFonts w:ascii="Arial" w:hAnsi="Arial" w:cs="Arial"/>
          <w:b/>
          <w:i/>
          <w:sz w:val="20"/>
          <w:szCs w:val="20"/>
          <w:lang w:val="bg-BG"/>
        </w:rPr>
        <w:t>изпълнение</w:t>
      </w:r>
      <w:r w:rsidR="001D4BEF" w:rsidRPr="001D4BEF">
        <w:rPr>
          <w:rFonts w:ascii="Arial" w:hAnsi="Arial" w:cs="Arial"/>
          <w:b/>
          <w:i/>
          <w:sz w:val="20"/>
          <w:szCs w:val="20"/>
          <w:lang w:val="bg-BG"/>
        </w:rPr>
        <w:t xml:space="preserve"> </w:t>
      </w:r>
      <w:r>
        <w:rPr>
          <w:rFonts w:ascii="Arial" w:hAnsi="Arial" w:cs="Arial"/>
          <w:b/>
          <w:i/>
          <w:sz w:val="20"/>
          <w:szCs w:val="20"/>
          <w:lang w:val="bg-BG"/>
        </w:rPr>
        <w:t>по ПО 1: „Води“</w:t>
      </w:r>
    </w:p>
    <w:p w14:paraId="7D14A79C" w14:textId="77777777" w:rsidR="00D1082C" w:rsidRPr="00D1082C" w:rsidRDefault="00D1082C" w:rsidP="00531A80">
      <w:pPr>
        <w:rPr>
          <w:rFonts w:ascii="Arial" w:hAnsi="Arial" w:cs="Arial"/>
          <w:sz w:val="20"/>
          <w:szCs w:val="20"/>
          <w:lang w:val="bg-BG"/>
        </w:rPr>
      </w:pPr>
      <w:r>
        <w:rPr>
          <w:rFonts w:ascii="Arial" w:hAnsi="Arial" w:cs="Arial"/>
          <w:sz w:val="20"/>
          <w:szCs w:val="20"/>
          <w:lang w:val="bg-BG"/>
        </w:rPr>
        <w:t>За ПО 1 „Води“, са идентифицирани следните показатели за изпълнение:</w:t>
      </w:r>
    </w:p>
    <w:p w14:paraId="1C6F1565" w14:textId="77777777" w:rsidR="00D1082C" w:rsidRPr="00D1082C" w:rsidRDefault="00D1082C" w:rsidP="00D1082C">
      <w:pPr>
        <w:pStyle w:val="Caption"/>
        <w:rPr>
          <w:rFonts w:ascii="Arial" w:hAnsi="Arial" w:cs="Arial"/>
          <w:sz w:val="20"/>
          <w:szCs w:val="20"/>
          <w:lang w:val="bg-BG"/>
        </w:rPr>
      </w:pPr>
      <w:bookmarkStart w:id="27" w:name="_Toc482716752"/>
      <w:r>
        <w:rPr>
          <w:rFonts w:ascii="Arial" w:hAnsi="Arial" w:cs="Arial"/>
          <w:sz w:val="20"/>
          <w:szCs w:val="20"/>
          <w:lang w:val="bg-BG"/>
        </w:rPr>
        <w:t>Таблица</w:t>
      </w:r>
      <w:r w:rsidR="005C72AD" w:rsidRPr="00D1082C">
        <w:rPr>
          <w:rFonts w:ascii="Arial" w:hAnsi="Arial" w:cs="Arial"/>
          <w:sz w:val="20"/>
          <w:szCs w:val="20"/>
          <w:lang w:val="bg-BG"/>
        </w:rPr>
        <w:t xml:space="preserve"> </w:t>
      </w:r>
      <w:r w:rsidR="006E684F" w:rsidRPr="00785B0F">
        <w:rPr>
          <w:rFonts w:ascii="Arial" w:hAnsi="Arial" w:cs="Arial"/>
          <w:i w:val="0"/>
          <w:iCs w:val="0"/>
          <w:sz w:val="20"/>
          <w:szCs w:val="20"/>
          <w:lang w:val="bg-BG"/>
        </w:rPr>
        <w:t>9</w:t>
      </w:r>
      <w:r w:rsidR="005C72AD" w:rsidRPr="00D1082C">
        <w:rPr>
          <w:rFonts w:ascii="Arial" w:hAnsi="Arial" w:cs="Arial"/>
          <w:sz w:val="20"/>
          <w:szCs w:val="20"/>
          <w:lang w:val="bg-BG"/>
        </w:rPr>
        <w:t xml:space="preserve">: </w:t>
      </w:r>
      <w:r>
        <w:rPr>
          <w:rFonts w:ascii="Arial" w:hAnsi="Arial" w:cs="Arial"/>
          <w:sz w:val="20"/>
          <w:szCs w:val="20"/>
          <w:lang w:val="bg-BG"/>
        </w:rPr>
        <w:t>Показатели за ФИ във ВиК сектора</w:t>
      </w:r>
      <w:bookmarkEnd w:id="27"/>
    </w:p>
    <w:tbl>
      <w:tblPr>
        <w:tblStyle w:val="TableGrid"/>
        <w:tblW w:w="10314" w:type="dxa"/>
        <w:tblLook w:val="04A0" w:firstRow="1" w:lastRow="0" w:firstColumn="1" w:lastColumn="0" w:noHBand="0" w:noVBand="1"/>
      </w:tblPr>
      <w:tblGrid>
        <w:gridCol w:w="1353"/>
        <w:gridCol w:w="1728"/>
        <w:gridCol w:w="1332"/>
        <w:gridCol w:w="2010"/>
        <w:gridCol w:w="3891"/>
      </w:tblGrid>
      <w:tr w:rsidR="000215DA" w:rsidRPr="00962C2C" w14:paraId="7E676AB1" w14:textId="77777777" w:rsidTr="00BC7695">
        <w:trPr>
          <w:trHeight w:val="340"/>
        </w:trPr>
        <w:tc>
          <w:tcPr>
            <w:tcW w:w="1353" w:type="dxa"/>
            <w:shd w:val="clear" w:color="auto" w:fill="BFBFBF" w:themeFill="background1" w:themeFillShade="BF"/>
          </w:tcPr>
          <w:p w14:paraId="6C9471C5" w14:textId="77777777" w:rsidR="000215DA" w:rsidRPr="00460AAF" w:rsidRDefault="000215DA" w:rsidP="000215DA">
            <w:pPr>
              <w:spacing w:after="0"/>
              <w:rPr>
                <w:rFonts w:ascii="Arial" w:hAnsi="Arial" w:cs="Arial"/>
                <w:b/>
                <w:bCs/>
                <w:color w:val="000000"/>
                <w:sz w:val="18"/>
                <w:szCs w:val="18"/>
                <w:lang w:val="bg-BG" w:eastAsia="bg-BG"/>
              </w:rPr>
            </w:pPr>
            <w:r>
              <w:rPr>
                <w:rFonts w:ascii="Arial" w:hAnsi="Arial" w:cs="Arial"/>
                <w:b/>
                <w:bCs/>
                <w:color w:val="000000"/>
                <w:sz w:val="18"/>
                <w:szCs w:val="18"/>
                <w:lang w:val="bg-BG" w:eastAsia="bg-BG"/>
              </w:rPr>
              <w:t>Вид показател</w:t>
            </w:r>
          </w:p>
        </w:tc>
        <w:tc>
          <w:tcPr>
            <w:tcW w:w="1728" w:type="dxa"/>
            <w:shd w:val="clear" w:color="auto" w:fill="BFBFBF" w:themeFill="background1" w:themeFillShade="BF"/>
          </w:tcPr>
          <w:p w14:paraId="15DD879B" w14:textId="77777777" w:rsidR="000215DA" w:rsidRPr="00460AAF" w:rsidRDefault="000215DA" w:rsidP="000215DA">
            <w:pPr>
              <w:spacing w:after="0"/>
              <w:rPr>
                <w:rFonts w:ascii="Arial" w:hAnsi="Arial" w:cs="Arial"/>
                <w:b/>
                <w:bCs/>
                <w:color w:val="000000"/>
                <w:sz w:val="18"/>
                <w:szCs w:val="18"/>
                <w:lang w:val="bg-BG" w:eastAsia="bg-BG"/>
              </w:rPr>
            </w:pPr>
            <w:r>
              <w:rPr>
                <w:rFonts w:ascii="Arial" w:hAnsi="Arial" w:cs="Arial"/>
                <w:b/>
                <w:bCs/>
                <w:color w:val="000000"/>
                <w:sz w:val="18"/>
                <w:szCs w:val="18"/>
                <w:lang w:val="bg-BG" w:eastAsia="bg-BG"/>
              </w:rPr>
              <w:t>Показател</w:t>
            </w:r>
          </w:p>
        </w:tc>
        <w:tc>
          <w:tcPr>
            <w:tcW w:w="1332" w:type="dxa"/>
            <w:shd w:val="clear" w:color="auto" w:fill="BFBFBF" w:themeFill="background1" w:themeFillShade="BF"/>
          </w:tcPr>
          <w:p w14:paraId="6EA814A8" w14:textId="77777777" w:rsidR="000215DA" w:rsidRPr="00962C2C" w:rsidRDefault="000215DA" w:rsidP="000215DA">
            <w:pPr>
              <w:spacing w:after="0"/>
              <w:rPr>
                <w:rFonts w:ascii="Arial" w:hAnsi="Arial" w:cs="Arial"/>
                <w:b/>
                <w:bCs/>
                <w:color w:val="000000"/>
                <w:sz w:val="18"/>
                <w:szCs w:val="18"/>
                <w:lang w:eastAsia="bg-BG"/>
              </w:rPr>
            </w:pPr>
            <w:r>
              <w:rPr>
                <w:rFonts w:ascii="Arial" w:hAnsi="Arial" w:cs="Arial"/>
                <w:b/>
                <w:bCs/>
                <w:color w:val="000000"/>
                <w:sz w:val="18"/>
                <w:szCs w:val="18"/>
                <w:lang w:val="bg-BG" w:eastAsia="bg-BG"/>
              </w:rPr>
              <w:t xml:space="preserve">Целева стойност </w:t>
            </w:r>
            <w:r w:rsidRPr="00962C2C">
              <w:rPr>
                <w:rFonts w:ascii="Arial" w:hAnsi="Arial" w:cs="Arial"/>
                <w:b/>
                <w:bCs/>
                <w:color w:val="000000"/>
                <w:sz w:val="18"/>
                <w:szCs w:val="18"/>
                <w:lang w:eastAsia="bg-BG"/>
              </w:rPr>
              <w:t>(2023</w:t>
            </w:r>
            <w:r>
              <w:rPr>
                <w:rFonts w:ascii="Arial" w:hAnsi="Arial" w:cs="Arial"/>
                <w:b/>
                <w:bCs/>
                <w:color w:val="000000"/>
                <w:sz w:val="18"/>
                <w:szCs w:val="18"/>
                <w:lang w:val="bg-BG" w:eastAsia="bg-BG"/>
              </w:rPr>
              <w:t xml:space="preserve"> г.</w:t>
            </w:r>
            <w:r w:rsidRPr="00962C2C">
              <w:rPr>
                <w:rFonts w:ascii="Arial" w:hAnsi="Arial" w:cs="Arial"/>
                <w:b/>
                <w:bCs/>
                <w:color w:val="000000"/>
                <w:sz w:val="18"/>
                <w:szCs w:val="18"/>
                <w:lang w:eastAsia="bg-BG"/>
              </w:rPr>
              <w:t>)</w:t>
            </w:r>
          </w:p>
        </w:tc>
        <w:tc>
          <w:tcPr>
            <w:tcW w:w="2010" w:type="dxa"/>
            <w:shd w:val="clear" w:color="auto" w:fill="BFBFBF" w:themeFill="background1" w:themeFillShade="BF"/>
          </w:tcPr>
          <w:p w14:paraId="412D5895" w14:textId="77777777" w:rsidR="000215DA" w:rsidRPr="00460AAF" w:rsidRDefault="000215DA" w:rsidP="000215DA">
            <w:pPr>
              <w:spacing w:after="0"/>
              <w:rPr>
                <w:rFonts w:ascii="Arial" w:hAnsi="Arial" w:cs="Arial"/>
                <w:b/>
                <w:bCs/>
                <w:color w:val="000000"/>
                <w:sz w:val="18"/>
                <w:szCs w:val="18"/>
                <w:lang w:val="bg-BG" w:eastAsia="bg-BG"/>
              </w:rPr>
            </w:pPr>
            <w:r>
              <w:rPr>
                <w:rFonts w:ascii="Arial" w:hAnsi="Arial" w:cs="Arial"/>
                <w:b/>
                <w:bCs/>
                <w:color w:val="000000"/>
                <w:sz w:val="18"/>
                <w:szCs w:val="18"/>
                <w:lang w:val="bg-BG" w:eastAsia="bg-BG"/>
              </w:rPr>
              <w:t>Източник на данните</w:t>
            </w:r>
          </w:p>
        </w:tc>
        <w:tc>
          <w:tcPr>
            <w:tcW w:w="3891" w:type="dxa"/>
            <w:shd w:val="clear" w:color="auto" w:fill="BFBFBF" w:themeFill="background1" w:themeFillShade="BF"/>
          </w:tcPr>
          <w:p w14:paraId="03AC272C" w14:textId="77777777" w:rsidR="000215DA" w:rsidRPr="00460AAF" w:rsidRDefault="000215DA" w:rsidP="000215DA">
            <w:pPr>
              <w:spacing w:after="0"/>
              <w:rPr>
                <w:rFonts w:ascii="Arial" w:hAnsi="Arial" w:cs="Arial"/>
                <w:b/>
                <w:bCs/>
                <w:color w:val="000000"/>
                <w:sz w:val="18"/>
                <w:szCs w:val="18"/>
                <w:lang w:val="bg-BG" w:eastAsia="bg-BG"/>
              </w:rPr>
            </w:pPr>
            <w:r>
              <w:rPr>
                <w:rFonts w:ascii="Arial" w:hAnsi="Arial" w:cs="Arial"/>
                <w:b/>
                <w:bCs/>
                <w:color w:val="000000"/>
                <w:sz w:val="18"/>
                <w:szCs w:val="18"/>
                <w:lang w:val="bg-BG" w:eastAsia="bg-BG"/>
              </w:rPr>
              <w:t>Бележки</w:t>
            </w:r>
          </w:p>
        </w:tc>
      </w:tr>
      <w:tr w:rsidR="000215DA" w:rsidRPr="007B6C31" w14:paraId="06CA44E3" w14:textId="77777777" w:rsidTr="00BC7695">
        <w:trPr>
          <w:trHeight w:val="340"/>
        </w:trPr>
        <w:tc>
          <w:tcPr>
            <w:tcW w:w="1353" w:type="dxa"/>
          </w:tcPr>
          <w:p w14:paraId="607512D7" w14:textId="77777777" w:rsidR="000215DA" w:rsidRPr="0000333D" w:rsidRDefault="000215DA" w:rsidP="000215DA">
            <w:pPr>
              <w:spacing w:after="0"/>
              <w:rPr>
                <w:rFonts w:ascii="Arial" w:hAnsi="Arial" w:cs="Arial"/>
                <w:bCs/>
                <w:color w:val="000000"/>
                <w:sz w:val="18"/>
                <w:szCs w:val="18"/>
                <w:lang w:val="bg-BG" w:eastAsia="bg-BG"/>
              </w:rPr>
            </w:pPr>
            <w:r>
              <w:rPr>
                <w:rFonts w:ascii="Arial" w:hAnsi="Arial" w:cs="Arial"/>
                <w:bCs/>
                <w:color w:val="000000"/>
                <w:sz w:val="18"/>
                <w:szCs w:val="18"/>
                <w:lang w:val="bg-BG" w:eastAsia="bg-BG"/>
              </w:rPr>
              <w:t xml:space="preserve">Изпълнение </w:t>
            </w:r>
          </w:p>
        </w:tc>
        <w:tc>
          <w:tcPr>
            <w:tcW w:w="1728" w:type="dxa"/>
          </w:tcPr>
          <w:p w14:paraId="0660BCC4" w14:textId="77777777" w:rsidR="000215DA" w:rsidRPr="00643625" w:rsidRDefault="000215DA" w:rsidP="000215DA">
            <w:pPr>
              <w:spacing w:after="0"/>
              <w:rPr>
                <w:rFonts w:ascii="Arial" w:hAnsi="Arial" w:cs="Arial"/>
                <w:bCs/>
                <w:color w:val="000000"/>
                <w:sz w:val="18"/>
                <w:szCs w:val="18"/>
                <w:lang w:val="bg-BG" w:eastAsia="bg-BG"/>
              </w:rPr>
            </w:pPr>
            <w:r>
              <w:rPr>
                <w:rFonts w:ascii="Arial" w:hAnsi="Arial" w:cs="Arial"/>
                <w:bCs/>
                <w:color w:val="000000"/>
                <w:sz w:val="18"/>
                <w:szCs w:val="18"/>
                <w:lang w:val="bg-BG" w:eastAsia="bg-BG"/>
              </w:rPr>
              <w:t>Ефект на лоста</w:t>
            </w:r>
          </w:p>
        </w:tc>
        <w:tc>
          <w:tcPr>
            <w:tcW w:w="1332" w:type="dxa"/>
          </w:tcPr>
          <w:p w14:paraId="48366BF1" w14:textId="77777777" w:rsidR="000215DA" w:rsidRPr="00F50FB8" w:rsidRDefault="001E53E7" w:rsidP="00F50FB8">
            <w:pPr>
              <w:spacing w:after="0"/>
              <w:rPr>
                <w:rFonts w:ascii="Arial" w:hAnsi="Arial" w:cs="Arial"/>
                <w:bCs/>
                <w:color w:val="000000"/>
                <w:sz w:val="18"/>
                <w:szCs w:val="18"/>
                <w:lang w:val="bg-BG" w:eastAsia="bg-BG"/>
              </w:rPr>
            </w:pPr>
            <w:r>
              <w:rPr>
                <w:rFonts w:ascii="Arial" w:hAnsi="Arial" w:cs="Arial"/>
                <w:bCs/>
                <w:color w:val="000000"/>
                <w:sz w:val="18"/>
                <w:szCs w:val="18"/>
                <w:lang w:val="bg-BG" w:eastAsia="bg-BG"/>
              </w:rPr>
              <w:t xml:space="preserve">Най-малко </w:t>
            </w:r>
            <w:r w:rsidR="000215DA" w:rsidRPr="00962C2C">
              <w:rPr>
                <w:rFonts w:ascii="Arial" w:hAnsi="Arial" w:cs="Arial"/>
                <w:bCs/>
                <w:color w:val="000000"/>
                <w:sz w:val="18"/>
                <w:szCs w:val="18"/>
                <w:lang w:eastAsia="bg-BG"/>
              </w:rPr>
              <w:t>1:</w:t>
            </w:r>
            <w:r w:rsidR="00F50FB8">
              <w:rPr>
                <w:rFonts w:ascii="Arial" w:hAnsi="Arial" w:cs="Arial"/>
                <w:bCs/>
                <w:color w:val="000000"/>
                <w:sz w:val="18"/>
                <w:szCs w:val="18"/>
                <w:lang w:val="bg-BG" w:eastAsia="bg-BG"/>
              </w:rPr>
              <w:t>2</w:t>
            </w:r>
          </w:p>
        </w:tc>
        <w:tc>
          <w:tcPr>
            <w:tcW w:w="2010" w:type="dxa"/>
          </w:tcPr>
          <w:p w14:paraId="6AD7D3FD" w14:textId="77777777" w:rsidR="000215DA" w:rsidRPr="00962C2C" w:rsidRDefault="000215DA" w:rsidP="000215DA">
            <w:pPr>
              <w:spacing w:after="0"/>
              <w:rPr>
                <w:rFonts w:ascii="Arial" w:hAnsi="Arial" w:cs="Arial"/>
                <w:bCs/>
                <w:color w:val="000000"/>
                <w:sz w:val="18"/>
                <w:szCs w:val="18"/>
                <w:lang w:eastAsia="bg-BG"/>
              </w:rPr>
            </w:pPr>
            <w:r>
              <w:rPr>
                <w:rFonts w:ascii="Arial" w:hAnsi="Arial" w:cs="Arial"/>
                <w:bCs/>
                <w:color w:val="000000"/>
                <w:sz w:val="18"/>
                <w:szCs w:val="18"/>
                <w:lang w:val="bg-BG" w:eastAsia="bg-BG"/>
              </w:rPr>
              <w:t>Мониторингов доклад за ФМФИБ, изготвен от фонд мениджъра на специалната инвестиционна структура</w:t>
            </w:r>
            <w:r w:rsidRPr="005D4928">
              <w:rPr>
                <w:rFonts w:ascii="Arial" w:hAnsi="Arial" w:cs="Arial"/>
                <w:bCs/>
                <w:color w:val="000000"/>
                <w:sz w:val="18"/>
                <w:szCs w:val="18"/>
                <w:lang w:val="bg-BG" w:eastAsia="bg-BG"/>
              </w:rPr>
              <w:t xml:space="preserve"> (DIV)</w:t>
            </w:r>
            <w:r>
              <w:rPr>
                <w:rFonts w:ascii="Arial" w:hAnsi="Arial" w:cs="Arial"/>
                <w:bCs/>
                <w:color w:val="000000"/>
                <w:sz w:val="18"/>
                <w:szCs w:val="18"/>
                <w:lang w:val="bg-BG" w:eastAsia="bg-BG"/>
              </w:rPr>
              <w:t xml:space="preserve"> </w:t>
            </w:r>
          </w:p>
        </w:tc>
        <w:tc>
          <w:tcPr>
            <w:tcW w:w="3891" w:type="dxa"/>
          </w:tcPr>
          <w:p w14:paraId="74EC9023" w14:textId="77777777" w:rsidR="000215DA" w:rsidRDefault="00DE3AA6" w:rsidP="000215DA">
            <w:pPr>
              <w:spacing w:after="0"/>
              <w:rPr>
                <w:rFonts w:ascii="Arial" w:hAnsi="Arial" w:cs="Arial"/>
                <w:bCs/>
                <w:color w:val="000000"/>
                <w:sz w:val="18"/>
                <w:szCs w:val="18"/>
                <w:lang w:eastAsia="bg-BG"/>
              </w:rPr>
            </w:pPr>
            <w:r>
              <w:rPr>
                <w:rFonts w:ascii="Arial" w:hAnsi="Arial" w:cs="Arial"/>
                <w:bCs/>
                <w:color w:val="000000"/>
                <w:sz w:val="18"/>
                <w:szCs w:val="18"/>
                <w:lang w:val="bg-BG" w:eastAsia="bg-BG"/>
              </w:rPr>
              <w:t>Възможно е</w:t>
            </w:r>
            <w:r w:rsidR="000215DA">
              <w:rPr>
                <w:rFonts w:ascii="Arial" w:hAnsi="Arial" w:cs="Arial"/>
                <w:bCs/>
                <w:color w:val="000000"/>
                <w:sz w:val="18"/>
                <w:szCs w:val="18"/>
                <w:lang w:val="bg-BG" w:eastAsia="bg-BG"/>
              </w:rPr>
              <w:t xml:space="preserve"> да се наложи определената цел да бъде преразгледана, след като финансовите продукти бъдат пуснати на пазара, тъй като те се влияят от пазарните промени и конкретните интереси на избраните финансови посредници</w:t>
            </w:r>
            <w:r w:rsidR="00DE67AD">
              <w:rPr>
                <w:rFonts w:ascii="Arial" w:hAnsi="Arial" w:cs="Arial"/>
                <w:bCs/>
                <w:color w:val="000000"/>
                <w:sz w:val="18"/>
                <w:szCs w:val="18"/>
                <w:lang w:val="bg-BG" w:eastAsia="bg-BG"/>
              </w:rPr>
              <w:t xml:space="preserve"> или в резултат на преразглеждане на предварителната оценка на ФИ </w:t>
            </w:r>
            <w:r w:rsidR="001F1034">
              <w:rPr>
                <w:rFonts w:ascii="Arial" w:hAnsi="Arial" w:cs="Arial"/>
                <w:bCs/>
                <w:color w:val="000000"/>
                <w:sz w:val="18"/>
                <w:szCs w:val="18"/>
                <w:lang w:val="bg-BG" w:eastAsia="bg-BG"/>
              </w:rPr>
              <w:t xml:space="preserve">или </w:t>
            </w:r>
            <w:r w:rsidR="00DE67AD">
              <w:rPr>
                <w:rFonts w:ascii="Arial" w:hAnsi="Arial" w:cs="Arial"/>
                <w:bCs/>
                <w:color w:val="000000"/>
                <w:sz w:val="18"/>
                <w:szCs w:val="18"/>
                <w:lang w:val="bg-BG" w:eastAsia="bg-BG"/>
              </w:rPr>
              <w:t>в случай на</w:t>
            </w:r>
            <w:r w:rsidR="00294974">
              <w:rPr>
                <w:rFonts w:ascii="Arial" w:hAnsi="Arial" w:cs="Arial"/>
                <w:bCs/>
                <w:color w:val="000000"/>
                <w:sz w:val="18"/>
                <w:szCs w:val="18"/>
                <w:lang w:val="bg-BG" w:eastAsia="bg-BG"/>
              </w:rPr>
              <w:t xml:space="preserve"> промяна на</w:t>
            </w:r>
            <w:r w:rsidR="00DE67AD">
              <w:rPr>
                <w:rFonts w:ascii="Arial" w:hAnsi="Arial" w:cs="Arial"/>
                <w:bCs/>
                <w:color w:val="000000"/>
                <w:sz w:val="18"/>
                <w:szCs w:val="18"/>
                <w:lang w:val="bg-BG" w:eastAsia="bg-BG"/>
              </w:rPr>
              <w:t xml:space="preserve"> </w:t>
            </w:r>
            <w:r w:rsidR="00294974" w:rsidRPr="00294974">
              <w:rPr>
                <w:rFonts w:ascii="Arial" w:hAnsi="Arial" w:cs="Arial"/>
                <w:bCs/>
                <w:color w:val="000000"/>
                <w:sz w:val="18"/>
                <w:szCs w:val="18"/>
                <w:lang w:val="bg-BG" w:eastAsia="bg-BG"/>
              </w:rPr>
              <w:t>инвестиционн</w:t>
            </w:r>
            <w:r w:rsidR="00294974">
              <w:rPr>
                <w:rFonts w:ascii="Arial" w:hAnsi="Arial" w:cs="Arial"/>
                <w:bCs/>
                <w:color w:val="000000"/>
                <w:sz w:val="18"/>
                <w:szCs w:val="18"/>
                <w:lang w:val="bg-BG" w:eastAsia="bg-BG"/>
              </w:rPr>
              <w:t>ата</w:t>
            </w:r>
            <w:r w:rsidR="00294974" w:rsidRPr="00294974">
              <w:rPr>
                <w:rFonts w:ascii="Arial" w:hAnsi="Arial" w:cs="Arial"/>
                <w:bCs/>
                <w:color w:val="000000"/>
                <w:sz w:val="18"/>
                <w:szCs w:val="18"/>
                <w:lang w:val="bg-BG" w:eastAsia="bg-BG"/>
              </w:rPr>
              <w:t xml:space="preserve"> ситуаци</w:t>
            </w:r>
            <w:r w:rsidR="00294974">
              <w:rPr>
                <w:rFonts w:ascii="Arial" w:hAnsi="Arial" w:cs="Arial"/>
                <w:bCs/>
                <w:color w:val="000000"/>
                <w:sz w:val="18"/>
                <w:szCs w:val="18"/>
                <w:lang w:val="bg-BG" w:eastAsia="bg-BG"/>
              </w:rPr>
              <w:t>я в сектор ВиК.</w:t>
            </w:r>
          </w:p>
          <w:p w14:paraId="3262790A" w14:textId="77777777" w:rsidR="000215DA" w:rsidRPr="00962C2C" w:rsidRDefault="000215DA" w:rsidP="000215DA">
            <w:pPr>
              <w:spacing w:after="0"/>
              <w:rPr>
                <w:rFonts w:ascii="Arial" w:hAnsi="Arial" w:cs="Arial"/>
                <w:bCs/>
                <w:color w:val="000000"/>
                <w:sz w:val="18"/>
                <w:szCs w:val="18"/>
                <w:lang w:eastAsia="bg-BG"/>
              </w:rPr>
            </w:pPr>
          </w:p>
        </w:tc>
      </w:tr>
      <w:tr w:rsidR="000215DA" w:rsidRPr="007B6C31" w14:paraId="6C697E2C" w14:textId="77777777" w:rsidTr="00BC7695">
        <w:trPr>
          <w:trHeight w:val="340"/>
        </w:trPr>
        <w:tc>
          <w:tcPr>
            <w:tcW w:w="1353" w:type="dxa"/>
          </w:tcPr>
          <w:p w14:paraId="18C15A2F" w14:textId="77777777" w:rsidR="000215DA" w:rsidRPr="00643625" w:rsidRDefault="000215DA" w:rsidP="000215DA">
            <w:pPr>
              <w:spacing w:after="0"/>
              <w:rPr>
                <w:rFonts w:ascii="Arial" w:hAnsi="Arial" w:cs="Arial"/>
                <w:bCs/>
                <w:color w:val="000000"/>
                <w:sz w:val="18"/>
                <w:szCs w:val="18"/>
                <w:lang w:val="bg-BG" w:eastAsia="bg-BG"/>
              </w:rPr>
            </w:pPr>
            <w:r>
              <w:rPr>
                <w:rFonts w:ascii="Arial" w:hAnsi="Arial" w:cs="Arial"/>
                <w:bCs/>
                <w:color w:val="000000"/>
                <w:sz w:val="18"/>
                <w:szCs w:val="18"/>
                <w:lang w:val="bg-BG" w:eastAsia="bg-BG"/>
              </w:rPr>
              <w:t>Изпълнение</w:t>
            </w:r>
          </w:p>
        </w:tc>
        <w:tc>
          <w:tcPr>
            <w:tcW w:w="1728" w:type="dxa"/>
          </w:tcPr>
          <w:p w14:paraId="4CAD8CDF" w14:textId="77777777" w:rsidR="000215DA" w:rsidRPr="00962C2C" w:rsidRDefault="000215DA" w:rsidP="000215DA">
            <w:pPr>
              <w:spacing w:after="0"/>
              <w:rPr>
                <w:rFonts w:ascii="Arial" w:hAnsi="Arial" w:cs="Arial"/>
                <w:bCs/>
                <w:color w:val="000000"/>
                <w:sz w:val="18"/>
                <w:szCs w:val="18"/>
                <w:lang w:eastAsia="bg-BG"/>
              </w:rPr>
            </w:pPr>
            <w:r>
              <w:rPr>
                <w:rFonts w:ascii="Arial" w:hAnsi="Arial" w:cs="Arial"/>
                <w:bCs/>
                <w:color w:val="000000"/>
                <w:sz w:val="18"/>
                <w:szCs w:val="18"/>
                <w:lang w:val="bg-BG" w:eastAsia="bg-BG"/>
              </w:rPr>
              <w:t>Проекти</w:t>
            </w:r>
            <w:r>
              <w:rPr>
                <w:rFonts w:ascii="Arial" w:hAnsi="Arial" w:cs="Arial"/>
                <w:bCs/>
                <w:color w:val="000000"/>
                <w:sz w:val="18"/>
                <w:szCs w:val="18"/>
                <w:lang w:eastAsia="bg-BG"/>
              </w:rPr>
              <w:t>, финансирани чрез ФИ</w:t>
            </w:r>
          </w:p>
        </w:tc>
        <w:tc>
          <w:tcPr>
            <w:tcW w:w="1332" w:type="dxa"/>
          </w:tcPr>
          <w:p w14:paraId="39023203" w14:textId="77777777" w:rsidR="000215DA" w:rsidRPr="0068488F" w:rsidRDefault="000F1826" w:rsidP="008B5547">
            <w:pPr>
              <w:rPr>
                <w:rFonts w:ascii="Arial" w:hAnsi="Arial" w:cs="Arial"/>
                <w:bCs/>
                <w:color w:val="000000"/>
                <w:sz w:val="18"/>
                <w:szCs w:val="18"/>
                <w:lang w:val="bg-BG" w:eastAsia="bg-BG"/>
              </w:rPr>
            </w:pPr>
            <w:r>
              <w:rPr>
                <w:rFonts w:ascii="Arial" w:hAnsi="Arial" w:cs="Arial"/>
                <w:bCs/>
                <w:color w:val="000000"/>
                <w:sz w:val="18"/>
                <w:szCs w:val="18"/>
                <w:lang w:val="bg-BG" w:eastAsia="bg-BG"/>
              </w:rPr>
              <w:t>15</w:t>
            </w:r>
            <w:r w:rsidR="00EE4127">
              <w:rPr>
                <w:rFonts w:ascii="Arial" w:hAnsi="Arial" w:cs="Arial"/>
                <w:bCs/>
                <w:color w:val="000000"/>
                <w:sz w:val="18"/>
                <w:szCs w:val="18"/>
                <w:lang w:val="bg-BG" w:eastAsia="bg-BG"/>
              </w:rPr>
              <w:t xml:space="preserve"> </w:t>
            </w:r>
            <w:r w:rsidR="000215DA">
              <w:rPr>
                <w:rFonts w:ascii="Arial" w:hAnsi="Arial" w:cs="Arial"/>
                <w:bCs/>
                <w:color w:val="000000"/>
                <w:sz w:val="18"/>
                <w:szCs w:val="18"/>
                <w:lang w:val="bg-BG" w:eastAsia="bg-BG"/>
              </w:rPr>
              <w:t>проекта</w:t>
            </w:r>
          </w:p>
        </w:tc>
        <w:tc>
          <w:tcPr>
            <w:tcW w:w="2010" w:type="dxa"/>
          </w:tcPr>
          <w:p w14:paraId="24455F41" w14:textId="77777777" w:rsidR="000215DA" w:rsidRPr="00962C2C" w:rsidRDefault="000215DA" w:rsidP="000215DA">
            <w:pPr>
              <w:spacing w:after="0"/>
              <w:rPr>
                <w:rFonts w:ascii="Arial" w:hAnsi="Arial" w:cs="Arial"/>
                <w:b/>
                <w:bCs/>
                <w:color w:val="000000"/>
                <w:sz w:val="18"/>
                <w:szCs w:val="18"/>
                <w:lang w:eastAsia="bg-BG"/>
              </w:rPr>
            </w:pPr>
            <w:r>
              <w:rPr>
                <w:rFonts w:ascii="Arial" w:hAnsi="Arial" w:cs="Arial"/>
                <w:bCs/>
                <w:color w:val="000000"/>
                <w:sz w:val="18"/>
                <w:szCs w:val="18"/>
                <w:lang w:val="bg-BG" w:eastAsia="bg-BG"/>
              </w:rPr>
              <w:t>Мониторингов доклад за ФМФИБ, изготвен от фонд мениджъра на специалната инвестиционна структура</w:t>
            </w:r>
            <w:r w:rsidRPr="005D4928">
              <w:rPr>
                <w:rFonts w:ascii="Arial" w:hAnsi="Arial" w:cs="Arial"/>
                <w:bCs/>
                <w:color w:val="000000"/>
                <w:sz w:val="18"/>
                <w:szCs w:val="18"/>
                <w:lang w:val="bg-BG" w:eastAsia="bg-BG"/>
              </w:rPr>
              <w:t xml:space="preserve"> (DIV)</w:t>
            </w:r>
          </w:p>
        </w:tc>
        <w:tc>
          <w:tcPr>
            <w:tcW w:w="3891" w:type="dxa"/>
          </w:tcPr>
          <w:p w14:paraId="14640301" w14:textId="77777777" w:rsidR="000215DA" w:rsidRDefault="000215DA" w:rsidP="000215DA">
            <w:pPr>
              <w:spacing w:after="0"/>
              <w:rPr>
                <w:rFonts w:ascii="Arial" w:hAnsi="Arial" w:cs="Arial"/>
                <w:bCs/>
                <w:color w:val="000000"/>
                <w:sz w:val="18"/>
                <w:szCs w:val="18"/>
                <w:lang w:val="bg-BG" w:eastAsia="bg-BG"/>
              </w:rPr>
            </w:pPr>
            <w:r>
              <w:rPr>
                <w:rFonts w:ascii="Arial" w:hAnsi="Arial" w:cs="Arial"/>
                <w:bCs/>
                <w:color w:val="000000"/>
                <w:sz w:val="18"/>
                <w:szCs w:val="18"/>
                <w:lang w:val="bg-BG" w:eastAsia="bg-BG"/>
              </w:rPr>
              <w:t>Целта е определена въз основа на предвиденото в настоящата ИС разширяване на обхвата на допустимите проекти и крайни получатели.</w:t>
            </w:r>
          </w:p>
          <w:p w14:paraId="5BD3EE4A" w14:textId="77777777" w:rsidR="00294974" w:rsidRPr="00263F09" w:rsidRDefault="00294974" w:rsidP="000215DA">
            <w:pPr>
              <w:spacing w:after="0"/>
              <w:rPr>
                <w:rFonts w:ascii="Arial" w:hAnsi="Arial" w:cs="Arial"/>
                <w:bCs/>
                <w:color w:val="000000"/>
                <w:sz w:val="18"/>
                <w:szCs w:val="18"/>
                <w:lang w:val="bg-BG" w:eastAsia="bg-BG"/>
              </w:rPr>
            </w:pPr>
            <w:r>
              <w:rPr>
                <w:rFonts w:ascii="Arial" w:hAnsi="Arial" w:cs="Arial"/>
                <w:bCs/>
                <w:color w:val="000000"/>
                <w:sz w:val="18"/>
                <w:szCs w:val="18"/>
                <w:lang w:val="bg-BG" w:eastAsia="bg-BG"/>
              </w:rPr>
              <w:t>Възможно е да се наложи определената цел да бъде преразгледана, след като финансовите продукти бъдат пуснати на пазара, когато ще е ясен интересът от страна на ВиКО.</w:t>
            </w:r>
          </w:p>
        </w:tc>
      </w:tr>
      <w:tr w:rsidR="000215DA" w:rsidRPr="007B6C31" w14:paraId="32B12807" w14:textId="77777777" w:rsidTr="00BC7695">
        <w:trPr>
          <w:trHeight w:val="340"/>
        </w:trPr>
        <w:tc>
          <w:tcPr>
            <w:tcW w:w="1353" w:type="dxa"/>
          </w:tcPr>
          <w:p w14:paraId="261A5067" w14:textId="77777777" w:rsidR="000215DA" w:rsidRPr="00643625" w:rsidRDefault="000215DA" w:rsidP="000215DA">
            <w:pPr>
              <w:spacing w:after="0"/>
              <w:rPr>
                <w:rFonts w:ascii="Arial" w:hAnsi="Arial" w:cs="Arial"/>
                <w:bCs/>
                <w:color w:val="000000"/>
                <w:sz w:val="18"/>
                <w:szCs w:val="18"/>
                <w:lang w:val="bg-BG" w:eastAsia="bg-BG"/>
              </w:rPr>
            </w:pPr>
            <w:r>
              <w:rPr>
                <w:rFonts w:ascii="Arial" w:hAnsi="Arial" w:cs="Arial"/>
                <w:bCs/>
                <w:color w:val="000000"/>
                <w:sz w:val="18"/>
                <w:szCs w:val="18"/>
                <w:lang w:val="bg-BG" w:eastAsia="bg-BG"/>
              </w:rPr>
              <w:t>Изпълнение</w:t>
            </w:r>
          </w:p>
        </w:tc>
        <w:tc>
          <w:tcPr>
            <w:tcW w:w="1728" w:type="dxa"/>
          </w:tcPr>
          <w:p w14:paraId="5A8B40FB" w14:textId="77777777" w:rsidR="000215DA" w:rsidRPr="00962C2C" w:rsidRDefault="000215DA" w:rsidP="008B5547">
            <w:pPr>
              <w:spacing w:after="0"/>
              <w:rPr>
                <w:rFonts w:ascii="Arial" w:hAnsi="Arial" w:cs="Arial"/>
                <w:bCs/>
                <w:color w:val="000000"/>
                <w:sz w:val="18"/>
                <w:szCs w:val="18"/>
                <w:lang w:eastAsia="bg-BG"/>
              </w:rPr>
            </w:pPr>
            <w:r w:rsidRPr="00952D26">
              <w:rPr>
                <w:rFonts w:ascii="Arial" w:hAnsi="Arial" w:cs="Arial"/>
                <w:bCs/>
                <w:color w:val="000000"/>
                <w:sz w:val="18"/>
                <w:szCs w:val="18"/>
                <w:lang w:eastAsia="bg-BG"/>
              </w:rPr>
              <w:t>Общ размер на сертифицираните разходи от</w:t>
            </w:r>
            <w:r w:rsidR="00F45A08">
              <w:rPr>
                <w:rFonts w:ascii="Arial" w:hAnsi="Arial" w:cs="Arial"/>
                <w:bCs/>
                <w:color w:val="000000"/>
                <w:sz w:val="18"/>
                <w:szCs w:val="18"/>
                <w:lang w:val="bg-BG" w:eastAsia="bg-BG"/>
              </w:rPr>
              <w:t xml:space="preserve"> </w:t>
            </w:r>
            <w:r w:rsidRPr="00952D26">
              <w:rPr>
                <w:rFonts w:ascii="Arial" w:hAnsi="Arial" w:cs="Arial"/>
                <w:bCs/>
                <w:color w:val="000000"/>
                <w:sz w:val="18"/>
                <w:szCs w:val="18"/>
                <w:lang w:eastAsia="bg-BG"/>
              </w:rPr>
              <w:t>Сертифициращия орган</w:t>
            </w:r>
          </w:p>
        </w:tc>
        <w:tc>
          <w:tcPr>
            <w:tcW w:w="1332" w:type="dxa"/>
          </w:tcPr>
          <w:p w14:paraId="2B48B48D" w14:textId="77777777" w:rsidR="000215DA" w:rsidRPr="00962C2C" w:rsidRDefault="000215DA" w:rsidP="001E53E7">
            <w:pPr>
              <w:spacing w:after="0"/>
              <w:rPr>
                <w:rFonts w:ascii="Arial" w:hAnsi="Arial" w:cs="Arial"/>
                <w:bCs/>
                <w:color w:val="000000"/>
                <w:sz w:val="18"/>
                <w:szCs w:val="18"/>
                <w:lang w:eastAsia="bg-BG"/>
              </w:rPr>
            </w:pPr>
            <w:r w:rsidRPr="00962C2C">
              <w:rPr>
                <w:rFonts w:ascii="Arial" w:hAnsi="Arial" w:cs="Arial"/>
                <w:sz w:val="18"/>
                <w:szCs w:val="18"/>
              </w:rPr>
              <w:t>119</w:t>
            </w:r>
            <w:r>
              <w:rPr>
                <w:rFonts w:ascii="Arial" w:hAnsi="Arial" w:cs="Arial"/>
                <w:sz w:val="18"/>
                <w:szCs w:val="18"/>
              </w:rPr>
              <w:t>.</w:t>
            </w:r>
            <w:r w:rsidRPr="00962C2C">
              <w:rPr>
                <w:rFonts w:ascii="Arial" w:hAnsi="Arial" w:cs="Arial"/>
                <w:sz w:val="18"/>
                <w:szCs w:val="18"/>
              </w:rPr>
              <w:t>6</w:t>
            </w:r>
            <w:r w:rsidR="001E53E7">
              <w:rPr>
                <w:rFonts w:ascii="Arial" w:hAnsi="Arial" w:cs="Arial"/>
                <w:sz w:val="18"/>
                <w:szCs w:val="18"/>
                <w:lang w:val="bg-BG"/>
              </w:rPr>
              <w:t>3</w:t>
            </w:r>
            <w:r>
              <w:rPr>
                <w:rFonts w:ascii="Arial" w:hAnsi="Arial" w:cs="Arial"/>
                <w:sz w:val="18"/>
                <w:szCs w:val="18"/>
              </w:rPr>
              <w:t xml:space="preserve"> </w:t>
            </w:r>
            <w:r w:rsidR="00F45A08">
              <w:rPr>
                <w:rFonts w:ascii="Arial" w:hAnsi="Arial" w:cs="Arial"/>
                <w:sz w:val="18"/>
                <w:szCs w:val="18"/>
                <w:lang w:val="bg-BG"/>
              </w:rPr>
              <w:t>млн</w:t>
            </w:r>
            <w:r>
              <w:rPr>
                <w:rFonts w:ascii="Arial" w:hAnsi="Arial" w:cs="Arial"/>
                <w:sz w:val="18"/>
                <w:szCs w:val="18"/>
                <w:lang w:val="bg-BG"/>
              </w:rPr>
              <w:t xml:space="preserve">. евро (само средства от </w:t>
            </w:r>
            <w:r w:rsidR="001E53E7">
              <w:rPr>
                <w:rFonts w:ascii="Arial" w:hAnsi="Arial" w:cs="Arial"/>
                <w:sz w:val="18"/>
                <w:szCs w:val="18"/>
                <w:lang w:val="bg-BG"/>
              </w:rPr>
              <w:t>ОПОС</w:t>
            </w:r>
            <w:r>
              <w:rPr>
                <w:rFonts w:ascii="Arial" w:hAnsi="Arial" w:cs="Arial"/>
                <w:sz w:val="18"/>
                <w:szCs w:val="18"/>
                <w:lang w:val="bg-BG"/>
              </w:rPr>
              <w:t>)</w:t>
            </w:r>
          </w:p>
        </w:tc>
        <w:tc>
          <w:tcPr>
            <w:tcW w:w="2010" w:type="dxa"/>
          </w:tcPr>
          <w:p w14:paraId="1F43571F" w14:textId="77777777" w:rsidR="000215DA" w:rsidRPr="00962C2C" w:rsidRDefault="000215DA" w:rsidP="000215DA">
            <w:pPr>
              <w:spacing w:after="0"/>
              <w:rPr>
                <w:rFonts w:ascii="Arial" w:hAnsi="Arial" w:cs="Arial"/>
                <w:bCs/>
                <w:color w:val="000000"/>
                <w:sz w:val="18"/>
                <w:szCs w:val="18"/>
                <w:lang w:eastAsia="bg-BG"/>
              </w:rPr>
            </w:pPr>
            <w:r>
              <w:rPr>
                <w:rFonts w:ascii="Arial" w:hAnsi="Arial" w:cs="Arial"/>
                <w:bCs/>
                <w:color w:val="000000"/>
                <w:sz w:val="18"/>
                <w:szCs w:val="18"/>
                <w:lang w:val="bg-BG" w:eastAsia="bg-BG"/>
              </w:rPr>
              <w:t>Документация, изготвена от Сертифициращия орган</w:t>
            </w:r>
          </w:p>
        </w:tc>
        <w:tc>
          <w:tcPr>
            <w:tcW w:w="3891" w:type="dxa"/>
          </w:tcPr>
          <w:p w14:paraId="75720831" w14:textId="77777777" w:rsidR="000215DA" w:rsidRPr="00962C2C" w:rsidRDefault="000215DA" w:rsidP="001E53E7">
            <w:pPr>
              <w:spacing w:after="0"/>
              <w:rPr>
                <w:rFonts w:ascii="Arial" w:hAnsi="Arial" w:cs="Arial"/>
                <w:bCs/>
                <w:color w:val="000000"/>
                <w:sz w:val="18"/>
                <w:szCs w:val="18"/>
                <w:lang w:eastAsia="bg-BG"/>
              </w:rPr>
            </w:pPr>
            <w:r>
              <w:rPr>
                <w:rFonts w:ascii="Arial" w:hAnsi="Arial" w:cs="Arial"/>
                <w:bCs/>
                <w:color w:val="000000"/>
                <w:sz w:val="18"/>
                <w:szCs w:val="18"/>
                <w:lang w:val="bg-BG" w:eastAsia="bg-BG"/>
              </w:rPr>
              <w:t>Предвидената цел е равна на об</w:t>
            </w:r>
            <w:r w:rsidR="008602A9">
              <w:rPr>
                <w:rFonts w:ascii="Arial" w:hAnsi="Arial" w:cs="Arial"/>
                <w:bCs/>
                <w:color w:val="000000"/>
                <w:sz w:val="18"/>
                <w:szCs w:val="18"/>
                <w:lang w:val="bg-BG" w:eastAsia="bg-BG"/>
              </w:rPr>
              <w:t>щ</w:t>
            </w:r>
            <w:r>
              <w:rPr>
                <w:rFonts w:ascii="Arial" w:hAnsi="Arial" w:cs="Arial"/>
                <w:bCs/>
                <w:color w:val="000000"/>
                <w:sz w:val="18"/>
                <w:szCs w:val="18"/>
                <w:lang w:val="bg-BG" w:eastAsia="bg-BG"/>
              </w:rPr>
              <w:t xml:space="preserve">ия размер на средствата от </w:t>
            </w:r>
            <w:r w:rsidR="001E53E7">
              <w:rPr>
                <w:rFonts w:ascii="Arial" w:hAnsi="Arial" w:cs="Arial"/>
                <w:bCs/>
                <w:color w:val="000000"/>
                <w:sz w:val="18"/>
                <w:szCs w:val="18"/>
                <w:lang w:val="bg-BG" w:eastAsia="bg-BG"/>
              </w:rPr>
              <w:t>ОПОС</w:t>
            </w:r>
            <w:r>
              <w:rPr>
                <w:rFonts w:ascii="Arial" w:hAnsi="Arial" w:cs="Arial"/>
                <w:bCs/>
                <w:color w:val="000000"/>
                <w:sz w:val="18"/>
                <w:szCs w:val="18"/>
                <w:lang w:val="bg-BG" w:eastAsia="bg-BG"/>
              </w:rPr>
              <w:t xml:space="preserve">, отредени за финансови продукти във ВиК сектора. </w:t>
            </w:r>
          </w:p>
        </w:tc>
      </w:tr>
    </w:tbl>
    <w:p w14:paraId="5159617E" w14:textId="77777777" w:rsidR="00531A80" w:rsidRPr="000215DA" w:rsidRDefault="00531A80" w:rsidP="00531A80">
      <w:pPr>
        <w:rPr>
          <w:lang w:val="bg-BG"/>
        </w:rPr>
      </w:pPr>
    </w:p>
    <w:p w14:paraId="6CFE0D84" w14:textId="77777777" w:rsidR="00647321" w:rsidRPr="0051416F" w:rsidRDefault="00984312" w:rsidP="00647321">
      <w:pPr>
        <w:pStyle w:val="Heading3"/>
        <w:numPr>
          <w:ilvl w:val="0"/>
          <w:numId w:val="17"/>
        </w:numPr>
        <w:spacing w:after="120"/>
        <w:rPr>
          <w:rFonts w:ascii="Arial" w:hAnsi="Arial" w:cs="Arial"/>
          <w:b/>
          <w:color w:val="4F81BD" w:themeColor="accent1"/>
          <w:sz w:val="20"/>
          <w:szCs w:val="20"/>
          <w:lang w:val="bg-BG"/>
        </w:rPr>
      </w:pPr>
      <w:bookmarkStart w:id="28" w:name="_Toc503798477"/>
      <w:r>
        <w:rPr>
          <w:rFonts w:ascii="Arial" w:hAnsi="Arial" w:cs="Arial"/>
          <w:b/>
          <w:color w:val="4F81BD" w:themeColor="accent1"/>
          <w:sz w:val="20"/>
          <w:szCs w:val="20"/>
          <w:lang w:val="bg-BG"/>
        </w:rPr>
        <w:lastRenderedPageBreak/>
        <w:t xml:space="preserve">Комбинация </w:t>
      </w:r>
      <w:r w:rsidR="00647321">
        <w:rPr>
          <w:rFonts w:ascii="Arial" w:hAnsi="Arial" w:cs="Arial"/>
          <w:b/>
          <w:color w:val="4F81BD" w:themeColor="accent1"/>
          <w:sz w:val="20"/>
          <w:szCs w:val="20"/>
          <w:lang w:val="bg-BG"/>
        </w:rPr>
        <w:t>с безвъзмездна финансова помощ</w:t>
      </w:r>
      <w:bookmarkEnd w:id="28"/>
    </w:p>
    <w:p w14:paraId="69596C9F" w14:textId="77777777" w:rsidR="00647321" w:rsidRPr="005613EC" w:rsidRDefault="00647321" w:rsidP="008B5547">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 xml:space="preserve">Успешното прилагане на ФИ, предвидени в настоящата ИС, </w:t>
      </w:r>
      <w:r w:rsidR="000E0F61">
        <w:rPr>
          <w:rFonts w:ascii="Arial" w:hAnsi="Arial" w:cs="Arial"/>
          <w:sz w:val="20"/>
          <w:szCs w:val="20"/>
          <w:lang w:val="bg-BG"/>
        </w:rPr>
        <w:t xml:space="preserve">би могло да </w:t>
      </w:r>
      <w:r>
        <w:rPr>
          <w:rFonts w:ascii="Arial" w:hAnsi="Arial" w:cs="Arial"/>
          <w:sz w:val="20"/>
          <w:szCs w:val="20"/>
          <w:lang w:val="bg-BG"/>
        </w:rPr>
        <w:t xml:space="preserve">се постигне чрез комбинация </w:t>
      </w:r>
      <w:r w:rsidRPr="00BC7695">
        <w:rPr>
          <w:rFonts w:ascii="Arial" w:hAnsi="Arial" w:cs="Arial"/>
          <w:sz w:val="20"/>
          <w:szCs w:val="20"/>
          <w:lang w:val="bg-BG"/>
        </w:rPr>
        <w:t xml:space="preserve">с </w:t>
      </w:r>
      <w:r w:rsidR="000E0F61" w:rsidRPr="00BC7695">
        <w:rPr>
          <w:rFonts w:ascii="Arial" w:hAnsi="Arial" w:cs="Arial"/>
          <w:sz w:val="20"/>
          <w:szCs w:val="20"/>
          <w:lang w:val="bg-BG"/>
        </w:rPr>
        <w:t xml:space="preserve">БФП </w:t>
      </w:r>
      <w:r w:rsidRPr="00BC7695">
        <w:rPr>
          <w:rFonts w:ascii="Arial" w:hAnsi="Arial" w:cs="Arial"/>
          <w:sz w:val="20"/>
          <w:szCs w:val="20"/>
          <w:lang w:val="bg-BG"/>
        </w:rPr>
        <w:t>по ОПОС</w:t>
      </w:r>
      <w:r w:rsidR="00835FD7">
        <w:rPr>
          <w:rFonts w:ascii="Arial" w:hAnsi="Arial" w:cs="Arial"/>
          <w:sz w:val="20"/>
          <w:szCs w:val="20"/>
          <w:lang w:val="bg-BG"/>
        </w:rPr>
        <w:t xml:space="preserve"> 2014 – 2020 г.</w:t>
      </w:r>
      <w:r w:rsidRPr="00BC7695">
        <w:rPr>
          <w:rFonts w:ascii="Arial" w:hAnsi="Arial" w:cs="Arial"/>
          <w:sz w:val="20"/>
          <w:szCs w:val="20"/>
          <w:lang w:val="bg-BG"/>
        </w:rPr>
        <w:t xml:space="preserve"> за допустими проекти</w:t>
      </w:r>
      <w:r>
        <w:rPr>
          <w:rFonts w:ascii="Arial" w:hAnsi="Arial" w:cs="Arial"/>
          <w:sz w:val="20"/>
          <w:szCs w:val="20"/>
          <w:lang w:val="bg-BG"/>
        </w:rPr>
        <w:t>.</w:t>
      </w:r>
      <w:r w:rsidRPr="0051416F">
        <w:rPr>
          <w:rFonts w:ascii="Arial" w:hAnsi="Arial" w:cs="Arial"/>
          <w:sz w:val="20"/>
          <w:szCs w:val="20"/>
          <w:lang w:val="bg-BG"/>
        </w:rPr>
        <w:t xml:space="preserve"> </w:t>
      </w:r>
      <w:r>
        <w:rPr>
          <w:rFonts w:ascii="Arial" w:hAnsi="Arial" w:cs="Arial"/>
          <w:sz w:val="20"/>
          <w:szCs w:val="20"/>
          <w:lang w:val="bg-BG"/>
        </w:rPr>
        <w:t>Подобни комбин</w:t>
      </w:r>
      <w:r w:rsidR="00AA188D">
        <w:rPr>
          <w:rFonts w:ascii="Arial" w:hAnsi="Arial" w:cs="Arial"/>
          <w:sz w:val="20"/>
          <w:szCs w:val="20"/>
          <w:lang w:val="bg-BG"/>
        </w:rPr>
        <w:t>ации са разрешени от приложимите</w:t>
      </w:r>
      <w:r>
        <w:rPr>
          <w:rFonts w:ascii="Arial" w:hAnsi="Arial" w:cs="Arial"/>
          <w:sz w:val="20"/>
          <w:szCs w:val="20"/>
          <w:lang w:val="bg-BG"/>
        </w:rPr>
        <w:t xml:space="preserve"> </w:t>
      </w:r>
      <w:r w:rsidR="00AA188D">
        <w:rPr>
          <w:rFonts w:ascii="Arial" w:hAnsi="Arial" w:cs="Arial"/>
          <w:sz w:val="20"/>
          <w:szCs w:val="20"/>
          <w:lang w:val="bg-BG"/>
        </w:rPr>
        <w:t>по отношение ЕСИФ регламенти</w:t>
      </w:r>
      <w:r>
        <w:rPr>
          <w:rFonts w:ascii="Arial" w:hAnsi="Arial" w:cs="Arial"/>
          <w:sz w:val="20"/>
          <w:szCs w:val="20"/>
          <w:lang w:val="bg-BG"/>
        </w:rPr>
        <w:t xml:space="preserve">. </w:t>
      </w:r>
    </w:p>
    <w:p w14:paraId="26A910B7" w14:textId="77777777" w:rsidR="003D5B03" w:rsidRPr="008B5547" w:rsidRDefault="00AA188D" w:rsidP="003D5B03">
      <w:pPr>
        <w:spacing w:after="120"/>
        <w:jc w:val="both"/>
        <w:rPr>
          <w:rFonts w:ascii="Arial" w:hAnsi="Arial" w:cs="Arial"/>
          <w:sz w:val="20"/>
          <w:szCs w:val="20"/>
          <w:lang w:val="bg-BG"/>
        </w:rPr>
      </w:pPr>
      <w:r>
        <w:rPr>
          <w:rFonts w:ascii="Arial" w:hAnsi="Arial" w:cs="Arial"/>
          <w:sz w:val="20"/>
          <w:szCs w:val="20"/>
          <w:lang w:val="bg-BG"/>
        </w:rPr>
        <w:t>Настоящата</w:t>
      </w:r>
      <w:r w:rsidR="005613EC">
        <w:rPr>
          <w:rFonts w:ascii="Arial" w:hAnsi="Arial" w:cs="Arial"/>
          <w:sz w:val="20"/>
          <w:szCs w:val="20"/>
          <w:lang w:val="bg-BG"/>
        </w:rPr>
        <w:t xml:space="preserve"> ИС предлага </w:t>
      </w:r>
      <w:r w:rsidR="005613EC" w:rsidRPr="008B5547">
        <w:rPr>
          <w:rFonts w:ascii="Arial" w:hAnsi="Arial" w:cs="Arial"/>
          <w:sz w:val="20"/>
          <w:szCs w:val="20"/>
          <w:lang w:val="bg-BG"/>
        </w:rPr>
        <w:t>комбинация между предвидените финансови продукти и безвъзмездна финансова помощ към крайните получатели</w:t>
      </w:r>
      <w:r w:rsidR="009615FF" w:rsidRPr="008B5547">
        <w:rPr>
          <w:rFonts w:ascii="Arial" w:hAnsi="Arial" w:cs="Arial"/>
          <w:sz w:val="20"/>
          <w:szCs w:val="20"/>
          <w:lang w:val="bg-BG"/>
        </w:rPr>
        <w:t>, както следва:</w:t>
      </w:r>
      <w:r w:rsidR="005613EC" w:rsidRPr="008B5547">
        <w:rPr>
          <w:rFonts w:ascii="Arial" w:hAnsi="Arial" w:cs="Arial"/>
          <w:sz w:val="20"/>
          <w:szCs w:val="20"/>
          <w:lang w:val="bg-BG"/>
        </w:rPr>
        <w:t xml:space="preserve"> </w:t>
      </w:r>
    </w:p>
    <w:p w14:paraId="3EF3071C" w14:textId="77777777" w:rsidR="008B6C26" w:rsidRPr="008B5547" w:rsidRDefault="008B6C26" w:rsidP="008B5547">
      <w:pPr>
        <w:pStyle w:val="ListParagraph"/>
        <w:numPr>
          <w:ilvl w:val="1"/>
          <w:numId w:val="82"/>
        </w:numPr>
        <w:rPr>
          <w:b/>
          <w:lang w:val="bg-BG"/>
        </w:rPr>
      </w:pPr>
      <w:r w:rsidRPr="008B5547">
        <w:rPr>
          <w:b/>
          <w:lang w:val="bg-BG"/>
        </w:rPr>
        <w:t>Комбинация между ФИ и безвъзмездна финансова помощ</w:t>
      </w:r>
      <w:r w:rsidR="00B07940" w:rsidRPr="008B5547">
        <w:rPr>
          <w:b/>
          <w:lang w:val="bg-BG"/>
        </w:rPr>
        <w:t xml:space="preserve"> за финансиране на инвестиционен</w:t>
      </w:r>
      <w:r w:rsidR="00EB7B9D" w:rsidRPr="008B5547">
        <w:rPr>
          <w:b/>
          <w:lang w:val="bg-BG"/>
        </w:rPr>
        <w:t xml:space="preserve"> проект</w:t>
      </w:r>
      <w:r w:rsidR="00B07940" w:rsidRPr="008B5547">
        <w:rPr>
          <w:b/>
          <w:lang w:val="bg-BG"/>
        </w:rPr>
        <w:t>,</w:t>
      </w:r>
      <w:r w:rsidRPr="008B5547">
        <w:rPr>
          <w:b/>
          <w:lang w:val="bg-BG"/>
        </w:rPr>
        <w:t xml:space="preserve"> като отделни операции</w:t>
      </w:r>
    </w:p>
    <w:p w14:paraId="0C6493B8" w14:textId="77777777" w:rsidR="00B07940" w:rsidRPr="00085DB8" w:rsidRDefault="00B07940" w:rsidP="00B07940">
      <w:pPr>
        <w:spacing w:after="120"/>
        <w:jc w:val="both"/>
        <w:rPr>
          <w:rFonts w:ascii="Arial" w:hAnsi="Arial" w:cs="Arial"/>
          <w:sz w:val="20"/>
          <w:szCs w:val="20"/>
          <w:lang w:val="bg-BG"/>
        </w:rPr>
      </w:pPr>
      <w:r>
        <w:rPr>
          <w:rFonts w:ascii="Arial" w:hAnsi="Arial" w:cs="Arial"/>
          <w:sz w:val="20"/>
          <w:szCs w:val="20"/>
          <w:lang w:val="bg-BG"/>
        </w:rPr>
        <w:t xml:space="preserve">Съгласно чл. 37(8)(9) на </w:t>
      </w:r>
      <w:r w:rsidRPr="00B56ECA">
        <w:rPr>
          <w:rFonts w:ascii="Arial" w:hAnsi="Arial" w:cs="Arial"/>
          <w:sz w:val="20"/>
          <w:szCs w:val="20"/>
          <w:lang w:val="bg-BG"/>
        </w:rPr>
        <w:t>Регламент (ЕС) №1303/2013</w:t>
      </w:r>
      <w:r w:rsidR="00F45A08">
        <w:rPr>
          <w:rFonts w:ascii="Arial" w:hAnsi="Arial" w:cs="Arial"/>
          <w:sz w:val="20"/>
          <w:szCs w:val="20"/>
          <w:lang w:val="bg-BG"/>
        </w:rPr>
        <w:t>,</w:t>
      </w:r>
      <w:r>
        <w:rPr>
          <w:rFonts w:ascii="Arial" w:hAnsi="Arial" w:cs="Arial"/>
          <w:sz w:val="20"/>
          <w:szCs w:val="20"/>
          <w:lang w:val="bg-BG"/>
        </w:rPr>
        <w:t xml:space="preserve"> ФИ и безвъзмездна финансова помощ могат да бъдат комбинирани като отделни операции, за да финансират инвестиционен проект на един и същ краен получател. Когато ФИ и безвъзмездната финансова помощ се комбинират с цел финансиране на една и съща инвестиция, е важно да се осигури, че двата потока </w:t>
      </w:r>
      <w:r w:rsidR="00EB7B9D">
        <w:rPr>
          <w:rFonts w:ascii="Arial" w:hAnsi="Arial" w:cs="Arial"/>
          <w:sz w:val="20"/>
          <w:szCs w:val="20"/>
          <w:lang w:val="bg-BG"/>
        </w:rPr>
        <w:t>от</w:t>
      </w:r>
      <w:r>
        <w:rPr>
          <w:rFonts w:ascii="Arial" w:hAnsi="Arial" w:cs="Arial"/>
          <w:sz w:val="20"/>
          <w:szCs w:val="20"/>
          <w:lang w:val="bg-BG"/>
        </w:rPr>
        <w:t xml:space="preserve"> средства представляват две отделни операции с различни допустими разходи. Следва също така да се осигури, че приложимото законодателство за държавни помощи е взето предвид и че съответните правила са спазени. Безвъзмездната финансова помощ не трябва да бъде използвана за погасяване на задължения по ФИ, както и ФИ не трябва да се използва</w:t>
      </w:r>
      <w:r w:rsidR="009615FF">
        <w:rPr>
          <w:rFonts w:ascii="Arial" w:hAnsi="Arial" w:cs="Arial"/>
          <w:sz w:val="20"/>
          <w:szCs w:val="20"/>
          <w:lang w:val="bg-BG"/>
        </w:rPr>
        <w:t>т</w:t>
      </w:r>
      <w:r>
        <w:rPr>
          <w:rFonts w:ascii="Arial" w:hAnsi="Arial" w:cs="Arial"/>
          <w:sz w:val="20"/>
          <w:szCs w:val="20"/>
          <w:lang w:val="bg-BG"/>
        </w:rPr>
        <w:t xml:space="preserve"> за предварително финансиране на инвестиция, за която </w:t>
      </w:r>
      <w:r w:rsidR="00EB7B9D">
        <w:rPr>
          <w:rFonts w:ascii="Arial" w:hAnsi="Arial" w:cs="Arial"/>
          <w:sz w:val="20"/>
          <w:szCs w:val="20"/>
          <w:lang w:val="bg-BG"/>
        </w:rPr>
        <w:t xml:space="preserve">впоследствие </w:t>
      </w:r>
      <w:r>
        <w:rPr>
          <w:rFonts w:ascii="Arial" w:hAnsi="Arial" w:cs="Arial"/>
          <w:sz w:val="20"/>
          <w:szCs w:val="20"/>
          <w:lang w:val="bg-BG"/>
        </w:rPr>
        <w:t>ще бъде получе</w:t>
      </w:r>
      <w:r w:rsidR="00EB7B9D">
        <w:rPr>
          <w:rFonts w:ascii="Arial" w:hAnsi="Arial" w:cs="Arial"/>
          <w:sz w:val="20"/>
          <w:szCs w:val="20"/>
          <w:lang w:val="bg-BG"/>
        </w:rPr>
        <w:t>на безвъзмездна финансова помощ</w:t>
      </w:r>
      <w:r>
        <w:rPr>
          <w:rFonts w:ascii="Arial" w:hAnsi="Arial" w:cs="Arial"/>
          <w:sz w:val="20"/>
          <w:szCs w:val="20"/>
          <w:lang w:val="bg-BG"/>
        </w:rPr>
        <w:t>.</w:t>
      </w:r>
    </w:p>
    <w:p w14:paraId="0983A575" w14:textId="77777777" w:rsidR="00694F10" w:rsidRDefault="00B07940" w:rsidP="003D5B03">
      <w:pPr>
        <w:spacing w:after="120"/>
        <w:jc w:val="both"/>
        <w:rPr>
          <w:rFonts w:ascii="Arial" w:hAnsi="Arial" w:cs="Arial"/>
          <w:sz w:val="20"/>
          <w:szCs w:val="20"/>
          <w:lang w:val="bg-BG"/>
        </w:rPr>
      </w:pPr>
      <w:r>
        <w:rPr>
          <w:rFonts w:ascii="Arial" w:hAnsi="Arial" w:cs="Arial"/>
          <w:sz w:val="20"/>
          <w:szCs w:val="20"/>
          <w:lang w:val="bg-BG"/>
        </w:rPr>
        <w:t xml:space="preserve">Безвъзмездната финансова помощ ще осигури </w:t>
      </w:r>
      <w:r w:rsidR="00DF393E">
        <w:rPr>
          <w:rFonts w:ascii="Arial" w:hAnsi="Arial" w:cs="Arial"/>
          <w:sz w:val="20"/>
          <w:szCs w:val="20"/>
          <w:lang w:val="bg-BG"/>
        </w:rPr>
        <w:t>жизнеспособност</w:t>
      </w:r>
      <w:r>
        <w:rPr>
          <w:rFonts w:ascii="Arial" w:hAnsi="Arial" w:cs="Arial"/>
          <w:sz w:val="20"/>
          <w:szCs w:val="20"/>
          <w:lang w:val="bg-BG"/>
        </w:rPr>
        <w:t xml:space="preserve"> на проекти</w:t>
      </w:r>
      <w:r w:rsidR="00694F10">
        <w:rPr>
          <w:rFonts w:ascii="Arial" w:hAnsi="Arial" w:cs="Arial"/>
          <w:sz w:val="20"/>
          <w:szCs w:val="20"/>
          <w:lang w:val="bg-BG"/>
        </w:rPr>
        <w:t xml:space="preserve">те, където ще бъде приложена </w:t>
      </w:r>
      <w:r w:rsidR="002365E6">
        <w:rPr>
          <w:rFonts w:ascii="Arial" w:hAnsi="Arial" w:cs="Arial"/>
          <w:sz w:val="20"/>
          <w:szCs w:val="20"/>
          <w:lang w:val="bg-BG"/>
        </w:rPr>
        <w:t>горепосочената</w:t>
      </w:r>
      <w:r w:rsidR="00694F10">
        <w:rPr>
          <w:rFonts w:ascii="Arial" w:hAnsi="Arial" w:cs="Arial"/>
          <w:sz w:val="20"/>
          <w:szCs w:val="20"/>
          <w:lang w:val="bg-BG"/>
        </w:rPr>
        <w:t xml:space="preserve"> комбинация между ФИ и безвъзмездна финансова помощ. Безвъзмездната финансова помощ ще има за цел </w:t>
      </w:r>
      <w:r w:rsidR="00063930">
        <w:rPr>
          <w:rFonts w:ascii="Arial" w:hAnsi="Arial" w:cs="Arial"/>
          <w:sz w:val="20"/>
          <w:szCs w:val="20"/>
          <w:lang w:val="bg-BG"/>
        </w:rPr>
        <w:t xml:space="preserve">да </w:t>
      </w:r>
      <w:r w:rsidR="00F168C1">
        <w:rPr>
          <w:rFonts w:ascii="Arial" w:hAnsi="Arial" w:cs="Arial"/>
          <w:sz w:val="20"/>
          <w:szCs w:val="20"/>
          <w:lang w:val="bg-BG"/>
        </w:rPr>
        <w:t xml:space="preserve">финансира </w:t>
      </w:r>
      <w:r w:rsidR="00694F10">
        <w:rPr>
          <w:rFonts w:ascii="Arial" w:hAnsi="Arial" w:cs="Arial"/>
          <w:sz w:val="20"/>
          <w:szCs w:val="20"/>
          <w:lang w:val="bg-BG"/>
        </w:rPr>
        <w:t xml:space="preserve"> </w:t>
      </w:r>
      <w:r w:rsidR="000B0FCA">
        <w:rPr>
          <w:rFonts w:ascii="Arial" w:hAnsi="Arial" w:cs="Arial"/>
          <w:sz w:val="20"/>
          <w:szCs w:val="20"/>
          <w:lang w:val="bg-BG"/>
        </w:rPr>
        <w:t>установения финансов дефицит по проекта, с което</w:t>
      </w:r>
      <w:r w:rsidR="00694F10">
        <w:rPr>
          <w:rFonts w:ascii="Arial" w:hAnsi="Arial" w:cs="Arial"/>
          <w:sz w:val="20"/>
          <w:szCs w:val="20"/>
          <w:lang w:val="bg-BG"/>
        </w:rPr>
        <w:t xml:space="preserve"> ще се постигне нетна</w:t>
      </w:r>
      <w:r>
        <w:rPr>
          <w:rFonts w:ascii="Arial" w:hAnsi="Arial" w:cs="Arial"/>
          <w:sz w:val="20"/>
          <w:szCs w:val="20"/>
          <w:lang w:val="bg-BG"/>
        </w:rPr>
        <w:t xml:space="preserve"> </w:t>
      </w:r>
      <w:r w:rsidR="00694F10">
        <w:rPr>
          <w:rFonts w:ascii="Arial" w:hAnsi="Arial" w:cs="Arial"/>
          <w:sz w:val="20"/>
          <w:szCs w:val="20"/>
          <w:lang w:val="bg-BG"/>
        </w:rPr>
        <w:t xml:space="preserve">настояща </w:t>
      </w:r>
      <w:r>
        <w:rPr>
          <w:rFonts w:ascii="Arial" w:hAnsi="Arial" w:cs="Arial"/>
          <w:sz w:val="20"/>
          <w:szCs w:val="20"/>
          <w:lang w:val="bg-BG"/>
        </w:rPr>
        <w:t xml:space="preserve">стойност на проекта равна на нула или </w:t>
      </w:r>
      <w:r w:rsidR="00694F10">
        <w:rPr>
          <w:rFonts w:ascii="Arial" w:hAnsi="Arial" w:cs="Arial"/>
          <w:sz w:val="20"/>
          <w:szCs w:val="20"/>
          <w:lang w:val="bg-BG"/>
        </w:rPr>
        <w:t>малко по-висока от нулата</w:t>
      </w:r>
      <w:r>
        <w:rPr>
          <w:rFonts w:ascii="Arial" w:hAnsi="Arial" w:cs="Arial"/>
          <w:sz w:val="20"/>
          <w:szCs w:val="20"/>
          <w:lang w:val="bg-BG"/>
        </w:rPr>
        <w:t xml:space="preserve">. </w:t>
      </w:r>
      <w:r w:rsidRPr="00647343">
        <w:rPr>
          <w:rFonts w:ascii="Arial" w:hAnsi="Arial" w:cs="Arial"/>
          <w:sz w:val="20"/>
          <w:szCs w:val="20"/>
          <w:lang w:val="bg-BG"/>
        </w:rPr>
        <w:t xml:space="preserve">Въпреки това ще бъде необходимо да се </w:t>
      </w:r>
      <w:r w:rsidR="00694F10" w:rsidRPr="00694F10">
        <w:rPr>
          <w:rFonts w:ascii="Arial" w:hAnsi="Arial" w:cs="Arial"/>
          <w:sz w:val="20"/>
          <w:szCs w:val="20"/>
          <w:lang w:val="bg-BG"/>
        </w:rPr>
        <w:t>осигури</w:t>
      </w:r>
      <w:r w:rsidRPr="00694F10">
        <w:rPr>
          <w:rFonts w:ascii="Arial" w:hAnsi="Arial" w:cs="Arial"/>
          <w:sz w:val="20"/>
          <w:szCs w:val="20"/>
          <w:lang w:val="bg-BG"/>
        </w:rPr>
        <w:t xml:space="preserve">, че </w:t>
      </w:r>
      <w:r w:rsidR="00694F10" w:rsidRPr="00694F10">
        <w:rPr>
          <w:rFonts w:ascii="Arial" w:hAnsi="Arial" w:cs="Arial"/>
          <w:sz w:val="20"/>
          <w:szCs w:val="20"/>
          <w:lang w:val="bg-BG"/>
        </w:rPr>
        <w:t>спонсорът на проекта поема</w:t>
      </w:r>
      <w:r w:rsidRPr="00694F10">
        <w:rPr>
          <w:rFonts w:ascii="Arial" w:hAnsi="Arial" w:cs="Arial"/>
          <w:sz w:val="20"/>
          <w:szCs w:val="20"/>
          <w:lang w:val="bg-BG"/>
        </w:rPr>
        <w:t xml:space="preserve"> риск </w:t>
      </w:r>
      <w:r w:rsidR="00694F10" w:rsidRPr="00694F10">
        <w:rPr>
          <w:rFonts w:ascii="Arial" w:hAnsi="Arial" w:cs="Arial"/>
          <w:sz w:val="20"/>
          <w:szCs w:val="20"/>
          <w:lang w:val="bg-BG"/>
        </w:rPr>
        <w:t>във връзка</w:t>
      </w:r>
      <w:r w:rsidR="00694F10">
        <w:rPr>
          <w:rFonts w:ascii="Arial" w:hAnsi="Arial" w:cs="Arial"/>
          <w:sz w:val="20"/>
          <w:szCs w:val="20"/>
          <w:lang w:val="bg-BG"/>
        </w:rPr>
        <w:t xml:space="preserve"> с инвестицията, за</w:t>
      </w:r>
      <w:r w:rsidRPr="00647343">
        <w:rPr>
          <w:rFonts w:ascii="Arial" w:hAnsi="Arial" w:cs="Arial"/>
          <w:sz w:val="20"/>
          <w:szCs w:val="20"/>
          <w:lang w:val="bg-BG"/>
        </w:rPr>
        <w:t xml:space="preserve"> да </w:t>
      </w:r>
      <w:r w:rsidR="00694F10">
        <w:rPr>
          <w:rFonts w:ascii="Arial" w:hAnsi="Arial" w:cs="Arial"/>
          <w:sz w:val="20"/>
          <w:szCs w:val="20"/>
          <w:lang w:val="bg-BG"/>
        </w:rPr>
        <w:t>се постигне съответствие на интересите между крайния получател и инвеститорите, предоставящи финансиране (вкл. ФМФИБ и УО</w:t>
      </w:r>
      <w:r w:rsidR="00AF73C8">
        <w:rPr>
          <w:rFonts w:ascii="Arial" w:hAnsi="Arial" w:cs="Arial"/>
          <w:sz w:val="20"/>
          <w:szCs w:val="20"/>
          <w:lang w:val="bg-BG"/>
        </w:rPr>
        <w:t xml:space="preserve"> на ОПОС</w:t>
      </w:r>
      <w:r w:rsidR="00694F10">
        <w:rPr>
          <w:rFonts w:ascii="Arial" w:hAnsi="Arial" w:cs="Arial"/>
          <w:sz w:val="20"/>
          <w:szCs w:val="20"/>
          <w:lang w:val="bg-BG"/>
        </w:rPr>
        <w:t>, предоставящ безвъзмездната финансова помощ)</w:t>
      </w:r>
      <w:r w:rsidRPr="00647343">
        <w:rPr>
          <w:rFonts w:ascii="Arial" w:hAnsi="Arial" w:cs="Arial"/>
          <w:sz w:val="20"/>
          <w:szCs w:val="20"/>
          <w:lang w:val="bg-BG"/>
        </w:rPr>
        <w:t>.</w:t>
      </w:r>
      <w:r>
        <w:rPr>
          <w:rFonts w:ascii="Arial" w:hAnsi="Arial" w:cs="Arial"/>
          <w:sz w:val="20"/>
          <w:szCs w:val="20"/>
          <w:lang w:val="bg-BG"/>
        </w:rPr>
        <w:t xml:space="preserve"> </w:t>
      </w:r>
      <w:r w:rsidR="002365E6">
        <w:rPr>
          <w:rFonts w:ascii="Arial" w:hAnsi="Arial" w:cs="Arial"/>
          <w:sz w:val="20"/>
          <w:szCs w:val="20"/>
          <w:lang w:val="bg-BG"/>
        </w:rPr>
        <w:t xml:space="preserve">Безвъзмездната финансова помощ може да бъде използвана само за финансиране на капиталови разходи, свързани с проекта, за който е получено финансирането. </w:t>
      </w:r>
    </w:p>
    <w:p w14:paraId="1A6F220B" w14:textId="77777777" w:rsidR="002365E6" w:rsidRPr="004319A9" w:rsidRDefault="002365E6" w:rsidP="004319A9">
      <w:pPr>
        <w:spacing w:after="120"/>
        <w:jc w:val="both"/>
        <w:rPr>
          <w:rFonts w:ascii="Arial" w:hAnsi="Arial" w:cs="Arial"/>
          <w:sz w:val="20"/>
          <w:szCs w:val="20"/>
          <w:lang w:val="bg-BG"/>
        </w:rPr>
      </w:pPr>
      <w:r w:rsidRPr="004319A9">
        <w:rPr>
          <w:rFonts w:ascii="Arial" w:hAnsi="Arial" w:cs="Arial"/>
          <w:sz w:val="20"/>
          <w:szCs w:val="20"/>
          <w:lang w:val="bg-BG"/>
        </w:rPr>
        <w:t xml:space="preserve">Финансовите продукти в настоящата ИС са структурирани с ключовото допускане, че </w:t>
      </w:r>
      <w:r w:rsidR="00AF73C8">
        <w:rPr>
          <w:rFonts w:ascii="Arial" w:hAnsi="Arial" w:cs="Arial"/>
          <w:sz w:val="20"/>
          <w:szCs w:val="20"/>
          <w:lang w:val="bg-BG"/>
        </w:rPr>
        <w:t xml:space="preserve">основната част от </w:t>
      </w:r>
      <w:r w:rsidRPr="004319A9">
        <w:rPr>
          <w:rFonts w:ascii="Arial" w:hAnsi="Arial" w:cs="Arial"/>
          <w:sz w:val="20"/>
          <w:szCs w:val="20"/>
          <w:lang w:val="bg-BG"/>
        </w:rPr>
        <w:t xml:space="preserve">заемите ще бъдат предоставяни на ВиКО за финансиране на проекти, идентифицирани в РПИП. </w:t>
      </w:r>
      <w:r w:rsidR="00AF73C8">
        <w:rPr>
          <w:rFonts w:ascii="Arial" w:hAnsi="Arial" w:cs="Arial"/>
          <w:sz w:val="20"/>
          <w:szCs w:val="20"/>
          <w:lang w:val="bg-BG"/>
        </w:rPr>
        <w:t>Н</w:t>
      </w:r>
      <w:r w:rsidR="00C70661" w:rsidRPr="004319A9">
        <w:rPr>
          <w:rFonts w:ascii="Arial" w:hAnsi="Arial" w:cs="Arial"/>
          <w:sz w:val="20"/>
          <w:szCs w:val="20"/>
          <w:lang w:val="bg-BG"/>
        </w:rPr>
        <w:t xml:space="preserve">а базата на завършените РПИП, </w:t>
      </w:r>
      <w:r w:rsidRPr="004319A9">
        <w:rPr>
          <w:rFonts w:ascii="Arial" w:hAnsi="Arial" w:cs="Arial"/>
          <w:sz w:val="20"/>
          <w:szCs w:val="20"/>
          <w:lang w:val="bg-BG"/>
        </w:rPr>
        <w:t xml:space="preserve">УО </w:t>
      </w:r>
      <w:r w:rsidR="00AF73C8">
        <w:rPr>
          <w:rFonts w:ascii="Arial" w:hAnsi="Arial" w:cs="Arial"/>
          <w:sz w:val="20"/>
          <w:szCs w:val="20"/>
          <w:lang w:val="bg-BG"/>
        </w:rPr>
        <w:t xml:space="preserve">следва </w:t>
      </w:r>
      <w:r w:rsidRPr="004319A9">
        <w:rPr>
          <w:rFonts w:ascii="Arial" w:hAnsi="Arial" w:cs="Arial"/>
          <w:sz w:val="20"/>
          <w:szCs w:val="20"/>
          <w:lang w:val="bg-BG"/>
        </w:rPr>
        <w:t xml:space="preserve">да вземе решение </w:t>
      </w:r>
      <w:r w:rsidR="00C70661" w:rsidRPr="004319A9">
        <w:rPr>
          <w:rFonts w:ascii="Arial" w:hAnsi="Arial" w:cs="Arial"/>
          <w:sz w:val="20"/>
          <w:szCs w:val="20"/>
          <w:lang w:val="bg-BG"/>
        </w:rPr>
        <w:t>за предоставяне на безвъзмездна</w:t>
      </w:r>
      <w:r w:rsidRPr="004319A9">
        <w:rPr>
          <w:rFonts w:ascii="Arial" w:hAnsi="Arial" w:cs="Arial"/>
          <w:sz w:val="20"/>
          <w:szCs w:val="20"/>
          <w:lang w:val="bg-BG"/>
        </w:rPr>
        <w:t xml:space="preserve"> финанс</w:t>
      </w:r>
      <w:r w:rsidR="00C70661" w:rsidRPr="004319A9">
        <w:rPr>
          <w:rFonts w:ascii="Arial" w:hAnsi="Arial" w:cs="Arial"/>
          <w:sz w:val="20"/>
          <w:szCs w:val="20"/>
          <w:lang w:val="bg-BG"/>
        </w:rPr>
        <w:t>ова помощ</w:t>
      </w:r>
      <w:r w:rsidR="00F45A08">
        <w:rPr>
          <w:rFonts w:ascii="Arial" w:hAnsi="Arial" w:cs="Arial"/>
          <w:sz w:val="20"/>
          <w:szCs w:val="20"/>
          <w:lang w:val="bg-BG"/>
        </w:rPr>
        <w:t xml:space="preserve">. </w:t>
      </w:r>
      <w:r w:rsidRPr="004319A9">
        <w:rPr>
          <w:rFonts w:ascii="Arial" w:hAnsi="Arial" w:cs="Arial"/>
          <w:sz w:val="20"/>
          <w:szCs w:val="20"/>
          <w:lang w:val="bg-BG"/>
        </w:rPr>
        <w:t>Важно е</w:t>
      </w:r>
      <w:r w:rsidR="00F93676" w:rsidRPr="004319A9">
        <w:rPr>
          <w:rFonts w:ascii="Arial" w:hAnsi="Arial" w:cs="Arial"/>
          <w:sz w:val="20"/>
          <w:szCs w:val="20"/>
          <w:lang w:val="bg-BG"/>
        </w:rPr>
        <w:t xml:space="preserve"> </w:t>
      </w:r>
      <w:r w:rsidR="00AF73C8">
        <w:rPr>
          <w:rFonts w:ascii="Arial" w:hAnsi="Arial" w:cs="Arial"/>
          <w:sz w:val="20"/>
          <w:szCs w:val="20"/>
          <w:lang w:val="bg-BG"/>
        </w:rPr>
        <w:t xml:space="preserve">УО на ОПОС и ФМФИБ </w:t>
      </w:r>
      <w:r w:rsidR="00F93676" w:rsidRPr="004319A9">
        <w:rPr>
          <w:rFonts w:ascii="Arial" w:hAnsi="Arial" w:cs="Arial"/>
          <w:sz w:val="20"/>
          <w:szCs w:val="20"/>
          <w:lang w:val="bg-BG"/>
        </w:rPr>
        <w:t xml:space="preserve">да </w:t>
      </w:r>
      <w:r w:rsidR="00AF73C8" w:rsidRPr="004319A9">
        <w:rPr>
          <w:rFonts w:ascii="Arial" w:hAnsi="Arial" w:cs="Arial"/>
          <w:sz w:val="20"/>
          <w:szCs w:val="20"/>
          <w:lang w:val="bg-BG"/>
        </w:rPr>
        <w:t>избер</w:t>
      </w:r>
      <w:r w:rsidR="00AF73C8">
        <w:rPr>
          <w:rFonts w:ascii="Arial" w:hAnsi="Arial" w:cs="Arial"/>
          <w:sz w:val="20"/>
          <w:szCs w:val="20"/>
          <w:lang w:val="bg-BG"/>
        </w:rPr>
        <w:t>ат</w:t>
      </w:r>
      <w:r w:rsidR="00AF73C8" w:rsidRPr="004319A9">
        <w:rPr>
          <w:rFonts w:ascii="Arial" w:hAnsi="Arial" w:cs="Arial"/>
          <w:sz w:val="20"/>
          <w:szCs w:val="20"/>
          <w:lang w:val="bg-BG"/>
        </w:rPr>
        <w:t xml:space="preserve"> </w:t>
      </w:r>
      <w:r w:rsidR="00F93676" w:rsidRPr="004319A9">
        <w:rPr>
          <w:rFonts w:ascii="Arial" w:hAnsi="Arial" w:cs="Arial"/>
          <w:sz w:val="20"/>
          <w:szCs w:val="20"/>
          <w:lang w:val="bg-BG"/>
        </w:rPr>
        <w:t>най-подходящия механизъм за прилагане</w:t>
      </w:r>
      <w:r w:rsidRPr="004319A9">
        <w:rPr>
          <w:rFonts w:ascii="Arial" w:hAnsi="Arial" w:cs="Arial"/>
          <w:sz w:val="20"/>
          <w:szCs w:val="20"/>
          <w:lang w:val="bg-BG"/>
        </w:rPr>
        <w:t xml:space="preserve"> </w:t>
      </w:r>
      <w:r w:rsidR="00F93676" w:rsidRPr="004319A9">
        <w:rPr>
          <w:rFonts w:ascii="Arial" w:hAnsi="Arial" w:cs="Arial"/>
          <w:sz w:val="20"/>
          <w:szCs w:val="20"/>
          <w:lang w:val="bg-BG"/>
        </w:rPr>
        <w:t>на</w:t>
      </w:r>
      <w:r w:rsidR="006C703D" w:rsidRPr="004319A9">
        <w:rPr>
          <w:rFonts w:ascii="Arial" w:hAnsi="Arial" w:cs="Arial"/>
          <w:sz w:val="20"/>
          <w:szCs w:val="20"/>
          <w:lang w:val="bg-BG"/>
        </w:rPr>
        <w:t xml:space="preserve"> комбин</w:t>
      </w:r>
      <w:r w:rsidR="00F93676" w:rsidRPr="004319A9">
        <w:rPr>
          <w:rFonts w:ascii="Arial" w:hAnsi="Arial" w:cs="Arial"/>
          <w:sz w:val="20"/>
          <w:szCs w:val="20"/>
          <w:lang w:val="bg-BG"/>
        </w:rPr>
        <w:t>ацията между</w:t>
      </w:r>
      <w:r w:rsidRPr="004319A9">
        <w:rPr>
          <w:rFonts w:ascii="Arial" w:hAnsi="Arial" w:cs="Arial"/>
          <w:sz w:val="20"/>
          <w:szCs w:val="20"/>
          <w:lang w:val="bg-BG"/>
        </w:rPr>
        <w:t xml:space="preserve"> ФИ</w:t>
      </w:r>
      <w:r w:rsidR="00F93676" w:rsidRPr="004319A9">
        <w:rPr>
          <w:rFonts w:ascii="Arial" w:hAnsi="Arial" w:cs="Arial"/>
          <w:sz w:val="20"/>
          <w:szCs w:val="20"/>
          <w:lang w:val="bg-BG"/>
        </w:rPr>
        <w:t xml:space="preserve"> и</w:t>
      </w:r>
      <w:r w:rsidRPr="004319A9">
        <w:rPr>
          <w:rFonts w:ascii="Arial" w:hAnsi="Arial" w:cs="Arial"/>
          <w:sz w:val="20"/>
          <w:szCs w:val="20"/>
          <w:lang w:val="bg-BG"/>
        </w:rPr>
        <w:t xml:space="preserve"> безвъзмездна финансова помощ</w:t>
      </w:r>
      <w:r w:rsidR="00F93676" w:rsidRPr="004319A9">
        <w:rPr>
          <w:rFonts w:ascii="Arial" w:hAnsi="Arial" w:cs="Arial"/>
          <w:sz w:val="20"/>
          <w:szCs w:val="20"/>
          <w:lang w:val="bg-BG"/>
        </w:rPr>
        <w:t xml:space="preserve"> за съответните проекти</w:t>
      </w:r>
      <w:r w:rsidRPr="004319A9">
        <w:rPr>
          <w:rFonts w:ascii="Arial" w:hAnsi="Arial" w:cs="Arial"/>
          <w:sz w:val="20"/>
          <w:szCs w:val="20"/>
          <w:lang w:val="bg-BG"/>
        </w:rPr>
        <w:t xml:space="preserve">. РПИП </w:t>
      </w:r>
      <w:r w:rsidR="00F93676" w:rsidRPr="004319A9">
        <w:rPr>
          <w:rFonts w:ascii="Arial" w:hAnsi="Arial" w:cs="Arial"/>
          <w:sz w:val="20"/>
          <w:szCs w:val="20"/>
          <w:lang w:val="bg-BG"/>
        </w:rPr>
        <w:t>представляват</w:t>
      </w:r>
      <w:r w:rsidRPr="004319A9">
        <w:rPr>
          <w:rFonts w:ascii="Arial" w:hAnsi="Arial" w:cs="Arial"/>
          <w:sz w:val="20"/>
          <w:szCs w:val="20"/>
          <w:lang w:val="bg-BG"/>
        </w:rPr>
        <w:t xml:space="preserve"> </w:t>
      </w:r>
      <w:r w:rsidR="00614CC3">
        <w:rPr>
          <w:rFonts w:ascii="Arial" w:hAnsi="Arial" w:cs="Arial"/>
          <w:sz w:val="20"/>
          <w:szCs w:val="20"/>
          <w:lang w:val="bg-BG"/>
        </w:rPr>
        <w:t>документи, подкрепящи</w:t>
      </w:r>
      <w:r w:rsidR="00614CC3" w:rsidRPr="004319A9">
        <w:rPr>
          <w:rFonts w:ascii="Arial" w:hAnsi="Arial" w:cs="Arial"/>
          <w:sz w:val="20"/>
          <w:szCs w:val="20"/>
          <w:lang w:val="bg-BG"/>
        </w:rPr>
        <w:t xml:space="preserve"> </w:t>
      </w:r>
      <w:r w:rsidR="00EA63C5" w:rsidRPr="004319A9">
        <w:rPr>
          <w:rFonts w:ascii="Arial" w:hAnsi="Arial" w:cs="Arial"/>
          <w:sz w:val="20"/>
          <w:szCs w:val="20"/>
          <w:lang w:val="bg-BG"/>
        </w:rPr>
        <w:t>формуляр</w:t>
      </w:r>
      <w:r w:rsidR="00EA63C5">
        <w:rPr>
          <w:rFonts w:ascii="Arial" w:hAnsi="Arial" w:cs="Arial"/>
          <w:sz w:val="20"/>
          <w:szCs w:val="20"/>
          <w:lang w:val="bg-BG"/>
        </w:rPr>
        <w:t>а</w:t>
      </w:r>
      <w:r w:rsidR="00EA63C5" w:rsidRPr="004319A9">
        <w:rPr>
          <w:rFonts w:ascii="Arial" w:hAnsi="Arial" w:cs="Arial"/>
          <w:sz w:val="20"/>
          <w:szCs w:val="20"/>
          <w:lang w:val="bg-BG"/>
        </w:rPr>
        <w:t xml:space="preserve"> </w:t>
      </w:r>
      <w:r w:rsidR="00F93676" w:rsidRPr="004319A9">
        <w:rPr>
          <w:rFonts w:ascii="Arial" w:hAnsi="Arial" w:cs="Arial"/>
          <w:sz w:val="20"/>
          <w:szCs w:val="20"/>
          <w:lang w:val="bg-BG"/>
        </w:rPr>
        <w:t xml:space="preserve">за кандидатстване за финансиране, </w:t>
      </w:r>
      <w:r w:rsidR="00EA63C5">
        <w:rPr>
          <w:rFonts w:ascii="Arial" w:hAnsi="Arial" w:cs="Arial"/>
          <w:sz w:val="20"/>
          <w:szCs w:val="20"/>
          <w:lang w:val="bg-BG"/>
        </w:rPr>
        <w:t>подлежащ на</w:t>
      </w:r>
      <w:r w:rsidR="00F93676" w:rsidRPr="004319A9">
        <w:rPr>
          <w:rFonts w:ascii="Arial" w:hAnsi="Arial" w:cs="Arial"/>
          <w:sz w:val="20"/>
          <w:szCs w:val="20"/>
          <w:lang w:val="bg-BG"/>
        </w:rPr>
        <w:t xml:space="preserve"> подаване към УО от всеки един</w:t>
      </w:r>
      <w:r w:rsidRPr="004319A9">
        <w:rPr>
          <w:rFonts w:ascii="Arial" w:hAnsi="Arial" w:cs="Arial"/>
          <w:sz w:val="20"/>
          <w:szCs w:val="20"/>
          <w:lang w:val="bg-BG"/>
        </w:rPr>
        <w:t xml:space="preserve"> </w:t>
      </w:r>
      <w:r w:rsidR="00F93676" w:rsidRPr="004319A9">
        <w:rPr>
          <w:rFonts w:ascii="Arial" w:hAnsi="Arial" w:cs="Arial"/>
          <w:sz w:val="20"/>
          <w:szCs w:val="20"/>
          <w:lang w:val="bg-BG"/>
        </w:rPr>
        <w:t xml:space="preserve">консолидиран </w:t>
      </w:r>
      <w:r w:rsidRPr="004319A9">
        <w:rPr>
          <w:rFonts w:ascii="Arial" w:hAnsi="Arial" w:cs="Arial"/>
          <w:sz w:val="20"/>
          <w:szCs w:val="20"/>
          <w:lang w:val="bg-BG"/>
        </w:rPr>
        <w:t xml:space="preserve">ВиКО. Тъй като безвъзмездната финансова помощ и ФИ ще бъдат </w:t>
      </w:r>
      <w:r w:rsidR="00F93676" w:rsidRPr="004319A9">
        <w:rPr>
          <w:rFonts w:ascii="Arial" w:hAnsi="Arial" w:cs="Arial"/>
          <w:sz w:val="20"/>
          <w:szCs w:val="20"/>
          <w:lang w:val="bg-BG"/>
        </w:rPr>
        <w:t xml:space="preserve">управлявани </w:t>
      </w:r>
      <w:r w:rsidRPr="004319A9">
        <w:rPr>
          <w:rFonts w:ascii="Arial" w:hAnsi="Arial" w:cs="Arial"/>
          <w:sz w:val="20"/>
          <w:szCs w:val="20"/>
          <w:lang w:val="bg-BG"/>
        </w:rPr>
        <w:t xml:space="preserve">от различни институции, </w:t>
      </w:r>
      <w:r w:rsidR="009D1001" w:rsidRPr="004319A9">
        <w:rPr>
          <w:rFonts w:ascii="Arial" w:hAnsi="Arial" w:cs="Arial"/>
          <w:sz w:val="20"/>
          <w:szCs w:val="20"/>
          <w:lang w:val="bg-BG"/>
        </w:rPr>
        <w:t>използването</w:t>
      </w:r>
      <w:r w:rsidRPr="004319A9">
        <w:rPr>
          <w:rFonts w:ascii="Arial" w:hAnsi="Arial" w:cs="Arial"/>
          <w:sz w:val="20"/>
          <w:szCs w:val="20"/>
          <w:lang w:val="bg-BG"/>
        </w:rPr>
        <w:t xml:space="preserve"> на </w:t>
      </w:r>
      <w:r w:rsidR="00F93676" w:rsidRPr="004319A9">
        <w:rPr>
          <w:rFonts w:ascii="Arial" w:hAnsi="Arial" w:cs="Arial"/>
          <w:sz w:val="20"/>
          <w:szCs w:val="20"/>
          <w:lang w:val="bg-BG"/>
        </w:rPr>
        <w:t>единен</w:t>
      </w:r>
      <w:r w:rsidRPr="004319A9">
        <w:rPr>
          <w:rFonts w:ascii="Arial" w:hAnsi="Arial" w:cs="Arial"/>
          <w:sz w:val="20"/>
          <w:szCs w:val="20"/>
          <w:lang w:val="bg-BG"/>
        </w:rPr>
        <w:t xml:space="preserve"> формуляр </w:t>
      </w:r>
      <w:r w:rsidR="00F93676" w:rsidRPr="004319A9">
        <w:rPr>
          <w:rFonts w:ascii="Arial" w:hAnsi="Arial" w:cs="Arial"/>
          <w:sz w:val="20"/>
          <w:szCs w:val="20"/>
          <w:lang w:val="bg-BG"/>
        </w:rPr>
        <w:t>за кандидатстване за двата типа финансиране</w:t>
      </w:r>
      <w:r w:rsidRPr="004319A9">
        <w:rPr>
          <w:rFonts w:ascii="Arial" w:hAnsi="Arial" w:cs="Arial"/>
          <w:sz w:val="20"/>
          <w:szCs w:val="20"/>
          <w:lang w:val="bg-BG"/>
        </w:rPr>
        <w:t xml:space="preserve"> </w:t>
      </w:r>
      <w:r w:rsidR="00F93676" w:rsidRPr="004319A9">
        <w:rPr>
          <w:rFonts w:ascii="Arial" w:hAnsi="Arial" w:cs="Arial"/>
          <w:sz w:val="20"/>
          <w:szCs w:val="20"/>
          <w:lang w:val="bg-BG"/>
        </w:rPr>
        <w:t>може да не се окаже</w:t>
      </w:r>
      <w:r w:rsidRPr="004319A9">
        <w:rPr>
          <w:rFonts w:ascii="Arial" w:hAnsi="Arial" w:cs="Arial"/>
          <w:sz w:val="20"/>
          <w:szCs w:val="20"/>
          <w:lang w:val="bg-BG"/>
        </w:rPr>
        <w:t xml:space="preserve"> най-ефективния</w:t>
      </w:r>
      <w:r w:rsidR="00F93676" w:rsidRPr="004319A9">
        <w:rPr>
          <w:rFonts w:ascii="Arial" w:hAnsi="Arial" w:cs="Arial"/>
          <w:sz w:val="20"/>
          <w:szCs w:val="20"/>
          <w:lang w:val="bg-BG"/>
        </w:rPr>
        <w:t>т</w:t>
      </w:r>
      <w:r w:rsidRPr="004319A9">
        <w:rPr>
          <w:rFonts w:ascii="Arial" w:hAnsi="Arial" w:cs="Arial"/>
          <w:sz w:val="20"/>
          <w:szCs w:val="20"/>
          <w:lang w:val="bg-BG"/>
        </w:rPr>
        <w:t xml:space="preserve"> </w:t>
      </w:r>
      <w:r w:rsidR="00F93676" w:rsidRPr="004319A9">
        <w:rPr>
          <w:rFonts w:ascii="Arial" w:hAnsi="Arial" w:cs="Arial"/>
          <w:sz w:val="20"/>
          <w:szCs w:val="20"/>
          <w:lang w:val="bg-BG"/>
        </w:rPr>
        <w:t>подход за прилагане на предвидената комбинация</w:t>
      </w:r>
      <w:r w:rsidRPr="004319A9">
        <w:rPr>
          <w:rFonts w:ascii="Arial" w:hAnsi="Arial" w:cs="Arial"/>
          <w:sz w:val="20"/>
          <w:szCs w:val="20"/>
          <w:lang w:val="bg-BG"/>
        </w:rPr>
        <w:t>.</w:t>
      </w:r>
    </w:p>
    <w:p w14:paraId="3479BDBD" w14:textId="77777777" w:rsidR="00AD437D" w:rsidRDefault="00F93676" w:rsidP="00CA0914">
      <w:pPr>
        <w:pStyle w:val="Heading3"/>
        <w:numPr>
          <w:ilvl w:val="0"/>
          <w:numId w:val="17"/>
        </w:numPr>
        <w:rPr>
          <w:rFonts w:ascii="Arial" w:hAnsi="Arial" w:cs="Arial"/>
          <w:b/>
          <w:color w:val="4F81BD" w:themeColor="accent1"/>
          <w:sz w:val="20"/>
          <w:szCs w:val="20"/>
          <w:lang w:val="bg-BG"/>
        </w:rPr>
      </w:pPr>
      <w:bookmarkStart w:id="29" w:name="_Toc503798478"/>
      <w:r>
        <w:rPr>
          <w:rFonts w:ascii="Arial" w:hAnsi="Arial" w:cs="Arial"/>
          <w:b/>
          <w:color w:val="4F81BD" w:themeColor="accent1"/>
          <w:sz w:val="20"/>
          <w:szCs w:val="20"/>
          <w:lang w:val="bg-BG"/>
        </w:rPr>
        <w:t xml:space="preserve">Стратегия за </w:t>
      </w:r>
      <w:r w:rsidR="00F116B1">
        <w:rPr>
          <w:rFonts w:ascii="Arial" w:hAnsi="Arial" w:cs="Arial"/>
          <w:b/>
          <w:color w:val="4F81BD" w:themeColor="accent1"/>
          <w:sz w:val="20"/>
          <w:szCs w:val="20"/>
          <w:lang w:val="bg-BG"/>
        </w:rPr>
        <w:t>изход</w:t>
      </w:r>
      <w:bookmarkEnd w:id="29"/>
    </w:p>
    <w:p w14:paraId="3D70C8E9" w14:textId="77777777" w:rsidR="00CA0914" w:rsidRPr="0051416F" w:rsidRDefault="00CA0914" w:rsidP="00CA0914">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 xml:space="preserve">Стратегията за </w:t>
      </w:r>
      <w:r w:rsidR="00AF73C8">
        <w:rPr>
          <w:rFonts w:ascii="Arial" w:hAnsi="Arial" w:cs="Arial"/>
          <w:sz w:val="20"/>
          <w:szCs w:val="20"/>
          <w:lang w:val="bg-BG"/>
        </w:rPr>
        <w:t xml:space="preserve">изход </w:t>
      </w:r>
      <w:r>
        <w:rPr>
          <w:rFonts w:ascii="Arial" w:hAnsi="Arial" w:cs="Arial"/>
          <w:sz w:val="20"/>
          <w:szCs w:val="20"/>
          <w:lang w:val="bg-BG"/>
        </w:rPr>
        <w:t>от предвидените ФИ (вкл. потенциалното им продължение) зависи от няколко основни фактора</w:t>
      </w:r>
      <w:r w:rsidRPr="0051416F">
        <w:rPr>
          <w:rFonts w:ascii="Arial" w:hAnsi="Arial" w:cs="Arial"/>
          <w:sz w:val="20"/>
          <w:szCs w:val="20"/>
          <w:lang w:val="bg-BG"/>
        </w:rPr>
        <w:t>:</w:t>
      </w:r>
    </w:p>
    <w:p w14:paraId="2AD876E6" w14:textId="77777777" w:rsidR="00A81785" w:rsidRPr="00A81785" w:rsidRDefault="00A81785" w:rsidP="00BC7695">
      <w:pPr>
        <w:pStyle w:val="ListParagraph"/>
        <w:numPr>
          <w:ilvl w:val="0"/>
          <w:numId w:val="58"/>
        </w:numPr>
        <w:jc w:val="both"/>
        <w:rPr>
          <w:rFonts w:ascii="Arial" w:hAnsi="Arial" w:cs="Arial"/>
          <w:sz w:val="20"/>
          <w:szCs w:val="20"/>
          <w:lang w:val="bg-BG"/>
        </w:rPr>
      </w:pPr>
      <w:r w:rsidRPr="00A81785">
        <w:rPr>
          <w:rFonts w:ascii="Arial" w:hAnsi="Arial" w:cs="Arial"/>
          <w:sz w:val="20"/>
          <w:szCs w:val="20"/>
          <w:lang w:val="bg-BG"/>
        </w:rPr>
        <w:t>Реалното пред</w:t>
      </w:r>
      <w:r w:rsidR="001D1000">
        <w:rPr>
          <w:rFonts w:ascii="Arial" w:hAnsi="Arial" w:cs="Arial"/>
          <w:sz w:val="20"/>
          <w:szCs w:val="20"/>
          <w:lang w:val="bg-BG"/>
        </w:rPr>
        <w:t>о</w:t>
      </w:r>
      <w:r w:rsidRPr="00A81785">
        <w:rPr>
          <w:rFonts w:ascii="Arial" w:hAnsi="Arial" w:cs="Arial"/>
          <w:sz w:val="20"/>
          <w:szCs w:val="20"/>
          <w:lang w:val="bg-BG"/>
        </w:rPr>
        <w:t>ставяне и въздействие върху крайните получатели от прилагането на ФИ и обратната връзка, получена от участниците на пазара, вкл. търговски банки, крайни получатели, регулаторни органи и обществото;</w:t>
      </w:r>
    </w:p>
    <w:p w14:paraId="4D5630BE" w14:textId="77777777" w:rsidR="00CA0914" w:rsidRPr="0051416F" w:rsidRDefault="00CA0914" w:rsidP="00CA0914">
      <w:pPr>
        <w:pStyle w:val="ListParagraph"/>
        <w:numPr>
          <w:ilvl w:val="0"/>
          <w:numId w:val="58"/>
        </w:numPr>
        <w:spacing w:after="120"/>
        <w:contextualSpacing w:val="0"/>
        <w:jc w:val="both"/>
        <w:rPr>
          <w:rFonts w:ascii="Arial" w:hAnsi="Arial" w:cs="Arial"/>
          <w:sz w:val="20"/>
          <w:szCs w:val="20"/>
          <w:lang w:val="bg-BG"/>
        </w:rPr>
      </w:pPr>
      <w:r>
        <w:rPr>
          <w:rFonts w:ascii="Arial" w:hAnsi="Arial" w:cs="Arial"/>
          <w:sz w:val="20"/>
          <w:szCs w:val="20"/>
          <w:lang w:val="bg-BG"/>
        </w:rPr>
        <w:t xml:space="preserve">Условията на пазара в </w:t>
      </w:r>
      <w:r w:rsidRPr="005C3081">
        <w:rPr>
          <w:rFonts w:ascii="Arial" w:hAnsi="Arial" w:cs="Arial"/>
          <w:sz w:val="20"/>
          <w:szCs w:val="20"/>
          <w:lang w:val="bg-BG"/>
        </w:rPr>
        <w:t>края на периода на допустимост,</w:t>
      </w:r>
      <w:r>
        <w:rPr>
          <w:rFonts w:ascii="Arial" w:hAnsi="Arial" w:cs="Arial"/>
          <w:sz w:val="20"/>
          <w:szCs w:val="20"/>
          <w:lang w:val="bg-BG"/>
        </w:rPr>
        <w:t xml:space="preserve"> вкл. продължаващото съществуване </w:t>
      </w:r>
      <w:r w:rsidRPr="006650AE">
        <w:rPr>
          <w:rFonts w:ascii="Arial" w:hAnsi="Arial" w:cs="Arial"/>
          <w:sz w:val="20"/>
          <w:szCs w:val="20"/>
          <w:lang w:val="bg-BG"/>
        </w:rPr>
        <w:t>на пазарни неуспехи</w:t>
      </w:r>
      <w:r w:rsidR="009D1001">
        <w:rPr>
          <w:rFonts w:ascii="Arial" w:hAnsi="Arial" w:cs="Arial"/>
          <w:sz w:val="20"/>
          <w:szCs w:val="20"/>
          <w:lang w:val="bg-BG"/>
        </w:rPr>
        <w:t xml:space="preserve"> в сектор ВиК</w:t>
      </w:r>
      <w:r>
        <w:rPr>
          <w:rFonts w:ascii="Arial" w:hAnsi="Arial" w:cs="Arial"/>
          <w:sz w:val="20"/>
          <w:szCs w:val="20"/>
          <w:lang w:val="bg-BG"/>
        </w:rPr>
        <w:t>;</w:t>
      </w:r>
    </w:p>
    <w:p w14:paraId="7E98C508" w14:textId="77777777" w:rsidR="00CA0914" w:rsidRPr="00E31E35" w:rsidRDefault="00CA0914" w:rsidP="00E31E35">
      <w:pPr>
        <w:pStyle w:val="ListParagraph"/>
        <w:numPr>
          <w:ilvl w:val="0"/>
          <w:numId w:val="73"/>
        </w:numPr>
        <w:spacing w:after="120"/>
        <w:jc w:val="both"/>
        <w:rPr>
          <w:rFonts w:ascii="Arial" w:hAnsi="Arial" w:cs="Arial"/>
          <w:sz w:val="20"/>
          <w:szCs w:val="20"/>
          <w:lang w:val="bg-BG"/>
        </w:rPr>
      </w:pPr>
      <w:r w:rsidRPr="00E31E35">
        <w:rPr>
          <w:rFonts w:ascii="Arial" w:hAnsi="Arial" w:cs="Arial"/>
          <w:sz w:val="20"/>
          <w:szCs w:val="20"/>
          <w:lang w:val="bg-BG"/>
        </w:rPr>
        <w:t>Оперативните способи и целите на ОП</w:t>
      </w:r>
      <w:r w:rsidR="00F116B1">
        <w:rPr>
          <w:rFonts w:ascii="Arial" w:hAnsi="Arial" w:cs="Arial"/>
          <w:sz w:val="20"/>
          <w:szCs w:val="20"/>
          <w:lang w:val="bg-BG"/>
        </w:rPr>
        <w:t xml:space="preserve">, предвиждаща интервенции в </w:t>
      </w:r>
      <w:r w:rsidR="00D97EBF">
        <w:rPr>
          <w:rFonts w:ascii="Arial" w:hAnsi="Arial" w:cs="Arial"/>
          <w:sz w:val="20"/>
          <w:szCs w:val="20"/>
          <w:lang w:val="bg-BG"/>
        </w:rPr>
        <w:t xml:space="preserve">посочените </w:t>
      </w:r>
      <w:r w:rsidR="00F116B1">
        <w:rPr>
          <w:rFonts w:ascii="Arial" w:hAnsi="Arial" w:cs="Arial"/>
          <w:sz w:val="20"/>
          <w:szCs w:val="20"/>
          <w:lang w:val="bg-BG"/>
        </w:rPr>
        <w:t>сектор</w:t>
      </w:r>
      <w:r w:rsidR="00D97EBF">
        <w:rPr>
          <w:rFonts w:ascii="Arial" w:hAnsi="Arial" w:cs="Arial"/>
          <w:sz w:val="20"/>
          <w:szCs w:val="20"/>
          <w:lang w:val="bg-BG"/>
        </w:rPr>
        <w:t>и</w:t>
      </w:r>
      <w:r w:rsidRPr="00E31E35">
        <w:rPr>
          <w:rFonts w:ascii="Arial" w:hAnsi="Arial" w:cs="Arial"/>
          <w:sz w:val="20"/>
          <w:szCs w:val="20"/>
          <w:lang w:val="bg-BG"/>
        </w:rPr>
        <w:t xml:space="preserve"> през следващия програмен период (2021-2027). </w:t>
      </w:r>
    </w:p>
    <w:p w14:paraId="45CBC635" w14:textId="77777777" w:rsidR="00CA0914" w:rsidRPr="0051416F" w:rsidRDefault="00CA0914" w:rsidP="00CA0914">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В съответствие с гореизложеното, настоящата</w:t>
      </w:r>
      <w:r w:rsidR="00616768">
        <w:rPr>
          <w:rFonts w:ascii="Arial" w:hAnsi="Arial" w:cs="Arial"/>
          <w:sz w:val="20"/>
          <w:szCs w:val="20"/>
          <w:lang w:val="bg-BG"/>
        </w:rPr>
        <w:t xml:space="preserve"> стратегия</w:t>
      </w:r>
      <w:r>
        <w:rPr>
          <w:rFonts w:ascii="Arial" w:hAnsi="Arial" w:cs="Arial"/>
          <w:sz w:val="20"/>
          <w:szCs w:val="20"/>
          <w:lang w:val="bg-BG"/>
        </w:rPr>
        <w:t xml:space="preserve"> предлага два варианта за излизане от ФИ по </w:t>
      </w:r>
      <w:r w:rsidR="00791DA3">
        <w:rPr>
          <w:rFonts w:ascii="Arial" w:hAnsi="Arial" w:cs="Arial"/>
          <w:sz w:val="20"/>
          <w:szCs w:val="20"/>
          <w:lang w:val="bg-BG"/>
        </w:rPr>
        <w:t xml:space="preserve">ПО1 на </w:t>
      </w:r>
      <w:r>
        <w:rPr>
          <w:rFonts w:ascii="Arial" w:hAnsi="Arial" w:cs="Arial"/>
          <w:sz w:val="20"/>
          <w:szCs w:val="20"/>
          <w:lang w:val="bg-BG"/>
        </w:rPr>
        <w:t>ОПОС, при приключване на периода на допустимост.</w:t>
      </w:r>
      <w:r w:rsidRPr="0051416F">
        <w:rPr>
          <w:rFonts w:ascii="Arial" w:hAnsi="Arial" w:cs="Arial"/>
          <w:sz w:val="20"/>
          <w:szCs w:val="20"/>
          <w:lang w:val="bg-BG"/>
        </w:rPr>
        <w:t xml:space="preserve"> </w:t>
      </w:r>
    </w:p>
    <w:p w14:paraId="357FB44C" w14:textId="77777777" w:rsidR="00CA0914" w:rsidRPr="00C72692" w:rsidRDefault="00CA0914" w:rsidP="00C72692">
      <w:pPr>
        <w:pStyle w:val="ListParagraph"/>
        <w:numPr>
          <w:ilvl w:val="0"/>
          <w:numId w:val="73"/>
        </w:numPr>
        <w:spacing w:after="120"/>
        <w:jc w:val="both"/>
        <w:rPr>
          <w:rFonts w:ascii="Arial" w:hAnsi="Arial" w:cs="Arial"/>
          <w:sz w:val="20"/>
          <w:szCs w:val="20"/>
          <w:lang w:val="bg-BG"/>
        </w:rPr>
      </w:pPr>
      <w:r w:rsidRPr="00C72692">
        <w:rPr>
          <w:rFonts w:ascii="Arial" w:hAnsi="Arial" w:cs="Arial"/>
          <w:b/>
          <w:sz w:val="20"/>
          <w:szCs w:val="20"/>
          <w:lang w:val="bg-BG"/>
        </w:rPr>
        <w:lastRenderedPageBreak/>
        <w:t>Вариант 1</w:t>
      </w:r>
      <w:r w:rsidRPr="00C72692">
        <w:rPr>
          <w:rFonts w:ascii="Arial" w:hAnsi="Arial" w:cs="Arial"/>
          <w:sz w:val="20"/>
          <w:szCs w:val="20"/>
          <w:lang w:val="bg-BG"/>
        </w:rPr>
        <w:t xml:space="preserve">: Връщане на УО на </w:t>
      </w:r>
      <w:r w:rsidR="00F909A8" w:rsidRPr="00C72692">
        <w:rPr>
          <w:rFonts w:ascii="Arial" w:hAnsi="Arial" w:cs="Arial"/>
          <w:sz w:val="20"/>
          <w:szCs w:val="20"/>
          <w:lang w:val="bg-BG"/>
        </w:rPr>
        <w:t>средствата</w:t>
      </w:r>
      <w:r w:rsidR="004E69AD">
        <w:rPr>
          <w:rFonts w:ascii="Arial" w:hAnsi="Arial" w:cs="Arial"/>
          <w:sz w:val="20"/>
          <w:szCs w:val="20"/>
          <w:lang w:val="bg-BG"/>
        </w:rPr>
        <w:t xml:space="preserve"> от ОПОС</w:t>
      </w:r>
      <w:r w:rsidRPr="00C72692">
        <w:rPr>
          <w:rFonts w:ascii="Arial" w:hAnsi="Arial" w:cs="Arial"/>
          <w:sz w:val="20"/>
          <w:szCs w:val="20"/>
          <w:lang w:val="bg-BG"/>
        </w:rPr>
        <w:t xml:space="preserve">, </w:t>
      </w:r>
      <w:r w:rsidRPr="00AF73C8">
        <w:rPr>
          <w:rFonts w:ascii="Arial" w:hAnsi="Arial" w:cs="Arial"/>
          <w:sz w:val="20"/>
          <w:szCs w:val="20"/>
          <w:lang w:val="bg-BG"/>
        </w:rPr>
        <w:t>които не са инвестирани</w:t>
      </w:r>
      <w:r w:rsidR="00F909A8" w:rsidRPr="00AF73C8">
        <w:rPr>
          <w:rFonts w:ascii="Arial" w:hAnsi="Arial" w:cs="Arial"/>
          <w:sz w:val="20"/>
          <w:szCs w:val="20"/>
          <w:lang w:val="bg-BG"/>
        </w:rPr>
        <w:t xml:space="preserve"> в проекти</w:t>
      </w:r>
      <w:r w:rsidRPr="00AF73C8">
        <w:rPr>
          <w:rFonts w:ascii="Arial" w:hAnsi="Arial" w:cs="Arial"/>
          <w:sz w:val="20"/>
          <w:szCs w:val="20"/>
          <w:lang w:val="bg-BG"/>
        </w:rPr>
        <w:t xml:space="preserve"> под формата на </w:t>
      </w:r>
      <w:r w:rsidR="00F909A8" w:rsidRPr="00AF73C8">
        <w:rPr>
          <w:rFonts w:ascii="Arial" w:hAnsi="Arial" w:cs="Arial"/>
          <w:sz w:val="20"/>
          <w:szCs w:val="20"/>
          <w:lang w:val="bg-BG"/>
        </w:rPr>
        <w:t>заеми</w:t>
      </w:r>
      <w:r w:rsidRPr="00AF73C8">
        <w:rPr>
          <w:rFonts w:ascii="Arial" w:hAnsi="Arial" w:cs="Arial"/>
          <w:sz w:val="20"/>
          <w:szCs w:val="20"/>
          <w:lang w:val="bg-BG"/>
        </w:rPr>
        <w:t xml:space="preserve"> или гаранции,</w:t>
      </w:r>
      <w:r w:rsidRPr="00C72692">
        <w:rPr>
          <w:rFonts w:ascii="Arial" w:hAnsi="Arial" w:cs="Arial"/>
          <w:sz w:val="20"/>
          <w:szCs w:val="20"/>
          <w:lang w:val="bg-BG"/>
        </w:rPr>
        <w:t xml:space="preserve"> заедно с всички </w:t>
      </w:r>
      <w:r w:rsidR="00F909A8" w:rsidRPr="00C72692">
        <w:rPr>
          <w:rFonts w:ascii="Arial" w:hAnsi="Arial" w:cs="Arial"/>
          <w:sz w:val="20"/>
          <w:szCs w:val="20"/>
          <w:lang w:val="bg-BG"/>
        </w:rPr>
        <w:t>обратни постъпления от крайните получатели</w:t>
      </w:r>
      <w:r w:rsidRPr="00C72692">
        <w:rPr>
          <w:rFonts w:ascii="Arial" w:hAnsi="Arial" w:cs="Arial"/>
          <w:sz w:val="20"/>
          <w:szCs w:val="20"/>
          <w:lang w:val="bg-BG"/>
        </w:rPr>
        <w:t xml:space="preserve">, за да бъдат използвани </w:t>
      </w:r>
      <w:r w:rsidR="00F909A8" w:rsidRPr="00C72692">
        <w:rPr>
          <w:rFonts w:ascii="Arial" w:hAnsi="Arial" w:cs="Arial"/>
          <w:sz w:val="20"/>
          <w:szCs w:val="20"/>
          <w:lang w:val="bg-BG"/>
        </w:rPr>
        <w:t>посредством</w:t>
      </w:r>
      <w:r w:rsidRPr="00C72692">
        <w:rPr>
          <w:rFonts w:ascii="Arial" w:hAnsi="Arial" w:cs="Arial"/>
          <w:sz w:val="20"/>
          <w:szCs w:val="20"/>
          <w:lang w:val="bg-BG"/>
        </w:rPr>
        <w:t xml:space="preserve"> други форми на подкрепа</w:t>
      </w:r>
      <w:r w:rsidR="00F909A8" w:rsidRPr="00C72692">
        <w:rPr>
          <w:rFonts w:ascii="Arial" w:hAnsi="Arial" w:cs="Arial"/>
          <w:sz w:val="20"/>
          <w:szCs w:val="20"/>
          <w:lang w:val="bg-BG"/>
        </w:rPr>
        <w:t>,</w:t>
      </w:r>
      <w:r w:rsidRPr="00C72692">
        <w:rPr>
          <w:rFonts w:ascii="Arial" w:hAnsi="Arial" w:cs="Arial"/>
          <w:sz w:val="20"/>
          <w:szCs w:val="20"/>
          <w:lang w:val="bg-BG"/>
        </w:rPr>
        <w:t xml:space="preserve"> в съответствие с целите на ОПОС. Всички постъпления </w:t>
      </w:r>
      <w:r w:rsidR="000B0FCA" w:rsidRPr="00C72692">
        <w:rPr>
          <w:rFonts w:ascii="Arial" w:hAnsi="Arial" w:cs="Arial"/>
          <w:sz w:val="20"/>
          <w:szCs w:val="20"/>
          <w:lang w:val="bg-BG"/>
        </w:rPr>
        <w:t xml:space="preserve">във връзка с </w:t>
      </w:r>
      <w:r w:rsidR="0006249D" w:rsidRPr="00C72692">
        <w:rPr>
          <w:rFonts w:ascii="Arial" w:hAnsi="Arial" w:cs="Arial"/>
          <w:sz w:val="20"/>
          <w:szCs w:val="20"/>
          <w:lang w:val="bg-BG"/>
        </w:rPr>
        <w:t>на</w:t>
      </w:r>
      <w:r w:rsidR="000B0FCA" w:rsidRPr="00C72692">
        <w:rPr>
          <w:rFonts w:ascii="Arial" w:hAnsi="Arial" w:cs="Arial"/>
          <w:sz w:val="20"/>
          <w:szCs w:val="20"/>
          <w:lang w:val="bg-BG"/>
        </w:rPr>
        <w:t>правените</w:t>
      </w:r>
      <w:r w:rsidR="0006249D" w:rsidRPr="00C72692">
        <w:rPr>
          <w:rFonts w:ascii="Arial" w:hAnsi="Arial" w:cs="Arial"/>
          <w:sz w:val="20"/>
          <w:szCs w:val="20"/>
          <w:lang w:val="bg-BG"/>
        </w:rPr>
        <w:t xml:space="preserve"> инвестиции</w:t>
      </w:r>
      <w:r w:rsidRPr="00C72692">
        <w:rPr>
          <w:rFonts w:ascii="Arial" w:hAnsi="Arial" w:cs="Arial"/>
          <w:sz w:val="20"/>
          <w:szCs w:val="20"/>
          <w:lang w:val="bg-BG"/>
        </w:rPr>
        <w:t xml:space="preserve"> (в</w:t>
      </w:r>
      <w:r w:rsidR="000B0FCA" w:rsidRPr="00C72692">
        <w:rPr>
          <w:rFonts w:ascii="Arial" w:hAnsi="Arial" w:cs="Arial"/>
          <w:sz w:val="20"/>
          <w:szCs w:val="20"/>
          <w:lang w:val="bg-BG"/>
        </w:rPr>
        <w:t xml:space="preserve"> т.ч.</w:t>
      </w:r>
      <w:r w:rsidRPr="00C72692">
        <w:rPr>
          <w:rFonts w:ascii="Arial" w:hAnsi="Arial" w:cs="Arial"/>
          <w:sz w:val="20"/>
          <w:szCs w:val="20"/>
          <w:lang w:val="bg-BG"/>
        </w:rPr>
        <w:t xml:space="preserve"> </w:t>
      </w:r>
      <w:r w:rsidR="0006249D" w:rsidRPr="00C72692">
        <w:rPr>
          <w:rFonts w:ascii="Arial" w:hAnsi="Arial" w:cs="Arial"/>
          <w:sz w:val="20"/>
          <w:szCs w:val="20"/>
          <w:lang w:val="bg-BG"/>
        </w:rPr>
        <w:t>изплащане на главница, лихви</w:t>
      </w:r>
      <w:r w:rsidRPr="00C72692">
        <w:rPr>
          <w:rFonts w:ascii="Arial" w:hAnsi="Arial" w:cs="Arial"/>
          <w:sz w:val="20"/>
          <w:szCs w:val="20"/>
          <w:lang w:val="bg-BG"/>
        </w:rPr>
        <w:t xml:space="preserve"> и </w:t>
      </w:r>
      <w:r w:rsidR="007A3F9B" w:rsidRPr="00C72692">
        <w:rPr>
          <w:rFonts w:ascii="Arial" w:hAnsi="Arial" w:cs="Arial"/>
          <w:sz w:val="20"/>
          <w:szCs w:val="20"/>
          <w:lang w:val="bg-BG"/>
        </w:rPr>
        <w:t>доходност, получена при управление на свободните средства</w:t>
      </w:r>
      <w:r w:rsidR="00873EE6">
        <w:rPr>
          <w:rFonts w:ascii="Arial" w:hAnsi="Arial" w:cs="Arial"/>
          <w:sz w:val="20"/>
          <w:szCs w:val="20"/>
          <w:lang w:val="bg-BG"/>
        </w:rPr>
        <w:t xml:space="preserve">, </w:t>
      </w:r>
      <w:r w:rsidR="00873EE6" w:rsidRPr="00151DC3">
        <w:rPr>
          <w:rFonts w:ascii="Arial" w:hAnsi="Arial" w:cs="Arial"/>
          <w:sz w:val="20"/>
          <w:szCs w:val="20"/>
          <w:lang w:val="bg-BG"/>
        </w:rPr>
        <w:t>освобождаване на ресурси по гаранции</w:t>
      </w:r>
      <w:r w:rsidRPr="00C72692">
        <w:rPr>
          <w:rFonts w:ascii="Arial" w:hAnsi="Arial" w:cs="Arial"/>
          <w:sz w:val="20"/>
          <w:szCs w:val="20"/>
          <w:lang w:val="bg-BG"/>
        </w:rPr>
        <w:t xml:space="preserve">) също се връщат на УО, след приспадане на съответните такси за управление, както е определено в Оперативното споразумение с </w:t>
      </w:r>
      <w:r w:rsidRPr="00C72692">
        <w:rPr>
          <w:rFonts w:ascii="Arial" w:eastAsia="Times New Roman" w:hAnsi="Arial" w:cs="Arial"/>
          <w:color w:val="000000"/>
          <w:sz w:val="20"/>
          <w:szCs w:val="20"/>
          <w:lang w:val="bg-BG" w:eastAsia="zh-CN"/>
        </w:rPr>
        <w:t>фонд мениджъра</w:t>
      </w:r>
      <w:r w:rsidR="004B0F70" w:rsidRPr="00C72692">
        <w:rPr>
          <w:rFonts w:ascii="Arial" w:eastAsia="Times New Roman" w:hAnsi="Arial" w:cs="Arial"/>
          <w:color w:val="000000"/>
          <w:sz w:val="20"/>
          <w:szCs w:val="20"/>
          <w:lang w:val="bg-BG" w:eastAsia="zh-CN"/>
        </w:rPr>
        <w:t xml:space="preserve"> на с</w:t>
      </w:r>
      <w:r w:rsidRPr="00C72692">
        <w:rPr>
          <w:rFonts w:ascii="Arial" w:eastAsia="Times New Roman" w:hAnsi="Arial" w:cs="Arial"/>
          <w:color w:val="000000"/>
          <w:sz w:val="20"/>
          <w:szCs w:val="20"/>
          <w:lang w:val="bg-BG" w:eastAsia="zh-CN"/>
        </w:rPr>
        <w:t>пециалната инвестиционна структура (</w:t>
      </w:r>
      <w:r w:rsidRPr="00C72692">
        <w:rPr>
          <w:rFonts w:ascii="Arial" w:eastAsia="Times New Roman" w:hAnsi="Arial" w:cs="Arial"/>
          <w:color w:val="000000"/>
          <w:sz w:val="20"/>
          <w:szCs w:val="20"/>
          <w:lang w:eastAsia="zh-CN"/>
        </w:rPr>
        <w:t>DIV</w:t>
      </w:r>
      <w:r w:rsidRPr="00C72692">
        <w:rPr>
          <w:rFonts w:ascii="Arial" w:eastAsia="Times New Roman" w:hAnsi="Arial" w:cs="Arial"/>
          <w:color w:val="000000"/>
          <w:sz w:val="20"/>
          <w:szCs w:val="20"/>
          <w:lang w:val="bg-BG" w:eastAsia="zh-CN"/>
        </w:rPr>
        <w:t xml:space="preserve">) </w:t>
      </w:r>
      <w:r w:rsidRPr="00C72692">
        <w:rPr>
          <w:rFonts w:ascii="Arial" w:hAnsi="Arial" w:cs="Arial"/>
          <w:sz w:val="20"/>
          <w:szCs w:val="20"/>
          <w:lang w:val="bg-BG"/>
        </w:rPr>
        <w:t>и в</w:t>
      </w:r>
      <w:r w:rsidR="000B0FCA" w:rsidRPr="00C72692">
        <w:rPr>
          <w:rFonts w:ascii="Arial" w:hAnsi="Arial" w:cs="Arial"/>
          <w:sz w:val="20"/>
          <w:szCs w:val="20"/>
          <w:lang w:val="bg-BG"/>
        </w:rPr>
        <w:t>ъв</w:t>
      </w:r>
      <w:r w:rsidRPr="00C72692">
        <w:rPr>
          <w:rFonts w:ascii="Arial" w:hAnsi="Arial" w:cs="Arial"/>
          <w:sz w:val="20"/>
          <w:szCs w:val="20"/>
          <w:lang w:val="bg-BG"/>
        </w:rPr>
        <w:t xml:space="preserve"> </w:t>
      </w:r>
      <w:r w:rsidR="000B0FCA" w:rsidRPr="00C72692">
        <w:rPr>
          <w:rFonts w:ascii="Arial" w:hAnsi="Arial" w:cs="Arial"/>
          <w:sz w:val="20"/>
          <w:szCs w:val="20"/>
          <w:lang w:val="bg-BG"/>
        </w:rPr>
        <w:t>Финансовото с</w:t>
      </w:r>
      <w:r w:rsidRPr="00C72692">
        <w:rPr>
          <w:rFonts w:ascii="Arial" w:hAnsi="Arial" w:cs="Arial"/>
          <w:sz w:val="20"/>
          <w:szCs w:val="20"/>
          <w:lang w:val="bg-BG"/>
        </w:rPr>
        <w:t>поразумение с ФМФИБ.</w:t>
      </w:r>
    </w:p>
    <w:p w14:paraId="7F34A7AA" w14:textId="77777777" w:rsidR="004B0F70" w:rsidRPr="00C72692" w:rsidRDefault="004B0F70" w:rsidP="00C72692">
      <w:pPr>
        <w:pStyle w:val="ListParagraph"/>
        <w:numPr>
          <w:ilvl w:val="0"/>
          <w:numId w:val="73"/>
        </w:numPr>
        <w:spacing w:after="120"/>
        <w:jc w:val="both"/>
        <w:rPr>
          <w:rFonts w:ascii="Arial" w:hAnsi="Arial" w:cs="Arial"/>
          <w:sz w:val="20"/>
          <w:szCs w:val="20"/>
          <w:lang w:val="bg-BG"/>
        </w:rPr>
      </w:pPr>
      <w:r w:rsidRPr="00C72692">
        <w:rPr>
          <w:rFonts w:ascii="Arial" w:hAnsi="Arial" w:cs="Arial"/>
          <w:b/>
          <w:sz w:val="20"/>
          <w:szCs w:val="20"/>
          <w:lang w:val="bg-BG"/>
        </w:rPr>
        <w:t>Вариант 2</w:t>
      </w:r>
      <w:r w:rsidRPr="00C72692">
        <w:rPr>
          <w:rFonts w:ascii="Arial" w:hAnsi="Arial" w:cs="Arial"/>
          <w:sz w:val="20"/>
          <w:szCs w:val="20"/>
          <w:lang w:val="bg-BG"/>
        </w:rPr>
        <w:t xml:space="preserve">: Продължаване на използването на финансови ресурси по ОПОС чрез </w:t>
      </w:r>
      <w:r w:rsidR="000B0FCA" w:rsidRPr="00C72692">
        <w:rPr>
          <w:rFonts w:ascii="Arial" w:hAnsi="Arial" w:cs="Arial"/>
          <w:sz w:val="20"/>
          <w:szCs w:val="20"/>
          <w:lang w:val="bg-BG"/>
        </w:rPr>
        <w:t>съществуващи или</w:t>
      </w:r>
      <w:r w:rsidRPr="00C72692">
        <w:rPr>
          <w:rFonts w:ascii="Arial" w:hAnsi="Arial" w:cs="Arial"/>
          <w:sz w:val="20"/>
          <w:szCs w:val="20"/>
          <w:lang w:val="bg-BG"/>
        </w:rPr>
        <w:t xml:space="preserve"> нови ФИ, в съответствие с целите на ОПОС. Това може да включва и всички рециклирани средства от извършените инвестиции, според условията на съответните Оперативни споразумения.  </w:t>
      </w:r>
    </w:p>
    <w:p w14:paraId="22111FB8" w14:textId="77777777" w:rsidR="004B0F70" w:rsidRPr="0051416F" w:rsidRDefault="00212A53" w:rsidP="004B0F70">
      <w:pPr>
        <w:spacing w:after="120"/>
        <w:jc w:val="both"/>
        <w:rPr>
          <w:rFonts w:ascii="Arial" w:hAnsi="Arial" w:cs="Arial"/>
          <w:sz w:val="20"/>
          <w:szCs w:val="20"/>
          <w:lang w:val="bg-BG"/>
        </w:rPr>
      </w:pPr>
      <w:r>
        <w:rPr>
          <w:rFonts w:ascii="Arial" w:hAnsi="Arial" w:cs="Arial"/>
          <w:sz w:val="20"/>
          <w:szCs w:val="20"/>
          <w:lang w:val="bg-BG"/>
        </w:rPr>
        <w:t>Вариант</w:t>
      </w:r>
      <w:r w:rsidR="004B0F70">
        <w:rPr>
          <w:rFonts w:ascii="Arial" w:hAnsi="Arial" w:cs="Arial"/>
          <w:sz w:val="20"/>
          <w:szCs w:val="20"/>
          <w:lang w:val="bg-BG"/>
        </w:rPr>
        <w:t xml:space="preserve"> 1 се препоръчва, в случай че в края на периода на допустимост има доказателства, че:</w:t>
      </w:r>
    </w:p>
    <w:p w14:paraId="05FA8C2C" w14:textId="77777777" w:rsidR="004B0F70" w:rsidRPr="001A5894" w:rsidRDefault="004B0F70" w:rsidP="0057132E">
      <w:pPr>
        <w:pStyle w:val="ListParagraph"/>
        <w:numPr>
          <w:ilvl w:val="0"/>
          <w:numId w:val="73"/>
        </w:numPr>
        <w:spacing w:after="120"/>
        <w:jc w:val="both"/>
        <w:rPr>
          <w:rFonts w:ascii="Arial" w:hAnsi="Arial" w:cs="Arial"/>
          <w:sz w:val="20"/>
          <w:szCs w:val="20"/>
          <w:lang w:val="bg-BG"/>
        </w:rPr>
      </w:pPr>
      <w:r w:rsidRPr="001A5894">
        <w:rPr>
          <w:rFonts w:ascii="Arial" w:hAnsi="Arial" w:cs="Arial"/>
          <w:sz w:val="20"/>
          <w:szCs w:val="20"/>
          <w:lang w:val="bg-BG"/>
        </w:rPr>
        <w:t>ФИ не са постигнали целев</w:t>
      </w:r>
      <w:r w:rsidR="00B368B0" w:rsidRPr="001A5894">
        <w:rPr>
          <w:rFonts w:ascii="Arial" w:hAnsi="Arial" w:cs="Arial"/>
          <w:sz w:val="20"/>
          <w:szCs w:val="20"/>
          <w:lang w:val="bg-BG"/>
        </w:rPr>
        <w:t>ите стойности на</w:t>
      </w:r>
      <w:r w:rsidRPr="001A5894">
        <w:rPr>
          <w:rFonts w:ascii="Arial" w:hAnsi="Arial" w:cs="Arial"/>
          <w:sz w:val="20"/>
          <w:szCs w:val="20"/>
          <w:lang w:val="bg-BG"/>
        </w:rPr>
        <w:t xml:space="preserve"> показателите, заложени в настоящата ИС и </w:t>
      </w:r>
      <w:r w:rsidR="00A446DD">
        <w:rPr>
          <w:rFonts w:ascii="Arial" w:hAnsi="Arial" w:cs="Arial"/>
          <w:sz w:val="20"/>
          <w:szCs w:val="20"/>
          <w:lang w:val="bg-BG"/>
        </w:rPr>
        <w:t xml:space="preserve">в </w:t>
      </w:r>
      <w:r w:rsidR="00ED1576">
        <w:rPr>
          <w:rFonts w:ascii="Arial" w:hAnsi="Arial" w:cs="Arial"/>
          <w:sz w:val="20"/>
          <w:szCs w:val="20"/>
          <w:lang w:val="bg-BG"/>
        </w:rPr>
        <w:t>оперативн</w:t>
      </w:r>
      <w:r w:rsidR="00AB4ADE">
        <w:rPr>
          <w:rFonts w:ascii="Arial" w:hAnsi="Arial" w:cs="Arial"/>
          <w:sz w:val="20"/>
          <w:szCs w:val="20"/>
          <w:lang w:val="bg-BG"/>
        </w:rPr>
        <w:t>ото</w:t>
      </w:r>
      <w:r w:rsidR="00ED1576">
        <w:rPr>
          <w:rFonts w:ascii="Arial" w:hAnsi="Arial" w:cs="Arial"/>
          <w:sz w:val="20"/>
          <w:szCs w:val="20"/>
          <w:lang w:val="bg-BG"/>
        </w:rPr>
        <w:t xml:space="preserve"> с</w:t>
      </w:r>
      <w:r w:rsidR="00ED1576" w:rsidRPr="001A5894">
        <w:rPr>
          <w:rFonts w:ascii="Arial" w:hAnsi="Arial" w:cs="Arial"/>
          <w:sz w:val="20"/>
          <w:szCs w:val="20"/>
          <w:lang w:val="bg-BG"/>
        </w:rPr>
        <w:t>поразумени</w:t>
      </w:r>
      <w:r w:rsidR="00AB4ADE">
        <w:rPr>
          <w:rFonts w:ascii="Arial" w:hAnsi="Arial" w:cs="Arial"/>
          <w:sz w:val="20"/>
          <w:szCs w:val="20"/>
          <w:lang w:val="bg-BG"/>
        </w:rPr>
        <w:t>е</w:t>
      </w:r>
      <w:r w:rsidRPr="001A5894">
        <w:rPr>
          <w:rFonts w:ascii="Arial" w:hAnsi="Arial" w:cs="Arial"/>
          <w:sz w:val="20"/>
          <w:szCs w:val="20"/>
          <w:lang w:val="bg-BG"/>
        </w:rPr>
        <w:t xml:space="preserve"> </w:t>
      </w:r>
      <w:r w:rsidR="00AB4ADE">
        <w:rPr>
          <w:rFonts w:ascii="Arial" w:hAnsi="Arial" w:cs="Arial"/>
          <w:sz w:val="20"/>
          <w:szCs w:val="20"/>
          <w:lang w:val="bg-BG"/>
        </w:rPr>
        <w:t xml:space="preserve">с </w:t>
      </w:r>
      <w:r w:rsidR="0057132E">
        <w:rPr>
          <w:rFonts w:ascii="Arial" w:hAnsi="Arial" w:cs="Arial"/>
          <w:sz w:val="20"/>
          <w:szCs w:val="20"/>
          <w:lang w:val="bg-BG"/>
        </w:rPr>
        <w:t xml:space="preserve">фонд </w:t>
      </w:r>
      <w:r w:rsidR="00AB4ADE">
        <w:rPr>
          <w:rFonts w:ascii="Arial" w:hAnsi="Arial" w:cs="Arial"/>
          <w:sz w:val="20"/>
          <w:szCs w:val="20"/>
          <w:lang w:val="bg-BG"/>
        </w:rPr>
        <w:t xml:space="preserve">мениджъра на </w:t>
      </w:r>
      <w:r w:rsidR="0057132E">
        <w:rPr>
          <w:rFonts w:ascii="Arial" w:hAnsi="Arial" w:cs="Arial"/>
          <w:sz w:val="20"/>
          <w:szCs w:val="20"/>
          <w:lang w:val="bg-BG"/>
        </w:rPr>
        <w:t>с</w:t>
      </w:r>
      <w:r w:rsidR="00AB4ADE">
        <w:rPr>
          <w:rFonts w:ascii="Arial" w:hAnsi="Arial" w:cs="Arial"/>
          <w:sz w:val="20"/>
          <w:szCs w:val="20"/>
          <w:lang w:val="bg-BG"/>
        </w:rPr>
        <w:t>пециалната инвестиционна структура</w:t>
      </w:r>
      <w:r w:rsidR="0057132E">
        <w:rPr>
          <w:rFonts w:ascii="Arial" w:hAnsi="Arial" w:cs="Arial"/>
          <w:sz w:val="20"/>
          <w:szCs w:val="20"/>
          <w:lang w:val="bg-BG"/>
        </w:rPr>
        <w:t xml:space="preserve"> </w:t>
      </w:r>
      <w:r w:rsidR="0057132E" w:rsidRPr="0057132E">
        <w:rPr>
          <w:rFonts w:ascii="Arial" w:hAnsi="Arial" w:cs="Arial"/>
          <w:sz w:val="20"/>
          <w:szCs w:val="20"/>
          <w:lang w:val="bg-BG"/>
        </w:rPr>
        <w:t>(DIV)</w:t>
      </w:r>
      <w:r w:rsidR="00AB4ADE">
        <w:rPr>
          <w:rFonts w:ascii="Arial" w:hAnsi="Arial" w:cs="Arial"/>
          <w:sz w:val="20"/>
          <w:szCs w:val="20"/>
          <w:lang w:val="bg-BG"/>
        </w:rPr>
        <w:t xml:space="preserve"> </w:t>
      </w:r>
      <w:r w:rsidRPr="001A5894">
        <w:rPr>
          <w:rFonts w:ascii="Arial" w:hAnsi="Arial" w:cs="Arial"/>
          <w:sz w:val="20"/>
          <w:szCs w:val="20"/>
          <w:lang w:val="bg-BG"/>
        </w:rPr>
        <w:t>поради наличието на обективни пазарни, регулаторни или други пречки</w:t>
      </w:r>
      <w:r w:rsidR="00212A53" w:rsidRPr="001A5894">
        <w:rPr>
          <w:rFonts w:ascii="Arial" w:hAnsi="Arial" w:cs="Arial"/>
          <w:sz w:val="20"/>
          <w:szCs w:val="20"/>
          <w:lang w:val="bg-BG"/>
        </w:rPr>
        <w:t>;</w:t>
      </w:r>
    </w:p>
    <w:p w14:paraId="77E01B8B" w14:textId="77777777" w:rsidR="004B0F70" w:rsidRPr="001A5894" w:rsidRDefault="004B0F70" w:rsidP="001A5894">
      <w:pPr>
        <w:pStyle w:val="ListParagraph"/>
        <w:numPr>
          <w:ilvl w:val="0"/>
          <w:numId w:val="73"/>
        </w:numPr>
        <w:spacing w:after="120"/>
        <w:jc w:val="both"/>
        <w:rPr>
          <w:rFonts w:ascii="Arial" w:hAnsi="Arial" w:cs="Arial"/>
          <w:sz w:val="20"/>
          <w:szCs w:val="20"/>
          <w:lang w:val="bg-BG"/>
        </w:rPr>
      </w:pPr>
      <w:r w:rsidRPr="001A5894">
        <w:rPr>
          <w:rFonts w:ascii="Arial" w:hAnsi="Arial" w:cs="Arial"/>
          <w:sz w:val="20"/>
          <w:szCs w:val="20"/>
          <w:lang w:val="bg-BG"/>
        </w:rPr>
        <w:t>Пазарните неуспехи, идентифицирани</w:t>
      </w:r>
      <w:r w:rsidR="00212A53" w:rsidRPr="001A5894">
        <w:rPr>
          <w:rFonts w:ascii="Arial" w:hAnsi="Arial" w:cs="Arial"/>
          <w:sz w:val="20"/>
          <w:szCs w:val="20"/>
          <w:lang w:val="bg-BG"/>
        </w:rPr>
        <w:t xml:space="preserve"> в предварителната оценка, вече не се наблюдават на</w:t>
      </w:r>
      <w:r w:rsidRPr="001A5894">
        <w:rPr>
          <w:rFonts w:ascii="Arial" w:hAnsi="Arial" w:cs="Arial"/>
          <w:sz w:val="20"/>
          <w:szCs w:val="20"/>
          <w:lang w:val="bg-BG"/>
        </w:rPr>
        <w:t xml:space="preserve"> пазара или мо</w:t>
      </w:r>
      <w:r w:rsidR="00212A53" w:rsidRPr="001A5894">
        <w:rPr>
          <w:rFonts w:ascii="Arial" w:hAnsi="Arial" w:cs="Arial"/>
          <w:sz w:val="20"/>
          <w:szCs w:val="20"/>
          <w:lang w:val="bg-BG"/>
        </w:rPr>
        <w:t>гат да бъдат адресирани</w:t>
      </w:r>
      <w:r w:rsidRPr="001A5894">
        <w:rPr>
          <w:rFonts w:ascii="Arial" w:hAnsi="Arial" w:cs="Arial"/>
          <w:sz w:val="20"/>
          <w:szCs w:val="20"/>
          <w:lang w:val="bg-BG"/>
        </w:rPr>
        <w:t xml:space="preserve"> по по-ефективен начин чрез </w:t>
      </w:r>
      <w:r w:rsidR="00212A53" w:rsidRPr="001A5894">
        <w:rPr>
          <w:rFonts w:ascii="Arial" w:hAnsi="Arial" w:cs="Arial"/>
          <w:sz w:val="20"/>
          <w:szCs w:val="20"/>
          <w:lang w:val="bg-BG"/>
        </w:rPr>
        <w:t>други типове финансиране</w:t>
      </w:r>
      <w:r w:rsidRPr="001A5894">
        <w:rPr>
          <w:rFonts w:ascii="Arial" w:hAnsi="Arial" w:cs="Arial"/>
          <w:sz w:val="20"/>
          <w:szCs w:val="20"/>
          <w:lang w:val="bg-BG"/>
        </w:rPr>
        <w:t xml:space="preserve"> (например</w:t>
      </w:r>
      <w:r w:rsidR="00212A53" w:rsidRPr="001A5894">
        <w:rPr>
          <w:rFonts w:ascii="Arial" w:hAnsi="Arial" w:cs="Arial"/>
          <w:sz w:val="20"/>
          <w:szCs w:val="20"/>
          <w:lang w:val="bg-BG"/>
        </w:rPr>
        <w:t>,</w:t>
      </w:r>
      <w:r w:rsidRPr="001A5894">
        <w:rPr>
          <w:rFonts w:ascii="Arial" w:hAnsi="Arial" w:cs="Arial"/>
          <w:sz w:val="20"/>
          <w:szCs w:val="20"/>
          <w:lang w:val="bg-BG"/>
        </w:rPr>
        <w:t xml:space="preserve"> </w:t>
      </w:r>
      <w:r w:rsidR="00212A53" w:rsidRPr="001A5894">
        <w:rPr>
          <w:rFonts w:ascii="Arial" w:hAnsi="Arial" w:cs="Arial"/>
          <w:sz w:val="20"/>
          <w:szCs w:val="20"/>
          <w:lang w:val="bg-BG"/>
        </w:rPr>
        <w:t>безвъзмездна финансова помощ</w:t>
      </w:r>
      <w:r w:rsidRPr="001A5894">
        <w:rPr>
          <w:rFonts w:ascii="Arial" w:hAnsi="Arial" w:cs="Arial"/>
          <w:sz w:val="20"/>
          <w:szCs w:val="20"/>
          <w:lang w:val="bg-BG"/>
        </w:rPr>
        <w:t>)</w:t>
      </w:r>
      <w:r w:rsidR="00212A53" w:rsidRPr="001A5894">
        <w:rPr>
          <w:rFonts w:ascii="Arial" w:hAnsi="Arial" w:cs="Arial"/>
          <w:sz w:val="20"/>
          <w:szCs w:val="20"/>
          <w:lang w:val="bg-BG"/>
        </w:rPr>
        <w:t>;</w:t>
      </w:r>
    </w:p>
    <w:p w14:paraId="6B8DA019" w14:textId="77777777" w:rsidR="004B0F70" w:rsidRPr="001A5894" w:rsidRDefault="004B0F70" w:rsidP="001A5894">
      <w:pPr>
        <w:pStyle w:val="ListParagraph"/>
        <w:numPr>
          <w:ilvl w:val="0"/>
          <w:numId w:val="73"/>
        </w:numPr>
        <w:spacing w:after="120"/>
        <w:jc w:val="both"/>
        <w:rPr>
          <w:rFonts w:ascii="Arial" w:hAnsi="Arial" w:cs="Arial"/>
          <w:sz w:val="20"/>
          <w:szCs w:val="20"/>
          <w:lang w:val="bg-BG"/>
        </w:rPr>
      </w:pPr>
      <w:r w:rsidRPr="001A5894">
        <w:rPr>
          <w:rFonts w:ascii="Arial" w:hAnsi="Arial" w:cs="Arial"/>
          <w:sz w:val="20"/>
          <w:szCs w:val="20"/>
          <w:lang w:val="bg-BG"/>
        </w:rPr>
        <w:t>Няма ин</w:t>
      </w:r>
      <w:r w:rsidR="00212A53" w:rsidRPr="001A5894">
        <w:rPr>
          <w:rFonts w:ascii="Arial" w:hAnsi="Arial" w:cs="Arial"/>
          <w:sz w:val="20"/>
          <w:szCs w:val="20"/>
          <w:lang w:val="bg-BG"/>
        </w:rPr>
        <w:t>терес от страна на квалифицирани</w:t>
      </w:r>
      <w:r w:rsidRPr="001A5894">
        <w:rPr>
          <w:rFonts w:ascii="Arial" w:hAnsi="Arial" w:cs="Arial"/>
          <w:sz w:val="20"/>
          <w:szCs w:val="20"/>
          <w:lang w:val="bg-BG"/>
        </w:rPr>
        <w:t xml:space="preserve"> </w:t>
      </w:r>
      <w:r w:rsidR="00212A53" w:rsidRPr="001A5894">
        <w:rPr>
          <w:rFonts w:ascii="Arial" w:hAnsi="Arial" w:cs="Arial"/>
          <w:sz w:val="20"/>
          <w:szCs w:val="20"/>
          <w:lang w:val="bg-BG"/>
        </w:rPr>
        <w:t>фонд мениджъри с необходимите опит и експертиза</w:t>
      </w:r>
      <w:r w:rsidRPr="001A5894">
        <w:rPr>
          <w:rFonts w:ascii="Arial" w:hAnsi="Arial" w:cs="Arial"/>
          <w:sz w:val="20"/>
          <w:szCs w:val="20"/>
          <w:lang w:val="bg-BG"/>
        </w:rPr>
        <w:t xml:space="preserve"> да управляват ФИ</w:t>
      </w:r>
      <w:r w:rsidR="00212A53" w:rsidRPr="001A5894">
        <w:rPr>
          <w:rFonts w:ascii="Arial" w:hAnsi="Arial" w:cs="Arial"/>
          <w:sz w:val="20"/>
          <w:szCs w:val="20"/>
          <w:lang w:val="bg-BG"/>
        </w:rPr>
        <w:t>.</w:t>
      </w:r>
    </w:p>
    <w:p w14:paraId="3343E1FC" w14:textId="77777777" w:rsidR="00212A53" w:rsidRPr="0051416F" w:rsidRDefault="00212A53" w:rsidP="00212A53">
      <w:pPr>
        <w:spacing w:after="120"/>
        <w:jc w:val="both"/>
        <w:rPr>
          <w:rFonts w:ascii="Arial" w:hAnsi="Arial" w:cs="Arial"/>
          <w:sz w:val="20"/>
          <w:szCs w:val="20"/>
          <w:lang w:val="bg-BG"/>
        </w:rPr>
      </w:pPr>
      <w:r w:rsidRPr="00BC7695">
        <w:rPr>
          <w:rFonts w:ascii="Arial" w:hAnsi="Arial" w:cs="Arial"/>
          <w:sz w:val="20"/>
          <w:szCs w:val="20"/>
          <w:lang w:val="bg-BG"/>
        </w:rPr>
        <w:t>Вариант 2</w:t>
      </w:r>
      <w:r w:rsidRPr="00502AE8">
        <w:rPr>
          <w:rFonts w:ascii="Arial" w:hAnsi="Arial" w:cs="Arial"/>
          <w:sz w:val="20"/>
          <w:szCs w:val="20"/>
          <w:lang w:val="bg-BG"/>
        </w:rPr>
        <w:t xml:space="preserve"> се препоръчва, в случай че в края на периода на допустимост има доказателства</w:t>
      </w:r>
      <w:r w:rsidR="00B368B0" w:rsidRPr="00502AE8">
        <w:rPr>
          <w:rFonts w:ascii="Arial" w:hAnsi="Arial" w:cs="Arial"/>
          <w:sz w:val="20"/>
          <w:szCs w:val="20"/>
          <w:lang w:val="bg-BG"/>
        </w:rPr>
        <w:t>,</w:t>
      </w:r>
      <w:r w:rsidRPr="00502AE8">
        <w:rPr>
          <w:rFonts w:ascii="Arial" w:hAnsi="Arial" w:cs="Arial"/>
          <w:sz w:val="20"/>
          <w:szCs w:val="20"/>
          <w:lang w:val="bg-BG"/>
        </w:rPr>
        <w:t xml:space="preserve"> че:</w:t>
      </w:r>
      <w:r>
        <w:rPr>
          <w:rFonts w:ascii="Arial" w:hAnsi="Arial" w:cs="Arial"/>
          <w:sz w:val="20"/>
          <w:szCs w:val="20"/>
          <w:lang w:val="bg-BG"/>
        </w:rPr>
        <w:t xml:space="preserve"> </w:t>
      </w:r>
    </w:p>
    <w:p w14:paraId="4E41409C" w14:textId="77777777" w:rsidR="00212A53" w:rsidRPr="00A446DD" w:rsidRDefault="00212A53" w:rsidP="00A446DD">
      <w:pPr>
        <w:pStyle w:val="ListParagraph"/>
        <w:numPr>
          <w:ilvl w:val="0"/>
          <w:numId w:val="73"/>
        </w:numPr>
        <w:spacing w:after="120"/>
        <w:jc w:val="both"/>
        <w:rPr>
          <w:rFonts w:ascii="Arial" w:hAnsi="Arial" w:cs="Arial"/>
          <w:sz w:val="20"/>
          <w:szCs w:val="20"/>
          <w:lang w:val="bg-BG"/>
        </w:rPr>
      </w:pPr>
      <w:r w:rsidRPr="00A446DD">
        <w:rPr>
          <w:rFonts w:ascii="Arial" w:hAnsi="Arial" w:cs="Arial"/>
          <w:sz w:val="20"/>
          <w:szCs w:val="20"/>
          <w:lang w:val="bg-BG"/>
        </w:rPr>
        <w:t xml:space="preserve">ФИ са постигнали </w:t>
      </w:r>
      <w:r w:rsidR="00B368B0" w:rsidRPr="00A446DD">
        <w:rPr>
          <w:rFonts w:ascii="Arial" w:hAnsi="Arial" w:cs="Arial"/>
          <w:sz w:val="20"/>
          <w:szCs w:val="20"/>
          <w:lang w:val="bg-BG"/>
        </w:rPr>
        <w:t>целевите стойности на показателите</w:t>
      </w:r>
      <w:r w:rsidRPr="00A446DD">
        <w:rPr>
          <w:rFonts w:ascii="Arial" w:hAnsi="Arial" w:cs="Arial"/>
          <w:sz w:val="20"/>
          <w:szCs w:val="20"/>
          <w:lang w:val="bg-BG"/>
        </w:rPr>
        <w:t>, заложени в настоящата ИС и съответн</w:t>
      </w:r>
      <w:r w:rsidR="004169F3">
        <w:rPr>
          <w:rFonts w:ascii="Arial" w:hAnsi="Arial" w:cs="Arial"/>
          <w:sz w:val="20"/>
          <w:szCs w:val="20"/>
          <w:lang w:val="bg-BG"/>
        </w:rPr>
        <w:t>ото</w:t>
      </w:r>
      <w:r w:rsidRPr="00A446DD">
        <w:rPr>
          <w:rFonts w:ascii="Arial" w:hAnsi="Arial" w:cs="Arial"/>
          <w:sz w:val="20"/>
          <w:szCs w:val="20"/>
          <w:lang w:val="bg-BG"/>
        </w:rPr>
        <w:t xml:space="preserve"> </w:t>
      </w:r>
      <w:r w:rsidR="00ED1576">
        <w:rPr>
          <w:rFonts w:ascii="Arial" w:hAnsi="Arial" w:cs="Arial"/>
          <w:sz w:val="20"/>
          <w:szCs w:val="20"/>
          <w:lang w:val="bg-BG"/>
        </w:rPr>
        <w:t>оперативн</w:t>
      </w:r>
      <w:r w:rsidR="004169F3">
        <w:rPr>
          <w:rFonts w:ascii="Arial" w:hAnsi="Arial" w:cs="Arial"/>
          <w:sz w:val="20"/>
          <w:szCs w:val="20"/>
          <w:lang w:val="bg-BG"/>
        </w:rPr>
        <w:t>о</w:t>
      </w:r>
      <w:r w:rsidR="00ED1576">
        <w:rPr>
          <w:rFonts w:ascii="Arial" w:hAnsi="Arial" w:cs="Arial"/>
          <w:sz w:val="20"/>
          <w:szCs w:val="20"/>
          <w:lang w:val="bg-BG"/>
        </w:rPr>
        <w:t xml:space="preserve"> с</w:t>
      </w:r>
      <w:r w:rsidRPr="00A446DD">
        <w:rPr>
          <w:rFonts w:ascii="Arial" w:hAnsi="Arial" w:cs="Arial"/>
          <w:sz w:val="20"/>
          <w:szCs w:val="20"/>
          <w:lang w:val="bg-BG"/>
        </w:rPr>
        <w:t>поразумени</w:t>
      </w:r>
      <w:r w:rsidR="004169F3">
        <w:rPr>
          <w:rFonts w:ascii="Arial" w:hAnsi="Arial" w:cs="Arial"/>
          <w:sz w:val="20"/>
          <w:szCs w:val="20"/>
          <w:lang w:val="bg-BG"/>
        </w:rPr>
        <w:t>е</w:t>
      </w:r>
      <w:r w:rsidRPr="00A446DD">
        <w:rPr>
          <w:rFonts w:ascii="Arial" w:hAnsi="Arial" w:cs="Arial"/>
          <w:sz w:val="20"/>
          <w:szCs w:val="20"/>
          <w:lang w:val="bg-BG"/>
        </w:rPr>
        <w:t>;</w:t>
      </w:r>
    </w:p>
    <w:p w14:paraId="38588620" w14:textId="77777777" w:rsidR="00212A53" w:rsidRPr="00A446DD" w:rsidRDefault="00212A53" w:rsidP="00A446DD">
      <w:pPr>
        <w:pStyle w:val="ListParagraph"/>
        <w:numPr>
          <w:ilvl w:val="0"/>
          <w:numId w:val="73"/>
        </w:numPr>
        <w:spacing w:after="120"/>
        <w:jc w:val="both"/>
        <w:rPr>
          <w:rFonts w:ascii="Arial" w:hAnsi="Arial" w:cs="Arial"/>
          <w:sz w:val="20"/>
          <w:szCs w:val="20"/>
          <w:lang w:val="bg-BG"/>
        </w:rPr>
      </w:pPr>
      <w:r w:rsidRPr="00A446DD">
        <w:rPr>
          <w:rFonts w:ascii="Arial" w:hAnsi="Arial" w:cs="Arial"/>
          <w:sz w:val="20"/>
          <w:szCs w:val="20"/>
          <w:lang w:val="bg-BG"/>
        </w:rPr>
        <w:t xml:space="preserve">Все още се наблюдават пазарни неуспехи, които могат да бъдат адресирани чрез ФИ. Това е демонстрирано чрез </w:t>
      </w:r>
      <w:r w:rsidR="004E69AD" w:rsidRPr="00BC7695">
        <w:rPr>
          <w:lang w:val="bg-BG"/>
        </w:rPr>
        <w:t xml:space="preserve"> </w:t>
      </w:r>
      <w:r w:rsidR="004E69AD" w:rsidRPr="004E69AD">
        <w:rPr>
          <w:rFonts w:ascii="Arial" w:hAnsi="Arial" w:cs="Arial"/>
          <w:sz w:val="20"/>
          <w:szCs w:val="20"/>
          <w:lang w:val="bg-BG"/>
        </w:rPr>
        <w:t>оценка на пазарните условия</w:t>
      </w:r>
      <w:r w:rsidR="004E69AD">
        <w:rPr>
          <w:rFonts w:ascii="Arial" w:hAnsi="Arial" w:cs="Arial"/>
          <w:sz w:val="20"/>
          <w:szCs w:val="20"/>
          <w:lang w:val="bg-BG"/>
        </w:rPr>
        <w:t>, която</w:t>
      </w:r>
      <w:r w:rsidR="004E69AD" w:rsidRPr="004E69AD">
        <w:rPr>
          <w:rFonts w:ascii="Arial" w:hAnsi="Arial" w:cs="Arial"/>
          <w:sz w:val="20"/>
          <w:szCs w:val="20"/>
          <w:lang w:val="bg-BG"/>
        </w:rPr>
        <w:t xml:space="preserve"> </w:t>
      </w:r>
      <w:r w:rsidR="00A446DD">
        <w:rPr>
          <w:rFonts w:ascii="Arial" w:hAnsi="Arial" w:cs="Arial"/>
          <w:sz w:val="20"/>
          <w:szCs w:val="20"/>
          <w:lang w:val="bg-BG"/>
        </w:rPr>
        <w:t>показва</w:t>
      </w:r>
      <w:r w:rsidR="004E69AD" w:rsidRPr="004E69AD">
        <w:rPr>
          <w:rFonts w:ascii="Arial" w:hAnsi="Arial" w:cs="Arial"/>
          <w:sz w:val="20"/>
          <w:szCs w:val="20"/>
          <w:lang w:val="bg-BG"/>
        </w:rPr>
        <w:t xml:space="preserve"> продължаваща нужда от такава инвестиция или от други форми на подкрепа</w:t>
      </w:r>
      <w:r w:rsidR="004E69AD">
        <w:rPr>
          <w:rFonts w:ascii="Arial" w:hAnsi="Arial" w:cs="Arial"/>
          <w:sz w:val="20"/>
          <w:szCs w:val="20"/>
          <w:lang w:val="bg-BG"/>
        </w:rPr>
        <w:t>, в съответствие с изискванията на чл.45 от Регламент 1303/2013</w:t>
      </w:r>
      <w:r w:rsidRPr="00A446DD">
        <w:rPr>
          <w:rFonts w:ascii="Arial" w:hAnsi="Arial" w:cs="Arial"/>
          <w:sz w:val="20"/>
          <w:szCs w:val="20"/>
          <w:lang w:val="bg-BG"/>
        </w:rPr>
        <w:t>;</w:t>
      </w:r>
    </w:p>
    <w:p w14:paraId="371E5138" w14:textId="77777777" w:rsidR="00212A53" w:rsidRPr="00A446DD" w:rsidRDefault="00212A53" w:rsidP="00A446DD">
      <w:pPr>
        <w:pStyle w:val="ListParagraph"/>
        <w:numPr>
          <w:ilvl w:val="0"/>
          <w:numId w:val="73"/>
        </w:numPr>
        <w:spacing w:after="120"/>
        <w:jc w:val="both"/>
        <w:rPr>
          <w:rFonts w:ascii="Arial" w:hAnsi="Arial" w:cs="Arial"/>
          <w:sz w:val="20"/>
          <w:szCs w:val="20"/>
          <w:lang w:val="bg-BG"/>
        </w:rPr>
      </w:pPr>
      <w:r w:rsidRPr="00A446DD">
        <w:rPr>
          <w:rFonts w:ascii="Arial" w:hAnsi="Arial" w:cs="Arial"/>
          <w:sz w:val="20"/>
          <w:szCs w:val="20"/>
          <w:lang w:val="bg-BG"/>
        </w:rPr>
        <w:t>Няма алтернативни финансови продукти или други типове финансиране (например, нови инструменти на пазара, безвъзмездна финансова помощ и т.н.), които биха могли по-ефективно да адресират пазарните неуспехи;</w:t>
      </w:r>
    </w:p>
    <w:p w14:paraId="211E91C9" w14:textId="77777777" w:rsidR="00212A53" w:rsidRPr="00A446DD" w:rsidRDefault="00212A53" w:rsidP="00A446DD">
      <w:pPr>
        <w:pStyle w:val="ListParagraph"/>
        <w:numPr>
          <w:ilvl w:val="0"/>
          <w:numId w:val="73"/>
        </w:numPr>
        <w:spacing w:after="120"/>
        <w:jc w:val="both"/>
        <w:rPr>
          <w:rFonts w:ascii="Arial" w:hAnsi="Arial" w:cs="Arial"/>
          <w:sz w:val="20"/>
          <w:szCs w:val="20"/>
          <w:lang w:val="bg-BG"/>
        </w:rPr>
      </w:pPr>
      <w:r w:rsidRPr="00A446DD">
        <w:rPr>
          <w:rFonts w:ascii="Arial" w:hAnsi="Arial" w:cs="Arial"/>
          <w:sz w:val="20"/>
          <w:szCs w:val="20"/>
          <w:lang w:val="bg-BG"/>
        </w:rPr>
        <w:t>Не е установено нарушаване на конкуренцията на пазара в секторите, в които ФИ оперират.</w:t>
      </w:r>
    </w:p>
    <w:p w14:paraId="2CCB8797" w14:textId="77777777" w:rsidR="00D159A1" w:rsidRPr="008578A1" w:rsidRDefault="00D159A1" w:rsidP="00D159A1">
      <w:pPr>
        <w:jc w:val="both"/>
        <w:rPr>
          <w:rFonts w:ascii="Arial" w:hAnsi="Arial" w:cs="Arial"/>
          <w:sz w:val="20"/>
          <w:szCs w:val="20"/>
          <w:lang w:val="bg-BG"/>
        </w:rPr>
      </w:pPr>
      <w:r>
        <w:rPr>
          <w:rFonts w:ascii="Arial" w:hAnsi="Arial" w:cs="Arial"/>
          <w:sz w:val="20"/>
          <w:szCs w:val="20"/>
          <w:lang w:val="bg-BG"/>
        </w:rPr>
        <w:t>Препоръчва се двата варианта да се о</w:t>
      </w:r>
      <w:r w:rsidR="000058FD">
        <w:rPr>
          <w:rFonts w:ascii="Arial" w:hAnsi="Arial" w:cs="Arial"/>
          <w:sz w:val="20"/>
          <w:szCs w:val="20"/>
          <w:lang w:val="bg-BG"/>
        </w:rPr>
        <w:t>тразят</w:t>
      </w:r>
      <w:r>
        <w:rPr>
          <w:rFonts w:ascii="Arial" w:hAnsi="Arial" w:cs="Arial"/>
          <w:sz w:val="20"/>
          <w:szCs w:val="20"/>
          <w:lang w:val="bg-BG"/>
        </w:rPr>
        <w:t xml:space="preserve"> </w:t>
      </w:r>
      <w:r w:rsidR="00C37D7E">
        <w:rPr>
          <w:rFonts w:ascii="Arial" w:hAnsi="Arial" w:cs="Arial"/>
          <w:sz w:val="20"/>
          <w:szCs w:val="20"/>
          <w:lang w:val="bg-BG"/>
        </w:rPr>
        <w:t>в</w:t>
      </w:r>
      <w:r>
        <w:rPr>
          <w:rFonts w:ascii="Arial" w:hAnsi="Arial" w:cs="Arial"/>
          <w:sz w:val="20"/>
          <w:szCs w:val="20"/>
          <w:lang w:val="bg-BG"/>
        </w:rPr>
        <w:t xml:space="preserve"> </w:t>
      </w:r>
      <w:r w:rsidR="00C37D7E">
        <w:rPr>
          <w:rFonts w:ascii="Arial" w:hAnsi="Arial" w:cs="Arial"/>
          <w:sz w:val="20"/>
          <w:szCs w:val="20"/>
          <w:lang w:val="bg-BG"/>
        </w:rPr>
        <w:t>оперативн</w:t>
      </w:r>
      <w:r w:rsidR="004169F3">
        <w:rPr>
          <w:rFonts w:ascii="Arial" w:hAnsi="Arial" w:cs="Arial"/>
          <w:sz w:val="20"/>
          <w:szCs w:val="20"/>
          <w:lang w:val="bg-BG"/>
        </w:rPr>
        <w:t>ото</w:t>
      </w:r>
      <w:r w:rsidR="00C37D7E">
        <w:rPr>
          <w:rFonts w:ascii="Arial" w:hAnsi="Arial" w:cs="Arial"/>
          <w:sz w:val="20"/>
          <w:szCs w:val="20"/>
          <w:lang w:val="bg-BG"/>
        </w:rPr>
        <w:t xml:space="preserve"> </w:t>
      </w:r>
      <w:r>
        <w:rPr>
          <w:rFonts w:ascii="Arial" w:hAnsi="Arial" w:cs="Arial"/>
          <w:sz w:val="20"/>
          <w:szCs w:val="20"/>
          <w:lang w:val="bg-BG"/>
        </w:rPr>
        <w:t>споразумени</w:t>
      </w:r>
      <w:r w:rsidR="004169F3">
        <w:rPr>
          <w:rFonts w:ascii="Arial" w:hAnsi="Arial" w:cs="Arial"/>
          <w:sz w:val="20"/>
          <w:szCs w:val="20"/>
          <w:lang w:val="bg-BG"/>
        </w:rPr>
        <w:t>е</w:t>
      </w:r>
      <w:r>
        <w:rPr>
          <w:rFonts w:ascii="Arial" w:hAnsi="Arial" w:cs="Arial"/>
          <w:sz w:val="20"/>
          <w:szCs w:val="20"/>
          <w:lang w:val="bg-BG"/>
        </w:rPr>
        <w:t xml:space="preserve"> с избрани</w:t>
      </w:r>
      <w:r w:rsidR="004169F3">
        <w:rPr>
          <w:rFonts w:ascii="Arial" w:hAnsi="Arial" w:cs="Arial"/>
          <w:sz w:val="20"/>
          <w:szCs w:val="20"/>
          <w:lang w:val="bg-BG"/>
        </w:rPr>
        <w:t>я</w:t>
      </w:r>
      <w:r>
        <w:rPr>
          <w:rFonts w:ascii="Arial" w:hAnsi="Arial" w:cs="Arial"/>
          <w:sz w:val="20"/>
          <w:szCs w:val="20"/>
          <w:lang w:val="bg-BG"/>
        </w:rPr>
        <w:t xml:space="preserve"> </w:t>
      </w:r>
      <w:r w:rsidRPr="0051416F">
        <w:rPr>
          <w:rFonts w:ascii="Arial" w:hAnsi="Arial" w:cs="Arial"/>
          <w:sz w:val="20"/>
          <w:szCs w:val="20"/>
          <w:lang w:val="bg-BG"/>
        </w:rPr>
        <w:t>фонд мениджър</w:t>
      </w:r>
      <w:r>
        <w:rPr>
          <w:rFonts w:ascii="Arial" w:hAnsi="Arial" w:cs="Arial"/>
          <w:sz w:val="20"/>
          <w:szCs w:val="20"/>
          <w:lang w:val="bg-BG"/>
        </w:rPr>
        <w:t xml:space="preserve"> на специалн</w:t>
      </w:r>
      <w:r w:rsidR="004169F3">
        <w:rPr>
          <w:rFonts w:ascii="Arial" w:hAnsi="Arial" w:cs="Arial"/>
          <w:sz w:val="20"/>
          <w:szCs w:val="20"/>
          <w:lang w:val="bg-BG"/>
        </w:rPr>
        <w:t>а</w:t>
      </w:r>
      <w:r w:rsidRPr="0051416F">
        <w:rPr>
          <w:rFonts w:ascii="Arial" w:hAnsi="Arial" w:cs="Arial"/>
          <w:sz w:val="20"/>
          <w:szCs w:val="20"/>
          <w:lang w:val="bg-BG"/>
        </w:rPr>
        <w:t xml:space="preserve"> инвестиционн</w:t>
      </w:r>
      <w:r w:rsidR="004169F3">
        <w:rPr>
          <w:rFonts w:ascii="Arial" w:hAnsi="Arial" w:cs="Arial"/>
          <w:sz w:val="20"/>
          <w:szCs w:val="20"/>
          <w:lang w:val="bg-BG"/>
        </w:rPr>
        <w:t>а</w:t>
      </w:r>
      <w:r w:rsidRPr="0051416F">
        <w:rPr>
          <w:rFonts w:ascii="Arial" w:hAnsi="Arial" w:cs="Arial"/>
          <w:sz w:val="20"/>
          <w:szCs w:val="20"/>
          <w:lang w:val="bg-BG"/>
        </w:rPr>
        <w:t xml:space="preserve"> структур</w:t>
      </w:r>
      <w:r w:rsidR="004169F3">
        <w:rPr>
          <w:rFonts w:ascii="Arial" w:hAnsi="Arial" w:cs="Arial"/>
          <w:sz w:val="20"/>
          <w:szCs w:val="20"/>
          <w:lang w:val="bg-BG"/>
        </w:rPr>
        <w:t>а</w:t>
      </w:r>
      <w:r w:rsidRPr="0051416F">
        <w:rPr>
          <w:rFonts w:ascii="Arial" w:hAnsi="Arial" w:cs="Arial"/>
          <w:sz w:val="20"/>
          <w:szCs w:val="20"/>
          <w:lang w:val="bg-BG"/>
        </w:rPr>
        <w:t xml:space="preserve"> (</w:t>
      </w:r>
      <w:r w:rsidRPr="005C3081">
        <w:rPr>
          <w:rFonts w:ascii="Arial" w:hAnsi="Arial" w:cs="Arial"/>
          <w:sz w:val="20"/>
          <w:szCs w:val="20"/>
        </w:rPr>
        <w:t>DIV</w:t>
      </w:r>
      <w:r w:rsidRPr="0051416F">
        <w:rPr>
          <w:rFonts w:ascii="Arial" w:hAnsi="Arial" w:cs="Arial"/>
          <w:sz w:val="20"/>
          <w:szCs w:val="20"/>
          <w:lang w:val="bg-BG"/>
        </w:rPr>
        <w:t>)</w:t>
      </w:r>
      <w:r>
        <w:rPr>
          <w:rFonts w:ascii="Arial" w:hAnsi="Arial" w:cs="Arial"/>
          <w:sz w:val="20"/>
          <w:szCs w:val="20"/>
          <w:lang w:val="bg-BG"/>
        </w:rPr>
        <w:t>, ведно</w:t>
      </w:r>
      <w:r w:rsidR="000058FD">
        <w:rPr>
          <w:rFonts w:ascii="Arial" w:hAnsi="Arial" w:cs="Arial"/>
          <w:sz w:val="20"/>
          <w:szCs w:val="20"/>
          <w:lang w:val="bg-BG"/>
        </w:rPr>
        <w:t xml:space="preserve"> с ясни и измерими критерии и </w:t>
      </w:r>
      <w:r>
        <w:rPr>
          <w:rFonts w:ascii="Arial" w:hAnsi="Arial" w:cs="Arial"/>
          <w:sz w:val="20"/>
          <w:szCs w:val="20"/>
          <w:lang w:val="bg-BG"/>
        </w:rPr>
        <w:t xml:space="preserve">етапни цели </w:t>
      </w:r>
      <w:r w:rsidR="000058FD">
        <w:rPr>
          <w:rFonts w:ascii="Arial" w:hAnsi="Arial" w:cs="Arial"/>
          <w:sz w:val="20"/>
          <w:szCs w:val="20"/>
          <w:lang w:val="bg-BG"/>
        </w:rPr>
        <w:t xml:space="preserve">за мониторинг на </w:t>
      </w:r>
      <w:r w:rsidR="00B368B0">
        <w:rPr>
          <w:rFonts w:ascii="Arial" w:hAnsi="Arial" w:cs="Arial"/>
          <w:sz w:val="20"/>
          <w:szCs w:val="20"/>
          <w:lang w:val="bg-BG"/>
        </w:rPr>
        <w:t xml:space="preserve">напредъка </w:t>
      </w:r>
      <w:r w:rsidR="00A446DD">
        <w:rPr>
          <w:rFonts w:ascii="Arial" w:hAnsi="Arial" w:cs="Arial"/>
          <w:sz w:val="20"/>
          <w:szCs w:val="20"/>
          <w:lang w:val="bg-BG"/>
        </w:rPr>
        <w:t>в</w:t>
      </w:r>
      <w:r w:rsidR="00B368B0">
        <w:rPr>
          <w:rFonts w:ascii="Arial" w:hAnsi="Arial" w:cs="Arial"/>
          <w:sz w:val="20"/>
          <w:szCs w:val="20"/>
          <w:lang w:val="bg-BG"/>
        </w:rPr>
        <w:t xml:space="preserve"> приложението </w:t>
      </w:r>
      <w:r w:rsidR="000058FD">
        <w:rPr>
          <w:rFonts w:ascii="Arial" w:hAnsi="Arial" w:cs="Arial"/>
          <w:sz w:val="20"/>
          <w:szCs w:val="20"/>
          <w:lang w:val="bg-BG"/>
        </w:rPr>
        <w:t>на ФИ</w:t>
      </w:r>
      <w:r>
        <w:rPr>
          <w:rFonts w:ascii="Arial" w:hAnsi="Arial" w:cs="Arial"/>
          <w:sz w:val="20"/>
          <w:szCs w:val="20"/>
          <w:lang w:val="bg-BG"/>
        </w:rPr>
        <w:t xml:space="preserve">. Тъй като </w:t>
      </w:r>
      <w:r w:rsidR="000058FD">
        <w:rPr>
          <w:rFonts w:ascii="Arial" w:hAnsi="Arial" w:cs="Arial"/>
          <w:sz w:val="20"/>
          <w:szCs w:val="20"/>
          <w:lang w:val="bg-BG"/>
        </w:rPr>
        <w:t xml:space="preserve">настоящата </w:t>
      </w:r>
      <w:r>
        <w:rPr>
          <w:rFonts w:ascii="Arial" w:hAnsi="Arial" w:cs="Arial"/>
          <w:sz w:val="20"/>
          <w:szCs w:val="20"/>
          <w:lang w:val="bg-BG"/>
        </w:rPr>
        <w:t xml:space="preserve">ИС е изготвена </w:t>
      </w:r>
      <w:r w:rsidR="000058FD">
        <w:rPr>
          <w:rFonts w:ascii="Arial" w:hAnsi="Arial" w:cs="Arial"/>
          <w:sz w:val="20"/>
          <w:szCs w:val="20"/>
          <w:lang w:val="bg-BG"/>
        </w:rPr>
        <w:t>по време на</w:t>
      </w:r>
      <w:r>
        <w:rPr>
          <w:rFonts w:ascii="Arial" w:hAnsi="Arial" w:cs="Arial"/>
          <w:sz w:val="20"/>
          <w:szCs w:val="20"/>
          <w:lang w:val="bg-BG"/>
        </w:rPr>
        <w:t xml:space="preserve"> </w:t>
      </w:r>
      <w:r w:rsidR="00B368B0">
        <w:rPr>
          <w:rFonts w:ascii="Arial" w:hAnsi="Arial" w:cs="Arial"/>
          <w:sz w:val="20"/>
          <w:szCs w:val="20"/>
          <w:lang w:val="bg-BG"/>
        </w:rPr>
        <w:t xml:space="preserve">ключови </w:t>
      </w:r>
      <w:r w:rsidR="009D1001">
        <w:rPr>
          <w:rFonts w:ascii="Arial" w:hAnsi="Arial" w:cs="Arial"/>
          <w:sz w:val="20"/>
          <w:szCs w:val="20"/>
          <w:lang w:val="bg-BG"/>
        </w:rPr>
        <w:t xml:space="preserve">промени в сектор ВиК </w:t>
      </w:r>
      <w:r>
        <w:rPr>
          <w:rFonts w:ascii="Arial" w:hAnsi="Arial" w:cs="Arial"/>
          <w:sz w:val="20"/>
          <w:szCs w:val="20"/>
          <w:lang w:val="bg-BG"/>
        </w:rPr>
        <w:t>(консолидация</w:t>
      </w:r>
      <w:r w:rsidR="000058FD">
        <w:rPr>
          <w:rFonts w:ascii="Arial" w:hAnsi="Arial" w:cs="Arial"/>
          <w:sz w:val="20"/>
          <w:szCs w:val="20"/>
          <w:lang w:val="bg-BG"/>
        </w:rPr>
        <w:t xml:space="preserve"> на ВиКО</w:t>
      </w:r>
      <w:r>
        <w:rPr>
          <w:rFonts w:ascii="Arial" w:hAnsi="Arial" w:cs="Arial"/>
          <w:sz w:val="20"/>
          <w:szCs w:val="20"/>
          <w:lang w:val="bg-BG"/>
        </w:rPr>
        <w:t xml:space="preserve">, </w:t>
      </w:r>
      <w:r w:rsidR="000058FD">
        <w:rPr>
          <w:rFonts w:ascii="Arial" w:hAnsi="Arial" w:cs="Arial"/>
          <w:sz w:val="20"/>
          <w:szCs w:val="20"/>
          <w:lang w:val="bg-BG"/>
        </w:rPr>
        <w:t xml:space="preserve">приключване на </w:t>
      </w:r>
      <w:r>
        <w:rPr>
          <w:rFonts w:ascii="Arial" w:hAnsi="Arial" w:cs="Arial"/>
          <w:sz w:val="20"/>
          <w:szCs w:val="20"/>
          <w:lang w:val="bg-BG"/>
        </w:rPr>
        <w:t xml:space="preserve">РПИП), е препоръчително мониторингът </w:t>
      </w:r>
      <w:r w:rsidR="000058FD">
        <w:rPr>
          <w:rFonts w:ascii="Arial" w:hAnsi="Arial" w:cs="Arial"/>
          <w:sz w:val="20"/>
          <w:szCs w:val="20"/>
          <w:lang w:val="bg-BG"/>
        </w:rPr>
        <w:t xml:space="preserve">на </w:t>
      </w:r>
      <w:r w:rsidR="00A54AD1">
        <w:rPr>
          <w:rFonts w:ascii="Arial" w:hAnsi="Arial" w:cs="Arial"/>
          <w:sz w:val="20"/>
          <w:szCs w:val="20"/>
          <w:lang w:val="bg-BG"/>
        </w:rPr>
        <w:t xml:space="preserve">напредъка в постигането на </w:t>
      </w:r>
      <w:r w:rsidR="000058FD">
        <w:rPr>
          <w:rFonts w:ascii="Arial" w:hAnsi="Arial" w:cs="Arial"/>
          <w:sz w:val="20"/>
          <w:szCs w:val="20"/>
          <w:lang w:val="bg-BG"/>
        </w:rPr>
        <w:t xml:space="preserve">етапните цели </w:t>
      </w:r>
      <w:r>
        <w:rPr>
          <w:rFonts w:ascii="Arial" w:hAnsi="Arial" w:cs="Arial"/>
          <w:sz w:val="20"/>
          <w:szCs w:val="20"/>
          <w:lang w:val="bg-BG"/>
        </w:rPr>
        <w:t xml:space="preserve">да бъде провеждан поне веднъж годишно. </w:t>
      </w:r>
      <w:r w:rsidR="000058FD">
        <w:rPr>
          <w:rFonts w:ascii="Arial" w:hAnsi="Arial" w:cs="Arial"/>
          <w:sz w:val="20"/>
          <w:szCs w:val="20"/>
          <w:lang w:val="bg-BG"/>
        </w:rPr>
        <w:t>При неуспех в постигането на</w:t>
      </w:r>
      <w:r>
        <w:rPr>
          <w:rFonts w:ascii="Arial" w:hAnsi="Arial" w:cs="Arial"/>
          <w:sz w:val="20"/>
          <w:szCs w:val="20"/>
          <w:lang w:val="bg-BG"/>
        </w:rPr>
        <w:t xml:space="preserve"> </w:t>
      </w:r>
      <w:r w:rsidR="000058FD">
        <w:rPr>
          <w:rFonts w:ascii="Arial" w:hAnsi="Arial" w:cs="Arial"/>
          <w:sz w:val="20"/>
          <w:szCs w:val="20"/>
          <w:lang w:val="bg-BG"/>
        </w:rPr>
        <w:t xml:space="preserve">заложените </w:t>
      </w:r>
      <w:r>
        <w:rPr>
          <w:rFonts w:ascii="Arial" w:hAnsi="Arial" w:cs="Arial"/>
          <w:sz w:val="20"/>
          <w:szCs w:val="20"/>
          <w:lang w:val="bg-BG"/>
        </w:rPr>
        <w:t>етапни цели</w:t>
      </w:r>
      <w:r w:rsidR="000058FD">
        <w:rPr>
          <w:rFonts w:ascii="Arial" w:hAnsi="Arial" w:cs="Arial"/>
          <w:sz w:val="20"/>
          <w:szCs w:val="20"/>
          <w:lang w:val="bg-BG"/>
        </w:rPr>
        <w:t>,</w:t>
      </w:r>
      <w:r>
        <w:rPr>
          <w:rFonts w:ascii="Arial" w:hAnsi="Arial" w:cs="Arial"/>
          <w:sz w:val="20"/>
          <w:szCs w:val="20"/>
          <w:lang w:val="bg-BG"/>
        </w:rPr>
        <w:t xml:space="preserve"> би </w:t>
      </w:r>
      <w:r w:rsidR="000058FD">
        <w:rPr>
          <w:rFonts w:ascii="Arial" w:hAnsi="Arial" w:cs="Arial"/>
          <w:sz w:val="20"/>
          <w:szCs w:val="20"/>
          <w:lang w:val="bg-BG"/>
        </w:rPr>
        <w:t>следвало</w:t>
      </w:r>
      <w:r>
        <w:rPr>
          <w:rFonts w:ascii="Arial" w:hAnsi="Arial" w:cs="Arial"/>
          <w:sz w:val="20"/>
          <w:szCs w:val="20"/>
          <w:lang w:val="bg-BG"/>
        </w:rPr>
        <w:t xml:space="preserve"> да </w:t>
      </w:r>
      <w:r w:rsidR="000058FD">
        <w:rPr>
          <w:rFonts w:ascii="Arial" w:hAnsi="Arial" w:cs="Arial"/>
          <w:sz w:val="20"/>
          <w:szCs w:val="20"/>
          <w:lang w:val="bg-BG"/>
        </w:rPr>
        <w:t xml:space="preserve">се проведат </w:t>
      </w:r>
      <w:r>
        <w:rPr>
          <w:rFonts w:ascii="Arial" w:hAnsi="Arial" w:cs="Arial"/>
          <w:sz w:val="20"/>
          <w:szCs w:val="20"/>
          <w:lang w:val="bg-BG"/>
        </w:rPr>
        <w:t xml:space="preserve">дискусии с УО и може да се наложи преразглеждане на </w:t>
      </w:r>
      <w:r w:rsidR="000058FD">
        <w:rPr>
          <w:rFonts w:ascii="Arial" w:hAnsi="Arial" w:cs="Arial"/>
          <w:sz w:val="20"/>
          <w:szCs w:val="20"/>
          <w:lang w:val="bg-BG"/>
        </w:rPr>
        <w:t>настоящата ИС, вкл</w:t>
      </w:r>
      <w:r w:rsidR="00C42549">
        <w:rPr>
          <w:rFonts w:ascii="Arial" w:hAnsi="Arial" w:cs="Arial"/>
          <w:sz w:val="20"/>
          <w:szCs w:val="20"/>
          <w:lang w:val="bg-BG"/>
        </w:rPr>
        <w:t>ючително и</w:t>
      </w:r>
      <w:r w:rsidR="000058FD">
        <w:rPr>
          <w:rFonts w:ascii="Arial" w:hAnsi="Arial" w:cs="Arial"/>
          <w:sz w:val="20"/>
          <w:szCs w:val="20"/>
          <w:lang w:val="bg-BG"/>
        </w:rPr>
        <w:t xml:space="preserve"> </w:t>
      </w:r>
      <w:r w:rsidR="00A54AD1">
        <w:rPr>
          <w:rFonts w:ascii="Arial" w:hAnsi="Arial" w:cs="Arial"/>
          <w:sz w:val="20"/>
          <w:szCs w:val="20"/>
          <w:lang w:val="bg-BG"/>
        </w:rPr>
        <w:t>по-</w:t>
      </w:r>
      <w:r>
        <w:rPr>
          <w:rFonts w:ascii="Arial" w:hAnsi="Arial" w:cs="Arial"/>
          <w:sz w:val="20"/>
          <w:szCs w:val="20"/>
          <w:lang w:val="bg-BG"/>
        </w:rPr>
        <w:t>ранно излизане от ФИ.</w:t>
      </w:r>
    </w:p>
    <w:p w14:paraId="171D6ED8" w14:textId="77777777" w:rsidR="00D1724A" w:rsidRPr="00D1724A" w:rsidRDefault="000058FD" w:rsidP="00D1724A">
      <w:pPr>
        <w:pStyle w:val="ListParagraph"/>
        <w:spacing w:after="120"/>
        <w:ind w:left="0"/>
        <w:contextualSpacing w:val="0"/>
        <w:jc w:val="both"/>
        <w:rPr>
          <w:rFonts w:ascii="Arial" w:hAnsi="Arial" w:cs="Arial"/>
          <w:sz w:val="20"/>
          <w:szCs w:val="20"/>
          <w:lang w:val="bg-BG"/>
        </w:rPr>
      </w:pPr>
      <w:r>
        <w:rPr>
          <w:rFonts w:ascii="Arial" w:hAnsi="Arial" w:cs="Arial"/>
          <w:sz w:val="20"/>
          <w:szCs w:val="20"/>
          <w:lang w:val="bg-BG"/>
        </w:rPr>
        <w:t xml:space="preserve">Съгласно </w:t>
      </w:r>
      <w:r w:rsidR="00AB4ADE">
        <w:rPr>
          <w:rFonts w:ascii="Arial" w:hAnsi="Arial" w:cs="Arial"/>
          <w:sz w:val="20"/>
          <w:szCs w:val="20"/>
          <w:lang w:val="bg-BG"/>
        </w:rPr>
        <w:t>времевата рамка за прилагане на ФИ, планирана</w:t>
      </w:r>
      <w:r>
        <w:rPr>
          <w:rFonts w:ascii="Arial" w:hAnsi="Arial" w:cs="Arial"/>
          <w:sz w:val="20"/>
          <w:szCs w:val="20"/>
          <w:lang w:val="bg-BG"/>
        </w:rPr>
        <w:t xml:space="preserve"> в т. 3, </w:t>
      </w:r>
      <w:r w:rsidRPr="00AF7CBB">
        <w:rPr>
          <w:rFonts w:ascii="Arial" w:hAnsi="Arial" w:cs="Arial"/>
          <w:sz w:val="20"/>
          <w:szCs w:val="20"/>
          <w:lang w:val="bg-BG"/>
        </w:rPr>
        <w:t>първите изплащания на главницата са предвидени най-рано през 20</w:t>
      </w:r>
      <w:r w:rsidR="009503B1" w:rsidRPr="00F0399A">
        <w:rPr>
          <w:rFonts w:ascii="Arial" w:hAnsi="Arial" w:cs="Arial"/>
          <w:sz w:val="20"/>
          <w:szCs w:val="20"/>
          <w:lang w:val="bg-BG"/>
        </w:rPr>
        <w:t>20</w:t>
      </w:r>
      <w:r w:rsidRPr="00AF7CBB">
        <w:rPr>
          <w:rFonts w:ascii="Arial" w:hAnsi="Arial" w:cs="Arial"/>
          <w:sz w:val="20"/>
          <w:szCs w:val="20"/>
          <w:lang w:val="bg-BG"/>
        </w:rPr>
        <w:t xml:space="preserve"> г.</w:t>
      </w:r>
      <w:r>
        <w:rPr>
          <w:rFonts w:ascii="Arial" w:hAnsi="Arial" w:cs="Arial"/>
          <w:sz w:val="20"/>
          <w:szCs w:val="20"/>
          <w:lang w:val="bg-BG"/>
        </w:rPr>
        <w:t xml:space="preserve"> </w:t>
      </w:r>
      <w:r w:rsidR="00D1724A">
        <w:rPr>
          <w:rFonts w:ascii="Arial" w:hAnsi="Arial" w:cs="Arial"/>
          <w:sz w:val="20"/>
          <w:szCs w:val="20"/>
          <w:lang w:val="bg-BG"/>
        </w:rPr>
        <w:t>П</w:t>
      </w:r>
      <w:r>
        <w:rPr>
          <w:rFonts w:ascii="Arial" w:hAnsi="Arial" w:cs="Arial"/>
          <w:sz w:val="20"/>
          <w:szCs w:val="20"/>
          <w:lang w:val="bg-BG"/>
        </w:rPr>
        <w:t>ървите изплащания на лихви по директни заеми, отпуснати от специалната инвестиционна структура (</w:t>
      </w:r>
      <w:r>
        <w:rPr>
          <w:rFonts w:ascii="Arial" w:hAnsi="Arial" w:cs="Arial"/>
          <w:sz w:val="20"/>
          <w:szCs w:val="20"/>
        </w:rPr>
        <w:t>DIV</w:t>
      </w:r>
      <w:r w:rsidRPr="000058FD">
        <w:rPr>
          <w:rFonts w:ascii="Arial" w:hAnsi="Arial" w:cs="Arial"/>
          <w:sz w:val="20"/>
          <w:szCs w:val="20"/>
          <w:lang w:val="bg-BG"/>
        </w:rPr>
        <w:t>)</w:t>
      </w:r>
      <w:r w:rsidR="00791AAA">
        <w:rPr>
          <w:rFonts w:ascii="Arial" w:hAnsi="Arial" w:cs="Arial"/>
          <w:sz w:val="20"/>
          <w:szCs w:val="20"/>
          <w:lang w:val="bg-BG"/>
        </w:rPr>
        <w:t xml:space="preserve"> или ФМФИБ ЕАД</w:t>
      </w:r>
      <w:r w:rsidR="00D1724A">
        <w:rPr>
          <w:rFonts w:ascii="Arial" w:hAnsi="Arial" w:cs="Arial"/>
          <w:sz w:val="20"/>
          <w:szCs w:val="20"/>
          <w:lang w:val="bg-BG"/>
        </w:rPr>
        <w:t>,</w:t>
      </w:r>
      <w:r>
        <w:rPr>
          <w:rFonts w:ascii="Arial" w:hAnsi="Arial" w:cs="Arial"/>
          <w:sz w:val="20"/>
          <w:szCs w:val="20"/>
          <w:lang w:val="bg-BG"/>
        </w:rPr>
        <w:t xml:space="preserve"> м</w:t>
      </w:r>
      <w:r w:rsidR="00D1724A">
        <w:rPr>
          <w:rFonts w:ascii="Arial" w:hAnsi="Arial" w:cs="Arial"/>
          <w:sz w:val="20"/>
          <w:szCs w:val="20"/>
          <w:lang w:val="bg-BG"/>
        </w:rPr>
        <w:t>оже да се очакват през 201</w:t>
      </w:r>
      <w:r w:rsidR="009503B1">
        <w:rPr>
          <w:rFonts w:ascii="Arial" w:hAnsi="Arial" w:cs="Arial"/>
          <w:sz w:val="20"/>
          <w:szCs w:val="20"/>
          <w:lang w:val="bg-BG"/>
        </w:rPr>
        <w:t>9</w:t>
      </w:r>
      <w:r w:rsidR="00D1724A">
        <w:rPr>
          <w:rFonts w:ascii="Arial" w:hAnsi="Arial" w:cs="Arial"/>
          <w:sz w:val="20"/>
          <w:szCs w:val="20"/>
          <w:lang w:val="bg-BG"/>
        </w:rPr>
        <w:t xml:space="preserve"> г.</w:t>
      </w:r>
      <w:r>
        <w:rPr>
          <w:rFonts w:ascii="Arial" w:hAnsi="Arial" w:cs="Arial"/>
          <w:sz w:val="20"/>
          <w:szCs w:val="20"/>
          <w:lang w:val="bg-BG"/>
        </w:rPr>
        <w:t xml:space="preserve"> Препоръчително е да се извърши преглед на </w:t>
      </w:r>
      <w:r w:rsidR="009D1001">
        <w:rPr>
          <w:rFonts w:ascii="Arial" w:hAnsi="Arial" w:cs="Arial"/>
          <w:sz w:val="20"/>
          <w:szCs w:val="20"/>
          <w:lang w:val="bg-BG"/>
        </w:rPr>
        <w:t>изпълнението</w:t>
      </w:r>
      <w:r>
        <w:rPr>
          <w:rFonts w:ascii="Arial" w:hAnsi="Arial" w:cs="Arial"/>
          <w:sz w:val="20"/>
          <w:szCs w:val="20"/>
          <w:lang w:val="bg-BG"/>
        </w:rPr>
        <w:t xml:space="preserve"> на </w:t>
      </w:r>
      <w:r w:rsidR="00D1724A">
        <w:rPr>
          <w:rFonts w:ascii="Arial" w:hAnsi="Arial" w:cs="Arial"/>
          <w:sz w:val="20"/>
          <w:szCs w:val="20"/>
          <w:lang w:val="bg-BG"/>
        </w:rPr>
        <w:t>финансовите продукти</w:t>
      </w:r>
      <w:r>
        <w:rPr>
          <w:rFonts w:ascii="Arial" w:hAnsi="Arial" w:cs="Arial"/>
          <w:sz w:val="20"/>
          <w:szCs w:val="20"/>
          <w:lang w:val="bg-BG"/>
        </w:rPr>
        <w:t xml:space="preserve"> </w:t>
      </w:r>
      <w:r w:rsidR="00D1724A">
        <w:rPr>
          <w:rFonts w:ascii="Arial" w:hAnsi="Arial" w:cs="Arial"/>
          <w:sz w:val="20"/>
          <w:szCs w:val="20"/>
          <w:lang w:val="bg-BG"/>
        </w:rPr>
        <w:t xml:space="preserve">на пазара </w:t>
      </w:r>
      <w:r>
        <w:rPr>
          <w:rFonts w:ascii="Arial" w:hAnsi="Arial" w:cs="Arial"/>
          <w:sz w:val="20"/>
          <w:szCs w:val="20"/>
          <w:lang w:val="bg-BG"/>
        </w:rPr>
        <w:t xml:space="preserve">през 2021 г. Прегледът </w:t>
      </w:r>
      <w:r w:rsidR="00D1724A">
        <w:rPr>
          <w:rFonts w:ascii="Arial" w:hAnsi="Arial" w:cs="Arial"/>
          <w:sz w:val="20"/>
          <w:szCs w:val="20"/>
          <w:lang w:val="bg-BG"/>
        </w:rPr>
        <w:t xml:space="preserve">ще спомогне да се оцени </w:t>
      </w:r>
      <w:r>
        <w:rPr>
          <w:rFonts w:ascii="Arial" w:hAnsi="Arial" w:cs="Arial"/>
          <w:sz w:val="20"/>
          <w:szCs w:val="20"/>
          <w:lang w:val="bg-BG"/>
        </w:rPr>
        <w:t xml:space="preserve">прилагането </w:t>
      </w:r>
      <w:r w:rsidR="00D1724A">
        <w:rPr>
          <w:rFonts w:ascii="Arial" w:hAnsi="Arial" w:cs="Arial"/>
          <w:sz w:val="20"/>
          <w:szCs w:val="20"/>
          <w:lang w:val="bg-BG"/>
        </w:rPr>
        <w:t xml:space="preserve">на ФИ </w:t>
      </w:r>
      <w:r>
        <w:rPr>
          <w:rFonts w:ascii="Arial" w:hAnsi="Arial" w:cs="Arial"/>
          <w:sz w:val="20"/>
          <w:szCs w:val="20"/>
          <w:lang w:val="bg-BG"/>
        </w:rPr>
        <w:t>до момента</w:t>
      </w:r>
      <w:r w:rsidR="00A54AD1">
        <w:rPr>
          <w:rFonts w:ascii="Arial" w:hAnsi="Arial" w:cs="Arial"/>
          <w:sz w:val="20"/>
          <w:szCs w:val="20"/>
          <w:lang w:val="bg-BG"/>
        </w:rPr>
        <w:t xml:space="preserve"> и напредъкът</w:t>
      </w:r>
      <w:r>
        <w:rPr>
          <w:rFonts w:ascii="Arial" w:hAnsi="Arial" w:cs="Arial"/>
          <w:sz w:val="20"/>
          <w:szCs w:val="20"/>
          <w:lang w:val="bg-BG"/>
        </w:rPr>
        <w:t>, постигнат от ФИ</w:t>
      </w:r>
      <w:r w:rsidR="00D1724A">
        <w:rPr>
          <w:rFonts w:ascii="Arial" w:hAnsi="Arial" w:cs="Arial"/>
          <w:sz w:val="20"/>
          <w:szCs w:val="20"/>
          <w:lang w:val="bg-BG"/>
        </w:rPr>
        <w:t xml:space="preserve"> към 2021 г</w:t>
      </w:r>
      <w:r>
        <w:rPr>
          <w:rFonts w:ascii="Arial" w:hAnsi="Arial" w:cs="Arial"/>
          <w:sz w:val="20"/>
          <w:szCs w:val="20"/>
          <w:lang w:val="bg-BG"/>
        </w:rPr>
        <w:t>.</w:t>
      </w:r>
    </w:p>
    <w:p w14:paraId="5F3216C7" w14:textId="77777777" w:rsidR="00D1724A" w:rsidRDefault="00D1724A" w:rsidP="00D1724A">
      <w:pPr>
        <w:spacing w:after="120"/>
        <w:jc w:val="both"/>
        <w:rPr>
          <w:rFonts w:ascii="Arial" w:eastAsia="Times New Roman" w:hAnsi="Arial" w:cs="Arial"/>
          <w:color w:val="000000"/>
          <w:sz w:val="20"/>
          <w:szCs w:val="20"/>
          <w:lang w:val="bg-BG" w:eastAsia="zh-CN"/>
        </w:rPr>
      </w:pPr>
      <w:r>
        <w:rPr>
          <w:rFonts w:ascii="Arial" w:eastAsia="Times New Roman" w:hAnsi="Arial" w:cs="Arial"/>
          <w:color w:val="000000"/>
          <w:sz w:val="20"/>
          <w:szCs w:val="20"/>
          <w:lang w:val="bg-BG" w:eastAsia="zh-CN"/>
        </w:rPr>
        <w:t xml:space="preserve">Въз основа на препоръките, направени по време на прегледа на </w:t>
      </w:r>
      <w:r w:rsidR="009D1001">
        <w:rPr>
          <w:rFonts w:ascii="Arial" w:eastAsia="Times New Roman" w:hAnsi="Arial" w:cs="Arial"/>
          <w:color w:val="000000"/>
          <w:sz w:val="20"/>
          <w:szCs w:val="20"/>
          <w:lang w:val="bg-BG" w:eastAsia="zh-CN"/>
        </w:rPr>
        <w:t>изпълнението</w:t>
      </w:r>
      <w:r>
        <w:rPr>
          <w:rFonts w:ascii="Arial" w:eastAsia="Times New Roman" w:hAnsi="Arial" w:cs="Arial"/>
          <w:color w:val="000000"/>
          <w:sz w:val="20"/>
          <w:szCs w:val="20"/>
          <w:lang w:val="bg-BG" w:eastAsia="zh-CN"/>
        </w:rPr>
        <w:t xml:space="preserve"> на финансовите продукти, ИС може да бъде преразгледана, за да се адаптира към актуалните пазарни условия към момента на преразглеждане, като включително може да бъде детайлизирана и Стратегията за </w:t>
      </w:r>
      <w:r w:rsidR="009503B1">
        <w:rPr>
          <w:rFonts w:ascii="Arial" w:eastAsia="Times New Roman" w:hAnsi="Arial" w:cs="Arial"/>
          <w:color w:val="000000"/>
          <w:sz w:val="20"/>
          <w:szCs w:val="20"/>
          <w:lang w:val="bg-BG" w:eastAsia="zh-CN"/>
        </w:rPr>
        <w:t>изход</w:t>
      </w:r>
      <w:r>
        <w:rPr>
          <w:rFonts w:ascii="Arial" w:eastAsia="Times New Roman" w:hAnsi="Arial" w:cs="Arial"/>
          <w:color w:val="000000"/>
          <w:sz w:val="20"/>
          <w:szCs w:val="20"/>
          <w:lang w:val="bg-BG" w:eastAsia="zh-CN"/>
        </w:rPr>
        <w:t xml:space="preserve"> от ФИ.</w:t>
      </w:r>
    </w:p>
    <w:p w14:paraId="1FA0C6FB" w14:textId="77777777" w:rsidR="00D1724A" w:rsidRDefault="00D1724A" w:rsidP="00D1724A">
      <w:pPr>
        <w:spacing w:after="120"/>
        <w:jc w:val="both"/>
        <w:rPr>
          <w:rFonts w:ascii="Arial" w:eastAsia="Times New Roman" w:hAnsi="Arial" w:cs="Arial"/>
          <w:color w:val="000000"/>
          <w:sz w:val="20"/>
          <w:szCs w:val="20"/>
          <w:lang w:val="bg-BG" w:eastAsia="zh-CN"/>
        </w:rPr>
      </w:pPr>
      <w:r>
        <w:rPr>
          <w:rFonts w:ascii="Arial" w:eastAsia="Times New Roman" w:hAnsi="Arial" w:cs="Arial"/>
          <w:color w:val="000000"/>
          <w:sz w:val="20"/>
          <w:szCs w:val="20"/>
          <w:lang w:val="bg-BG" w:eastAsia="zh-CN"/>
        </w:rPr>
        <w:lastRenderedPageBreak/>
        <w:t>По-дол</w:t>
      </w:r>
      <w:r w:rsidR="009D1001">
        <w:rPr>
          <w:rFonts w:ascii="Arial" w:eastAsia="Times New Roman" w:hAnsi="Arial" w:cs="Arial"/>
          <w:color w:val="000000"/>
          <w:sz w:val="20"/>
          <w:szCs w:val="20"/>
          <w:lang w:val="bg-BG" w:eastAsia="zh-CN"/>
        </w:rPr>
        <w:t>у са представени някои примери з</w:t>
      </w:r>
      <w:r>
        <w:rPr>
          <w:rFonts w:ascii="Arial" w:eastAsia="Times New Roman" w:hAnsi="Arial" w:cs="Arial"/>
          <w:color w:val="000000"/>
          <w:sz w:val="20"/>
          <w:szCs w:val="20"/>
          <w:lang w:val="bg-BG" w:eastAsia="zh-CN"/>
        </w:rPr>
        <w:t>а събития/условия, които могат да предизвикат промени в ИС или нейното изпълнение, заедно с</w:t>
      </w:r>
      <w:r w:rsidR="00EC3599">
        <w:rPr>
          <w:rFonts w:ascii="Arial" w:eastAsia="Times New Roman" w:hAnsi="Arial" w:cs="Arial"/>
          <w:color w:val="000000"/>
          <w:sz w:val="20"/>
          <w:szCs w:val="20"/>
          <w:lang w:val="bg-BG" w:eastAsia="zh-CN"/>
        </w:rPr>
        <w:t>ъс съответните</w:t>
      </w:r>
      <w:r>
        <w:rPr>
          <w:rFonts w:ascii="Arial" w:eastAsia="Times New Roman" w:hAnsi="Arial" w:cs="Arial"/>
          <w:color w:val="000000"/>
          <w:sz w:val="20"/>
          <w:szCs w:val="20"/>
          <w:lang w:val="bg-BG" w:eastAsia="zh-CN"/>
        </w:rPr>
        <w:t xml:space="preserve"> </w:t>
      </w:r>
      <w:r w:rsidR="00BC696B">
        <w:rPr>
          <w:rFonts w:ascii="Arial" w:eastAsia="Times New Roman" w:hAnsi="Arial" w:cs="Arial"/>
          <w:color w:val="000000"/>
          <w:sz w:val="20"/>
          <w:szCs w:val="20"/>
          <w:lang w:val="bg-BG" w:eastAsia="zh-CN"/>
        </w:rPr>
        <w:t>решения и действия</w:t>
      </w:r>
      <w:r w:rsidR="00EC3599">
        <w:rPr>
          <w:rFonts w:ascii="Arial" w:eastAsia="Times New Roman" w:hAnsi="Arial" w:cs="Arial"/>
          <w:color w:val="000000"/>
          <w:sz w:val="20"/>
          <w:szCs w:val="20"/>
          <w:lang w:val="bg-BG" w:eastAsia="zh-CN"/>
        </w:rPr>
        <w:t>, които могат да се предприемат</w:t>
      </w:r>
      <w:r>
        <w:rPr>
          <w:rFonts w:ascii="Arial" w:eastAsia="Times New Roman" w:hAnsi="Arial" w:cs="Arial"/>
          <w:color w:val="000000"/>
          <w:sz w:val="20"/>
          <w:szCs w:val="20"/>
          <w:lang w:val="bg-BG" w:eastAsia="zh-CN"/>
        </w:rPr>
        <w:t xml:space="preserve"> от УО. </w:t>
      </w:r>
    </w:p>
    <w:p w14:paraId="75FE5A3B" w14:textId="77777777" w:rsidR="005F0C04" w:rsidRPr="006404F6" w:rsidRDefault="005F0C04" w:rsidP="006404F6">
      <w:pPr>
        <w:spacing w:after="120"/>
        <w:jc w:val="both"/>
        <w:rPr>
          <w:rFonts w:ascii="Arial" w:eastAsia="Times New Roman" w:hAnsi="Arial" w:cs="Arial"/>
          <w:color w:val="000000"/>
          <w:sz w:val="20"/>
          <w:szCs w:val="20"/>
          <w:lang w:val="bg-BG" w:eastAsia="zh-CN"/>
        </w:rPr>
      </w:pPr>
      <w:r w:rsidRPr="006404F6">
        <w:rPr>
          <w:rFonts w:ascii="Arial" w:eastAsia="Times New Roman" w:hAnsi="Arial" w:cs="Arial"/>
          <w:b/>
          <w:color w:val="000000"/>
          <w:sz w:val="20"/>
          <w:szCs w:val="20"/>
          <w:lang w:val="bg-BG" w:eastAsia="zh-CN"/>
        </w:rPr>
        <w:t xml:space="preserve">Преразглеждане на ИС и </w:t>
      </w:r>
      <w:r w:rsidR="004006B3" w:rsidRPr="006404F6">
        <w:rPr>
          <w:rFonts w:ascii="Arial" w:eastAsia="Times New Roman" w:hAnsi="Arial" w:cs="Arial"/>
          <w:b/>
          <w:color w:val="000000"/>
          <w:sz w:val="20"/>
          <w:szCs w:val="20"/>
          <w:lang w:val="bg-BG" w:eastAsia="zh-CN"/>
        </w:rPr>
        <w:t>Стратегия</w:t>
      </w:r>
      <w:r w:rsidRPr="006404F6">
        <w:rPr>
          <w:rFonts w:ascii="Arial" w:eastAsia="Times New Roman" w:hAnsi="Arial" w:cs="Arial"/>
          <w:b/>
          <w:color w:val="000000"/>
          <w:sz w:val="20"/>
          <w:szCs w:val="20"/>
          <w:lang w:val="bg-BG" w:eastAsia="zh-CN"/>
        </w:rPr>
        <w:t xml:space="preserve"> за из</w:t>
      </w:r>
      <w:r w:rsidR="009503B1" w:rsidRPr="006404F6">
        <w:rPr>
          <w:rFonts w:ascii="Arial" w:eastAsia="Times New Roman" w:hAnsi="Arial" w:cs="Arial"/>
          <w:b/>
          <w:color w:val="000000"/>
          <w:sz w:val="20"/>
          <w:szCs w:val="20"/>
          <w:lang w:val="bg-BG" w:eastAsia="zh-CN"/>
        </w:rPr>
        <w:t>ход</w:t>
      </w:r>
      <w:r w:rsidRPr="006404F6">
        <w:rPr>
          <w:rFonts w:ascii="Arial" w:eastAsia="Times New Roman" w:hAnsi="Arial" w:cs="Arial"/>
          <w:b/>
          <w:color w:val="000000"/>
          <w:sz w:val="20"/>
          <w:szCs w:val="20"/>
          <w:lang w:val="bg-BG" w:eastAsia="zh-CN"/>
        </w:rPr>
        <w:t xml:space="preserve"> </w:t>
      </w:r>
      <w:r w:rsidR="00AB4ADE" w:rsidRPr="006404F6">
        <w:rPr>
          <w:rFonts w:ascii="Arial" w:eastAsia="Times New Roman" w:hAnsi="Arial" w:cs="Arial"/>
          <w:color w:val="000000"/>
          <w:sz w:val="20"/>
          <w:szCs w:val="20"/>
          <w:lang w:val="bg-BG" w:eastAsia="zh-CN"/>
        </w:rPr>
        <w:t>по време на изпълнение на ФИ в периода до 2023 г.</w:t>
      </w:r>
    </w:p>
    <w:p w14:paraId="39D87B7A" w14:textId="77777777" w:rsidR="005F0C04" w:rsidRPr="009F0037" w:rsidRDefault="005F0C04" w:rsidP="005F0C04">
      <w:pPr>
        <w:pStyle w:val="ListParagraph"/>
        <w:numPr>
          <w:ilvl w:val="0"/>
          <w:numId w:val="61"/>
        </w:numPr>
        <w:spacing w:after="120"/>
        <w:contextualSpacing w:val="0"/>
        <w:jc w:val="both"/>
        <w:rPr>
          <w:rFonts w:ascii="Arial" w:eastAsia="Times New Roman" w:hAnsi="Arial" w:cs="Arial"/>
          <w:color w:val="000000"/>
          <w:sz w:val="20"/>
          <w:szCs w:val="20"/>
          <w:lang w:eastAsia="zh-CN"/>
        </w:rPr>
      </w:pPr>
      <w:r>
        <w:rPr>
          <w:rFonts w:ascii="Arial" w:eastAsia="Times New Roman" w:hAnsi="Arial" w:cs="Arial"/>
          <w:color w:val="000000"/>
          <w:sz w:val="20"/>
          <w:szCs w:val="20"/>
          <w:u w:val="single"/>
          <w:lang w:val="bg-BG" w:eastAsia="zh-CN"/>
        </w:rPr>
        <w:t>Събития/условия</w:t>
      </w:r>
      <w:r w:rsidRPr="009F0037">
        <w:rPr>
          <w:rFonts w:ascii="Arial" w:eastAsia="Times New Roman" w:hAnsi="Arial" w:cs="Arial"/>
          <w:color w:val="000000"/>
          <w:sz w:val="20"/>
          <w:szCs w:val="20"/>
          <w:lang w:eastAsia="zh-CN"/>
        </w:rPr>
        <w:t>:</w:t>
      </w:r>
    </w:p>
    <w:p w14:paraId="4105BC7B" w14:textId="77777777" w:rsidR="005F0C04" w:rsidRDefault="005F0C04" w:rsidP="005F0C04">
      <w:pPr>
        <w:pStyle w:val="ListParagraph"/>
        <w:numPr>
          <w:ilvl w:val="1"/>
          <w:numId w:val="61"/>
        </w:numPr>
        <w:spacing w:after="120"/>
        <w:contextualSpacing w:val="0"/>
        <w:jc w:val="both"/>
        <w:rPr>
          <w:rFonts w:ascii="Arial" w:eastAsia="Times New Roman" w:hAnsi="Arial" w:cs="Arial"/>
          <w:color w:val="000000"/>
          <w:sz w:val="20"/>
          <w:szCs w:val="20"/>
          <w:lang w:eastAsia="zh-CN"/>
        </w:rPr>
      </w:pPr>
      <w:r>
        <w:rPr>
          <w:rFonts w:ascii="Arial" w:eastAsia="Times New Roman" w:hAnsi="Arial" w:cs="Arial"/>
          <w:color w:val="000000"/>
          <w:sz w:val="20"/>
          <w:szCs w:val="20"/>
          <w:lang w:val="bg-BG" w:eastAsia="zh-CN"/>
        </w:rPr>
        <w:t>Годишните прегледи на изпълнението на ИС</w:t>
      </w:r>
      <w:r>
        <w:rPr>
          <w:rFonts w:ascii="Arial" w:eastAsia="Times New Roman" w:hAnsi="Arial" w:cs="Arial"/>
          <w:color w:val="000000"/>
          <w:sz w:val="20"/>
          <w:szCs w:val="20"/>
          <w:lang w:eastAsia="zh-CN"/>
        </w:rPr>
        <w:t xml:space="preserve"> </w:t>
      </w:r>
      <w:r>
        <w:rPr>
          <w:rFonts w:ascii="Arial" w:eastAsia="Times New Roman" w:hAnsi="Arial" w:cs="Arial"/>
          <w:color w:val="000000"/>
          <w:sz w:val="20"/>
          <w:szCs w:val="20"/>
          <w:lang w:val="bg-BG" w:eastAsia="zh-CN"/>
        </w:rPr>
        <w:t>показват, че етапните цели</w:t>
      </w:r>
      <w:r>
        <w:rPr>
          <w:rFonts w:ascii="Arial" w:eastAsia="Times New Roman" w:hAnsi="Arial" w:cs="Arial"/>
          <w:color w:val="000000"/>
          <w:sz w:val="20"/>
          <w:szCs w:val="20"/>
          <w:lang w:eastAsia="zh-CN"/>
        </w:rPr>
        <w:t xml:space="preserve"> </w:t>
      </w:r>
      <w:r>
        <w:rPr>
          <w:rFonts w:ascii="Arial" w:eastAsia="Times New Roman" w:hAnsi="Arial" w:cs="Arial"/>
          <w:color w:val="000000"/>
          <w:sz w:val="20"/>
          <w:szCs w:val="20"/>
          <w:lang w:val="bg-BG" w:eastAsia="zh-CN"/>
        </w:rPr>
        <w:t>за успешното пускане на пазара на ФИ</w:t>
      </w:r>
      <w:r>
        <w:rPr>
          <w:rFonts w:ascii="Arial" w:eastAsia="Times New Roman" w:hAnsi="Arial" w:cs="Arial"/>
          <w:color w:val="000000"/>
          <w:sz w:val="20"/>
          <w:szCs w:val="20"/>
          <w:lang w:eastAsia="zh-CN"/>
        </w:rPr>
        <w:t xml:space="preserve"> </w:t>
      </w:r>
      <w:r>
        <w:rPr>
          <w:rFonts w:ascii="Arial" w:eastAsia="Times New Roman" w:hAnsi="Arial" w:cs="Arial"/>
          <w:color w:val="000000"/>
          <w:sz w:val="20"/>
          <w:szCs w:val="20"/>
          <w:lang w:val="bg-BG" w:eastAsia="zh-CN"/>
        </w:rPr>
        <w:t>не са изпълнени поради липса на</w:t>
      </w:r>
      <w:r>
        <w:rPr>
          <w:rFonts w:ascii="Arial" w:eastAsia="Times New Roman" w:hAnsi="Arial" w:cs="Arial"/>
          <w:color w:val="000000"/>
          <w:sz w:val="20"/>
          <w:szCs w:val="20"/>
          <w:lang w:eastAsia="zh-CN"/>
        </w:rPr>
        <w:t xml:space="preserve"> </w:t>
      </w:r>
      <w:r>
        <w:rPr>
          <w:rFonts w:ascii="Arial" w:eastAsia="Times New Roman" w:hAnsi="Arial" w:cs="Arial"/>
          <w:color w:val="000000"/>
          <w:sz w:val="20"/>
          <w:szCs w:val="20"/>
          <w:lang w:val="bg-BG" w:eastAsia="zh-CN"/>
        </w:rPr>
        <w:t xml:space="preserve">пазарен интерес и/или промени в пазарните условия. </w:t>
      </w:r>
    </w:p>
    <w:p w14:paraId="141C8743" w14:textId="77777777" w:rsidR="005F0C04" w:rsidRPr="005F0C04" w:rsidRDefault="005F0C04" w:rsidP="005F0C04">
      <w:pPr>
        <w:pStyle w:val="ListParagraph"/>
        <w:spacing w:after="120"/>
        <w:ind w:left="1440"/>
        <w:jc w:val="both"/>
        <w:rPr>
          <w:rFonts w:ascii="Arial" w:eastAsia="Times New Roman" w:hAnsi="Arial" w:cs="Arial"/>
          <w:i/>
          <w:color w:val="000000"/>
          <w:sz w:val="20"/>
          <w:szCs w:val="20"/>
          <w:lang w:eastAsia="zh-CN"/>
        </w:rPr>
      </w:pPr>
      <w:r w:rsidRPr="005F0C04">
        <w:rPr>
          <w:rFonts w:ascii="Arial" w:eastAsia="Times New Roman" w:hAnsi="Arial" w:cs="Arial"/>
          <w:i/>
          <w:color w:val="000000"/>
          <w:sz w:val="20"/>
          <w:szCs w:val="20"/>
          <w:lang w:val="bg-BG" w:eastAsia="zh-CN"/>
        </w:rPr>
        <w:t>Възмож</w:t>
      </w:r>
      <w:r>
        <w:rPr>
          <w:rFonts w:ascii="Arial" w:eastAsia="Times New Roman" w:hAnsi="Arial" w:cs="Arial"/>
          <w:i/>
          <w:color w:val="000000"/>
          <w:sz w:val="20"/>
          <w:szCs w:val="20"/>
          <w:lang w:val="bg-BG" w:eastAsia="zh-CN"/>
        </w:rPr>
        <w:t>н</w:t>
      </w:r>
      <w:r w:rsidR="00BC696B">
        <w:rPr>
          <w:rFonts w:ascii="Arial" w:eastAsia="Times New Roman" w:hAnsi="Arial" w:cs="Arial"/>
          <w:i/>
          <w:color w:val="000000"/>
          <w:sz w:val="20"/>
          <w:szCs w:val="20"/>
          <w:lang w:val="bg-BG" w:eastAsia="zh-CN"/>
        </w:rPr>
        <w:t xml:space="preserve">о решение </w:t>
      </w:r>
      <w:r w:rsidRPr="005F0C04">
        <w:rPr>
          <w:rFonts w:ascii="Arial" w:eastAsia="Times New Roman" w:hAnsi="Arial" w:cs="Arial"/>
          <w:i/>
          <w:color w:val="000000"/>
          <w:sz w:val="20"/>
          <w:szCs w:val="20"/>
          <w:lang w:val="bg-BG" w:eastAsia="zh-CN"/>
        </w:rPr>
        <w:t>на УО</w:t>
      </w:r>
      <w:r w:rsidRPr="005F0C04">
        <w:rPr>
          <w:rFonts w:ascii="Arial" w:eastAsia="Times New Roman" w:hAnsi="Arial" w:cs="Arial"/>
          <w:i/>
          <w:color w:val="000000"/>
          <w:sz w:val="20"/>
          <w:szCs w:val="20"/>
          <w:lang w:eastAsia="zh-CN"/>
        </w:rPr>
        <w:t xml:space="preserve">: </w:t>
      </w:r>
    </w:p>
    <w:p w14:paraId="257DE13F" w14:textId="77777777" w:rsidR="005F0C04" w:rsidRDefault="005F0C04" w:rsidP="005F0C04">
      <w:pPr>
        <w:pStyle w:val="ListParagraph"/>
        <w:spacing w:after="120"/>
        <w:ind w:left="1440"/>
        <w:jc w:val="both"/>
        <w:rPr>
          <w:rFonts w:ascii="Arial" w:eastAsia="Times New Roman" w:hAnsi="Arial" w:cs="Arial"/>
          <w:color w:val="000000"/>
          <w:sz w:val="20"/>
          <w:szCs w:val="20"/>
          <w:lang w:val="bg-BG" w:eastAsia="zh-CN"/>
        </w:rPr>
      </w:pPr>
      <w:r w:rsidRPr="005F0C04">
        <w:rPr>
          <w:rFonts w:ascii="Arial" w:eastAsia="Times New Roman" w:hAnsi="Arial" w:cs="Arial"/>
          <w:color w:val="000000"/>
          <w:sz w:val="20"/>
          <w:szCs w:val="20"/>
          <w:lang w:val="bg-BG" w:eastAsia="zh-CN"/>
        </w:rPr>
        <w:t xml:space="preserve">Преразглеждане на </w:t>
      </w:r>
      <w:r>
        <w:rPr>
          <w:rFonts w:ascii="Arial" w:eastAsia="Times New Roman" w:hAnsi="Arial" w:cs="Arial"/>
          <w:color w:val="000000"/>
          <w:sz w:val="20"/>
          <w:szCs w:val="20"/>
          <w:lang w:val="bg-BG" w:eastAsia="zh-CN"/>
        </w:rPr>
        <w:t>ИС</w:t>
      </w:r>
      <w:r w:rsidRPr="005F0C04">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и</w:t>
      </w:r>
      <w:r w:rsidRPr="005F0C04">
        <w:rPr>
          <w:rFonts w:ascii="Arial" w:eastAsia="Times New Roman" w:hAnsi="Arial" w:cs="Arial"/>
          <w:color w:val="000000"/>
          <w:sz w:val="20"/>
          <w:szCs w:val="20"/>
          <w:lang w:val="bg-BG" w:eastAsia="zh-CN"/>
        </w:rPr>
        <w:t xml:space="preserve"> промяна на параметрите на предложен</w:t>
      </w:r>
      <w:r>
        <w:rPr>
          <w:rFonts w:ascii="Arial" w:eastAsia="Times New Roman" w:hAnsi="Arial" w:cs="Arial"/>
          <w:color w:val="000000"/>
          <w:sz w:val="20"/>
          <w:szCs w:val="20"/>
          <w:lang w:val="bg-BG" w:eastAsia="zh-CN"/>
        </w:rPr>
        <w:t>ите</w:t>
      </w:r>
      <w:r w:rsidRPr="005F0C04">
        <w:rPr>
          <w:rFonts w:ascii="Arial" w:eastAsia="Times New Roman" w:hAnsi="Arial" w:cs="Arial"/>
          <w:color w:val="000000"/>
          <w:sz w:val="20"/>
          <w:szCs w:val="20"/>
          <w:lang w:val="bg-BG" w:eastAsia="zh-CN"/>
        </w:rPr>
        <w:t xml:space="preserve"> ФИ; преустановяване на (някои от) ФИ; въвеждане на нови ФИ; намаляване на бюджета </w:t>
      </w:r>
      <w:r>
        <w:rPr>
          <w:rFonts w:ascii="Arial" w:eastAsia="Times New Roman" w:hAnsi="Arial" w:cs="Arial"/>
          <w:color w:val="000000"/>
          <w:sz w:val="20"/>
          <w:szCs w:val="20"/>
          <w:lang w:val="bg-BG" w:eastAsia="zh-CN"/>
        </w:rPr>
        <w:t xml:space="preserve">за ФИ </w:t>
      </w:r>
      <w:r w:rsidRPr="005F0C04">
        <w:rPr>
          <w:rFonts w:ascii="Arial" w:eastAsia="Times New Roman" w:hAnsi="Arial" w:cs="Arial"/>
          <w:color w:val="000000"/>
          <w:sz w:val="20"/>
          <w:szCs w:val="20"/>
          <w:lang w:val="bg-BG" w:eastAsia="zh-CN"/>
        </w:rPr>
        <w:t xml:space="preserve">(в </w:t>
      </w:r>
      <w:r>
        <w:rPr>
          <w:rFonts w:ascii="Arial" w:eastAsia="Times New Roman" w:hAnsi="Arial" w:cs="Arial"/>
          <w:color w:val="000000"/>
          <w:sz w:val="20"/>
          <w:szCs w:val="20"/>
          <w:lang w:val="bg-BG" w:eastAsia="zh-CN"/>
        </w:rPr>
        <w:t>този случай,</w:t>
      </w:r>
      <w:r w:rsidRPr="005F0C04">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средствата</w:t>
      </w:r>
      <w:r w:rsidRPr="005F0C04">
        <w:rPr>
          <w:rFonts w:ascii="Arial" w:eastAsia="Times New Roman" w:hAnsi="Arial" w:cs="Arial"/>
          <w:color w:val="000000"/>
          <w:sz w:val="20"/>
          <w:szCs w:val="20"/>
          <w:lang w:val="bg-BG" w:eastAsia="zh-CN"/>
        </w:rPr>
        <w:t xml:space="preserve"> ще бъдат върнати на УО, за да бъдат използвани чрез други инструмен</w:t>
      </w:r>
      <w:r>
        <w:rPr>
          <w:rFonts w:ascii="Arial" w:eastAsia="Times New Roman" w:hAnsi="Arial" w:cs="Arial"/>
          <w:color w:val="000000"/>
          <w:sz w:val="20"/>
          <w:szCs w:val="20"/>
          <w:lang w:val="bg-BG" w:eastAsia="zh-CN"/>
        </w:rPr>
        <w:t>ти за подкрепа, като например безвъзмездна финансова помощ</w:t>
      </w:r>
      <w:r w:rsidR="00922599">
        <w:rPr>
          <w:rFonts w:ascii="Arial" w:eastAsia="Times New Roman" w:hAnsi="Arial" w:cs="Arial"/>
          <w:color w:val="000000"/>
          <w:sz w:val="20"/>
          <w:szCs w:val="20"/>
          <w:lang w:val="bg-BG" w:eastAsia="zh-CN"/>
        </w:rPr>
        <w:t>). Съответното р</w:t>
      </w:r>
      <w:r w:rsidRPr="005F0C04">
        <w:rPr>
          <w:rFonts w:ascii="Arial" w:eastAsia="Times New Roman" w:hAnsi="Arial" w:cs="Arial"/>
          <w:color w:val="000000"/>
          <w:sz w:val="20"/>
          <w:szCs w:val="20"/>
          <w:lang w:val="bg-BG" w:eastAsia="zh-CN"/>
        </w:rPr>
        <w:t>ешение</w:t>
      </w:r>
      <w:r w:rsidR="00922599">
        <w:rPr>
          <w:rFonts w:ascii="Arial" w:eastAsia="Times New Roman" w:hAnsi="Arial" w:cs="Arial"/>
          <w:color w:val="000000"/>
          <w:sz w:val="20"/>
          <w:szCs w:val="20"/>
          <w:lang w:val="bg-BG" w:eastAsia="zh-CN"/>
        </w:rPr>
        <w:t xml:space="preserve"> на</w:t>
      </w:r>
      <w:r w:rsidRPr="005F0C04">
        <w:rPr>
          <w:rFonts w:ascii="Arial" w:eastAsia="Times New Roman" w:hAnsi="Arial" w:cs="Arial"/>
          <w:color w:val="000000"/>
          <w:sz w:val="20"/>
          <w:szCs w:val="20"/>
          <w:lang w:val="bg-BG" w:eastAsia="zh-CN"/>
        </w:rPr>
        <w:t xml:space="preserve"> УО </w:t>
      </w:r>
      <w:r>
        <w:rPr>
          <w:rFonts w:ascii="Arial" w:eastAsia="Times New Roman" w:hAnsi="Arial" w:cs="Arial"/>
          <w:color w:val="000000"/>
          <w:sz w:val="20"/>
          <w:szCs w:val="20"/>
          <w:lang w:val="bg-BG" w:eastAsia="zh-CN"/>
        </w:rPr>
        <w:t>с</w:t>
      </w:r>
      <w:r w:rsidR="000D00ED">
        <w:rPr>
          <w:rFonts w:ascii="Arial" w:eastAsia="Times New Roman" w:hAnsi="Arial" w:cs="Arial"/>
          <w:color w:val="000000"/>
          <w:sz w:val="20"/>
          <w:szCs w:val="20"/>
          <w:lang w:val="bg-BG" w:eastAsia="zh-CN"/>
        </w:rPr>
        <w:t>ледва да вземе</w:t>
      </w:r>
      <w:r>
        <w:rPr>
          <w:rFonts w:ascii="Arial" w:eastAsia="Times New Roman" w:hAnsi="Arial" w:cs="Arial"/>
          <w:color w:val="000000"/>
          <w:sz w:val="20"/>
          <w:szCs w:val="20"/>
          <w:lang w:val="bg-BG" w:eastAsia="zh-CN"/>
        </w:rPr>
        <w:t xml:space="preserve"> предвид</w:t>
      </w:r>
      <w:r w:rsidRPr="005F0C04">
        <w:rPr>
          <w:rFonts w:ascii="Arial" w:eastAsia="Times New Roman" w:hAnsi="Arial" w:cs="Arial"/>
          <w:color w:val="000000"/>
          <w:sz w:val="20"/>
          <w:szCs w:val="20"/>
          <w:lang w:val="bg-BG" w:eastAsia="zh-CN"/>
        </w:rPr>
        <w:t xml:space="preserve"> </w:t>
      </w:r>
      <w:r w:rsidR="00B1736C">
        <w:rPr>
          <w:rFonts w:ascii="Arial" w:eastAsia="Times New Roman" w:hAnsi="Arial" w:cs="Arial"/>
          <w:color w:val="000000"/>
          <w:sz w:val="20"/>
          <w:szCs w:val="20"/>
          <w:lang w:val="bg-BG" w:eastAsia="zh-CN"/>
        </w:rPr>
        <w:t>клаузите</w:t>
      </w:r>
      <w:r w:rsidR="00B1736C" w:rsidRPr="005F0C04">
        <w:rPr>
          <w:rFonts w:ascii="Arial" w:eastAsia="Times New Roman" w:hAnsi="Arial" w:cs="Arial"/>
          <w:color w:val="000000"/>
          <w:sz w:val="20"/>
          <w:szCs w:val="20"/>
          <w:lang w:val="bg-BG" w:eastAsia="zh-CN"/>
        </w:rPr>
        <w:t xml:space="preserve"> </w:t>
      </w:r>
      <w:r w:rsidR="00B368B0">
        <w:rPr>
          <w:rFonts w:ascii="Arial" w:eastAsia="Times New Roman" w:hAnsi="Arial" w:cs="Arial"/>
          <w:color w:val="000000"/>
          <w:sz w:val="20"/>
          <w:szCs w:val="20"/>
          <w:lang w:val="bg-BG" w:eastAsia="zh-CN"/>
        </w:rPr>
        <w:t>на Финансовото с</w:t>
      </w:r>
      <w:r w:rsidR="00B368B0" w:rsidRPr="005F0C04">
        <w:rPr>
          <w:rFonts w:ascii="Arial" w:eastAsia="Times New Roman" w:hAnsi="Arial" w:cs="Arial"/>
          <w:color w:val="000000"/>
          <w:sz w:val="20"/>
          <w:szCs w:val="20"/>
          <w:lang w:val="bg-BG" w:eastAsia="zh-CN"/>
        </w:rPr>
        <w:t>поразумение</w:t>
      </w:r>
      <w:r w:rsidRPr="005F0C04">
        <w:rPr>
          <w:rFonts w:ascii="Arial" w:eastAsia="Times New Roman" w:hAnsi="Arial" w:cs="Arial"/>
          <w:color w:val="000000"/>
          <w:sz w:val="20"/>
          <w:szCs w:val="20"/>
          <w:lang w:val="bg-BG" w:eastAsia="zh-CN"/>
        </w:rPr>
        <w:t>.</w:t>
      </w:r>
    </w:p>
    <w:p w14:paraId="6936E16F" w14:textId="77777777" w:rsidR="005F0C04" w:rsidRDefault="005F0C04" w:rsidP="005F0C04">
      <w:pPr>
        <w:pStyle w:val="ListParagraph"/>
        <w:spacing w:after="120"/>
        <w:ind w:left="1440"/>
        <w:jc w:val="both"/>
        <w:rPr>
          <w:rFonts w:ascii="Arial" w:eastAsia="Times New Roman" w:hAnsi="Arial" w:cs="Arial"/>
          <w:color w:val="000000"/>
          <w:sz w:val="20"/>
          <w:szCs w:val="20"/>
          <w:lang w:val="bg-BG" w:eastAsia="zh-CN"/>
        </w:rPr>
      </w:pPr>
    </w:p>
    <w:p w14:paraId="79735E53" w14:textId="77777777" w:rsidR="005F0C04" w:rsidRDefault="005F0C04" w:rsidP="005F0C04">
      <w:pPr>
        <w:pStyle w:val="ListParagraph"/>
        <w:numPr>
          <w:ilvl w:val="1"/>
          <w:numId w:val="61"/>
        </w:numPr>
        <w:spacing w:after="120"/>
        <w:contextualSpacing w:val="0"/>
        <w:jc w:val="both"/>
        <w:rPr>
          <w:rFonts w:ascii="Arial" w:eastAsia="Times New Roman" w:hAnsi="Arial" w:cs="Arial"/>
          <w:color w:val="000000"/>
          <w:sz w:val="20"/>
          <w:szCs w:val="20"/>
          <w:lang w:val="bg-BG" w:eastAsia="zh-CN"/>
        </w:rPr>
      </w:pPr>
      <w:r w:rsidRPr="00445260">
        <w:rPr>
          <w:rFonts w:ascii="Arial" w:eastAsia="Times New Roman" w:hAnsi="Arial" w:cs="Arial"/>
          <w:color w:val="000000"/>
          <w:sz w:val="20"/>
          <w:szCs w:val="20"/>
          <w:lang w:val="bg-BG" w:eastAsia="zh-CN"/>
        </w:rPr>
        <w:t>Годишните прегледи на изпълнение</w:t>
      </w:r>
      <w:r>
        <w:rPr>
          <w:rFonts w:ascii="Arial" w:eastAsia="Times New Roman" w:hAnsi="Arial" w:cs="Arial"/>
          <w:color w:val="000000"/>
          <w:sz w:val="20"/>
          <w:szCs w:val="20"/>
          <w:lang w:val="bg-BG" w:eastAsia="zh-CN"/>
        </w:rPr>
        <w:t>то на ИС</w:t>
      </w:r>
      <w:r w:rsidRPr="00445260">
        <w:rPr>
          <w:rFonts w:ascii="Arial" w:eastAsia="Times New Roman" w:hAnsi="Arial" w:cs="Arial"/>
          <w:color w:val="000000"/>
          <w:sz w:val="20"/>
          <w:szCs w:val="20"/>
          <w:lang w:val="bg-BG" w:eastAsia="zh-CN"/>
        </w:rPr>
        <w:t xml:space="preserve"> и/или прегледът с разширен обхват през 2021 г. </w:t>
      </w:r>
      <w:r>
        <w:rPr>
          <w:rFonts w:ascii="Arial" w:eastAsia="Times New Roman" w:hAnsi="Arial" w:cs="Arial"/>
          <w:color w:val="000000"/>
          <w:sz w:val="20"/>
          <w:szCs w:val="20"/>
          <w:lang w:val="bg-BG" w:eastAsia="zh-CN"/>
        </w:rPr>
        <w:t xml:space="preserve">показват, </w:t>
      </w:r>
      <w:r w:rsidRPr="00445260">
        <w:rPr>
          <w:rFonts w:ascii="Arial" w:eastAsia="Times New Roman" w:hAnsi="Arial" w:cs="Arial"/>
          <w:color w:val="000000"/>
          <w:sz w:val="20"/>
          <w:szCs w:val="20"/>
          <w:lang w:val="bg-BG" w:eastAsia="zh-CN"/>
        </w:rPr>
        <w:t xml:space="preserve">че </w:t>
      </w:r>
      <w:r>
        <w:rPr>
          <w:rFonts w:ascii="Arial" w:eastAsia="Times New Roman" w:hAnsi="Arial" w:cs="Arial"/>
          <w:color w:val="000000"/>
          <w:sz w:val="20"/>
          <w:szCs w:val="20"/>
          <w:lang w:val="bg-BG" w:eastAsia="zh-CN"/>
        </w:rPr>
        <w:t>етапните цели</w:t>
      </w:r>
      <w:r w:rsidRPr="00445260">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 xml:space="preserve">за успешното пускане на пазара </w:t>
      </w:r>
      <w:r w:rsidRPr="00445260">
        <w:rPr>
          <w:rFonts w:ascii="Arial" w:eastAsia="Times New Roman" w:hAnsi="Arial" w:cs="Arial"/>
          <w:color w:val="000000"/>
          <w:sz w:val="20"/>
          <w:szCs w:val="20"/>
          <w:lang w:val="bg-BG" w:eastAsia="zh-CN"/>
        </w:rPr>
        <w:t xml:space="preserve">и </w:t>
      </w:r>
      <w:r>
        <w:rPr>
          <w:rFonts w:ascii="Arial" w:eastAsia="Times New Roman" w:hAnsi="Arial" w:cs="Arial"/>
          <w:color w:val="000000"/>
          <w:sz w:val="20"/>
          <w:szCs w:val="20"/>
          <w:lang w:val="bg-BG" w:eastAsia="zh-CN"/>
        </w:rPr>
        <w:t>прилагане</w:t>
      </w:r>
      <w:r w:rsidRPr="00445260">
        <w:rPr>
          <w:rFonts w:ascii="Arial" w:eastAsia="Times New Roman" w:hAnsi="Arial" w:cs="Arial"/>
          <w:color w:val="000000"/>
          <w:sz w:val="20"/>
          <w:szCs w:val="20"/>
          <w:lang w:val="bg-BG" w:eastAsia="zh-CN"/>
        </w:rPr>
        <w:t xml:space="preserve"> на ФИ не са постигнати</w:t>
      </w:r>
      <w:r>
        <w:rPr>
          <w:rFonts w:ascii="Arial" w:eastAsia="Times New Roman" w:hAnsi="Arial" w:cs="Arial"/>
          <w:color w:val="000000"/>
          <w:sz w:val="20"/>
          <w:szCs w:val="20"/>
          <w:lang w:val="bg-BG" w:eastAsia="zh-CN"/>
        </w:rPr>
        <w:t xml:space="preserve"> поради невъзможност да се изберат квалифицирани финансови посредници с необходимите опит и експертиза.</w:t>
      </w:r>
    </w:p>
    <w:p w14:paraId="59F691C8" w14:textId="77777777" w:rsidR="00BC696B" w:rsidRPr="00BC696B" w:rsidRDefault="00BC696B" w:rsidP="00BC696B">
      <w:pPr>
        <w:pStyle w:val="ListParagraph"/>
        <w:spacing w:after="120"/>
        <w:ind w:left="1440"/>
        <w:jc w:val="both"/>
        <w:rPr>
          <w:rFonts w:ascii="Arial" w:eastAsia="Times New Roman" w:hAnsi="Arial" w:cs="Arial"/>
          <w:i/>
          <w:color w:val="000000"/>
          <w:sz w:val="20"/>
          <w:szCs w:val="20"/>
          <w:lang w:val="bg-BG" w:eastAsia="zh-CN"/>
        </w:rPr>
      </w:pPr>
      <w:r w:rsidRPr="005F0C04">
        <w:rPr>
          <w:rFonts w:ascii="Arial" w:eastAsia="Times New Roman" w:hAnsi="Arial" w:cs="Arial"/>
          <w:i/>
          <w:color w:val="000000"/>
          <w:sz w:val="20"/>
          <w:szCs w:val="20"/>
          <w:lang w:val="bg-BG" w:eastAsia="zh-CN"/>
        </w:rPr>
        <w:t>Възмож</w:t>
      </w:r>
      <w:r>
        <w:rPr>
          <w:rFonts w:ascii="Arial" w:eastAsia="Times New Roman" w:hAnsi="Arial" w:cs="Arial"/>
          <w:i/>
          <w:color w:val="000000"/>
          <w:sz w:val="20"/>
          <w:szCs w:val="20"/>
          <w:lang w:val="bg-BG" w:eastAsia="zh-CN"/>
        </w:rPr>
        <w:t xml:space="preserve">но решение </w:t>
      </w:r>
      <w:r w:rsidRPr="005F0C04">
        <w:rPr>
          <w:rFonts w:ascii="Arial" w:eastAsia="Times New Roman" w:hAnsi="Arial" w:cs="Arial"/>
          <w:i/>
          <w:color w:val="000000"/>
          <w:sz w:val="20"/>
          <w:szCs w:val="20"/>
          <w:lang w:val="bg-BG" w:eastAsia="zh-CN"/>
        </w:rPr>
        <w:t>на УО</w:t>
      </w:r>
      <w:r w:rsidRPr="00BC696B">
        <w:rPr>
          <w:rFonts w:ascii="Arial" w:eastAsia="Times New Roman" w:hAnsi="Arial" w:cs="Arial"/>
          <w:i/>
          <w:color w:val="000000"/>
          <w:sz w:val="20"/>
          <w:szCs w:val="20"/>
          <w:lang w:val="bg-BG" w:eastAsia="zh-CN"/>
        </w:rPr>
        <w:t xml:space="preserve">: </w:t>
      </w:r>
    </w:p>
    <w:p w14:paraId="63439AC4" w14:textId="77777777" w:rsidR="005F0C04" w:rsidRDefault="005F0C04" w:rsidP="005F0C04">
      <w:pPr>
        <w:pStyle w:val="ListParagraph"/>
        <w:spacing w:after="120"/>
        <w:ind w:left="1440"/>
        <w:jc w:val="both"/>
        <w:rPr>
          <w:rFonts w:ascii="Arial" w:eastAsia="Times New Roman" w:hAnsi="Arial" w:cs="Arial"/>
          <w:color w:val="000000"/>
          <w:sz w:val="20"/>
          <w:szCs w:val="20"/>
          <w:lang w:val="bg-BG" w:eastAsia="zh-CN"/>
        </w:rPr>
      </w:pPr>
      <w:r>
        <w:rPr>
          <w:rFonts w:ascii="Arial" w:eastAsia="Times New Roman" w:hAnsi="Arial" w:cs="Arial"/>
          <w:color w:val="000000"/>
          <w:sz w:val="20"/>
          <w:szCs w:val="20"/>
          <w:lang w:val="bg-BG" w:eastAsia="zh-CN"/>
        </w:rPr>
        <w:t>Средствата ще бъдат върнати на УО, като УО може да реши да предостави помощ чрез други инструменти (като например безвъзмездна финансова помощ)</w:t>
      </w:r>
      <w:r w:rsidRPr="0051416F">
        <w:rPr>
          <w:rFonts w:ascii="Arial" w:eastAsia="Times New Roman" w:hAnsi="Arial" w:cs="Arial"/>
          <w:color w:val="000000"/>
          <w:sz w:val="20"/>
          <w:szCs w:val="20"/>
          <w:lang w:val="bg-BG" w:eastAsia="zh-CN"/>
        </w:rPr>
        <w:t xml:space="preserve">. </w:t>
      </w:r>
      <w:r w:rsidR="00922599">
        <w:rPr>
          <w:rFonts w:ascii="Arial" w:eastAsia="Times New Roman" w:hAnsi="Arial" w:cs="Arial"/>
          <w:color w:val="000000"/>
          <w:sz w:val="20"/>
          <w:szCs w:val="20"/>
          <w:lang w:val="bg-BG" w:eastAsia="zh-CN"/>
        </w:rPr>
        <w:t>Съответното р</w:t>
      </w:r>
      <w:r w:rsidR="00922599" w:rsidRPr="005F0C04">
        <w:rPr>
          <w:rFonts w:ascii="Arial" w:eastAsia="Times New Roman" w:hAnsi="Arial" w:cs="Arial"/>
          <w:color w:val="000000"/>
          <w:sz w:val="20"/>
          <w:szCs w:val="20"/>
          <w:lang w:val="bg-BG" w:eastAsia="zh-CN"/>
        </w:rPr>
        <w:t>ешение</w:t>
      </w:r>
      <w:r w:rsidR="00922599">
        <w:rPr>
          <w:rFonts w:ascii="Arial" w:eastAsia="Times New Roman" w:hAnsi="Arial" w:cs="Arial"/>
          <w:color w:val="000000"/>
          <w:sz w:val="20"/>
          <w:szCs w:val="20"/>
          <w:lang w:val="bg-BG" w:eastAsia="zh-CN"/>
        </w:rPr>
        <w:t xml:space="preserve"> на</w:t>
      </w:r>
      <w:r w:rsidR="00922599" w:rsidRPr="005F0C04">
        <w:rPr>
          <w:rFonts w:ascii="Arial" w:eastAsia="Times New Roman" w:hAnsi="Arial" w:cs="Arial"/>
          <w:color w:val="000000"/>
          <w:sz w:val="20"/>
          <w:szCs w:val="20"/>
          <w:lang w:val="bg-BG" w:eastAsia="zh-CN"/>
        </w:rPr>
        <w:t xml:space="preserve"> </w:t>
      </w:r>
      <w:r w:rsidRPr="005F0C04">
        <w:rPr>
          <w:rFonts w:ascii="Arial" w:eastAsia="Times New Roman" w:hAnsi="Arial" w:cs="Arial"/>
          <w:color w:val="000000"/>
          <w:sz w:val="20"/>
          <w:szCs w:val="20"/>
          <w:lang w:val="bg-BG" w:eastAsia="zh-CN"/>
        </w:rPr>
        <w:t xml:space="preserve">УО </w:t>
      </w:r>
      <w:r>
        <w:rPr>
          <w:rFonts w:ascii="Arial" w:eastAsia="Times New Roman" w:hAnsi="Arial" w:cs="Arial"/>
          <w:color w:val="000000"/>
          <w:sz w:val="20"/>
          <w:szCs w:val="20"/>
          <w:lang w:val="bg-BG" w:eastAsia="zh-CN"/>
        </w:rPr>
        <w:t>следва да взем</w:t>
      </w:r>
      <w:r w:rsidR="000D00ED">
        <w:rPr>
          <w:rFonts w:ascii="Arial" w:eastAsia="Times New Roman" w:hAnsi="Arial" w:cs="Arial"/>
          <w:color w:val="000000"/>
          <w:sz w:val="20"/>
          <w:szCs w:val="20"/>
          <w:lang w:val="bg-BG" w:eastAsia="zh-CN"/>
        </w:rPr>
        <w:t>е</w:t>
      </w:r>
      <w:r>
        <w:rPr>
          <w:rFonts w:ascii="Arial" w:eastAsia="Times New Roman" w:hAnsi="Arial" w:cs="Arial"/>
          <w:color w:val="000000"/>
          <w:sz w:val="20"/>
          <w:szCs w:val="20"/>
          <w:lang w:val="bg-BG" w:eastAsia="zh-CN"/>
        </w:rPr>
        <w:t xml:space="preserve"> предвид</w:t>
      </w:r>
      <w:r w:rsidRPr="005F0C04">
        <w:rPr>
          <w:rFonts w:ascii="Arial" w:eastAsia="Times New Roman" w:hAnsi="Arial" w:cs="Arial"/>
          <w:color w:val="000000"/>
          <w:sz w:val="20"/>
          <w:szCs w:val="20"/>
          <w:lang w:val="bg-BG" w:eastAsia="zh-CN"/>
        </w:rPr>
        <w:t xml:space="preserve"> </w:t>
      </w:r>
      <w:r w:rsidR="00C90812">
        <w:rPr>
          <w:rFonts w:ascii="Arial" w:eastAsia="Times New Roman" w:hAnsi="Arial" w:cs="Arial"/>
          <w:color w:val="000000"/>
          <w:sz w:val="20"/>
          <w:szCs w:val="20"/>
          <w:lang w:val="bg-BG" w:eastAsia="zh-CN"/>
        </w:rPr>
        <w:t>клаузите</w:t>
      </w:r>
      <w:r w:rsidR="00C90812" w:rsidRPr="005F0C04">
        <w:rPr>
          <w:rFonts w:ascii="Arial" w:eastAsia="Times New Roman" w:hAnsi="Arial" w:cs="Arial"/>
          <w:color w:val="000000"/>
          <w:sz w:val="20"/>
          <w:szCs w:val="20"/>
          <w:lang w:val="bg-BG" w:eastAsia="zh-CN"/>
        </w:rPr>
        <w:t xml:space="preserve"> </w:t>
      </w:r>
      <w:r w:rsidR="00B368B0">
        <w:rPr>
          <w:rFonts w:ascii="Arial" w:eastAsia="Times New Roman" w:hAnsi="Arial" w:cs="Arial"/>
          <w:color w:val="000000"/>
          <w:sz w:val="20"/>
          <w:szCs w:val="20"/>
          <w:lang w:val="bg-BG" w:eastAsia="zh-CN"/>
        </w:rPr>
        <w:t>на Финансовото с</w:t>
      </w:r>
      <w:r w:rsidR="00B368B0" w:rsidRPr="005F0C04">
        <w:rPr>
          <w:rFonts w:ascii="Arial" w:eastAsia="Times New Roman" w:hAnsi="Arial" w:cs="Arial"/>
          <w:color w:val="000000"/>
          <w:sz w:val="20"/>
          <w:szCs w:val="20"/>
          <w:lang w:val="bg-BG" w:eastAsia="zh-CN"/>
        </w:rPr>
        <w:t>поразумение</w:t>
      </w:r>
      <w:r w:rsidRPr="005F0C04">
        <w:rPr>
          <w:rFonts w:ascii="Arial" w:eastAsia="Times New Roman" w:hAnsi="Arial" w:cs="Arial"/>
          <w:color w:val="000000"/>
          <w:sz w:val="20"/>
          <w:szCs w:val="20"/>
          <w:lang w:val="bg-BG" w:eastAsia="zh-CN"/>
        </w:rPr>
        <w:t>.</w:t>
      </w:r>
    </w:p>
    <w:p w14:paraId="33954DBC" w14:textId="77777777" w:rsidR="005F0C04" w:rsidRPr="0051416F" w:rsidRDefault="005F0C04" w:rsidP="005F0C04">
      <w:pPr>
        <w:pStyle w:val="ListParagraph"/>
        <w:spacing w:after="120"/>
        <w:ind w:left="1440"/>
        <w:contextualSpacing w:val="0"/>
        <w:jc w:val="both"/>
        <w:rPr>
          <w:rFonts w:ascii="Arial" w:eastAsia="Times New Roman" w:hAnsi="Arial" w:cs="Arial"/>
          <w:color w:val="000000"/>
          <w:sz w:val="20"/>
          <w:szCs w:val="20"/>
          <w:lang w:val="bg-BG" w:eastAsia="zh-CN"/>
        </w:rPr>
      </w:pPr>
    </w:p>
    <w:p w14:paraId="01D3FACB" w14:textId="77777777" w:rsidR="000D00ED" w:rsidRDefault="000D00ED" w:rsidP="000D00ED">
      <w:pPr>
        <w:pStyle w:val="ListParagraph"/>
        <w:numPr>
          <w:ilvl w:val="1"/>
          <w:numId w:val="61"/>
        </w:numPr>
        <w:spacing w:after="120"/>
        <w:contextualSpacing w:val="0"/>
        <w:jc w:val="both"/>
        <w:rPr>
          <w:rFonts w:ascii="Arial" w:eastAsia="Times New Roman" w:hAnsi="Arial" w:cs="Arial"/>
          <w:color w:val="000000"/>
          <w:sz w:val="20"/>
          <w:szCs w:val="20"/>
          <w:lang w:val="bg-BG" w:eastAsia="zh-CN"/>
        </w:rPr>
      </w:pPr>
      <w:r w:rsidRPr="00445260">
        <w:rPr>
          <w:rFonts w:ascii="Arial" w:eastAsia="Times New Roman" w:hAnsi="Arial" w:cs="Arial"/>
          <w:color w:val="000000"/>
          <w:sz w:val="20"/>
          <w:szCs w:val="20"/>
          <w:lang w:val="bg-BG" w:eastAsia="zh-CN"/>
        </w:rPr>
        <w:t>Годишните прегледи на изпълнение</w:t>
      </w:r>
      <w:r>
        <w:rPr>
          <w:rFonts w:ascii="Arial" w:eastAsia="Times New Roman" w:hAnsi="Arial" w:cs="Arial"/>
          <w:color w:val="000000"/>
          <w:sz w:val="20"/>
          <w:szCs w:val="20"/>
          <w:lang w:val="bg-BG" w:eastAsia="zh-CN"/>
        </w:rPr>
        <w:t>то на ИС</w:t>
      </w:r>
      <w:r w:rsidRPr="00445260">
        <w:rPr>
          <w:rFonts w:ascii="Arial" w:eastAsia="Times New Roman" w:hAnsi="Arial" w:cs="Arial"/>
          <w:color w:val="000000"/>
          <w:sz w:val="20"/>
          <w:szCs w:val="20"/>
          <w:lang w:val="bg-BG" w:eastAsia="zh-CN"/>
        </w:rPr>
        <w:t xml:space="preserve"> и/или прегледът с разширен обхват през 2021 г. </w:t>
      </w:r>
      <w:r>
        <w:rPr>
          <w:rFonts w:ascii="Arial" w:eastAsia="Times New Roman" w:hAnsi="Arial" w:cs="Arial"/>
          <w:color w:val="000000"/>
          <w:sz w:val="20"/>
          <w:szCs w:val="20"/>
          <w:lang w:val="bg-BG" w:eastAsia="zh-CN"/>
        </w:rPr>
        <w:t>показват</w:t>
      </w:r>
      <w:r w:rsidRPr="00445260">
        <w:rPr>
          <w:rFonts w:ascii="Arial" w:eastAsia="Times New Roman" w:hAnsi="Arial" w:cs="Arial"/>
          <w:color w:val="000000"/>
          <w:sz w:val="20"/>
          <w:szCs w:val="20"/>
          <w:shd w:val="clear" w:color="auto" w:fill="FFFFFF" w:themeFill="background1"/>
          <w:lang w:val="bg-BG" w:eastAsia="zh-CN"/>
        </w:rPr>
        <w:t xml:space="preserve">, че </w:t>
      </w:r>
      <w:r>
        <w:rPr>
          <w:rFonts w:ascii="Arial" w:eastAsia="Times New Roman" w:hAnsi="Arial" w:cs="Arial"/>
          <w:color w:val="000000"/>
          <w:sz w:val="20"/>
          <w:szCs w:val="20"/>
          <w:shd w:val="clear" w:color="auto" w:fill="FFFFFF" w:themeFill="background1"/>
          <w:lang w:val="bg-BG" w:eastAsia="zh-CN"/>
        </w:rPr>
        <w:t>етапните цели за</w:t>
      </w:r>
      <w:r w:rsidRPr="00445260">
        <w:rPr>
          <w:rFonts w:ascii="Arial" w:eastAsia="Times New Roman" w:hAnsi="Arial" w:cs="Arial"/>
          <w:color w:val="000000"/>
          <w:sz w:val="20"/>
          <w:szCs w:val="20"/>
          <w:shd w:val="clear" w:color="auto" w:fill="FFFFFF" w:themeFill="background1"/>
          <w:lang w:val="bg-BG" w:eastAsia="zh-CN"/>
        </w:rPr>
        <w:t xml:space="preserve"> </w:t>
      </w:r>
      <w:r>
        <w:rPr>
          <w:rFonts w:ascii="Arial" w:eastAsia="Times New Roman" w:hAnsi="Arial" w:cs="Arial"/>
          <w:color w:val="000000"/>
          <w:sz w:val="20"/>
          <w:szCs w:val="20"/>
          <w:lang w:val="bg-BG" w:eastAsia="zh-CN"/>
        </w:rPr>
        <w:t xml:space="preserve">успешното пускане на пазара </w:t>
      </w:r>
      <w:r w:rsidRPr="00445260">
        <w:rPr>
          <w:rFonts w:ascii="Arial" w:eastAsia="Times New Roman" w:hAnsi="Arial" w:cs="Arial"/>
          <w:color w:val="000000"/>
          <w:sz w:val="20"/>
          <w:szCs w:val="20"/>
          <w:lang w:val="bg-BG" w:eastAsia="zh-CN"/>
        </w:rPr>
        <w:t xml:space="preserve">и </w:t>
      </w:r>
      <w:r>
        <w:rPr>
          <w:rFonts w:ascii="Arial" w:eastAsia="Times New Roman" w:hAnsi="Arial" w:cs="Arial"/>
          <w:color w:val="000000"/>
          <w:sz w:val="20"/>
          <w:szCs w:val="20"/>
          <w:lang w:val="bg-BG" w:eastAsia="zh-CN"/>
        </w:rPr>
        <w:t>прилагане</w:t>
      </w:r>
      <w:r w:rsidRPr="00445260">
        <w:rPr>
          <w:rFonts w:ascii="Arial" w:eastAsia="Times New Roman" w:hAnsi="Arial" w:cs="Arial"/>
          <w:color w:val="000000"/>
          <w:sz w:val="20"/>
          <w:szCs w:val="20"/>
          <w:lang w:val="bg-BG" w:eastAsia="zh-CN"/>
        </w:rPr>
        <w:t xml:space="preserve"> на ФИ </w:t>
      </w:r>
      <w:r w:rsidRPr="00445260">
        <w:rPr>
          <w:rFonts w:ascii="Arial" w:eastAsia="Times New Roman" w:hAnsi="Arial" w:cs="Arial"/>
          <w:color w:val="000000"/>
          <w:sz w:val="20"/>
          <w:szCs w:val="20"/>
          <w:shd w:val="clear" w:color="auto" w:fill="FFFFFF" w:themeFill="background1"/>
          <w:lang w:val="bg-BG" w:eastAsia="zh-CN"/>
        </w:rPr>
        <w:t>не са постигнати поради</w:t>
      </w:r>
      <w:r w:rsidRPr="0051416F">
        <w:rPr>
          <w:rFonts w:ascii="Arial" w:eastAsia="Times New Roman" w:hAnsi="Arial" w:cs="Arial"/>
          <w:color w:val="000000"/>
          <w:sz w:val="20"/>
          <w:szCs w:val="20"/>
          <w:shd w:val="clear" w:color="auto" w:fill="FFFFFF" w:themeFill="background1"/>
          <w:lang w:val="bg-BG" w:eastAsia="zh-CN"/>
        </w:rPr>
        <w:t xml:space="preserve"> </w:t>
      </w:r>
      <w:r w:rsidRPr="00445260">
        <w:rPr>
          <w:rFonts w:ascii="Arial" w:eastAsia="Times New Roman" w:hAnsi="Arial" w:cs="Arial"/>
          <w:color w:val="000000"/>
          <w:sz w:val="20"/>
          <w:szCs w:val="20"/>
          <w:shd w:val="clear" w:color="auto" w:fill="FFFFFF" w:themeFill="background1"/>
          <w:lang w:val="bg-BG" w:eastAsia="zh-CN"/>
        </w:rPr>
        <w:t>липса на</w:t>
      </w:r>
      <w:r>
        <w:rPr>
          <w:rFonts w:ascii="Arial" w:eastAsia="Times New Roman" w:hAnsi="Arial" w:cs="Arial"/>
          <w:color w:val="000000"/>
          <w:sz w:val="20"/>
          <w:szCs w:val="20"/>
          <w:lang w:val="bg-BG" w:eastAsia="zh-CN"/>
        </w:rPr>
        <w:t xml:space="preserve"> управленска експертиза на ниво </w:t>
      </w:r>
      <w:r w:rsidRPr="0051416F">
        <w:rPr>
          <w:rFonts w:ascii="Arial" w:eastAsia="Times New Roman" w:hAnsi="Arial" w:cs="Arial"/>
          <w:color w:val="000000"/>
          <w:sz w:val="20"/>
          <w:szCs w:val="20"/>
          <w:lang w:val="bg-BG" w:eastAsia="zh-CN"/>
        </w:rPr>
        <w:t>ф</w:t>
      </w:r>
      <w:r>
        <w:rPr>
          <w:rFonts w:ascii="Arial" w:eastAsia="Times New Roman" w:hAnsi="Arial" w:cs="Arial"/>
          <w:color w:val="000000"/>
          <w:sz w:val="20"/>
          <w:szCs w:val="20"/>
          <w:lang w:val="bg-BG" w:eastAsia="zh-CN"/>
        </w:rPr>
        <w:t>онд мениджър на с</w:t>
      </w:r>
      <w:r w:rsidRPr="0051416F">
        <w:rPr>
          <w:rFonts w:ascii="Arial" w:eastAsia="Times New Roman" w:hAnsi="Arial" w:cs="Arial"/>
          <w:color w:val="000000"/>
          <w:sz w:val="20"/>
          <w:szCs w:val="20"/>
          <w:lang w:val="bg-BG" w:eastAsia="zh-CN"/>
        </w:rPr>
        <w:t>пециална инвестиционна структура (</w:t>
      </w:r>
      <w:r w:rsidRPr="005C3081">
        <w:rPr>
          <w:rFonts w:ascii="Arial" w:eastAsia="Times New Roman" w:hAnsi="Arial" w:cs="Arial"/>
          <w:color w:val="000000"/>
          <w:sz w:val="20"/>
          <w:szCs w:val="20"/>
          <w:lang w:eastAsia="zh-CN"/>
        </w:rPr>
        <w:t>DIV</w:t>
      </w:r>
      <w:r w:rsidRPr="0051416F">
        <w:rPr>
          <w:rFonts w:ascii="Arial" w:eastAsia="Times New Roman" w:hAnsi="Arial" w:cs="Arial"/>
          <w:color w:val="000000"/>
          <w:sz w:val="20"/>
          <w:szCs w:val="20"/>
          <w:lang w:val="bg-BG" w:eastAsia="zh-CN"/>
        </w:rPr>
        <w:t>)</w:t>
      </w:r>
      <w:r>
        <w:rPr>
          <w:rFonts w:ascii="Arial" w:eastAsia="Times New Roman" w:hAnsi="Arial" w:cs="Arial"/>
          <w:color w:val="000000"/>
          <w:sz w:val="20"/>
          <w:szCs w:val="20"/>
          <w:lang w:val="bg-BG" w:eastAsia="zh-CN"/>
        </w:rPr>
        <w:t xml:space="preserve"> или на ниво финансови посредници.</w:t>
      </w:r>
      <w:r w:rsidRPr="0051416F">
        <w:rPr>
          <w:rFonts w:ascii="Arial" w:eastAsia="Times New Roman" w:hAnsi="Arial" w:cs="Arial"/>
          <w:color w:val="000000"/>
          <w:sz w:val="20"/>
          <w:szCs w:val="20"/>
          <w:lang w:val="bg-BG" w:eastAsia="zh-CN"/>
        </w:rPr>
        <w:t xml:space="preserve"> </w:t>
      </w:r>
    </w:p>
    <w:p w14:paraId="3C48FAE3" w14:textId="77777777" w:rsidR="00226026" w:rsidRPr="00BC7695" w:rsidRDefault="00BC696B" w:rsidP="00BC696B">
      <w:pPr>
        <w:pStyle w:val="ListParagraph"/>
        <w:spacing w:after="120"/>
        <w:ind w:left="1440"/>
        <w:jc w:val="both"/>
        <w:rPr>
          <w:rFonts w:ascii="Arial" w:eastAsia="Times New Roman" w:hAnsi="Arial" w:cs="Arial"/>
          <w:i/>
          <w:color w:val="000000"/>
          <w:sz w:val="20"/>
          <w:szCs w:val="20"/>
          <w:lang w:val="bg-BG" w:eastAsia="zh-CN"/>
        </w:rPr>
      </w:pPr>
      <w:r w:rsidRPr="005F0C04">
        <w:rPr>
          <w:rFonts w:ascii="Arial" w:eastAsia="Times New Roman" w:hAnsi="Arial" w:cs="Arial"/>
          <w:i/>
          <w:color w:val="000000"/>
          <w:sz w:val="20"/>
          <w:szCs w:val="20"/>
          <w:lang w:val="bg-BG" w:eastAsia="zh-CN"/>
        </w:rPr>
        <w:t>Възмож</w:t>
      </w:r>
      <w:r>
        <w:rPr>
          <w:rFonts w:ascii="Arial" w:eastAsia="Times New Roman" w:hAnsi="Arial" w:cs="Arial"/>
          <w:i/>
          <w:color w:val="000000"/>
          <w:sz w:val="20"/>
          <w:szCs w:val="20"/>
          <w:lang w:val="bg-BG" w:eastAsia="zh-CN"/>
        </w:rPr>
        <w:t>но решение</w:t>
      </w:r>
      <w:r w:rsidRPr="00BC7695">
        <w:rPr>
          <w:rFonts w:ascii="Arial" w:eastAsia="Times New Roman" w:hAnsi="Arial" w:cs="Arial"/>
          <w:i/>
          <w:color w:val="000000"/>
          <w:sz w:val="20"/>
          <w:szCs w:val="20"/>
          <w:lang w:val="bg-BG" w:eastAsia="zh-CN"/>
        </w:rPr>
        <w:t xml:space="preserve">: </w:t>
      </w:r>
      <w:r w:rsidR="00226026" w:rsidRPr="00BC696B">
        <w:rPr>
          <w:rFonts w:ascii="Arial" w:eastAsia="Times New Roman" w:hAnsi="Arial" w:cs="Arial"/>
          <w:i/>
          <w:color w:val="000000"/>
          <w:sz w:val="20"/>
          <w:szCs w:val="20"/>
          <w:lang w:val="bg-BG" w:eastAsia="zh-CN"/>
        </w:rPr>
        <w:t xml:space="preserve"> </w:t>
      </w:r>
    </w:p>
    <w:p w14:paraId="56CDB8B2" w14:textId="77777777" w:rsidR="000D00ED" w:rsidRPr="000D00ED" w:rsidRDefault="000D00ED" w:rsidP="000D00ED">
      <w:pPr>
        <w:pStyle w:val="ListParagraph"/>
        <w:spacing w:after="120"/>
        <w:ind w:left="1418"/>
        <w:contextualSpacing w:val="0"/>
        <w:jc w:val="both"/>
        <w:rPr>
          <w:rFonts w:ascii="Arial" w:eastAsia="Times New Roman" w:hAnsi="Arial" w:cs="Arial"/>
          <w:color w:val="000000"/>
          <w:sz w:val="20"/>
          <w:szCs w:val="20"/>
          <w:lang w:val="bg-BG" w:eastAsia="zh-CN"/>
        </w:rPr>
      </w:pPr>
      <w:r>
        <w:rPr>
          <w:rFonts w:ascii="Arial" w:eastAsia="Times New Roman" w:hAnsi="Arial" w:cs="Arial"/>
          <w:color w:val="000000"/>
          <w:sz w:val="20"/>
          <w:szCs w:val="20"/>
          <w:lang w:val="bg-BG" w:eastAsia="zh-CN"/>
        </w:rPr>
        <w:t>Публикуване на нови тръжни процедури за избор на фонд мениджър на</w:t>
      </w:r>
      <w:r w:rsidRPr="0051416F">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с</w:t>
      </w:r>
      <w:r w:rsidRPr="0051416F">
        <w:rPr>
          <w:rFonts w:ascii="Arial" w:eastAsia="Times New Roman" w:hAnsi="Arial" w:cs="Arial"/>
          <w:color w:val="000000"/>
          <w:sz w:val="20"/>
          <w:szCs w:val="20"/>
          <w:lang w:val="bg-BG" w:eastAsia="zh-CN"/>
        </w:rPr>
        <w:t>пециалн</w:t>
      </w:r>
      <w:r w:rsidR="00FD14A7">
        <w:rPr>
          <w:rFonts w:ascii="Arial" w:eastAsia="Times New Roman" w:hAnsi="Arial" w:cs="Arial"/>
          <w:color w:val="000000"/>
          <w:sz w:val="20"/>
          <w:szCs w:val="20"/>
          <w:lang w:val="bg-BG" w:eastAsia="zh-CN"/>
        </w:rPr>
        <w:t>а</w:t>
      </w:r>
      <w:r w:rsidRPr="0051416F">
        <w:rPr>
          <w:rFonts w:ascii="Arial" w:eastAsia="Times New Roman" w:hAnsi="Arial" w:cs="Arial"/>
          <w:color w:val="000000"/>
          <w:sz w:val="20"/>
          <w:szCs w:val="20"/>
          <w:lang w:val="bg-BG" w:eastAsia="zh-CN"/>
        </w:rPr>
        <w:t>т</w:t>
      </w:r>
      <w:r w:rsidR="00FD14A7">
        <w:rPr>
          <w:rFonts w:ascii="Arial" w:eastAsia="Times New Roman" w:hAnsi="Arial" w:cs="Arial"/>
          <w:color w:val="000000"/>
          <w:sz w:val="20"/>
          <w:szCs w:val="20"/>
          <w:lang w:val="bg-BG" w:eastAsia="zh-CN"/>
        </w:rPr>
        <w:t>а</w:t>
      </w:r>
      <w:r w:rsidRPr="0051416F">
        <w:rPr>
          <w:rFonts w:ascii="Arial" w:eastAsia="Times New Roman" w:hAnsi="Arial" w:cs="Arial"/>
          <w:color w:val="000000"/>
          <w:sz w:val="20"/>
          <w:szCs w:val="20"/>
          <w:lang w:val="bg-BG" w:eastAsia="zh-CN"/>
        </w:rPr>
        <w:t xml:space="preserve"> инвестиционн</w:t>
      </w:r>
      <w:r w:rsidR="00FD14A7">
        <w:rPr>
          <w:rFonts w:ascii="Arial" w:eastAsia="Times New Roman" w:hAnsi="Arial" w:cs="Arial"/>
          <w:color w:val="000000"/>
          <w:sz w:val="20"/>
          <w:szCs w:val="20"/>
          <w:lang w:val="bg-BG" w:eastAsia="zh-CN"/>
        </w:rPr>
        <w:t>а</w:t>
      </w:r>
      <w:r w:rsidRPr="0051416F">
        <w:rPr>
          <w:rFonts w:ascii="Arial" w:eastAsia="Times New Roman" w:hAnsi="Arial" w:cs="Arial"/>
          <w:color w:val="000000"/>
          <w:sz w:val="20"/>
          <w:szCs w:val="20"/>
          <w:lang w:val="bg-BG" w:eastAsia="zh-CN"/>
        </w:rPr>
        <w:t xml:space="preserve"> структур</w:t>
      </w:r>
      <w:r w:rsidR="00FD14A7">
        <w:rPr>
          <w:rFonts w:ascii="Arial" w:eastAsia="Times New Roman" w:hAnsi="Arial" w:cs="Arial"/>
          <w:color w:val="000000"/>
          <w:sz w:val="20"/>
          <w:szCs w:val="20"/>
          <w:lang w:val="bg-BG" w:eastAsia="zh-CN"/>
        </w:rPr>
        <w:t>а</w:t>
      </w:r>
      <w:r w:rsidRPr="0051416F">
        <w:rPr>
          <w:rFonts w:ascii="Arial" w:eastAsia="Times New Roman" w:hAnsi="Arial" w:cs="Arial"/>
          <w:color w:val="000000"/>
          <w:sz w:val="20"/>
          <w:szCs w:val="20"/>
          <w:lang w:val="bg-BG" w:eastAsia="zh-CN"/>
        </w:rPr>
        <w:t xml:space="preserve"> (</w:t>
      </w:r>
      <w:r w:rsidRPr="005C3081">
        <w:rPr>
          <w:rFonts w:ascii="Arial" w:eastAsia="Times New Roman" w:hAnsi="Arial" w:cs="Arial"/>
          <w:color w:val="000000"/>
          <w:sz w:val="20"/>
          <w:szCs w:val="20"/>
          <w:lang w:eastAsia="zh-CN"/>
        </w:rPr>
        <w:t>DIV</w:t>
      </w:r>
      <w:r w:rsidRPr="0051416F">
        <w:rPr>
          <w:rFonts w:ascii="Arial" w:eastAsia="Times New Roman" w:hAnsi="Arial" w:cs="Arial"/>
          <w:color w:val="000000"/>
          <w:sz w:val="20"/>
          <w:szCs w:val="20"/>
          <w:lang w:val="bg-BG" w:eastAsia="zh-CN"/>
        </w:rPr>
        <w:t>) и/или нови</w:t>
      </w:r>
      <w:r>
        <w:rPr>
          <w:rFonts w:ascii="Arial" w:eastAsia="Times New Roman" w:hAnsi="Arial" w:cs="Arial"/>
          <w:color w:val="000000"/>
          <w:sz w:val="20"/>
          <w:szCs w:val="20"/>
          <w:lang w:val="bg-BG" w:eastAsia="zh-CN"/>
        </w:rPr>
        <w:t xml:space="preserve"> финансови посредници</w:t>
      </w:r>
      <w:r w:rsidRPr="0051416F">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намаляване на  бюджета</w:t>
      </w:r>
      <w:r w:rsidRPr="0051416F">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 xml:space="preserve">за ФИ </w:t>
      </w:r>
      <w:r w:rsidRPr="0051416F">
        <w:rPr>
          <w:rFonts w:ascii="Arial" w:eastAsia="Times New Roman" w:hAnsi="Arial" w:cs="Arial"/>
          <w:color w:val="000000"/>
          <w:sz w:val="20"/>
          <w:szCs w:val="20"/>
          <w:lang w:val="bg-BG" w:eastAsia="zh-CN"/>
        </w:rPr>
        <w:t>(</w:t>
      </w:r>
      <w:r>
        <w:rPr>
          <w:rFonts w:ascii="Arial" w:eastAsia="Times New Roman" w:hAnsi="Arial" w:cs="Arial"/>
          <w:color w:val="000000"/>
          <w:sz w:val="20"/>
          <w:szCs w:val="20"/>
          <w:lang w:val="bg-BG" w:eastAsia="zh-CN"/>
        </w:rPr>
        <w:t>тогава средствата ще бъдат върнати на УО, за бъдат използвани чрез други инструменти за подкрепа, като например безвъзмездна финансова помощ</w:t>
      </w:r>
      <w:r w:rsidRPr="0051416F">
        <w:rPr>
          <w:rFonts w:ascii="Arial" w:eastAsia="Times New Roman" w:hAnsi="Arial" w:cs="Arial"/>
          <w:color w:val="000000"/>
          <w:sz w:val="20"/>
          <w:szCs w:val="20"/>
          <w:lang w:val="bg-BG" w:eastAsia="zh-CN"/>
        </w:rPr>
        <w:t>)</w:t>
      </w:r>
      <w:r>
        <w:rPr>
          <w:rFonts w:ascii="Arial" w:eastAsia="Times New Roman" w:hAnsi="Arial" w:cs="Arial"/>
          <w:color w:val="000000"/>
          <w:sz w:val="20"/>
          <w:szCs w:val="20"/>
          <w:lang w:val="bg-BG" w:eastAsia="zh-CN"/>
        </w:rPr>
        <w:t xml:space="preserve">. </w:t>
      </w:r>
      <w:r w:rsidR="00922599">
        <w:rPr>
          <w:rFonts w:ascii="Arial" w:eastAsia="Times New Roman" w:hAnsi="Arial" w:cs="Arial"/>
          <w:color w:val="000000"/>
          <w:sz w:val="20"/>
          <w:szCs w:val="20"/>
          <w:lang w:val="bg-BG" w:eastAsia="zh-CN"/>
        </w:rPr>
        <w:t>Съответното р</w:t>
      </w:r>
      <w:r w:rsidR="00922599" w:rsidRPr="005F0C04">
        <w:rPr>
          <w:rFonts w:ascii="Arial" w:eastAsia="Times New Roman" w:hAnsi="Arial" w:cs="Arial"/>
          <w:color w:val="000000"/>
          <w:sz w:val="20"/>
          <w:szCs w:val="20"/>
          <w:lang w:val="bg-BG" w:eastAsia="zh-CN"/>
        </w:rPr>
        <w:t>ешение</w:t>
      </w:r>
      <w:r w:rsidR="00922599">
        <w:rPr>
          <w:rFonts w:ascii="Arial" w:eastAsia="Times New Roman" w:hAnsi="Arial" w:cs="Arial"/>
          <w:color w:val="000000"/>
          <w:sz w:val="20"/>
          <w:szCs w:val="20"/>
          <w:lang w:val="bg-BG" w:eastAsia="zh-CN"/>
        </w:rPr>
        <w:t xml:space="preserve"> на</w:t>
      </w:r>
      <w:r w:rsidR="00922599" w:rsidRPr="005F0C04">
        <w:rPr>
          <w:rFonts w:ascii="Arial" w:eastAsia="Times New Roman" w:hAnsi="Arial" w:cs="Arial"/>
          <w:color w:val="000000"/>
          <w:sz w:val="20"/>
          <w:szCs w:val="20"/>
          <w:lang w:val="bg-BG" w:eastAsia="zh-CN"/>
        </w:rPr>
        <w:t xml:space="preserve"> </w:t>
      </w:r>
      <w:r w:rsidRPr="005F0C04">
        <w:rPr>
          <w:rFonts w:ascii="Arial" w:eastAsia="Times New Roman" w:hAnsi="Arial" w:cs="Arial"/>
          <w:color w:val="000000"/>
          <w:sz w:val="20"/>
          <w:szCs w:val="20"/>
          <w:lang w:val="bg-BG" w:eastAsia="zh-CN"/>
        </w:rPr>
        <w:t xml:space="preserve">УО </w:t>
      </w:r>
      <w:r>
        <w:rPr>
          <w:rFonts w:ascii="Arial" w:eastAsia="Times New Roman" w:hAnsi="Arial" w:cs="Arial"/>
          <w:color w:val="000000"/>
          <w:sz w:val="20"/>
          <w:szCs w:val="20"/>
          <w:lang w:val="bg-BG" w:eastAsia="zh-CN"/>
        </w:rPr>
        <w:t>следва да вземе предвид</w:t>
      </w:r>
      <w:r w:rsidRPr="005F0C04">
        <w:rPr>
          <w:rFonts w:ascii="Arial" w:eastAsia="Times New Roman" w:hAnsi="Arial" w:cs="Arial"/>
          <w:color w:val="000000"/>
          <w:sz w:val="20"/>
          <w:szCs w:val="20"/>
          <w:lang w:val="bg-BG" w:eastAsia="zh-CN"/>
        </w:rPr>
        <w:t xml:space="preserve"> </w:t>
      </w:r>
      <w:r w:rsidR="00C90812">
        <w:rPr>
          <w:rFonts w:ascii="Arial" w:eastAsia="Times New Roman" w:hAnsi="Arial" w:cs="Arial"/>
          <w:color w:val="000000"/>
          <w:sz w:val="20"/>
          <w:szCs w:val="20"/>
          <w:lang w:val="bg-BG" w:eastAsia="zh-CN"/>
        </w:rPr>
        <w:t>клаузите</w:t>
      </w:r>
      <w:r w:rsidR="00C90812" w:rsidRPr="005F0C04">
        <w:rPr>
          <w:rFonts w:ascii="Arial" w:eastAsia="Times New Roman" w:hAnsi="Arial" w:cs="Arial"/>
          <w:color w:val="000000"/>
          <w:sz w:val="20"/>
          <w:szCs w:val="20"/>
          <w:lang w:val="bg-BG" w:eastAsia="zh-CN"/>
        </w:rPr>
        <w:t xml:space="preserve"> </w:t>
      </w:r>
      <w:r w:rsidR="00B368B0">
        <w:rPr>
          <w:rFonts w:ascii="Arial" w:eastAsia="Times New Roman" w:hAnsi="Arial" w:cs="Arial"/>
          <w:color w:val="000000"/>
          <w:sz w:val="20"/>
          <w:szCs w:val="20"/>
          <w:lang w:val="bg-BG" w:eastAsia="zh-CN"/>
        </w:rPr>
        <w:t>на</w:t>
      </w:r>
      <w:r w:rsidRPr="005F0C04">
        <w:rPr>
          <w:rFonts w:ascii="Arial" w:eastAsia="Times New Roman" w:hAnsi="Arial" w:cs="Arial"/>
          <w:color w:val="000000"/>
          <w:sz w:val="20"/>
          <w:szCs w:val="20"/>
          <w:lang w:val="bg-BG" w:eastAsia="zh-CN"/>
        </w:rPr>
        <w:t xml:space="preserve"> </w:t>
      </w:r>
      <w:r w:rsidR="00B368B0">
        <w:rPr>
          <w:rFonts w:ascii="Arial" w:eastAsia="Times New Roman" w:hAnsi="Arial" w:cs="Arial"/>
          <w:color w:val="000000"/>
          <w:sz w:val="20"/>
          <w:szCs w:val="20"/>
          <w:lang w:val="bg-BG" w:eastAsia="zh-CN"/>
        </w:rPr>
        <w:t>Финансовото с</w:t>
      </w:r>
      <w:r w:rsidRPr="005F0C04">
        <w:rPr>
          <w:rFonts w:ascii="Arial" w:eastAsia="Times New Roman" w:hAnsi="Arial" w:cs="Arial"/>
          <w:color w:val="000000"/>
          <w:sz w:val="20"/>
          <w:szCs w:val="20"/>
          <w:lang w:val="bg-BG" w:eastAsia="zh-CN"/>
        </w:rPr>
        <w:t>поразумение.</w:t>
      </w:r>
    </w:p>
    <w:p w14:paraId="2D337A87" w14:textId="77777777" w:rsidR="000D00ED" w:rsidRPr="000D00ED" w:rsidRDefault="000D00ED" w:rsidP="000D00ED">
      <w:pPr>
        <w:pStyle w:val="ListParagraph"/>
        <w:numPr>
          <w:ilvl w:val="1"/>
          <w:numId w:val="61"/>
        </w:numPr>
        <w:spacing w:after="120"/>
        <w:contextualSpacing w:val="0"/>
        <w:jc w:val="both"/>
        <w:rPr>
          <w:rFonts w:ascii="Arial" w:eastAsia="Times New Roman" w:hAnsi="Arial" w:cs="Arial"/>
          <w:color w:val="000000"/>
          <w:sz w:val="20"/>
          <w:szCs w:val="20"/>
          <w:lang w:val="bg-BG" w:eastAsia="zh-CN"/>
        </w:rPr>
      </w:pPr>
      <w:r w:rsidRPr="00445260">
        <w:rPr>
          <w:rFonts w:ascii="Arial" w:eastAsia="Times New Roman" w:hAnsi="Arial" w:cs="Arial"/>
          <w:color w:val="000000"/>
          <w:sz w:val="20"/>
          <w:szCs w:val="20"/>
          <w:lang w:val="bg-BG" w:eastAsia="zh-CN"/>
        </w:rPr>
        <w:t>Годишните прегледи на изпълнение</w:t>
      </w:r>
      <w:r>
        <w:rPr>
          <w:rFonts w:ascii="Arial" w:eastAsia="Times New Roman" w:hAnsi="Arial" w:cs="Arial"/>
          <w:color w:val="000000"/>
          <w:sz w:val="20"/>
          <w:szCs w:val="20"/>
          <w:lang w:val="bg-BG" w:eastAsia="zh-CN"/>
        </w:rPr>
        <w:t>то на ИС</w:t>
      </w:r>
      <w:r w:rsidRPr="00445260">
        <w:rPr>
          <w:rFonts w:ascii="Arial" w:eastAsia="Times New Roman" w:hAnsi="Arial" w:cs="Arial"/>
          <w:color w:val="000000"/>
          <w:sz w:val="20"/>
          <w:szCs w:val="20"/>
          <w:lang w:val="bg-BG" w:eastAsia="zh-CN"/>
        </w:rPr>
        <w:t xml:space="preserve"> и/или прегледът с разширен обхват през 2021 г.</w:t>
      </w:r>
      <w:r>
        <w:rPr>
          <w:rFonts w:ascii="Arial" w:eastAsia="Times New Roman" w:hAnsi="Arial" w:cs="Arial"/>
          <w:color w:val="000000"/>
          <w:sz w:val="20"/>
          <w:szCs w:val="20"/>
          <w:lang w:val="bg-BG" w:eastAsia="zh-CN"/>
        </w:rPr>
        <w:t xml:space="preserve"> </w:t>
      </w:r>
      <w:r w:rsidR="00226026">
        <w:rPr>
          <w:rFonts w:ascii="Arial" w:eastAsia="Times New Roman" w:hAnsi="Arial" w:cs="Arial"/>
          <w:color w:val="000000"/>
          <w:sz w:val="20"/>
          <w:szCs w:val="20"/>
          <w:lang w:val="bg-BG" w:eastAsia="zh-CN"/>
        </w:rPr>
        <w:t>показв</w:t>
      </w:r>
      <w:r>
        <w:rPr>
          <w:rFonts w:ascii="Arial" w:eastAsia="Times New Roman" w:hAnsi="Arial" w:cs="Arial"/>
          <w:color w:val="000000"/>
          <w:sz w:val="20"/>
          <w:szCs w:val="20"/>
          <w:lang w:val="bg-BG" w:eastAsia="zh-CN"/>
        </w:rPr>
        <w:t>ат,</w:t>
      </w:r>
      <w:r w:rsidRPr="00445260">
        <w:rPr>
          <w:rFonts w:ascii="Arial" w:eastAsia="Times New Roman" w:hAnsi="Arial" w:cs="Arial"/>
          <w:color w:val="000000"/>
          <w:sz w:val="20"/>
          <w:szCs w:val="20"/>
          <w:lang w:val="bg-BG" w:eastAsia="zh-CN"/>
        </w:rPr>
        <w:t xml:space="preserve"> ч</w:t>
      </w:r>
      <w:r>
        <w:rPr>
          <w:rFonts w:ascii="Arial" w:eastAsia="Times New Roman" w:hAnsi="Arial" w:cs="Arial"/>
          <w:color w:val="000000"/>
          <w:sz w:val="20"/>
          <w:szCs w:val="20"/>
          <w:lang w:val="bg-BG" w:eastAsia="zh-CN"/>
        </w:rPr>
        <w:t xml:space="preserve">е </w:t>
      </w:r>
      <w:r w:rsidR="00226026">
        <w:rPr>
          <w:rFonts w:ascii="Arial" w:eastAsia="Times New Roman" w:hAnsi="Arial" w:cs="Arial"/>
          <w:color w:val="000000"/>
          <w:sz w:val="20"/>
          <w:szCs w:val="20"/>
          <w:shd w:val="clear" w:color="auto" w:fill="FFFFFF" w:themeFill="background1"/>
          <w:lang w:val="bg-BG" w:eastAsia="zh-CN"/>
        </w:rPr>
        <w:t>етапните цели за</w:t>
      </w:r>
      <w:r w:rsidR="00226026" w:rsidRPr="00445260">
        <w:rPr>
          <w:rFonts w:ascii="Arial" w:eastAsia="Times New Roman" w:hAnsi="Arial" w:cs="Arial"/>
          <w:color w:val="000000"/>
          <w:sz w:val="20"/>
          <w:szCs w:val="20"/>
          <w:shd w:val="clear" w:color="auto" w:fill="FFFFFF" w:themeFill="background1"/>
          <w:lang w:val="bg-BG" w:eastAsia="zh-CN"/>
        </w:rPr>
        <w:t xml:space="preserve"> </w:t>
      </w:r>
      <w:r w:rsidR="00226026">
        <w:rPr>
          <w:rFonts w:ascii="Arial" w:eastAsia="Times New Roman" w:hAnsi="Arial" w:cs="Arial"/>
          <w:color w:val="000000"/>
          <w:sz w:val="20"/>
          <w:szCs w:val="20"/>
          <w:lang w:val="bg-BG" w:eastAsia="zh-CN"/>
        </w:rPr>
        <w:t xml:space="preserve">успешното пускане на пазара </w:t>
      </w:r>
      <w:r w:rsidR="00226026" w:rsidRPr="00445260">
        <w:rPr>
          <w:rFonts w:ascii="Arial" w:eastAsia="Times New Roman" w:hAnsi="Arial" w:cs="Arial"/>
          <w:color w:val="000000"/>
          <w:sz w:val="20"/>
          <w:szCs w:val="20"/>
          <w:lang w:val="bg-BG" w:eastAsia="zh-CN"/>
        </w:rPr>
        <w:t xml:space="preserve">и </w:t>
      </w:r>
      <w:r w:rsidR="00226026">
        <w:rPr>
          <w:rFonts w:ascii="Arial" w:eastAsia="Times New Roman" w:hAnsi="Arial" w:cs="Arial"/>
          <w:color w:val="000000"/>
          <w:sz w:val="20"/>
          <w:szCs w:val="20"/>
          <w:lang w:val="bg-BG" w:eastAsia="zh-CN"/>
        </w:rPr>
        <w:t>прилагане</w:t>
      </w:r>
      <w:r w:rsidR="00226026" w:rsidRPr="00445260">
        <w:rPr>
          <w:rFonts w:ascii="Arial" w:eastAsia="Times New Roman" w:hAnsi="Arial" w:cs="Arial"/>
          <w:color w:val="000000"/>
          <w:sz w:val="20"/>
          <w:szCs w:val="20"/>
          <w:lang w:val="bg-BG" w:eastAsia="zh-CN"/>
        </w:rPr>
        <w:t xml:space="preserve"> на ФИ </w:t>
      </w:r>
      <w:r>
        <w:rPr>
          <w:rFonts w:ascii="Arial" w:eastAsia="Times New Roman" w:hAnsi="Arial" w:cs="Arial"/>
          <w:color w:val="000000"/>
          <w:sz w:val="20"/>
          <w:szCs w:val="20"/>
          <w:lang w:val="bg-BG" w:eastAsia="zh-CN"/>
        </w:rPr>
        <w:t>не са постигнати поради</w:t>
      </w:r>
      <w:r w:rsidRPr="0051416F">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липса на интерес и/или капацитет от страна на крайни</w:t>
      </w:r>
      <w:r w:rsidR="00FA701B">
        <w:rPr>
          <w:rFonts w:ascii="Arial" w:eastAsia="Times New Roman" w:hAnsi="Arial" w:cs="Arial"/>
          <w:color w:val="000000"/>
          <w:sz w:val="20"/>
          <w:szCs w:val="20"/>
          <w:lang w:val="bg-BG" w:eastAsia="zh-CN"/>
        </w:rPr>
        <w:t>те</w:t>
      </w:r>
      <w:r>
        <w:rPr>
          <w:rFonts w:ascii="Arial" w:eastAsia="Times New Roman" w:hAnsi="Arial" w:cs="Arial"/>
          <w:color w:val="000000"/>
          <w:sz w:val="20"/>
          <w:szCs w:val="20"/>
          <w:lang w:val="bg-BG" w:eastAsia="zh-CN"/>
        </w:rPr>
        <w:t xml:space="preserve"> получател</w:t>
      </w:r>
      <w:r w:rsidR="00FA701B">
        <w:rPr>
          <w:rFonts w:ascii="Arial" w:eastAsia="Times New Roman" w:hAnsi="Arial" w:cs="Arial"/>
          <w:color w:val="000000"/>
          <w:sz w:val="20"/>
          <w:szCs w:val="20"/>
          <w:lang w:val="bg-BG" w:eastAsia="zh-CN"/>
        </w:rPr>
        <w:t>и</w:t>
      </w:r>
      <w:r>
        <w:rPr>
          <w:rFonts w:ascii="Arial" w:eastAsia="Times New Roman" w:hAnsi="Arial" w:cs="Arial"/>
          <w:color w:val="000000"/>
          <w:sz w:val="20"/>
          <w:szCs w:val="20"/>
          <w:lang w:val="bg-BG" w:eastAsia="zh-CN"/>
        </w:rPr>
        <w:t>.</w:t>
      </w:r>
    </w:p>
    <w:p w14:paraId="2AF05C2B" w14:textId="77777777" w:rsidR="00BC696B" w:rsidRPr="00BC7695" w:rsidRDefault="00BC696B" w:rsidP="00BC696B">
      <w:pPr>
        <w:pStyle w:val="ListParagraph"/>
        <w:spacing w:after="120"/>
        <w:ind w:left="1440"/>
        <w:jc w:val="both"/>
        <w:rPr>
          <w:rFonts w:ascii="Arial" w:eastAsia="Times New Roman" w:hAnsi="Arial" w:cs="Arial"/>
          <w:i/>
          <w:color w:val="000000"/>
          <w:sz w:val="20"/>
          <w:szCs w:val="20"/>
          <w:lang w:val="bg-BG" w:eastAsia="zh-CN"/>
        </w:rPr>
      </w:pPr>
      <w:r w:rsidRPr="005F0C04">
        <w:rPr>
          <w:rFonts w:ascii="Arial" w:eastAsia="Times New Roman" w:hAnsi="Arial" w:cs="Arial"/>
          <w:i/>
          <w:color w:val="000000"/>
          <w:sz w:val="20"/>
          <w:szCs w:val="20"/>
          <w:lang w:val="bg-BG" w:eastAsia="zh-CN"/>
        </w:rPr>
        <w:t>Възмож</w:t>
      </w:r>
      <w:r>
        <w:rPr>
          <w:rFonts w:ascii="Arial" w:eastAsia="Times New Roman" w:hAnsi="Arial" w:cs="Arial"/>
          <w:i/>
          <w:color w:val="000000"/>
          <w:sz w:val="20"/>
          <w:szCs w:val="20"/>
          <w:lang w:val="bg-BG" w:eastAsia="zh-CN"/>
        </w:rPr>
        <w:t xml:space="preserve">но решение </w:t>
      </w:r>
      <w:r w:rsidRPr="005F0C04">
        <w:rPr>
          <w:rFonts w:ascii="Arial" w:eastAsia="Times New Roman" w:hAnsi="Arial" w:cs="Arial"/>
          <w:i/>
          <w:color w:val="000000"/>
          <w:sz w:val="20"/>
          <w:szCs w:val="20"/>
          <w:lang w:val="bg-BG" w:eastAsia="zh-CN"/>
        </w:rPr>
        <w:t>на УО</w:t>
      </w:r>
      <w:r w:rsidRPr="00BC7695">
        <w:rPr>
          <w:rFonts w:ascii="Arial" w:eastAsia="Times New Roman" w:hAnsi="Arial" w:cs="Arial"/>
          <w:i/>
          <w:color w:val="000000"/>
          <w:sz w:val="20"/>
          <w:szCs w:val="20"/>
          <w:lang w:val="bg-BG" w:eastAsia="zh-CN"/>
        </w:rPr>
        <w:t xml:space="preserve">: </w:t>
      </w:r>
    </w:p>
    <w:p w14:paraId="620CB044" w14:textId="77777777" w:rsidR="004006B3" w:rsidRDefault="004006B3" w:rsidP="004006B3">
      <w:pPr>
        <w:pStyle w:val="ListParagraph"/>
        <w:spacing w:after="120"/>
        <w:ind w:left="1418"/>
        <w:contextualSpacing w:val="0"/>
        <w:jc w:val="both"/>
        <w:rPr>
          <w:rFonts w:ascii="Arial" w:eastAsia="Times New Roman" w:hAnsi="Arial" w:cs="Arial"/>
          <w:color w:val="000000"/>
          <w:sz w:val="20"/>
          <w:szCs w:val="20"/>
          <w:lang w:val="bg-BG" w:eastAsia="zh-CN"/>
        </w:rPr>
      </w:pPr>
      <w:r>
        <w:rPr>
          <w:rFonts w:ascii="Arial" w:eastAsia="Times New Roman" w:hAnsi="Arial" w:cs="Arial"/>
          <w:color w:val="000000"/>
          <w:sz w:val="20"/>
          <w:szCs w:val="20"/>
          <w:lang w:val="bg-BG" w:eastAsia="zh-CN"/>
        </w:rPr>
        <w:t xml:space="preserve">Средствата ще бъдат върнати на УО, като УО може да реши да ги използва да предостави </w:t>
      </w:r>
      <w:r w:rsidR="003F04EE">
        <w:rPr>
          <w:rFonts w:ascii="Arial" w:eastAsia="Times New Roman" w:hAnsi="Arial" w:cs="Arial"/>
          <w:color w:val="000000"/>
          <w:sz w:val="20"/>
          <w:szCs w:val="20"/>
          <w:lang w:val="bg-BG" w:eastAsia="zh-CN"/>
        </w:rPr>
        <w:t>подкрепа</w:t>
      </w:r>
      <w:r>
        <w:rPr>
          <w:rFonts w:ascii="Arial" w:eastAsia="Times New Roman" w:hAnsi="Arial" w:cs="Arial"/>
          <w:color w:val="000000"/>
          <w:sz w:val="20"/>
          <w:szCs w:val="20"/>
          <w:lang w:val="bg-BG" w:eastAsia="zh-CN"/>
        </w:rPr>
        <w:t xml:space="preserve"> чрез други инструменти (като например безвъзмездна финансова помощ)</w:t>
      </w:r>
      <w:r w:rsidRPr="0051416F">
        <w:rPr>
          <w:rFonts w:ascii="Arial" w:eastAsia="Times New Roman" w:hAnsi="Arial" w:cs="Arial"/>
          <w:color w:val="000000"/>
          <w:sz w:val="20"/>
          <w:szCs w:val="20"/>
          <w:lang w:val="bg-BG" w:eastAsia="zh-CN"/>
        </w:rPr>
        <w:t xml:space="preserve">. </w:t>
      </w:r>
      <w:r w:rsidR="00FA701B">
        <w:rPr>
          <w:rFonts w:ascii="Arial" w:eastAsia="Times New Roman" w:hAnsi="Arial" w:cs="Arial"/>
          <w:color w:val="000000"/>
          <w:sz w:val="20"/>
          <w:szCs w:val="20"/>
          <w:lang w:val="bg-BG" w:eastAsia="zh-CN"/>
        </w:rPr>
        <w:t>Съответното р</w:t>
      </w:r>
      <w:r w:rsidR="00FA701B" w:rsidRPr="005F0C04">
        <w:rPr>
          <w:rFonts w:ascii="Arial" w:eastAsia="Times New Roman" w:hAnsi="Arial" w:cs="Arial"/>
          <w:color w:val="000000"/>
          <w:sz w:val="20"/>
          <w:szCs w:val="20"/>
          <w:lang w:val="bg-BG" w:eastAsia="zh-CN"/>
        </w:rPr>
        <w:t>ешение</w:t>
      </w:r>
      <w:r w:rsidR="00FA701B">
        <w:rPr>
          <w:rFonts w:ascii="Arial" w:eastAsia="Times New Roman" w:hAnsi="Arial" w:cs="Arial"/>
          <w:color w:val="000000"/>
          <w:sz w:val="20"/>
          <w:szCs w:val="20"/>
          <w:lang w:val="bg-BG" w:eastAsia="zh-CN"/>
        </w:rPr>
        <w:t xml:space="preserve"> на</w:t>
      </w:r>
      <w:r w:rsidR="00FA701B" w:rsidRPr="005F0C04">
        <w:rPr>
          <w:rFonts w:ascii="Arial" w:eastAsia="Times New Roman" w:hAnsi="Arial" w:cs="Arial"/>
          <w:color w:val="000000"/>
          <w:sz w:val="20"/>
          <w:szCs w:val="20"/>
          <w:lang w:val="bg-BG" w:eastAsia="zh-CN"/>
        </w:rPr>
        <w:t xml:space="preserve"> </w:t>
      </w:r>
      <w:r w:rsidRPr="005F0C04">
        <w:rPr>
          <w:rFonts w:ascii="Arial" w:eastAsia="Times New Roman" w:hAnsi="Arial" w:cs="Arial"/>
          <w:color w:val="000000"/>
          <w:sz w:val="20"/>
          <w:szCs w:val="20"/>
          <w:lang w:val="bg-BG" w:eastAsia="zh-CN"/>
        </w:rPr>
        <w:t xml:space="preserve">УО </w:t>
      </w:r>
      <w:r>
        <w:rPr>
          <w:rFonts w:ascii="Arial" w:eastAsia="Times New Roman" w:hAnsi="Arial" w:cs="Arial"/>
          <w:color w:val="000000"/>
          <w:sz w:val="20"/>
          <w:szCs w:val="20"/>
          <w:lang w:val="bg-BG" w:eastAsia="zh-CN"/>
        </w:rPr>
        <w:t>следва да вземе предвид</w:t>
      </w:r>
      <w:r w:rsidRPr="005F0C04">
        <w:rPr>
          <w:rFonts w:ascii="Arial" w:eastAsia="Times New Roman" w:hAnsi="Arial" w:cs="Arial"/>
          <w:color w:val="000000"/>
          <w:sz w:val="20"/>
          <w:szCs w:val="20"/>
          <w:lang w:val="bg-BG" w:eastAsia="zh-CN"/>
        </w:rPr>
        <w:t xml:space="preserve"> </w:t>
      </w:r>
      <w:r w:rsidR="007A3E3C">
        <w:rPr>
          <w:rFonts w:ascii="Arial" w:eastAsia="Times New Roman" w:hAnsi="Arial" w:cs="Arial"/>
          <w:color w:val="000000"/>
          <w:sz w:val="20"/>
          <w:szCs w:val="20"/>
          <w:lang w:val="bg-BG" w:eastAsia="zh-CN"/>
        </w:rPr>
        <w:t>клаузите</w:t>
      </w:r>
      <w:r w:rsidR="007A3E3C" w:rsidRPr="005F0C04">
        <w:rPr>
          <w:rFonts w:ascii="Arial" w:eastAsia="Times New Roman" w:hAnsi="Arial" w:cs="Arial"/>
          <w:color w:val="000000"/>
          <w:sz w:val="20"/>
          <w:szCs w:val="20"/>
          <w:lang w:val="bg-BG" w:eastAsia="zh-CN"/>
        </w:rPr>
        <w:t xml:space="preserve"> </w:t>
      </w:r>
      <w:r w:rsidR="00B368B0">
        <w:rPr>
          <w:rFonts w:ascii="Arial" w:eastAsia="Times New Roman" w:hAnsi="Arial" w:cs="Arial"/>
          <w:color w:val="000000"/>
          <w:sz w:val="20"/>
          <w:szCs w:val="20"/>
          <w:lang w:val="bg-BG" w:eastAsia="zh-CN"/>
        </w:rPr>
        <w:t>на</w:t>
      </w:r>
      <w:r w:rsidRPr="005F0C04">
        <w:rPr>
          <w:rFonts w:ascii="Arial" w:eastAsia="Times New Roman" w:hAnsi="Arial" w:cs="Arial"/>
          <w:color w:val="000000"/>
          <w:sz w:val="20"/>
          <w:szCs w:val="20"/>
          <w:lang w:val="bg-BG" w:eastAsia="zh-CN"/>
        </w:rPr>
        <w:t xml:space="preserve"> </w:t>
      </w:r>
      <w:r w:rsidR="00B368B0">
        <w:rPr>
          <w:rFonts w:ascii="Arial" w:eastAsia="Times New Roman" w:hAnsi="Arial" w:cs="Arial"/>
          <w:color w:val="000000"/>
          <w:sz w:val="20"/>
          <w:szCs w:val="20"/>
          <w:lang w:val="bg-BG" w:eastAsia="zh-CN"/>
        </w:rPr>
        <w:t>Финансовото с</w:t>
      </w:r>
      <w:r w:rsidR="00B368B0" w:rsidRPr="005F0C04">
        <w:rPr>
          <w:rFonts w:ascii="Arial" w:eastAsia="Times New Roman" w:hAnsi="Arial" w:cs="Arial"/>
          <w:color w:val="000000"/>
          <w:sz w:val="20"/>
          <w:szCs w:val="20"/>
          <w:lang w:val="bg-BG" w:eastAsia="zh-CN"/>
        </w:rPr>
        <w:t>поразумение</w:t>
      </w:r>
      <w:r w:rsidRPr="005F0C04">
        <w:rPr>
          <w:rFonts w:ascii="Arial" w:eastAsia="Times New Roman" w:hAnsi="Arial" w:cs="Arial"/>
          <w:color w:val="000000"/>
          <w:sz w:val="20"/>
          <w:szCs w:val="20"/>
          <w:lang w:val="bg-BG" w:eastAsia="zh-CN"/>
        </w:rPr>
        <w:t>.</w:t>
      </w:r>
    </w:p>
    <w:p w14:paraId="1BD307F5" w14:textId="77777777" w:rsidR="00F0399A" w:rsidRPr="00F0399A" w:rsidRDefault="00F0399A" w:rsidP="008B5547">
      <w:pPr>
        <w:pStyle w:val="ListParagraph"/>
        <w:numPr>
          <w:ilvl w:val="1"/>
          <w:numId w:val="61"/>
        </w:numPr>
        <w:jc w:val="both"/>
        <w:rPr>
          <w:rFonts w:ascii="Arial" w:eastAsia="Times New Roman" w:hAnsi="Arial" w:cs="Arial"/>
          <w:color w:val="000000"/>
          <w:sz w:val="20"/>
          <w:szCs w:val="20"/>
          <w:lang w:val="bg-BG" w:eastAsia="zh-CN"/>
        </w:rPr>
      </w:pPr>
      <w:r w:rsidRPr="00F0399A">
        <w:rPr>
          <w:rFonts w:ascii="Arial" w:eastAsia="Times New Roman" w:hAnsi="Arial" w:cs="Arial"/>
          <w:color w:val="000000"/>
          <w:sz w:val="20"/>
          <w:szCs w:val="20"/>
          <w:lang w:val="bg-BG" w:eastAsia="zh-CN"/>
        </w:rPr>
        <w:t>Преразглеждане на предварителната оценка на ФИ в случай на промяна на инвестиционната ситуация в сектор „ВиК“ и промяна в параметрите на ФИ.</w:t>
      </w:r>
    </w:p>
    <w:p w14:paraId="09E50106" w14:textId="77777777" w:rsidR="00B1748C" w:rsidRPr="00BC7695" w:rsidRDefault="00B1748C" w:rsidP="00B1748C">
      <w:pPr>
        <w:pStyle w:val="ListParagraph"/>
        <w:spacing w:after="120"/>
        <w:ind w:left="1440"/>
        <w:jc w:val="both"/>
        <w:rPr>
          <w:rFonts w:ascii="Arial" w:eastAsia="Times New Roman" w:hAnsi="Arial" w:cs="Arial"/>
          <w:i/>
          <w:color w:val="000000"/>
          <w:sz w:val="20"/>
          <w:szCs w:val="20"/>
          <w:lang w:val="bg-BG" w:eastAsia="zh-CN"/>
        </w:rPr>
      </w:pPr>
      <w:r w:rsidRPr="005F0C04">
        <w:rPr>
          <w:rFonts w:ascii="Arial" w:eastAsia="Times New Roman" w:hAnsi="Arial" w:cs="Arial"/>
          <w:i/>
          <w:color w:val="000000"/>
          <w:sz w:val="20"/>
          <w:szCs w:val="20"/>
          <w:lang w:val="bg-BG" w:eastAsia="zh-CN"/>
        </w:rPr>
        <w:t>Възмож</w:t>
      </w:r>
      <w:r>
        <w:rPr>
          <w:rFonts w:ascii="Arial" w:eastAsia="Times New Roman" w:hAnsi="Arial" w:cs="Arial"/>
          <w:i/>
          <w:color w:val="000000"/>
          <w:sz w:val="20"/>
          <w:szCs w:val="20"/>
          <w:lang w:val="bg-BG" w:eastAsia="zh-CN"/>
        </w:rPr>
        <w:t xml:space="preserve">но решение </w:t>
      </w:r>
      <w:r w:rsidRPr="005F0C04">
        <w:rPr>
          <w:rFonts w:ascii="Arial" w:eastAsia="Times New Roman" w:hAnsi="Arial" w:cs="Arial"/>
          <w:i/>
          <w:color w:val="000000"/>
          <w:sz w:val="20"/>
          <w:szCs w:val="20"/>
          <w:lang w:val="bg-BG" w:eastAsia="zh-CN"/>
        </w:rPr>
        <w:t>на УО</w:t>
      </w:r>
      <w:r w:rsidRPr="00BC7695">
        <w:rPr>
          <w:rFonts w:ascii="Arial" w:eastAsia="Times New Roman" w:hAnsi="Arial" w:cs="Arial"/>
          <w:i/>
          <w:color w:val="000000"/>
          <w:sz w:val="20"/>
          <w:szCs w:val="20"/>
          <w:lang w:val="bg-BG" w:eastAsia="zh-CN"/>
        </w:rPr>
        <w:t xml:space="preserve">: </w:t>
      </w:r>
    </w:p>
    <w:p w14:paraId="3164ED71" w14:textId="77777777" w:rsidR="00B1748C" w:rsidRDefault="00B1748C" w:rsidP="00B1748C">
      <w:pPr>
        <w:pStyle w:val="ListParagraph"/>
        <w:spacing w:after="120"/>
        <w:ind w:left="1440"/>
        <w:jc w:val="both"/>
        <w:rPr>
          <w:rFonts w:ascii="Arial" w:eastAsia="Times New Roman" w:hAnsi="Arial" w:cs="Arial"/>
          <w:color w:val="000000"/>
          <w:sz w:val="20"/>
          <w:szCs w:val="20"/>
          <w:lang w:val="bg-BG" w:eastAsia="zh-CN"/>
        </w:rPr>
      </w:pPr>
      <w:r w:rsidRPr="005F0C04">
        <w:rPr>
          <w:rFonts w:ascii="Arial" w:eastAsia="Times New Roman" w:hAnsi="Arial" w:cs="Arial"/>
          <w:color w:val="000000"/>
          <w:sz w:val="20"/>
          <w:szCs w:val="20"/>
          <w:lang w:val="bg-BG" w:eastAsia="zh-CN"/>
        </w:rPr>
        <w:t xml:space="preserve">Преразглеждане на </w:t>
      </w:r>
      <w:r>
        <w:rPr>
          <w:rFonts w:ascii="Arial" w:eastAsia="Times New Roman" w:hAnsi="Arial" w:cs="Arial"/>
          <w:color w:val="000000"/>
          <w:sz w:val="20"/>
          <w:szCs w:val="20"/>
          <w:lang w:val="bg-BG" w:eastAsia="zh-CN"/>
        </w:rPr>
        <w:t>ИС</w:t>
      </w:r>
      <w:r w:rsidRPr="005F0C04">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и</w:t>
      </w:r>
      <w:r w:rsidRPr="005F0C04">
        <w:rPr>
          <w:rFonts w:ascii="Arial" w:eastAsia="Times New Roman" w:hAnsi="Arial" w:cs="Arial"/>
          <w:color w:val="000000"/>
          <w:sz w:val="20"/>
          <w:szCs w:val="20"/>
          <w:lang w:val="bg-BG" w:eastAsia="zh-CN"/>
        </w:rPr>
        <w:t xml:space="preserve"> промяна на параметрите на предложен</w:t>
      </w:r>
      <w:r>
        <w:rPr>
          <w:rFonts w:ascii="Arial" w:eastAsia="Times New Roman" w:hAnsi="Arial" w:cs="Arial"/>
          <w:color w:val="000000"/>
          <w:sz w:val="20"/>
          <w:szCs w:val="20"/>
          <w:lang w:val="bg-BG" w:eastAsia="zh-CN"/>
        </w:rPr>
        <w:t>ите</w:t>
      </w:r>
      <w:r w:rsidRPr="005F0C04">
        <w:rPr>
          <w:rFonts w:ascii="Arial" w:eastAsia="Times New Roman" w:hAnsi="Arial" w:cs="Arial"/>
          <w:color w:val="000000"/>
          <w:sz w:val="20"/>
          <w:szCs w:val="20"/>
          <w:lang w:val="bg-BG" w:eastAsia="zh-CN"/>
        </w:rPr>
        <w:t xml:space="preserve"> ФИ; преустановяване на (някои от) ФИ; въвеждане на нови ФИ; намаляване на бюджета </w:t>
      </w:r>
      <w:r>
        <w:rPr>
          <w:rFonts w:ascii="Arial" w:eastAsia="Times New Roman" w:hAnsi="Arial" w:cs="Arial"/>
          <w:color w:val="000000"/>
          <w:sz w:val="20"/>
          <w:szCs w:val="20"/>
          <w:lang w:val="bg-BG" w:eastAsia="zh-CN"/>
        </w:rPr>
        <w:t xml:space="preserve">за </w:t>
      </w:r>
      <w:r>
        <w:rPr>
          <w:rFonts w:ascii="Arial" w:eastAsia="Times New Roman" w:hAnsi="Arial" w:cs="Arial"/>
          <w:color w:val="000000"/>
          <w:sz w:val="20"/>
          <w:szCs w:val="20"/>
          <w:lang w:val="bg-BG" w:eastAsia="zh-CN"/>
        </w:rPr>
        <w:lastRenderedPageBreak/>
        <w:t xml:space="preserve">ФИ </w:t>
      </w:r>
      <w:r w:rsidRPr="005F0C04">
        <w:rPr>
          <w:rFonts w:ascii="Arial" w:eastAsia="Times New Roman" w:hAnsi="Arial" w:cs="Arial"/>
          <w:color w:val="000000"/>
          <w:sz w:val="20"/>
          <w:szCs w:val="20"/>
          <w:lang w:val="bg-BG" w:eastAsia="zh-CN"/>
        </w:rPr>
        <w:t xml:space="preserve">(в </w:t>
      </w:r>
      <w:r>
        <w:rPr>
          <w:rFonts w:ascii="Arial" w:eastAsia="Times New Roman" w:hAnsi="Arial" w:cs="Arial"/>
          <w:color w:val="000000"/>
          <w:sz w:val="20"/>
          <w:szCs w:val="20"/>
          <w:lang w:val="bg-BG" w:eastAsia="zh-CN"/>
        </w:rPr>
        <w:t>този случай,</w:t>
      </w:r>
      <w:r w:rsidRPr="005F0C04">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средствата</w:t>
      </w:r>
      <w:r w:rsidRPr="005F0C04">
        <w:rPr>
          <w:rFonts w:ascii="Arial" w:eastAsia="Times New Roman" w:hAnsi="Arial" w:cs="Arial"/>
          <w:color w:val="000000"/>
          <w:sz w:val="20"/>
          <w:szCs w:val="20"/>
          <w:lang w:val="bg-BG" w:eastAsia="zh-CN"/>
        </w:rPr>
        <w:t xml:space="preserve"> ще бъдат върнати на УО, за да бъдат използвани чрез други инструмен</w:t>
      </w:r>
      <w:r>
        <w:rPr>
          <w:rFonts w:ascii="Arial" w:eastAsia="Times New Roman" w:hAnsi="Arial" w:cs="Arial"/>
          <w:color w:val="000000"/>
          <w:sz w:val="20"/>
          <w:szCs w:val="20"/>
          <w:lang w:val="bg-BG" w:eastAsia="zh-CN"/>
        </w:rPr>
        <w:t>ти за подкрепа, като например безвъзмездна финансова помощ). Съответното р</w:t>
      </w:r>
      <w:r w:rsidRPr="005F0C04">
        <w:rPr>
          <w:rFonts w:ascii="Arial" w:eastAsia="Times New Roman" w:hAnsi="Arial" w:cs="Arial"/>
          <w:color w:val="000000"/>
          <w:sz w:val="20"/>
          <w:szCs w:val="20"/>
          <w:lang w:val="bg-BG" w:eastAsia="zh-CN"/>
        </w:rPr>
        <w:t>ешение</w:t>
      </w:r>
      <w:r>
        <w:rPr>
          <w:rFonts w:ascii="Arial" w:eastAsia="Times New Roman" w:hAnsi="Arial" w:cs="Arial"/>
          <w:color w:val="000000"/>
          <w:sz w:val="20"/>
          <w:szCs w:val="20"/>
          <w:lang w:val="bg-BG" w:eastAsia="zh-CN"/>
        </w:rPr>
        <w:t xml:space="preserve"> на</w:t>
      </w:r>
      <w:r w:rsidRPr="005F0C04">
        <w:rPr>
          <w:rFonts w:ascii="Arial" w:eastAsia="Times New Roman" w:hAnsi="Arial" w:cs="Arial"/>
          <w:color w:val="000000"/>
          <w:sz w:val="20"/>
          <w:szCs w:val="20"/>
          <w:lang w:val="bg-BG" w:eastAsia="zh-CN"/>
        </w:rPr>
        <w:t xml:space="preserve"> УО </w:t>
      </w:r>
      <w:r>
        <w:rPr>
          <w:rFonts w:ascii="Arial" w:eastAsia="Times New Roman" w:hAnsi="Arial" w:cs="Arial"/>
          <w:color w:val="000000"/>
          <w:sz w:val="20"/>
          <w:szCs w:val="20"/>
          <w:lang w:val="bg-BG" w:eastAsia="zh-CN"/>
        </w:rPr>
        <w:t>следва да вземе предвид</w:t>
      </w:r>
      <w:r w:rsidRPr="005F0C04">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клаузите</w:t>
      </w:r>
      <w:r w:rsidRPr="005F0C04">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на Финансовото с</w:t>
      </w:r>
      <w:r w:rsidRPr="005F0C04">
        <w:rPr>
          <w:rFonts w:ascii="Arial" w:eastAsia="Times New Roman" w:hAnsi="Arial" w:cs="Arial"/>
          <w:color w:val="000000"/>
          <w:sz w:val="20"/>
          <w:szCs w:val="20"/>
          <w:lang w:val="bg-BG" w:eastAsia="zh-CN"/>
        </w:rPr>
        <w:t>поразумение.</w:t>
      </w:r>
    </w:p>
    <w:p w14:paraId="07F5CC9D" w14:textId="77777777" w:rsidR="00B1748C" w:rsidRDefault="00B1748C" w:rsidP="004006B3">
      <w:pPr>
        <w:pStyle w:val="ListParagraph"/>
        <w:spacing w:after="120"/>
        <w:ind w:left="1418"/>
        <w:contextualSpacing w:val="0"/>
        <w:jc w:val="both"/>
        <w:rPr>
          <w:rFonts w:ascii="Arial" w:eastAsia="Times New Roman" w:hAnsi="Arial" w:cs="Arial"/>
          <w:color w:val="000000"/>
          <w:sz w:val="20"/>
          <w:szCs w:val="20"/>
          <w:lang w:val="bg-BG" w:eastAsia="zh-CN"/>
        </w:rPr>
      </w:pPr>
    </w:p>
    <w:p w14:paraId="7BB75E3A" w14:textId="77777777" w:rsidR="000C3569" w:rsidRPr="0051416F" w:rsidRDefault="000C3569" w:rsidP="004006B3">
      <w:pPr>
        <w:pStyle w:val="ListParagraph"/>
        <w:spacing w:after="120"/>
        <w:ind w:left="1418"/>
        <w:contextualSpacing w:val="0"/>
        <w:jc w:val="both"/>
        <w:rPr>
          <w:rFonts w:ascii="Arial" w:eastAsia="Times New Roman" w:hAnsi="Arial" w:cs="Arial"/>
          <w:color w:val="000000"/>
          <w:sz w:val="20"/>
          <w:szCs w:val="20"/>
          <w:lang w:val="bg-BG" w:eastAsia="zh-CN"/>
        </w:rPr>
      </w:pPr>
    </w:p>
    <w:p w14:paraId="44A6C3F1" w14:textId="77777777" w:rsidR="000D00ED" w:rsidRPr="006404F6" w:rsidRDefault="004006B3" w:rsidP="006404F6">
      <w:pPr>
        <w:spacing w:after="120"/>
        <w:jc w:val="both"/>
        <w:rPr>
          <w:rFonts w:ascii="Arial" w:eastAsia="Times New Roman" w:hAnsi="Arial" w:cs="Arial"/>
          <w:color w:val="000000"/>
          <w:sz w:val="20"/>
          <w:szCs w:val="20"/>
          <w:lang w:val="bg-BG" w:eastAsia="zh-CN"/>
        </w:rPr>
      </w:pPr>
      <w:r w:rsidRPr="006404F6">
        <w:rPr>
          <w:rFonts w:ascii="Arial" w:eastAsia="Times New Roman" w:hAnsi="Arial" w:cs="Arial"/>
          <w:b/>
          <w:color w:val="000000"/>
          <w:sz w:val="20"/>
          <w:szCs w:val="20"/>
          <w:lang w:val="bg-BG" w:eastAsia="zh-CN"/>
        </w:rPr>
        <w:t>Изпълнение</w:t>
      </w:r>
      <w:r w:rsidR="000D00ED" w:rsidRPr="006404F6">
        <w:rPr>
          <w:rFonts w:ascii="Arial" w:eastAsia="Times New Roman" w:hAnsi="Arial" w:cs="Arial"/>
          <w:b/>
          <w:color w:val="000000"/>
          <w:sz w:val="20"/>
          <w:szCs w:val="20"/>
          <w:lang w:val="bg-BG" w:eastAsia="zh-CN"/>
        </w:rPr>
        <w:t xml:space="preserve"> на </w:t>
      </w:r>
      <w:r w:rsidRPr="006404F6">
        <w:rPr>
          <w:rFonts w:ascii="Arial" w:eastAsia="Times New Roman" w:hAnsi="Arial" w:cs="Arial"/>
          <w:b/>
          <w:color w:val="000000"/>
          <w:sz w:val="20"/>
          <w:szCs w:val="20"/>
          <w:lang w:val="bg-BG" w:eastAsia="zh-CN"/>
        </w:rPr>
        <w:t>ИС</w:t>
      </w:r>
      <w:r w:rsidR="000D00ED" w:rsidRPr="006404F6">
        <w:rPr>
          <w:rFonts w:ascii="Arial" w:eastAsia="Times New Roman" w:hAnsi="Arial" w:cs="Arial"/>
          <w:b/>
          <w:color w:val="000000"/>
          <w:sz w:val="20"/>
          <w:szCs w:val="20"/>
          <w:lang w:val="bg-BG" w:eastAsia="zh-CN"/>
        </w:rPr>
        <w:t xml:space="preserve"> и </w:t>
      </w:r>
      <w:r w:rsidRPr="006404F6">
        <w:rPr>
          <w:rFonts w:ascii="Arial" w:eastAsia="Times New Roman" w:hAnsi="Arial" w:cs="Arial"/>
          <w:b/>
          <w:color w:val="000000"/>
          <w:sz w:val="20"/>
          <w:szCs w:val="20"/>
          <w:lang w:val="bg-BG" w:eastAsia="zh-CN"/>
        </w:rPr>
        <w:t>Стратегия за из</w:t>
      </w:r>
      <w:r w:rsidR="00EA2981" w:rsidRPr="006404F6">
        <w:rPr>
          <w:rFonts w:ascii="Arial" w:eastAsia="Times New Roman" w:hAnsi="Arial" w:cs="Arial"/>
          <w:b/>
          <w:color w:val="000000"/>
          <w:sz w:val="20"/>
          <w:szCs w:val="20"/>
          <w:lang w:val="bg-BG" w:eastAsia="zh-CN"/>
        </w:rPr>
        <w:t>ход</w:t>
      </w:r>
      <w:r w:rsidRPr="006404F6">
        <w:rPr>
          <w:rFonts w:ascii="Arial" w:eastAsia="Times New Roman" w:hAnsi="Arial" w:cs="Arial"/>
          <w:b/>
          <w:color w:val="000000"/>
          <w:sz w:val="20"/>
          <w:szCs w:val="20"/>
          <w:lang w:val="bg-BG" w:eastAsia="zh-CN"/>
        </w:rPr>
        <w:t xml:space="preserve"> </w:t>
      </w:r>
      <w:r w:rsidR="00FA701B" w:rsidRPr="006404F6">
        <w:rPr>
          <w:rFonts w:ascii="Arial" w:eastAsia="Times New Roman" w:hAnsi="Arial" w:cs="Arial"/>
          <w:color w:val="000000"/>
          <w:sz w:val="20"/>
          <w:szCs w:val="20"/>
          <w:lang w:val="bg-BG" w:eastAsia="zh-CN"/>
        </w:rPr>
        <w:t>в</w:t>
      </w:r>
      <w:r w:rsidRPr="006404F6">
        <w:rPr>
          <w:rFonts w:ascii="Arial" w:eastAsia="Times New Roman" w:hAnsi="Arial" w:cs="Arial"/>
          <w:color w:val="000000"/>
          <w:sz w:val="20"/>
          <w:szCs w:val="20"/>
          <w:lang w:val="bg-BG" w:eastAsia="zh-CN"/>
        </w:rPr>
        <w:t xml:space="preserve"> края</w:t>
      </w:r>
      <w:r w:rsidR="000D00ED" w:rsidRPr="006404F6">
        <w:rPr>
          <w:rFonts w:ascii="Arial" w:eastAsia="Times New Roman" w:hAnsi="Arial" w:cs="Arial"/>
          <w:color w:val="000000"/>
          <w:sz w:val="20"/>
          <w:szCs w:val="20"/>
          <w:lang w:val="bg-BG" w:eastAsia="zh-CN"/>
        </w:rPr>
        <w:t xml:space="preserve"> на </w:t>
      </w:r>
      <w:r w:rsidRPr="006404F6">
        <w:rPr>
          <w:rFonts w:ascii="Arial" w:eastAsia="Times New Roman" w:hAnsi="Arial" w:cs="Arial"/>
          <w:color w:val="000000"/>
          <w:sz w:val="20"/>
          <w:szCs w:val="20"/>
          <w:lang w:val="bg-BG" w:eastAsia="zh-CN"/>
        </w:rPr>
        <w:t>периода на допустимост</w:t>
      </w:r>
    </w:p>
    <w:p w14:paraId="4CB7CB8B" w14:textId="77777777" w:rsidR="00492683" w:rsidRPr="00492683" w:rsidRDefault="00492683" w:rsidP="00492683">
      <w:pPr>
        <w:pStyle w:val="ListParagraph"/>
        <w:numPr>
          <w:ilvl w:val="0"/>
          <w:numId w:val="61"/>
        </w:numPr>
        <w:spacing w:after="120"/>
        <w:contextualSpacing w:val="0"/>
        <w:jc w:val="both"/>
        <w:rPr>
          <w:rFonts w:ascii="Arial" w:eastAsia="Times New Roman" w:hAnsi="Arial" w:cs="Arial"/>
          <w:color w:val="000000"/>
          <w:sz w:val="20"/>
          <w:szCs w:val="20"/>
          <w:lang w:val="bg-BG" w:eastAsia="zh-CN"/>
        </w:rPr>
      </w:pPr>
      <w:r>
        <w:rPr>
          <w:rFonts w:ascii="Arial" w:eastAsia="Times New Roman" w:hAnsi="Arial" w:cs="Arial"/>
          <w:color w:val="000000"/>
          <w:sz w:val="20"/>
          <w:szCs w:val="20"/>
          <w:u w:val="single"/>
          <w:lang w:val="bg-BG" w:eastAsia="zh-CN"/>
        </w:rPr>
        <w:t>Събития/условия</w:t>
      </w:r>
      <w:r w:rsidRPr="009F0037">
        <w:rPr>
          <w:rFonts w:ascii="Arial" w:eastAsia="Times New Roman" w:hAnsi="Arial" w:cs="Arial"/>
          <w:color w:val="000000"/>
          <w:sz w:val="20"/>
          <w:szCs w:val="20"/>
          <w:lang w:eastAsia="zh-CN"/>
        </w:rPr>
        <w:t>:</w:t>
      </w:r>
    </w:p>
    <w:p w14:paraId="420868EA" w14:textId="77777777" w:rsidR="00492683" w:rsidRPr="00492683" w:rsidRDefault="00492683" w:rsidP="00492683">
      <w:pPr>
        <w:pStyle w:val="ListParagraph"/>
        <w:numPr>
          <w:ilvl w:val="1"/>
          <w:numId w:val="61"/>
        </w:numPr>
        <w:spacing w:after="120"/>
        <w:contextualSpacing w:val="0"/>
        <w:jc w:val="both"/>
        <w:rPr>
          <w:rFonts w:ascii="Arial" w:eastAsia="Times New Roman" w:hAnsi="Arial" w:cs="Arial"/>
          <w:color w:val="000000"/>
          <w:sz w:val="20"/>
          <w:szCs w:val="20"/>
          <w:lang w:val="bg-BG" w:eastAsia="zh-CN"/>
        </w:rPr>
      </w:pPr>
      <w:r w:rsidRPr="00492683">
        <w:rPr>
          <w:rFonts w:ascii="Arial" w:eastAsia="Times New Roman" w:hAnsi="Arial" w:cs="Arial"/>
          <w:color w:val="000000"/>
          <w:sz w:val="20"/>
          <w:szCs w:val="20"/>
          <w:lang w:val="bg-BG" w:eastAsia="zh-CN"/>
        </w:rPr>
        <w:t>Прегледът с разширен обхват през 2023 г. показва, че ФИ постигат заложените цели</w:t>
      </w:r>
      <w:r w:rsidR="00FA701B">
        <w:rPr>
          <w:rFonts w:ascii="Arial" w:eastAsia="Times New Roman" w:hAnsi="Arial" w:cs="Arial"/>
          <w:color w:val="000000"/>
          <w:sz w:val="20"/>
          <w:szCs w:val="20"/>
          <w:lang w:val="bg-BG" w:eastAsia="zh-CN"/>
        </w:rPr>
        <w:t xml:space="preserve"> и</w:t>
      </w:r>
      <w:r w:rsidR="00A5747C">
        <w:rPr>
          <w:rFonts w:ascii="Arial" w:eastAsia="Times New Roman" w:hAnsi="Arial" w:cs="Arial"/>
          <w:color w:val="000000"/>
          <w:sz w:val="20"/>
          <w:szCs w:val="20"/>
          <w:lang w:val="bg-BG" w:eastAsia="zh-CN"/>
        </w:rPr>
        <w:t xml:space="preserve"> се наблюдава</w:t>
      </w:r>
      <w:r w:rsidRPr="00492683">
        <w:rPr>
          <w:rFonts w:ascii="Arial" w:eastAsia="Times New Roman" w:hAnsi="Arial" w:cs="Arial"/>
          <w:color w:val="000000"/>
          <w:sz w:val="20"/>
          <w:szCs w:val="20"/>
          <w:lang w:val="bg-BG" w:eastAsia="zh-CN"/>
        </w:rPr>
        <w:t xml:space="preserve"> продължаващо търсене на предвидените ФИ.</w:t>
      </w:r>
    </w:p>
    <w:p w14:paraId="57ADB58B" w14:textId="77777777" w:rsidR="00BC696B" w:rsidRPr="00BC7695" w:rsidRDefault="00BC696B" w:rsidP="00BC696B">
      <w:pPr>
        <w:pStyle w:val="ListParagraph"/>
        <w:spacing w:after="120"/>
        <w:ind w:left="1440"/>
        <w:jc w:val="both"/>
        <w:rPr>
          <w:rFonts w:ascii="Arial" w:eastAsia="Times New Roman" w:hAnsi="Arial" w:cs="Arial"/>
          <w:i/>
          <w:color w:val="000000"/>
          <w:sz w:val="20"/>
          <w:szCs w:val="20"/>
          <w:lang w:val="bg-BG" w:eastAsia="zh-CN"/>
        </w:rPr>
      </w:pPr>
      <w:r w:rsidRPr="005F0C04">
        <w:rPr>
          <w:rFonts w:ascii="Arial" w:eastAsia="Times New Roman" w:hAnsi="Arial" w:cs="Arial"/>
          <w:i/>
          <w:color w:val="000000"/>
          <w:sz w:val="20"/>
          <w:szCs w:val="20"/>
          <w:lang w:val="bg-BG" w:eastAsia="zh-CN"/>
        </w:rPr>
        <w:t>Възмож</w:t>
      </w:r>
      <w:r>
        <w:rPr>
          <w:rFonts w:ascii="Arial" w:eastAsia="Times New Roman" w:hAnsi="Arial" w:cs="Arial"/>
          <w:i/>
          <w:color w:val="000000"/>
          <w:sz w:val="20"/>
          <w:szCs w:val="20"/>
          <w:lang w:val="bg-BG" w:eastAsia="zh-CN"/>
        </w:rPr>
        <w:t xml:space="preserve">но решение </w:t>
      </w:r>
      <w:r w:rsidRPr="005F0C04">
        <w:rPr>
          <w:rFonts w:ascii="Arial" w:eastAsia="Times New Roman" w:hAnsi="Arial" w:cs="Arial"/>
          <w:i/>
          <w:color w:val="000000"/>
          <w:sz w:val="20"/>
          <w:szCs w:val="20"/>
          <w:lang w:val="bg-BG" w:eastAsia="zh-CN"/>
        </w:rPr>
        <w:t>на УО</w:t>
      </w:r>
      <w:r w:rsidRPr="00BC7695">
        <w:rPr>
          <w:rFonts w:ascii="Arial" w:eastAsia="Times New Roman" w:hAnsi="Arial" w:cs="Arial"/>
          <w:i/>
          <w:color w:val="000000"/>
          <w:sz w:val="20"/>
          <w:szCs w:val="20"/>
          <w:lang w:val="bg-BG" w:eastAsia="zh-CN"/>
        </w:rPr>
        <w:t xml:space="preserve">: </w:t>
      </w:r>
    </w:p>
    <w:p w14:paraId="3E1A7BD9" w14:textId="77777777" w:rsidR="00492683" w:rsidRPr="00492683" w:rsidRDefault="00492683" w:rsidP="00492683">
      <w:pPr>
        <w:pStyle w:val="ListParagraph"/>
        <w:spacing w:after="120"/>
        <w:ind w:left="1418"/>
        <w:contextualSpacing w:val="0"/>
        <w:jc w:val="both"/>
        <w:rPr>
          <w:rFonts w:ascii="Arial" w:eastAsia="Times New Roman" w:hAnsi="Arial" w:cs="Arial"/>
          <w:color w:val="000000"/>
          <w:sz w:val="20"/>
          <w:szCs w:val="20"/>
          <w:lang w:val="bg-BG" w:eastAsia="zh-CN"/>
        </w:rPr>
      </w:pPr>
      <w:r>
        <w:rPr>
          <w:rFonts w:ascii="Arial" w:eastAsia="Times New Roman" w:hAnsi="Arial" w:cs="Arial"/>
          <w:color w:val="000000"/>
          <w:sz w:val="20"/>
          <w:szCs w:val="20"/>
          <w:lang w:val="bg-BG" w:eastAsia="zh-CN"/>
        </w:rPr>
        <w:t xml:space="preserve">Инвестиране на изплатените </w:t>
      </w:r>
      <w:r w:rsidR="00FA701B">
        <w:rPr>
          <w:rFonts w:ascii="Arial" w:eastAsia="Times New Roman" w:hAnsi="Arial" w:cs="Arial"/>
          <w:color w:val="000000"/>
          <w:sz w:val="20"/>
          <w:szCs w:val="20"/>
          <w:lang w:val="bg-BG" w:eastAsia="zh-CN"/>
        </w:rPr>
        <w:t xml:space="preserve">от крайните получатели </w:t>
      </w:r>
      <w:r>
        <w:rPr>
          <w:rFonts w:ascii="Arial" w:eastAsia="Times New Roman" w:hAnsi="Arial" w:cs="Arial"/>
          <w:color w:val="000000"/>
          <w:sz w:val="20"/>
          <w:szCs w:val="20"/>
          <w:lang w:val="bg-BG" w:eastAsia="zh-CN"/>
        </w:rPr>
        <w:t>средства по ФИ чрез същите (съществуващи) ФИ;</w:t>
      </w:r>
      <w:r w:rsidRPr="00BC7695">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преглед на нуждата да се създаде допълнителен нов ФИ (въз основа на обратна връзка от пазара)</w:t>
      </w:r>
      <w:r w:rsidRPr="00BC7695">
        <w:rPr>
          <w:rFonts w:ascii="Arial" w:eastAsia="Times New Roman" w:hAnsi="Arial" w:cs="Arial"/>
          <w:color w:val="000000"/>
          <w:sz w:val="20"/>
          <w:szCs w:val="20"/>
          <w:lang w:val="bg-BG" w:eastAsia="zh-CN"/>
        </w:rPr>
        <w:t xml:space="preserve">. </w:t>
      </w:r>
      <w:r w:rsidR="00FA701B">
        <w:rPr>
          <w:rFonts w:ascii="Arial" w:eastAsia="Times New Roman" w:hAnsi="Arial" w:cs="Arial"/>
          <w:color w:val="000000"/>
          <w:sz w:val="20"/>
          <w:szCs w:val="20"/>
          <w:lang w:val="bg-BG" w:eastAsia="zh-CN"/>
        </w:rPr>
        <w:t>Съответното р</w:t>
      </w:r>
      <w:r w:rsidR="00FA701B" w:rsidRPr="005F0C04">
        <w:rPr>
          <w:rFonts w:ascii="Arial" w:eastAsia="Times New Roman" w:hAnsi="Arial" w:cs="Arial"/>
          <w:color w:val="000000"/>
          <w:sz w:val="20"/>
          <w:szCs w:val="20"/>
          <w:lang w:val="bg-BG" w:eastAsia="zh-CN"/>
        </w:rPr>
        <w:t>ешение</w:t>
      </w:r>
      <w:r w:rsidR="00FA701B">
        <w:rPr>
          <w:rFonts w:ascii="Arial" w:eastAsia="Times New Roman" w:hAnsi="Arial" w:cs="Arial"/>
          <w:color w:val="000000"/>
          <w:sz w:val="20"/>
          <w:szCs w:val="20"/>
          <w:lang w:val="bg-BG" w:eastAsia="zh-CN"/>
        </w:rPr>
        <w:t xml:space="preserve"> на</w:t>
      </w:r>
      <w:r w:rsidR="00FA701B" w:rsidRPr="005F0C04">
        <w:rPr>
          <w:rFonts w:ascii="Arial" w:eastAsia="Times New Roman" w:hAnsi="Arial" w:cs="Arial"/>
          <w:color w:val="000000"/>
          <w:sz w:val="20"/>
          <w:szCs w:val="20"/>
          <w:lang w:val="bg-BG" w:eastAsia="zh-CN"/>
        </w:rPr>
        <w:t xml:space="preserve"> </w:t>
      </w:r>
      <w:r w:rsidRPr="005F0C04">
        <w:rPr>
          <w:rFonts w:ascii="Arial" w:eastAsia="Times New Roman" w:hAnsi="Arial" w:cs="Arial"/>
          <w:color w:val="000000"/>
          <w:sz w:val="20"/>
          <w:szCs w:val="20"/>
          <w:lang w:val="bg-BG" w:eastAsia="zh-CN"/>
        </w:rPr>
        <w:t xml:space="preserve">УО </w:t>
      </w:r>
      <w:r>
        <w:rPr>
          <w:rFonts w:ascii="Arial" w:eastAsia="Times New Roman" w:hAnsi="Arial" w:cs="Arial"/>
          <w:color w:val="000000"/>
          <w:sz w:val="20"/>
          <w:szCs w:val="20"/>
          <w:lang w:val="bg-BG" w:eastAsia="zh-CN"/>
        </w:rPr>
        <w:t>следва да вземе предвид</w:t>
      </w:r>
      <w:r w:rsidRPr="005F0C04">
        <w:rPr>
          <w:rFonts w:ascii="Arial" w:eastAsia="Times New Roman" w:hAnsi="Arial" w:cs="Arial"/>
          <w:color w:val="000000"/>
          <w:sz w:val="20"/>
          <w:szCs w:val="20"/>
          <w:lang w:val="bg-BG" w:eastAsia="zh-CN"/>
        </w:rPr>
        <w:t xml:space="preserve"> </w:t>
      </w:r>
      <w:r w:rsidR="00646937">
        <w:rPr>
          <w:rFonts w:ascii="Arial" w:eastAsia="Times New Roman" w:hAnsi="Arial" w:cs="Arial"/>
          <w:color w:val="000000"/>
          <w:sz w:val="20"/>
          <w:szCs w:val="20"/>
          <w:lang w:val="bg-BG" w:eastAsia="zh-CN"/>
        </w:rPr>
        <w:t>клаузите</w:t>
      </w:r>
      <w:r w:rsidR="00646937" w:rsidRPr="005F0C04">
        <w:rPr>
          <w:rFonts w:ascii="Arial" w:eastAsia="Times New Roman" w:hAnsi="Arial" w:cs="Arial"/>
          <w:color w:val="000000"/>
          <w:sz w:val="20"/>
          <w:szCs w:val="20"/>
          <w:lang w:val="bg-BG" w:eastAsia="zh-CN"/>
        </w:rPr>
        <w:t xml:space="preserve"> </w:t>
      </w:r>
      <w:r w:rsidR="00DF2834">
        <w:rPr>
          <w:rFonts w:ascii="Arial" w:eastAsia="Times New Roman" w:hAnsi="Arial" w:cs="Arial"/>
          <w:color w:val="000000"/>
          <w:sz w:val="20"/>
          <w:szCs w:val="20"/>
          <w:lang w:val="bg-BG" w:eastAsia="zh-CN"/>
        </w:rPr>
        <w:t>на Финансовото</w:t>
      </w:r>
      <w:r w:rsidRPr="005F0C04">
        <w:rPr>
          <w:rFonts w:ascii="Arial" w:eastAsia="Times New Roman" w:hAnsi="Arial" w:cs="Arial"/>
          <w:color w:val="000000"/>
          <w:sz w:val="20"/>
          <w:szCs w:val="20"/>
          <w:lang w:val="bg-BG" w:eastAsia="zh-CN"/>
        </w:rPr>
        <w:t xml:space="preserve"> </w:t>
      </w:r>
      <w:r w:rsidR="00DF2834">
        <w:rPr>
          <w:rFonts w:ascii="Arial" w:eastAsia="Times New Roman" w:hAnsi="Arial" w:cs="Arial"/>
          <w:color w:val="000000"/>
          <w:sz w:val="20"/>
          <w:szCs w:val="20"/>
          <w:lang w:val="bg-BG" w:eastAsia="zh-CN"/>
        </w:rPr>
        <w:t>с</w:t>
      </w:r>
      <w:r w:rsidRPr="005F0C04">
        <w:rPr>
          <w:rFonts w:ascii="Arial" w:eastAsia="Times New Roman" w:hAnsi="Arial" w:cs="Arial"/>
          <w:color w:val="000000"/>
          <w:sz w:val="20"/>
          <w:szCs w:val="20"/>
          <w:lang w:val="bg-BG" w:eastAsia="zh-CN"/>
        </w:rPr>
        <w:t>поразумение</w:t>
      </w:r>
      <w:r w:rsidR="00C37D7E">
        <w:rPr>
          <w:rFonts w:ascii="Arial" w:eastAsia="Times New Roman" w:hAnsi="Arial" w:cs="Arial"/>
          <w:color w:val="000000"/>
          <w:sz w:val="20"/>
          <w:szCs w:val="20"/>
          <w:lang w:val="bg-BG" w:eastAsia="zh-CN"/>
        </w:rPr>
        <w:t xml:space="preserve"> при отчитане на изискването за </w:t>
      </w:r>
      <w:r w:rsidR="00C37D7E" w:rsidRPr="00C37D7E">
        <w:rPr>
          <w:rFonts w:ascii="Arial" w:eastAsia="Times New Roman" w:hAnsi="Arial" w:cs="Arial"/>
          <w:color w:val="000000"/>
          <w:sz w:val="20"/>
          <w:szCs w:val="20"/>
          <w:lang w:val="bg-BG" w:eastAsia="zh-CN"/>
        </w:rPr>
        <w:t>използва</w:t>
      </w:r>
      <w:r w:rsidR="00C37D7E">
        <w:rPr>
          <w:rFonts w:ascii="Arial" w:eastAsia="Times New Roman" w:hAnsi="Arial" w:cs="Arial"/>
          <w:color w:val="000000"/>
          <w:sz w:val="20"/>
          <w:szCs w:val="20"/>
          <w:lang w:val="bg-BG" w:eastAsia="zh-CN"/>
        </w:rPr>
        <w:t xml:space="preserve">не </w:t>
      </w:r>
      <w:r w:rsidR="00131C02">
        <w:rPr>
          <w:rFonts w:ascii="Arial" w:eastAsia="Times New Roman" w:hAnsi="Arial" w:cs="Arial"/>
          <w:color w:val="000000"/>
          <w:sz w:val="20"/>
          <w:szCs w:val="20"/>
          <w:lang w:val="bg-BG" w:eastAsia="zh-CN"/>
        </w:rPr>
        <w:t>н</w:t>
      </w:r>
      <w:r w:rsidR="00C37D7E">
        <w:rPr>
          <w:rFonts w:ascii="Arial" w:eastAsia="Times New Roman" w:hAnsi="Arial" w:cs="Arial"/>
          <w:color w:val="000000"/>
          <w:sz w:val="20"/>
          <w:szCs w:val="20"/>
          <w:lang w:val="bg-BG" w:eastAsia="zh-CN"/>
        </w:rPr>
        <w:t>а изплатените средства</w:t>
      </w:r>
      <w:r w:rsidR="00A02A99" w:rsidRPr="00BC7695">
        <w:rPr>
          <w:rFonts w:ascii="Arial" w:eastAsia="Times New Roman" w:hAnsi="Arial" w:cs="Arial"/>
          <w:color w:val="000000"/>
          <w:sz w:val="20"/>
          <w:szCs w:val="20"/>
          <w:lang w:val="bg-BG" w:eastAsia="zh-CN"/>
        </w:rPr>
        <w:t>,</w:t>
      </w:r>
      <w:r w:rsidR="00C37D7E">
        <w:rPr>
          <w:rFonts w:ascii="Arial" w:eastAsia="Times New Roman" w:hAnsi="Arial" w:cs="Arial"/>
          <w:color w:val="000000"/>
          <w:sz w:val="20"/>
          <w:szCs w:val="20"/>
          <w:lang w:val="bg-BG" w:eastAsia="zh-CN"/>
        </w:rPr>
        <w:t xml:space="preserve"> относими към ЕСИФ</w:t>
      </w:r>
      <w:r w:rsidR="00C37D7E" w:rsidRPr="00C37D7E">
        <w:rPr>
          <w:rFonts w:ascii="Arial" w:eastAsia="Times New Roman" w:hAnsi="Arial" w:cs="Arial"/>
          <w:color w:val="000000"/>
          <w:sz w:val="20"/>
          <w:szCs w:val="20"/>
          <w:lang w:val="bg-BG" w:eastAsia="zh-CN"/>
        </w:rPr>
        <w:t xml:space="preserve"> в съответствие с целите на програмата</w:t>
      </w:r>
      <w:r w:rsidR="00C37D7E" w:rsidRPr="00BC7695">
        <w:rPr>
          <w:lang w:val="bg-BG"/>
        </w:rPr>
        <w:t xml:space="preserve"> </w:t>
      </w:r>
      <w:r w:rsidR="00C37D7E" w:rsidRPr="00C37D7E">
        <w:rPr>
          <w:rFonts w:ascii="Arial" w:eastAsia="Times New Roman" w:hAnsi="Arial" w:cs="Arial"/>
          <w:color w:val="000000"/>
          <w:sz w:val="20"/>
          <w:szCs w:val="20"/>
          <w:lang w:val="bg-BG" w:eastAsia="zh-CN"/>
        </w:rPr>
        <w:t xml:space="preserve">за период от най-малко осем години след края на периода на допустимост т.е. </w:t>
      </w:r>
      <w:r w:rsidR="00AB4ADE">
        <w:rPr>
          <w:rFonts w:ascii="Arial" w:eastAsia="Times New Roman" w:hAnsi="Arial" w:cs="Arial"/>
          <w:color w:val="000000"/>
          <w:sz w:val="20"/>
          <w:szCs w:val="20"/>
          <w:lang w:val="bg-BG" w:eastAsia="zh-CN"/>
        </w:rPr>
        <w:t>до</w:t>
      </w:r>
      <w:r w:rsidR="00C37D7E" w:rsidRPr="00C37D7E">
        <w:rPr>
          <w:rFonts w:ascii="Arial" w:eastAsia="Times New Roman" w:hAnsi="Arial" w:cs="Arial"/>
          <w:color w:val="000000"/>
          <w:sz w:val="20"/>
          <w:szCs w:val="20"/>
          <w:lang w:val="bg-BG" w:eastAsia="zh-CN"/>
        </w:rPr>
        <w:t xml:space="preserve"> 2031 г.</w:t>
      </w:r>
    </w:p>
    <w:p w14:paraId="190E1252" w14:textId="77777777" w:rsidR="00492683" w:rsidRPr="00492683" w:rsidRDefault="00492683" w:rsidP="00492683">
      <w:pPr>
        <w:pStyle w:val="ListParagraph"/>
        <w:numPr>
          <w:ilvl w:val="1"/>
          <w:numId w:val="61"/>
        </w:numPr>
        <w:spacing w:after="120"/>
        <w:contextualSpacing w:val="0"/>
        <w:jc w:val="both"/>
        <w:rPr>
          <w:rFonts w:ascii="Arial" w:eastAsia="Times New Roman" w:hAnsi="Arial" w:cs="Arial"/>
          <w:color w:val="000000"/>
          <w:sz w:val="20"/>
          <w:szCs w:val="20"/>
          <w:lang w:val="bg-BG" w:eastAsia="zh-CN"/>
        </w:rPr>
      </w:pPr>
      <w:r w:rsidRPr="00492683">
        <w:rPr>
          <w:rFonts w:ascii="Arial" w:eastAsia="Times New Roman" w:hAnsi="Arial" w:cs="Arial"/>
          <w:color w:val="000000"/>
          <w:sz w:val="20"/>
          <w:szCs w:val="20"/>
          <w:lang w:val="bg-BG" w:eastAsia="zh-CN"/>
        </w:rPr>
        <w:t xml:space="preserve">Прегледът с разширен обхват през 2023 г. показва, че ФИ </w:t>
      </w:r>
      <w:r w:rsidR="00BC696B">
        <w:rPr>
          <w:rFonts w:ascii="Arial" w:eastAsia="Times New Roman" w:hAnsi="Arial" w:cs="Arial"/>
          <w:color w:val="000000"/>
          <w:sz w:val="20"/>
          <w:szCs w:val="20"/>
          <w:lang w:val="bg-BG" w:eastAsia="zh-CN"/>
        </w:rPr>
        <w:t xml:space="preserve">постигат </w:t>
      </w:r>
      <w:r w:rsidRPr="00492683">
        <w:rPr>
          <w:rFonts w:ascii="Arial" w:eastAsia="Times New Roman" w:hAnsi="Arial" w:cs="Arial"/>
          <w:color w:val="000000"/>
          <w:sz w:val="20"/>
          <w:szCs w:val="20"/>
          <w:lang w:val="bg-BG" w:eastAsia="zh-CN"/>
        </w:rPr>
        <w:t>заложените</w:t>
      </w:r>
      <w:r>
        <w:rPr>
          <w:rFonts w:ascii="Arial" w:eastAsia="Times New Roman" w:hAnsi="Arial" w:cs="Arial"/>
          <w:color w:val="000000"/>
          <w:sz w:val="20"/>
          <w:szCs w:val="20"/>
          <w:lang w:val="bg-BG" w:eastAsia="zh-CN"/>
        </w:rPr>
        <w:t xml:space="preserve"> цели</w:t>
      </w:r>
      <w:r w:rsidR="00FA701B">
        <w:rPr>
          <w:rFonts w:ascii="Arial" w:eastAsia="Times New Roman" w:hAnsi="Arial" w:cs="Arial"/>
          <w:color w:val="000000"/>
          <w:sz w:val="20"/>
          <w:szCs w:val="20"/>
          <w:lang w:val="bg-BG" w:eastAsia="zh-CN"/>
        </w:rPr>
        <w:t xml:space="preserve"> и</w:t>
      </w:r>
      <w:r>
        <w:rPr>
          <w:rFonts w:ascii="Arial" w:eastAsia="Times New Roman" w:hAnsi="Arial" w:cs="Arial"/>
          <w:color w:val="000000"/>
          <w:sz w:val="20"/>
          <w:szCs w:val="20"/>
          <w:lang w:val="bg-BG" w:eastAsia="zh-CN"/>
        </w:rPr>
        <w:t xml:space="preserve"> се наблюдава липса на </w:t>
      </w:r>
      <w:r w:rsidR="00A5747C">
        <w:rPr>
          <w:rFonts w:ascii="Arial" w:eastAsia="Times New Roman" w:hAnsi="Arial" w:cs="Arial"/>
          <w:color w:val="000000"/>
          <w:sz w:val="20"/>
          <w:szCs w:val="20"/>
          <w:lang w:val="bg-BG" w:eastAsia="zh-CN"/>
        </w:rPr>
        <w:t>последващо</w:t>
      </w:r>
      <w:r>
        <w:rPr>
          <w:rFonts w:ascii="Arial" w:eastAsia="Times New Roman" w:hAnsi="Arial" w:cs="Arial"/>
          <w:color w:val="000000"/>
          <w:sz w:val="20"/>
          <w:szCs w:val="20"/>
          <w:lang w:val="bg-BG" w:eastAsia="zh-CN"/>
        </w:rPr>
        <w:t xml:space="preserve"> търсене </w:t>
      </w:r>
      <w:r w:rsidRPr="00492683">
        <w:rPr>
          <w:rFonts w:ascii="Arial" w:eastAsia="Times New Roman" w:hAnsi="Arial" w:cs="Arial"/>
          <w:color w:val="000000"/>
          <w:sz w:val="20"/>
          <w:szCs w:val="20"/>
          <w:lang w:val="bg-BG" w:eastAsia="zh-CN"/>
        </w:rPr>
        <w:t>на предвидените ФИ.</w:t>
      </w:r>
    </w:p>
    <w:p w14:paraId="4BE18923" w14:textId="77777777" w:rsidR="00BC696B" w:rsidRPr="00BC696B" w:rsidRDefault="00BC696B" w:rsidP="00BC696B">
      <w:pPr>
        <w:pStyle w:val="ListParagraph"/>
        <w:spacing w:after="120"/>
        <w:ind w:left="1440"/>
        <w:jc w:val="both"/>
        <w:rPr>
          <w:rFonts w:ascii="Arial" w:eastAsia="Times New Roman" w:hAnsi="Arial" w:cs="Arial"/>
          <w:i/>
          <w:color w:val="000000"/>
          <w:sz w:val="20"/>
          <w:szCs w:val="20"/>
          <w:lang w:val="bg-BG" w:eastAsia="zh-CN"/>
        </w:rPr>
      </w:pPr>
      <w:r w:rsidRPr="005F0C04">
        <w:rPr>
          <w:rFonts w:ascii="Arial" w:eastAsia="Times New Roman" w:hAnsi="Arial" w:cs="Arial"/>
          <w:i/>
          <w:color w:val="000000"/>
          <w:sz w:val="20"/>
          <w:szCs w:val="20"/>
          <w:lang w:val="bg-BG" w:eastAsia="zh-CN"/>
        </w:rPr>
        <w:t>Възмож</w:t>
      </w:r>
      <w:r>
        <w:rPr>
          <w:rFonts w:ascii="Arial" w:eastAsia="Times New Roman" w:hAnsi="Arial" w:cs="Arial"/>
          <w:i/>
          <w:color w:val="000000"/>
          <w:sz w:val="20"/>
          <w:szCs w:val="20"/>
          <w:lang w:val="bg-BG" w:eastAsia="zh-CN"/>
        </w:rPr>
        <w:t xml:space="preserve">но решение </w:t>
      </w:r>
      <w:r w:rsidRPr="005F0C04">
        <w:rPr>
          <w:rFonts w:ascii="Arial" w:eastAsia="Times New Roman" w:hAnsi="Arial" w:cs="Arial"/>
          <w:i/>
          <w:color w:val="000000"/>
          <w:sz w:val="20"/>
          <w:szCs w:val="20"/>
          <w:lang w:val="bg-BG" w:eastAsia="zh-CN"/>
        </w:rPr>
        <w:t>на УО</w:t>
      </w:r>
      <w:r w:rsidRPr="00BC696B">
        <w:rPr>
          <w:rFonts w:ascii="Arial" w:eastAsia="Times New Roman" w:hAnsi="Arial" w:cs="Arial"/>
          <w:i/>
          <w:color w:val="000000"/>
          <w:sz w:val="20"/>
          <w:szCs w:val="20"/>
          <w:lang w:val="bg-BG" w:eastAsia="zh-CN"/>
        </w:rPr>
        <w:t xml:space="preserve">: </w:t>
      </w:r>
    </w:p>
    <w:p w14:paraId="2656EA25" w14:textId="77777777" w:rsidR="00492683" w:rsidRPr="003F04EE" w:rsidRDefault="00492683" w:rsidP="003F04EE">
      <w:pPr>
        <w:pStyle w:val="ListParagraph"/>
        <w:spacing w:after="120"/>
        <w:ind w:left="1418"/>
        <w:contextualSpacing w:val="0"/>
        <w:jc w:val="both"/>
        <w:rPr>
          <w:rFonts w:ascii="Arial" w:eastAsia="Times New Roman" w:hAnsi="Arial" w:cs="Arial"/>
          <w:color w:val="000000"/>
          <w:sz w:val="20"/>
          <w:szCs w:val="20"/>
          <w:lang w:val="bg-BG" w:eastAsia="zh-CN"/>
        </w:rPr>
      </w:pPr>
      <w:r w:rsidRPr="001C4149">
        <w:rPr>
          <w:rFonts w:ascii="Arial" w:eastAsia="Times New Roman" w:hAnsi="Arial" w:cs="Arial"/>
          <w:color w:val="000000"/>
          <w:sz w:val="20"/>
          <w:szCs w:val="20"/>
          <w:lang w:val="bg-BG" w:eastAsia="zh-CN"/>
        </w:rPr>
        <w:t>Средствата ще бъдат върнати на УО</w:t>
      </w:r>
      <w:r w:rsidR="003F04EE">
        <w:rPr>
          <w:rFonts w:ascii="Arial" w:eastAsia="Times New Roman" w:hAnsi="Arial" w:cs="Arial"/>
          <w:color w:val="000000"/>
          <w:sz w:val="20"/>
          <w:szCs w:val="20"/>
          <w:lang w:val="bg-BG" w:eastAsia="zh-CN"/>
        </w:rPr>
        <w:t xml:space="preserve">, като УО може да реши да ги използва да приложи ФИ директно, да предостави подкрепа чрез други инструменти (като например безвъзмездна финансова помощ) или да ги използва за други цели </w:t>
      </w:r>
      <w:r w:rsidR="003F04EE" w:rsidRPr="001C4149">
        <w:rPr>
          <w:rFonts w:ascii="Arial" w:eastAsia="Times New Roman" w:hAnsi="Arial" w:cs="Arial"/>
          <w:color w:val="000000"/>
          <w:sz w:val="20"/>
          <w:szCs w:val="20"/>
          <w:lang w:val="bg-BG" w:eastAsia="zh-CN"/>
        </w:rPr>
        <w:t>(</w:t>
      </w:r>
      <w:r w:rsidR="00BA444C">
        <w:rPr>
          <w:rFonts w:ascii="Arial" w:eastAsia="Times New Roman" w:hAnsi="Arial" w:cs="Arial"/>
          <w:color w:val="000000"/>
          <w:sz w:val="20"/>
          <w:szCs w:val="20"/>
          <w:lang w:val="bg-BG" w:eastAsia="zh-CN"/>
        </w:rPr>
        <w:t>за период от</w:t>
      </w:r>
      <w:r w:rsidR="00BA444C" w:rsidRPr="001C4149">
        <w:rPr>
          <w:rFonts w:ascii="Arial" w:eastAsia="Times New Roman" w:hAnsi="Arial" w:cs="Arial"/>
          <w:color w:val="000000"/>
          <w:sz w:val="20"/>
          <w:szCs w:val="20"/>
          <w:lang w:val="bg-BG" w:eastAsia="zh-CN"/>
        </w:rPr>
        <w:t xml:space="preserve"> </w:t>
      </w:r>
      <w:r w:rsidR="003F04EE" w:rsidRPr="001C4149">
        <w:rPr>
          <w:rFonts w:ascii="Arial" w:eastAsia="Times New Roman" w:hAnsi="Arial" w:cs="Arial"/>
          <w:color w:val="000000"/>
          <w:sz w:val="20"/>
          <w:szCs w:val="20"/>
          <w:lang w:val="bg-BG" w:eastAsia="zh-CN"/>
        </w:rPr>
        <w:t>най-малко осем години след</w:t>
      </w:r>
      <w:r w:rsidR="003F04EE">
        <w:rPr>
          <w:rFonts w:ascii="Arial" w:eastAsia="Times New Roman" w:hAnsi="Arial" w:cs="Arial"/>
          <w:color w:val="000000"/>
          <w:sz w:val="20"/>
          <w:szCs w:val="20"/>
          <w:lang w:val="bg-BG" w:eastAsia="zh-CN"/>
        </w:rPr>
        <w:t xml:space="preserve"> края на периода на допустимост т.е.</w:t>
      </w:r>
      <w:r w:rsidR="003F04EE" w:rsidRPr="001C4149">
        <w:rPr>
          <w:rFonts w:ascii="Arial" w:eastAsia="Times New Roman" w:hAnsi="Arial" w:cs="Arial"/>
          <w:color w:val="000000"/>
          <w:sz w:val="20"/>
          <w:szCs w:val="20"/>
          <w:lang w:val="bg-BG" w:eastAsia="zh-CN"/>
        </w:rPr>
        <w:t xml:space="preserve"> </w:t>
      </w:r>
      <w:r w:rsidR="00AB4ADE">
        <w:rPr>
          <w:rFonts w:ascii="Arial" w:eastAsia="Times New Roman" w:hAnsi="Arial" w:cs="Arial"/>
          <w:color w:val="000000"/>
          <w:sz w:val="20"/>
          <w:szCs w:val="20"/>
          <w:lang w:val="bg-BG" w:eastAsia="zh-CN"/>
        </w:rPr>
        <w:t>до</w:t>
      </w:r>
      <w:r w:rsidR="00AB4ADE" w:rsidRPr="001C4149">
        <w:rPr>
          <w:rFonts w:ascii="Arial" w:eastAsia="Times New Roman" w:hAnsi="Arial" w:cs="Arial"/>
          <w:color w:val="000000"/>
          <w:sz w:val="20"/>
          <w:szCs w:val="20"/>
          <w:lang w:val="bg-BG" w:eastAsia="zh-CN"/>
        </w:rPr>
        <w:t xml:space="preserve"> </w:t>
      </w:r>
      <w:r w:rsidR="003F04EE" w:rsidRPr="001C4149">
        <w:rPr>
          <w:rFonts w:ascii="Arial" w:eastAsia="Times New Roman" w:hAnsi="Arial" w:cs="Arial"/>
          <w:color w:val="000000"/>
          <w:sz w:val="20"/>
          <w:szCs w:val="20"/>
          <w:lang w:val="bg-BG" w:eastAsia="zh-CN"/>
        </w:rPr>
        <w:t>2031</w:t>
      </w:r>
      <w:r w:rsidR="003F04EE">
        <w:rPr>
          <w:rFonts w:ascii="Arial" w:eastAsia="Times New Roman" w:hAnsi="Arial" w:cs="Arial"/>
          <w:color w:val="000000"/>
          <w:sz w:val="20"/>
          <w:szCs w:val="20"/>
          <w:lang w:val="bg-BG" w:eastAsia="zh-CN"/>
        </w:rPr>
        <w:t xml:space="preserve"> г.</w:t>
      </w:r>
      <w:r w:rsidR="003F04EE" w:rsidRPr="001C4149">
        <w:rPr>
          <w:rFonts w:ascii="Arial" w:eastAsia="Times New Roman" w:hAnsi="Arial" w:cs="Arial"/>
          <w:color w:val="000000"/>
          <w:sz w:val="20"/>
          <w:szCs w:val="20"/>
          <w:lang w:val="bg-BG" w:eastAsia="zh-CN"/>
        </w:rPr>
        <w:t>)</w:t>
      </w:r>
      <w:r w:rsidR="003F04EE" w:rsidRPr="0051416F">
        <w:rPr>
          <w:rFonts w:ascii="Arial" w:eastAsia="Times New Roman" w:hAnsi="Arial" w:cs="Arial"/>
          <w:color w:val="000000"/>
          <w:sz w:val="20"/>
          <w:szCs w:val="20"/>
          <w:lang w:val="bg-BG" w:eastAsia="zh-CN"/>
        </w:rPr>
        <w:t xml:space="preserve">. </w:t>
      </w:r>
      <w:r w:rsidR="00FA701B">
        <w:rPr>
          <w:rFonts w:ascii="Arial" w:eastAsia="Times New Roman" w:hAnsi="Arial" w:cs="Arial"/>
          <w:color w:val="000000"/>
          <w:sz w:val="20"/>
          <w:szCs w:val="20"/>
          <w:lang w:val="bg-BG" w:eastAsia="zh-CN"/>
        </w:rPr>
        <w:t>Съответното р</w:t>
      </w:r>
      <w:r w:rsidR="00FA701B" w:rsidRPr="005F0C04">
        <w:rPr>
          <w:rFonts w:ascii="Arial" w:eastAsia="Times New Roman" w:hAnsi="Arial" w:cs="Arial"/>
          <w:color w:val="000000"/>
          <w:sz w:val="20"/>
          <w:szCs w:val="20"/>
          <w:lang w:val="bg-BG" w:eastAsia="zh-CN"/>
        </w:rPr>
        <w:t>ешение</w:t>
      </w:r>
      <w:r w:rsidR="00FA701B">
        <w:rPr>
          <w:rFonts w:ascii="Arial" w:eastAsia="Times New Roman" w:hAnsi="Arial" w:cs="Arial"/>
          <w:color w:val="000000"/>
          <w:sz w:val="20"/>
          <w:szCs w:val="20"/>
          <w:lang w:val="bg-BG" w:eastAsia="zh-CN"/>
        </w:rPr>
        <w:t xml:space="preserve"> на</w:t>
      </w:r>
      <w:r w:rsidR="003F04EE" w:rsidRPr="005F0C04">
        <w:rPr>
          <w:rFonts w:ascii="Arial" w:eastAsia="Times New Roman" w:hAnsi="Arial" w:cs="Arial"/>
          <w:color w:val="000000"/>
          <w:sz w:val="20"/>
          <w:szCs w:val="20"/>
          <w:lang w:val="bg-BG" w:eastAsia="zh-CN"/>
        </w:rPr>
        <w:t xml:space="preserve"> УО </w:t>
      </w:r>
      <w:r w:rsidR="003F04EE">
        <w:rPr>
          <w:rFonts w:ascii="Arial" w:eastAsia="Times New Roman" w:hAnsi="Arial" w:cs="Arial"/>
          <w:color w:val="000000"/>
          <w:sz w:val="20"/>
          <w:szCs w:val="20"/>
          <w:lang w:val="bg-BG" w:eastAsia="zh-CN"/>
        </w:rPr>
        <w:t>следва да вземе предвид</w:t>
      </w:r>
      <w:r w:rsidR="003F04EE" w:rsidRPr="005F0C04">
        <w:rPr>
          <w:rFonts w:ascii="Arial" w:eastAsia="Times New Roman" w:hAnsi="Arial" w:cs="Arial"/>
          <w:color w:val="000000"/>
          <w:sz w:val="20"/>
          <w:szCs w:val="20"/>
          <w:lang w:val="bg-BG" w:eastAsia="zh-CN"/>
        </w:rPr>
        <w:t xml:space="preserve"> </w:t>
      </w:r>
      <w:r w:rsidR="00444F5B">
        <w:rPr>
          <w:rFonts w:ascii="Arial" w:eastAsia="Times New Roman" w:hAnsi="Arial" w:cs="Arial"/>
          <w:color w:val="000000"/>
          <w:sz w:val="20"/>
          <w:szCs w:val="20"/>
          <w:lang w:val="bg-BG" w:eastAsia="zh-CN"/>
        </w:rPr>
        <w:t>клаузите</w:t>
      </w:r>
      <w:r w:rsidR="00444F5B" w:rsidRPr="005F0C04">
        <w:rPr>
          <w:rFonts w:ascii="Arial" w:eastAsia="Times New Roman" w:hAnsi="Arial" w:cs="Arial"/>
          <w:color w:val="000000"/>
          <w:sz w:val="20"/>
          <w:szCs w:val="20"/>
          <w:lang w:val="bg-BG" w:eastAsia="zh-CN"/>
        </w:rPr>
        <w:t xml:space="preserve"> </w:t>
      </w:r>
      <w:r w:rsidR="00B368B0">
        <w:rPr>
          <w:rFonts w:ascii="Arial" w:eastAsia="Times New Roman" w:hAnsi="Arial" w:cs="Arial"/>
          <w:color w:val="000000"/>
          <w:sz w:val="20"/>
          <w:szCs w:val="20"/>
          <w:lang w:val="bg-BG" w:eastAsia="zh-CN"/>
        </w:rPr>
        <w:t>на Финансовото с</w:t>
      </w:r>
      <w:r w:rsidR="00B368B0" w:rsidRPr="005F0C04">
        <w:rPr>
          <w:rFonts w:ascii="Arial" w:eastAsia="Times New Roman" w:hAnsi="Arial" w:cs="Arial"/>
          <w:color w:val="000000"/>
          <w:sz w:val="20"/>
          <w:szCs w:val="20"/>
          <w:lang w:val="bg-BG" w:eastAsia="zh-CN"/>
        </w:rPr>
        <w:t>поразумение</w:t>
      </w:r>
      <w:r w:rsidR="003F04EE" w:rsidRPr="005F0C04">
        <w:rPr>
          <w:rFonts w:ascii="Arial" w:eastAsia="Times New Roman" w:hAnsi="Arial" w:cs="Arial"/>
          <w:color w:val="000000"/>
          <w:sz w:val="20"/>
          <w:szCs w:val="20"/>
          <w:lang w:val="bg-BG" w:eastAsia="zh-CN"/>
        </w:rPr>
        <w:t>.</w:t>
      </w:r>
    </w:p>
    <w:p w14:paraId="6F614C87" w14:textId="77777777" w:rsidR="00A5747C" w:rsidRPr="00A5747C" w:rsidRDefault="00A5747C" w:rsidP="00A5747C">
      <w:pPr>
        <w:pStyle w:val="ListParagraph"/>
        <w:numPr>
          <w:ilvl w:val="1"/>
          <w:numId w:val="61"/>
        </w:numPr>
        <w:spacing w:after="120"/>
        <w:contextualSpacing w:val="0"/>
        <w:jc w:val="both"/>
        <w:rPr>
          <w:rFonts w:ascii="Arial" w:eastAsia="Times New Roman" w:hAnsi="Arial" w:cs="Arial"/>
          <w:color w:val="000000"/>
          <w:sz w:val="20"/>
          <w:szCs w:val="20"/>
          <w:lang w:val="bg-BG" w:eastAsia="zh-CN"/>
        </w:rPr>
      </w:pPr>
      <w:r w:rsidRPr="00492683">
        <w:rPr>
          <w:rFonts w:ascii="Arial" w:eastAsia="Times New Roman" w:hAnsi="Arial" w:cs="Arial"/>
          <w:color w:val="000000"/>
          <w:sz w:val="20"/>
          <w:szCs w:val="20"/>
          <w:lang w:val="bg-BG" w:eastAsia="zh-CN"/>
        </w:rPr>
        <w:t xml:space="preserve">Прегледът с разширен обхват през 2023 г. показва, че ФИ </w:t>
      </w:r>
      <w:r>
        <w:rPr>
          <w:rFonts w:ascii="Arial" w:eastAsia="Times New Roman" w:hAnsi="Arial" w:cs="Arial"/>
          <w:color w:val="000000"/>
          <w:sz w:val="20"/>
          <w:szCs w:val="20"/>
          <w:lang w:val="bg-BG" w:eastAsia="zh-CN"/>
        </w:rPr>
        <w:t>не постигат</w:t>
      </w:r>
      <w:r w:rsidRPr="00492683">
        <w:rPr>
          <w:rFonts w:ascii="Arial" w:eastAsia="Times New Roman" w:hAnsi="Arial" w:cs="Arial"/>
          <w:color w:val="000000"/>
          <w:sz w:val="20"/>
          <w:szCs w:val="20"/>
          <w:lang w:val="bg-BG" w:eastAsia="zh-CN"/>
        </w:rPr>
        <w:t xml:space="preserve"> заложените</w:t>
      </w:r>
      <w:r>
        <w:rPr>
          <w:rFonts w:ascii="Arial" w:eastAsia="Times New Roman" w:hAnsi="Arial" w:cs="Arial"/>
          <w:color w:val="000000"/>
          <w:sz w:val="20"/>
          <w:szCs w:val="20"/>
          <w:lang w:val="bg-BG" w:eastAsia="zh-CN"/>
        </w:rPr>
        <w:t xml:space="preserve"> цели</w:t>
      </w:r>
      <w:r w:rsidR="00FA701B">
        <w:rPr>
          <w:rFonts w:ascii="Arial" w:eastAsia="Times New Roman" w:hAnsi="Arial" w:cs="Arial"/>
          <w:color w:val="000000"/>
          <w:sz w:val="20"/>
          <w:szCs w:val="20"/>
          <w:lang w:val="bg-BG" w:eastAsia="zh-CN"/>
        </w:rPr>
        <w:t xml:space="preserve"> и</w:t>
      </w:r>
      <w:r w:rsidRPr="001C4149">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 xml:space="preserve">все още се наблюдава </w:t>
      </w:r>
      <w:r w:rsidRPr="001C4149">
        <w:rPr>
          <w:rFonts w:ascii="Arial" w:eastAsia="Times New Roman" w:hAnsi="Arial" w:cs="Arial"/>
          <w:color w:val="000000"/>
          <w:sz w:val="20"/>
          <w:szCs w:val="20"/>
          <w:lang w:val="bg-BG" w:eastAsia="zh-CN"/>
        </w:rPr>
        <w:t xml:space="preserve">търсене за </w:t>
      </w:r>
      <w:r>
        <w:rPr>
          <w:rFonts w:ascii="Arial" w:eastAsia="Times New Roman" w:hAnsi="Arial" w:cs="Arial"/>
          <w:color w:val="000000"/>
          <w:sz w:val="20"/>
          <w:szCs w:val="20"/>
          <w:lang w:val="bg-BG" w:eastAsia="zh-CN"/>
        </w:rPr>
        <w:t>ФИ.</w:t>
      </w:r>
      <w:r w:rsidRPr="001C4149">
        <w:rPr>
          <w:rFonts w:ascii="Arial" w:eastAsia="Times New Roman" w:hAnsi="Arial" w:cs="Arial"/>
          <w:color w:val="000000"/>
          <w:sz w:val="20"/>
          <w:szCs w:val="20"/>
          <w:lang w:val="bg-BG" w:eastAsia="zh-CN"/>
        </w:rPr>
        <w:t xml:space="preserve"> </w:t>
      </w:r>
    </w:p>
    <w:p w14:paraId="02C1D500" w14:textId="77777777" w:rsidR="00BC696B" w:rsidRPr="00BC7695" w:rsidRDefault="00BC696B" w:rsidP="00BC696B">
      <w:pPr>
        <w:pStyle w:val="ListParagraph"/>
        <w:spacing w:after="120"/>
        <w:ind w:left="1440"/>
        <w:jc w:val="both"/>
        <w:rPr>
          <w:rFonts w:ascii="Arial" w:eastAsia="Times New Roman" w:hAnsi="Arial" w:cs="Arial"/>
          <w:i/>
          <w:color w:val="000000"/>
          <w:sz w:val="20"/>
          <w:szCs w:val="20"/>
          <w:lang w:val="bg-BG" w:eastAsia="zh-CN"/>
        </w:rPr>
      </w:pPr>
      <w:r w:rsidRPr="005F0C04">
        <w:rPr>
          <w:rFonts w:ascii="Arial" w:eastAsia="Times New Roman" w:hAnsi="Arial" w:cs="Arial"/>
          <w:i/>
          <w:color w:val="000000"/>
          <w:sz w:val="20"/>
          <w:szCs w:val="20"/>
          <w:lang w:val="bg-BG" w:eastAsia="zh-CN"/>
        </w:rPr>
        <w:t>Възмож</w:t>
      </w:r>
      <w:r>
        <w:rPr>
          <w:rFonts w:ascii="Arial" w:eastAsia="Times New Roman" w:hAnsi="Arial" w:cs="Arial"/>
          <w:i/>
          <w:color w:val="000000"/>
          <w:sz w:val="20"/>
          <w:szCs w:val="20"/>
          <w:lang w:val="bg-BG" w:eastAsia="zh-CN"/>
        </w:rPr>
        <w:t xml:space="preserve">но решение </w:t>
      </w:r>
      <w:r w:rsidRPr="005F0C04">
        <w:rPr>
          <w:rFonts w:ascii="Arial" w:eastAsia="Times New Roman" w:hAnsi="Arial" w:cs="Arial"/>
          <w:i/>
          <w:color w:val="000000"/>
          <w:sz w:val="20"/>
          <w:szCs w:val="20"/>
          <w:lang w:val="bg-BG" w:eastAsia="zh-CN"/>
        </w:rPr>
        <w:t>на УО</w:t>
      </w:r>
      <w:r w:rsidRPr="00BC7695">
        <w:rPr>
          <w:rFonts w:ascii="Arial" w:eastAsia="Times New Roman" w:hAnsi="Arial" w:cs="Arial"/>
          <w:i/>
          <w:color w:val="000000"/>
          <w:sz w:val="20"/>
          <w:szCs w:val="20"/>
          <w:lang w:val="bg-BG" w:eastAsia="zh-CN"/>
        </w:rPr>
        <w:t xml:space="preserve">: </w:t>
      </w:r>
    </w:p>
    <w:p w14:paraId="61152183" w14:textId="77777777" w:rsidR="00A5747C" w:rsidRPr="00A5747C" w:rsidRDefault="00A5747C" w:rsidP="00A5747C">
      <w:pPr>
        <w:pStyle w:val="ListParagraph"/>
        <w:spacing w:after="120"/>
        <w:ind w:left="1418"/>
        <w:contextualSpacing w:val="0"/>
        <w:jc w:val="both"/>
        <w:rPr>
          <w:rFonts w:ascii="Arial" w:eastAsia="Times New Roman" w:hAnsi="Arial" w:cs="Arial"/>
          <w:color w:val="000000"/>
          <w:sz w:val="20"/>
          <w:szCs w:val="20"/>
          <w:lang w:val="bg-BG" w:eastAsia="zh-CN"/>
        </w:rPr>
      </w:pPr>
      <w:r>
        <w:rPr>
          <w:rFonts w:ascii="Arial" w:eastAsia="Times New Roman" w:hAnsi="Arial" w:cs="Arial"/>
          <w:color w:val="000000"/>
          <w:sz w:val="20"/>
          <w:szCs w:val="20"/>
          <w:lang w:val="bg-BG" w:eastAsia="zh-CN"/>
        </w:rPr>
        <w:t>Инвестиране на изплатените средства по ФИ от крайните получатели чрез същите (съществуващи) ФИ;</w:t>
      </w:r>
      <w:r w:rsidRPr="00A5747C">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преглед на нуждата да се създаде допълнителен нов ФИ (въз основа на обратна връзка от пазара)</w:t>
      </w:r>
      <w:r w:rsidR="00DC15E6" w:rsidRPr="00785B0F">
        <w:rPr>
          <w:rFonts w:ascii="Arial" w:eastAsia="Times New Roman" w:hAnsi="Arial" w:cs="Arial"/>
          <w:color w:val="000000"/>
          <w:sz w:val="20"/>
          <w:szCs w:val="20"/>
          <w:lang w:val="bg-BG" w:eastAsia="zh-CN"/>
        </w:rPr>
        <w:t xml:space="preserve">; </w:t>
      </w:r>
      <w:r w:rsidR="00DC15E6">
        <w:rPr>
          <w:rFonts w:ascii="Arial" w:eastAsia="Times New Roman" w:hAnsi="Arial" w:cs="Arial"/>
          <w:color w:val="000000"/>
          <w:sz w:val="20"/>
          <w:szCs w:val="20"/>
          <w:lang w:val="bg-BG" w:eastAsia="zh-CN"/>
        </w:rPr>
        <w:t>промяна на параметрите на ФИ</w:t>
      </w:r>
      <w:r w:rsidRPr="00A5747C">
        <w:rPr>
          <w:rFonts w:ascii="Arial" w:eastAsia="Times New Roman" w:hAnsi="Arial" w:cs="Arial"/>
          <w:color w:val="000000"/>
          <w:sz w:val="20"/>
          <w:szCs w:val="20"/>
          <w:lang w:val="bg-BG" w:eastAsia="zh-CN"/>
        </w:rPr>
        <w:t>.</w:t>
      </w:r>
      <w:r>
        <w:rPr>
          <w:rFonts w:ascii="Arial" w:eastAsia="Times New Roman" w:hAnsi="Arial" w:cs="Arial"/>
          <w:color w:val="000000"/>
          <w:sz w:val="20"/>
          <w:szCs w:val="20"/>
          <w:lang w:val="bg-BG" w:eastAsia="zh-CN"/>
        </w:rPr>
        <w:t xml:space="preserve"> УО може да реши да използва върнатите от крайните получатели средства </w:t>
      </w:r>
      <w:r w:rsidR="00BA444C">
        <w:rPr>
          <w:rFonts w:ascii="Arial" w:eastAsia="Times New Roman" w:hAnsi="Arial" w:cs="Arial"/>
          <w:color w:val="000000"/>
          <w:sz w:val="20"/>
          <w:szCs w:val="20"/>
          <w:lang w:val="bg-BG" w:eastAsia="zh-CN"/>
        </w:rPr>
        <w:t xml:space="preserve">и </w:t>
      </w:r>
      <w:r>
        <w:rPr>
          <w:rFonts w:ascii="Arial" w:eastAsia="Times New Roman" w:hAnsi="Arial" w:cs="Arial"/>
          <w:color w:val="000000"/>
          <w:sz w:val="20"/>
          <w:szCs w:val="20"/>
          <w:lang w:val="bg-BG" w:eastAsia="zh-CN"/>
        </w:rPr>
        <w:t>да приложи ФИ директно или да предостави подкрепа чрез други инструменти (като например безвъзмездна финансова помощ).</w:t>
      </w:r>
      <w:r w:rsidRPr="00A5747C">
        <w:rPr>
          <w:rFonts w:ascii="Arial" w:eastAsia="Times New Roman" w:hAnsi="Arial" w:cs="Arial"/>
          <w:color w:val="000000"/>
          <w:sz w:val="20"/>
          <w:szCs w:val="20"/>
          <w:lang w:val="bg-BG" w:eastAsia="zh-CN"/>
        </w:rPr>
        <w:t xml:space="preserve"> </w:t>
      </w:r>
      <w:r w:rsidR="00FA701B">
        <w:rPr>
          <w:rFonts w:ascii="Arial" w:eastAsia="Times New Roman" w:hAnsi="Arial" w:cs="Arial"/>
          <w:color w:val="000000"/>
          <w:sz w:val="20"/>
          <w:szCs w:val="20"/>
          <w:lang w:val="bg-BG" w:eastAsia="zh-CN"/>
        </w:rPr>
        <w:t>Съответното р</w:t>
      </w:r>
      <w:r w:rsidR="00FA701B" w:rsidRPr="005F0C04">
        <w:rPr>
          <w:rFonts w:ascii="Arial" w:eastAsia="Times New Roman" w:hAnsi="Arial" w:cs="Arial"/>
          <w:color w:val="000000"/>
          <w:sz w:val="20"/>
          <w:szCs w:val="20"/>
          <w:lang w:val="bg-BG" w:eastAsia="zh-CN"/>
        </w:rPr>
        <w:t>ешение</w:t>
      </w:r>
      <w:r w:rsidR="00DC15E6">
        <w:rPr>
          <w:rFonts w:ascii="Arial" w:eastAsia="Times New Roman" w:hAnsi="Arial" w:cs="Arial"/>
          <w:color w:val="000000"/>
          <w:sz w:val="20"/>
          <w:szCs w:val="20"/>
          <w:lang w:val="bg-BG" w:eastAsia="zh-CN"/>
        </w:rPr>
        <w:t xml:space="preserve"> </w:t>
      </w:r>
      <w:r w:rsidR="00FA701B">
        <w:rPr>
          <w:rFonts w:ascii="Arial" w:eastAsia="Times New Roman" w:hAnsi="Arial" w:cs="Arial"/>
          <w:color w:val="000000"/>
          <w:sz w:val="20"/>
          <w:szCs w:val="20"/>
          <w:lang w:val="bg-BG" w:eastAsia="zh-CN"/>
        </w:rPr>
        <w:t>на</w:t>
      </w:r>
      <w:r w:rsidR="00791AAA">
        <w:rPr>
          <w:rFonts w:ascii="Arial" w:eastAsia="Times New Roman" w:hAnsi="Arial" w:cs="Arial"/>
          <w:color w:val="000000"/>
          <w:sz w:val="20"/>
          <w:szCs w:val="20"/>
          <w:lang w:val="bg-BG" w:eastAsia="zh-CN"/>
        </w:rPr>
        <w:t xml:space="preserve"> </w:t>
      </w:r>
      <w:r w:rsidRPr="005F0C04">
        <w:rPr>
          <w:rFonts w:ascii="Arial" w:eastAsia="Times New Roman" w:hAnsi="Arial" w:cs="Arial"/>
          <w:color w:val="000000"/>
          <w:sz w:val="20"/>
          <w:szCs w:val="20"/>
          <w:lang w:val="bg-BG" w:eastAsia="zh-CN"/>
        </w:rPr>
        <w:t xml:space="preserve">УО </w:t>
      </w:r>
      <w:r>
        <w:rPr>
          <w:rFonts w:ascii="Arial" w:eastAsia="Times New Roman" w:hAnsi="Arial" w:cs="Arial"/>
          <w:color w:val="000000"/>
          <w:sz w:val="20"/>
          <w:szCs w:val="20"/>
          <w:lang w:val="bg-BG" w:eastAsia="zh-CN"/>
        </w:rPr>
        <w:t>следва да вземе предвид</w:t>
      </w:r>
      <w:r w:rsidRPr="005F0C04">
        <w:rPr>
          <w:rFonts w:ascii="Arial" w:eastAsia="Times New Roman" w:hAnsi="Arial" w:cs="Arial"/>
          <w:color w:val="000000"/>
          <w:sz w:val="20"/>
          <w:szCs w:val="20"/>
          <w:lang w:val="bg-BG" w:eastAsia="zh-CN"/>
        </w:rPr>
        <w:t xml:space="preserve"> </w:t>
      </w:r>
      <w:r w:rsidR="00444F5B">
        <w:rPr>
          <w:rFonts w:ascii="Arial" w:eastAsia="Times New Roman" w:hAnsi="Arial" w:cs="Arial"/>
          <w:color w:val="000000"/>
          <w:sz w:val="20"/>
          <w:szCs w:val="20"/>
          <w:lang w:val="bg-BG" w:eastAsia="zh-CN"/>
        </w:rPr>
        <w:t>клаузите</w:t>
      </w:r>
      <w:r w:rsidR="00444F5B" w:rsidRPr="005F0C04">
        <w:rPr>
          <w:rFonts w:ascii="Arial" w:eastAsia="Times New Roman" w:hAnsi="Arial" w:cs="Arial"/>
          <w:color w:val="000000"/>
          <w:sz w:val="20"/>
          <w:szCs w:val="20"/>
          <w:lang w:val="bg-BG" w:eastAsia="zh-CN"/>
        </w:rPr>
        <w:t xml:space="preserve"> </w:t>
      </w:r>
      <w:r w:rsidR="00B368B0">
        <w:rPr>
          <w:rFonts w:ascii="Arial" w:eastAsia="Times New Roman" w:hAnsi="Arial" w:cs="Arial"/>
          <w:color w:val="000000"/>
          <w:sz w:val="20"/>
          <w:szCs w:val="20"/>
          <w:lang w:val="bg-BG" w:eastAsia="zh-CN"/>
        </w:rPr>
        <w:t>на Финансовото с</w:t>
      </w:r>
      <w:r w:rsidR="00B368B0" w:rsidRPr="005F0C04">
        <w:rPr>
          <w:rFonts w:ascii="Arial" w:eastAsia="Times New Roman" w:hAnsi="Arial" w:cs="Arial"/>
          <w:color w:val="000000"/>
          <w:sz w:val="20"/>
          <w:szCs w:val="20"/>
          <w:lang w:val="bg-BG" w:eastAsia="zh-CN"/>
        </w:rPr>
        <w:t>поразумение</w:t>
      </w:r>
      <w:r w:rsidRPr="005F0C04">
        <w:rPr>
          <w:rFonts w:ascii="Arial" w:eastAsia="Times New Roman" w:hAnsi="Arial" w:cs="Arial"/>
          <w:color w:val="000000"/>
          <w:sz w:val="20"/>
          <w:szCs w:val="20"/>
          <w:lang w:val="bg-BG" w:eastAsia="zh-CN"/>
        </w:rPr>
        <w:t>.</w:t>
      </w:r>
    </w:p>
    <w:p w14:paraId="02B3877F" w14:textId="77777777" w:rsidR="00A5747C" w:rsidRPr="00BC696B" w:rsidRDefault="00A5747C" w:rsidP="00BC696B">
      <w:pPr>
        <w:pStyle w:val="ListParagraph"/>
        <w:numPr>
          <w:ilvl w:val="1"/>
          <w:numId w:val="61"/>
        </w:numPr>
        <w:spacing w:after="120"/>
        <w:contextualSpacing w:val="0"/>
        <w:jc w:val="both"/>
        <w:rPr>
          <w:rFonts w:ascii="Arial" w:eastAsia="Times New Roman" w:hAnsi="Arial" w:cs="Arial"/>
          <w:color w:val="000000"/>
          <w:sz w:val="20"/>
          <w:szCs w:val="20"/>
          <w:lang w:val="bg-BG" w:eastAsia="zh-CN"/>
        </w:rPr>
      </w:pPr>
      <w:r w:rsidRPr="00BC696B">
        <w:rPr>
          <w:rFonts w:ascii="Arial" w:eastAsia="Times New Roman" w:hAnsi="Arial" w:cs="Arial"/>
          <w:color w:val="000000"/>
          <w:sz w:val="20"/>
          <w:szCs w:val="20"/>
          <w:lang w:val="bg-BG" w:eastAsia="zh-CN"/>
        </w:rPr>
        <w:t xml:space="preserve">Прегледът с разширен обхват през 2023 г. показва, че </w:t>
      </w:r>
      <w:r w:rsidR="00FA701B">
        <w:rPr>
          <w:rFonts w:ascii="Arial" w:eastAsia="Times New Roman" w:hAnsi="Arial" w:cs="Arial"/>
          <w:color w:val="000000"/>
          <w:sz w:val="20"/>
          <w:szCs w:val="20"/>
          <w:lang w:val="bg-BG" w:eastAsia="zh-CN"/>
        </w:rPr>
        <w:t xml:space="preserve">ФИ </w:t>
      </w:r>
      <w:r w:rsidR="00BC696B" w:rsidRPr="00BC696B">
        <w:rPr>
          <w:rFonts w:ascii="Arial" w:eastAsia="Times New Roman" w:hAnsi="Arial" w:cs="Arial"/>
          <w:color w:val="000000"/>
          <w:sz w:val="20"/>
          <w:szCs w:val="20"/>
          <w:lang w:val="bg-BG" w:eastAsia="zh-CN"/>
        </w:rPr>
        <w:t>не постигат заложените цели</w:t>
      </w:r>
      <w:r w:rsidRPr="00BC696B">
        <w:rPr>
          <w:rFonts w:ascii="Arial" w:eastAsia="Times New Roman" w:hAnsi="Arial" w:cs="Arial"/>
          <w:color w:val="000000"/>
          <w:sz w:val="20"/>
          <w:szCs w:val="20"/>
          <w:lang w:val="bg-BG" w:eastAsia="zh-CN"/>
        </w:rPr>
        <w:t xml:space="preserve"> и не се наблюдава продължаващо търсене на предвидените ФИ. </w:t>
      </w:r>
    </w:p>
    <w:p w14:paraId="3C61C2A4" w14:textId="77777777" w:rsidR="00BC696B" w:rsidRPr="00BC7695" w:rsidRDefault="00BC696B" w:rsidP="00BC696B">
      <w:pPr>
        <w:pStyle w:val="ListParagraph"/>
        <w:spacing w:after="120"/>
        <w:ind w:left="1440"/>
        <w:jc w:val="both"/>
        <w:rPr>
          <w:rFonts w:ascii="Arial" w:eastAsia="Times New Roman" w:hAnsi="Arial" w:cs="Arial"/>
          <w:i/>
          <w:color w:val="000000"/>
          <w:sz w:val="20"/>
          <w:szCs w:val="20"/>
          <w:lang w:val="bg-BG" w:eastAsia="zh-CN"/>
        </w:rPr>
      </w:pPr>
      <w:r w:rsidRPr="005F0C04">
        <w:rPr>
          <w:rFonts w:ascii="Arial" w:eastAsia="Times New Roman" w:hAnsi="Arial" w:cs="Arial"/>
          <w:i/>
          <w:color w:val="000000"/>
          <w:sz w:val="20"/>
          <w:szCs w:val="20"/>
          <w:lang w:val="bg-BG" w:eastAsia="zh-CN"/>
        </w:rPr>
        <w:t>Възмож</w:t>
      </w:r>
      <w:r>
        <w:rPr>
          <w:rFonts w:ascii="Arial" w:eastAsia="Times New Roman" w:hAnsi="Arial" w:cs="Arial"/>
          <w:i/>
          <w:color w:val="000000"/>
          <w:sz w:val="20"/>
          <w:szCs w:val="20"/>
          <w:lang w:val="bg-BG" w:eastAsia="zh-CN"/>
        </w:rPr>
        <w:t xml:space="preserve">но решение </w:t>
      </w:r>
      <w:r w:rsidRPr="005F0C04">
        <w:rPr>
          <w:rFonts w:ascii="Arial" w:eastAsia="Times New Roman" w:hAnsi="Arial" w:cs="Arial"/>
          <w:i/>
          <w:color w:val="000000"/>
          <w:sz w:val="20"/>
          <w:szCs w:val="20"/>
          <w:lang w:val="bg-BG" w:eastAsia="zh-CN"/>
        </w:rPr>
        <w:t>на УО</w:t>
      </w:r>
      <w:r w:rsidRPr="00BC7695">
        <w:rPr>
          <w:rFonts w:ascii="Arial" w:eastAsia="Times New Roman" w:hAnsi="Arial" w:cs="Arial"/>
          <w:i/>
          <w:color w:val="000000"/>
          <w:sz w:val="20"/>
          <w:szCs w:val="20"/>
          <w:lang w:val="bg-BG" w:eastAsia="zh-CN"/>
        </w:rPr>
        <w:t xml:space="preserve">: </w:t>
      </w:r>
    </w:p>
    <w:p w14:paraId="0D74ED91" w14:textId="77777777" w:rsidR="00BC696B" w:rsidRPr="001C4149" w:rsidRDefault="00BC696B" w:rsidP="00BC696B">
      <w:pPr>
        <w:pStyle w:val="ListParagraph"/>
        <w:spacing w:after="120"/>
        <w:ind w:left="1440"/>
        <w:contextualSpacing w:val="0"/>
        <w:jc w:val="both"/>
        <w:rPr>
          <w:lang w:val="bg-BG" w:eastAsia="zh-CN"/>
        </w:rPr>
      </w:pPr>
      <w:r w:rsidRPr="001C4149">
        <w:rPr>
          <w:rFonts w:ascii="Arial" w:eastAsia="Times New Roman" w:hAnsi="Arial" w:cs="Arial"/>
          <w:color w:val="000000"/>
          <w:sz w:val="20"/>
          <w:szCs w:val="20"/>
          <w:lang w:val="bg-BG" w:eastAsia="zh-CN"/>
        </w:rPr>
        <w:t>Средствата ще бъдат върнати на УО</w:t>
      </w:r>
      <w:r>
        <w:rPr>
          <w:rFonts w:ascii="Arial" w:eastAsia="Times New Roman" w:hAnsi="Arial" w:cs="Arial"/>
          <w:color w:val="000000"/>
          <w:sz w:val="20"/>
          <w:szCs w:val="20"/>
          <w:lang w:val="bg-BG" w:eastAsia="zh-CN"/>
        </w:rPr>
        <w:t xml:space="preserve">, като </w:t>
      </w:r>
      <w:r w:rsidRPr="001C4149">
        <w:rPr>
          <w:rFonts w:ascii="Arial" w:eastAsia="Times New Roman" w:hAnsi="Arial" w:cs="Arial"/>
          <w:color w:val="000000"/>
          <w:sz w:val="20"/>
          <w:szCs w:val="20"/>
          <w:lang w:val="bg-BG" w:eastAsia="zh-CN"/>
        </w:rPr>
        <w:t xml:space="preserve">УО може да реши </w:t>
      </w:r>
      <w:r>
        <w:rPr>
          <w:rFonts w:ascii="Arial" w:eastAsia="Times New Roman" w:hAnsi="Arial" w:cs="Arial"/>
          <w:color w:val="000000"/>
          <w:sz w:val="20"/>
          <w:szCs w:val="20"/>
          <w:lang w:val="bg-BG" w:eastAsia="zh-CN"/>
        </w:rPr>
        <w:t>да приложи ФИ</w:t>
      </w:r>
      <w:r w:rsidR="00BA444C">
        <w:rPr>
          <w:rFonts w:ascii="Arial" w:eastAsia="Times New Roman" w:hAnsi="Arial" w:cs="Arial"/>
          <w:color w:val="000000"/>
          <w:sz w:val="20"/>
          <w:szCs w:val="20"/>
          <w:lang w:val="bg-BG" w:eastAsia="zh-CN"/>
        </w:rPr>
        <w:t>, съобразени с промените в пазарните условия</w:t>
      </w:r>
      <w:r>
        <w:rPr>
          <w:rFonts w:ascii="Arial" w:eastAsia="Times New Roman" w:hAnsi="Arial" w:cs="Arial"/>
          <w:color w:val="000000"/>
          <w:sz w:val="20"/>
          <w:szCs w:val="20"/>
          <w:lang w:val="bg-BG" w:eastAsia="zh-CN"/>
        </w:rPr>
        <w:t xml:space="preserve"> директно</w:t>
      </w:r>
      <w:r w:rsidRPr="001C4149">
        <w:rPr>
          <w:rFonts w:ascii="Arial" w:eastAsia="Times New Roman" w:hAnsi="Arial" w:cs="Arial"/>
          <w:color w:val="000000"/>
          <w:sz w:val="20"/>
          <w:szCs w:val="20"/>
          <w:lang w:val="bg-BG" w:eastAsia="zh-CN"/>
        </w:rPr>
        <w:t xml:space="preserve"> или да предостави подкрепа чрез други инструменти (като безвъзмездна </w:t>
      </w:r>
      <w:r>
        <w:rPr>
          <w:rFonts w:ascii="Arial" w:hAnsi="Arial" w:cs="Arial"/>
          <w:sz w:val="20"/>
          <w:szCs w:val="20"/>
          <w:lang w:val="bg-BG"/>
        </w:rPr>
        <w:t>финансова</w:t>
      </w:r>
      <w:r w:rsidRPr="001C4149">
        <w:rPr>
          <w:rFonts w:ascii="Arial" w:eastAsia="Times New Roman" w:hAnsi="Arial" w:cs="Arial"/>
          <w:color w:val="000000"/>
          <w:sz w:val="20"/>
          <w:szCs w:val="20"/>
          <w:lang w:val="bg-BG" w:eastAsia="zh-CN"/>
        </w:rPr>
        <w:t xml:space="preserve"> помощ). </w:t>
      </w:r>
      <w:r w:rsidR="00FA701B">
        <w:rPr>
          <w:rFonts w:ascii="Arial" w:eastAsia="Times New Roman" w:hAnsi="Arial" w:cs="Arial"/>
          <w:color w:val="000000"/>
          <w:sz w:val="20"/>
          <w:szCs w:val="20"/>
          <w:lang w:val="bg-BG" w:eastAsia="zh-CN"/>
        </w:rPr>
        <w:t>Съответното р</w:t>
      </w:r>
      <w:r w:rsidR="00FA701B" w:rsidRPr="005F0C04">
        <w:rPr>
          <w:rFonts w:ascii="Arial" w:eastAsia="Times New Roman" w:hAnsi="Arial" w:cs="Arial"/>
          <w:color w:val="000000"/>
          <w:sz w:val="20"/>
          <w:szCs w:val="20"/>
          <w:lang w:val="bg-BG" w:eastAsia="zh-CN"/>
        </w:rPr>
        <w:t>ешение</w:t>
      </w:r>
      <w:r w:rsidR="00FA701B">
        <w:rPr>
          <w:rFonts w:ascii="Arial" w:eastAsia="Times New Roman" w:hAnsi="Arial" w:cs="Arial"/>
          <w:color w:val="000000"/>
          <w:sz w:val="20"/>
          <w:szCs w:val="20"/>
          <w:lang w:val="bg-BG" w:eastAsia="zh-CN"/>
        </w:rPr>
        <w:t xml:space="preserve"> на</w:t>
      </w:r>
      <w:r w:rsidR="00FA701B" w:rsidRPr="005F0C04">
        <w:rPr>
          <w:rFonts w:ascii="Arial" w:eastAsia="Times New Roman" w:hAnsi="Arial" w:cs="Arial"/>
          <w:color w:val="000000"/>
          <w:sz w:val="20"/>
          <w:szCs w:val="20"/>
          <w:lang w:val="bg-BG" w:eastAsia="zh-CN"/>
        </w:rPr>
        <w:t xml:space="preserve"> </w:t>
      </w:r>
      <w:r w:rsidRPr="005F0C04">
        <w:rPr>
          <w:rFonts w:ascii="Arial" w:eastAsia="Times New Roman" w:hAnsi="Arial" w:cs="Arial"/>
          <w:color w:val="000000"/>
          <w:sz w:val="20"/>
          <w:szCs w:val="20"/>
          <w:lang w:val="bg-BG" w:eastAsia="zh-CN"/>
        </w:rPr>
        <w:t xml:space="preserve">УО </w:t>
      </w:r>
      <w:r>
        <w:rPr>
          <w:rFonts w:ascii="Arial" w:eastAsia="Times New Roman" w:hAnsi="Arial" w:cs="Arial"/>
          <w:color w:val="000000"/>
          <w:sz w:val="20"/>
          <w:szCs w:val="20"/>
          <w:lang w:val="bg-BG" w:eastAsia="zh-CN"/>
        </w:rPr>
        <w:t>следва да вземе предвид</w:t>
      </w:r>
      <w:r w:rsidRPr="005F0C04">
        <w:rPr>
          <w:rFonts w:ascii="Arial" w:eastAsia="Times New Roman" w:hAnsi="Arial" w:cs="Arial"/>
          <w:color w:val="000000"/>
          <w:sz w:val="20"/>
          <w:szCs w:val="20"/>
          <w:lang w:val="bg-BG" w:eastAsia="zh-CN"/>
        </w:rPr>
        <w:t xml:space="preserve"> </w:t>
      </w:r>
      <w:r w:rsidR="00444F5B">
        <w:rPr>
          <w:rFonts w:ascii="Arial" w:eastAsia="Times New Roman" w:hAnsi="Arial" w:cs="Arial"/>
          <w:color w:val="000000"/>
          <w:sz w:val="20"/>
          <w:szCs w:val="20"/>
          <w:lang w:val="bg-BG" w:eastAsia="zh-CN"/>
        </w:rPr>
        <w:t>клаузите</w:t>
      </w:r>
      <w:r w:rsidR="00444F5B" w:rsidRPr="005F0C04">
        <w:rPr>
          <w:rFonts w:ascii="Arial" w:eastAsia="Times New Roman" w:hAnsi="Arial" w:cs="Arial"/>
          <w:color w:val="000000"/>
          <w:sz w:val="20"/>
          <w:szCs w:val="20"/>
          <w:lang w:val="bg-BG" w:eastAsia="zh-CN"/>
        </w:rPr>
        <w:t xml:space="preserve"> </w:t>
      </w:r>
      <w:r w:rsidR="00B368B0">
        <w:rPr>
          <w:rFonts w:ascii="Arial" w:eastAsia="Times New Roman" w:hAnsi="Arial" w:cs="Arial"/>
          <w:color w:val="000000"/>
          <w:sz w:val="20"/>
          <w:szCs w:val="20"/>
          <w:lang w:val="bg-BG" w:eastAsia="zh-CN"/>
        </w:rPr>
        <w:t>на</w:t>
      </w:r>
      <w:r w:rsidRPr="005F0C04">
        <w:rPr>
          <w:rFonts w:ascii="Arial" w:eastAsia="Times New Roman" w:hAnsi="Arial" w:cs="Arial"/>
          <w:color w:val="000000"/>
          <w:sz w:val="20"/>
          <w:szCs w:val="20"/>
          <w:lang w:val="bg-BG" w:eastAsia="zh-CN"/>
        </w:rPr>
        <w:t xml:space="preserve"> </w:t>
      </w:r>
      <w:r w:rsidR="00B368B0">
        <w:rPr>
          <w:rFonts w:ascii="Arial" w:eastAsia="Times New Roman" w:hAnsi="Arial" w:cs="Arial"/>
          <w:color w:val="000000"/>
          <w:sz w:val="20"/>
          <w:szCs w:val="20"/>
          <w:lang w:val="bg-BG" w:eastAsia="zh-CN"/>
        </w:rPr>
        <w:t>Финансовото с</w:t>
      </w:r>
      <w:r w:rsidR="00B368B0" w:rsidRPr="005F0C04">
        <w:rPr>
          <w:rFonts w:ascii="Arial" w:eastAsia="Times New Roman" w:hAnsi="Arial" w:cs="Arial"/>
          <w:color w:val="000000"/>
          <w:sz w:val="20"/>
          <w:szCs w:val="20"/>
          <w:lang w:val="bg-BG" w:eastAsia="zh-CN"/>
        </w:rPr>
        <w:t>поразумение</w:t>
      </w:r>
      <w:r w:rsidRPr="005F0C04">
        <w:rPr>
          <w:rFonts w:ascii="Arial" w:eastAsia="Times New Roman" w:hAnsi="Arial" w:cs="Arial"/>
          <w:color w:val="000000"/>
          <w:sz w:val="20"/>
          <w:szCs w:val="20"/>
          <w:lang w:val="bg-BG" w:eastAsia="zh-CN"/>
        </w:rPr>
        <w:t>.</w:t>
      </w:r>
    </w:p>
    <w:p w14:paraId="59CA91F1" w14:textId="77777777" w:rsidR="00BC696B" w:rsidRPr="00BC696B" w:rsidRDefault="00BC696B" w:rsidP="000B327F">
      <w:pPr>
        <w:jc w:val="both"/>
        <w:rPr>
          <w:rFonts w:ascii="Arial" w:hAnsi="Arial" w:cs="Arial"/>
          <w:sz w:val="20"/>
          <w:szCs w:val="20"/>
          <w:lang w:val="bg-BG"/>
        </w:rPr>
      </w:pPr>
      <w:r>
        <w:rPr>
          <w:rFonts w:ascii="Arial" w:eastAsia="Times New Roman" w:hAnsi="Arial" w:cs="Arial"/>
          <w:color w:val="000000"/>
          <w:sz w:val="20"/>
          <w:szCs w:val="20"/>
          <w:lang w:val="bg-BG" w:eastAsia="zh-CN"/>
        </w:rPr>
        <w:t xml:space="preserve">Важно е да се отбележи, че поне осем години след края на периода на допустимост (поне до 2031 г.), всички средства, изплатени от крайните получатели по даден ФИ, трябва да бъдат използвани в съответствие с целите на ОПОС. Това може да бъде осъществено или чрез същия ФИ или в случай на излизане от дадения ФИ </w:t>
      </w:r>
      <w:r w:rsidR="00B368B0">
        <w:rPr>
          <w:rFonts w:ascii="Arial" w:eastAsia="Times New Roman" w:hAnsi="Arial" w:cs="Arial"/>
          <w:color w:val="000000"/>
          <w:sz w:val="20"/>
          <w:szCs w:val="20"/>
          <w:lang w:val="bg-BG" w:eastAsia="zh-CN"/>
        </w:rPr>
        <w:t xml:space="preserve">- </w:t>
      </w:r>
      <w:r>
        <w:rPr>
          <w:rFonts w:ascii="Arial" w:eastAsia="Times New Roman" w:hAnsi="Arial" w:cs="Arial"/>
          <w:color w:val="000000"/>
          <w:sz w:val="20"/>
          <w:szCs w:val="20"/>
          <w:lang w:val="bg-BG" w:eastAsia="zh-CN"/>
        </w:rPr>
        <w:t xml:space="preserve">посредством друг ФИ, след провеждане на оценка на пазара, която доказва продължаващата нужда от </w:t>
      </w:r>
      <w:r w:rsidR="00FA701B">
        <w:rPr>
          <w:rFonts w:ascii="Arial" w:eastAsia="Times New Roman" w:hAnsi="Arial" w:cs="Arial"/>
          <w:color w:val="000000"/>
          <w:sz w:val="20"/>
          <w:szCs w:val="20"/>
          <w:lang w:val="bg-BG" w:eastAsia="zh-CN"/>
        </w:rPr>
        <w:t>такава</w:t>
      </w:r>
      <w:r>
        <w:rPr>
          <w:rFonts w:ascii="Arial" w:eastAsia="Times New Roman" w:hAnsi="Arial" w:cs="Arial"/>
          <w:color w:val="000000"/>
          <w:sz w:val="20"/>
          <w:szCs w:val="20"/>
          <w:lang w:val="bg-BG" w:eastAsia="zh-CN"/>
        </w:rPr>
        <w:t xml:space="preserve"> или </w:t>
      </w:r>
      <w:r w:rsidR="00FA701B">
        <w:rPr>
          <w:rFonts w:ascii="Arial" w:eastAsia="Times New Roman" w:hAnsi="Arial" w:cs="Arial"/>
          <w:color w:val="000000"/>
          <w:sz w:val="20"/>
          <w:szCs w:val="20"/>
          <w:lang w:val="bg-BG" w:eastAsia="zh-CN"/>
        </w:rPr>
        <w:t>подобна</w:t>
      </w:r>
      <w:r>
        <w:rPr>
          <w:rFonts w:ascii="Arial" w:eastAsia="Times New Roman" w:hAnsi="Arial" w:cs="Arial"/>
          <w:color w:val="000000"/>
          <w:sz w:val="20"/>
          <w:szCs w:val="20"/>
          <w:lang w:val="bg-BG" w:eastAsia="zh-CN"/>
        </w:rPr>
        <w:t xml:space="preserve"> подкрепа. След този период УО може да реши да пренасочи ресурсите към други публични интервенции.</w:t>
      </w:r>
      <w:r w:rsidR="00FA701B">
        <w:rPr>
          <w:rFonts w:ascii="Arial" w:eastAsia="Times New Roman" w:hAnsi="Arial" w:cs="Arial"/>
          <w:color w:val="000000"/>
          <w:sz w:val="20"/>
          <w:szCs w:val="20"/>
          <w:lang w:val="bg-BG" w:eastAsia="zh-CN"/>
        </w:rPr>
        <w:t xml:space="preserve"> </w:t>
      </w:r>
    </w:p>
    <w:sectPr w:rsidR="00BC696B" w:rsidRPr="00BC696B" w:rsidSect="000C27AA">
      <w:headerReference w:type="default" r:id="rId22"/>
      <w:footerReference w:type="default" r:id="rId23"/>
      <w:pgSz w:w="11906" w:h="16838" w:code="9"/>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ADD2" w14:textId="77777777" w:rsidR="00864EA2" w:rsidRDefault="00864EA2" w:rsidP="008F4199">
      <w:pPr>
        <w:spacing w:after="0" w:line="240" w:lineRule="auto"/>
      </w:pPr>
      <w:r>
        <w:separator/>
      </w:r>
    </w:p>
  </w:endnote>
  <w:endnote w:type="continuationSeparator" w:id="0">
    <w:p w14:paraId="52F966CC" w14:textId="77777777" w:rsidR="00864EA2" w:rsidRDefault="00864EA2" w:rsidP="008F4199">
      <w:pPr>
        <w:spacing w:after="0" w:line="240" w:lineRule="auto"/>
      </w:pPr>
      <w:r>
        <w:continuationSeparator/>
      </w:r>
    </w:p>
  </w:endnote>
  <w:endnote w:type="continuationNotice" w:id="1">
    <w:p w14:paraId="4E70947F" w14:textId="77777777" w:rsidR="00864EA2" w:rsidRDefault="00864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Calibri"/>
    <w:panose1 w:val="00000000000000000000"/>
    <w:charset w:val="CC"/>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9B44" w14:textId="77777777" w:rsidR="005E6C24" w:rsidRPr="006657B2" w:rsidRDefault="005E6C24" w:rsidP="006657B2">
    <w:pPr>
      <w:pStyle w:val="Footer"/>
      <w:pBdr>
        <w:top w:val="single" w:sz="4" w:space="1" w:color="auto"/>
      </w:pBd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1138" w14:textId="77777777" w:rsidR="00864EA2" w:rsidRDefault="00864EA2" w:rsidP="008F4199">
      <w:pPr>
        <w:spacing w:after="0" w:line="240" w:lineRule="auto"/>
      </w:pPr>
      <w:r>
        <w:separator/>
      </w:r>
    </w:p>
  </w:footnote>
  <w:footnote w:type="continuationSeparator" w:id="0">
    <w:p w14:paraId="428681B2" w14:textId="77777777" w:rsidR="00864EA2" w:rsidRDefault="00864EA2" w:rsidP="008F4199">
      <w:pPr>
        <w:spacing w:after="0" w:line="240" w:lineRule="auto"/>
      </w:pPr>
      <w:r>
        <w:continuationSeparator/>
      </w:r>
    </w:p>
  </w:footnote>
  <w:footnote w:type="continuationNotice" w:id="1">
    <w:p w14:paraId="1DD0A231" w14:textId="77777777" w:rsidR="00864EA2" w:rsidRDefault="00864EA2">
      <w:pPr>
        <w:spacing w:after="0" w:line="240" w:lineRule="auto"/>
      </w:pPr>
    </w:p>
  </w:footnote>
  <w:footnote w:id="2">
    <w:p w14:paraId="4B4DA237" w14:textId="77777777" w:rsidR="005E6C24" w:rsidRPr="0050692D" w:rsidRDefault="005E6C24" w:rsidP="00834D0A">
      <w:pPr>
        <w:pStyle w:val="FootnoteText"/>
        <w:jc w:val="both"/>
        <w:rPr>
          <w:sz w:val="18"/>
          <w:szCs w:val="18"/>
          <w:lang w:val="bg-BG"/>
        </w:rPr>
      </w:pPr>
      <w:r w:rsidRPr="000534BF">
        <w:rPr>
          <w:rStyle w:val="FootnoteReference"/>
          <w:sz w:val="18"/>
          <w:szCs w:val="18"/>
        </w:rPr>
        <w:footnoteRef/>
      </w:r>
      <w:r w:rsidRPr="000534BF">
        <w:rPr>
          <w:sz w:val="18"/>
          <w:szCs w:val="18"/>
        </w:rPr>
        <w:t xml:space="preserve"> </w:t>
      </w:r>
      <w:r>
        <w:rPr>
          <w:sz w:val="18"/>
          <w:szCs w:val="18"/>
          <w:lang w:val="bg-BG"/>
        </w:rPr>
        <w:t>Решение № 3 на Министерски съвет от 15.07.2015 г.</w:t>
      </w:r>
      <w:r w:rsidRPr="000534BF">
        <w:rPr>
          <w:sz w:val="18"/>
          <w:szCs w:val="18"/>
        </w:rPr>
        <w:t xml:space="preserve"> </w:t>
      </w:r>
      <w:r>
        <w:rPr>
          <w:sz w:val="18"/>
          <w:szCs w:val="18"/>
          <w:lang w:val="bg-BG"/>
        </w:rPr>
        <w:t xml:space="preserve">за учредяване на еднолично акционерно дружество с държавно участие в капитала „Фонд мениджър на финансовите инструменти в България“ ЕАД </w:t>
      </w:r>
      <w:r w:rsidRPr="000534BF">
        <w:rPr>
          <w:sz w:val="18"/>
          <w:szCs w:val="18"/>
        </w:rPr>
        <w:t>(</w:t>
      </w:r>
      <w:r>
        <w:rPr>
          <w:sz w:val="18"/>
          <w:szCs w:val="18"/>
          <w:lang w:val="bg-BG"/>
        </w:rPr>
        <w:t>ФМФИБ)</w:t>
      </w:r>
    </w:p>
  </w:footnote>
  <w:footnote w:id="3">
    <w:p w14:paraId="7C5505BF" w14:textId="77777777" w:rsidR="005E6C24" w:rsidRPr="00B56ECA" w:rsidRDefault="005E6C24">
      <w:pPr>
        <w:pStyle w:val="FootnoteText"/>
        <w:rPr>
          <w:sz w:val="18"/>
          <w:szCs w:val="18"/>
          <w:lang w:val="bg-BG"/>
        </w:rPr>
      </w:pPr>
      <w:r w:rsidRPr="00B56ECA">
        <w:rPr>
          <w:rStyle w:val="FootnoteReference"/>
          <w:sz w:val="18"/>
          <w:szCs w:val="18"/>
        </w:rPr>
        <w:footnoteRef/>
      </w:r>
      <w:r w:rsidRPr="00B56ECA">
        <w:rPr>
          <w:sz w:val="18"/>
          <w:szCs w:val="18"/>
          <w:lang w:val="bg-BG"/>
        </w:rPr>
        <w:t xml:space="preserve"> Регламент (ЕС) 1303/2013 на Европейския парламент и на </w:t>
      </w:r>
      <w:r>
        <w:rPr>
          <w:sz w:val="18"/>
          <w:szCs w:val="18"/>
          <w:lang w:val="bg-BG"/>
        </w:rPr>
        <w:t>С</w:t>
      </w:r>
      <w:r w:rsidRPr="00B56ECA">
        <w:rPr>
          <w:sz w:val="18"/>
          <w:szCs w:val="18"/>
          <w:lang w:val="bg-BG"/>
        </w:rPr>
        <w:t>ъвета от 17 декември 2013 г</w:t>
      </w:r>
      <w:r>
        <w:rPr>
          <w:sz w:val="18"/>
          <w:szCs w:val="18"/>
          <w:lang w:val="bg-BG"/>
        </w:rPr>
        <w:t>.</w:t>
      </w:r>
    </w:p>
  </w:footnote>
  <w:footnote w:id="4">
    <w:p w14:paraId="64CA748F" w14:textId="77777777" w:rsidR="005E6C24" w:rsidRPr="00620AE8" w:rsidRDefault="005E6C24" w:rsidP="00834D0A">
      <w:pPr>
        <w:pStyle w:val="FootnoteText"/>
        <w:jc w:val="both"/>
        <w:rPr>
          <w:sz w:val="18"/>
          <w:szCs w:val="18"/>
          <w:lang w:val="bg-BG"/>
        </w:rPr>
      </w:pPr>
      <w:r w:rsidRPr="00F32DAA">
        <w:rPr>
          <w:rStyle w:val="FootnoteReference"/>
          <w:sz w:val="18"/>
          <w:szCs w:val="18"/>
        </w:rPr>
        <w:footnoteRef/>
      </w:r>
      <w:r w:rsidRPr="00620AE8">
        <w:rPr>
          <w:sz w:val="18"/>
          <w:szCs w:val="18"/>
          <w:lang w:val="bg-BG"/>
        </w:rPr>
        <w:t xml:space="preserve"> Според Предварителна</w:t>
      </w:r>
      <w:r>
        <w:rPr>
          <w:sz w:val="18"/>
          <w:szCs w:val="18"/>
          <w:lang w:val="bg-BG"/>
        </w:rPr>
        <w:t>та</w:t>
      </w:r>
      <w:r w:rsidRPr="00620AE8">
        <w:rPr>
          <w:sz w:val="18"/>
          <w:szCs w:val="18"/>
          <w:lang w:val="bg-BG"/>
        </w:rPr>
        <w:t xml:space="preserve"> оценка на финансови инструменти по ОПОС 2014-2020 г.</w:t>
      </w:r>
      <w:r>
        <w:rPr>
          <w:sz w:val="18"/>
          <w:szCs w:val="18"/>
          <w:lang w:val="bg-BG"/>
        </w:rPr>
        <w:t xml:space="preserve"> от м. септември 2014 г.</w:t>
      </w:r>
      <w:r w:rsidRPr="00620AE8">
        <w:rPr>
          <w:sz w:val="18"/>
          <w:szCs w:val="18"/>
          <w:lang w:val="bg-BG"/>
        </w:rPr>
        <w:t xml:space="preserve"> (</w:t>
      </w:r>
      <w:hyperlink r:id="rId1" w:history="1">
        <w:r w:rsidRPr="00F32DAA">
          <w:rPr>
            <w:rStyle w:val="Hyperlink"/>
            <w:sz w:val="18"/>
            <w:szCs w:val="18"/>
          </w:rPr>
          <w:t>http</w:t>
        </w:r>
        <w:r w:rsidRPr="00620AE8">
          <w:rPr>
            <w:rStyle w:val="Hyperlink"/>
            <w:sz w:val="18"/>
            <w:szCs w:val="18"/>
            <w:lang w:val="bg-BG"/>
          </w:rPr>
          <w:t>://</w:t>
        </w:r>
        <w:r w:rsidRPr="00F32DAA">
          <w:rPr>
            <w:rStyle w:val="Hyperlink"/>
            <w:sz w:val="18"/>
            <w:szCs w:val="18"/>
          </w:rPr>
          <w:t>ope</w:t>
        </w:r>
        <w:r w:rsidRPr="00620AE8">
          <w:rPr>
            <w:rStyle w:val="Hyperlink"/>
            <w:sz w:val="18"/>
            <w:szCs w:val="18"/>
            <w:lang w:val="bg-BG"/>
          </w:rPr>
          <w:t>.</w:t>
        </w:r>
        <w:r w:rsidRPr="00F32DAA">
          <w:rPr>
            <w:rStyle w:val="Hyperlink"/>
            <w:sz w:val="18"/>
            <w:szCs w:val="18"/>
          </w:rPr>
          <w:t>moew</w:t>
        </w:r>
        <w:r w:rsidRPr="00620AE8">
          <w:rPr>
            <w:rStyle w:val="Hyperlink"/>
            <w:sz w:val="18"/>
            <w:szCs w:val="18"/>
            <w:lang w:val="bg-BG"/>
          </w:rPr>
          <w:t>.</w:t>
        </w:r>
        <w:r w:rsidRPr="00F32DAA">
          <w:rPr>
            <w:rStyle w:val="Hyperlink"/>
            <w:sz w:val="18"/>
            <w:szCs w:val="18"/>
          </w:rPr>
          <w:t>government</w:t>
        </w:r>
        <w:r w:rsidRPr="00620AE8">
          <w:rPr>
            <w:rStyle w:val="Hyperlink"/>
            <w:sz w:val="18"/>
            <w:szCs w:val="18"/>
            <w:lang w:val="bg-BG"/>
          </w:rPr>
          <w:t>.</w:t>
        </w:r>
        <w:r w:rsidRPr="00F32DAA">
          <w:rPr>
            <w:rStyle w:val="Hyperlink"/>
            <w:sz w:val="18"/>
            <w:szCs w:val="18"/>
          </w:rPr>
          <w:t>bg</w:t>
        </w:r>
        <w:r w:rsidRPr="00620AE8">
          <w:rPr>
            <w:rStyle w:val="Hyperlink"/>
            <w:sz w:val="18"/>
            <w:szCs w:val="18"/>
            <w:lang w:val="bg-BG"/>
          </w:rPr>
          <w:t>/</w:t>
        </w:r>
        <w:r w:rsidRPr="00F32DAA">
          <w:rPr>
            <w:rStyle w:val="Hyperlink"/>
            <w:sz w:val="18"/>
            <w:szCs w:val="18"/>
          </w:rPr>
          <w:t>files</w:t>
        </w:r>
        <w:r w:rsidRPr="00620AE8">
          <w:rPr>
            <w:rStyle w:val="Hyperlink"/>
            <w:sz w:val="18"/>
            <w:szCs w:val="18"/>
            <w:lang w:val="bg-BG"/>
          </w:rPr>
          <w:t>/</w:t>
        </w:r>
        <w:r w:rsidRPr="00F32DAA">
          <w:rPr>
            <w:rStyle w:val="Hyperlink"/>
            <w:sz w:val="18"/>
            <w:szCs w:val="18"/>
          </w:rPr>
          <w:t>useruploads</w:t>
        </w:r>
        <w:r w:rsidRPr="00620AE8">
          <w:rPr>
            <w:rStyle w:val="Hyperlink"/>
            <w:sz w:val="18"/>
            <w:szCs w:val="18"/>
            <w:lang w:val="bg-BG"/>
          </w:rPr>
          <w:t>/</w:t>
        </w:r>
        <w:r w:rsidRPr="00F32DAA">
          <w:rPr>
            <w:rStyle w:val="Hyperlink"/>
            <w:sz w:val="18"/>
            <w:szCs w:val="18"/>
          </w:rPr>
          <w:t>files</w:t>
        </w:r>
        <w:r w:rsidRPr="00620AE8">
          <w:rPr>
            <w:rStyle w:val="Hyperlink"/>
            <w:sz w:val="18"/>
            <w:szCs w:val="18"/>
            <w:lang w:val="bg-BG"/>
          </w:rPr>
          <w:t>/</w:t>
        </w:r>
        <w:r w:rsidRPr="00F32DAA">
          <w:rPr>
            <w:rStyle w:val="Hyperlink"/>
            <w:sz w:val="18"/>
            <w:szCs w:val="18"/>
          </w:rPr>
          <w:t>documentation</w:t>
        </w:r>
        <w:r w:rsidRPr="00620AE8">
          <w:rPr>
            <w:rStyle w:val="Hyperlink"/>
            <w:sz w:val="18"/>
            <w:szCs w:val="18"/>
            <w:lang w:val="bg-BG"/>
          </w:rPr>
          <w:t>/</w:t>
        </w:r>
        <w:r w:rsidRPr="00F32DAA">
          <w:rPr>
            <w:rStyle w:val="Hyperlink"/>
            <w:sz w:val="18"/>
            <w:szCs w:val="18"/>
          </w:rPr>
          <w:t>en</w:t>
        </w:r>
        <w:r w:rsidRPr="00620AE8">
          <w:rPr>
            <w:rStyle w:val="Hyperlink"/>
            <w:sz w:val="18"/>
            <w:szCs w:val="18"/>
            <w:lang w:val="bg-BG"/>
          </w:rPr>
          <w:t>_</w:t>
        </w:r>
        <w:r w:rsidRPr="00F32DAA">
          <w:rPr>
            <w:rStyle w:val="Hyperlink"/>
            <w:sz w:val="18"/>
            <w:szCs w:val="18"/>
          </w:rPr>
          <w:t>report</w:t>
        </w:r>
        <w:r w:rsidRPr="00620AE8">
          <w:rPr>
            <w:rStyle w:val="Hyperlink"/>
            <w:sz w:val="18"/>
            <w:szCs w:val="18"/>
            <w:lang w:val="bg-BG"/>
          </w:rPr>
          <w:t>_</w:t>
        </w:r>
        <w:r w:rsidRPr="00F32DAA">
          <w:rPr>
            <w:rStyle w:val="Hyperlink"/>
            <w:sz w:val="18"/>
            <w:szCs w:val="18"/>
          </w:rPr>
          <w:t>ex</w:t>
        </w:r>
        <w:r w:rsidRPr="00620AE8">
          <w:rPr>
            <w:rStyle w:val="Hyperlink"/>
            <w:sz w:val="18"/>
            <w:szCs w:val="18"/>
            <w:lang w:val="bg-BG"/>
          </w:rPr>
          <w:t>-</w:t>
        </w:r>
        <w:r w:rsidRPr="00F32DAA">
          <w:rPr>
            <w:rStyle w:val="Hyperlink"/>
            <w:sz w:val="18"/>
            <w:szCs w:val="18"/>
          </w:rPr>
          <w:t>ante</w:t>
        </w:r>
        <w:r w:rsidRPr="00620AE8">
          <w:rPr>
            <w:rStyle w:val="Hyperlink"/>
            <w:sz w:val="18"/>
            <w:szCs w:val="18"/>
            <w:lang w:val="bg-BG"/>
          </w:rPr>
          <w:t>_</w:t>
        </w:r>
        <w:r w:rsidRPr="00F32DAA">
          <w:rPr>
            <w:rStyle w:val="Hyperlink"/>
            <w:sz w:val="18"/>
            <w:szCs w:val="18"/>
          </w:rPr>
          <w:t>sep</w:t>
        </w:r>
        <w:r w:rsidRPr="00620AE8">
          <w:rPr>
            <w:rStyle w:val="Hyperlink"/>
            <w:sz w:val="18"/>
            <w:szCs w:val="18"/>
            <w:lang w:val="bg-BG"/>
          </w:rPr>
          <w:t>_2014_</w:t>
        </w:r>
        <w:r w:rsidRPr="00F32DAA">
          <w:rPr>
            <w:rStyle w:val="Hyperlink"/>
            <w:sz w:val="18"/>
            <w:szCs w:val="18"/>
          </w:rPr>
          <w:t>final</w:t>
        </w:r>
        <w:r w:rsidRPr="00620AE8">
          <w:rPr>
            <w:rStyle w:val="Hyperlink"/>
            <w:sz w:val="18"/>
            <w:szCs w:val="18"/>
            <w:lang w:val="bg-BG"/>
          </w:rPr>
          <w:t>.</w:t>
        </w:r>
        <w:r w:rsidRPr="00F32DAA">
          <w:rPr>
            <w:rStyle w:val="Hyperlink"/>
            <w:sz w:val="18"/>
            <w:szCs w:val="18"/>
          </w:rPr>
          <w:t>doc</w:t>
        </w:r>
      </w:hyperlink>
      <w:r w:rsidRPr="00620AE8">
        <w:rPr>
          <w:sz w:val="18"/>
          <w:szCs w:val="18"/>
          <w:lang w:val="bg-BG"/>
        </w:rPr>
        <w:t>)</w:t>
      </w:r>
    </w:p>
  </w:footnote>
  <w:footnote w:id="5">
    <w:p w14:paraId="45E67BAC" w14:textId="77777777" w:rsidR="005E6C24" w:rsidRPr="0051416F" w:rsidRDefault="005E6C24" w:rsidP="00D07791">
      <w:pPr>
        <w:pStyle w:val="FootnoteText"/>
        <w:rPr>
          <w:sz w:val="18"/>
          <w:szCs w:val="18"/>
          <w:lang w:val="bg-BG"/>
        </w:rPr>
      </w:pPr>
      <w:r w:rsidRPr="00F32DAA">
        <w:rPr>
          <w:rStyle w:val="FootnoteReference"/>
          <w:sz w:val="18"/>
          <w:szCs w:val="18"/>
        </w:rPr>
        <w:footnoteRef/>
      </w:r>
      <w:r w:rsidRPr="0051416F">
        <w:rPr>
          <w:sz w:val="18"/>
          <w:szCs w:val="18"/>
          <w:lang w:val="bg-BG"/>
        </w:rPr>
        <w:t xml:space="preserve"> </w:t>
      </w:r>
      <w:r>
        <w:rPr>
          <w:sz w:val="18"/>
          <w:szCs w:val="18"/>
          <w:lang w:val="bg-BG"/>
        </w:rPr>
        <w:t xml:space="preserve">„Стратегията за развитие и управление на водоснабдяването и канализацията в Република България 2014-2023 г.“ е одобрена с </w:t>
      </w:r>
      <w:r w:rsidRPr="003D6507">
        <w:rPr>
          <w:rFonts w:cs="Arial"/>
          <w:sz w:val="18"/>
          <w:szCs w:val="18"/>
          <w:lang w:val="bg-BG"/>
        </w:rPr>
        <w:t>Решение на Министерски</w:t>
      </w:r>
      <w:r>
        <w:rPr>
          <w:rFonts w:cs="Arial"/>
          <w:sz w:val="18"/>
          <w:szCs w:val="18"/>
          <w:lang w:val="bg-BG"/>
        </w:rPr>
        <w:t>я</w:t>
      </w:r>
      <w:r w:rsidRPr="003D6507">
        <w:rPr>
          <w:rFonts w:cs="Arial"/>
          <w:sz w:val="18"/>
          <w:szCs w:val="18"/>
          <w:lang w:val="bg-BG"/>
        </w:rPr>
        <w:t xml:space="preserve"> съвет № 269 от 7 май 2014 г</w:t>
      </w:r>
      <w:r>
        <w:rPr>
          <w:rFonts w:cs="Arial"/>
          <w:sz w:val="18"/>
          <w:szCs w:val="18"/>
          <w:lang w:val="bg-BG"/>
        </w:rPr>
        <w:t>.</w:t>
      </w:r>
      <w:r w:rsidRPr="0051416F">
        <w:rPr>
          <w:sz w:val="18"/>
          <w:szCs w:val="18"/>
          <w:lang w:val="bg-BG"/>
        </w:rPr>
        <w:t xml:space="preserve"> (</w:t>
      </w:r>
      <w:hyperlink r:id="rId2" w:history="1">
        <w:r w:rsidRPr="00F32DAA">
          <w:rPr>
            <w:rStyle w:val="Hyperlink"/>
            <w:sz w:val="18"/>
            <w:szCs w:val="18"/>
          </w:rPr>
          <w:t>http</w:t>
        </w:r>
        <w:r w:rsidRPr="0051416F">
          <w:rPr>
            <w:rStyle w:val="Hyperlink"/>
            <w:sz w:val="18"/>
            <w:szCs w:val="18"/>
            <w:lang w:val="bg-BG"/>
          </w:rPr>
          <w:t>://</w:t>
        </w:r>
        <w:r w:rsidRPr="00F32DAA">
          <w:rPr>
            <w:rStyle w:val="Hyperlink"/>
            <w:sz w:val="18"/>
            <w:szCs w:val="18"/>
          </w:rPr>
          <w:t>www</w:t>
        </w:r>
        <w:r w:rsidRPr="0051416F">
          <w:rPr>
            <w:rStyle w:val="Hyperlink"/>
            <w:sz w:val="18"/>
            <w:szCs w:val="18"/>
            <w:lang w:val="bg-BG"/>
          </w:rPr>
          <w:t>.</w:t>
        </w:r>
        <w:r w:rsidRPr="00F32DAA">
          <w:rPr>
            <w:rStyle w:val="Hyperlink"/>
            <w:sz w:val="18"/>
            <w:szCs w:val="18"/>
          </w:rPr>
          <w:t>mrrb</w:t>
        </w:r>
        <w:r w:rsidRPr="0051416F">
          <w:rPr>
            <w:rStyle w:val="Hyperlink"/>
            <w:sz w:val="18"/>
            <w:szCs w:val="18"/>
            <w:lang w:val="bg-BG"/>
          </w:rPr>
          <w:t>.</w:t>
        </w:r>
        <w:r w:rsidRPr="00F32DAA">
          <w:rPr>
            <w:rStyle w:val="Hyperlink"/>
            <w:sz w:val="18"/>
            <w:szCs w:val="18"/>
          </w:rPr>
          <w:t>government</w:t>
        </w:r>
        <w:r w:rsidRPr="0051416F">
          <w:rPr>
            <w:rStyle w:val="Hyperlink"/>
            <w:sz w:val="18"/>
            <w:szCs w:val="18"/>
            <w:lang w:val="bg-BG"/>
          </w:rPr>
          <w:t>.</w:t>
        </w:r>
        <w:r w:rsidRPr="00F32DAA">
          <w:rPr>
            <w:rStyle w:val="Hyperlink"/>
            <w:sz w:val="18"/>
            <w:szCs w:val="18"/>
          </w:rPr>
          <w:t>bg</w:t>
        </w:r>
        <w:r w:rsidRPr="0051416F">
          <w:rPr>
            <w:rStyle w:val="Hyperlink"/>
            <w:sz w:val="18"/>
            <w:szCs w:val="18"/>
            <w:lang w:val="bg-BG"/>
          </w:rPr>
          <w:t>/</w:t>
        </w:r>
        <w:r w:rsidRPr="00F32DAA">
          <w:rPr>
            <w:rStyle w:val="Hyperlink"/>
            <w:sz w:val="18"/>
            <w:szCs w:val="18"/>
          </w:rPr>
          <w:t>docs</w:t>
        </w:r>
        <w:r w:rsidRPr="0051416F">
          <w:rPr>
            <w:rStyle w:val="Hyperlink"/>
            <w:sz w:val="18"/>
            <w:szCs w:val="18"/>
            <w:lang w:val="bg-BG"/>
          </w:rPr>
          <w:t>/24</w:t>
        </w:r>
        <w:r w:rsidRPr="00F32DAA">
          <w:rPr>
            <w:rStyle w:val="Hyperlink"/>
            <w:sz w:val="18"/>
            <w:szCs w:val="18"/>
          </w:rPr>
          <w:t>e</w:t>
        </w:r>
        <w:r w:rsidRPr="0051416F">
          <w:rPr>
            <w:rStyle w:val="Hyperlink"/>
            <w:sz w:val="18"/>
            <w:szCs w:val="18"/>
            <w:lang w:val="bg-BG"/>
          </w:rPr>
          <w:t>7666</w:t>
        </w:r>
        <w:r w:rsidRPr="00F32DAA">
          <w:rPr>
            <w:rStyle w:val="Hyperlink"/>
            <w:sz w:val="18"/>
            <w:szCs w:val="18"/>
          </w:rPr>
          <w:t>f</w:t>
        </w:r>
        <w:r w:rsidRPr="0051416F">
          <w:rPr>
            <w:rStyle w:val="Hyperlink"/>
            <w:sz w:val="18"/>
            <w:szCs w:val="18"/>
            <w:lang w:val="bg-BG"/>
          </w:rPr>
          <w:t>6785</w:t>
        </w:r>
        <w:r w:rsidRPr="00F32DAA">
          <w:rPr>
            <w:rStyle w:val="Hyperlink"/>
            <w:sz w:val="18"/>
            <w:szCs w:val="18"/>
          </w:rPr>
          <w:t>ee</w:t>
        </w:r>
        <w:r w:rsidRPr="0051416F">
          <w:rPr>
            <w:rStyle w:val="Hyperlink"/>
            <w:sz w:val="18"/>
            <w:szCs w:val="18"/>
            <w:lang w:val="bg-BG"/>
          </w:rPr>
          <w:t>40</w:t>
        </w:r>
        <w:r w:rsidRPr="00F32DAA">
          <w:rPr>
            <w:rStyle w:val="Hyperlink"/>
            <w:sz w:val="18"/>
            <w:szCs w:val="18"/>
          </w:rPr>
          <w:t>bfb</w:t>
        </w:r>
        <w:r w:rsidRPr="0051416F">
          <w:rPr>
            <w:rStyle w:val="Hyperlink"/>
            <w:sz w:val="18"/>
            <w:szCs w:val="18"/>
            <w:lang w:val="bg-BG"/>
          </w:rPr>
          <w:t>094</w:t>
        </w:r>
        <w:r w:rsidRPr="00F32DAA">
          <w:rPr>
            <w:rStyle w:val="Hyperlink"/>
            <w:sz w:val="18"/>
            <w:szCs w:val="18"/>
          </w:rPr>
          <w:t>bec</w:t>
        </w:r>
        <w:r w:rsidRPr="0051416F">
          <w:rPr>
            <w:rStyle w:val="Hyperlink"/>
            <w:sz w:val="18"/>
            <w:szCs w:val="18"/>
            <w:lang w:val="bg-BG"/>
          </w:rPr>
          <w:t>3</w:t>
        </w:r>
        <w:r w:rsidRPr="00F32DAA">
          <w:rPr>
            <w:rStyle w:val="Hyperlink"/>
            <w:sz w:val="18"/>
            <w:szCs w:val="18"/>
          </w:rPr>
          <w:t>ad</w:t>
        </w:r>
        <w:r w:rsidRPr="0051416F">
          <w:rPr>
            <w:rStyle w:val="Hyperlink"/>
            <w:sz w:val="18"/>
            <w:szCs w:val="18"/>
            <w:lang w:val="bg-BG"/>
          </w:rPr>
          <w:t>5</w:t>
        </w:r>
        <w:r w:rsidRPr="00F32DAA">
          <w:rPr>
            <w:rStyle w:val="Hyperlink"/>
            <w:sz w:val="18"/>
            <w:szCs w:val="18"/>
          </w:rPr>
          <w:t>f</w:t>
        </w:r>
        <w:r w:rsidRPr="0051416F">
          <w:rPr>
            <w:rStyle w:val="Hyperlink"/>
            <w:sz w:val="18"/>
            <w:szCs w:val="18"/>
            <w:lang w:val="bg-BG"/>
          </w:rPr>
          <w:t>45.</w:t>
        </w:r>
        <w:r w:rsidRPr="00F32DAA">
          <w:rPr>
            <w:rStyle w:val="Hyperlink"/>
            <w:sz w:val="18"/>
            <w:szCs w:val="18"/>
          </w:rPr>
          <w:t>pdf</w:t>
        </w:r>
      </w:hyperlink>
      <w:r w:rsidRPr="0051416F">
        <w:rPr>
          <w:sz w:val="18"/>
          <w:szCs w:val="18"/>
          <w:lang w:val="bg-BG"/>
        </w:rPr>
        <w:t xml:space="preserve">) </w:t>
      </w:r>
    </w:p>
  </w:footnote>
  <w:footnote w:id="6">
    <w:p w14:paraId="36235AA3" w14:textId="77777777" w:rsidR="005E6C24" w:rsidRPr="003D6507" w:rsidRDefault="005E6C24" w:rsidP="00B60900">
      <w:pPr>
        <w:pStyle w:val="FootnoteText"/>
        <w:rPr>
          <w:rFonts w:cs="Arial"/>
          <w:sz w:val="18"/>
          <w:szCs w:val="18"/>
          <w:lang w:val="bg-BG"/>
        </w:rPr>
      </w:pPr>
      <w:r w:rsidRPr="003D6507">
        <w:rPr>
          <w:rStyle w:val="FootnoteReference"/>
          <w:rFonts w:cs="Arial"/>
          <w:sz w:val="18"/>
          <w:szCs w:val="18"/>
        </w:rPr>
        <w:footnoteRef/>
      </w:r>
      <w:r w:rsidRPr="003D6507">
        <w:rPr>
          <w:rFonts w:cs="Arial"/>
          <w:sz w:val="18"/>
          <w:szCs w:val="18"/>
          <w:lang w:val="bg-BG"/>
        </w:rPr>
        <w:t xml:space="preserve"> Предварителната оценка на финансови инструменти по ОПОС цитира различна сто</w:t>
      </w:r>
      <w:r>
        <w:rPr>
          <w:rFonts w:cs="Arial"/>
          <w:sz w:val="18"/>
          <w:szCs w:val="18"/>
          <w:lang w:val="bg-BG"/>
        </w:rPr>
        <w:t>йност на инвестиционните нужди във ВиК сектора</w:t>
      </w:r>
      <w:r w:rsidRPr="003D6507">
        <w:rPr>
          <w:rFonts w:cs="Arial"/>
          <w:sz w:val="18"/>
          <w:szCs w:val="18"/>
          <w:lang w:val="bg-BG"/>
        </w:rPr>
        <w:t>: 7.9 млрд. евро.</w:t>
      </w:r>
    </w:p>
  </w:footnote>
  <w:footnote w:id="7">
    <w:p w14:paraId="0559014D" w14:textId="77777777" w:rsidR="005E6C24" w:rsidRPr="003D6507" w:rsidRDefault="005E6C24" w:rsidP="00B60900">
      <w:pPr>
        <w:pStyle w:val="FootnoteText"/>
        <w:jc w:val="both"/>
        <w:rPr>
          <w:rFonts w:cs="Arial"/>
          <w:sz w:val="18"/>
          <w:szCs w:val="18"/>
          <w:lang w:val="bg-BG"/>
        </w:rPr>
      </w:pPr>
      <w:r w:rsidRPr="003D6507">
        <w:rPr>
          <w:rStyle w:val="FootnoteReference"/>
          <w:rFonts w:cs="Arial"/>
          <w:sz w:val="18"/>
          <w:szCs w:val="18"/>
        </w:rPr>
        <w:footnoteRef/>
      </w:r>
      <w:r w:rsidRPr="003D6507">
        <w:rPr>
          <w:rFonts w:cs="Arial"/>
          <w:sz w:val="18"/>
          <w:szCs w:val="18"/>
          <w:lang w:val="bg-BG"/>
        </w:rPr>
        <w:t xml:space="preserve"> Инвестиции, насочени към съответствие с Директива 91/271/ЕИО, Директива 98/83/ЕО, Директива 2013/51/ЕВРАТОМ </w:t>
      </w:r>
      <w:r>
        <w:rPr>
          <w:rFonts w:cs="Arial"/>
          <w:sz w:val="18"/>
          <w:szCs w:val="18"/>
          <w:lang w:val="bg-BG"/>
        </w:rPr>
        <w:t>и</w:t>
      </w:r>
      <w:r w:rsidRPr="003D6507">
        <w:rPr>
          <w:rFonts w:cs="Arial"/>
          <w:sz w:val="18"/>
          <w:szCs w:val="18"/>
          <w:lang w:val="bg-BG"/>
        </w:rPr>
        <w:t xml:space="preserve"> Директива 2000/60/ЕО.</w:t>
      </w:r>
    </w:p>
  </w:footnote>
  <w:footnote w:id="8">
    <w:p w14:paraId="42939188" w14:textId="77777777" w:rsidR="005E6C24" w:rsidRPr="0051416F" w:rsidRDefault="005E6C24" w:rsidP="00994886">
      <w:pPr>
        <w:pStyle w:val="FootnoteText"/>
        <w:jc w:val="both"/>
        <w:rPr>
          <w:lang w:val="bg-BG"/>
        </w:rPr>
      </w:pPr>
      <w:r>
        <w:rPr>
          <w:rStyle w:val="FootnoteReference"/>
        </w:rPr>
        <w:footnoteRef/>
      </w:r>
      <w:r w:rsidRPr="0051416F">
        <w:rPr>
          <w:lang w:val="bg-BG"/>
        </w:rPr>
        <w:t xml:space="preserve"> </w:t>
      </w:r>
      <w:r>
        <w:rPr>
          <w:sz w:val="18"/>
          <w:szCs w:val="18"/>
          <w:lang w:val="bg-BG"/>
        </w:rPr>
        <w:t xml:space="preserve">Директива 91/271/ЕИО </w:t>
      </w:r>
      <w:r w:rsidRPr="008C07E5">
        <w:rPr>
          <w:sz w:val="18"/>
          <w:szCs w:val="18"/>
          <w:lang w:val="bg-BG"/>
        </w:rPr>
        <w:t>относно пречистването на отпадъчните води от населени места</w:t>
      </w:r>
      <w:r>
        <w:rPr>
          <w:sz w:val="18"/>
          <w:szCs w:val="18"/>
          <w:lang w:val="bg-BG"/>
        </w:rPr>
        <w:t xml:space="preserve">; </w:t>
      </w:r>
      <w:r w:rsidRPr="0051416F">
        <w:rPr>
          <w:sz w:val="18"/>
          <w:szCs w:val="18"/>
          <w:lang w:val="bg-BG"/>
        </w:rPr>
        <w:t xml:space="preserve"> </w:t>
      </w:r>
      <w:r>
        <w:rPr>
          <w:sz w:val="18"/>
          <w:szCs w:val="18"/>
          <w:lang w:val="bg-BG"/>
        </w:rPr>
        <w:t>Директива 98/83/ЕО от</w:t>
      </w:r>
      <w:r w:rsidRPr="0051416F">
        <w:rPr>
          <w:sz w:val="18"/>
          <w:szCs w:val="18"/>
          <w:lang w:val="bg-BG"/>
        </w:rPr>
        <w:t xml:space="preserve"> 3 </w:t>
      </w:r>
      <w:r>
        <w:rPr>
          <w:sz w:val="18"/>
          <w:szCs w:val="18"/>
          <w:lang w:val="bg-BG"/>
        </w:rPr>
        <w:t>ноември 1998 г. относно качеството на водите, предназначени за консумация от човека; Директива 2013/51/ЕВРАТОМ, описваща изискванията за защита на общественото здраве от радиоактивни вещества във водите, предназначени за консумация от човека; Директива</w:t>
      </w:r>
      <w:r w:rsidRPr="0051416F">
        <w:rPr>
          <w:sz w:val="18"/>
          <w:szCs w:val="18"/>
          <w:lang w:val="bg-BG"/>
        </w:rPr>
        <w:t xml:space="preserve"> 2000/60/</w:t>
      </w:r>
      <w:r>
        <w:rPr>
          <w:sz w:val="18"/>
          <w:szCs w:val="18"/>
          <w:lang w:val="bg-BG"/>
        </w:rPr>
        <w:t>ЕО</w:t>
      </w:r>
      <w:r w:rsidRPr="0051416F">
        <w:rPr>
          <w:sz w:val="18"/>
          <w:szCs w:val="18"/>
          <w:lang w:val="bg-BG"/>
        </w:rPr>
        <w:t xml:space="preserve"> </w:t>
      </w:r>
      <w:r>
        <w:rPr>
          <w:sz w:val="18"/>
          <w:szCs w:val="18"/>
          <w:lang w:val="bg-BG"/>
        </w:rPr>
        <w:t>за установяване на рамката за действия на Общността в областта на политиката за водите.</w:t>
      </w:r>
    </w:p>
  </w:footnote>
  <w:footnote w:id="9">
    <w:p w14:paraId="3242EED7" w14:textId="77777777" w:rsidR="005E6C24" w:rsidRPr="00165579" w:rsidRDefault="005E6C24" w:rsidP="00994886">
      <w:pPr>
        <w:pStyle w:val="FootnoteText"/>
        <w:jc w:val="both"/>
        <w:rPr>
          <w:sz w:val="18"/>
          <w:szCs w:val="18"/>
          <w:lang w:val="bg-BG"/>
        </w:rPr>
      </w:pPr>
      <w:r w:rsidRPr="00F32DAA">
        <w:rPr>
          <w:rStyle w:val="FootnoteReference"/>
          <w:sz w:val="18"/>
          <w:szCs w:val="18"/>
        </w:rPr>
        <w:footnoteRef/>
      </w:r>
      <w:r w:rsidRPr="00165579">
        <w:rPr>
          <w:sz w:val="18"/>
          <w:szCs w:val="18"/>
          <w:lang w:val="bg-BG"/>
        </w:rPr>
        <w:t xml:space="preserve"> </w:t>
      </w:r>
      <w:r>
        <w:rPr>
          <w:sz w:val="18"/>
          <w:szCs w:val="18"/>
          <w:lang w:val="bg-BG"/>
        </w:rPr>
        <w:t>Има втора Специфична цел по ПО 1 към ОПОС: Специфична цел № 2</w:t>
      </w:r>
      <w:r w:rsidRPr="00165579">
        <w:rPr>
          <w:sz w:val="18"/>
          <w:szCs w:val="18"/>
          <w:lang w:val="bg-BG"/>
        </w:rPr>
        <w:t xml:space="preserve"> </w:t>
      </w:r>
      <w:r>
        <w:rPr>
          <w:sz w:val="18"/>
          <w:szCs w:val="18"/>
          <w:lang w:val="bg-BG"/>
        </w:rPr>
        <w:t>„</w:t>
      </w:r>
      <w:r w:rsidRPr="00165579">
        <w:rPr>
          <w:sz w:val="18"/>
          <w:szCs w:val="18"/>
          <w:lang w:val="bg-BG"/>
        </w:rPr>
        <w:t>Подобряване оценката на състоянието на водите</w:t>
      </w:r>
      <w:r>
        <w:rPr>
          <w:sz w:val="18"/>
          <w:szCs w:val="18"/>
          <w:lang w:val="bg-BG"/>
        </w:rPr>
        <w:t>“. Тъй като тя</w:t>
      </w:r>
      <w:r w:rsidRPr="00165579">
        <w:rPr>
          <w:sz w:val="18"/>
          <w:szCs w:val="18"/>
          <w:lang w:val="bg-BG"/>
        </w:rPr>
        <w:t xml:space="preserve"> </w:t>
      </w:r>
      <w:r>
        <w:rPr>
          <w:sz w:val="18"/>
          <w:szCs w:val="18"/>
          <w:lang w:val="bg-BG"/>
        </w:rPr>
        <w:t>не може да бъде адресирана посредством използването на ФИ, не е цитирана в таблицата по-горе.</w:t>
      </w:r>
    </w:p>
  </w:footnote>
  <w:footnote w:id="10">
    <w:p w14:paraId="4CD17F2D" w14:textId="77777777" w:rsidR="005E6C24" w:rsidRPr="00BC7695" w:rsidRDefault="005E6C24">
      <w:pPr>
        <w:pStyle w:val="FootnoteText"/>
        <w:rPr>
          <w:sz w:val="18"/>
          <w:szCs w:val="18"/>
          <w:lang w:val="bg-BG"/>
        </w:rPr>
      </w:pPr>
      <w:r>
        <w:rPr>
          <w:rStyle w:val="FootnoteReference"/>
        </w:rPr>
        <w:footnoteRef/>
      </w:r>
      <w:r w:rsidRPr="00785B0F">
        <w:rPr>
          <w:lang w:val="bg-BG"/>
        </w:rPr>
        <w:t xml:space="preserve"> </w:t>
      </w:r>
      <w:r w:rsidRPr="00BC7695">
        <w:rPr>
          <w:sz w:val="18"/>
          <w:szCs w:val="18"/>
          <w:lang w:val="bg-BG"/>
        </w:rPr>
        <w:t xml:space="preserve">Насоките на ЕК относно комбиниране на подкрепа от финансови инструменти с други форми на подкрепа </w:t>
      </w:r>
      <w:r>
        <w:rPr>
          <w:sz w:val="18"/>
          <w:szCs w:val="18"/>
          <w:lang w:val="bg-BG"/>
        </w:rPr>
        <w:t>(</w:t>
      </w:r>
      <w:r w:rsidRPr="00BC7695">
        <w:rPr>
          <w:sz w:val="18"/>
          <w:szCs w:val="18"/>
          <w:lang w:val="bg-BG"/>
        </w:rPr>
        <w:t>Guidance for Member States on CPR_37, par._7_8_9 Combination of support from a financial instrument with other forms of support, EGESIF_15_0012-02/10/08/2015</w:t>
      </w:r>
      <w:r>
        <w:rPr>
          <w:sz w:val="18"/>
          <w:szCs w:val="18"/>
          <w:lang w:val="bg-BG"/>
        </w:rPr>
        <w:t>)</w:t>
      </w:r>
    </w:p>
  </w:footnote>
  <w:footnote w:id="11">
    <w:p w14:paraId="1C08CFB8" w14:textId="77777777" w:rsidR="005E6C24" w:rsidRPr="006B43FC" w:rsidRDefault="005E6C24" w:rsidP="004D096B">
      <w:pPr>
        <w:pStyle w:val="FootnoteText"/>
        <w:rPr>
          <w:sz w:val="18"/>
          <w:szCs w:val="18"/>
          <w:lang w:val="bg-BG"/>
        </w:rPr>
      </w:pPr>
      <w:r w:rsidRPr="003B73AA">
        <w:rPr>
          <w:rStyle w:val="FootnoteReference"/>
          <w:sz w:val="18"/>
          <w:szCs w:val="18"/>
        </w:rPr>
        <w:footnoteRef/>
      </w:r>
      <w:r w:rsidRPr="0051416F">
        <w:rPr>
          <w:sz w:val="18"/>
          <w:szCs w:val="18"/>
          <w:lang w:val="bg-BG"/>
        </w:rPr>
        <w:t xml:space="preserve"> </w:t>
      </w:r>
      <w:r w:rsidRPr="004C35B5">
        <w:rPr>
          <w:sz w:val="18"/>
          <w:szCs w:val="18"/>
          <w:lang w:val="bg-BG"/>
        </w:rPr>
        <w:t>Обн. ДВ</w:t>
      </w:r>
      <w:r w:rsidRPr="0051416F">
        <w:rPr>
          <w:sz w:val="18"/>
          <w:szCs w:val="18"/>
          <w:lang w:val="bg-BG"/>
        </w:rPr>
        <w:t xml:space="preserve"> </w:t>
      </w:r>
      <w:r>
        <w:rPr>
          <w:sz w:val="18"/>
          <w:szCs w:val="18"/>
          <w:lang w:val="bg-BG"/>
        </w:rPr>
        <w:t>67</w:t>
      </w:r>
      <w:r w:rsidRPr="0051416F">
        <w:rPr>
          <w:sz w:val="18"/>
          <w:szCs w:val="18"/>
          <w:lang w:val="bg-BG"/>
        </w:rPr>
        <w:t>, 27.07.1999</w:t>
      </w:r>
      <w:r>
        <w:rPr>
          <w:sz w:val="18"/>
          <w:szCs w:val="18"/>
          <w:lang w:val="bg-BG"/>
        </w:rPr>
        <w:t xml:space="preserve"> г.</w:t>
      </w:r>
    </w:p>
  </w:footnote>
  <w:footnote w:id="12">
    <w:p w14:paraId="19158EAD" w14:textId="77777777" w:rsidR="005E6C24" w:rsidRPr="006B43FC" w:rsidRDefault="005E6C24" w:rsidP="004D096B">
      <w:pPr>
        <w:pStyle w:val="FootnoteText"/>
        <w:rPr>
          <w:sz w:val="18"/>
          <w:szCs w:val="18"/>
          <w:lang w:val="bg-BG"/>
        </w:rPr>
      </w:pPr>
      <w:r w:rsidRPr="003B73AA">
        <w:rPr>
          <w:rStyle w:val="FootnoteReference"/>
          <w:sz w:val="18"/>
          <w:szCs w:val="18"/>
        </w:rPr>
        <w:footnoteRef/>
      </w:r>
      <w:r w:rsidRPr="0051416F">
        <w:rPr>
          <w:sz w:val="18"/>
          <w:szCs w:val="18"/>
          <w:lang w:val="bg-BG"/>
        </w:rPr>
        <w:t xml:space="preserve"> </w:t>
      </w:r>
      <w:r>
        <w:rPr>
          <w:sz w:val="18"/>
          <w:szCs w:val="18"/>
          <w:lang w:val="bg-BG"/>
        </w:rPr>
        <w:t xml:space="preserve">Обн. ДВ </w:t>
      </w:r>
      <w:r w:rsidRPr="0051416F">
        <w:rPr>
          <w:sz w:val="18"/>
          <w:szCs w:val="18"/>
          <w:lang w:val="bg-BG"/>
        </w:rPr>
        <w:t>18</w:t>
      </w:r>
      <w:r>
        <w:rPr>
          <w:sz w:val="18"/>
          <w:szCs w:val="18"/>
          <w:lang w:val="bg-BG"/>
        </w:rPr>
        <w:t>,</w:t>
      </w:r>
      <w:r w:rsidRPr="0051416F">
        <w:rPr>
          <w:sz w:val="18"/>
          <w:szCs w:val="18"/>
          <w:lang w:val="bg-BG"/>
        </w:rPr>
        <w:t xml:space="preserve"> 25.02.2005</w:t>
      </w:r>
      <w:r>
        <w:rPr>
          <w:sz w:val="18"/>
          <w:szCs w:val="18"/>
          <w:lang w:val="bg-BG"/>
        </w:rPr>
        <w:t xml:space="preserve"> г.</w:t>
      </w:r>
    </w:p>
  </w:footnote>
  <w:footnote w:id="13">
    <w:p w14:paraId="6B0F4B9A" w14:textId="77777777" w:rsidR="005E6C24" w:rsidRPr="000153BD" w:rsidRDefault="005E6C24" w:rsidP="006C6F18">
      <w:pPr>
        <w:spacing w:after="0" w:line="240" w:lineRule="auto"/>
        <w:jc w:val="both"/>
        <w:rPr>
          <w:lang w:val="bg-BG"/>
        </w:rPr>
      </w:pPr>
      <w:r>
        <w:rPr>
          <w:rStyle w:val="FootnoteReference"/>
        </w:rPr>
        <w:footnoteRef/>
      </w:r>
      <w:r>
        <w:t xml:space="preserve"> </w:t>
      </w:r>
      <w:r w:rsidRPr="000153BD">
        <w:rPr>
          <w:rFonts w:ascii="Arial" w:hAnsi="Arial" w:cs="Arial"/>
          <w:sz w:val="18"/>
          <w:szCs w:val="18"/>
          <w:lang w:val="bg-BG"/>
        </w:rPr>
        <w:t>Commission staff Working document SWD(2017) 156 /2.5.2017/ Guidance on State aid in European Structural and Investment (ESI) Funds Financial instruments in the 2014-2020 programming period</w:t>
      </w:r>
      <w:r>
        <w:rPr>
          <w:rFonts w:ascii="Arial" w:hAnsi="Arial" w:cs="Arial"/>
          <w:sz w:val="20"/>
          <w:szCs w:val="20"/>
          <w:lang w:val="bg-BG"/>
        </w:rPr>
        <w:t xml:space="preserve">. </w:t>
      </w:r>
    </w:p>
  </w:footnote>
  <w:footnote w:id="14">
    <w:p w14:paraId="44D43B18" w14:textId="77777777" w:rsidR="005E6C24" w:rsidRPr="006C6F18" w:rsidRDefault="005E6C24" w:rsidP="006C6F18">
      <w:pPr>
        <w:spacing w:after="0" w:line="240" w:lineRule="auto"/>
        <w:jc w:val="both"/>
        <w:rPr>
          <w:rFonts w:ascii="Arial" w:hAnsi="Arial" w:cs="Arial"/>
          <w:sz w:val="18"/>
          <w:szCs w:val="18"/>
          <w:lang w:val="bg-BG"/>
        </w:rPr>
      </w:pPr>
      <w:r>
        <w:rPr>
          <w:rStyle w:val="FootnoteReference"/>
        </w:rPr>
        <w:footnoteRef/>
      </w:r>
      <w:r>
        <w:t xml:space="preserve"> </w:t>
      </w:r>
      <w:r w:rsidRPr="006C6F18">
        <w:rPr>
          <w:rFonts w:ascii="Arial" w:hAnsi="Arial" w:cs="Arial"/>
          <w:sz w:val="18"/>
          <w:szCs w:val="18"/>
          <w:lang w:val="bg-BG"/>
        </w:rPr>
        <w:t>Commission Notice on the notion of State aid as referred to in Article 107(1) TFEU (the ‘NOA’), OJ C 262 of 19.7. 2016</w:t>
      </w:r>
    </w:p>
    <w:p w14:paraId="1CEBF424" w14:textId="77777777" w:rsidR="005E6C24" w:rsidRPr="006C6F18" w:rsidRDefault="005E6C24" w:rsidP="006C6F18">
      <w:pPr>
        <w:pStyle w:val="FootnoteText"/>
        <w:rPr>
          <w:lang w:val="bg-BG"/>
        </w:rPr>
      </w:pPr>
    </w:p>
  </w:footnote>
  <w:footnote w:id="15">
    <w:p w14:paraId="2301DC8D" w14:textId="77777777" w:rsidR="005E6C24" w:rsidRPr="008B5547" w:rsidRDefault="005E6C24" w:rsidP="00D23894">
      <w:pPr>
        <w:pStyle w:val="FootnoteText"/>
        <w:rPr>
          <w:lang w:val="bg-BG"/>
        </w:rPr>
      </w:pPr>
      <w:r>
        <w:rPr>
          <w:rStyle w:val="FootnoteReference"/>
        </w:rPr>
        <w:footnoteRef/>
      </w:r>
      <w:r>
        <w:t xml:space="preserve"> Guidance for Member States on Article 46 - reporting on financial instruments and on Article 37(2)(c) - leverage effect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323985"/>
      <w:docPartObj>
        <w:docPartGallery w:val="Page Numbers (Top of Page)"/>
        <w:docPartUnique/>
      </w:docPartObj>
    </w:sdtPr>
    <w:sdtEndPr>
      <w:rPr>
        <w:noProof/>
      </w:rPr>
    </w:sdtEndPr>
    <w:sdtContent>
      <w:p w14:paraId="1976CE0A" w14:textId="18704018" w:rsidR="005E6C24" w:rsidRDefault="005E6C24">
        <w:pPr>
          <w:pStyle w:val="Header"/>
          <w:jc w:val="right"/>
        </w:pPr>
        <w:r>
          <w:fldChar w:fldCharType="begin"/>
        </w:r>
        <w:r>
          <w:instrText xml:space="preserve"> PAGE   \* MERGEFORMAT </w:instrText>
        </w:r>
        <w:r>
          <w:fldChar w:fldCharType="separate"/>
        </w:r>
        <w:r w:rsidR="00F67A59">
          <w:rPr>
            <w:noProof/>
          </w:rPr>
          <w:t>18</w:t>
        </w:r>
        <w:r>
          <w:rPr>
            <w:noProof/>
          </w:rPr>
          <w:fldChar w:fldCharType="end"/>
        </w:r>
      </w:p>
    </w:sdtContent>
  </w:sdt>
  <w:p w14:paraId="7DCB0DAD" w14:textId="77777777" w:rsidR="005E6C24" w:rsidRDefault="005E6C24" w:rsidP="008C1E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E83"/>
    <w:multiLevelType w:val="hybridMultilevel"/>
    <w:tmpl w:val="B93A6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F14A88"/>
    <w:multiLevelType w:val="hybridMultilevel"/>
    <w:tmpl w:val="0958E732"/>
    <w:lvl w:ilvl="0" w:tplc="0402000F">
      <w:start w:val="3"/>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E50509"/>
    <w:multiLevelType w:val="hybridMultilevel"/>
    <w:tmpl w:val="3E0A56CA"/>
    <w:lvl w:ilvl="0" w:tplc="F0C2C51C">
      <w:start w:val="1"/>
      <w:numFmt w:val="decimal"/>
      <w:lvlText w:val="%1)"/>
      <w:lvlJc w:val="left"/>
      <w:pPr>
        <w:ind w:left="649" w:hanging="360"/>
      </w:pPr>
      <w:rPr>
        <w:rFonts w:ascii="Arial" w:eastAsia="Times New Roman" w:hAnsi="Arial" w:cs="Arial"/>
      </w:rPr>
    </w:lvl>
    <w:lvl w:ilvl="1" w:tplc="04020019" w:tentative="1">
      <w:start w:val="1"/>
      <w:numFmt w:val="lowerLetter"/>
      <w:lvlText w:val="%2."/>
      <w:lvlJc w:val="left"/>
      <w:pPr>
        <w:ind w:left="1369" w:hanging="360"/>
      </w:pPr>
    </w:lvl>
    <w:lvl w:ilvl="2" w:tplc="0402001B" w:tentative="1">
      <w:start w:val="1"/>
      <w:numFmt w:val="lowerRoman"/>
      <w:lvlText w:val="%3."/>
      <w:lvlJc w:val="right"/>
      <w:pPr>
        <w:ind w:left="2089" w:hanging="180"/>
      </w:pPr>
    </w:lvl>
    <w:lvl w:ilvl="3" w:tplc="0402000F" w:tentative="1">
      <w:start w:val="1"/>
      <w:numFmt w:val="decimal"/>
      <w:lvlText w:val="%4."/>
      <w:lvlJc w:val="left"/>
      <w:pPr>
        <w:ind w:left="2809" w:hanging="360"/>
      </w:pPr>
    </w:lvl>
    <w:lvl w:ilvl="4" w:tplc="04020019" w:tentative="1">
      <w:start w:val="1"/>
      <w:numFmt w:val="lowerLetter"/>
      <w:lvlText w:val="%5."/>
      <w:lvlJc w:val="left"/>
      <w:pPr>
        <w:ind w:left="3529" w:hanging="360"/>
      </w:pPr>
    </w:lvl>
    <w:lvl w:ilvl="5" w:tplc="0402001B" w:tentative="1">
      <w:start w:val="1"/>
      <w:numFmt w:val="lowerRoman"/>
      <w:lvlText w:val="%6."/>
      <w:lvlJc w:val="right"/>
      <w:pPr>
        <w:ind w:left="4249" w:hanging="180"/>
      </w:pPr>
    </w:lvl>
    <w:lvl w:ilvl="6" w:tplc="0402000F" w:tentative="1">
      <w:start w:val="1"/>
      <w:numFmt w:val="decimal"/>
      <w:lvlText w:val="%7."/>
      <w:lvlJc w:val="left"/>
      <w:pPr>
        <w:ind w:left="4969" w:hanging="360"/>
      </w:pPr>
    </w:lvl>
    <w:lvl w:ilvl="7" w:tplc="04020019" w:tentative="1">
      <w:start w:val="1"/>
      <w:numFmt w:val="lowerLetter"/>
      <w:lvlText w:val="%8."/>
      <w:lvlJc w:val="left"/>
      <w:pPr>
        <w:ind w:left="5689" w:hanging="360"/>
      </w:pPr>
    </w:lvl>
    <w:lvl w:ilvl="8" w:tplc="0402001B" w:tentative="1">
      <w:start w:val="1"/>
      <w:numFmt w:val="lowerRoman"/>
      <w:lvlText w:val="%9."/>
      <w:lvlJc w:val="right"/>
      <w:pPr>
        <w:ind w:left="6409" w:hanging="180"/>
      </w:pPr>
    </w:lvl>
  </w:abstractNum>
  <w:abstractNum w:abstractNumId="3" w15:restartNumberingAfterBreak="0">
    <w:nsid w:val="0A1D2111"/>
    <w:multiLevelType w:val="hybridMultilevel"/>
    <w:tmpl w:val="944474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EA5892"/>
    <w:multiLevelType w:val="hybridMultilevel"/>
    <w:tmpl w:val="32CE5478"/>
    <w:lvl w:ilvl="0" w:tplc="05F4CE88">
      <w:start w:val="1"/>
      <w:numFmt w:val="bullet"/>
      <w:lvlText w:val="•"/>
      <w:lvlJc w:val="left"/>
      <w:pPr>
        <w:tabs>
          <w:tab w:val="num" w:pos="720"/>
        </w:tabs>
        <w:ind w:left="720" w:hanging="360"/>
      </w:pPr>
      <w:rPr>
        <w:rFonts w:ascii="Times New Roman" w:hAnsi="Times New Roman" w:hint="default"/>
      </w:rPr>
    </w:lvl>
    <w:lvl w:ilvl="1" w:tplc="E8AA3FC2" w:tentative="1">
      <w:start w:val="1"/>
      <w:numFmt w:val="bullet"/>
      <w:lvlText w:val="•"/>
      <w:lvlJc w:val="left"/>
      <w:pPr>
        <w:tabs>
          <w:tab w:val="num" w:pos="1440"/>
        </w:tabs>
        <w:ind w:left="1440" w:hanging="360"/>
      </w:pPr>
      <w:rPr>
        <w:rFonts w:ascii="Times New Roman" w:hAnsi="Times New Roman" w:hint="default"/>
      </w:rPr>
    </w:lvl>
    <w:lvl w:ilvl="2" w:tplc="5B2649F8" w:tentative="1">
      <w:start w:val="1"/>
      <w:numFmt w:val="bullet"/>
      <w:lvlText w:val="•"/>
      <w:lvlJc w:val="left"/>
      <w:pPr>
        <w:tabs>
          <w:tab w:val="num" w:pos="2160"/>
        </w:tabs>
        <w:ind w:left="2160" w:hanging="360"/>
      </w:pPr>
      <w:rPr>
        <w:rFonts w:ascii="Times New Roman" w:hAnsi="Times New Roman" w:hint="default"/>
      </w:rPr>
    </w:lvl>
    <w:lvl w:ilvl="3" w:tplc="3E1877CA" w:tentative="1">
      <w:start w:val="1"/>
      <w:numFmt w:val="bullet"/>
      <w:lvlText w:val="•"/>
      <w:lvlJc w:val="left"/>
      <w:pPr>
        <w:tabs>
          <w:tab w:val="num" w:pos="2880"/>
        </w:tabs>
        <w:ind w:left="2880" w:hanging="360"/>
      </w:pPr>
      <w:rPr>
        <w:rFonts w:ascii="Times New Roman" w:hAnsi="Times New Roman" w:hint="default"/>
      </w:rPr>
    </w:lvl>
    <w:lvl w:ilvl="4" w:tplc="DAF4746E" w:tentative="1">
      <w:start w:val="1"/>
      <w:numFmt w:val="bullet"/>
      <w:lvlText w:val="•"/>
      <w:lvlJc w:val="left"/>
      <w:pPr>
        <w:tabs>
          <w:tab w:val="num" w:pos="3600"/>
        </w:tabs>
        <w:ind w:left="3600" w:hanging="360"/>
      </w:pPr>
      <w:rPr>
        <w:rFonts w:ascii="Times New Roman" w:hAnsi="Times New Roman" w:hint="default"/>
      </w:rPr>
    </w:lvl>
    <w:lvl w:ilvl="5" w:tplc="40427820" w:tentative="1">
      <w:start w:val="1"/>
      <w:numFmt w:val="bullet"/>
      <w:lvlText w:val="•"/>
      <w:lvlJc w:val="left"/>
      <w:pPr>
        <w:tabs>
          <w:tab w:val="num" w:pos="4320"/>
        </w:tabs>
        <w:ind w:left="4320" w:hanging="360"/>
      </w:pPr>
      <w:rPr>
        <w:rFonts w:ascii="Times New Roman" w:hAnsi="Times New Roman" w:hint="default"/>
      </w:rPr>
    </w:lvl>
    <w:lvl w:ilvl="6" w:tplc="BEBE1344" w:tentative="1">
      <w:start w:val="1"/>
      <w:numFmt w:val="bullet"/>
      <w:lvlText w:val="•"/>
      <w:lvlJc w:val="left"/>
      <w:pPr>
        <w:tabs>
          <w:tab w:val="num" w:pos="5040"/>
        </w:tabs>
        <w:ind w:left="5040" w:hanging="360"/>
      </w:pPr>
      <w:rPr>
        <w:rFonts w:ascii="Times New Roman" w:hAnsi="Times New Roman" w:hint="default"/>
      </w:rPr>
    </w:lvl>
    <w:lvl w:ilvl="7" w:tplc="7292C780" w:tentative="1">
      <w:start w:val="1"/>
      <w:numFmt w:val="bullet"/>
      <w:lvlText w:val="•"/>
      <w:lvlJc w:val="left"/>
      <w:pPr>
        <w:tabs>
          <w:tab w:val="num" w:pos="5760"/>
        </w:tabs>
        <w:ind w:left="5760" w:hanging="360"/>
      </w:pPr>
      <w:rPr>
        <w:rFonts w:ascii="Times New Roman" w:hAnsi="Times New Roman" w:hint="default"/>
      </w:rPr>
    </w:lvl>
    <w:lvl w:ilvl="8" w:tplc="FC0291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CE01AC"/>
    <w:multiLevelType w:val="hybridMultilevel"/>
    <w:tmpl w:val="A15239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F2809"/>
    <w:multiLevelType w:val="hybridMultilevel"/>
    <w:tmpl w:val="689813A0"/>
    <w:lvl w:ilvl="0" w:tplc="0D50232A">
      <w:start w:val="1"/>
      <w:numFmt w:val="lowerLetter"/>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0D4A0106"/>
    <w:multiLevelType w:val="hybridMultilevel"/>
    <w:tmpl w:val="D554AC50"/>
    <w:lvl w:ilvl="0" w:tplc="0402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8" w15:restartNumberingAfterBreak="0">
    <w:nsid w:val="0F783089"/>
    <w:multiLevelType w:val="hybridMultilevel"/>
    <w:tmpl w:val="A31E2154"/>
    <w:lvl w:ilvl="0" w:tplc="AC1C3D06">
      <w:start w:val="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013650D"/>
    <w:multiLevelType w:val="hybridMultilevel"/>
    <w:tmpl w:val="BFCA1DEE"/>
    <w:lvl w:ilvl="0" w:tplc="3D3A33B2">
      <w:start w:val="2"/>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63F47"/>
    <w:multiLevelType w:val="hybridMultilevel"/>
    <w:tmpl w:val="9466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CC7199"/>
    <w:multiLevelType w:val="hybridMultilevel"/>
    <w:tmpl w:val="BFCA1DEE"/>
    <w:lvl w:ilvl="0" w:tplc="3D3A33B2">
      <w:start w:val="2"/>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B6340"/>
    <w:multiLevelType w:val="hybridMultilevel"/>
    <w:tmpl w:val="B60C7872"/>
    <w:lvl w:ilvl="0" w:tplc="2292BA5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678DB"/>
    <w:multiLevelType w:val="hybridMultilevel"/>
    <w:tmpl w:val="68482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6462B5A"/>
    <w:multiLevelType w:val="hybridMultilevel"/>
    <w:tmpl w:val="B986CF22"/>
    <w:lvl w:ilvl="0" w:tplc="04020001">
      <w:start w:val="1"/>
      <w:numFmt w:val="bullet"/>
      <w:lvlText w:val=""/>
      <w:lvlJc w:val="left"/>
      <w:pPr>
        <w:ind w:left="1037" w:hanging="360"/>
      </w:pPr>
      <w:rPr>
        <w:rFonts w:ascii="Symbol" w:hAnsi="Symbol" w:hint="default"/>
      </w:rPr>
    </w:lvl>
    <w:lvl w:ilvl="1" w:tplc="04020003" w:tentative="1">
      <w:start w:val="1"/>
      <w:numFmt w:val="bullet"/>
      <w:lvlText w:val="o"/>
      <w:lvlJc w:val="left"/>
      <w:pPr>
        <w:ind w:left="1757" w:hanging="360"/>
      </w:pPr>
      <w:rPr>
        <w:rFonts w:ascii="Courier New" w:hAnsi="Courier New" w:cs="Courier New" w:hint="default"/>
      </w:rPr>
    </w:lvl>
    <w:lvl w:ilvl="2" w:tplc="04020005" w:tentative="1">
      <w:start w:val="1"/>
      <w:numFmt w:val="bullet"/>
      <w:lvlText w:val=""/>
      <w:lvlJc w:val="left"/>
      <w:pPr>
        <w:ind w:left="2477" w:hanging="360"/>
      </w:pPr>
      <w:rPr>
        <w:rFonts w:ascii="Wingdings" w:hAnsi="Wingdings" w:hint="default"/>
      </w:rPr>
    </w:lvl>
    <w:lvl w:ilvl="3" w:tplc="04020001" w:tentative="1">
      <w:start w:val="1"/>
      <w:numFmt w:val="bullet"/>
      <w:lvlText w:val=""/>
      <w:lvlJc w:val="left"/>
      <w:pPr>
        <w:ind w:left="3197" w:hanging="360"/>
      </w:pPr>
      <w:rPr>
        <w:rFonts w:ascii="Symbol" w:hAnsi="Symbol" w:hint="default"/>
      </w:rPr>
    </w:lvl>
    <w:lvl w:ilvl="4" w:tplc="04020003" w:tentative="1">
      <w:start w:val="1"/>
      <w:numFmt w:val="bullet"/>
      <w:lvlText w:val="o"/>
      <w:lvlJc w:val="left"/>
      <w:pPr>
        <w:ind w:left="3917" w:hanging="360"/>
      </w:pPr>
      <w:rPr>
        <w:rFonts w:ascii="Courier New" w:hAnsi="Courier New" w:cs="Courier New" w:hint="default"/>
      </w:rPr>
    </w:lvl>
    <w:lvl w:ilvl="5" w:tplc="04020005" w:tentative="1">
      <w:start w:val="1"/>
      <w:numFmt w:val="bullet"/>
      <w:lvlText w:val=""/>
      <w:lvlJc w:val="left"/>
      <w:pPr>
        <w:ind w:left="4637" w:hanging="360"/>
      </w:pPr>
      <w:rPr>
        <w:rFonts w:ascii="Wingdings" w:hAnsi="Wingdings" w:hint="default"/>
      </w:rPr>
    </w:lvl>
    <w:lvl w:ilvl="6" w:tplc="04020001" w:tentative="1">
      <w:start w:val="1"/>
      <w:numFmt w:val="bullet"/>
      <w:lvlText w:val=""/>
      <w:lvlJc w:val="left"/>
      <w:pPr>
        <w:ind w:left="5357" w:hanging="360"/>
      </w:pPr>
      <w:rPr>
        <w:rFonts w:ascii="Symbol" w:hAnsi="Symbol" w:hint="default"/>
      </w:rPr>
    </w:lvl>
    <w:lvl w:ilvl="7" w:tplc="04020003" w:tentative="1">
      <w:start w:val="1"/>
      <w:numFmt w:val="bullet"/>
      <w:lvlText w:val="o"/>
      <w:lvlJc w:val="left"/>
      <w:pPr>
        <w:ind w:left="6077" w:hanging="360"/>
      </w:pPr>
      <w:rPr>
        <w:rFonts w:ascii="Courier New" w:hAnsi="Courier New" w:cs="Courier New" w:hint="default"/>
      </w:rPr>
    </w:lvl>
    <w:lvl w:ilvl="8" w:tplc="04020005" w:tentative="1">
      <w:start w:val="1"/>
      <w:numFmt w:val="bullet"/>
      <w:lvlText w:val=""/>
      <w:lvlJc w:val="left"/>
      <w:pPr>
        <w:ind w:left="6797" w:hanging="360"/>
      </w:pPr>
      <w:rPr>
        <w:rFonts w:ascii="Wingdings" w:hAnsi="Wingdings" w:hint="default"/>
      </w:rPr>
    </w:lvl>
  </w:abstractNum>
  <w:abstractNum w:abstractNumId="15" w15:restartNumberingAfterBreak="0">
    <w:nsid w:val="16C70334"/>
    <w:multiLevelType w:val="hybridMultilevel"/>
    <w:tmpl w:val="352E97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6F273BB"/>
    <w:multiLevelType w:val="hybridMultilevel"/>
    <w:tmpl w:val="8A44D6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7763409"/>
    <w:multiLevelType w:val="hybridMultilevel"/>
    <w:tmpl w:val="EB28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482219"/>
    <w:multiLevelType w:val="hybridMultilevel"/>
    <w:tmpl w:val="BFDAC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C21F5A"/>
    <w:multiLevelType w:val="hybridMultilevel"/>
    <w:tmpl w:val="B93A6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3D01A36"/>
    <w:multiLevelType w:val="hybridMultilevel"/>
    <w:tmpl w:val="045EFC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4580B16"/>
    <w:multiLevelType w:val="hybridMultilevel"/>
    <w:tmpl w:val="1C7622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28A865C4"/>
    <w:multiLevelType w:val="hybridMultilevel"/>
    <w:tmpl w:val="3EEA27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9C10B3B"/>
    <w:multiLevelType w:val="hybridMultilevel"/>
    <w:tmpl w:val="DBB8C436"/>
    <w:lvl w:ilvl="0" w:tplc="0402000F">
      <w:start w:val="3"/>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29F60AC5"/>
    <w:multiLevelType w:val="hybridMultilevel"/>
    <w:tmpl w:val="30FC7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D1A7A37"/>
    <w:multiLevelType w:val="hybridMultilevel"/>
    <w:tmpl w:val="D752E9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2F0D49A7"/>
    <w:multiLevelType w:val="hybridMultilevel"/>
    <w:tmpl w:val="A60C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7D3644"/>
    <w:multiLevelType w:val="hybridMultilevel"/>
    <w:tmpl w:val="00505814"/>
    <w:lvl w:ilvl="0" w:tplc="86640C1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2B461A0"/>
    <w:multiLevelType w:val="hybridMultilevel"/>
    <w:tmpl w:val="069001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33143DF3"/>
    <w:multiLevelType w:val="hybridMultilevel"/>
    <w:tmpl w:val="C7AEED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333A6465"/>
    <w:multiLevelType w:val="hybridMultilevel"/>
    <w:tmpl w:val="3342C8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37837B4"/>
    <w:multiLevelType w:val="hybridMultilevel"/>
    <w:tmpl w:val="84541D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3783FB5"/>
    <w:multiLevelType w:val="hybridMultilevel"/>
    <w:tmpl w:val="97F04A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37545F42"/>
    <w:multiLevelType w:val="hybridMultilevel"/>
    <w:tmpl w:val="B93A6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89B62D3"/>
    <w:multiLevelType w:val="hybridMultilevel"/>
    <w:tmpl w:val="14845BCA"/>
    <w:lvl w:ilvl="0" w:tplc="C69274F4">
      <w:start w:val="1"/>
      <w:numFmt w:val="bullet"/>
      <w:lvlText w:val="•"/>
      <w:lvlJc w:val="left"/>
      <w:pPr>
        <w:tabs>
          <w:tab w:val="num" w:pos="720"/>
        </w:tabs>
        <w:ind w:left="720" w:hanging="360"/>
      </w:pPr>
      <w:rPr>
        <w:rFonts w:ascii="Times New Roman" w:hAnsi="Times New Roman" w:hint="default"/>
      </w:rPr>
    </w:lvl>
    <w:lvl w:ilvl="1" w:tplc="482631CA" w:tentative="1">
      <w:start w:val="1"/>
      <w:numFmt w:val="bullet"/>
      <w:lvlText w:val="•"/>
      <w:lvlJc w:val="left"/>
      <w:pPr>
        <w:tabs>
          <w:tab w:val="num" w:pos="1440"/>
        </w:tabs>
        <w:ind w:left="1440" w:hanging="360"/>
      </w:pPr>
      <w:rPr>
        <w:rFonts w:ascii="Times New Roman" w:hAnsi="Times New Roman" w:hint="default"/>
      </w:rPr>
    </w:lvl>
    <w:lvl w:ilvl="2" w:tplc="63620260" w:tentative="1">
      <w:start w:val="1"/>
      <w:numFmt w:val="bullet"/>
      <w:lvlText w:val="•"/>
      <w:lvlJc w:val="left"/>
      <w:pPr>
        <w:tabs>
          <w:tab w:val="num" w:pos="2160"/>
        </w:tabs>
        <w:ind w:left="2160" w:hanging="360"/>
      </w:pPr>
      <w:rPr>
        <w:rFonts w:ascii="Times New Roman" w:hAnsi="Times New Roman" w:hint="default"/>
      </w:rPr>
    </w:lvl>
    <w:lvl w:ilvl="3" w:tplc="72B29B62" w:tentative="1">
      <w:start w:val="1"/>
      <w:numFmt w:val="bullet"/>
      <w:lvlText w:val="•"/>
      <w:lvlJc w:val="left"/>
      <w:pPr>
        <w:tabs>
          <w:tab w:val="num" w:pos="2880"/>
        </w:tabs>
        <w:ind w:left="2880" w:hanging="360"/>
      </w:pPr>
      <w:rPr>
        <w:rFonts w:ascii="Times New Roman" w:hAnsi="Times New Roman" w:hint="default"/>
      </w:rPr>
    </w:lvl>
    <w:lvl w:ilvl="4" w:tplc="98AEE850" w:tentative="1">
      <w:start w:val="1"/>
      <w:numFmt w:val="bullet"/>
      <w:lvlText w:val="•"/>
      <w:lvlJc w:val="left"/>
      <w:pPr>
        <w:tabs>
          <w:tab w:val="num" w:pos="3600"/>
        </w:tabs>
        <w:ind w:left="3600" w:hanging="360"/>
      </w:pPr>
      <w:rPr>
        <w:rFonts w:ascii="Times New Roman" w:hAnsi="Times New Roman" w:hint="default"/>
      </w:rPr>
    </w:lvl>
    <w:lvl w:ilvl="5" w:tplc="E3641C30" w:tentative="1">
      <w:start w:val="1"/>
      <w:numFmt w:val="bullet"/>
      <w:lvlText w:val="•"/>
      <w:lvlJc w:val="left"/>
      <w:pPr>
        <w:tabs>
          <w:tab w:val="num" w:pos="4320"/>
        </w:tabs>
        <w:ind w:left="4320" w:hanging="360"/>
      </w:pPr>
      <w:rPr>
        <w:rFonts w:ascii="Times New Roman" w:hAnsi="Times New Roman" w:hint="default"/>
      </w:rPr>
    </w:lvl>
    <w:lvl w:ilvl="6" w:tplc="D8CA5FA8" w:tentative="1">
      <w:start w:val="1"/>
      <w:numFmt w:val="bullet"/>
      <w:lvlText w:val="•"/>
      <w:lvlJc w:val="left"/>
      <w:pPr>
        <w:tabs>
          <w:tab w:val="num" w:pos="5040"/>
        </w:tabs>
        <w:ind w:left="5040" w:hanging="360"/>
      </w:pPr>
      <w:rPr>
        <w:rFonts w:ascii="Times New Roman" w:hAnsi="Times New Roman" w:hint="default"/>
      </w:rPr>
    </w:lvl>
    <w:lvl w:ilvl="7" w:tplc="2F8C66EC" w:tentative="1">
      <w:start w:val="1"/>
      <w:numFmt w:val="bullet"/>
      <w:lvlText w:val="•"/>
      <w:lvlJc w:val="left"/>
      <w:pPr>
        <w:tabs>
          <w:tab w:val="num" w:pos="5760"/>
        </w:tabs>
        <w:ind w:left="5760" w:hanging="360"/>
      </w:pPr>
      <w:rPr>
        <w:rFonts w:ascii="Times New Roman" w:hAnsi="Times New Roman" w:hint="default"/>
      </w:rPr>
    </w:lvl>
    <w:lvl w:ilvl="8" w:tplc="F9EC9CA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98C648B"/>
    <w:multiLevelType w:val="hybridMultilevel"/>
    <w:tmpl w:val="C500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AB1DCB"/>
    <w:multiLevelType w:val="hybridMultilevel"/>
    <w:tmpl w:val="33D4A9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A8F3C34"/>
    <w:multiLevelType w:val="hybridMultilevel"/>
    <w:tmpl w:val="37EE25EC"/>
    <w:lvl w:ilvl="0" w:tplc="44721CB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3ACD7D13"/>
    <w:multiLevelType w:val="hybridMultilevel"/>
    <w:tmpl w:val="E962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3B228E"/>
    <w:multiLevelType w:val="hybridMultilevel"/>
    <w:tmpl w:val="A3DE1C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3E7726FC"/>
    <w:multiLevelType w:val="hybridMultilevel"/>
    <w:tmpl w:val="A6B8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812301"/>
    <w:multiLevelType w:val="hybridMultilevel"/>
    <w:tmpl w:val="335003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3F1008F3"/>
    <w:multiLevelType w:val="hybridMultilevel"/>
    <w:tmpl w:val="EAAEAD5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3F974DFD"/>
    <w:multiLevelType w:val="hybridMultilevel"/>
    <w:tmpl w:val="5DDE72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054225E"/>
    <w:multiLevelType w:val="hybridMultilevel"/>
    <w:tmpl w:val="D032A410"/>
    <w:lvl w:ilvl="0" w:tplc="8B6EA4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363016C"/>
    <w:multiLevelType w:val="hybridMultilevel"/>
    <w:tmpl w:val="84FADD4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6" w15:restartNumberingAfterBreak="0">
    <w:nsid w:val="445128F5"/>
    <w:multiLevelType w:val="hybridMultilevel"/>
    <w:tmpl w:val="E196EAD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7" w15:restartNumberingAfterBreak="0">
    <w:nsid w:val="48814EB4"/>
    <w:multiLevelType w:val="multilevel"/>
    <w:tmpl w:val="CE1488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AAA2FCF"/>
    <w:multiLevelType w:val="hybridMultilevel"/>
    <w:tmpl w:val="ABF67B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4ADE6D18"/>
    <w:multiLevelType w:val="hybridMultilevel"/>
    <w:tmpl w:val="62EECEC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4C7D1C7C"/>
    <w:multiLevelType w:val="hybridMultilevel"/>
    <w:tmpl w:val="B47C9EA6"/>
    <w:lvl w:ilvl="0" w:tplc="15BE982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4D4464FE"/>
    <w:multiLevelType w:val="hybridMultilevel"/>
    <w:tmpl w:val="F4FE6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1CF40B9"/>
    <w:multiLevelType w:val="hybridMultilevel"/>
    <w:tmpl w:val="90D8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124E49"/>
    <w:multiLevelType w:val="hybridMultilevel"/>
    <w:tmpl w:val="4B126292"/>
    <w:lvl w:ilvl="0" w:tplc="DEEA3666">
      <w:start w:val="5"/>
      <w:numFmt w:val="bullet"/>
      <w:lvlText w:val="-"/>
      <w:lvlJc w:val="left"/>
      <w:pPr>
        <w:ind w:left="3620" w:hanging="360"/>
      </w:pPr>
      <w:rPr>
        <w:rFonts w:ascii="Arial Narrow" w:eastAsiaTheme="minorHAnsi" w:hAnsi="Arial Narrow"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539B333C"/>
    <w:multiLevelType w:val="hybridMultilevel"/>
    <w:tmpl w:val="3E1C0728"/>
    <w:lvl w:ilvl="0" w:tplc="3CF00C1E">
      <w:start w:val="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53C15F9D"/>
    <w:multiLevelType w:val="hybridMultilevel"/>
    <w:tmpl w:val="47726338"/>
    <w:lvl w:ilvl="0" w:tplc="DDC6AD58">
      <w:start w:val="1"/>
      <w:numFmt w:val="decimal"/>
      <w:lvlText w:val="%1."/>
      <w:lvlJc w:val="left"/>
      <w:pPr>
        <w:ind w:left="720" w:hanging="360"/>
      </w:pPr>
      <w:rPr>
        <w:rFonts w:ascii="Arial" w:eastAsia="Times New Roman" w:hAnsi="Arial" w:cs="Arial"/>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552F3132"/>
    <w:multiLevelType w:val="hybridMultilevel"/>
    <w:tmpl w:val="2AAC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3C1B5C"/>
    <w:multiLevelType w:val="hybridMultilevel"/>
    <w:tmpl w:val="91A287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57360BD3"/>
    <w:multiLevelType w:val="hybridMultilevel"/>
    <w:tmpl w:val="14E85A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587E1A7B"/>
    <w:multiLevelType w:val="hybridMultilevel"/>
    <w:tmpl w:val="E2DA6100"/>
    <w:lvl w:ilvl="0" w:tplc="7FCE9E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8F15051"/>
    <w:multiLevelType w:val="hybridMultilevel"/>
    <w:tmpl w:val="9BFEC652"/>
    <w:lvl w:ilvl="0" w:tplc="BE1CEF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9876C0E"/>
    <w:multiLevelType w:val="hybridMultilevel"/>
    <w:tmpl w:val="B76AF6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5DFA15C1"/>
    <w:multiLevelType w:val="hybridMultilevel"/>
    <w:tmpl w:val="7F02F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02C32B3"/>
    <w:multiLevelType w:val="hybridMultilevel"/>
    <w:tmpl w:val="847ADF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61606524"/>
    <w:multiLevelType w:val="hybridMultilevel"/>
    <w:tmpl w:val="0184A0E0"/>
    <w:lvl w:ilvl="0" w:tplc="6700CF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1D628B9"/>
    <w:multiLevelType w:val="hybridMultilevel"/>
    <w:tmpl w:val="DCEC05A8"/>
    <w:lvl w:ilvl="0" w:tplc="0402000F">
      <w:start w:val="3"/>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15:restartNumberingAfterBreak="0">
    <w:nsid w:val="633B166B"/>
    <w:multiLevelType w:val="hybridMultilevel"/>
    <w:tmpl w:val="65E2F286"/>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7" w15:restartNumberingAfterBreak="0">
    <w:nsid w:val="655C5533"/>
    <w:multiLevelType w:val="hybridMultilevel"/>
    <w:tmpl w:val="B57C0788"/>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8" w15:restartNumberingAfterBreak="0">
    <w:nsid w:val="672C3E54"/>
    <w:multiLevelType w:val="hybridMultilevel"/>
    <w:tmpl w:val="DE24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3479D1"/>
    <w:multiLevelType w:val="hybridMultilevel"/>
    <w:tmpl w:val="167288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15:restartNumberingAfterBreak="0">
    <w:nsid w:val="67CC5BD7"/>
    <w:multiLevelType w:val="hybridMultilevel"/>
    <w:tmpl w:val="987C74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69AB1B9B"/>
    <w:multiLevelType w:val="hybridMultilevel"/>
    <w:tmpl w:val="5C64F6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6AE81FE2"/>
    <w:multiLevelType w:val="hybridMultilevel"/>
    <w:tmpl w:val="B93A6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AEB7D4A"/>
    <w:multiLevelType w:val="hybridMultilevel"/>
    <w:tmpl w:val="932A37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15:restartNumberingAfterBreak="0">
    <w:nsid w:val="6E5629D2"/>
    <w:multiLevelType w:val="hybridMultilevel"/>
    <w:tmpl w:val="18BE85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71F50FEA"/>
    <w:multiLevelType w:val="hybridMultilevel"/>
    <w:tmpl w:val="50A0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4093FE7"/>
    <w:multiLevelType w:val="hybridMultilevel"/>
    <w:tmpl w:val="8142536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78437DF6"/>
    <w:multiLevelType w:val="hybridMultilevel"/>
    <w:tmpl w:val="30F0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844083D"/>
    <w:multiLevelType w:val="hybridMultilevel"/>
    <w:tmpl w:val="C65AEE48"/>
    <w:lvl w:ilvl="0" w:tplc="5FB418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87E43E5"/>
    <w:multiLevelType w:val="hybridMultilevel"/>
    <w:tmpl w:val="D7D252B2"/>
    <w:lvl w:ilvl="0" w:tplc="04020001">
      <w:start w:val="1"/>
      <w:numFmt w:val="bullet"/>
      <w:lvlText w:val=""/>
      <w:lvlJc w:val="left"/>
      <w:pPr>
        <w:ind w:left="835" w:hanging="360"/>
      </w:pPr>
      <w:rPr>
        <w:rFonts w:ascii="Symbol" w:hAnsi="Symbol" w:hint="default"/>
      </w:rPr>
    </w:lvl>
    <w:lvl w:ilvl="1" w:tplc="04020003" w:tentative="1">
      <w:start w:val="1"/>
      <w:numFmt w:val="bullet"/>
      <w:lvlText w:val="o"/>
      <w:lvlJc w:val="left"/>
      <w:pPr>
        <w:ind w:left="1555" w:hanging="360"/>
      </w:pPr>
      <w:rPr>
        <w:rFonts w:ascii="Courier New" w:hAnsi="Courier New" w:cs="Courier New" w:hint="default"/>
      </w:rPr>
    </w:lvl>
    <w:lvl w:ilvl="2" w:tplc="04020005" w:tentative="1">
      <w:start w:val="1"/>
      <w:numFmt w:val="bullet"/>
      <w:lvlText w:val=""/>
      <w:lvlJc w:val="left"/>
      <w:pPr>
        <w:ind w:left="2275" w:hanging="360"/>
      </w:pPr>
      <w:rPr>
        <w:rFonts w:ascii="Wingdings" w:hAnsi="Wingdings" w:hint="default"/>
      </w:rPr>
    </w:lvl>
    <w:lvl w:ilvl="3" w:tplc="04020001" w:tentative="1">
      <w:start w:val="1"/>
      <w:numFmt w:val="bullet"/>
      <w:lvlText w:val=""/>
      <w:lvlJc w:val="left"/>
      <w:pPr>
        <w:ind w:left="2995" w:hanging="360"/>
      </w:pPr>
      <w:rPr>
        <w:rFonts w:ascii="Symbol" w:hAnsi="Symbol" w:hint="default"/>
      </w:rPr>
    </w:lvl>
    <w:lvl w:ilvl="4" w:tplc="04020003" w:tentative="1">
      <w:start w:val="1"/>
      <w:numFmt w:val="bullet"/>
      <w:lvlText w:val="o"/>
      <w:lvlJc w:val="left"/>
      <w:pPr>
        <w:ind w:left="3715" w:hanging="360"/>
      </w:pPr>
      <w:rPr>
        <w:rFonts w:ascii="Courier New" w:hAnsi="Courier New" w:cs="Courier New" w:hint="default"/>
      </w:rPr>
    </w:lvl>
    <w:lvl w:ilvl="5" w:tplc="04020005" w:tentative="1">
      <w:start w:val="1"/>
      <w:numFmt w:val="bullet"/>
      <w:lvlText w:val=""/>
      <w:lvlJc w:val="left"/>
      <w:pPr>
        <w:ind w:left="4435" w:hanging="360"/>
      </w:pPr>
      <w:rPr>
        <w:rFonts w:ascii="Wingdings" w:hAnsi="Wingdings" w:hint="default"/>
      </w:rPr>
    </w:lvl>
    <w:lvl w:ilvl="6" w:tplc="04020001" w:tentative="1">
      <w:start w:val="1"/>
      <w:numFmt w:val="bullet"/>
      <w:lvlText w:val=""/>
      <w:lvlJc w:val="left"/>
      <w:pPr>
        <w:ind w:left="5155" w:hanging="360"/>
      </w:pPr>
      <w:rPr>
        <w:rFonts w:ascii="Symbol" w:hAnsi="Symbol" w:hint="default"/>
      </w:rPr>
    </w:lvl>
    <w:lvl w:ilvl="7" w:tplc="04020003" w:tentative="1">
      <w:start w:val="1"/>
      <w:numFmt w:val="bullet"/>
      <w:lvlText w:val="o"/>
      <w:lvlJc w:val="left"/>
      <w:pPr>
        <w:ind w:left="5875" w:hanging="360"/>
      </w:pPr>
      <w:rPr>
        <w:rFonts w:ascii="Courier New" w:hAnsi="Courier New" w:cs="Courier New" w:hint="default"/>
      </w:rPr>
    </w:lvl>
    <w:lvl w:ilvl="8" w:tplc="04020005" w:tentative="1">
      <w:start w:val="1"/>
      <w:numFmt w:val="bullet"/>
      <w:lvlText w:val=""/>
      <w:lvlJc w:val="left"/>
      <w:pPr>
        <w:ind w:left="6595" w:hanging="360"/>
      </w:pPr>
      <w:rPr>
        <w:rFonts w:ascii="Wingdings" w:hAnsi="Wingdings" w:hint="default"/>
      </w:rPr>
    </w:lvl>
  </w:abstractNum>
  <w:abstractNum w:abstractNumId="80" w15:restartNumberingAfterBreak="0">
    <w:nsid w:val="7B565CA5"/>
    <w:multiLevelType w:val="hybridMultilevel"/>
    <w:tmpl w:val="C17E71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7F621438"/>
    <w:multiLevelType w:val="hybridMultilevel"/>
    <w:tmpl w:val="9620F4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15:restartNumberingAfterBreak="0">
    <w:nsid w:val="7F912EC2"/>
    <w:multiLevelType w:val="hybridMultilevel"/>
    <w:tmpl w:val="F64417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787553474">
    <w:abstractNumId w:val="47"/>
  </w:num>
  <w:num w:numId="2" w16cid:durableId="761992794">
    <w:abstractNumId w:val="45"/>
  </w:num>
  <w:num w:numId="3" w16cid:durableId="1542547845">
    <w:abstractNumId w:val="6"/>
  </w:num>
  <w:num w:numId="4" w16cid:durableId="1406536577">
    <w:abstractNumId w:val="43"/>
  </w:num>
  <w:num w:numId="5" w16cid:durableId="1033850227">
    <w:abstractNumId w:val="46"/>
  </w:num>
  <w:num w:numId="6" w16cid:durableId="756562789">
    <w:abstractNumId w:val="25"/>
  </w:num>
  <w:num w:numId="7" w16cid:durableId="726027431">
    <w:abstractNumId w:val="20"/>
  </w:num>
  <w:num w:numId="8" w16cid:durableId="887180484">
    <w:abstractNumId w:val="42"/>
  </w:num>
  <w:num w:numId="9" w16cid:durableId="933125549">
    <w:abstractNumId w:val="3"/>
  </w:num>
  <w:num w:numId="10" w16cid:durableId="1825003791">
    <w:abstractNumId w:val="14"/>
  </w:num>
  <w:num w:numId="11" w16cid:durableId="1709183031">
    <w:abstractNumId w:val="80"/>
  </w:num>
  <w:num w:numId="12" w16cid:durableId="386729741">
    <w:abstractNumId w:val="79"/>
  </w:num>
  <w:num w:numId="13" w16cid:durableId="801071873">
    <w:abstractNumId w:val="61"/>
  </w:num>
  <w:num w:numId="14" w16cid:durableId="1962689195">
    <w:abstractNumId w:val="32"/>
  </w:num>
  <w:num w:numId="15" w16cid:durableId="2127697789">
    <w:abstractNumId w:val="7"/>
  </w:num>
  <w:num w:numId="16" w16cid:durableId="21830368">
    <w:abstractNumId w:val="39"/>
  </w:num>
  <w:num w:numId="17" w16cid:durableId="259991896">
    <w:abstractNumId w:val="1"/>
  </w:num>
  <w:num w:numId="18" w16cid:durableId="584267836">
    <w:abstractNumId w:val="74"/>
  </w:num>
  <w:num w:numId="19" w16cid:durableId="620114051">
    <w:abstractNumId w:val="35"/>
  </w:num>
  <w:num w:numId="20" w16cid:durableId="254099221">
    <w:abstractNumId w:val="56"/>
  </w:num>
  <w:num w:numId="21" w16cid:durableId="803354992">
    <w:abstractNumId w:val="59"/>
  </w:num>
  <w:num w:numId="22" w16cid:durableId="1880629865">
    <w:abstractNumId w:val="77"/>
  </w:num>
  <w:num w:numId="23" w16cid:durableId="394593309">
    <w:abstractNumId w:val="60"/>
  </w:num>
  <w:num w:numId="24" w16cid:durableId="1627078009">
    <w:abstractNumId w:val="75"/>
  </w:num>
  <w:num w:numId="25" w16cid:durableId="403070610">
    <w:abstractNumId w:val="10"/>
  </w:num>
  <w:num w:numId="26" w16cid:durableId="1274048738">
    <w:abstractNumId w:val="52"/>
  </w:num>
  <w:num w:numId="27" w16cid:durableId="144442822">
    <w:abstractNumId w:val="44"/>
  </w:num>
  <w:num w:numId="28" w16cid:durableId="348944289">
    <w:abstractNumId w:val="4"/>
  </w:num>
  <w:num w:numId="29" w16cid:durableId="1812013369">
    <w:abstractNumId w:val="68"/>
  </w:num>
  <w:num w:numId="30" w16cid:durableId="1077823958">
    <w:abstractNumId w:val="26"/>
  </w:num>
  <w:num w:numId="31" w16cid:durableId="673847358">
    <w:abstractNumId w:val="12"/>
  </w:num>
  <w:num w:numId="32" w16cid:durableId="1417164094">
    <w:abstractNumId w:val="78"/>
  </w:num>
  <w:num w:numId="33" w16cid:durableId="643899242">
    <w:abstractNumId w:val="29"/>
  </w:num>
  <w:num w:numId="34" w16cid:durableId="1316639725">
    <w:abstractNumId w:val="50"/>
  </w:num>
  <w:num w:numId="35" w16cid:durableId="1664628613">
    <w:abstractNumId w:val="71"/>
  </w:num>
  <w:num w:numId="36" w16cid:durableId="674502027">
    <w:abstractNumId w:val="65"/>
  </w:num>
  <w:num w:numId="37" w16cid:durableId="1515268506">
    <w:abstractNumId w:val="63"/>
  </w:num>
  <w:num w:numId="38" w16cid:durableId="646781161">
    <w:abstractNumId w:val="73"/>
  </w:num>
  <w:num w:numId="39" w16cid:durableId="410202414">
    <w:abstractNumId w:val="81"/>
  </w:num>
  <w:num w:numId="40" w16cid:durableId="1065252666">
    <w:abstractNumId w:val="37"/>
  </w:num>
  <w:num w:numId="41" w16cid:durableId="434832766">
    <w:abstractNumId w:val="21"/>
  </w:num>
  <w:num w:numId="42" w16cid:durableId="2023782059">
    <w:abstractNumId w:val="27"/>
  </w:num>
  <w:num w:numId="43" w16cid:durableId="98916984">
    <w:abstractNumId w:val="57"/>
  </w:num>
  <w:num w:numId="44" w16cid:durableId="31149559">
    <w:abstractNumId w:val="69"/>
  </w:num>
  <w:num w:numId="45" w16cid:durableId="1693536049">
    <w:abstractNumId w:val="82"/>
  </w:num>
  <w:num w:numId="46" w16cid:durableId="1927879640">
    <w:abstractNumId w:val="41"/>
  </w:num>
  <w:num w:numId="47" w16cid:durableId="400444894">
    <w:abstractNumId w:val="8"/>
  </w:num>
  <w:num w:numId="48" w16cid:durableId="1287077155">
    <w:abstractNumId w:val="66"/>
  </w:num>
  <w:num w:numId="49" w16cid:durableId="41758955">
    <w:abstractNumId w:val="2"/>
  </w:num>
  <w:num w:numId="50" w16cid:durableId="1055348204">
    <w:abstractNumId w:val="55"/>
  </w:num>
  <w:num w:numId="51" w16cid:durableId="819345162">
    <w:abstractNumId w:val="48"/>
  </w:num>
  <w:num w:numId="52" w16cid:durableId="424960647">
    <w:abstractNumId w:val="40"/>
  </w:num>
  <w:num w:numId="53" w16cid:durableId="849491764">
    <w:abstractNumId w:val="72"/>
  </w:num>
  <w:num w:numId="54" w16cid:durableId="639959727">
    <w:abstractNumId w:val="0"/>
  </w:num>
  <w:num w:numId="55" w16cid:durableId="1013264483">
    <w:abstractNumId w:val="19"/>
  </w:num>
  <w:num w:numId="56" w16cid:durableId="1975871261">
    <w:abstractNumId w:val="33"/>
  </w:num>
  <w:num w:numId="57" w16cid:durableId="2141263447">
    <w:abstractNumId w:val="18"/>
  </w:num>
  <w:num w:numId="58" w16cid:durableId="237131485">
    <w:abstractNumId w:val="9"/>
  </w:num>
  <w:num w:numId="59" w16cid:durableId="670303963">
    <w:abstractNumId w:val="34"/>
  </w:num>
  <w:num w:numId="60" w16cid:durableId="1175345401">
    <w:abstractNumId w:val="36"/>
  </w:num>
  <w:num w:numId="61" w16cid:durableId="1689259185">
    <w:abstractNumId w:val="49"/>
  </w:num>
  <w:num w:numId="62" w16cid:durableId="347102612">
    <w:abstractNumId w:val="16"/>
  </w:num>
  <w:num w:numId="63" w16cid:durableId="264114945">
    <w:abstractNumId w:val="28"/>
  </w:num>
  <w:num w:numId="64" w16cid:durableId="109707461">
    <w:abstractNumId w:val="76"/>
  </w:num>
  <w:num w:numId="65" w16cid:durableId="1595087661">
    <w:abstractNumId w:val="67"/>
  </w:num>
  <w:num w:numId="66" w16cid:durableId="1239941997">
    <w:abstractNumId w:val="31"/>
  </w:num>
  <w:num w:numId="67" w16cid:durableId="512846235">
    <w:abstractNumId w:val="64"/>
  </w:num>
  <w:num w:numId="68" w16cid:durableId="475148606">
    <w:abstractNumId w:val="22"/>
  </w:num>
  <w:num w:numId="69" w16cid:durableId="1609317900">
    <w:abstractNumId w:val="15"/>
  </w:num>
  <w:num w:numId="70" w16cid:durableId="1641112653">
    <w:abstractNumId w:val="24"/>
  </w:num>
  <w:num w:numId="71" w16cid:durableId="1394348180">
    <w:abstractNumId w:val="70"/>
  </w:num>
  <w:num w:numId="72" w16cid:durableId="1888180448">
    <w:abstractNumId w:val="23"/>
  </w:num>
  <w:num w:numId="73" w16cid:durableId="66149051">
    <w:abstractNumId w:val="11"/>
  </w:num>
  <w:num w:numId="74" w16cid:durableId="1006633580">
    <w:abstractNumId w:val="58"/>
  </w:num>
  <w:num w:numId="75" w16cid:durableId="380980890">
    <w:abstractNumId w:val="30"/>
  </w:num>
  <w:num w:numId="76" w16cid:durableId="1382439145">
    <w:abstractNumId w:val="54"/>
  </w:num>
  <w:num w:numId="77" w16cid:durableId="1744792186">
    <w:abstractNumId w:val="53"/>
  </w:num>
  <w:num w:numId="78" w16cid:durableId="1365248326">
    <w:abstractNumId w:val="5"/>
  </w:num>
  <w:num w:numId="79" w16cid:durableId="646671487">
    <w:abstractNumId w:val="51"/>
  </w:num>
  <w:num w:numId="80" w16cid:durableId="352459325">
    <w:abstractNumId w:val="38"/>
  </w:num>
  <w:num w:numId="81" w16cid:durableId="2141796696">
    <w:abstractNumId w:val="17"/>
  </w:num>
  <w:num w:numId="82" w16cid:durableId="1534224907">
    <w:abstractNumId w:val="62"/>
  </w:num>
  <w:num w:numId="83" w16cid:durableId="459105136">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4096" w:nlCheck="1" w:checkStyle="0"/>
  <w:activeWritingStyle w:appName="MSWord" w:lang="en-US" w:vendorID="64" w:dllVersion="4096" w:nlCheck="1" w:checkStyle="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86"/>
    <w:rsid w:val="00001EFB"/>
    <w:rsid w:val="00001FAB"/>
    <w:rsid w:val="000020B9"/>
    <w:rsid w:val="00002514"/>
    <w:rsid w:val="000027B3"/>
    <w:rsid w:val="00003639"/>
    <w:rsid w:val="000048F0"/>
    <w:rsid w:val="00004C6A"/>
    <w:rsid w:val="00004D38"/>
    <w:rsid w:val="00005383"/>
    <w:rsid w:val="000058FD"/>
    <w:rsid w:val="000059FB"/>
    <w:rsid w:val="00006514"/>
    <w:rsid w:val="00007EC3"/>
    <w:rsid w:val="000111D0"/>
    <w:rsid w:val="000114A9"/>
    <w:rsid w:val="00011A84"/>
    <w:rsid w:val="00011C3A"/>
    <w:rsid w:val="00011C62"/>
    <w:rsid w:val="00011D8D"/>
    <w:rsid w:val="0001237E"/>
    <w:rsid w:val="00013B8A"/>
    <w:rsid w:val="00014697"/>
    <w:rsid w:val="000153A8"/>
    <w:rsid w:val="000153BD"/>
    <w:rsid w:val="00016232"/>
    <w:rsid w:val="00016697"/>
    <w:rsid w:val="0001798C"/>
    <w:rsid w:val="00017F89"/>
    <w:rsid w:val="000215DA"/>
    <w:rsid w:val="00021EE1"/>
    <w:rsid w:val="00022DEC"/>
    <w:rsid w:val="00023B5F"/>
    <w:rsid w:val="00023BF6"/>
    <w:rsid w:val="000246EC"/>
    <w:rsid w:val="00024E9C"/>
    <w:rsid w:val="00025678"/>
    <w:rsid w:val="00025FF5"/>
    <w:rsid w:val="000311B8"/>
    <w:rsid w:val="00031392"/>
    <w:rsid w:val="00031610"/>
    <w:rsid w:val="00031860"/>
    <w:rsid w:val="000323F3"/>
    <w:rsid w:val="00032FE5"/>
    <w:rsid w:val="00034032"/>
    <w:rsid w:val="000341CD"/>
    <w:rsid w:val="0003599A"/>
    <w:rsid w:val="00035FB2"/>
    <w:rsid w:val="0003718F"/>
    <w:rsid w:val="000379B4"/>
    <w:rsid w:val="00037FB3"/>
    <w:rsid w:val="00040191"/>
    <w:rsid w:val="00040A74"/>
    <w:rsid w:val="00040BF6"/>
    <w:rsid w:val="000418AD"/>
    <w:rsid w:val="000419CC"/>
    <w:rsid w:val="00042224"/>
    <w:rsid w:val="00042300"/>
    <w:rsid w:val="00042CAB"/>
    <w:rsid w:val="00043F6F"/>
    <w:rsid w:val="00044101"/>
    <w:rsid w:val="00044B1B"/>
    <w:rsid w:val="00045B96"/>
    <w:rsid w:val="0005027F"/>
    <w:rsid w:val="00050ABC"/>
    <w:rsid w:val="00050C33"/>
    <w:rsid w:val="00051B11"/>
    <w:rsid w:val="00053112"/>
    <w:rsid w:val="000532E6"/>
    <w:rsid w:val="000534BF"/>
    <w:rsid w:val="00053591"/>
    <w:rsid w:val="00053FD1"/>
    <w:rsid w:val="0005510D"/>
    <w:rsid w:val="000568AF"/>
    <w:rsid w:val="0005725A"/>
    <w:rsid w:val="00060194"/>
    <w:rsid w:val="000608CB"/>
    <w:rsid w:val="00060948"/>
    <w:rsid w:val="00060A0C"/>
    <w:rsid w:val="00060B49"/>
    <w:rsid w:val="00060E45"/>
    <w:rsid w:val="0006143D"/>
    <w:rsid w:val="0006249D"/>
    <w:rsid w:val="00062BDA"/>
    <w:rsid w:val="00062C3A"/>
    <w:rsid w:val="00063070"/>
    <w:rsid w:val="00063930"/>
    <w:rsid w:val="00063986"/>
    <w:rsid w:val="00067F47"/>
    <w:rsid w:val="00070669"/>
    <w:rsid w:val="00070A19"/>
    <w:rsid w:val="00070ED1"/>
    <w:rsid w:val="0007197D"/>
    <w:rsid w:val="000724C2"/>
    <w:rsid w:val="00072655"/>
    <w:rsid w:val="00072919"/>
    <w:rsid w:val="00073289"/>
    <w:rsid w:val="00073638"/>
    <w:rsid w:val="00074052"/>
    <w:rsid w:val="00074EC0"/>
    <w:rsid w:val="00075EB6"/>
    <w:rsid w:val="00076572"/>
    <w:rsid w:val="00077387"/>
    <w:rsid w:val="000773BF"/>
    <w:rsid w:val="0007762C"/>
    <w:rsid w:val="0007762E"/>
    <w:rsid w:val="00080245"/>
    <w:rsid w:val="000805CF"/>
    <w:rsid w:val="00080D17"/>
    <w:rsid w:val="000824BE"/>
    <w:rsid w:val="000829A4"/>
    <w:rsid w:val="00084B37"/>
    <w:rsid w:val="00084D6B"/>
    <w:rsid w:val="00085395"/>
    <w:rsid w:val="0008589E"/>
    <w:rsid w:val="000859D7"/>
    <w:rsid w:val="00085AF0"/>
    <w:rsid w:val="000862E6"/>
    <w:rsid w:val="00087124"/>
    <w:rsid w:val="000878D4"/>
    <w:rsid w:val="00090AB0"/>
    <w:rsid w:val="00090EE3"/>
    <w:rsid w:val="000923AB"/>
    <w:rsid w:val="000924B0"/>
    <w:rsid w:val="00092F88"/>
    <w:rsid w:val="00093613"/>
    <w:rsid w:val="00097A2E"/>
    <w:rsid w:val="000A0363"/>
    <w:rsid w:val="000A0886"/>
    <w:rsid w:val="000A14B6"/>
    <w:rsid w:val="000A1640"/>
    <w:rsid w:val="000A1A2F"/>
    <w:rsid w:val="000A39EE"/>
    <w:rsid w:val="000A3A29"/>
    <w:rsid w:val="000A3A63"/>
    <w:rsid w:val="000A45D4"/>
    <w:rsid w:val="000A493B"/>
    <w:rsid w:val="000A50F0"/>
    <w:rsid w:val="000A71ED"/>
    <w:rsid w:val="000A74D8"/>
    <w:rsid w:val="000A7902"/>
    <w:rsid w:val="000B0B2A"/>
    <w:rsid w:val="000B0FCA"/>
    <w:rsid w:val="000B14DE"/>
    <w:rsid w:val="000B1D8A"/>
    <w:rsid w:val="000B25AB"/>
    <w:rsid w:val="000B327F"/>
    <w:rsid w:val="000B4403"/>
    <w:rsid w:val="000B444C"/>
    <w:rsid w:val="000B4B99"/>
    <w:rsid w:val="000B69F0"/>
    <w:rsid w:val="000B71DE"/>
    <w:rsid w:val="000C0B4F"/>
    <w:rsid w:val="000C192E"/>
    <w:rsid w:val="000C27AA"/>
    <w:rsid w:val="000C3569"/>
    <w:rsid w:val="000C3B69"/>
    <w:rsid w:val="000C4700"/>
    <w:rsid w:val="000C4DAE"/>
    <w:rsid w:val="000C60E5"/>
    <w:rsid w:val="000C6325"/>
    <w:rsid w:val="000C642C"/>
    <w:rsid w:val="000C6AEA"/>
    <w:rsid w:val="000C6B6A"/>
    <w:rsid w:val="000C74D3"/>
    <w:rsid w:val="000D00ED"/>
    <w:rsid w:val="000D079D"/>
    <w:rsid w:val="000D17AF"/>
    <w:rsid w:val="000D2649"/>
    <w:rsid w:val="000D2B8D"/>
    <w:rsid w:val="000D2E21"/>
    <w:rsid w:val="000D32F4"/>
    <w:rsid w:val="000D4437"/>
    <w:rsid w:val="000D471F"/>
    <w:rsid w:val="000D4A93"/>
    <w:rsid w:val="000D56EB"/>
    <w:rsid w:val="000D59F3"/>
    <w:rsid w:val="000D5E82"/>
    <w:rsid w:val="000D64CC"/>
    <w:rsid w:val="000D6733"/>
    <w:rsid w:val="000D6914"/>
    <w:rsid w:val="000D7188"/>
    <w:rsid w:val="000D771A"/>
    <w:rsid w:val="000D7775"/>
    <w:rsid w:val="000E0E0E"/>
    <w:rsid w:val="000E0F61"/>
    <w:rsid w:val="000E27C1"/>
    <w:rsid w:val="000E2AC4"/>
    <w:rsid w:val="000E41EE"/>
    <w:rsid w:val="000E4DD1"/>
    <w:rsid w:val="000E5058"/>
    <w:rsid w:val="000E5FC9"/>
    <w:rsid w:val="000E606C"/>
    <w:rsid w:val="000E6D2B"/>
    <w:rsid w:val="000E7A6F"/>
    <w:rsid w:val="000F1826"/>
    <w:rsid w:val="000F218F"/>
    <w:rsid w:val="000F24F2"/>
    <w:rsid w:val="000F26D0"/>
    <w:rsid w:val="000F35F9"/>
    <w:rsid w:val="000F36F7"/>
    <w:rsid w:val="000F3B00"/>
    <w:rsid w:val="000F3BB9"/>
    <w:rsid w:val="000F4245"/>
    <w:rsid w:val="000F4576"/>
    <w:rsid w:val="000F4919"/>
    <w:rsid w:val="000F4EA7"/>
    <w:rsid w:val="000F5BAF"/>
    <w:rsid w:val="000F5EA6"/>
    <w:rsid w:val="000F6D92"/>
    <w:rsid w:val="000F72E1"/>
    <w:rsid w:val="000F7443"/>
    <w:rsid w:val="000F756D"/>
    <w:rsid w:val="000F75E6"/>
    <w:rsid w:val="000F7FED"/>
    <w:rsid w:val="00101A67"/>
    <w:rsid w:val="00102489"/>
    <w:rsid w:val="00103056"/>
    <w:rsid w:val="001030BF"/>
    <w:rsid w:val="001031E0"/>
    <w:rsid w:val="0010391C"/>
    <w:rsid w:val="00104F02"/>
    <w:rsid w:val="00105FC0"/>
    <w:rsid w:val="001114C4"/>
    <w:rsid w:val="00111D2F"/>
    <w:rsid w:val="00112155"/>
    <w:rsid w:val="00113315"/>
    <w:rsid w:val="001135A4"/>
    <w:rsid w:val="00115800"/>
    <w:rsid w:val="0011588E"/>
    <w:rsid w:val="001170CC"/>
    <w:rsid w:val="0012009F"/>
    <w:rsid w:val="00121414"/>
    <w:rsid w:val="001225BC"/>
    <w:rsid w:val="00122B0A"/>
    <w:rsid w:val="00123E02"/>
    <w:rsid w:val="00125D40"/>
    <w:rsid w:val="001304AB"/>
    <w:rsid w:val="001306F8"/>
    <w:rsid w:val="00131126"/>
    <w:rsid w:val="00131B68"/>
    <w:rsid w:val="00131C02"/>
    <w:rsid w:val="00131E70"/>
    <w:rsid w:val="001333FD"/>
    <w:rsid w:val="001340E3"/>
    <w:rsid w:val="00134BE3"/>
    <w:rsid w:val="00134BF2"/>
    <w:rsid w:val="00135658"/>
    <w:rsid w:val="001368FE"/>
    <w:rsid w:val="0013758E"/>
    <w:rsid w:val="001375BC"/>
    <w:rsid w:val="00140904"/>
    <w:rsid w:val="00140A31"/>
    <w:rsid w:val="00141D52"/>
    <w:rsid w:val="00142256"/>
    <w:rsid w:val="001425B5"/>
    <w:rsid w:val="00142A7D"/>
    <w:rsid w:val="0014471C"/>
    <w:rsid w:val="0014557F"/>
    <w:rsid w:val="001465D0"/>
    <w:rsid w:val="001466F3"/>
    <w:rsid w:val="00146C06"/>
    <w:rsid w:val="00147A2F"/>
    <w:rsid w:val="00151B00"/>
    <w:rsid w:val="0015275D"/>
    <w:rsid w:val="00153CB5"/>
    <w:rsid w:val="0015472B"/>
    <w:rsid w:val="00155C02"/>
    <w:rsid w:val="00155D9E"/>
    <w:rsid w:val="0015682D"/>
    <w:rsid w:val="00156D88"/>
    <w:rsid w:val="00157E38"/>
    <w:rsid w:val="00157F64"/>
    <w:rsid w:val="00160DB9"/>
    <w:rsid w:val="001610DF"/>
    <w:rsid w:val="0016117B"/>
    <w:rsid w:val="00161570"/>
    <w:rsid w:val="001619C4"/>
    <w:rsid w:val="001634BD"/>
    <w:rsid w:val="00164A3A"/>
    <w:rsid w:val="00164BD0"/>
    <w:rsid w:val="00165579"/>
    <w:rsid w:val="0016779E"/>
    <w:rsid w:val="00170080"/>
    <w:rsid w:val="0017096D"/>
    <w:rsid w:val="00171D60"/>
    <w:rsid w:val="00172260"/>
    <w:rsid w:val="001731F4"/>
    <w:rsid w:val="00173287"/>
    <w:rsid w:val="00173B34"/>
    <w:rsid w:val="001741C4"/>
    <w:rsid w:val="00174410"/>
    <w:rsid w:val="00176BFA"/>
    <w:rsid w:val="001777DE"/>
    <w:rsid w:val="001818A5"/>
    <w:rsid w:val="00182B22"/>
    <w:rsid w:val="00183436"/>
    <w:rsid w:val="001836DF"/>
    <w:rsid w:val="00184377"/>
    <w:rsid w:val="001852AD"/>
    <w:rsid w:val="00185B2A"/>
    <w:rsid w:val="00185B2C"/>
    <w:rsid w:val="00190484"/>
    <w:rsid w:val="001907CB"/>
    <w:rsid w:val="00190AE7"/>
    <w:rsid w:val="0019106D"/>
    <w:rsid w:val="00191F38"/>
    <w:rsid w:val="001926F1"/>
    <w:rsid w:val="00193E78"/>
    <w:rsid w:val="0019474A"/>
    <w:rsid w:val="00194BD5"/>
    <w:rsid w:val="00194DD9"/>
    <w:rsid w:val="001958BD"/>
    <w:rsid w:val="00195D2A"/>
    <w:rsid w:val="0019630B"/>
    <w:rsid w:val="00197FCA"/>
    <w:rsid w:val="001A25CB"/>
    <w:rsid w:val="001A398A"/>
    <w:rsid w:val="001A5041"/>
    <w:rsid w:val="001A5894"/>
    <w:rsid w:val="001A58CA"/>
    <w:rsid w:val="001A59A5"/>
    <w:rsid w:val="001A64D7"/>
    <w:rsid w:val="001A70B8"/>
    <w:rsid w:val="001A77C4"/>
    <w:rsid w:val="001A7EDA"/>
    <w:rsid w:val="001B0094"/>
    <w:rsid w:val="001B044E"/>
    <w:rsid w:val="001B0DE3"/>
    <w:rsid w:val="001B0F8A"/>
    <w:rsid w:val="001B12E7"/>
    <w:rsid w:val="001B23CA"/>
    <w:rsid w:val="001B2682"/>
    <w:rsid w:val="001B27AA"/>
    <w:rsid w:val="001B357A"/>
    <w:rsid w:val="001B4777"/>
    <w:rsid w:val="001B4985"/>
    <w:rsid w:val="001B4B2B"/>
    <w:rsid w:val="001B60F1"/>
    <w:rsid w:val="001B6583"/>
    <w:rsid w:val="001B6884"/>
    <w:rsid w:val="001B7395"/>
    <w:rsid w:val="001B73A9"/>
    <w:rsid w:val="001C0699"/>
    <w:rsid w:val="001C17DE"/>
    <w:rsid w:val="001C1B8A"/>
    <w:rsid w:val="001C30FF"/>
    <w:rsid w:val="001C35AC"/>
    <w:rsid w:val="001C454D"/>
    <w:rsid w:val="001C55B2"/>
    <w:rsid w:val="001C64EC"/>
    <w:rsid w:val="001C6A9B"/>
    <w:rsid w:val="001C6B66"/>
    <w:rsid w:val="001C7F35"/>
    <w:rsid w:val="001D1000"/>
    <w:rsid w:val="001D111E"/>
    <w:rsid w:val="001D1290"/>
    <w:rsid w:val="001D1CD7"/>
    <w:rsid w:val="001D2BEF"/>
    <w:rsid w:val="001D34F8"/>
    <w:rsid w:val="001D3995"/>
    <w:rsid w:val="001D41AD"/>
    <w:rsid w:val="001D4BEF"/>
    <w:rsid w:val="001D59C0"/>
    <w:rsid w:val="001D60AB"/>
    <w:rsid w:val="001D614F"/>
    <w:rsid w:val="001D6174"/>
    <w:rsid w:val="001D6566"/>
    <w:rsid w:val="001D6580"/>
    <w:rsid w:val="001D76A7"/>
    <w:rsid w:val="001E0477"/>
    <w:rsid w:val="001E0D03"/>
    <w:rsid w:val="001E10F3"/>
    <w:rsid w:val="001E35FA"/>
    <w:rsid w:val="001E490F"/>
    <w:rsid w:val="001E4C4A"/>
    <w:rsid w:val="001E4E2F"/>
    <w:rsid w:val="001E4E90"/>
    <w:rsid w:val="001E53E7"/>
    <w:rsid w:val="001E59E7"/>
    <w:rsid w:val="001E6CA9"/>
    <w:rsid w:val="001E78D9"/>
    <w:rsid w:val="001E7A34"/>
    <w:rsid w:val="001F1034"/>
    <w:rsid w:val="001F47BB"/>
    <w:rsid w:val="001F4ED8"/>
    <w:rsid w:val="001F53FE"/>
    <w:rsid w:val="001F5459"/>
    <w:rsid w:val="001F5FF9"/>
    <w:rsid w:val="001F6369"/>
    <w:rsid w:val="001F7A72"/>
    <w:rsid w:val="001F7FB5"/>
    <w:rsid w:val="002002BF"/>
    <w:rsid w:val="00202160"/>
    <w:rsid w:val="00203688"/>
    <w:rsid w:val="00203AD5"/>
    <w:rsid w:val="00203AF9"/>
    <w:rsid w:val="0020573A"/>
    <w:rsid w:val="00206D8D"/>
    <w:rsid w:val="00207EB9"/>
    <w:rsid w:val="002117AD"/>
    <w:rsid w:val="00211F47"/>
    <w:rsid w:val="00212A53"/>
    <w:rsid w:val="00212AEF"/>
    <w:rsid w:val="00212EAF"/>
    <w:rsid w:val="0021329C"/>
    <w:rsid w:val="002133AB"/>
    <w:rsid w:val="002134AD"/>
    <w:rsid w:val="0021596F"/>
    <w:rsid w:val="00215B48"/>
    <w:rsid w:val="002163F1"/>
    <w:rsid w:val="00220292"/>
    <w:rsid w:val="00221193"/>
    <w:rsid w:val="00221683"/>
    <w:rsid w:val="002234B1"/>
    <w:rsid w:val="002238DB"/>
    <w:rsid w:val="00224285"/>
    <w:rsid w:val="00224E0E"/>
    <w:rsid w:val="00226026"/>
    <w:rsid w:val="002264A5"/>
    <w:rsid w:val="00226F8B"/>
    <w:rsid w:val="00227151"/>
    <w:rsid w:val="00232B13"/>
    <w:rsid w:val="00232F07"/>
    <w:rsid w:val="00235960"/>
    <w:rsid w:val="00235AEE"/>
    <w:rsid w:val="002365E6"/>
    <w:rsid w:val="00236EAF"/>
    <w:rsid w:val="00237081"/>
    <w:rsid w:val="002372D6"/>
    <w:rsid w:val="0023774F"/>
    <w:rsid w:val="00237D6D"/>
    <w:rsid w:val="00237D7E"/>
    <w:rsid w:val="00243705"/>
    <w:rsid w:val="00244CB0"/>
    <w:rsid w:val="00244FC3"/>
    <w:rsid w:val="00245B8D"/>
    <w:rsid w:val="00245EAB"/>
    <w:rsid w:val="0024610D"/>
    <w:rsid w:val="0024645A"/>
    <w:rsid w:val="0024721A"/>
    <w:rsid w:val="0024739E"/>
    <w:rsid w:val="00247A79"/>
    <w:rsid w:val="002501C4"/>
    <w:rsid w:val="0025062D"/>
    <w:rsid w:val="0025078D"/>
    <w:rsid w:val="00250E1C"/>
    <w:rsid w:val="00251667"/>
    <w:rsid w:val="00252F7A"/>
    <w:rsid w:val="002533CF"/>
    <w:rsid w:val="00253F6B"/>
    <w:rsid w:val="00255096"/>
    <w:rsid w:val="00256204"/>
    <w:rsid w:val="00257070"/>
    <w:rsid w:val="002572F0"/>
    <w:rsid w:val="00257D7B"/>
    <w:rsid w:val="002620F0"/>
    <w:rsid w:val="0026343E"/>
    <w:rsid w:val="00266133"/>
    <w:rsid w:val="00266383"/>
    <w:rsid w:val="0026657E"/>
    <w:rsid w:val="00267559"/>
    <w:rsid w:val="00267733"/>
    <w:rsid w:val="00271143"/>
    <w:rsid w:val="0027266D"/>
    <w:rsid w:val="00272685"/>
    <w:rsid w:val="002735E8"/>
    <w:rsid w:val="0027474B"/>
    <w:rsid w:val="00274B14"/>
    <w:rsid w:val="00274BD2"/>
    <w:rsid w:val="00274CEC"/>
    <w:rsid w:val="002761C6"/>
    <w:rsid w:val="00276E3A"/>
    <w:rsid w:val="00280721"/>
    <w:rsid w:val="00280DDC"/>
    <w:rsid w:val="0028101E"/>
    <w:rsid w:val="00281D00"/>
    <w:rsid w:val="002828FA"/>
    <w:rsid w:val="00283064"/>
    <w:rsid w:val="002839B9"/>
    <w:rsid w:val="00283A86"/>
    <w:rsid w:val="0028498E"/>
    <w:rsid w:val="002864AE"/>
    <w:rsid w:val="00286BE1"/>
    <w:rsid w:val="00287089"/>
    <w:rsid w:val="002876C1"/>
    <w:rsid w:val="002902C4"/>
    <w:rsid w:val="00290828"/>
    <w:rsid w:val="002909D3"/>
    <w:rsid w:val="0029140D"/>
    <w:rsid w:val="00291B23"/>
    <w:rsid w:val="002928BD"/>
    <w:rsid w:val="00293F99"/>
    <w:rsid w:val="00294974"/>
    <w:rsid w:val="00295394"/>
    <w:rsid w:val="00295756"/>
    <w:rsid w:val="00295AD6"/>
    <w:rsid w:val="002A0761"/>
    <w:rsid w:val="002A0814"/>
    <w:rsid w:val="002A0F8D"/>
    <w:rsid w:val="002A14CE"/>
    <w:rsid w:val="002A1751"/>
    <w:rsid w:val="002A1E55"/>
    <w:rsid w:val="002A27CB"/>
    <w:rsid w:val="002A3544"/>
    <w:rsid w:val="002A37DC"/>
    <w:rsid w:val="002A41C4"/>
    <w:rsid w:val="002A44ED"/>
    <w:rsid w:val="002A540E"/>
    <w:rsid w:val="002A610B"/>
    <w:rsid w:val="002A7622"/>
    <w:rsid w:val="002B08B8"/>
    <w:rsid w:val="002B2943"/>
    <w:rsid w:val="002B2FDD"/>
    <w:rsid w:val="002B371A"/>
    <w:rsid w:val="002B4E1B"/>
    <w:rsid w:val="002B55E9"/>
    <w:rsid w:val="002B55ED"/>
    <w:rsid w:val="002B589B"/>
    <w:rsid w:val="002B68A8"/>
    <w:rsid w:val="002B75B1"/>
    <w:rsid w:val="002C12D4"/>
    <w:rsid w:val="002C279E"/>
    <w:rsid w:val="002C2AAA"/>
    <w:rsid w:val="002C345A"/>
    <w:rsid w:val="002C3468"/>
    <w:rsid w:val="002C3683"/>
    <w:rsid w:val="002C4470"/>
    <w:rsid w:val="002C4479"/>
    <w:rsid w:val="002C4FFA"/>
    <w:rsid w:val="002C5072"/>
    <w:rsid w:val="002C51D4"/>
    <w:rsid w:val="002C610D"/>
    <w:rsid w:val="002C6FE2"/>
    <w:rsid w:val="002D06AF"/>
    <w:rsid w:val="002D0B2E"/>
    <w:rsid w:val="002D14F2"/>
    <w:rsid w:val="002D1C1B"/>
    <w:rsid w:val="002D29AE"/>
    <w:rsid w:val="002D367B"/>
    <w:rsid w:val="002D36D8"/>
    <w:rsid w:val="002D4E18"/>
    <w:rsid w:val="002D59F0"/>
    <w:rsid w:val="002D5A9C"/>
    <w:rsid w:val="002D7457"/>
    <w:rsid w:val="002E0175"/>
    <w:rsid w:val="002E074F"/>
    <w:rsid w:val="002E1752"/>
    <w:rsid w:val="002E1A83"/>
    <w:rsid w:val="002E2E67"/>
    <w:rsid w:val="002E3036"/>
    <w:rsid w:val="002E3CCB"/>
    <w:rsid w:val="002E3D49"/>
    <w:rsid w:val="002E415B"/>
    <w:rsid w:val="002E539A"/>
    <w:rsid w:val="002E54B2"/>
    <w:rsid w:val="002E586A"/>
    <w:rsid w:val="002E7934"/>
    <w:rsid w:val="002E79E0"/>
    <w:rsid w:val="002F1039"/>
    <w:rsid w:val="002F1D03"/>
    <w:rsid w:val="002F29AF"/>
    <w:rsid w:val="002F357E"/>
    <w:rsid w:val="002F438C"/>
    <w:rsid w:val="002F46B5"/>
    <w:rsid w:val="002F67B8"/>
    <w:rsid w:val="00301A53"/>
    <w:rsid w:val="00303F83"/>
    <w:rsid w:val="00304002"/>
    <w:rsid w:val="00305450"/>
    <w:rsid w:val="003059F2"/>
    <w:rsid w:val="00306042"/>
    <w:rsid w:val="00311A18"/>
    <w:rsid w:val="003123A3"/>
    <w:rsid w:val="00312FB1"/>
    <w:rsid w:val="00314448"/>
    <w:rsid w:val="00314F4F"/>
    <w:rsid w:val="00315F95"/>
    <w:rsid w:val="00320566"/>
    <w:rsid w:val="00320A2D"/>
    <w:rsid w:val="0032158E"/>
    <w:rsid w:val="00321B9D"/>
    <w:rsid w:val="00322486"/>
    <w:rsid w:val="003239CF"/>
    <w:rsid w:val="00323D10"/>
    <w:rsid w:val="00324300"/>
    <w:rsid w:val="00325121"/>
    <w:rsid w:val="003258A2"/>
    <w:rsid w:val="003259DF"/>
    <w:rsid w:val="003262BA"/>
    <w:rsid w:val="003264E3"/>
    <w:rsid w:val="00327478"/>
    <w:rsid w:val="00327558"/>
    <w:rsid w:val="003301E0"/>
    <w:rsid w:val="003305F3"/>
    <w:rsid w:val="00330B36"/>
    <w:rsid w:val="00331389"/>
    <w:rsid w:val="00331B39"/>
    <w:rsid w:val="00332388"/>
    <w:rsid w:val="00332BA7"/>
    <w:rsid w:val="003351FE"/>
    <w:rsid w:val="00336428"/>
    <w:rsid w:val="003365B0"/>
    <w:rsid w:val="003367B4"/>
    <w:rsid w:val="0033750B"/>
    <w:rsid w:val="003418B2"/>
    <w:rsid w:val="00341911"/>
    <w:rsid w:val="00341D98"/>
    <w:rsid w:val="00343223"/>
    <w:rsid w:val="00343D8D"/>
    <w:rsid w:val="00344BB9"/>
    <w:rsid w:val="00344E1A"/>
    <w:rsid w:val="00345124"/>
    <w:rsid w:val="00347602"/>
    <w:rsid w:val="0035055D"/>
    <w:rsid w:val="00350714"/>
    <w:rsid w:val="00351411"/>
    <w:rsid w:val="0035307E"/>
    <w:rsid w:val="003542FF"/>
    <w:rsid w:val="0035457C"/>
    <w:rsid w:val="00354E3C"/>
    <w:rsid w:val="0035581E"/>
    <w:rsid w:val="00355C61"/>
    <w:rsid w:val="00356C2B"/>
    <w:rsid w:val="00357C7B"/>
    <w:rsid w:val="00360F2B"/>
    <w:rsid w:val="00360FDA"/>
    <w:rsid w:val="003620B6"/>
    <w:rsid w:val="0036216F"/>
    <w:rsid w:val="00362738"/>
    <w:rsid w:val="003629FA"/>
    <w:rsid w:val="0036303A"/>
    <w:rsid w:val="00364B93"/>
    <w:rsid w:val="00365D60"/>
    <w:rsid w:val="003661DA"/>
    <w:rsid w:val="0036682B"/>
    <w:rsid w:val="0036706A"/>
    <w:rsid w:val="00367495"/>
    <w:rsid w:val="00367A08"/>
    <w:rsid w:val="0037039E"/>
    <w:rsid w:val="00370C4E"/>
    <w:rsid w:val="00370E9E"/>
    <w:rsid w:val="00371D2E"/>
    <w:rsid w:val="00372020"/>
    <w:rsid w:val="003746F5"/>
    <w:rsid w:val="0037490C"/>
    <w:rsid w:val="003752F3"/>
    <w:rsid w:val="00377F2F"/>
    <w:rsid w:val="003807BF"/>
    <w:rsid w:val="0038305F"/>
    <w:rsid w:val="00383239"/>
    <w:rsid w:val="003837CD"/>
    <w:rsid w:val="00383B30"/>
    <w:rsid w:val="00383C16"/>
    <w:rsid w:val="00384450"/>
    <w:rsid w:val="003846BF"/>
    <w:rsid w:val="00385315"/>
    <w:rsid w:val="00385D55"/>
    <w:rsid w:val="00386131"/>
    <w:rsid w:val="00386C5A"/>
    <w:rsid w:val="00386E5E"/>
    <w:rsid w:val="00386F32"/>
    <w:rsid w:val="003872FE"/>
    <w:rsid w:val="00394D66"/>
    <w:rsid w:val="0039597C"/>
    <w:rsid w:val="0039653A"/>
    <w:rsid w:val="00396D04"/>
    <w:rsid w:val="003970D8"/>
    <w:rsid w:val="00397447"/>
    <w:rsid w:val="003A00FC"/>
    <w:rsid w:val="003A01E9"/>
    <w:rsid w:val="003A0832"/>
    <w:rsid w:val="003A2632"/>
    <w:rsid w:val="003A26EC"/>
    <w:rsid w:val="003A27F7"/>
    <w:rsid w:val="003A2823"/>
    <w:rsid w:val="003A4452"/>
    <w:rsid w:val="003A4C65"/>
    <w:rsid w:val="003A4D24"/>
    <w:rsid w:val="003A4E7E"/>
    <w:rsid w:val="003A588F"/>
    <w:rsid w:val="003A5A25"/>
    <w:rsid w:val="003A5AA6"/>
    <w:rsid w:val="003B03F9"/>
    <w:rsid w:val="003B1CAA"/>
    <w:rsid w:val="003B2DBF"/>
    <w:rsid w:val="003B331A"/>
    <w:rsid w:val="003B36DA"/>
    <w:rsid w:val="003B3975"/>
    <w:rsid w:val="003B3C53"/>
    <w:rsid w:val="003B4393"/>
    <w:rsid w:val="003B491C"/>
    <w:rsid w:val="003B55D6"/>
    <w:rsid w:val="003B6B57"/>
    <w:rsid w:val="003B6CC9"/>
    <w:rsid w:val="003B73AA"/>
    <w:rsid w:val="003B76A8"/>
    <w:rsid w:val="003C0B26"/>
    <w:rsid w:val="003C4422"/>
    <w:rsid w:val="003C4EEE"/>
    <w:rsid w:val="003C5287"/>
    <w:rsid w:val="003C7701"/>
    <w:rsid w:val="003C78AA"/>
    <w:rsid w:val="003D015E"/>
    <w:rsid w:val="003D10A5"/>
    <w:rsid w:val="003D117A"/>
    <w:rsid w:val="003D37CF"/>
    <w:rsid w:val="003D399E"/>
    <w:rsid w:val="003D3B87"/>
    <w:rsid w:val="003D3EC2"/>
    <w:rsid w:val="003D4178"/>
    <w:rsid w:val="003D485B"/>
    <w:rsid w:val="003D4AAD"/>
    <w:rsid w:val="003D5287"/>
    <w:rsid w:val="003D5B03"/>
    <w:rsid w:val="003D6075"/>
    <w:rsid w:val="003D64AC"/>
    <w:rsid w:val="003E0A4D"/>
    <w:rsid w:val="003E0B39"/>
    <w:rsid w:val="003E253F"/>
    <w:rsid w:val="003E2F7B"/>
    <w:rsid w:val="003E3A64"/>
    <w:rsid w:val="003E54DB"/>
    <w:rsid w:val="003E7B02"/>
    <w:rsid w:val="003E7D44"/>
    <w:rsid w:val="003F04EE"/>
    <w:rsid w:val="003F05BE"/>
    <w:rsid w:val="003F260C"/>
    <w:rsid w:val="003F276D"/>
    <w:rsid w:val="003F4482"/>
    <w:rsid w:val="003F5F64"/>
    <w:rsid w:val="003F6C2F"/>
    <w:rsid w:val="00400494"/>
    <w:rsid w:val="004006B3"/>
    <w:rsid w:val="00400734"/>
    <w:rsid w:val="00400BF6"/>
    <w:rsid w:val="0040217B"/>
    <w:rsid w:val="00402790"/>
    <w:rsid w:val="0040285E"/>
    <w:rsid w:val="00402D54"/>
    <w:rsid w:val="00403BD2"/>
    <w:rsid w:val="004051E4"/>
    <w:rsid w:val="0040649E"/>
    <w:rsid w:val="0040791C"/>
    <w:rsid w:val="00407A7F"/>
    <w:rsid w:val="00407B2B"/>
    <w:rsid w:val="004104BC"/>
    <w:rsid w:val="004111A5"/>
    <w:rsid w:val="004112F4"/>
    <w:rsid w:val="004115EB"/>
    <w:rsid w:val="00411630"/>
    <w:rsid w:val="00412124"/>
    <w:rsid w:val="00412887"/>
    <w:rsid w:val="00412B93"/>
    <w:rsid w:val="00413152"/>
    <w:rsid w:val="00413DFE"/>
    <w:rsid w:val="00413F6E"/>
    <w:rsid w:val="004140F6"/>
    <w:rsid w:val="004143D7"/>
    <w:rsid w:val="0041462B"/>
    <w:rsid w:val="004153FB"/>
    <w:rsid w:val="00415955"/>
    <w:rsid w:val="004169F3"/>
    <w:rsid w:val="00416E32"/>
    <w:rsid w:val="00416FE4"/>
    <w:rsid w:val="004178CB"/>
    <w:rsid w:val="004200DA"/>
    <w:rsid w:val="004201B5"/>
    <w:rsid w:val="004207C8"/>
    <w:rsid w:val="00421766"/>
    <w:rsid w:val="004223B0"/>
    <w:rsid w:val="004228CF"/>
    <w:rsid w:val="00422BAB"/>
    <w:rsid w:val="0042550C"/>
    <w:rsid w:val="0042627C"/>
    <w:rsid w:val="00427580"/>
    <w:rsid w:val="004275EB"/>
    <w:rsid w:val="00427A54"/>
    <w:rsid w:val="00427BDB"/>
    <w:rsid w:val="00430419"/>
    <w:rsid w:val="00430585"/>
    <w:rsid w:val="004308EF"/>
    <w:rsid w:val="004319A9"/>
    <w:rsid w:val="004319B6"/>
    <w:rsid w:val="00432B1C"/>
    <w:rsid w:val="0043654E"/>
    <w:rsid w:val="004366C2"/>
    <w:rsid w:val="004368E7"/>
    <w:rsid w:val="004371F9"/>
    <w:rsid w:val="004378F8"/>
    <w:rsid w:val="00437C6B"/>
    <w:rsid w:val="00437D13"/>
    <w:rsid w:val="0044062A"/>
    <w:rsid w:val="00440C40"/>
    <w:rsid w:val="00440FDD"/>
    <w:rsid w:val="004410B9"/>
    <w:rsid w:val="00441CC0"/>
    <w:rsid w:val="0044295B"/>
    <w:rsid w:val="004432AB"/>
    <w:rsid w:val="004439E4"/>
    <w:rsid w:val="004447E5"/>
    <w:rsid w:val="00444F5B"/>
    <w:rsid w:val="00445B0D"/>
    <w:rsid w:val="00445C54"/>
    <w:rsid w:val="00446CE2"/>
    <w:rsid w:val="00446DC7"/>
    <w:rsid w:val="004471A1"/>
    <w:rsid w:val="00447C14"/>
    <w:rsid w:val="004522B4"/>
    <w:rsid w:val="00452C31"/>
    <w:rsid w:val="0045336A"/>
    <w:rsid w:val="004539C9"/>
    <w:rsid w:val="004542B9"/>
    <w:rsid w:val="00454D14"/>
    <w:rsid w:val="00455061"/>
    <w:rsid w:val="00456824"/>
    <w:rsid w:val="004570BA"/>
    <w:rsid w:val="004577BF"/>
    <w:rsid w:val="00457F44"/>
    <w:rsid w:val="004601CB"/>
    <w:rsid w:val="004604E2"/>
    <w:rsid w:val="00461AC4"/>
    <w:rsid w:val="004627BA"/>
    <w:rsid w:val="004645DC"/>
    <w:rsid w:val="0046499E"/>
    <w:rsid w:val="00464D8B"/>
    <w:rsid w:val="0046541F"/>
    <w:rsid w:val="00465D41"/>
    <w:rsid w:val="00465D69"/>
    <w:rsid w:val="00466414"/>
    <w:rsid w:val="00466F1F"/>
    <w:rsid w:val="004701EB"/>
    <w:rsid w:val="00470855"/>
    <w:rsid w:val="004708BC"/>
    <w:rsid w:val="00472867"/>
    <w:rsid w:val="004738DD"/>
    <w:rsid w:val="004740AD"/>
    <w:rsid w:val="004745D6"/>
    <w:rsid w:val="00474AC4"/>
    <w:rsid w:val="00475061"/>
    <w:rsid w:val="00475134"/>
    <w:rsid w:val="0047571B"/>
    <w:rsid w:val="004761E8"/>
    <w:rsid w:val="004766CC"/>
    <w:rsid w:val="004768E1"/>
    <w:rsid w:val="004771DB"/>
    <w:rsid w:val="00477D9E"/>
    <w:rsid w:val="00480304"/>
    <w:rsid w:val="00481393"/>
    <w:rsid w:val="004818EC"/>
    <w:rsid w:val="00482F02"/>
    <w:rsid w:val="004831AC"/>
    <w:rsid w:val="00483B5A"/>
    <w:rsid w:val="00483E20"/>
    <w:rsid w:val="00484489"/>
    <w:rsid w:val="0048457D"/>
    <w:rsid w:val="004849AF"/>
    <w:rsid w:val="00484F6F"/>
    <w:rsid w:val="00485A69"/>
    <w:rsid w:val="00486234"/>
    <w:rsid w:val="00486901"/>
    <w:rsid w:val="00490377"/>
    <w:rsid w:val="00491A6D"/>
    <w:rsid w:val="004920C8"/>
    <w:rsid w:val="004920E9"/>
    <w:rsid w:val="00492683"/>
    <w:rsid w:val="00493066"/>
    <w:rsid w:val="0049328B"/>
    <w:rsid w:val="00494E30"/>
    <w:rsid w:val="00494EAE"/>
    <w:rsid w:val="0049529E"/>
    <w:rsid w:val="0049573E"/>
    <w:rsid w:val="00496D81"/>
    <w:rsid w:val="00497946"/>
    <w:rsid w:val="004A0357"/>
    <w:rsid w:val="004A049C"/>
    <w:rsid w:val="004A0C57"/>
    <w:rsid w:val="004A18BB"/>
    <w:rsid w:val="004A1D6A"/>
    <w:rsid w:val="004A238B"/>
    <w:rsid w:val="004A29FB"/>
    <w:rsid w:val="004A2CF5"/>
    <w:rsid w:val="004A3A1E"/>
    <w:rsid w:val="004A3DAD"/>
    <w:rsid w:val="004A47F2"/>
    <w:rsid w:val="004A649D"/>
    <w:rsid w:val="004A68C8"/>
    <w:rsid w:val="004A7482"/>
    <w:rsid w:val="004B0304"/>
    <w:rsid w:val="004B06E6"/>
    <w:rsid w:val="004B0F70"/>
    <w:rsid w:val="004B1505"/>
    <w:rsid w:val="004B204B"/>
    <w:rsid w:val="004B34A5"/>
    <w:rsid w:val="004B35F4"/>
    <w:rsid w:val="004B3793"/>
    <w:rsid w:val="004B37CB"/>
    <w:rsid w:val="004B5D94"/>
    <w:rsid w:val="004B6321"/>
    <w:rsid w:val="004B69E1"/>
    <w:rsid w:val="004C045D"/>
    <w:rsid w:val="004C0A7E"/>
    <w:rsid w:val="004C13BD"/>
    <w:rsid w:val="004C1EA7"/>
    <w:rsid w:val="004C29DA"/>
    <w:rsid w:val="004C3276"/>
    <w:rsid w:val="004C46E4"/>
    <w:rsid w:val="004C6269"/>
    <w:rsid w:val="004C722E"/>
    <w:rsid w:val="004C7559"/>
    <w:rsid w:val="004C7AB7"/>
    <w:rsid w:val="004D088D"/>
    <w:rsid w:val="004D096B"/>
    <w:rsid w:val="004D0F3D"/>
    <w:rsid w:val="004D1844"/>
    <w:rsid w:val="004D1CB7"/>
    <w:rsid w:val="004D1DCE"/>
    <w:rsid w:val="004D1E5A"/>
    <w:rsid w:val="004D2927"/>
    <w:rsid w:val="004D4B93"/>
    <w:rsid w:val="004D5681"/>
    <w:rsid w:val="004D62F9"/>
    <w:rsid w:val="004D7363"/>
    <w:rsid w:val="004E13B0"/>
    <w:rsid w:val="004E1552"/>
    <w:rsid w:val="004E2BE0"/>
    <w:rsid w:val="004E36F6"/>
    <w:rsid w:val="004E4B92"/>
    <w:rsid w:val="004E4F22"/>
    <w:rsid w:val="004E69AD"/>
    <w:rsid w:val="004E736A"/>
    <w:rsid w:val="004F0DB8"/>
    <w:rsid w:val="004F0EB9"/>
    <w:rsid w:val="004F0F3D"/>
    <w:rsid w:val="004F122C"/>
    <w:rsid w:val="004F2993"/>
    <w:rsid w:val="004F3022"/>
    <w:rsid w:val="004F32D7"/>
    <w:rsid w:val="004F3F69"/>
    <w:rsid w:val="004F40D6"/>
    <w:rsid w:val="004F4CED"/>
    <w:rsid w:val="004F4D4F"/>
    <w:rsid w:val="004F66F8"/>
    <w:rsid w:val="0050046C"/>
    <w:rsid w:val="00500886"/>
    <w:rsid w:val="00501375"/>
    <w:rsid w:val="0050186E"/>
    <w:rsid w:val="00501D36"/>
    <w:rsid w:val="00502169"/>
    <w:rsid w:val="00502AE8"/>
    <w:rsid w:val="00503153"/>
    <w:rsid w:val="00503777"/>
    <w:rsid w:val="00503F0A"/>
    <w:rsid w:val="0050550E"/>
    <w:rsid w:val="0050692D"/>
    <w:rsid w:val="005077B2"/>
    <w:rsid w:val="00507A38"/>
    <w:rsid w:val="00507BBF"/>
    <w:rsid w:val="005109EB"/>
    <w:rsid w:val="005112B5"/>
    <w:rsid w:val="0051184D"/>
    <w:rsid w:val="00512D71"/>
    <w:rsid w:val="00512E67"/>
    <w:rsid w:val="005132F9"/>
    <w:rsid w:val="00513910"/>
    <w:rsid w:val="00513D6D"/>
    <w:rsid w:val="005143CE"/>
    <w:rsid w:val="005164F6"/>
    <w:rsid w:val="00516A84"/>
    <w:rsid w:val="00516A9D"/>
    <w:rsid w:val="00517A20"/>
    <w:rsid w:val="005204A8"/>
    <w:rsid w:val="00520CE3"/>
    <w:rsid w:val="0052119D"/>
    <w:rsid w:val="00521986"/>
    <w:rsid w:val="00521A62"/>
    <w:rsid w:val="005245D6"/>
    <w:rsid w:val="0052493F"/>
    <w:rsid w:val="00524AC0"/>
    <w:rsid w:val="00525473"/>
    <w:rsid w:val="005255BA"/>
    <w:rsid w:val="00525A15"/>
    <w:rsid w:val="0052739E"/>
    <w:rsid w:val="00527BE1"/>
    <w:rsid w:val="00527E96"/>
    <w:rsid w:val="00530179"/>
    <w:rsid w:val="00530AF3"/>
    <w:rsid w:val="00530CA9"/>
    <w:rsid w:val="00530DCD"/>
    <w:rsid w:val="00531A80"/>
    <w:rsid w:val="005326CF"/>
    <w:rsid w:val="00532818"/>
    <w:rsid w:val="005329B8"/>
    <w:rsid w:val="005338CD"/>
    <w:rsid w:val="00533AF4"/>
    <w:rsid w:val="00533F56"/>
    <w:rsid w:val="005342BC"/>
    <w:rsid w:val="00534DF4"/>
    <w:rsid w:val="00534EDA"/>
    <w:rsid w:val="00535A6B"/>
    <w:rsid w:val="00537574"/>
    <w:rsid w:val="00537C69"/>
    <w:rsid w:val="0054098C"/>
    <w:rsid w:val="0054158D"/>
    <w:rsid w:val="00541C05"/>
    <w:rsid w:val="00542482"/>
    <w:rsid w:val="005464E6"/>
    <w:rsid w:val="0054692F"/>
    <w:rsid w:val="0054730D"/>
    <w:rsid w:val="00547A8E"/>
    <w:rsid w:val="0055077D"/>
    <w:rsid w:val="00550971"/>
    <w:rsid w:val="0055183A"/>
    <w:rsid w:val="0055254E"/>
    <w:rsid w:val="00552F59"/>
    <w:rsid w:val="0055387A"/>
    <w:rsid w:val="00553A64"/>
    <w:rsid w:val="00554DA1"/>
    <w:rsid w:val="00554DA5"/>
    <w:rsid w:val="00554F07"/>
    <w:rsid w:val="00557BF7"/>
    <w:rsid w:val="00560D87"/>
    <w:rsid w:val="0056112F"/>
    <w:rsid w:val="005613EC"/>
    <w:rsid w:val="005613EE"/>
    <w:rsid w:val="0056359C"/>
    <w:rsid w:val="00563AA2"/>
    <w:rsid w:val="00564811"/>
    <w:rsid w:val="005648C2"/>
    <w:rsid w:val="005649E8"/>
    <w:rsid w:val="00565743"/>
    <w:rsid w:val="00565F3D"/>
    <w:rsid w:val="00566386"/>
    <w:rsid w:val="00566A3A"/>
    <w:rsid w:val="00567353"/>
    <w:rsid w:val="005678CD"/>
    <w:rsid w:val="005701CF"/>
    <w:rsid w:val="00570B7E"/>
    <w:rsid w:val="00570E1D"/>
    <w:rsid w:val="0057132E"/>
    <w:rsid w:val="00573839"/>
    <w:rsid w:val="00573B0F"/>
    <w:rsid w:val="005747F3"/>
    <w:rsid w:val="00574928"/>
    <w:rsid w:val="00575224"/>
    <w:rsid w:val="00575E25"/>
    <w:rsid w:val="00576467"/>
    <w:rsid w:val="005771D2"/>
    <w:rsid w:val="005778B6"/>
    <w:rsid w:val="00577A09"/>
    <w:rsid w:val="00577ED3"/>
    <w:rsid w:val="00580A5C"/>
    <w:rsid w:val="00581BD7"/>
    <w:rsid w:val="00581C20"/>
    <w:rsid w:val="00582A55"/>
    <w:rsid w:val="00582D55"/>
    <w:rsid w:val="0058334A"/>
    <w:rsid w:val="00584EB4"/>
    <w:rsid w:val="00585035"/>
    <w:rsid w:val="00587052"/>
    <w:rsid w:val="0058762F"/>
    <w:rsid w:val="00590199"/>
    <w:rsid w:val="00590366"/>
    <w:rsid w:val="00591E04"/>
    <w:rsid w:val="005929A6"/>
    <w:rsid w:val="0059339A"/>
    <w:rsid w:val="00593892"/>
    <w:rsid w:val="00593CEF"/>
    <w:rsid w:val="00595198"/>
    <w:rsid w:val="0059554D"/>
    <w:rsid w:val="005956B3"/>
    <w:rsid w:val="00596453"/>
    <w:rsid w:val="00597756"/>
    <w:rsid w:val="00597FE7"/>
    <w:rsid w:val="005A0E07"/>
    <w:rsid w:val="005A12DF"/>
    <w:rsid w:val="005A2077"/>
    <w:rsid w:val="005A3614"/>
    <w:rsid w:val="005A46AF"/>
    <w:rsid w:val="005A5B25"/>
    <w:rsid w:val="005A65B9"/>
    <w:rsid w:val="005A65FD"/>
    <w:rsid w:val="005A76D1"/>
    <w:rsid w:val="005A790E"/>
    <w:rsid w:val="005B0107"/>
    <w:rsid w:val="005B045F"/>
    <w:rsid w:val="005B0CB5"/>
    <w:rsid w:val="005B0CE5"/>
    <w:rsid w:val="005B0E74"/>
    <w:rsid w:val="005B0F21"/>
    <w:rsid w:val="005B13AB"/>
    <w:rsid w:val="005B14E5"/>
    <w:rsid w:val="005B1B5A"/>
    <w:rsid w:val="005B20AD"/>
    <w:rsid w:val="005B20BE"/>
    <w:rsid w:val="005B284D"/>
    <w:rsid w:val="005B30C9"/>
    <w:rsid w:val="005B4092"/>
    <w:rsid w:val="005B457F"/>
    <w:rsid w:val="005B4FD3"/>
    <w:rsid w:val="005B62AC"/>
    <w:rsid w:val="005B6787"/>
    <w:rsid w:val="005C027F"/>
    <w:rsid w:val="005C04AB"/>
    <w:rsid w:val="005C0AD6"/>
    <w:rsid w:val="005C1343"/>
    <w:rsid w:val="005C169E"/>
    <w:rsid w:val="005C2D74"/>
    <w:rsid w:val="005C30A9"/>
    <w:rsid w:val="005C35F5"/>
    <w:rsid w:val="005C36AB"/>
    <w:rsid w:val="005C50B9"/>
    <w:rsid w:val="005C528B"/>
    <w:rsid w:val="005C72AD"/>
    <w:rsid w:val="005D0016"/>
    <w:rsid w:val="005D1194"/>
    <w:rsid w:val="005D1375"/>
    <w:rsid w:val="005D2745"/>
    <w:rsid w:val="005D28EE"/>
    <w:rsid w:val="005D292F"/>
    <w:rsid w:val="005D3B4A"/>
    <w:rsid w:val="005D4359"/>
    <w:rsid w:val="005D4A9A"/>
    <w:rsid w:val="005D5499"/>
    <w:rsid w:val="005D757C"/>
    <w:rsid w:val="005D784B"/>
    <w:rsid w:val="005D793E"/>
    <w:rsid w:val="005E0066"/>
    <w:rsid w:val="005E151F"/>
    <w:rsid w:val="005E31ED"/>
    <w:rsid w:val="005E478E"/>
    <w:rsid w:val="005E4F07"/>
    <w:rsid w:val="005E5202"/>
    <w:rsid w:val="005E523B"/>
    <w:rsid w:val="005E560E"/>
    <w:rsid w:val="005E5ECE"/>
    <w:rsid w:val="005E606B"/>
    <w:rsid w:val="005E6286"/>
    <w:rsid w:val="005E6C24"/>
    <w:rsid w:val="005E6E87"/>
    <w:rsid w:val="005E6ECF"/>
    <w:rsid w:val="005E70A9"/>
    <w:rsid w:val="005E7888"/>
    <w:rsid w:val="005F01F6"/>
    <w:rsid w:val="005F0C04"/>
    <w:rsid w:val="005F0E83"/>
    <w:rsid w:val="005F1B3D"/>
    <w:rsid w:val="005F286B"/>
    <w:rsid w:val="005F3B55"/>
    <w:rsid w:val="005F4239"/>
    <w:rsid w:val="005F618B"/>
    <w:rsid w:val="005F65FB"/>
    <w:rsid w:val="005F6A00"/>
    <w:rsid w:val="005F6B6B"/>
    <w:rsid w:val="005F6D98"/>
    <w:rsid w:val="005F7E5A"/>
    <w:rsid w:val="0060038A"/>
    <w:rsid w:val="006003CC"/>
    <w:rsid w:val="00600A5D"/>
    <w:rsid w:val="00600BC1"/>
    <w:rsid w:val="00600F24"/>
    <w:rsid w:val="006014F0"/>
    <w:rsid w:val="00601987"/>
    <w:rsid w:val="00602007"/>
    <w:rsid w:val="006023E2"/>
    <w:rsid w:val="0060321A"/>
    <w:rsid w:val="00603387"/>
    <w:rsid w:val="0060354F"/>
    <w:rsid w:val="00603769"/>
    <w:rsid w:val="00604CB3"/>
    <w:rsid w:val="00605B14"/>
    <w:rsid w:val="00606CF2"/>
    <w:rsid w:val="00607232"/>
    <w:rsid w:val="0060777A"/>
    <w:rsid w:val="00610A21"/>
    <w:rsid w:val="00611540"/>
    <w:rsid w:val="00612F8F"/>
    <w:rsid w:val="00613607"/>
    <w:rsid w:val="00613A0B"/>
    <w:rsid w:val="006143EF"/>
    <w:rsid w:val="006147E7"/>
    <w:rsid w:val="00614CC3"/>
    <w:rsid w:val="00614D71"/>
    <w:rsid w:val="00615F54"/>
    <w:rsid w:val="00616271"/>
    <w:rsid w:val="006165D9"/>
    <w:rsid w:val="00616768"/>
    <w:rsid w:val="00616C34"/>
    <w:rsid w:val="00620AE8"/>
    <w:rsid w:val="00621307"/>
    <w:rsid w:val="00622A00"/>
    <w:rsid w:val="00622CA6"/>
    <w:rsid w:val="006236F1"/>
    <w:rsid w:val="006247B1"/>
    <w:rsid w:val="00624A10"/>
    <w:rsid w:val="00626D50"/>
    <w:rsid w:val="006277A7"/>
    <w:rsid w:val="00631073"/>
    <w:rsid w:val="00631F61"/>
    <w:rsid w:val="006328CA"/>
    <w:rsid w:val="00632D38"/>
    <w:rsid w:val="00633773"/>
    <w:rsid w:val="00633D15"/>
    <w:rsid w:val="00633E80"/>
    <w:rsid w:val="0063472C"/>
    <w:rsid w:val="00634854"/>
    <w:rsid w:val="00634FC4"/>
    <w:rsid w:val="00635BFF"/>
    <w:rsid w:val="006365CF"/>
    <w:rsid w:val="00636A46"/>
    <w:rsid w:val="006404F6"/>
    <w:rsid w:val="00641725"/>
    <w:rsid w:val="00641B83"/>
    <w:rsid w:val="00642E14"/>
    <w:rsid w:val="00642F38"/>
    <w:rsid w:val="0064355E"/>
    <w:rsid w:val="0064377F"/>
    <w:rsid w:val="0064462E"/>
    <w:rsid w:val="00644EA0"/>
    <w:rsid w:val="00645267"/>
    <w:rsid w:val="006453FF"/>
    <w:rsid w:val="00645FAB"/>
    <w:rsid w:val="00646045"/>
    <w:rsid w:val="0064646B"/>
    <w:rsid w:val="00646937"/>
    <w:rsid w:val="00646E7A"/>
    <w:rsid w:val="00647321"/>
    <w:rsid w:val="00652437"/>
    <w:rsid w:val="00652D3D"/>
    <w:rsid w:val="00652D9B"/>
    <w:rsid w:val="00652FDB"/>
    <w:rsid w:val="00653767"/>
    <w:rsid w:val="006544F5"/>
    <w:rsid w:val="00654AB4"/>
    <w:rsid w:val="00656BF0"/>
    <w:rsid w:val="006603B4"/>
    <w:rsid w:val="00660402"/>
    <w:rsid w:val="006609C5"/>
    <w:rsid w:val="00660BCF"/>
    <w:rsid w:val="00661B81"/>
    <w:rsid w:val="00661D56"/>
    <w:rsid w:val="00661ECB"/>
    <w:rsid w:val="00661F97"/>
    <w:rsid w:val="006624B7"/>
    <w:rsid w:val="00663CB3"/>
    <w:rsid w:val="00664EEE"/>
    <w:rsid w:val="0066557F"/>
    <w:rsid w:val="006657B2"/>
    <w:rsid w:val="00665E3C"/>
    <w:rsid w:val="00667BD4"/>
    <w:rsid w:val="0067026E"/>
    <w:rsid w:val="00670EEE"/>
    <w:rsid w:val="0067123C"/>
    <w:rsid w:val="006718AE"/>
    <w:rsid w:val="006719DA"/>
    <w:rsid w:val="006720D8"/>
    <w:rsid w:val="00672589"/>
    <w:rsid w:val="0067294E"/>
    <w:rsid w:val="00672C9E"/>
    <w:rsid w:val="00672CCC"/>
    <w:rsid w:val="006743EF"/>
    <w:rsid w:val="0067464C"/>
    <w:rsid w:val="0067495B"/>
    <w:rsid w:val="006755E7"/>
    <w:rsid w:val="00676206"/>
    <w:rsid w:val="0067640E"/>
    <w:rsid w:val="00676794"/>
    <w:rsid w:val="006767C1"/>
    <w:rsid w:val="00676901"/>
    <w:rsid w:val="00677784"/>
    <w:rsid w:val="00677A46"/>
    <w:rsid w:val="00680029"/>
    <w:rsid w:val="00680519"/>
    <w:rsid w:val="00680DDA"/>
    <w:rsid w:val="006819F8"/>
    <w:rsid w:val="00681D71"/>
    <w:rsid w:val="006832A6"/>
    <w:rsid w:val="00683F06"/>
    <w:rsid w:val="00684B4E"/>
    <w:rsid w:val="006854E8"/>
    <w:rsid w:val="006875FF"/>
    <w:rsid w:val="006878D7"/>
    <w:rsid w:val="00690007"/>
    <w:rsid w:val="00692383"/>
    <w:rsid w:val="00692840"/>
    <w:rsid w:val="00692D36"/>
    <w:rsid w:val="00693018"/>
    <w:rsid w:val="0069339D"/>
    <w:rsid w:val="00693927"/>
    <w:rsid w:val="00694A13"/>
    <w:rsid w:val="00694E25"/>
    <w:rsid w:val="00694E83"/>
    <w:rsid w:val="00694F10"/>
    <w:rsid w:val="00695FBB"/>
    <w:rsid w:val="0069610D"/>
    <w:rsid w:val="006965B4"/>
    <w:rsid w:val="00696A3A"/>
    <w:rsid w:val="00696AED"/>
    <w:rsid w:val="00697853"/>
    <w:rsid w:val="006A03CA"/>
    <w:rsid w:val="006A18AB"/>
    <w:rsid w:val="006A3F56"/>
    <w:rsid w:val="006A403B"/>
    <w:rsid w:val="006A45EB"/>
    <w:rsid w:val="006A4B6C"/>
    <w:rsid w:val="006A56D0"/>
    <w:rsid w:val="006A714D"/>
    <w:rsid w:val="006B0044"/>
    <w:rsid w:val="006B0226"/>
    <w:rsid w:val="006B0568"/>
    <w:rsid w:val="006B07B2"/>
    <w:rsid w:val="006B125A"/>
    <w:rsid w:val="006B12A4"/>
    <w:rsid w:val="006B32BA"/>
    <w:rsid w:val="006B3B5C"/>
    <w:rsid w:val="006B4695"/>
    <w:rsid w:val="006B4987"/>
    <w:rsid w:val="006B5703"/>
    <w:rsid w:val="006C18FC"/>
    <w:rsid w:val="006C2627"/>
    <w:rsid w:val="006C49A5"/>
    <w:rsid w:val="006C54A8"/>
    <w:rsid w:val="006C6104"/>
    <w:rsid w:val="006C6597"/>
    <w:rsid w:val="006C698E"/>
    <w:rsid w:val="006C6F18"/>
    <w:rsid w:val="006C703D"/>
    <w:rsid w:val="006C7285"/>
    <w:rsid w:val="006C7947"/>
    <w:rsid w:val="006D08A2"/>
    <w:rsid w:val="006D0FEB"/>
    <w:rsid w:val="006D2384"/>
    <w:rsid w:val="006D3852"/>
    <w:rsid w:val="006D3A37"/>
    <w:rsid w:val="006D3F27"/>
    <w:rsid w:val="006D5723"/>
    <w:rsid w:val="006D739E"/>
    <w:rsid w:val="006D746B"/>
    <w:rsid w:val="006E088B"/>
    <w:rsid w:val="006E15EA"/>
    <w:rsid w:val="006E1A36"/>
    <w:rsid w:val="006E3F69"/>
    <w:rsid w:val="006E4588"/>
    <w:rsid w:val="006E684F"/>
    <w:rsid w:val="006F016E"/>
    <w:rsid w:val="006F02C5"/>
    <w:rsid w:val="006F06CE"/>
    <w:rsid w:val="006F0E3D"/>
    <w:rsid w:val="006F1989"/>
    <w:rsid w:val="006F1C35"/>
    <w:rsid w:val="006F344A"/>
    <w:rsid w:val="006F34E2"/>
    <w:rsid w:val="006F3E10"/>
    <w:rsid w:val="006F4080"/>
    <w:rsid w:val="006F4841"/>
    <w:rsid w:val="006F4E7E"/>
    <w:rsid w:val="006F56A6"/>
    <w:rsid w:val="006F658A"/>
    <w:rsid w:val="006F773A"/>
    <w:rsid w:val="0070408D"/>
    <w:rsid w:val="0070409F"/>
    <w:rsid w:val="0070483C"/>
    <w:rsid w:val="00705EF0"/>
    <w:rsid w:val="0070738D"/>
    <w:rsid w:val="007077A1"/>
    <w:rsid w:val="00707D0E"/>
    <w:rsid w:val="00707D56"/>
    <w:rsid w:val="0071025D"/>
    <w:rsid w:val="00710DBA"/>
    <w:rsid w:val="007112AA"/>
    <w:rsid w:val="007115D1"/>
    <w:rsid w:val="007131AE"/>
    <w:rsid w:val="0071354C"/>
    <w:rsid w:val="00714919"/>
    <w:rsid w:val="00720119"/>
    <w:rsid w:val="00720E9E"/>
    <w:rsid w:val="00723350"/>
    <w:rsid w:val="007235EE"/>
    <w:rsid w:val="00723983"/>
    <w:rsid w:val="00723DA8"/>
    <w:rsid w:val="00724056"/>
    <w:rsid w:val="00724438"/>
    <w:rsid w:val="007249D8"/>
    <w:rsid w:val="0072679E"/>
    <w:rsid w:val="007268BF"/>
    <w:rsid w:val="00726B9A"/>
    <w:rsid w:val="00727230"/>
    <w:rsid w:val="00730275"/>
    <w:rsid w:val="0073060E"/>
    <w:rsid w:val="0073129B"/>
    <w:rsid w:val="00731850"/>
    <w:rsid w:val="00732765"/>
    <w:rsid w:val="00732BE1"/>
    <w:rsid w:val="00733CAB"/>
    <w:rsid w:val="00734618"/>
    <w:rsid w:val="007346AB"/>
    <w:rsid w:val="0073470C"/>
    <w:rsid w:val="0073492B"/>
    <w:rsid w:val="00734E8D"/>
    <w:rsid w:val="0073500D"/>
    <w:rsid w:val="007350BF"/>
    <w:rsid w:val="00737622"/>
    <w:rsid w:val="00737901"/>
    <w:rsid w:val="00737C7C"/>
    <w:rsid w:val="0074064D"/>
    <w:rsid w:val="00740FB7"/>
    <w:rsid w:val="0074163C"/>
    <w:rsid w:val="00741750"/>
    <w:rsid w:val="007417F9"/>
    <w:rsid w:val="00741C50"/>
    <w:rsid w:val="00743E09"/>
    <w:rsid w:val="00744765"/>
    <w:rsid w:val="00744C1C"/>
    <w:rsid w:val="00744D9B"/>
    <w:rsid w:val="007466D0"/>
    <w:rsid w:val="007467F8"/>
    <w:rsid w:val="0075064E"/>
    <w:rsid w:val="00750967"/>
    <w:rsid w:val="00750E2A"/>
    <w:rsid w:val="0075119F"/>
    <w:rsid w:val="00751681"/>
    <w:rsid w:val="007516FC"/>
    <w:rsid w:val="00751CB7"/>
    <w:rsid w:val="00752498"/>
    <w:rsid w:val="00752B25"/>
    <w:rsid w:val="00753E88"/>
    <w:rsid w:val="007544B0"/>
    <w:rsid w:val="007577BB"/>
    <w:rsid w:val="007603A7"/>
    <w:rsid w:val="00760B5D"/>
    <w:rsid w:val="0076185F"/>
    <w:rsid w:val="007621B6"/>
    <w:rsid w:val="0076237F"/>
    <w:rsid w:val="00762A44"/>
    <w:rsid w:val="00762EE8"/>
    <w:rsid w:val="0076435A"/>
    <w:rsid w:val="00766145"/>
    <w:rsid w:val="00766217"/>
    <w:rsid w:val="0076622B"/>
    <w:rsid w:val="00766B46"/>
    <w:rsid w:val="0076726A"/>
    <w:rsid w:val="00767697"/>
    <w:rsid w:val="00767B59"/>
    <w:rsid w:val="007702AC"/>
    <w:rsid w:val="007720A1"/>
    <w:rsid w:val="007728E1"/>
    <w:rsid w:val="00772952"/>
    <w:rsid w:val="007729DE"/>
    <w:rsid w:val="00772B45"/>
    <w:rsid w:val="00772B61"/>
    <w:rsid w:val="00773FA4"/>
    <w:rsid w:val="00774238"/>
    <w:rsid w:val="00774640"/>
    <w:rsid w:val="00774DC2"/>
    <w:rsid w:val="00774F3E"/>
    <w:rsid w:val="00775187"/>
    <w:rsid w:val="00775289"/>
    <w:rsid w:val="0077633C"/>
    <w:rsid w:val="00780501"/>
    <w:rsid w:val="0078076D"/>
    <w:rsid w:val="00780BE4"/>
    <w:rsid w:val="00780C14"/>
    <w:rsid w:val="00781051"/>
    <w:rsid w:val="00781B9E"/>
    <w:rsid w:val="00782954"/>
    <w:rsid w:val="00782EC5"/>
    <w:rsid w:val="00783464"/>
    <w:rsid w:val="007836D5"/>
    <w:rsid w:val="00783CB6"/>
    <w:rsid w:val="007849AF"/>
    <w:rsid w:val="00785297"/>
    <w:rsid w:val="00785675"/>
    <w:rsid w:val="00785B0F"/>
    <w:rsid w:val="00787A39"/>
    <w:rsid w:val="00790202"/>
    <w:rsid w:val="0079043D"/>
    <w:rsid w:val="0079143D"/>
    <w:rsid w:val="00791669"/>
    <w:rsid w:val="00791700"/>
    <w:rsid w:val="00791AAA"/>
    <w:rsid w:val="00791DA3"/>
    <w:rsid w:val="007921AE"/>
    <w:rsid w:val="0079271C"/>
    <w:rsid w:val="00793BA2"/>
    <w:rsid w:val="0079540F"/>
    <w:rsid w:val="00797244"/>
    <w:rsid w:val="00797D4C"/>
    <w:rsid w:val="00797E44"/>
    <w:rsid w:val="007A037C"/>
    <w:rsid w:val="007A23BF"/>
    <w:rsid w:val="007A2692"/>
    <w:rsid w:val="007A2832"/>
    <w:rsid w:val="007A312F"/>
    <w:rsid w:val="007A3D29"/>
    <w:rsid w:val="007A3E3C"/>
    <w:rsid w:val="007A3F9B"/>
    <w:rsid w:val="007A4A97"/>
    <w:rsid w:val="007A4FA2"/>
    <w:rsid w:val="007A557D"/>
    <w:rsid w:val="007A56B8"/>
    <w:rsid w:val="007A5889"/>
    <w:rsid w:val="007A5D45"/>
    <w:rsid w:val="007A6FE9"/>
    <w:rsid w:val="007A7DAE"/>
    <w:rsid w:val="007B2D94"/>
    <w:rsid w:val="007B382B"/>
    <w:rsid w:val="007B4616"/>
    <w:rsid w:val="007B470D"/>
    <w:rsid w:val="007B4DC4"/>
    <w:rsid w:val="007B5243"/>
    <w:rsid w:val="007B532B"/>
    <w:rsid w:val="007B5F0C"/>
    <w:rsid w:val="007B6C31"/>
    <w:rsid w:val="007B7475"/>
    <w:rsid w:val="007B7AF2"/>
    <w:rsid w:val="007C14C7"/>
    <w:rsid w:val="007C231A"/>
    <w:rsid w:val="007C2457"/>
    <w:rsid w:val="007C27E3"/>
    <w:rsid w:val="007C3E82"/>
    <w:rsid w:val="007C6400"/>
    <w:rsid w:val="007C664C"/>
    <w:rsid w:val="007C6DDB"/>
    <w:rsid w:val="007C6F15"/>
    <w:rsid w:val="007C72A8"/>
    <w:rsid w:val="007C7A5E"/>
    <w:rsid w:val="007D0362"/>
    <w:rsid w:val="007D0804"/>
    <w:rsid w:val="007D0B52"/>
    <w:rsid w:val="007D1CD8"/>
    <w:rsid w:val="007D3829"/>
    <w:rsid w:val="007D48AE"/>
    <w:rsid w:val="007D4B5F"/>
    <w:rsid w:val="007D6339"/>
    <w:rsid w:val="007D6856"/>
    <w:rsid w:val="007D7C73"/>
    <w:rsid w:val="007D7F33"/>
    <w:rsid w:val="007E1AD3"/>
    <w:rsid w:val="007E1D07"/>
    <w:rsid w:val="007E2159"/>
    <w:rsid w:val="007E2AE2"/>
    <w:rsid w:val="007E344D"/>
    <w:rsid w:val="007E4120"/>
    <w:rsid w:val="007E4C96"/>
    <w:rsid w:val="007E4D25"/>
    <w:rsid w:val="007E4F82"/>
    <w:rsid w:val="007E52E3"/>
    <w:rsid w:val="007E6381"/>
    <w:rsid w:val="007E68DD"/>
    <w:rsid w:val="007E6B7C"/>
    <w:rsid w:val="007E76EB"/>
    <w:rsid w:val="007F1014"/>
    <w:rsid w:val="007F138A"/>
    <w:rsid w:val="007F16D1"/>
    <w:rsid w:val="007F1E2A"/>
    <w:rsid w:val="007F2C0C"/>
    <w:rsid w:val="007F4B65"/>
    <w:rsid w:val="007F698A"/>
    <w:rsid w:val="00800D87"/>
    <w:rsid w:val="008011DC"/>
    <w:rsid w:val="00801CDE"/>
    <w:rsid w:val="00801E1E"/>
    <w:rsid w:val="008022DB"/>
    <w:rsid w:val="00802441"/>
    <w:rsid w:val="008028F2"/>
    <w:rsid w:val="008038FA"/>
    <w:rsid w:val="0080447D"/>
    <w:rsid w:val="00804F36"/>
    <w:rsid w:val="008058E4"/>
    <w:rsid w:val="008065BC"/>
    <w:rsid w:val="00810E05"/>
    <w:rsid w:val="00811357"/>
    <w:rsid w:val="00812610"/>
    <w:rsid w:val="0081533A"/>
    <w:rsid w:val="008158F3"/>
    <w:rsid w:val="00816094"/>
    <w:rsid w:val="008173E2"/>
    <w:rsid w:val="008203C8"/>
    <w:rsid w:val="008206C2"/>
    <w:rsid w:val="008208C6"/>
    <w:rsid w:val="008219A4"/>
    <w:rsid w:val="00822044"/>
    <w:rsid w:val="008220EC"/>
    <w:rsid w:val="008228CB"/>
    <w:rsid w:val="00822A13"/>
    <w:rsid w:val="00823A7D"/>
    <w:rsid w:val="008243C9"/>
    <w:rsid w:val="00824B2F"/>
    <w:rsid w:val="00824F06"/>
    <w:rsid w:val="00824FCD"/>
    <w:rsid w:val="00825A1E"/>
    <w:rsid w:val="00825B67"/>
    <w:rsid w:val="008262EA"/>
    <w:rsid w:val="00827638"/>
    <w:rsid w:val="0083200E"/>
    <w:rsid w:val="00832677"/>
    <w:rsid w:val="0083276F"/>
    <w:rsid w:val="008338A9"/>
    <w:rsid w:val="00833BAB"/>
    <w:rsid w:val="008341B1"/>
    <w:rsid w:val="008343AD"/>
    <w:rsid w:val="00834D0A"/>
    <w:rsid w:val="00834EC9"/>
    <w:rsid w:val="00835157"/>
    <w:rsid w:val="00835FD7"/>
    <w:rsid w:val="008365DF"/>
    <w:rsid w:val="00836C27"/>
    <w:rsid w:val="00837EAC"/>
    <w:rsid w:val="008402E9"/>
    <w:rsid w:val="008407D3"/>
    <w:rsid w:val="00840A87"/>
    <w:rsid w:val="00842263"/>
    <w:rsid w:val="008427EB"/>
    <w:rsid w:val="00843A60"/>
    <w:rsid w:val="00844D34"/>
    <w:rsid w:val="008461B6"/>
    <w:rsid w:val="008461E6"/>
    <w:rsid w:val="008473C3"/>
    <w:rsid w:val="00847990"/>
    <w:rsid w:val="0085009F"/>
    <w:rsid w:val="00850CC0"/>
    <w:rsid w:val="00850EAE"/>
    <w:rsid w:val="0085229B"/>
    <w:rsid w:val="00853BAC"/>
    <w:rsid w:val="00856701"/>
    <w:rsid w:val="008567B3"/>
    <w:rsid w:val="00856E92"/>
    <w:rsid w:val="00857443"/>
    <w:rsid w:val="00857511"/>
    <w:rsid w:val="0085789F"/>
    <w:rsid w:val="00857F56"/>
    <w:rsid w:val="008602A9"/>
    <w:rsid w:val="0086077F"/>
    <w:rsid w:val="008607AF"/>
    <w:rsid w:val="00860F3A"/>
    <w:rsid w:val="008627F1"/>
    <w:rsid w:val="008638EE"/>
    <w:rsid w:val="0086454A"/>
    <w:rsid w:val="00864EA2"/>
    <w:rsid w:val="00870DE8"/>
    <w:rsid w:val="00872955"/>
    <w:rsid w:val="00873ECE"/>
    <w:rsid w:val="00873EE6"/>
    <w:rsid w:val="008745C5"/>
    <w:rsid w:val="008749B5"/>
    <w:rsid w:val="008755D2"/>
    <w:rsid w:val="008763DC"/>
    <w:rsid w:val="0087694C"/>
    <w:rsid w:val="008807C7"/>
    <w:rsid w:val="0088192E"/>
    <w:rsid w:val="00881F4B"/>
    <w:rsid w:val="00882851"/>
    <w:rsid w:val="00883E6D"/>
    <w:rsid w:val="00884D9A"/>
    <w:rsid w:val="008850B9"/>
    <w:rsid w:val="0088575A"/>
    <w:rsid w:val="008865BD"/>
    <w:rsid w:val="00890741"/>
    <w:rsid w:val="0089122A"/>
    <w:rsid w:val="00893615"/>
    <w:rsid w:val="0089381A"/>
    <w:rsid w:val="00894E8A"/>
    <w:rsid w:val="008956C3"/>
    <w:rsid w:val="00896472"/>
    <w:rsid w:val="00897C0C"/>
    <w:rsid w:val="00897CEE"/>
    <w:rsid w:val="008A2F73"/>
    <w:rsid w:val="008A415F"/>
    <w:rsid w:val="008A41BB"/>
    <w:rsid w:val="008A4AAC"/>
    <w:rsid w:val="008A4CEF"/>
    <w:rsid w:val="008A69EC"/>
    <w:rsid w:val="008A6CA0"/>
    <w:rsid w:val="008A7118"/>
    <w:rsid w:val="008A7841"/>
    <w:rsid w:val="008A78C6"/>
    <w:rsid w:val="008B01D9"/>
    <w:rsid w:val="008B069B"/>
    <w:rsid w:val="008B13E1"/>
    <w:rsid w:val="008B28CF"/>
    <w:rsid w:val="008B2C46"/>
    <w:rsid w:val="008B2E2D"/>
    <w:rsid w:val="008B4278"/>
    <w:rsid w:val="008B47D5"/>
    <w:rsid w:val="008B4947"/>
    <w:rsid w:val="008B4BFF"/>
    <w:rsid w:val="008B5547"/>
    <w:rsid w:val="008B6C26"/>
    <w:rsid w:val="008B6C93"/>
    <w:rsid w:val="008B6F99"/>
    <w:rsid w:val="008B710B"/>
    <w:rsid w:val="008B7840"/>
    <w:rsid w:val="008C0154"/>
    <w:rsid w:val="008C07E5"/>
    <w:rsid w:val="008C1976"/>
    <w:rsid w:val="008C1D4F"/>
    <w:rsid w:val="008C1DE4"/>
    <w:rsid w:val="008C1E03"/>
    <w:rsid w:val="008C2193"/>
    <w:rsid w:val="008C3388"/>
    <w:rsid w:val="008C4E41"/>
    <w:rsid w:val="008C5E7F"/>
    <w:rsid w:val="008C6DF1"/>
    <w:rsid w:val="008C71FD"/>
    <w:rsid w:val="008C7401"/>
    <w:rsid w:val="008D0062"/>
    <w:rsid w:val="008D5412"/>
    <w:rsid w:val="008D5D91"/>
    <w:rsid w:val="008D5FD2"/>
    <w:rsid w:val="008D6212"/>
    <w:rsid w:val="008D789B"/>
    <w:rsid w:val="008D7C3C"/>
    <w:rsid w:val="008D7F61"/>
    <w:rsid w:val="008E002F"/>
    <w:rsid w:val="008E08D6"/>
    <w:rsid w:val="008E0AD9"/>
    <w:rsid w:val="008E12EA"/>
    <w:rsid w:val="008E13C9"/>
    <w:rsid w:val="008E27B8"/>
    <w:rsid w:val="008E3723"/>
    <w:rsid w:val="008E4B0B"/>
    <w:rsid w:val="008E5A31"/>
    <w:rsid w:val="008E6568"/>
    <w:rsid w:val="008F08A3"/>
    <w:rsid w:val="008F13B6"/>
    <w:rsid w:val="008F173B"/>
    <w:rsid w:val="008F1FE5"/>
    <w:rsid w:val="008F215D"/>
    <w:rsid w:val="008F21D6"/>
    <w:rsid w:val="008F2C0C"/>
    <w:rsid w:val="008F38FD"/>
    <w:rsid w:val="008F4199"/>
    <w:rsid w:val="008F6A69"/>
    <w:rsid w:val="008F742B"/>
    <w:rsid w:val="008F76D2"/>
    <w:rsid w:val="008F79D6"/>
    <w:rsid w:val="009018C7"/>
    <w:rsid w:val="00901A9D"/>
    <w:rsid w:val="009025AD"/>
    <w:rsid w:val="00903DA3"/>
    <w:rsid w:val="009044F8"/>
    <w:rsid w:val="00904A51"/>
    <w:rsid w:val="00904DB0"/>
    <w:rsid w:val="00904EFA"/>
    <w:rsid w:val="009068AD"/>
    <w:rsid w:val="00906AEC"/>
    <w:rsid w:val="00906FD8"/>
    <w:rsid w:val="00907474"/>
    <w:rsid w:val="00907C2E"/>
    <w:rsid w:val="00910183"/>
    <w:rsid w:val="00912171"/>
    <w:rsid w:val="009123D2"/>
    <w:rsid w:val="009125E3"/>
    <w:rsid w:val="00912886"/>
    <w:rsid w:val="00912ED0"/>
    <w:rsid w:val="00913021"/>
    <w:rsid w:val="00913EE9"/>
    <w:rsid w:val="00914A4D"/>
    <w:rsid w:val="00914E84"/>
    <w:rsid w:val="00915A93"/>
    <w:rsid w:val="00917169"/>
    <w:rsid w:val="00917438"/>
    <w:rsid w:val="009175C6"/>
    <w:rsid w:val="00917B31"/>
    <w:rsid w:val="00920BEC"/>
    <w:rsid w:val="00920D71"/>
    <w:rsid w:val="00921105"/>
    <w:rsid w:val="00922599"/>
    <w:rsid w:val="00922AD8"/>
    <w:rsid w:val="009231A7"/>
    <w:rsid w:val="0092334D"/>
    <w:rsid w:val="00923BC3"/>
    <w:rsid w:val="00924786"/>
    <w:rsid w:val="00926039"/>
    <w:rsid w:val="0092603A"/>
    <w:rsid w:val="009271A9"/>
    <w:rsid w:val="00933E4E"/>
    <w:rsid w:val="00936727"/>
    <w:rsid w:val="00936C6E"/>
    <w:rsid w:val="0093730E"/>
    <w:rsid w:val="009402B8"/>
    <w:rsid w:val="00940C22"/>
    <w:rsid w:val="00941892"/>
    <w:rsid w:val="00941952"/>
    <w:rsid w:val="00942714"/>
    <w:rsid w:val="00943B71"/>
    <w:rsid w:val="009440D1"/>
    <w:rsid w:val="00945237"/>
    <w:rsid w:val="00946961"/>
    <w:rsid w:val="009470AA"/>
    <w:rsid w:val="0094767D"/>
    <w:rsid w:val="00947C85"/>
    <w:rsid w:val="00947E92"/>
    <w:rsid w:val="00950152"/>
    <w:rsid w:val="009503B1"/>
    <w:rsid w:val="009531CA"/>
    <w:rsid w:val="00953958"/>
    <w:rsid w:val="009549D0"/>
    <w:rsid w:val="009555B1"/>
    <w:rsid w:val="00956736"/>
    <w:rsid w:val="009574F3"/>
    <w:rsid w:val="0096111F"/>
    <w:rsid w:val="009615FF"/>
    <w:rsid w:val="00961CE0"/>
    <w:rsid w:val="00962C2C"/>
    <w:rsid w:val="009644C2"/>
    <w:rsid w:val="009646EA"/>
    <w:rsid w:val="00964D01"/>
    <w:rsid w:val="00965193"/>
    <w:rsid w:val="00965DD2"/>
    <w:rsid w:val="00966671"/>
    <w:rsid w:val="00966DB0"/>
    <w:rsid w:val="00966F72"/>
    <w:rsid w:val="00967E24"/>
    <w:rsid w:val="00970FFC"/>
    <w:rsid w:val="00971749"/>
    <w:rsid w:val="00971FEA"/>
    <w:rsid w:val="0097271B"/>
    <w:rsid w:val="009735F8"/>
    <w:rsid w:val="00974EE4"/>
    <w:rsid w:val="00975549"/>
    <w:rsid w:val="00975879"/>
    <w:rsid w:val="00977E6F"/>
    <w:rsid w:val="00981769"/>
    <w:rsid w:val="00981F01"/>
    <w:rsid w:val="00981F92"/>
    <w:rsid w:val="00983FD5"/>
    <w:rsid w:val="00984312"/>
    <w:rsid w:val="009846A5"/>
    <w:rsid w:val="00984A0F"/>
    <w:rsid w:val="00985BE4"/>
    <w:rsid w:val="00985D0B"/>
    <w:rsid w:val="00990304"/>
    <w:rsid w:val="0099129E"/>
    <w:rsid w:val="009916C0"/>
    <w:rsid w:val="00991AA4"/>
    <w:rsid w:val="00991D98"/>
    <w:rsid w:val="00992CEB"/>
    <w:rsid w:val="009930EF"/>
    <w:rsid w:val="009935FE"/>
    <w:rsid w:val="00993678"/>
    <w:rsid w:val="00994480"/>
    <w:rsid w:val="00994886"/>
    <w:rsid w:val="00994FBC"/>
    <w:rsid w:val="00995DA6"/>
    <w:rsid w:val="009975D5"/>
    <w:rsid w:val="00997827"/>
    <w:rsid w:val="00997906"/>
    <w:rsid w:val="009A08E2"/>
    <w:rsid w:val="009A0B83"/>
    <w:rsid w:val="009A2953"/>
    <w:rsid w:val="009A3972"/>
    <w:rsid w:val="009A3EFF"/>
    <w:rsid w:val="009A434D"/>
    <w:rsid w:val="009A45A8"/>
    <w:rsid w:val="009A5714"/>
    <w:rsid w:val="009A75CB"/>
    <w:rsid w:val="009A76EF"/>
    <w:rsid w:val="009A79A1"/>
    <w:rsid w:val="009A7C3C"/>
    <w:rsid w:val="009A7D98"/>
    <w:rsid w:val="009B1FEB"/>
    <w:rsid w:val="009B305A"/>
    <w:rsid w:val="009B35AA"/>
    <w:rsid w:val="009B4744"/>
    <w:rsid w:val="009B5870"/>
    <w:rsid w:val="009B6A44"/>
    <w:rsid w:val="009C2185"/>
    <w:rsid w:val="009C2381"/>
    <w:rsid w:val="009C2B0B"/>
    <w:rsid w:val="009C2BB2"/>
    <w:rsid w:val="009C2F3F"/>
    <w:rsid w:val="009C2F91"/>
    <w:rsid w:val="009C41FD"/>
    <w:rsid w:val="009C5823"/>
    <w:rsid w:val="009C6800"/>
    <w:rsid w:val="009C6DC2"/>
    <w:rsid w:val="009C724F"/>
    <w:rsid w:val="009C7390"/>
    <w:rsid w:val="009D02BC"/>
    <w:rsid w:val="009D0B14"/>
    <w:rsid w:val="009D1001"/>
    <w:rsid w:val="009D1042"/>
    <w:rsid w:val="009D1995"/>
    <w:rsid w:val="009D2A4B"/>
    <w:rsid w:val="009D44D3"/>
    <w:rsid w:val="009D4D53"/>
    <w:rsid w:val="009D6523"/>
    <w:rsid w:val="009D687F"/>
    <w:rsid w:val="009D68A6"/>
    <w:rsid w:val="009D6A1C"/>
    <w:rsid w:val="009D70F9"/>
    <w:rsid w:val="009D7EF2"/>
    <w:rsid w:val="009E06B9"/>
    <w:rsid w:val="009E0AB0"/>
    <w:rsid w:val="009E173D"/>
    <w:rsid w:val="009E1CB8"/>
    <w:rsid w:val="009E230C"/>
    <w:rsid w:val="009E2898"/>
    <w:rsid w:val="009E3606"/>
    <w:rsid w:val="009E3F35"/>
    <w:rsid w:val="009E48A6"/>
    <w:rsid w:val="009E4E34"/>
    <w:rsid w:val="009E5168"/>
    <w:rsid w:val="009E5E16"/>
    <w:rsid w:val="009E61DE"/>
    <w:rsid w:val="009E669B"/>
    <w:rsid w:val="009E6E1F"/>
    <w:rsid w:val="009E702A"/>
    <w:rsid w:val="009E71A1"/>
    <w:rsid w:val="009E7D0F"/>
    <w:rsid w:val="009F0344"/>
    <w:rsid w:val="009F1149"/>
    <w:rsid w:val="009F1AF0"/>
    <w:rsid w:val="009F298F"/>
    <w:rsid w:val="009F30C8"/>
    <w:rsid w:val="009F3E6F"/>
    <w:rsid w:val="009F4935"/>
    <w:rsid w:val="009F7465"/>
    <w:rsid w:val="009F7891"/>
    <w:rsid w:val="009F7AE1"/>
    <w:rsid w:val="009F7D10"/>
    <w:rsid w:val="009F7EE8"/>
    <w:rsid w:val="00A01851"/>
    <w:rsid w:val="00A01ADD"/>
    <w:rsid w:val="00A01C30"/>
    <w:rsid w:val="00A02A99"/>
    <w:rsid w:val="00A07391"/>
    <w:rsid w:val="00A119D6"/>
    <w:rsid w:val="00A11B8E"/>
    <w:rsid w:val="00A1287A"/>
    <w:rsid w:val="00A12996"/>
    <w:rsid w:val="00A15119"/>
    <w:rsid w:val="00A15451"/>
    <w:rsid w:val="00A158BB"/>
    <w:rsid w:val="00A167F2"/>
    <w:rsid w:val="00A1758E"/>
    <w:rsid w:val="00A177ED"/>
    <w:rsid w:val="00A1797A"/>
    <w:rsid w:val="00A17FF3"/>
    <w:rsid w:val="00A20021"/>
    <w:rsid w:val="00A2019B"/>
    <w:rsid w:val="00A210C6"/>
    <w:rsid w:val="00A212DB"/>
    <w:rsid w:val="00A214CA"/>
    <w:rsid w:val="00A21752"/>
    <w:rsid w:val="00A21F9A"/>
    <w:rsid w:val="00A22209"/>
    <w:rsid w:val="00A227B1"/>
    <w:rsid w:val="00A22A12"/>
    <w:rsid w:val="00A23960"/>
    <w:rsid w:val="00A23B8D"/>
    <w:rsid w:val="00A25842"/>
    <w:rsid w:val="00A26110"/>
    <w:rsid w:val="00A267C9"/>
    <w:rsid w:val="00A26AA0"/>
    <w:rsid w:val="00A270C6"/>
    <w:rsid w:val="00A306CB"/>
    <w:rsid w:val="00A30F03"/>
    <w:rsid w:val="00A316E7"/>
    <w:rsid w:val="00A32FC5"/>
    <w:rsid w:val="00A34243"/>
    <w:rsid w:val="00A34A13"/>
    <w:rsid w:val="00A34F75"/>
    <w:rsid w:val="00A3556B"/>
    <w:rsid w:val="00A367DD"/>
    <w:rsid w:val="00A368AC"/>
    <w:rsid w:val="00A37432"/>
    <w:rsid w:val="00A41C97"/>
    <w:rsid w:val="00A420EF"/>
    <w:rsid w:val="00A43208"/>
    <w:rsid w:val="00A43AE8"/>
    <w:rsid w:val="00A43F8F"/>
    <w:rsid w:val="00A446DD"/>
    <w:rsid w:val="00A447DF"/>
    <w:rsid w:val="00A455D3"/>
    <w:rsid w:val="00A45FB8"/>
    <w:rsid w:val="00A46AE3"/>
    <w:rsid w:val="00A46BA1"/>
    <w:rsid w:val="00A47040"/>
    <w:rsid w:val="00A52878"/>
    <w:rsid w:val="00A529F2"/>
    <w:rsid w:val="00A54349"/>
    <w:rsid w:val="00A54AD1"/>
    <w:rsid w:val="00A5539F"/>
    <w:rsid w:val="00A5747C"/>
    <w:rsid w:val="00A57C1F"/>
    <w:rsid w:val="00A57F73"/>
    <w:rsid w:val="00A609F4"/>
    <w:rsid w:val="00A60D49"/>
    <w:rsid w:val="00A629DF"/>
    <w:rsid w:val="00A630D2"/>
    <w:rsid w:val="00A636E7"/>
    <w:rsid w:val="00A638A7"/>
    <w:rsid w:val="00A63EAD"/>
    <w:rsid w:val="00A644A6"/>
    <w:rsid w:val="00A64BD1"/>
    <w:rsid w:val="00A65170"/>
    <w:rsid w:val="00A66DE1"/>
    <w:rsid w:val="00A702D9"/>
    <w:rsid w:val="00A70634"/>
    <w:rsid w:val="00A720A9"/>
    <w:rsid w:val="00A72F64"/>
    <w:rsid w:val="00A736D5"/>
    <w:rsid w:val="00A743EB"/>
    <w:rsid w:val="00A74908"/>
    <w:rsid w:val="00A76050"/>
    <w:rsid w:val="00A76FBA"/>
    <w:rsid w:val="00A7794F"/>
    <w:rsid w:val="00A80D66"/>
    <w:rsid w:val="00A81460"/>
    <w:rsid w:val="00A81785"/>
    <w:rsid w:val="00A81E0F"/>
    <w:rsid w:val="00A82FBC"/>
    <w:rsid w:val="00A833EE"/>
    <w:rsid w:val="00A836B4"/>
    <w:rsid w:val="00A8508F"/>
    <w:rsid w:val="00A86BB8"/>
    <w:rsid w:val="00A86CCE"/>
    <w:rsid w:val="00A91156"/>
    <w:rsid w:val="00A924A4"/>
    <w:rsid w:val="00A92CEB"/>
    <w:rsid w:val="00A935F3"/>
    <w:rsid w:val="00A93A6A"/>
    <w:rsid w:val="00A94144"/>
    <w:rsid w:val="00A958DC"/>
    <w:rsid w:val="00A9721A"/>
    <w:rsid w:val="00A97841"/>
    <w:rsid w:val="00AA188D"/>
    <w:rsid w:val="00AA1B02"/>
    <w:rsid w:val="00AA1B20"/>
    <w:rsid w:val="00AA1B54"/>
    <w:rsid w:val="00AA3E19"/>
    <w:rsid w:val="00AA514E"/>
    <w:rsid w:val="00AA7FFC"/>
    <w:rsid w:val="00AB0E44"/>
    <w:rsid w:val="00AB2D84"/>
    <w:rsid w:val="00AB3151"/>
    <w:rsid w:val="00AB33FE"/>
    <w:rsid w:val="00AB3985"/>
    <w:rsid w:val="00AB4063"/>
    <w:rsid w:val="00AB4592"/>
    <w:rsid w:val="00AB4ADE"/>
    <w:rsid w:val="00AB51CD"/>
    <w:rsid w:val="00AB70E9"/>
    <w:rsid w:val="00AB7446"/>
    <w:rsid w:val="00AC04CD"/>
    <w:rsid w:val="00AC106A"/>
    <w:rsid w:val="00AC1221"/>
    <w:rsid w:val="00AC20E3"/>
    <w:rsid w:val="00AC3384"/>
    <w:rsid w:val="00AC50CC"/>
    <w:rsid w:val="00AC5681"/>
    <w:rsid w:val="00AC5700"/>
    <w:rsid w:val="00AC57D5"/>
    <w:rsid w:val="00AC61DA"/>
    <w:rsid w:val="00AC6AED"/>
    <w:rsid w:val="00AC727F"/>
    <w:rsid w:val="00AC759C"/>
    <w:rsid w:val="00AC7B2C"/>
    <w:rsid w:val="00AD0692"/>
    <w:rsid w:val="00AD10D4"/>
    <w:rsid w:val="00AD1D19"/>
    <w:rsid w:val="00AD20AC"/>
    <w:rsid w:val="00AD39AA"/>
    <w:rsid w:val="00AD3C56"/>
    <w:rsid w:val="00AD437D"/>
    <w:rsid w:val="00AD491F"/>
    <w:rsid w:val="00AD4F5A"/>
    <w:rsid w:val="00AD5786"/>
    <w:rsid w:val="00AD669A"/>
    <w:rsid w:val="00AD67F4"/>
    <w:rsid w:val="00AD7E48"/>
    <w:rsid w:val="00AE0BD8"/>
    <w:rsid w:val="00AE2F06"/>
    <w:rsid w:val="00AE31C5"/>
    <w:rsid w:val="00AE3CD5"/>
    <w:rsid w:val="00AE4735"/>
    <w:rsid w:val="00AE4DB0"/>
    <w:rsid w:val="00AE4E26"/>
    <w:rsid w:val="00AE5738"/>
    <w:rsid w:val="00AE5D2B"/>
    <w:rsid w:val="00AE6857"/>
    <w:rsid w:val="00AE7BBD"/>
    <w:rsid w:val="00AF1FBD"/>
    <w:rsid w:val="00AF229B"/>
    <w:rsid w:val="00AF2458"/>
    <w:rsid w:val="00AF26C9"/>
    <w:rsid w:val="00AF2BCD"/>
    <w:rsid w:val="00AF355D"/>
    <w:rsid w:val="00AF406C"/>
    <w:rsid w:val="00AF459F"/>
    <w:rsid w:val="00AF48E5"/>
    <w:rsid w:val="00AF66E2"/>
    <w:rsid w:val="00AF73C8"/>
    <w:rsid w:val="00AF7B57"/>
    <w:rsid w:val="00AF7C3D"/>
    <w:rsid w:val="00AF7CBB"/>
    <w:rsid w:val="00AF7F25"/>
    <w:rsid w:val="00B00D11"/>
    <w:rsid w:val="00B01500"/>
    <w:rsid w:val="00B0195A"/>
    <w:rsid w:val="00B01B4C"/>
    <w:rsid w:val="00B01B5C"/>
    <w:rsid w:val="00B02627"/>
    <w:rsid w:val="00B031D9"/>
    <w:rsid w:val="00B03BC9"/>
    <w:rsid w:val="00B04D4A"/>
    <w:rsid w:val="00B0583D"/>
    <w:rsid w:val="00B05892"/>
    <w:rsid w:val="00B059C2"/>
    <w:rsid w:val="00B062A3"/>
    <w:rsid w:val="00B06E00"/>
    <w:rsid w:val="00B06F36"/>
    <w:rsid w:val="00B07940"/>
    <w:rsid w:val="00B07DDD"/>
    <w:rsid w:val="00B07E37"/>
    <w:rsid w:val="00B10476"/>
    <w:rsid w:val="00B111AC"/>
    <w:rsid w:val="00B11B14"/>
    <w:rsid w:val="00B11CFB"/>
    <w:rsid w:val="00B12218"/>
    <w:rsid w:val="00B12221"/>
    <w:rsid w:val="00B125A8"/>
    <w:rsid w:val="00B12649"/>
    <w:rsid w:val="00B12C81"/>
    <w:rsid w:val="00B13626"/>
    <w:rsid w:val="00B13C00"/>
    <w:rsid w:val="00B13FA1"/>
    <w:rsid w:val="00B14392"/>
    <w:rsid w:val="00B150DE"/>
    <w:rsid w:val="00B16092"/>
    <w:rsid w:val="00B16567"/>
    <w:rsid w:val="00B1736C"/>
    <w:rsid w:val="00B1748C"/>
    <w:rsid w:val="00B20083"/>
    <w:rsid w:val="00B21543"/>
    <w:rsid w:val="00B2171D"/>
    <w:rsid w:val="00B22949"/>
    <w:rsid w:val="00B22E9A"/>
    <w:rsid w:val="00B22F9F"/>
    <w:rsid w:val="00B25879"/>
    <w:rsid w:val="00B25A89"/>
    <w:rsid w:val="00B26EDC"/>
    <w:rsid w:val="00B27C74"/>
    <w:rsid w:val="00B30290"/>
    <w:rsid w:val="00B30BFE"/>
    <w:rsid w:val="00B31AD5"/>
    <w:rsid w:val="00B31F5E"/>
    <w:rsid w:val="00B326E6"/>
    <w:rsid w:val="00B328D0"/>
    <w:rsid w:val="00B32E49"/>
    <w:rsid w:val="00B330CF"/>
    <w:rsid w:val="00B333E3"/>
    <w:rsid w:val="00B347C6"/>
    <w:rsid w:val="00B36052"/>
    <w:rsid w:val="00B364DD"/>
    <w:rsid w:val="00B36631"/>
    <w:rsid w:val="00B368B0"/>
    <w:rsid w:val="00B37A19"/>
    <w:rsid w:val="00B37AEC"/>
    <w:rsid w:val="00B4082A"/>
    <w:rsid w:val="00B40DA1"/>
    <w:rsid w:val="00B4103A"/>
    <w:rsid w:val="00B424CB"/>
    <w:rsid w:val="00B42612"/>
    <w:rsid w:val="00B43797"/>
    <w:rsid w:val="00B44D31"/>
    <w:rsid w:val="00B46C27"/>
    <w:rsid w:val="00B47892"/>
    <w:rsid w:val="00B47EFE"/>
    <w:rsid w:val="00B50831"/>
    <w:rsid w:val="00B50C45"/>
    <w:rsid w:val="00B51CE9"/>
    <w:rsid w:val="00B521B3"/>
    <w:rsid w:val="00B52F8F"/>
    <w:rsid w:val="00B534D1"/>
    <w:rsid w:val="00B5359B"/>
    <w:rsid w:val="00B54E2A"/>
    <w:rsid w:val="00B56B29"/>
    <w:rsid w:val="00B56D99"/>
    <w:rsid w:val="00B56ECA"/>
    <w:rsid w:val="00B57635"/>
    <w:rsid w:val="00B577DB"/>
    <w:rsid w:val="00B57824"/>
    <w:rsid w:val="00B6052E"/>
    <w:rsid w:val="00B605AC"/>
    <w:rsid w:val="00B60838"/>
    <w:rsid w:val="00B60900"/>
    <w:rsid w:val="00B6099F"/>
    <w:rsid w:val="00B611C1"/>
    <w:rsid w:val="00B618FA"/>
    <w:rsid w:val="00B628F0"/>
    <w:rsid w:val="00B62CCA"/>
    <w:rsid w:val="00B6482F"/>
    <w:rsid w:val="00B64AB1"/>
    <w:rsid w:val="00B65F9C"/>
    <w:rsid w:val="00B6614A"/>
    <w:rsid w:val="00B66211"/>
    <w:rsid w:val="00B66D42"/>
    <w:rsid w:val="00B66EFE"/>
    <w:rsid w:val="00B706B0"/>
    <w:rsid w:val="00B7307D"/>
    <w:rsid w:val="00B73587"/>
    <w:rsid w:val="00B74AA7"/>
    <w:rsid w:val="00B75838"/>
    <w:rsid w:val="00B76825"/>
    <w:rsid w:val="00B76C6B"/>
    <w:rsid w:val="00B7756B"/>
    <w:rsid w:val="00B77BBA"/>
    <w:rsid w:val="00B8011A"/>
    <w:rsid w:val="00B80E33"/>
    <w:rsid w:val="00B821E5"/>
    <w:rsid w:val="00B82A84"/>
    <w:rsid w:val="00B82F7E"/>
    <w:rsid w:val="00B832B3"/>
    <w:rsid w:val="00B836D2"/>
    <w:rsid w:val="00B839C3"/>
    <w:rsid w:val="00B84400"/>
    <w:rsid w:val="00B8500F"/>
    <w:rsid w:val="00B85A3D"/>
    <w:rsid w:val="00B86DF9"/>
    <w:rsid w:val="00B87472"/>
    <w:rsid w:val="00B90452"/>
    <w:rsid w:val="00B90B88"/>
    <w:rsid w:val="00B9101E"/>
    <w:rsid w:val="00B91596"/>
    <w:rsid w:val="00B925BF"/>
    <w:rsid w:val="00B93361"/>
    <w:rsid w:val="00B93D26"/>
    <w:rsid w:val="00B9432A"/>
    <w:rsid w:val="00B94DA6"/>
    <w:rsid w:val="00B9595C"/>
    <w:rsid w:val="00BA00B8"/>
    <w:rsid w:val="00BA01F7"/>
    <w:rsid w:val="00BA06AC"/>
    <w:rsid w:val="00BA0A76"/>
    <w:rsid w:val="00BA18AC"/>
    <w:rsid w:val="00BA1C9F"/>
    <w:rsid w:val="00BA2C9A"/>
    <w:rsid w:val="00BA444C"/>
    <w:rsid w:val="00BA481C"/>
    <w:rsid w:val="00BA56FC"/>
    <w:rsid w:val="00BA5922"/>
    <w:rsid w:val="00BA5F30"/>
    <w:rsid w:val="00BA6DE8"/>
    <w:rsid w:val="00BA74B4"/>
    <w:rsid w:val="00BA74E7"/>
    <w:rsid w:val="00BA7629"/>
    <w:rsid w:val="00BA7EB6"/>
    <w:rsid w:val="00BB05F5"/>
    <w:rsid w:val="00BB0D55"/>
    <w:rsid w:val="00BB0F0D"/>
    <w:rsid w:val="00BB22E5"/>
    <w:rsid w:val="00BB29B0"/>
    <w:rsid w:val="00BB3CD6"/>
    <w:rsid w:val="00BB4155"/>
    <w:rsid w:val="00BB41BC"/>
    <w:rsid w:val="00BB4588"/>
    <w:rsid w:val="00BB5847"/>
    <w:rsid w:val="00BB6BE4"/>
    <w:rsid w:val="00BB6CE3"/>
    <w:rsid w:val="00BB7B48"/>
    <w:rsid w:val="00BC0AB3"/>
    <w:rsid w:val="00BC0D52"/>
    <w:rsid w:val="00BC1B2A"/>
    <w:rsid w:val="00BC3134"/>
    <w:rsid w:val="00BC4721"/>
    <w:rsid w:val="00BC4D37"/>
    <w:rsid w:val="00BC4FD7"/>
    <w:rsid w:val="00BC5565"/>
    <w:rsid w:val="00BC607F"/>
    <w:rsid w:val="00BC696B"/>
    <w:rsid w:val="00BC6FDC"/>
    <w:rsid w:val="00BC7695"/>
    <w:rsid w:val="00BC7716"/>
    <w:rsid w:val="00BC7C4E"/>
    <w:rsid w:val="00BC7DB1"/>
    <w:rsid w:val="00BD10BD"/>
    <w:rsid w:val="00BD1352"/>
    <w:rsid w:val="00BD3350"/>
    <w:rsid w:val="00BD52B3"/>
    <w:rsid w:val="00BD5864"/>
    <w:rsid w:val="00BD5958"/>
    <w:rsid w:val="00BD6081"/>
    <w:rsid w:val="00BD6A4B"/>
    <w:rsid w:val="00BD7515"/>
    <w:rsid w:val="00BD7A76"/>
    <w:rsid w:val="00BE0820"/>
    <w:rsid w:val="00BE251A"/>
    <w:rsid w:val="00BE418A"/>
    <w:rsid w:val="00BE4903"/>
    <w:rsid w:val="00BE68D8"/>
    <w:rsid w:val="00BF2371"/>
    <w:rsid w:val="00BF2FEF"/>
    <w:rsid w:val="00BF305F"/>
    <w:rsid w:val="00BF3400"/>
    <w:rsid w:val="00BF3430"/>
    <w:rsid w:val="00BF354C"/>
    <w:rsid w:val="00BF3E31"/>
    <w:rsid w:val="00BF4F6D"/>
    <w:rsid w:val="00BF5B74"/>
    <w:rsid w:val="00BF5F36"/>
    <w:rsid w:val="00BF6E45"/>
    <w:rsid w:val="00BF732F"/>
    <w:rsid w:val="00C01988"/>
    <w:rsid w:val="00C01B3B"/>
    <w:rsid w:val="00C02D46"/>
    <w:rsid w:val="00C02DBB"/>
    <w:rsid w:val="00C040B9"/>
    <w:rsid w:val="00C04B9B"/>
    <w:rsid w:val="00C06257"/>
    <w:rsid w:val="00C069BF"/>
    <w:rsid w:val="00C0734E"/>
    <w:rsid w:val="00C1031D"/>
    <w:rsid w:val="00C10CB7"/>
    <w:rsid w:val="00C11820"/>
    <w:rsid w:val="00C12842"/>
    <w:rsid w:val="00C1363F"/>
    <w:rsid w:val="00C142D7"/>
    <w:rsid w:val="00C146DA"/>
    <w:rsid w:val="00C14D1D"/>
    <w:rsid w:val="00C14DB0"/>
    <w:rsid w:val="00C15E0C"/>
    <w:rsid w:val="00C15E2A"/>
    <w:rsid w:val="00C16FE0"/>
    <w:rsid w:val="00C172AD"/>
    <w:rsid w:val="00C20066"/>
    <w:rsid w:val="00C20CB1"/>
    <w:rsid w:val="00C21EAD"/>
    <w:rsid w:val="00C22D7C"/>
    <w:rsid w:val="00C23390"/>
    <w:rsid w:val="00C23AB1"/>
    <w:rsid w:val="00C23B34"/>
    <w:rsid w:val="00C24085"/>
    <w:rsid w:val="00C26A3C"/>
    <w:rsid w:val="00C26DC8"/>
    <w:rsid w:val="00C271A5"/>
    <w:rsid w:val="00C2775B"/>
    <w:rsid w:val="00C304E0"/>
    <w:rsid w:val="00C30F0C"/>
    <w:rsid w:val="00C328CD"/>
    <w:rsid w:val="00C33BC6"/>
    <w:rsid w:val="00C342F6"/>
    <w:rsid w:val="00C36E61"/>
    <w:rsid w:val="00C37140"/>
    <w:rsid w:val="00C37D34"/>
    <w:rsid w:val="00C37D7E"/>
    <w:rsid w:val="00C40404"/>
    <w:rsid w:val="00C4080E"/>
    <w:rsid w:val="00C41132"/>
    <w:rsid w:val="00C411E6"/>
    <w:rsid w:val="00C41D3C"/>
    <w:rsid w:val="00C421CD"/>
    <w:rsid w:val="00C42549"/>
    <w:rsid w:val="00C453F3"/>
    <w:rsid w:val="00C456AA"/>
    <w:rsid w:val="00C46306"/>
    <w:rsid w:val="00C50C6E"/>
    <w:rsid w:val="00C51FB3"/>
    <w:rsid w:val="00C5214B"/>
    <w:rsid w:val="00C52C52"/>
    <w:rsid w:val="00C535BE"/>
    <w:rsid w:val="00C5449C"/>
    <w:rsid w:val="00C5540D"/>
    <w:rsid w:val="00C57EA6"/>
    <w:rsid w:val="00C6141D"/>
    <w:rsid w:val="00C61DB5"/>
    <w:rsid w:val="00C6503D"/>
    <w:rsid w:val="00C6507C"/>
    <w:rsid w:val="00C67217"/>
    <w:rsid w:val="00C67B0B"/>
    <w:rsid w:val="00C70661"/>
    <w:rsid w:val="00C71B09"/>
    <w:rsid w:val="00C71FB4"/>
    <w:rsid w:val="00C721FC"/>
    <w:rsid w:val="00C72692"/>
    <w:rsid w:val="00C737C0"/>
    <w:rsid w:val="00C760B3"/>
    <w:rsid w:val="00C77452"/>
    <w:rsid w:val="00C77DF7"/>
    <w:rsid w:val="00C80759"/>
    <w:rsid w:val="00C810DE"/>
    <w:rsid w:val="00C81F1C"/>
    <w:rsid w:val="00C81F44"/>
    <w:rsid w:val="00C82F8F"/>
    <w:rsid w:val="00C833F3"/>
    <w:rsid w:val="00C83C98"/>
    <w:rsid w:val="00C83F2D"/>
    <w:rsid w:val="00C85DD9"/>
    <w:rsid w:val="00C85FE7"/>
    <w:rsid w:val="00C901A7"/>
    <w:rsid w:val="00C9062E"/>
    <w:rsid w:val="00C90812"/>
    <w:rsid w:val="00C926C0"/>
    <w:rsid w:val="00C92A68"/>
    <w:rsid w:val="00C93791"/>
    <w:rsid w:val="00C93D36"/>
    <w:rsid w:val="00C94485"/>
    <w:rsid w:val="00C9474D"/>
    <w:rsid w:val="00C94FC5"/>
    <w:rsid w:val="00C94FCA"/>
    <w:rsid w:val="00C9780C"/>
    <w:rsid w:val="00C97B10"/>
    <w:rsid w:val="00CA038D"/>
    <w:rsid w:val="00CA090D"/>
    <w:rsid w:val="00CA0914"/>
    <w:rsid w:val="00CA156E"/>
    <w:rsid w:val="00CA1B60"/>
    <w:rsid w:val="00CA2836"/>
    <w:rsid w:val="00CA2A88"/>
    <w:rsid w:val="00CA3B43"/>
    <w:rsid w:val="00CA3F23"/>
    <w:rsid w:val="00CA4449"/>
    <w:rsid w:val="00CA588D"/>
    <w:rsid w:val="00CA62C6"/>
    <w:rsid w:val="00CA66F8"/>
    <w:rsid w:val="00CA6B99"/>
    <w:rsid w:val="00CA7057"/>
    <w:rsid w:val="00CB021B"/>
    <w:rsid w:val="00CB0ABE"/>
    <w:rsid w:val="00CB1B71"/>
    <w:rsid w:val="00CB1F95"/>
    <w:rsid w:val="00CB3B16"/>
    <w:rsid w:val="00CB3B9F"/>
    <w:rsid w:val="00CB572A"/>
    <w:rsid w:val="00CB5AD0"/>
    <w:rsid w:val="00CB5B4C"/>
    <w:rsid w:val="00CB5DEB"/>
    <w:rsid w:val="00CB5F0D"/>
    <w:rsid w:val="00CC0A76"/>
    <w:rsid w:val="00CC20C6"/>
    <w:rsid w:val="00CC2C31"/>
    <w:rsid w:val="00CC2D29"/>
    <w:rsid w:val="00CC365F"/>
    <w:rsid w:val="00CC4EAB"/>
    <w:rsid w:val="00CC5F99"/>
    <w:rsid w:val="00CC6297"/>
    <w:rsid w:val="00CC6556"/>
    <w:rsid w:val="00CC702D"/>
    <w:rsid w:val="00CC72F2"/>
    <w:rsid w:val="00CC73B6"/>
    <w:rsid w:val="00CC7C2D"/>
    <w:rsid w:val="00CD0865"/>
    <w:rsid w:val="00CD0B43"/>
    <w:rsid w:val="00CD1030"/>
    <w:rsid w:val="00CD148B"/>
    <w:rsid w:val="00CD2291"/>
    <w:rsid w:val="00CD3586"/>
    <w:rsid w:val="00CD44D1"/>
    <w:rsid w:val="00CD4732"/>
    <w:rsid w:val="00CD59B9"/>
    <w:rsid w:val="00CD59D8"/>
    <w:rsid w:val="00CD6BCE"/>
    <w:rsid w:val="00CD7CA5"/>
    <w:rsid w:val="00CD7F49"/>
    <w:rsid w:val="00CE0644"/>
    <w:rsid w:val="00CE0B93"/>
    <w:rsid w:val="00CE0DB5"/>
    <w:rsid w:val="00CE22C3"/>
    <w:rsid w:val="00CE3A6C"/>
    <w:rsid w:val="00CE4502"/>
    <w:rsid w:val="00CE569E"/>
    <w:rsid w:val="00CE6DDA"/>
    <w:rsid w:val="00CE7180"/>
    <w:rsid w:val="00CE7670"/>
    <w:rsid w:val="00CF03AD"/>
    <w:rsid w:val="00CF1725"/>
    <w:rsid w:val="00CF190A"/>
    <w:rsid w:val="00CF2432"/>
    <w:rsid w:val="00CF2D8D"/>
    <w:rsid w:val="00CF3C11"/>
    <w:rsid w:val="00CF3D40"/>
    <w:rsid w:val="00CF3DBA"/>
    <w:rsid w:val="00CF45F0"/>
    <w:rsid w:val="00CF569D"/>
    <w:rsid w:val="00CF583F"/>
    <w:rsid w:val="00D002C8"/>
    <w:rsid w:val="00D0042F"/>
    <w:rsid w:val="00D00F68"/>
    <w:rsid w:val="00D01D6C"/>
    <w:rsid w:val="00D02403"/>
    <w:rsid w:val="00D02C2A"/>
    <w:rsid w:val="00D03037"/>
    <w:rsid w:val="00D03772"/>
    <w:rsid w:val="00D037D8"/>
    <w:rsid w:val="00D03AC8"/>
    <w:rsid w:val="00D0421F"/>
    <w:rsid w:val="00D050DF"/>
    <w:rsid w:val="00D056CF"/>
    <w:rsid w:val="00D05D52"/>
    <w:rsid w:val="00D06810"/>
    <w:rsid w:val="00D0738C"/>
    <w:rsid w:val="00D076D1"/>
    <w:rsid w:val="00D07791"/>
    <w:rsid w:val="00D07AAD"/>
    <w:rsid w:val="00D1082C"/>
    <w:rsid w:val="00D10879"/>
    <w:rsid w:val="00D108AD"/>
    <w:rsid w:val="00D12A24"/>
    <w:rsid w:val="00D12A58"/>
    <w:rsid w:val="00D159A1"/>
    <w:rsid w:val="00D15EE5"/>
    <w:rsid w:val="00D169DA"/>
    <w:rsid w:val="00D1724A"/>
    <w:rsid w:val="00D1740E"/>
    <w:rsid w:val="00D201A3"/>
    <w:rsid w:val="00D216CE"/>
    <w:rsid w:val="00D23894"/>
    <w:rsid w:val="00D23FF0"/>
    <w:rsid w:val="00D24173"/>
    <w:rsid w:val="00D254F8"/>
    <w:rsid w:val="00D27E4B"/>
    <w:rsid w:val="00D30777"/>
    <w:rsid w:val="00D30D81"/>
    <w:rsid w:val="00D30E68"/>
    <w:rsid w:val="00D3158F"/>
    <w:rsid w:val="00D316D4"/>
    <w:rsid w:val="00D31F4A"/>
    <w:rsid w:val="00D32509"/>
    <w:rsid w:val="00D32AB4"/>
    <w:rsid w:val="00D32B8E"/>
    <w:rsid w:val="00D32C94"/>
    <w:rsid w:val="00D32D51"/>
    <w:rsid w:val="00D3342C"/>
    <w:rsid w:val="00D3438A"/>
    <w:rsid w:val="00D349B6"/>
    <w:rsid w:val="00D3574E"/>
    <w:rsid w:val="00D3598A"/>
    <w:rsid w:val="00D35C74"/>
    <w:rsid w:val="00D35D16"/>
    <w:rsid w:val="00D35E78"/>
    <w:rsid w:val="00D3615E"/>
    <w:rsid w:val="00D37E3E"/>
    <w:rsid w:val="00D400A6"/>
    <w:rsid w:val="00D4026A"/>
    <w:rsid w:val="00D408A4"/>
    <w:rsid w:val="00D40B15"/>
    <w:rsid w:val="00D40CD9"/>
    <w:rsid w:val="00D42B08"/>
    <w:rsid w:val="00D43113"/>
    <w:rsid w:val="00D43FBE"/>
    <w:rsid w:val="00D4428F"/>
    <w:rsid w:val="00D46EC7"/>
    <w:rsid w:val="00D4760A"/>
    <w:rsid w:val="00D51537"/>
    <w:rsid w:val="00D51D61"/>
    <w:rsid w:val="00D51EA7"/>
    <w:rsid w:val="00D5278E"/>
    <w:rsid w:val="00D52F5C"/>
    <w:rsid w:val="00D53A2D"/>
    <w:rsid w:val="00D5496C"/>
    <w:rsid w:val="00D54E2F"/>
    <w:rsid w:val="00D55740"/>
    <w:rsid w:val="00D573E8"/>
    <w:rsid w:val="00D60A7D"/>
    <w:rsid w:val="00D60D42"/>
    <w:rsid w:val="00D613DB"/>
    <w:rsid w:val="00D61C7E"/>
    <w:rsid w:val="00D62098"/>
    <w:rsid w:val="00D6255D"/>
    <w:rsid w:val="00D62DDF"/>
    <w:rsid w:val="00D639B8"/>
    <w:rsid w:val="00D63BD2"/>
    <w:rsid w:val="00D63D04"/>
    <w:rsid w:val="00D63ED4"/>
    <w:rsid w:val="00D63FAB"/>
    <w:rsid w:val="00D642E1"/>
    <w:rsid w:val="00D64A01"/>
    <w:rsid w:val="00D657E9"/>
    <w:rsid w:val="00D6685A"/>
    <w:rsid w:val="00D66B77"/>
    <w:rsid w:val="00D671D7"/>
    <w:rsid w:val="00D6723A"/>
    <w:rsid w:val="00D67797"/>
    <w:rsid w:val="00D710F5"/>
    <w:rsid w:val="00D71826"/>
    <w:rsid w:val="00D7245A"/>
    <w:rsid w:val="00D73770"/>
    <w:rsid w:val="00D73851"/>
    <w:rsid w:val="00D73B05"/>
    <w:rsid w:val="00D73BD1"/>
    <w:rsid w:val="00D741BE"/>
    <w:rsid w:val="00D74647"/>
    <w:rsid w:val="00D74EEF"/>
    <w:rsid w:val="00D750FB"/>
    <w:rsid w:val="00D75559"/>
    <w:rsid w:val="00D778F8"/>
    <w:rsid w:val="00D801B5"/>
    <w:rsid w:val="00D8071D"/>
    <w:rsid w:val="00D80F90"/>
    <w:rsid w:val="00D824B6"/>
    <w:rsid w:val="00D83692"/>
    <w:rsid w:val="00D838C0"/>
    <w:rsid w:val="00D840BB"/>
    <w:rsid w:val="00D8411F"/>
    <w:rsid w:val="00D863E6"/>
    <w:rsid w:val="00D86E77"/>
    <w:rsid w:val="00D87FEE"/>
    <w:rsid w:val="00D90764"/>
    <w:rsid w:val="00D91AC2"/>
    <w:rsid w:val="00D91EA1"/>
    <w:rsid w:val="00D94720"/>
    <w:rsid w:val="00D94CC7"/>
    <w:rsid w:val="00D9642F"/>
    <w:rsid w:val="00D965E0"/>
    <w:rsid w:val="00D96786"/>
    <w:rsid w:val="00D97EBF"/>
    <w:rsid w:val="00DA1E7E"/>
    <w:rsid w:val="00DA330B"/>
    <w:rsid w:val="00DA3A62"/>
    <w:rsid w:val="00DA3E1B"/>
    <w:rsid w:val="00DA689D"/>
    <w:rsid w:val="00DA6C94"/>
    <w:rsid w:val="00DA7C44"/>
    <w:rsid w:val="00DB02F3"/>
    <w:rsid w:val="00DB03E0"/>
    <w:rsid w:val="00DB07C0"/>
    <w:rsid w:val="00DB1ABF"/>
    <w:rsid w:val="00DB1CE2"/>
    <w:rsid w:val="00DB1FFB"/>
    <w:rsid w:val="00DB2E9F"/>
    <w:rsid w:val="00DB34C7"/>
    <w:rsid w:val="00DB3B12"/>
    <w:rsid w:val="00DB3E61"/>
    <w:rsid w:val="00DB4901"/>
    <w:rsid w:val="00DB4E09"/>
    <w:rsid w:val="00DB52FF"/>
    <w:rsid w:val="00DB59EA"/>
    <w:rsid w:val="00DB6BD3"/>
    <w:rsid w:val="00DB6DD9"/>
    <w:rsid w:val="00DB6F87"/>
    <w:rsid w:val="00DB746D"/>
    <w:rsid w:val="00DB7DD9"/>
    <w:rsid w:val="00DC0662"/>
    <w:rsid w:val="00DC15E6"/>
    <w:rsid w:val="00DC1D7A"/>
    <w:rsid w:val="00DC29DA"/>
    <w:rsid w:val="00DC2C6D"/>
    <w:rsid w:val="00DC300D"/>
    <w:rsid w:val="00DC33AE"/>
    <w:rsid w:val="00DC35B1"/>
    <w:rsid w:val="00DC3CF7"/>
    <w:rsid w:val="00DC3D25"/>
    <w:rsid w:val="00DC4618"/>
    <w:rsid w:val="00DC485F"/>
    <w:rsid w:val="00DC57D8"/>
    <w:rsid w:val="00DC6802"/>
    <w:rsid w:val="00DC6973"/>
    <w:rsid w:val="00DC71A7"/>
    <w:rsid w:val="00DD0F58"/>
    <w:rsid w:val="00DD17E6"/>
    <w:rsid w:val="00DD19EF"/>
    <w:rsid w:val="00DD23BF"/>
    <w:rsid w:val="00DD2F15"/>
    <w:rsid w:val="00DD30D8"/>
    <w:rsid w:val="00DD33FB"/>
    <w:rsid w:val="00DD5587"/>
    <w:rsid w:val="00DD6846"/>
    <w:rsid w:val="00DD7CCA"/>
    <w:rsid w:val="00DE15E1"/>
    <w:rsid w:val="00DE2C67"/>
    <w:rsid w:val="00DE3308"/>
    <w:rsid w:val="00DE3841"/>
    <w:rsid w:val="00DE3AA6"/>
    <w:rsid w:val="00DE3CDE"/>
    <w:rsid w:val="00DE3DE9"/>
    <w:rsid w:val="00DE4511"/>
    <w:rsid w:val="00DE4CB6"/>
    <w:rsid w:val="00DE5473"/>
    <w:rsid w:val="00DE67AD"/>
    <w:rsid w:val="00DE6B19"/>
    <w:rsid w:val="00DF0091"/>
    <w:rsid w:val="00DF109A"/>
    <w:rsid w:val="00DF2834"/>
    <w:rsid w:val="00DF2D1C"/>
    <w:rsid w:val="00DF393E"/>
    <w:rsid w:val="00DF3D1A"/>
    <w:rsid w:val="00DF465D"/>
    <w:rsid w:val="00DF4CCD"/>
    <w:rsid w:val="00DF4FE9"/>
    <w:rsid w:val="00DF5BB9"/>
    <w:rsid w:val="00DF5BEE"/>
    <w:rsid w:val="00DF6124"/>
    <w:rsid w:val="00DF7BD3"/>
    <w:rsid w:val="00E00131"/>
    <w:rsid w:val="00E0107E"/>
    <w:rsid w:val="00E012A0"/>
    <w:rsid w:val="00E013FE"/>
    <w:rsid w:val="00E02670"/>
    <w:rsid w:val="00E02CD2"/>
    <w:rsid w:val="00E02E7B"/>
    <w:rsid w:val="00E03CFF"/>
    <w:rsid w:val="00E03FA5"/>
    <w:rsid w:val="00E040BD"/>
    <w:rsid w:val="00E04119"/>
    <w:rsid w:val="00E04336"/>
    <w:rsid w:val="00E044FE"/>
    <w:rsid w:val="00E0462B"/>
    <w:rsid w:val="00E05483"/>
    <w:rsid w:val="00E059F4"/>
    <w:rsid w:val="00E07021"/>
    <w:rsid w:val="00E07427"/>
    <w:rsid w:val="00E07683"/>
    <w:rsid w:val="00E07851"/>
    <w:rsid w:val="00E11B1B"/>
    <w:rsid w:val="00E1243F"/>
    <w:rsid w:val="00E12D64"/>
    <w:rsid w:val="00E1384B"/>
    <w:rsid w:val="00E13FD8"/>
    <w:rsid w:val="00E14E3C"/>
    <w:rsid w:val="00E1523D"/>
    <w:rsid w:val="00E17287"/>
    <w:rsid w:val="00E17BBE"/>
    <w:rsid w:val="00E2026B"/>
    <w:rsid w:val="00E21852"/>
    <w:rsid w:val="00E22D93"/>
    <w:rsid w:val="00E23381"/>
    <w:rsid w:val="00E24C8E"/>
    <w:rsid w:val="00E25B4D"/>
    <w:rsid w:val="00E25CF6"/>
    <w:rsid w:val="00E266AD"/>
    <w:rsid w:val="00E278B6"/>
    <w:rsid w:val="00E31201"/>
    <w:rsid w:val="00E319A2"/>
    <w:rsid w:val="00E31E35"/>
    <w:rsid w:val="00E324AE"/>
    <w:rsid w:val="00E32558"/>
    <w:rsid w:val="00E32C9A"/>
    <w:rsid w:val="00E3322C"/>
    <w:rsid w:val="00E33251"/>
    <w:rsid w:val="00E34B75"/>
    <w:rsid w:val="00E354BE"/>
    <w:rsid w:val="00E35DBB"/>
    <w:rsid w:val="00E36012"/>
    <w:rsid w:val="00E363F5"/>
    <w:rsid w:val="00E40C4A"/>
    <w:rsid w:val="00E43561"/>
    <w:rsid w:val="00E43A16"/>
    <w:rsid w:val="00E44324"/>
    <w:rsid w:val="00E457A7"/>
    <w:rsid w:val="00E4591A"/>
    <w:rsid w:val="00E46121"/>
    <w:rsid w:val="00E462C3"/>
    <w:rsid w:val="00E4696D"/>
    <w:rsid w:val="00E46B9B"/>
    <w:rsid w:val="00E46EA9"/>
    <w:rsid w:val="00E47BD0"/>
    <w:rsid w:val="00E500FF"/>
    <w:rsid w:val="00E5013E"/>
    <w:rsid w:val="00E5028F"/>
    <w:rsid w:val="00E502B2"/>
    <w:rsid w:val="00E5141C"/>
    <w:rsid w:val="00E51833"/>
    <w:rsid w:val="00E52A16"/>
    <w:rsid w:val="00E52A4C"/>
    <w:rsid w:val="00E5302E"/>
    <w:rsid w:val="00E53565"/>
    <w:rsid w:val="00E538E0"/>
    <w:rsid w:val="00E53DFE"/>
    <w:rsid w:val="00E54A25"/>
    <w:rsid w:val="00E5543B"/>
    <w:rsid w:val="00E55F93"/>
    <w:rsid w:val="00E563AF"/>
    <w:rsid w:val="00E563C1"/>
    <w:rsid w:val="00E567BD"/>
    <w:rsid w:val="00E56E04"/>
    <w:rsid w:val="00E5799A"/>
    <w:rsid w:val="00E57FED"/>
    <w:rsid w:val="00E6059F"/>
    <w:rsid w:val="00E6069C"/>
    <w:rsid w:val="00E6079D"/>
    <w:rsid w:val="00E614DC"/>
    <w:rsid w:val="00E62584"/>
    <w:rsid w:val="00E6325A"/>
    <w:rsid w:val="00E63608"/>
    <w:rsid w:val="00E64658"/>
    <w:rsid w:val="00E654B4"/>
    <w:rsid w:val="00E6579E"/>
    <w:rsid w:val="00E65D11"/>
    <w:rsid w:val="00E65D29"/>
    <w:rsid w:val="00E661B6"/>
    <w:rsid w:val="00E6684C"/>
    <w:rsid w:val="00E70EB6"/>
    <w:rsid w:val="00E71013"/>
    <w:rsid w:val="00E71DEB"/>
    <w:rsid w:val="00E72672"/>
    <w:rsid w:val="00E73BA5"/>
    <w:rsid w:val="00E73ED9"/>
    <w:rsid w:val="00E74ACF"/>
    <w:rsid w:val="00E75394"/>
    <w:rsid w:val="00E75AB5"/>
    <w:rsid w:val="00E76371"/>
    <w:rsid w:val="00E768A5"/>
    <w:rsid w:val="00E76E4D"/>
    <w:rsid w:val="00E77D47"/>
    <w:rsid w:val="00E77F3C"/>
    <w:rsid w:val="00E8030C"/>
    <w:rsid w:val="00E80488"/>
    <w:rsid w:val="00E80E0B"/>
    <w:rsid w:val="00E80F9A"/>
    <w:rsid w:val="00E81EA9"/>
    <w:rsid w:val="00E83E55"/>
    <w:rsid w:val="00E84CC5"/>
    <w:rsid w:val="00E86919"/>
    <w:rsid w:val="00E8771A"/>
    <w:rsid w:val="00E8791D"/>
    <w:rsid w:val="00E91173"/>
    <w:rsid w:val="00E92002"/>
    <w:rsid w:val="00E922B6"/>
    <w:rsid w:val="00E92A0A"/>
    <w:rsid w:val="00E92D0C"/>
    <w:rsid w:val="00E944F1"/>
    <w:rsid w:val="00E94C22"/>
    <w:rsid w:val="00E95528"/>
    <w:rsid w:val="00E96A40"/>
    <w:rsid w:val="00E96C76"/>
    <w:rsid w:val="00E96F76"/>
    <w:rsid w:val="00E97690"/>
    <w:rsid w:val="00E978D5"/>
    <w:rsid w:val="00E97970"/>
    <w:rsid w:val="00EA0095"/>
    <w:rsid w:val="00EA024E"/>
    <w:rsid w:val="00EA0E5E"/>
    <w:rsid w:val="00EA1317"/>
    <w:rsid w:val="00EA132D"/>
    <w:rsid w:val="00EA181D"/>
    <w:rsid w:val="00EA1D0F"/>
    <w:rsid w:val="00EA2981"/>
    <w:rsid w:val="00EA2DFF"/>
    <w:rsid w:val="00EA3494"/>
    <w:rsid w:val="00EA3F04"/>
    <w:rsid w:val="00EA47BD"/>
    <w:rsid w:val="00EA6357"/>
    <w:rsid w:val="00EA63C5"/>
    <w:rsid w:val="00EA669D"/>
    <w:rsid w:val="00EA7391"/>
    <w:rsid w:val="00EA7750"/>
    <w:rsid w:val="00EA77DE"/>
    <w:rsid w:val="00EA7EA7"/>
    <w:rsid w:val="00EB0A76"/>
    <w:rsid w:val="00EB0CF9"/>
    <w:rsid w:val="00EB0FB1"/>
    <w:rsid w:val="00EB1186"/>
    <w:rsid w:val="00EB134D"/>
    <w:rsid w:val="00EB1E76"/>
    <w:rsid w:val="00EB2BDC"/>
    <w:rsid w:val="00EB3E0E"/>
    <w:rsid w:val="00EB3E95"/>
    <w:rsid w:val="00EB3F5C"/>
    <w:rsid w:val="00EB4BE3"/>
    <w:rsid w:val="00EB5264"/>
    <w:rsid w:val="00EB5D66"/>
    <w:rsid w:val="00EB6CBE"/>
    <w:rsid w:val="00EB7B9D"/>
    <w:rsid w:val="00EC0150"/>
    <w:rsid w:val="00EC1094"/>
    <w:rsid w:val="00EC15BA"/>
    <w:rsid w:val="00EC3165"/>
    <w:rsid w:val="00EC344D"/>
    <w:rsid w:val="00EC3599"/>
    <w:rsid w:val="00EC3850"/>
    <w:rsid w:val="00EC6797"/>
    <w:rsid w:val="00EC7C15"/>
    <w:rsid w:val="00ED0BA4"/>
    <w:rsid w:val="00ED1576"/>
    <w:rsid w:val="00ED168E"/>
    <w:rsid w:val="00ED2DE4"/>
    <w:rsid w:val="00ED322C"/>
    <w:rsid w:val="00ED3606"/>
    <w:rsid w:val="00ED3736"/>
    <w:rsid w:val="00ED3F17"/>
    <w:rsid w:val="00ED49FF"/>
    <w:rsid w:val="00ED515E"/>
    <w:rsid w:val="00ED5B0A"/>
    <w:rsid w:val="00ED7FFC"/>
    <w:rsid w:val="00EE0A92"/>
    <w:rsid w:val="00EE209C"/>
    <w:rsid w:val="00EE32CB"/>
    <w:rsid w:val="00EE3437"/>
    <w:rsid w:val="00EE3D3D"/>
    <w:rsid w:val="00EE3D6F"/>
    <w:rsid w:val="00EE4127"/>
    <w:rsid w:val="00EE45D8"/>
    <w:rsid w:val="00EE471F"/>
    <w:rsid w:val="00EE4745"/>
    <w:rsid w:val="00EE540D"/>
    <w:rsid w:val="00EE6B8C"/>
    <w:rsid w:val="00EE7C96"/>
    <w:rsid w:val="00EF1271"/>
    <w:rsid w:val="00EF1C01"/>
    <w:rsid w:val="00EF33C6"/>
    <w:rsid w:val="00EF3620"/>
    <w:rsid w:val="00EF3ECB"/>
    <w:rsid w:val="00EF4739"/>
    <w:rsid w:val="00EF4AE4"/>
    <w:rsid w:val="00EF4CF1"/>
    <w:rsid w:val="00EF65E9"/>
    <w:rsid w:val="00EF6655"/>
    <w:rsid w:val="00EF67AA"/>
    <w:rsid w:val="00EF69AE"/>
    <w:rsid w:val="00EF6E32"/>
    <w:rsid w:val="00EF7D83"/>
    <w:rsid w:val="00F003D9"/>
    <w:rsid w:val="00F013E4"/>
    <w:rsid w:val="00F032E0"/>
    <w:rsid w:val="00F03432"/>
    <w:rsid w:val="00F0399A"/>
    <w:rsid w:val="00F047B7"/>
    <w:rsid w:val="00F05086"/>
    <w:rsid w:val="00F10993"/>
    <w:rsid w:val="00F116B1"/>
    <w:rsid w:val="00F1197F"/>
    <w:rsid w:val="00F119F1"/>
    <w:rsid w:val="00F11D80"/>
    <w:rsid w:val="00F168B0"/>
    <w:rsid w:val="00F168C1"/>
    <w:rsid w:val="00F17972"/>
    <w:rsid w:val="00F20702"/>
    <w:rsid w:val="00F20738"/>
    <w:rsid w:val="00F20870"/>
    <w:rsid w:val="00F21401"/>
    <w:rsid w:val="00F21F8D"/>
    <w:rsid w:val="00F233D2"/>
    <w:rsid w:val="00F234CC"/>
    <w:rsid w:val="00F23612"/>
    <w:rsid w:val="00F2372B"/>
    <w:rsid w:val="00F24247"/>
    <w:rsid w:val="00F269D8"/>
    <w:rsid w:val="00F277A4"/>
    <w:rsid w:val="00F2795C"/>
    <w:rsid w:val="00F30F19"/>
    <w:rsid w:val="00F3114F"/>
    <w:rsid w:val="00F31871"/>
    <w:rsid w:val="00F31D7A"/>
    <w:rsid w:val="00F32DAA"/>
    <w:rsid w:val="00F360D8"/>
    <w:rsid w:val="00F375B6"/>
    <w:rsid w:val="00F417CD"/>
    <w:rsid w:val="00F41845"/>
    <w:rsid w:val="00F438D4"/>
    <w:rsid w:val="00F44B1A"/>
    <w:rsid w:val="00F44B77"/>
    <w:rsid w:val="00F44EF3"/>
    <w:rsid w:val="00F45841"/>
    <w:rsid w:val="00F45A08"/>
    <w:rsid w:val="00F468AA"/>
    <w:rsid w:val="00F4745A"/>
    <w:rsid w:val="00F50CAD"/>
    <w:rsid w:val="00F50FB8"/>
    <w:rsid w:val="00F51D09"/>
    <w:rsid w:val="00F5235A"/>
    <w:rsid w:val="00F52C14"/>
    <w:rsid w:val="00F534DC"/>
    <w:rsid w:val="00F539DF"/>
    <w:rsid w:val="00F53FAE"/>
    <w:rsid w:val="00F5460D"/>
    <w:rsid w:val="00F556BF"/>
    <w:rsid w:val="00F55A49"/>
    <w:rsid w:val="00F55B6D"/>
    <w:rsid w:val="00F56841"/>
    <w:rsid w:val="00F61ABD"/>
    <w:rsid w:val="00F62B8D"/>
    <w:rsid w:val="00F62CAC"/>
    <w:rsid w:val="00F62F05"/>
    <w:rsid w:val="00F635FC"/>
    <w:rsid w:val="00F63B3B"/>
    <w:rsid w:val="00F647F2"/>
    <w:rsid w:val="00F6557E"/>
    <w:rsid w:val="00F657F4"/>
    <w:rsid w:val="00F67A59"/>
    <w:rsid w:val="00F67C11"/>
    <w:rsid w:val="00F70E4A"/>
    <w:rsid w:val="00F714FA"/>
    <w:rsid w:val="00F71A97"/>
    <w:rsid w:val="00F7211A"/>
    <w:rsid w:val="00F72AB5"/>
    <w:rsid w:val="00F72DFB"/>
    <w:rsid w:val="00F748E1"/>
    <w:rsid w:val="00F75F10"/>
    <w:rsid w:val="00F76584"/>
    <w:rsid w:val="00F800B9"/>
    <w:rsid w:val="00F80CCB"/>
    <w:rsid w:val="00F8133F"/>
    <w:rsid w:val="00F832DD"/>
    <w:rsid w:val="00F834E1"/>
    <w:rsid w:val="00F83DDC"/>
    <w:rsid w:val="00F84D87"/>
    <w:rsid w:val="00F86F76"/>
    <w:rsid w:val="00F909A8"/>
    <w:rsid w:val="00F90B21"/>
    <w:rsid w:val="00F92414"/>
    <w:rsid w:val="00F93676"/>
    <w:rsid w:val="00F9380C"/>
    <w:rsid w:val="00F93948"/>
    <w:rsid w:val="00F93AD7"/>
    <w:rsid w:val="00F945EF"/>
    <w:rsid w:val="00F94EE1"/>
    <w:rsid w:val="00F950F3"/>
    <w:rsid w:val="00F95FBC"/>
    <w:rsid w:val="00F960ED"/>
    <w:rsid w:val="00F96298"/>
    <w:rsid w:val="00F96D61"/>
    <w:rsid w:val="00F97E5A"/>
    <w:rsid w:val="00FA0529"/>
    <w:rsid w:val="00FA1250"/>
    <w:rsid w:val="00FA1C69"/>
    <w:rsid w:val="00FA23CA"/>
    <w:rsid w:val="00FA3491"/>
    <w:rsid w:val="00FA4400"/>
    <w:rsid w:val="00FA5655"/>
    <w:rsid w:val="00FA6467"/>
    <w:rsid w:val="00FA701B"/>
    <w:rsid w:val="00FA72F0"/>
    <w:rsid w:val="00FB0B6C"/>
    <w:rsid w:val="00FB0D33"/>
    <w:rsid w:val="00FB102B"/>
    <w:rsid w:val="00FB138B"/>
    <w:rsid w:val="00FB2799"/>
    <w:rsid w:val="00FB2EAD"/>
    <w:rsid w:val="00FB2FBD"/>
    <w:rsid w:val="00FB40BE"/>
    <w:rsid w:val="00FB4B9A"/>
    <w:rsid w:val="00FB4D3A"/>
    <w:rsid w:val="00FB4FC2"/>
    <w:rsid w:val="00FB5674"/>
    <w:rsid w:val="00FB612E"/>
    <w:rsid w:val="00FB789B"/>
    <w:rsid w:val="00FB7CB8"/>
    <w:rsid w:val="00FC0701"/>
    <w:rsid w:val="00FC20CD"/>
    <w:rsid w:val="00FC26DF"/>
    <w:rsid w:val="00FC522C"/>
    <w:rsid w:val="00FC52C6"/>
    <w:rsid w:val="00FC53C8"/>
    <w:rsid w:val="00FC5531"/>
    <w:rsid w:val="00FC70D0"/>
    <w:rsid w:val="00FC70E7"/>
    <w:rsid w:val="00FC748D"/>
    <w:rsid w:val="00FD05E2"/>
    <w:rsid w:val="00FD09CF"/>
    <w:rsid w:val="00FD0F84"/>
    <w:rsid w:val="00FD14A7"/>
    <w:rsid w:val="00FD1A20"/>
    <w:rsid w:val="00FD2B1C"/>
    <w:rsid w:val="00FD2C5D"/>
    <w:rsid w:val="00FD32F5"/>
    <w:rsid w:val="00FD364C"/>
    <w:rsid w:val="00FD381B"/>
    <w:rsid w:val="00FD3F39"/>
    <w:rsid w:val="00FD3FE1"/>
    <w:rsid w:val="00FD4666"/>
    <w:rsid w:val="00FD5AE1"/>
    <w:rsid w:val="00FD7B1D"/>
    <w:rsid w:val="00FD7D82"/>
    <w:rsid w:val="00FE0ADE"/>
    <w:rsid w:val="00FE0CAA"/>
    <w:rsid w:val="00FE0EB2"/>
    <w:rsid w:val="00FE1308"/>
    <w:rsid w:val="00FE174F"/>
    <w:rsid w:val="00FE2453"/>
    <w:rsid w:val="00FE2526"/>
    <w:rsid w:val="00FE32EB"/>
    <w:rsid w:val="00FE38BD"/>
    <w:rsid w:val="00FE38E5"/>
    <w:rsid w:val="00FE4210"/>
    <w:rsid w:val="00FE7AEC"/>
    <w:rsid w:val="00FE7D77"/>
    <w:rsid w:val="00FF0902"/>
    <w:rsid w:val="00FF1DBB"/>
    <w:rsid w:val="00FF2374"/>
    <w:rsid w:val="00FF2FE6"/>
    <w:rsid w:val="00FF3268"/>
    <w:rsid w:val="00FF4E5B"/>
    <w:rsid w:val="00FF50CB"/>
    <w:rsid w:val="00FF5C23"/>
    <w:rsid w:val="00FF64D6"/>
    <w:rsid w:val="00FF73CB"/>
    <w:rsid w:val="00FF75E2"/>
    <w:rsid w:val="00FF7C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95E314B-3686-4B45-A1C8-5B6B4BFE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0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047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36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199"/>
    <w:pPr>
      <w:ind w:left="720"/>
      <w:contextualSpacing/>
    </w:pPr>
  </w:style>
  <w:style w:type="paragraph" w:styleId="FootnoteText">
    <w:name w:val="footnote text"/>
    <w:aliases w:val="Fußnotentext arial,Podrozdział,stile 1,Footnote1,Footnote2,Footnote3,Footnote4,Footnote5,Footnote6,Footnote7,Footnote8,Footnote9,Footnote10,Footnote11,Footnote21,Footnote31,Footnote41,Footnote51,Footnote61,Footnote71,Footnote81,Zn,fn,Cha"/>
    <w:basedOn w:val="Normal"/>
    <w:link w:val="FootnoteTextChar"/>
    <w:uiPriority w:val="99"/>
    <w:unhideWhenUsed/>
    <w:qFormat/>
    <w:rsid w:val="008F4199"/>
    <w:pPr>
      <w:spacing w:after="0" w:line="240" w:lineRule="auto"/>
    </w:pPr>
    <w:rPr>
      <w:sz w:val="20"/>
      <w:szCs w:val="20"/>
    </w:rPr>
  </w:style>
  <w:style w:type="character" w:customStyle="1" w:styleId="FootnoteTextChar">
    <w:name w:val="Footnote Text Char"/>
    <w:aliases w:val="Fußnotentext arial Char,Podrozdział Char,stile 1 Char,Footnote1 Char,Footnote2 Char,Footnote3 Char,Footnote4 Char,Footnote5 Char,Footnote6 Char,Footnote7 Char,Footnote8 Char,Footnote9 Char,Footnote10 Char,Footnote11 Char,Zn Char"/>
    <w:basedOn w:val="DefaultParagraphFont"/>
    <w:link w:val="FootnoteText"/>
    <w:uiPriority w:val="99"/>
    <w:rsid w:val="008F4199"/>
    <w:rPr>
      <w:sz w:val="20"/>
      <w:szCs w:val="20"/>
    </w:rPr>
  </w:style>
  <w:style w:type="character" w:styleId="FootnoteReference">
    <w:name w:val="footnote reference"/>
    <w:aliases w:val="Footnote symbol,Footnote Reference Superscript,BVI fnr,Footnote call,SUPERS,(Footnote Reference),Footnote,Voetnootverwijzing,Times 10 Point,Exposant 3 Point,Footnote reference number,note TESI,Footnotes refss,number,o"/>
    <w:basedOn w:val="DefaultParagraphFont"/>
    <w:uiPriority w:val="99"/>
    <w:unhideWhenUsed/>
    <w:rsid w:val="008F4199"/>
    <w:rPr>
      <w:vertAlign w:val="superscript"/>
    </w:rPr>
  </w:style>
  <w:style w:type="paragraph" w:customStyle="1" w:styleId="Default">
    <w:name w:val="Default"/>
    <w:rsid w:val="00195D2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33D15"/>
    <w:rPr>
      <w:color w:val="0000FF" w:themeColor="hyperlink"/>
      <w:u w:val="single"/>
    </w:rPr>
  </w:style>
  <w:style w:type="character" w:styleId="FollowedHyperlink">
    <w:name w:val="FollowedHyperlink"/>
    <w:basedOn w:val="DefaultParagraphFont"/>
    <w:uiPriority w:val="99"/>
    <w:semiHidden/>
    <w:unhideWhenUsed/>
    <w:rsid w:val="00A92CEB"/>
    <w:rPr>
      <w:color w:val="800080" w:themeColor="followedHyperlink"/>
      <w:u w:val="single"/>
    </w:rPr>
  </w:style>
  <w:style w:type="paragraph" w:styleId="Header">
    <w:name w:val="header"/>
    <w:basedOn w:val="Normal"/>
    <w:link w:val="HeaderChar"/>
    <w:uiPriority w:val="99"/>
    <w:unhideWhenUsed/>
    <w:rsid w:val="008C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E03"/>
  </w:style>
  <w:style w:type="paragraph" w:styleId="Footer">
    <w:name w:val="footer"/>
    <w:basedOn w:val="Normal"/>
    <w:link w:val="FooterChar"/>
    <w:uiPriority w:val="99"/>
    <w:unhideWhenUsed/>
    <w:rsid w:val="008C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E03"/>
  </w:style>
  <w:style w:type="paragraph" w:styleId="BalloonText">
    <w:name w:val="Balloon Text"/>
    <w:basedOn w:val="Normal"/>
    <w:link w:val="BalloonTextChar"/>
    <w:uiPriority w:val="99"/>
    <w:semiHidden/>
    <w:unhideWhenUsed/>
    <w:rsid w:val="008C1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E03"/>
    <w:rPr>
      <w:rFonts w:ascii="Tahoma" w:hAnsi="Tahoma" w:cs="Tahoma"/>
      <w:sz w:val="16"/>
      <w:szCs w:val="16"/>
    </w:rPr>
  </w:style>
  <w:style w:type="paragraph" w:styleId="Title">
    <w:name w:val="Title"/>
    <w:basedOn w:val="Normal"/>
    <w:next w:val="Normal"/>
    <w:link w:val="TitleChar"/>
    <w:uiPriority w:val="99"/>
    <w:qFormat/>
    <w:rsid w:val="008C1E0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8C1E03"/>
    <w:rPr>
      <w:rFonts w:ascii="Cambria" w:eastAsia="Times New Roman" w:hAnsi="Cambria" w:cs="Times New Roman"/>
      <w:color w:val="17365D"/>
      <w:spacing w:val="5"/>
      <w:kern w:val="28"/>
      <w:sz w:val="52"/>
      <w:szCs w:val="52"/>
      <w:lang w:val="en-US"/>
    </w:rPr>
  </w:style>
  <w:style w:type="character" w:styleId="PlaceholderText">
    <w:name w:val="Placeholder Text"/>
    <w:basedOn w:val="DefaultParagraphFont"/>
    <w:uiPriority w:val="99"/>
    <w:semiHidden/>
    <w:rsid w:val="000F3BB9"/>
    <w:rPr>
      <w:color w:val="808080"/>
    </w:rPr>
  </w:style>
  <w:style w:type="character" w:customStyle="1" w:styleId="Heading2Char">
    <w:name w:val="Heading 2 Char"/>
    <w:basedOn w:val="DefaultParagraphFont"/>
    <w:link w:val="Heading2"/>
    <w:uiPriority w:val="9"/>
    <w:rsid w:val="00F047B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60194"/>
    <w:rPr>
      <w:sz w:val="16"/>
      <w:szCs w:val="16"/>
    </w:rPr>
  </w:style>
  <w:style w:type="paragraph" w:styleId="CommentText">
    <w:name w:val="annotation text"/>
    <w:basedOn w:val="Normal"/>
    <w:link w:val="CommentTextChar"/>
    <w:uiPriority w:val="99"/>
    <w:unhideWhenUsed/>
    <w:rsid w:val="00060194"/>
    <w:pPr>
      <w:spacing w:line="240" w:lineRule="auto"/>
    </w:pPr>
    <w:rPr>
      <w:sz w:val="20"/>
      <w:szCs w:val="20"/>
    </w:rPr>
  </w:style>
  <w:style w:type="character" w:customStyle="1" w:styleId="CommentTextChar">
    <w:name w:val="Comment Text Char"/>
    <w:basedOn w:val="DefaultParagraphFont"/>
    <w:link w:val="CommentText"/>
    <w:uiPriority w:val="99"/>
    <w:rsid w:val="00060194"/>
    <w:rPr>
      <w:sz w:val="20"/>
      <w:szCs w:val="20"/>
    </w:rPr>
  </w:style>
  <w:style w:type="paragraph" w:styleId="CommentSubject">
    <w:name w:val="annotation subject"/>
    <w:basedOn w:val="CommentText"/>
    <w:next w:val="CommentText"/>
    <w:link w:val="CommentSubjectChar"/>
    <w:uiPriority w:val="99"/>
    <w:semiHidden/>
    <w:unhideWhenUsed/>
    <w:rsid w:val="00060194"/>
    <w:rPr>
      <w:b/>
      <w:bCs/>
    </w:rPr>
  </w:style>
  <w:style w:type="character" w:customStyle="1" w:styleId="CommentSubjectChar">
    <w:name w:val="Comment Subject Char"/>
    <w:basedOn w:val="CommentTextChar"/>
    <w:link w:val="CommentSubject"/>
    <w:uiPriority w:val="99"/>
    <w:semiHidden/>
    <w:rsid w:val="00060194"/>
    <w:rPr>
      <w:b/>
      <w:bCs/>
      <w:sz w:val="20"/>
      <w:szCs w:val="20"/>
    </w:rPr>
  </w:style>
  <w:style w:type="character" w:customStyle="1" w:styleId="Heading3Char">
    <w:name w:val="Heading 3 Char"/>
    <w:basedOn w:val="DefaultParagraphFont"/>
    <w:link w:val="Heading3"/>
    <w:uiPriority w:val="9"/>
    <w:rsid w:val="00A836B4"/>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A836B4"/>
    <w:pPr>
      <w:spacing w:before="260" w:after="40" w:line="240" w:lineRule="auto"/>
      <w:jc w:val="both"/>
    </w:pPr>
    <w:rPr>
      <w:rFonts w:ascii="Times New Roman" w:eastAsia="Times New Roman" w:hAnsi="Times New Roman" w:cs="Times New Roman"/>
      <w:sz w:val="20"/>
      <w:szCs w:val="20"/>
      <w:lang w:val="it-IT" w:eastAsia="it-IT"/>
    </w:rPr>
    <w:tblPr>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Pr>
    <w:tcPr>
      <w:vAlign w:val="center"/>
    </w:tcPr>
  </w:style>
  <w:style w:type="paragraph" w:customStyle="1" w:styleId="source">
    <w:name w:val="source"/>
    <w:basedOn w:val="Normal"/>
    <w:link w:val="sourceCarattere"/>
    <w:qFormat/>
    <w:rsid w:val="00A836B4"/>
    <w:pPr>
      <w:spacing w:before="40" w:after="120" w:line="240" w:lineRule="auto"/>
      <w:ind w:left="1701"/>
      <w:jc w:val="right"/>
    </w:pPr>
    <w:rPr>
      <w:rFonts w:ascii="Arial" w:eastAsia="Calibri" w:hAnsi="Arial" w:cs="Calibri"/>
      <w:i/>
      <w:spacing w:val="1"/>
      <w:sz w:val="16"/>
      <w:szCs w:val="16"/>
      <w:lang w:eastAsia="it-IT"/>
    </w:rPr>
  </w:style>
  <w:style w:type="character" w:customStyle="1" w:styleId="sourceCarattere">
    <w:name w:val="source Carattere"/>
    <w:basedOn w:val="DefaultParagraphFont"/>
    <w:link w:val="source"/>
    <w:rsid w:val="00A836B4"/>
    <w:rPr>
      <w:rFonts w:ascii="Arial" w:eastAsia="Calibri" w:hAnsi="Arial" w:cs="Calibri"/>
      <w:i/>
      <w:spacing w:val="1"/>
      <w:sz w:val="16"/>
      <w:szCs w:val="16"/>
      <w:lang w:eastAsia="it-IT"/>
    </w:rPr>
  </w:style>
  <w:style w:type="table" w:customStyle="1" w:styleId="TableGridLight1">
    <w:name w:val="Table Grid Light1"/>
    <w:basedOn w:val="TableNormal"/>
    <w:uiPriority w:val="40"/>
    <w:rsid w:val="003F6C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1Char">
    <w:name w:val="Text 1 Char"/>
    <w:link w:val="Text1"/>
    <w:uiPriority w:val="99"/>
    <w:locked/>
    <w:rsid w:val="00E03FA5"/>
    <w:rPr>
      <w:rFonts w:ascii="Times New Roman" w:hAnsi="Times New Roman"/>
      <w:sz w:val="24"/>
      <w:lang w:eastAsia="bg-BG"/>
    </w:rPr>
  </w:style>
  <w:style w:type="paragraph" w:customStyle="1" w:styleId="Text1">
    <w:name w:val="Text 1"/>
    <w:basedOn w:val="Normal"/>
    <w:link w:val="Text1Char"/>
    <w:uiPriority w:val="99"/>
    <w:rsid w:val="00E03FA5"/>
    <w:pPr>
      <w:spacing w:before="120" w:after="120" w:line="240" w:lineRule="auto"/>
      <w:ind w:left="850"/>
      <w:jc w:val="both"/>
    </w:pPr>
    <w:rPr>
      <w:rFonts w:ascii="Times New Roman" w:hAnsi="Times New Roman"/>
      <w:sz w:val="24"/>
      <w:lang w:eastAsia="bg-BG"/>
    </w:rPr>
  </w:style>
  <w:style w:type="character" w:customStyle="1" w:styleId="hps">
    <w:name w:val="hps"/>
    <w:basedOn w:val="DefaultParagraphFont"/>
    <w:rsid w:val="00B56D99"/>
  </w:style>
  <w:style w:type="character" w:customStyle="1" w:styleId="hpsatn">
    <w:name w:val="hps atn"/>
    <w:basedOn w:val="DefaultParagraphFont"/>
    <w:rsid w:val="000D471F"/>
  </w:style>
  <w:style w:type="character" w:customStyle="1" w:styleId="left">
    <w:name w:val="left"/>
    <w:basedOn w:val="DefaultParagraphFont"/>
    <w:rsid w:val="00323D10"/>
  </w:style>
  <w:style w:type="paragraph" w:customStyle="1" w:styleId="CM1">
    <w:name w:val="CM1"/>
    <w:basedOn w:val="Default"/>
    <w:next w:val="Default"/>
    <w:uiPriority w:val="99"/>
    <w:rsid w:val="00531A80"/>
    <w:rPr>
      <w:rFonts w:ascii="EUAlbertina" w:hAnsi="EUAlbertina" w:cstheme="minorBidi"/>
      <w:color w:val="auto"/>
    </w:rPr>
  </w:style>
  <w:style w:type="paragraph" w:customStyle="1" w:styleId="CM3">
    <w:name w:val="CM3"/>
    <w:basedOn w:val="Default"/>
    <w:next w:val="Default"/>
    <w:uiPriority w:val="99"/>
    <w:rsid w:val="00531A80"/>
    <w:rPr>
      <w:rFonts w:ascii="EUAlbertina" w:hAnsi="EUAlbertina" w:cstheme="minorBidi"/>
      <w:color w:val="auto"/>
    </w:rPr>
  </w:style>
  <w:style w:type="character" w:customStyle="1" w:styleId="Heading1Char">
    <w:name w:val="Heading 1 Char"/>
    <w:basedOn w:val="DefaultParagraphFont"/>
    <w:link w:val="Heading1"/>
    <w:uiPriority w:val="9"/>
    <w:rsid w:val="001A70B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A70B8"/>
    <w:pPr>
      <w:spacing w:line="259" w:lineRule="auto"/>
      <w:outlineLvl w:val="9"/>
    </w:pPr>
    <w:rPr>
      <w:lang w:val="en-US"/>
    </w:rPr>
  </w:style>
  <w:style w:type="paragraph" w:styleId="TOC2">
    <w:name w:val="toc 2"/>
    <w:basedOn w:val="Normal"/>
    <w:next w:val="Normal"/>
    <w:autoRedefine/>
    <w:uiPriority w:val="39"/>
    <w:unhideWhenUsed/>
    <w:rsid w:val="001A70B8"/>
    <w:pPr>
      <w:spacing w:after="100"/>
      <w:ind w:left="220"/>
    </w:pPr>
  </w:style>
  <w:style w:type="paragraph" w:styleId="TOC3">
    <w:name w:val="toc 3"/>
    <w:basedOn w:val="Normal"/>
    <w:next w:val="Normal"/>
    <w:autoRedefine/>
    <w:uiPriority w:val="39"/>
    <w:unhideWhenUsed/>
    <w:rsid w:val="001A70B8"/>
    <w:pPr>
      <w:spacing w:after="100"/>
      <w:ind w:left="440"/>
    </w:pPr>
  </w:style>
  <w:style w:type="table" w:customStyle="1" w:styleId="ListTable1Light-Accent11">
    <w:name w:val="List Table 1 Light - Accent 11"/>
    <w:basedOn w:val="TableNormal"/>
    <w:uiPriority w:val="46"/>
    <w:rsid w:val="0028072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280721"/>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280721"/>
    <w:pPr>
      <w:spacing w:after="0"/>
    </w:pPr>
  </w:style>
  <w:style w:type="paragraph" w:styleId="Revision">
    <w:name w:val="Revision"/>
    <w:hidden/>
    <w:uiPriority w:val="99"/>
    <w:semiHidden/>
    <w:rsid w:val="00F748E1"/>
    <w:pPr>
      <w:spacing w:after="0" w:line="240" w:lineRule="auto"/>
    </w:pPr>
  </w:style>
  <w:style w:type="paragraph" w:styleId="NormalWeb">
    <w:name w:val="Normal (Web)"/>
    <w:basedOn w:val="Normal"/>
    <w:uiPriority w:val="99"/>
    <w:semiHidden/>
    <w:unhideWhenUsed/>
    <w:rsid w:val="0071025D"/>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765">
      <w:bodyDiv w:val="1"/>
      <w:marLeft w:val="0"/>
      <w:marRight w:val="0"/>
      <w:marTop w:val="0"/>
      <w:marBottom w:val="0"/>
      <w:divBdr>
        <w:top w:val="none" w:sz="0" w:space="0" w:color="auto"/>
        <w:left w:val="none" w:sz="0" w:space="0" w:color="auto"/>
        <w:bottom w:val="none" w:sz="0" w:space="0" w:color="auto"/>
        <w:right w:val="none" w:sz="0" w:space="0" w:color="auto"/>
      </w:divBdr>
    </w:div>
    <w:div w:id="263928843">
      <w:bodyDiv w:val="1"/>
      <w:marLeft w:val="0"/>
      <w:marRight w:val="0"/>
      <w:marTop w:val="0"/>
      <w:marBottom w:val="0"/>
      <w:divBdr>
        <w:top w:val="none" w:sz="0" w:space="0" w:color="auto"/>
        <w:left w:val="none" w:sz="0" w:space="0" w:color="auto"/>
        <w:bottom w:val="none" w:sz="0" w:space="0" w:color="auto"/>
        <w:right w:val="none" w:sz="0" w:space="0" w:color="auto"/>
      </w:divBdr>
    </w:div>
    <w:div w:id="344134905">
      <w:bodyDiv w:val="1"/>
      <w:marLeft w:val="0"/>
      <w:marRight w:val="0"/>
      <w:marTop w:val="0"/>
      <w:marBottom w:val="0"/>
      <w:divBdr>
        <w:top w:val="none" w:sz="0" w:space="0" w:color="auto"/>
        <w:left w:val="none" w:sz="0" w:space="0" w:color="auto"/>
        <w:bottom w:val="none" w:sz="0" w:space="0" w:color="auto"/>
        <w:right w:val="none" w:sz="0" w:space="0" w:color="auto"/>
      </w:divBdr>
      <w:divsChild>
        <w:div w:id="1262379149">
          <w:marLeft w:val="547"/>
          <w:marRight w:val="0"/>
          <w:marTop w:val="0"/>
          <w:marBottom w:val="0"/>
          <w:divBdr>
            <w:top w:val="none" w:sz="0" w:space="0" w:color="auto"/>
            <w:left w:val="none" w:sz="0" w:space="0" w:color="auto"/>
            <w:bottom w:val="none" w:sz="0" w:space="0" w:color="auto"/>
            <w:right w:val="none" w:sz="0" w:space="0" w:color="auto"/>
          </w:divBdr>
        </w:div>
      </w:divsChild>
    </w:div>
    <w:div w:id="437991351">
      <w:bodyDiv w:val="1"/>
      <w:marLeft w:val="0"/>
      <w:marRight w:val="0"/>
      <w:marTop w:val="0"/>
      <w:marBottom w:val="0"/>
      <w:divBdr>
        <w:top w:val="none" w:sz="0" w:space="0" w:color="auto"/>
        <w:left w:val="none" w:sz="0" w:space="0" w:color="auto"/>
        <w:bottom w:val="none" w:sz="0" w:space="0" w:color="auto"/>
        <w:right w:val="none" w:sz="0" w:space="0" w:color="auto"/>
      </w:divBdr>
    </w:div>
    <w:div w:id="454058333">
      <w:bodyDiv w:val="1"/>
      <w:marLeft w:val="0"/>
      <w:marRight w:val="0"/>
      <w:marTop w:val="0"/>
      <w:marBottom w:val="0"/>
      <w:divBdr>
        <w:top w:val="none" w:sz="0" w:space="0" w:color="auto"/>
        <w:left w:val="none" w:sz="0" w:space="0" w:color="auto"/>
        <w:bottom w:val="none" w:sz="0" w:space="0" w:color="auto"/>
        <w:right w:val="none" w:sz="0" w:space="0" w:color="auto"/>
      </w:divBdr>
    </w:div>
    <w:div w:id="509103681">
      <w:bodyDiv w:val="1"/>
      <w:marLeft w:val="0"/>
      <w:marRight w:val="0"/>
      <w:marTop w:val="0"/>
      <w:marBottom w:val="0"/>
      <w:divBdr>
        <w:top w:val="none" w:sz="0" w:space="0" w:color="auto"/>
        <w:left w:val="none" w:sz="0" w:space="0" w:color="auto"/>
        <w:bottom w:val="none" w:sz="0" w:space="0" w:color="auto"/>
        <w:right w:val="none" w:sz="0" w:space="0" w:color="auto"/>
      </w:divBdr>
    </w:div>
    <w:div w:id="947275282">
      <w:bodyDiv w:val="1"/>
      <w:marLeft w:val="0"/>
      <w:marRight w:val="0"/>
      <w:marTop w:val="0"/>
      <w:marBottom w:val="0"/>
      <w:divBdr>
        <w:top w:val="none" w:sz="0" w:space="0" w:color="auto"/>
        <w:left w:val="none" w:sz="0" w:space="0" w:color="auto"/>
        <w:bottom w:val="none" w:sz="0" w:space="0" w:color="auto"/>
        <w:right w:val="none" w:sz="0" w:space="0" w:color="auto"/>
      </w:divBdr>
    </w:div>
    <w:div w:id="983704605">
      <w:bodyDiv w:val="1"/>
      <w:marLeft w:val="0"/>
      <w:marRight w:val="0"/>
      <w:marTop w:val="0"/>
      <w:marBottom w:val="0"/>
      <w:divBdr>
        <w:top w:val="none" w:sz="0" w:space="0" w:color="auto"/>
        <w:left w:val="none" w:sz="0" w:space="0" w:color="auto"/>
        <w:bottom w:val="none" w:sz="0" w:space="0" w:color="auto"/>
        <w:right w:val="none" w:sz="0" w:space="0" w:color="auto"/>
      </w:divBdr>
    </w:div>
    <w:div w:id="1084182470">
      <w:bodyDiv w:val="1"/>
      <w:marLeft w:val="0"/>
      <w:marRight w:val="0"/>
      <w:marTop w:val="0"/>
      <w:marBottom w:val="0"/>
      <w:divBdr>
        <w:top w:val="none" w:sz="0" w:space="0" w:color="auto"/>
        <w:left w:val="none" w:sz="0" w:space="0" w:color="auto"/>
        <w:bottom w:val="none" w:sz="0" w:space="0" w:color="auto"/>
        <w:right w:val="none" w:sz="0" w:space="0" w:color="auto"/>
      </w:divBdr>
      <w:divsChild>
        <w:div w:id="1913082550">
          <w:marLeft w:val="547"/>
          <w:marRight w:val="0"/>
          <w:marTop w:val="0"/>
          <w:marBottom w:val="0"/>
          <w:divBdr>
            <w:top w:val="none" w:sz="0" w:space="0" w:color="auto"/>
            <w:left w:val="none" w:sz="0" w:space="0" w:color="auto"/>
            <w:bottom w:val="none" w:sz="0" w:space="0" w:color="auto"/>
            <w:right w:val="none" w:sz="0" w:space="0" w:color="auto"/>
          </w:divBdr>
        </w:div>
      </w:divsChild>
    </w:div>
    <w:div w:id="1119646012">
      <w:bodyDiv w:val="1"/>
      <w:marLeft w:val="0"/>
      <w:marRight w:val="0"/>
      <w:marTop w:val="0"/>
      <w:marBottom w:val="0"/>
      <w:divBdr>
        <w:top w:val="none" w:sz="0" w:space="0" w:color="auto"/>
        <w:left w:val="none" w:sz="0" w:space="0" w:color="auto"/>
        <w:bottom w:val="none" w:sz="0" w:space="0" w:color="auto"/>
        <w:right w:val="none" w:sz="0" w:space="0" w:color="auto"/>
      </w:divBdr>
      <w:divsChild>
        <w:div w:id="1111433236">
          <w:marLeft w:val="547"/>
          <w:marRight w:val="0"/>
          <w:marTop w:val="0"/>
          <w:marBottom w:val="0"/>
          <w:divBdr>
            <w:top w:val="none" w:sz="0" w:space="0" w:color="auto"/>
            <w:left w:val="none" w:sz="0" w:space="0" w:color="auto"/>
            <w:bottom w:val="none" w:sz="0" w:space="0" w:color="auto"/>
            <w:right w:val="none" w:sz="0" w:space="0" w:color="auto"/>
          </w:divBdr>
        </w:div>
      </w:divsChild>
    </w:div>
    <w:div w:id="1298604272">
      <w:bodyDiv w:val="1"/>
      <w:marLeft w:val="0"/>
      <w:marRight w:val="0"/>
      <w:marTop w:val="0"/>
      <w:marBottom w:val="0"/>
      <w:divBdr>
        <w:top w:val="none" w:sz="0" w:space="0" w:color="auto"/>
        <w:left w:val="none" w:sz="0" w:space="0" w:color="auto"/>
        <w:bottom w:val="none" w:sz="0" w:space="0" w:color="auto"/>
        <w:right w:val="none" w:sz="0" w:space="0" w:color="auto"/>
      </w:divBdr>
    </w:div>
    <w:div w:id="1343356989">
      <w:bodyDiv w:val="1"/>
      <w:marLeft w:val="0"/>
      <w:marRight w:val="0"/>
      <w:marTop w:val="0"/>
      <w:marBottom w:val="0"/>
      <w:divBdr>
        <w:top w:val="none" w:sz="0" w:space="0" w:color="auto"/>
        <w:left w:val="none" w:sz="0" w:space="0" w:color="auto"/>
        <w:bottom w:val="none" w:sz="0" w:space="0" w:color="auto"/>
        <w:right w:val="none" w:sz="0" w:space="0" w:color="auto"/>
      </w:divBdr>
      <w:divsChild>
        <w:div w:id="1269578381">
          <w:marLeft w:val="547"/>
          <w:marRight w:val="0"/>
          <w:marTop w:val="0"/>
          <w:marBottom w:val="0"/>
          <w:divBdr>
            <w:top w:val="none" w:sz="0" w:space="0" w:color="auto"/>
            <w:left w:val="none" w:sz="0" w:space="0" w:color="auto"/>
            <w:bottom w:val="none" w:sz="0" w:space="0" w:color="auto"/>
            <w:right w:val="none" w:sz="0" w:space="0" w:color="auto"/>
          </w:divBdr>
        </w:div>
      </w:divsChild>
    </w:div>
    <w:div w:id="1590432773">
      <w:bodyDiv w:val="1"/>
      <w:marLeft w:val="0"/>
      <w:marRight w:val="0"/>
      <w:marTop w:val="0"/>
      <w:marBottom w:val="0"/>
      <w:divBdr>
        <w:top w:val="none" w:sz="0" w:space="0" w:color="auto"/>
        <w:left w:val="none" w:sz="0" w:space="0" w:color="auto"/>
        <w:bottom w:val="none" w:sz="0" w:space="0" w:color="auto"/>
        <w:right w:val="none" w:sz="0" w:space="0" w:color="auto"/>
      </w:divBdr>
    </w:div>
    <w:div w:id="1696542189">
      <w:bodyDiv w:val="1"/>
      <w:marLeft w:val="0"/>
      <w:marRight w:val="0"/>
      <w:marTop w:val="0"/>
      <w:marBottom w:val="0"/>
      <w:divBdr>
        <w:top w:val="none" w:sz="0" w:space="0" w:color="auto"/>
        <w:left w:val="none" w:sz="0" w:space="0" w:color="auto"/>
        <w:bottom w:val="none" w:sz="0" w:space="0" w:color="auto"/>
        <w:right w:val="none" w:sz="0" w:space="0" w:color="auto"/>
      </w:divBdr>
    </w:div>
    <w:div w:id="20854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mrrb.government.bg/docs/24e7666f6785ee40bfb094bec3ad5f45.pdf" TargetMode="External"/><Relationship Id="rId1" Type="http://schemas.openxmlformats.org/officeDocument/2006/relationships/hyperlink" Target="http://ope.moew.government.bg/files/useruploads/files/documentation/en_report_ex-ante_sep_2014_final.do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24A3EB-E1CD-4640-A73C-94B25CE4CA8F}"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bg-BG"/>
        </a:p>
      </dgm:t>
    </dgm:pt>
    <dgm:pt modelId="{9FF0E29E-7140-496B-B28F-C3B581EE665D}">
      <dgm:prSet phldrT="[Text]" custT="1"/>
      <dgm:spPr/>
      <dgm:t>
        <a:bodyPr/>
        <a:lstStyle/>
        <a:p>
          <a:r>
            <a:rPr lang="bg-BG" sz="1000" b="1">
              <a:latin typeface="Arial" panose="020B0604020202020204" pitchFamily="34" charset="0"/>
              <a:cs typeface="Arial" panose="020B0604020202020204" pitchFamily="34" charset="0"/>
            </a:rPr>
            <a:t>Причини за неоптималната инвестиционна ситуация</a:t>
          </a:r>
        </a:p>
      </dgm:t>
    </dgm:pt>
    <dgm:pt modelId="{11D58D32-34E9-445A-BF03-00051889CDC6}" type="parTrans" cxnId="{812CDF13-A58A-4C66-A451-0390E4D0F331}">
      <dgm:prSet/>
      <dgm:spPr/>
      <dgm:t>
        <a:bodyPr/>
        <a:lstStyle/>
        <a:p>
          <a:endParaRPr lang="bg-BG"/>
        </a:p>
      </dgm:t>
    </dgm:pt>
    <dgm:pt modelId="{A420DCE0-B29A-4B4E-9C59-9F3F6B624CB4}" type="sibTrans" cxnId="{812CDF13-A58A-4C66-A451-0390E4D0F331}">
      <dgm:prSet/>
      <dgm:spPr/>
      <dgm:t>
        <a:bodyPr/>
        <a:lstStyle/>
        <a:p>
          <a:endParaRPr lang="bg-BG"/>
        </a:p>
      </dgm:t>
    </dgm:pt>
    <dgm:pt modelId="{BC072212-69A4-48FF-9E2B-529A796B089D}">
      <dgm:prSet phldrT="[Text]" custT="1"/>
      <dgm:spPr/>
      <dgm:t>
        <a:bodyPr/>
        <a:lstStyle/>
        <a:p>
          <a:pPr algn="just"/>
          <a:r>
            <a:rPr lang="bg-BG" sz="900">
              <a:latin typeface="Arial" panose="020B0604020202020204" pitchFamily="34" charset="0"/>
              <a:cs typeface="Arial" panose="020B0604020202020204" pitchFamily="34" charset="0"/>
            </a:rPr>
            <a:t>Неефективно планиране на инвестициите, нисък капацитет за усвояване и недостатъчно опит в изготвянето и изпълнението на мащабни инвестиционни проекти;</a:t>
          </a:r>
        </a:p>
      </dgm:t>
    </dgm:pt>
    <dgm:pt modelId="{1649CF06-58B5-4805-83A9-29D5BBA5431F}" type="sibTrans" cxnId="{C840741F-C979-4D78-95C6-F11A5B2E3B2A}">
      <dgm:prSet/>
      <dgm:spPr/>
      <dgm:t>
        <a:bodyPr/>
        <a:lstStyle/>
        <a:p>
          <a:endParaRPr lang="bg-BG"/>
        </a:p>
      </dgm:t>
    </dgm:pt>
    <dgm:pt modelId="{AB0830D5-A92D-4A20-AA80-606FB039C78D}" type="parTrans" cxnId="{C840741F-C979-4D78-95C6-F11A5B2E3B2A}">
      <dgm:prSet/>
      <dgm:spPr/>
      <dgm:t>
        <a:bodyPr/>
        <a:lstStyle/>
        <a:p>
          <a:endParaRPr lang="bg-BG"/>
        </a:p>
      </dgm:t>
    </dgm:pt>
    <dgm:pt modelId="{7E5710A5-8C9D-4457-AF58-849554358861}">
      <dgm:prSet phldrT="[Text]" custT="1"/>
      <dgm:spPr/>
      <dgm:t>
        <a:bodyPr/>
        <a:lstStyle/>
        <a:p>
          <a:pPr algn="just"/>
          <a:r>
            <a:rPr lang="bg-BG" sz="900">
              <a:latin typeface="Arial" panose="020B0604020202020204" pitchFamily="34" charset="0"/>
              <a:cs typeface="Arial" panose="020B0604020202020204" pitchFamily="34" charset="0"/>
            </a:rPr>
            <a:t>Нужда от големи първоначални инвестиции с ниска възвращаемост и дълъг период на изплащане;</a:t>
          </a:r>
        </a:p>
      </dgm:t>
    </dgm:pt>
    <dgm:pt modelId="{6B2A01E6-DF10-48EF-B59C-FE4DD4DC0189}" type="sibTrans" cxnId="{434A5772-DD26-4FF0-8283-1D9EA0590708}">
      <dgm:prSet/>
      <dgm:spPr/>
      <dgm:t>
        <a:bodyPr/>
        <a:lstStyle/>
        <a:p>
          <a:endParaRPr lang="bg-BG"/>
        </a:p>
      </dgm:t>
    </dgm:pt>
    <dgm:pt modelId="{AACC3607-A1C4-4C96-B31F-C2C1C2407C4A}" type="parTrans" cxnId="{434A5772-DD26-4FF0-8283-1D9EA0590708}">
      <dgm:prSet/>
      <dgm:spPr/>
      <dgm:t>
        <a:bodyPr/>
        <a:lstStyle/>
        <a:p>
          <a:endParaRPr lang="bg-BG"/>
        </a:p>
      </dgm:t>
    </dgm:pt>
    <dgm:pt modelId="{3F93ADA4-C89A-4955-9840-29B96AAEA7E7}">
      <dgm:prSet phldrT="[Text]" custT="1"/>
      <dgm:spPr/>
      <dgm:t>
        <a:bodyPr/>
        <a:lstStyle/>
        <a:p>
          <a:pPr algn="l"/>
          <a:r>
            <a:rPr lang="bg-BG" sz="900">
              <a:latin typeface="Arial" panose="020B0604020202020204" pitchFamily="34" charset="0"/>
              <a:cs typeface="Arial" panose="020B0604020202020204" pitchFamily="34" charset="0"/>
            </a:rPr>
            <a:t>Нисък капацитет за управление на ВиКО;</a:t>
          </a:r>
        </a:p>
      </dgm:t>
    </dgm:pt>
    <dgm:pt modelId="{6A424128-4FE0-4F76-940F-F63D384891FB}" type="sibTrans" cxnId="{57C8BB62-C01D-4346-AC5E-DA25B2047E7D}">
      <dgm:prSet/>
      <dgm:spPr/>
      <dgm:t>
        <a:bodyPr/>
        <a:lstStyle/>
        <a:p>
          <a:endParaRPr lang="bg-BG"/>
        </a:p>
      </dgm:t>
    </dgm:pt>
    <dgm:pt modelId="{48E227C3-42CC-4CF9-BFA8-EC7BE0F9C449}" type="parTrans" cxnId="{57C8BB62-C01D-4346-AC5E-DA25B2047E7D}">
      <dgm:prSet/>
      <dgm:spPr/>
      <dgm:t>
        <a:bodyPr/>
        <a:lstStyle/>
        <a:p>
          <a:endParaRPr lang="bg-BG"/>
        </a:p>
      </dgm:t>
    </dgm:pt>
    <dgm:pt modelId="{F4DA414A-ABC4-4B71-848E-F3AAD2F01EA2}">
      <dgm:prSet phldrT="[Text]" custT="1"/>
      <dgm:spPr/>
      <dgm:t>
        <a:bodyPr/>
        <a:lstStyle/>
        <a:p>
          <a:pPr algn="l"/>
          <a:r>
            <a:rPr lang="bg-BG" sz="900">
              <a:latin typeface="Arial" panose="020B0604020202020204" pitchFamily="34" charset="0"/>
              <a:cs typeface="Arial" panose="020B0604020202020204" pitchFamily="34" charset="0"/>
            </a:rPr>
            <a:t>Бавен процес по реформиране на ВиК сектора;</a:t>
          </a:r>
        </a:p>
      </dgm:t>
    </dgm:pt>
    <dgm:pt modelId="{39665668-8657-4298-BBB1-FC0D97F90159}" type="sibTrans" cxnId="{80CF4869-0B38-4F0D-A5D5-9EBA8B0FEF5E}">
      <dgm:prSet/>
      <dgm:spPr/>
      <dgm:t>
        <a:bodyPr/>
        <a:lstStyle/>
        <a:p>
          <a:endParaRPr lang="bg-BG"/>
        </a:p>
      </dgm:t>
    </dgm:pt>
    <dgm:pt modelId="{AE8FC81A-6A56-4C5C-AF44-3ADEEA70E4EC}" type="parTrans" cxnId="{80CF4869-0B38-4F0D-A5D5-9EBA8B0FEF5E}">
      <dgm:prSet/>
      <dgm:spPr/>
      <dgm:t>
        <a:bodyPr/>
        <a:lstStyle/>
        <a:p>
          <a:endParaRPr lang="bg-BG"/>
        </a:p>
      </dgm:t>
    </dgm:pt>
    <dgm:pt modelId="{09392CAF-8117-4E0B-80E2-4F76070F8BB0}">
      <dgm:prSet phldrT="[Text]" custT="1"/>
      <dgm:spPr/>
      <dgm:t>
        <a:bodyPr/>
        <a:lstStyle/>
        <a:p>
          <a:pPr algn="l"/>
          <a:r>
            <a:rPr lang="bg-BG" sz="900">
              <a:latin typeface="Arial" panose="020B0604020202020204" pitchFamily="34" charset="0"/>
              <a:cs typeface="Arial" panose="020B0604020202020204" pitchFamily="34" charset="0"/>
            </a:rPr>
            <a:t>Неефективна финансова и оперативна дейност на ВиКО;</a:t>
          </a:r>
        </a:p>
      </dgm:t>
    </dgm:pt>
    <dgm:pt modelId="{D84FF72E-6E6B-43BB-9D02-00C0CD29D885}" type="parTrans" cxnId="{D72DE211-3C87-4A65-BA6D-9450FA1CF440}">
      <dgm:prSet/>
      <dgm:spPr/>
      <dgm:t>
        <a:bodyPr/>
        <a:lstStyle/>
        <a:p>
          <a:endParaRPr lang="bg-BG"/>
        </a:p>
      </dgm:t>
    </dgm:pt>
    <dgm:pt modelId="{C4E5020F-5145-4481-A197-59B0DAE785B6}" type="sibTrans" cxnId="{D72DE211-3C87-4A65-BA6D-9450FA1CF440}">
      <dgm:prSet/>
      <dgm:spPr/>
      <dgm:t>
        <a:bodyPr/>
        <a:lstStyle/>
        <a:p>
          <a:endParaRPr lang="bg-BG"/>
        </a:p>
      </dgm:t>
    </dgm:pt>
    <dgm:pt modelId="{78F20820-0469-4636-A5FF-7030D1395F52}">
      <dgm:prSet phldrT="[Text]" custT="1"/>
      <dgm:spPr/>
      <dgm:t>
        <a:bodyPr/>
        <a:lstStyle/>
        <a:p>
          <a:pPr algn="l"/>
          <a:r>
            <a:rPr lang="bg-BG" sz="900">
              <a:latin typeface="Arial" panose="020B0604020202020204" pitchFamily="34" charset="0"/>
              <a:cs typeface="Arial" panose="020B0604020202020204" pitchFamily="34" charset="0"/>
            </a:rPr>
            <a:t>Силна държавна намеса в сектора;</a:t>
          </a:r>
        </a:p>
      </dgm:t>
    </dgm:pt>
    <dgm:pt modelId="{2033F6E7-13FD-4C4A-B5CE-5CA77C3CEB04}" type="parTrans" cxnId="{B1B2EEA8-580F-4CD9-AB2D-45D770B47F9E}">
      <dgm:prSet/>
      <dgm:spPr/>
      <dgm:t>
        <a:bodyPr/>
        <a:lstStyle/>
        <a:p>
          <a:endParaRPr lang="bg-BG"/>
        </a:p>
      </dgm:t>
    </dgm:pt>
    <dgm:pt modelId="{3A4504F5-3EF4-4685-9683-5FE97736BB15}" type="sibTrans" cxnId="{B1B2EEA8-580F-4CD9-AB2D-45D770B47F9E}">
      <dgm:prSet/>
      <dgm:spPr/>
      <dgm:t>
        <a:bodyPr/>
        <a:lstStyle/>
        <a:p>
          <a:endParaRPr lang="bg-BG"/>
        </a:p>
      </dgm:t>
    </dgm:pt>
    <dgm:pt modelId="{AABCBCEB-FE64-4D8C-B3DB-F7069CF6C518}">
      <dgm:prSet phldrT="[Text]" custT="1"/>
      <dgm:spPr/>
      <dgm:t>
        <a:bodyPr/>
        <a:lstStyle/>
        <a:p>
          <a:pPr algn="just"/>
          <a:r>
            <a:rPr lang="bg-BG" sz="900">
              <a:latin typeface="Arial" panose="020B0604020202020204" pitchFamily="34" charset="0"/>
              <a:cs typeface="Arial" panose="020B0604020202020204" pitchFamily="34" charset="0"/>
            </a:rPr>
            <a:t>Липса на желание от страна на банките да предоставят дългосрочно финансиране. </a:t>
          </a:r>
        </a:p>
      </dgm:t>
    </dgm:pt>
    <dgm:pt modelId="{0D64DE3B-5CC4-4379-AFA5-5F455F2F95D2}" type="parTrans" cxnId="{BA93EF8B-102F-4EEE-BF03-0857F819DE18}">
      <dgm:prSet/>
      <dgm:spPr/>
      <dgm:t>
        <a:bodyPr/>
        <a:lstStyle/>
        <a:p>
          <a:endParaRPr lang="bg-BG"/>
        </a:p>
      </dgm:t>
    </dgm:pt>
    <dgm:pt modelId="{CDCF25C4-30F9-4C16-8778-9EB75CDA7205}" type="sibTrans" cxnId="{BA93EF8B-102F-4EEE-BF03-0857F819DE18}">
      <dgm:prSet/>
      <dgm:spPr/>
      <dgm:t>
        <a:bodyPr/>
        <a:lstStyle/>
        <a:p>
          <a:endParaRPr lang="bg-BG"/>
        </a:p>
      </dgm:t>
    </dgm:pt>
    <dgm:pt modelId="{D77E3C6D-3C1C-4B48-B5BB-DE47735C6F5E}" type="pres">
      <dgm:prSet presAssocID="{3424A3EB-E1CD-4640-A73C-94B25CE4CA8F}" presName="linearFlow" presStyleCnt="0">
        <dgm:presLayoutVars>
          <dgm:dir/>
          <dgm:animLvl val="lvl"/>
          <dgm:resizeHandles val="exact"/>
        </dgm:presLayoutVars>
      </dgm:prSet>
      <dgm:spPr/>
    </dgm:pt>
    <dgm:pt modelId="{6F2A6671-9997-439A-A0A1-0464CFFB057D}" type="pres">
      <dgm:prSet presAssocID="{9FF0E29E-7140-496B-B28F-C3B581EE665D}" presName="composite" presStyleCnt="0"/>
      <dgm:spPr/>
    </dgm:pt>
    <dgm:pt modelId="{0E0DC425-E521-4080-8973-AF8507DC74CA}" type="pres">
      <dgm:prSet presAssocID="{9FF0E29E-7140-496B-B28F-C3B581EE665D}" presName="parTx" presStyleLbl="node1" presStyleIdx="0" presStyleCnt="1">
        <dgm:presLayoutVars>
          <dgm:chMax val="0"/>
          <dgm:chPref val="0"/>
          <dgm:bulletEnabled val="1"/>
        </dgm:presLayoutVars>
      </dgm:prSet>
      <dgm:spPr/>
    </dgm:pt>
    <dgm:pt modelId="{B36ECA17-D9D0-4A8E-930E-58CF7E460ACC}" type="pres">
      <dgm:prSet presAssocID="{9FF0E29E-7140-496B-B28F-C3B581EE665D}" presName="parSh" presStyleLbl="node1" presStyleIdx="0" presStyleCnt="1" custScaleX="100564" custScaleY="50574" custLinFactNeighborX="18222" custLinFactNeighborY="-1519"/>
      <dgm:spPr/>
    </dgm:pt>
    <dgm:pt modelId="{8801F7B4-8E85-4DFD-BC8D-544F2E220260}" type="pres">
      <dgm:prSet presAssocID="{9FF0E29E-7140-496B-B28F-C3B581EE665D}" presName="desTx" presStyleLbl="fgAcc1" presStyleIdx="0" presStyleCnt="1" custScaleX="100857" custScaleY="76837" custLinFactNeighborX="236" custLinFactNeighborY="1116">
        <dgm:presLayoutVars>
          <dgm:bulletEnabled val="1"/>
        </dgm:presLayoutVars>
      </dgm:prSet>
      <dgm:spPr/>
    </dgm:pt>
  </dgm:ptLst>
  <dgm:cxnLst>
    <dgm:cxn modelId="{DEDC0902-F865-448B-A6DA-B14E33AE05AB}" type="presOf" srcId="{3424A3EB-E1CD-4640-A73C-94B25CE4CA8F}" destId="{D77E3C6D-3C1C-4B48-B5BB-DE47735C6F5E}" srcOrd="0" destOrd="0" presId="urn:microsoft.com/office/officeart/2005/8/layout/process3"/>
    <dgm:cxn modelId="{D72DE211-3C87-4A65-BA6D-9450FA1CF440}" srcId="{9FF0E29E-7140-496B-B28F-C3B581EE665D}" destId="{09392CAF-8117-4E0B-80E2-4F76070F8BB0}" srcOrd="3" destOrd="0" parTransId="{D84FF72E-6E6B-43BB-9D02-00C0CD29D885}" sibTransId="{C4E5020F-5145-4481-A197-59B0DAE785B6}"/>
    <dgm:cxn modelId="{812CDF13-A58A-4C66-A451-0390E4D0F331}" srcId="{3424A3EB-E1CD-4640-A73C-94B25CE4CA8F}" destId="{9FF0E29E-7140-496B-B28F-C3B581EE665D}" srcOrd="0" destOrd="0" parTransId="{11D58D32-34E9-445A-BF03-00051889CDC6}" sibTransId="{A420DCE0-B29A-4B4E-9C59-9F3F6B624CB4}"/>
    <dgm:cxn modelId="{C840741F-C979-4D78-95C6-F11A5B2E3B2A}" srcId="{9FF0E29E-7140-496B-B28F-C3B581EE665D}" destId="{BC072212-69A4-48FF-9E2B-529A796B089D}" srcOrd="5" destOrd="0" parTransId="{AB0830D5-A92D-4A20-AA80-606FB039C78D}" sibTransId="{1649CF06-58B5-4805-83A9-29D5BBA5431F}"/>
    <dgm:cxn modelId="{D7A67821-EE17-4F0B-A22E-8B517F388D8F}" type="presOf" srcId="{9FF0E29E-7140-496B-B28F-C3B581EE665D}" destId="{B36ECA17-D9D0-4A8E-930E-58CF7E460ACC}" srcOrd="1" destOrd="0" presId="urn:microsoft.com/office/officeart/2005/8/layout/process3"/>
    <dgm:cxn modelId="{4300B73D-AC10-42A2-A1CA-419514AAACF8}" type="presOf" srcId="{7E5710A5-8C9D-4457-AF58-849554358861}" destId="{8801F7B4-8E85-4DFD-BC8D-544F2E220260}" srcOrd="0" destOrd="4" presId="urn:microsoft.com/office/officeart/2005/8/layout/process3"/>
    <dgm:cxn modelId="{57C8BB62-C01D-4346-AC5E-DA25B2047E7D}" srcId="{9FF0E29E-7140-496B-B28F-C3B581EE665D}" destId="{3F93ADA4-C89A-4955-9840-29B96AAEA7E7}" srcOrd="2" destOrd="0" parTransId="{48E227C3-42CC-4CF9-BFA8-EC7BE0F9C449}" sibTransId="{6A424128-4FE0-4F76-940F-F63D384891FB}"/>
    <dgm:cxn modelId="{80CF4869-0B38-4F0D-A5D5-9EBA8B0FEF5E}" srcId="{9FF0E29E-7140-496B-B28F-C3B581EE665D}" destId="{F4DA414A-ABC4-4B71-848E-F3AAD2F01EA2}" srcOrd="0" destOrd="0" parTransId="{AE8FC81A-6A56-4C5C-AF44-3ADEEA70E4EC}" sibTransId="{39665668-8657-4298-BBB1-FC0D97F90159}"/>
    <dgm:cxn modelId="{20F5E451-6691-4941-A0AC-93B94CFB8348}" type="presOf" srcId="{9FF0E29E-7140-496B-B28F-C3B581EE665D}" destId="{0E0DC425-E521-4080-8973-AF8507DC74CA}" srcOrd="0" destOrd="0" presId="urn:microsoft.com/office/officeart/2005/8/layout/process3"/>
    <dgm:cxn modelId="{434A5772-DD26-4FF0-8283-1D9EA0590708}" srcId="{9FF0E29E-7140-496B-B28F-C3B581EE665D}" destId="{7E5710A5-8C9D-4457-AF58-849554358861}" srcOrd="4" destOrd="0" parTransId="{AACC3607-A1C4-4C96-B31F-C2C1C2407C4A}" sibTransId="{6B2A01E6-DF10-48EF-B59C-FE4DD4DC0189}"/>
    <dgm:cxn modelId="{BA93EF8B-102F-4EEE-BF03-0857F819DE18}" srcId="{9FF0E29E-7140-496B-B28F-C3B581EE665D}" destId="{AABCBCEB-FE64-4D8C-B3DB-F7069CF6C518}" srcOrd="6" destOrd="0" parTransId="{0D64DE3B-5CC4-4379-AFA5-5F455F2F95D2}" sibTransId="{CDCF25C4-30F9-4C16-8778-9EB75CDA7205}"/>
    <dgm:cxn modelId="{B73A0695-12AE-4BE1-8DC8-3EDBED05B6C6}" type="presOf" srcId="{78F20820-0469-4636-A5FF-7030D1395F52}" destId="{8801F7B4-8E85-4DFD-BC8D-544F2E220260}" srcOrd="0" destOrd="1" presId="urn:microsoft.com/office/officeart/2005/8/layout/process3"/>
    <dgm:cxn modelId="{B1B2EEA8-580F-4CD9-AB2D-45D770B47F9E}" srcId="{9FF0E29E-7140-496B-B28F-C3B581EE665D}" destId="{78F20820-0469-4636-A5FF-7030D1395F52}" srcOrd="1" destOrd="0" parTransId="{2033F6E7-13FD-4C4A-B5CE-5CA77C3CEB04}" sibTransId="{3A4504F5-3EF4-4685-9683-5FE97736BB15}"/>
    <dgm:cxn modelId="{71C6FEC8-9572-43C8-8321-8680DFE7DAA3}" type="presOf" srcId="{AABCBCEB-FE64-4D8C-B3DB-F7069CF6C518}" destId="{8801F7B4-8E85-4DFD-BC8D-544F2E220260}" srcOrd="0" destOrd="6" presId="urn:microsoft.com/office/officeart/2005/8/layout/process3"/>
    <dgm:cxn modelId="{8A2B2ACF-5CD4-45F6-90C0-87D81982585E}" type="presOf" srcId="{F4DA414A-ABC4-4B71-848E-F3AAD2F01EA2}" destId="{8801F7B4-8E85-4DFD-BC8D-544F2E220260}" srcOrd="0" destOrd="0" presId="urn:microsoft.com/office/officeart/2005/8/layout/process3"/>
    <dgm:cxn modelId="{C85F04D9-5016-44F0-BE1C-A53391D2F502}" type="presOf" srcId="{3F93ADA4-C89A-4955-9840-29B96AAEA7E7}" destId="{8801F7B4-8E85-4DFD-BC8D-544F2E220260}" srcOrd="0" destOrd="2" presId="urn:microsoft.com/office/officeart/2005/8/layout/process3"/>
    <dgm:cxn modelId="{4A6B59DE-52BC-46C0-AE41-730800392E73}" type="presOf" srcId="{09392CAF-8117-4E0B-80E2-4F76070F8BB0}" destId="{8801F7B4-8E85-4DFD-BC8D-544F2E220260}" srcOrd="0" destOrd="3" presId="urn:microsoft.com/office/officeart/2005/8/layout/process3"/>
    <dgm:cxn modelId="{1EC940E5-0D2D-4D7C-AD27-DC78C3C236B1}" type="presOf" srcId="{BC072212-69A4-48FF-9E2B-529A796B089D}" destId="{8801F7B4-8E85-4DFD-BC8D-544F2E220260}" srcOrd="0" destOrd="5" presId="urn:microsoft.com/office/officeart/2005/8/layout/process3"/>
    <dgm:cxn modelId="{848ACE28-0E02-4C4C-859E-56B2ED483FAB}" type="presParOf" srcId="{D77E3C6D-3C1C-4B48-B5BB-DE47735C6F5E}" destId="{6F2A6671-9997-439A-A0A1-0464CFFB057D}" srcOrd="0" destOrd="0" presId="urn:microsoft.com/office/officeart/2005/8/layout/process3"/>
    <dgm:cxn modelId="{EB86A89C-FC81-42AA-B97D-AC53F00843B4}" type="presParOf" srcId="{6F2A6671-9997-439A-A0A1-0464CFFB057D}" destId="{0E0DC425-E521-4080-8973-AF8507DC74CA}" srcOrd="0" destOrd="0" presId="urn:microsoft.com/office/officeart/2005/8/layout/process3"/>
    <dgm:cxn modelId="{D3CDCAFF-9312-4142-9A16-7554C75ACC8E}" type="presParOf" srcId="{6F2A6671-9997-439A-A0A1-0464CFFB057D}" destId="{B36ECA17-D9D0-4A8E-930E-58CF7E460ACC}" srcOrd="1" destOrd="0" presId="urn:microsoft.com/office/officeart/2005/8/layout/process3"/>
    <dgm:cxn modelId="{382DE281-70C4-4579-AB0C-B10DD35E5181}" type="presParOf" srcId="{6F2A6671-9997-439A-A0A1-0464CFFB057D}" destId="{8801F7B4-8E85-4DFD-BC8D-544F2E220260}" srcOrd="2" destOrd="0" presId="urn:microsoft.com/office/officeart/2005/8/layout/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24A3EB-E1CD-4640-A73C-94B25CE4CA8F}"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bg-BG"/>
        </a:p>
      </dgm:t>
    </dgm:pt>
    <dgm:pt modelId="{39655861-71B6-4154-96EE-81058B72D3E8}">
      <dgm:prSet phldrT="[Text]" custT="1"/>
      <dgm:spPr/>
      <dgm:t>
        <a:bodyPr/>
        <a:lstStyle/>
        <a:p>
          <a:r>
            <a:rPr lang="bg-BG" sz="1000" b="1">
              <a:latin typeface="Arial" panose="020B0604020202020204" pitchFamily="34" charset="0"/>
              <a:cs typeface="Arial" panose="020B0604020202020204" pitchFamily="34" charset="0"/>
            </a:rPr>
            <a:t>Пазарно предлагане</a:t>
          </a:r>
        </a:p>
      </dgm:t>
    </dgm:pt>
    <dgm:pt modelId="{0EAD8AFD-6C48-47B5-B0AF-F404CB5918B4}" type="parTrans" cxnId="{032AFBDC-F3F0-49C4-A0F0-CB4632B2FCF8}">
      <dgm:prSet/>
      <dgm:spPr/>
      <dgm:t>
        <a:bodyPr/>
        <a:lstStyle/>
        <a:p>
          <a:endParaRPr lang="bg-BG"/>
        </a:p>
      </dgm:t>
    </dgm:pt>
    <dgm:pt modelId="{21DCFDC1-3F4C-4CBF-86FD-1BA2691A13EA}" type="sibTrans" cxnId="{032AFBDC-F3F0-49C4-A0F0-CB4632B2FCF8}">
      <dgm:prSet/>
      <dgm:spPr>
        <a:solidFill>
          <a:schemeClr val="bg1"/>
        </a:solidFill>
      </dgm:spPr>
      <dgm:t>
        <a:bodyPr/>
        <a:lstStyle/>
        <a:p>
          <a:endParaRPr lang="bg-BG"/>
        </a:p>
      </dgm:t>
    </dgm:pt>
    <dgm:pt modelId="{A9556135-95C6-431E-927C-9E3C39C2E81D}">
      <dgm:prSet phldrT="[Text]" custT="1"/>
      <dgm:spPr/>
      <dgm:t>
        <a:bodyPr/>
        <a:lstStyle/>
        <a:p>
          <a:pPr algn="l"/>
          <a:r>
            <a:rPr lang="bg-BG" sz="900">
              <a:latin typeface="Arial" panose="020B0604020202020204" pitchFamily="34" charset="0"/>
              <a:cs typeface="Arial" panose="020B0604020202020204" pitchFamily="34" charset="0"/>
            </a:rPr>
            <a:t>ЕИБ - заеми, гарантирани от държавата;</a:t>
          </a:r>
        </a:p>
      </dgm:t>
    </dgm:pt>
    <dgm:pt modelId="{EB5663AC-621E-49EE-9722-9A93DCDC6305}" type="parTrans" cxnId="{25D676FE-B1CF-4C68-AD3B-3E19FF6EF014}">
      <dgm:prSet/>
      <dgm:spPr/>
      <dgm:t>
        <a:bodyPr/>
        <a:lstStyle/>
        <a:p>
          <a:endParaRPr lang="bg-BG"/>
        </a:p>
      </dgm:t>
    </dgm:pt>
    <dgm:pt modelId="{5EE25582-1BFC-4677-AFDB-01A5ACD2E821}" type="sibTrans" cxnId="{25D676FE-B1CF-4C68-AD3B-3E19FF6EF014}">
      <dgm:prSet/>
      <dgm:spPr/>
      <dgm:t>
        <a:bodyPr/>
        <a:lstStyle/>
        <a:p>
          <a:endParaRPr lang="bg-BG"/>
        </a:p>
      </dgm:t>
    </dgm:pt>
    <dgm:pt modelId="{43153DAB-AD98-414D-A601-3B9EA235FD38}">
      <dgm:prSet phldrT="[Text]" custT="1"/>
      <dgm:spPr/>
      <dgm:t>
        <a:bodyPr/>
        <a:lstStyle/>
        <a:p>
          <a:r>
            <a:rPr lang="bg-BG" sz="1000" b="1">
              <a:latin typeface="Arial" panose="020B0604020202020204" pitchFamily="34" charset="0"/>
              <a:cs typeface="Arial" panose="020B0604020202020204" pitchFamily="34" charset="0"/>
            </a:rPr>
            <a:t>Пазарно търсене</a:t>
          </a:r>
        </a:p>
      </dgm:t>
    </dgm:pt>
    <dgm:pt modelId="{2231C78F-BB0A-4BC5-9B5F-40D93D3A5FBB}" type="parTrans" cxnId="{788B77B1-EFB7-4D1C-BF39-904F522F35E0}">
      <dgm:prSet/>
      <dgm:spPr/>
      <dgm:t>
        <a:bodyPr/>
        <a:lstStyle/>
        <a:p>
          <a:endParaRPr lang="bg-BG"/>
        </a:p>
      </dgm:t>
    </dgm:pt>
    <dgm:pt modelId="{4E98DCC9-CC7A-4E71-B597-1DEAA3A86545}" type="sibTrans" cxnId="{788B77B1-EFB7-4D1C-BF39-904F522F35E0}">
      <dgm:prSet/>
      <dgm:spPr/>
      <dgm:t>
        <a:bodyPr/>
        <a:lstStyle/>
        <a:p>
          <a:endParaRPr lang="bg-BG"/>
        </a:p>
      </dgm:t>
    </dgm:pt>
    <dgm:pt modelId="{F3E64203-CFDD-4370-AFCC-D61F6AA5231D}">
      <dgm:prSet phldrT="[Text]" custT="1"/>
      <dgm:spPr/>
      <dgm:t>
        <a:bodyPr/>
        <a:lstStyle/>
        <a:p>
          <a:pPr algn="just"/>
          <a:r>
            <a:rPr lang="bg-BG" sz="900">
              <a:latin typeface="Arial" panose="020B0604020202020204" pitchFamily="34" charset="0"/>
              <a:cs typeface="Arial" panose="020B0604020202020204" pitchFamily="34" charset="0"/>
            </a:rPr>
            <a:t>Търсене, предимно продиктувано от изискването за съфинансиране на проекти за постигане на съответствие с изискванията на Рамковата директива за водите (РДВ) и нейните дъщерни директиви</a:t>
          </a:r>
          <a:r>
            <a:rPr lang="en-GB" sz="900">
              <a:latin typeface="Arial" panose="020B0604020202020204" pitchFamily="34" charset="0"/>
              <a:cs typeface="Arial" panose="020B0604020202020204" pitchFamily="34" charset="0"/>
            </a:rPr>
            <a:t>, </a:t>
          </a:r>
          <a:r>
            <a:rPr lang="bg-BG" sz="900">
              <a:latin typeface="Arial" panose="020B0604020202020204" pitchFamily="34" charset="0"/>
              <a:cs typeface="Arial" panose="020B0604020202020204" pitchFamily="34" charset="0"/>
            </a:rPr>
            <a:t>Директива 91/271/ЕИО и Директива 98/83/ЕО;</a:t>
          </a:r>
        </a:p>
      </dgm:t>
    </dgm:pt>
    <dgm:pt modelId="{7AA3D30D-76D0-42E9-8C76-83189968E790}" type="parTrans" cxnId="{13043044-42E1-4626-B748-7E27FB888633}">
      <dgm:prSet/>
      <dgm:spPr/>
      <dgm:t>
        <a:bodyPr/>
        <a:lstStyle/>
        <a:p>
          <a:endParaRPr lang="bg-BG"/>
        </a:p>
      </dgm:t>
    </dgm:pt>
    <dgm:pt modelId="{7B2BDDE0-A748-41C4-8F71-98026229DFB0}" type="sibTrans" cxnId="{13043044-42E1-4626-B748-7E27FB888633}">
      <dgm:prSet/>
      <dgm:spPr/>
      <dgm:t>
        <a:bodyPr/>
        <a:lstStyle/>
        <a:p>
          <a:endParaRPr lang="bg-BG"/>
        </a:p>
      </dgm:t>
    </dgm:pt>
    <dgm:pt modelId="{DBC73E00-1F00-4324-8305-C054C51B89B1}">
      <dgm:prSet phldrT="[Text]" custT="1"/>
      <dgm:spPr/>
      <dgm:t>
        <a:bodyPr/>
        <a:lstStyle/>
        <a:p>
          <a:pPr algn="l"/>
          <a:r>
            <a:rPr lang="bg-BG" sz="900">
              <a:latin typeface="Arial" panose="020B0604020202020204" pitchFamily="34" charset="0"/>
              <a:cs typeface="Arial" panose="020B0604020202020204" pitchFamily="34" charset="0"/>
            </a:rPr>
            <a:t>ЕБВР</a:t>
          </a:r>
          <a:r>
            <a:rPr lang="en-GB" sz="900">
              <a:latin typeface="Arial" panose="020B0604020202020204" pitchFamily="34" charset="0"/>
              <a:cs typeface="Arial" panose="020B0604020202020204" pitchFamily="34" charset="0"/>
            </a:rPr>
            <a:t> - </a:t>
          </a:r>
          <a:r>
            <a:rPr lang="bg-BG" sz="900">
              <a:latin typeface="Arial" panose="020B0604020202020204" pitchFamily="34" charset="0"/>
              <a:cs typeface="Arial" panose="020B0604020202020204" pitchFamily="34" charset="0"/>
            </a:rPr>
            <a:t>директни заеми за ВиКО;</a:t>
          </a:r>
        </a:p>
      </dgm:t>
    </dgm:pt>
    <dgm:pt modelId="{EDFE47B3-2AF8-472C-AE3C-2AAD1A2DFC06}" type="parTrans" cxnId="{C16F7BBD-7929-4EA6-B895-D3F1ED0498A1}">
      <dgm:prSet/>
      <dgm:spPr/>
      <dgm:t>
        <a:bodyPr/>
        <a:lstStyle/>
        <a:p>
          <a:endParaRPr lang="bg-BG"/>
        </a:p>
      </dgm:t>
    </dgm:pt>
    <dgm:pt modelId="{D6536234-1B4B-4436-8A55-3FAE96896661}" type="sibTrans" cxnId="{C16F7BBD-7929-4EA6-B895-D3F1ED0498A1}">
      <dgm:prSet/>
      <dgm:spPr/>
      <dgm:t>
        <a:bodyPr/>
        <a:lstStyle/>
        <a:p>
          <a:endParaRPr lang="bg-BG"/>
        </a:p>
      </dgm:t>
    </dgm:pt>
    <dgm:pt modelId="{1F0E7723-4E8B-4476-9E1D-00D7CB742D29}">
      <dgm:prSet phldrT="[Text]" custT="1"/>
      <dgm:spPr/>
      <dgm:t>
        <a:bodyPr/>
        <a:lstStyle/>
        <a:p>
          <a:pPr algn="just"/>
          <a:r>
            <a:rPr lang="bg-BG" sz="900">
              <a:latin typeface="Arial" panose="020B0604020202020204" pitchFamily="34" charset="0"/>
              <a:cs typeface="Arial" panose="020B0604020202020204" pitchFamily="34" charset="0"/>
            </a:rPr>
            <a:t>ФЛАГ</a:t>
          </a:r>
          <a:r>
            <a:rPr lang="en-GB" sz="900">
              <a:latin typeface="Arial" panose="020B0604020202020204" pitchFamily="34" charset="0"/>
              <a:cs typeface="Arial" panose="020B0604020202020204" pitchFamily="34" charset="0"/>
            </a:rPr>
            <a:t> - </a:t>
          </a:r>
          <a:r>
            <a:rPr lang="bg-BG" sz="900">
              <a:latin typeface="Arial" panose="020B0604020202020204" pitchFamily="34" charset="0"/>
              <a:cs typeface="Arial" panose="020B0604020202020204" pitchFamily="34" charset="0"/>
            </a:rPr>
            <a:t>заеми за съфинансиране</a:t>
          </a:r>
          <a:r>
            <a:rPr lang="en-GB" sz="900">
              <a:latin typeface="Arial" panose="020B0604020202020204" pitchFamily="34" charset="0"/>
              <a:cs typeface="Arial" panose="020B0604020202020204" pitchFamily="34" charset="0"/>
            </a:rPr>
            <a:t> </a:t>
          </a:r>
          <a:r>
            <a:rPr lang="bg-BG" sz="900">
              <a:latin typeface="Arial" panose="020B0604020202020204" pitchFamily="34" charset="0"/>
              <a:cs typeface="Arial" panose="020B0604020202020204" pitchFamily="34" charset="0"/>
            </a:rPr>
            <a:t>и мостово финансиране;</a:t>
          </a:r>
        </a:p>
      </dgm:t>
    </dgm:pt>
    <dgm:pt modelId="{5636C6C9-B5C2-4BF6-907A-A352868D9013}" type="parTrans" cxnId="{7D2B6C46-C31B-4363-B88C-66789D4EA509}">
      <dgm:prSet/>
      <dgm:spPr/>
      <dgm:t>
        <a:bodyPr/>
        <a:lstStyle/>
        <a:p>
          <a:endParaRPr lang="bg-BG"/>
        </a:p>
      </dgm:t>
    </dgm:pt>
    <dgm:pt modelId="{3056380F-94A0-4BB0-A694-BCA7097F0C03}" type="sibTrans" cxnId="{7D2B6C46-C31B-4363-B88C-66789D4EA509}">
      <dgm:prSet/>
      <dgm:spPr/>
      <dgm:t>
        <a:bodyPr/>
        <a:lstStyle/>
        <a:p>
          <a:endParaRPr lang="bg-BG"/>
        </a:p>
      </dgm:t>
    </dgm:pt>
    <dgm:pt modelId="{803DE839-077D-4412-90F9-195F778A182E}">
      <dgm:prSet custT="1"/>
      <dgm:spPr/>
      <dgm:t>
        <a:bodyPr/>
        <a:lstStyle/>
        <a:p>
          <a:pPr algn="l"/>
          <a:r>
            <a:rPr lang="bg-BG" sz="900">
              <a:latin typeface="Arial" panose="020B0604020202020204" pitchFamily="34" charset="0"/>
              <a:cs typeface="Arial" panose="020B0604020202020204" pitchFamily="34" charset="0"/>
            </a:rPr>
            <a:t>ПУДООС</a:t>
          </a:r>
          <a:r>
            <a:rPr lang="en-GB" sz="900">
              <a:latin typeface="Arial" panose="020B0604020202020204" pitchFamily="34" charset="0"/>
              <a:cs typeface="Arial" panose="020B0604020202020204" pitchFamily="34" charset="0"/>
            </a:rPr>
            <a:t> - </a:t>
          </a:r>
          <a:r>
            <a:rPr lang="bg-BG" sz="900">
              <a:latin typeface="Arial" panose="020B0604020202020204" pitchFamily="34" charset="0"/>
              <a:cs typeface="Arial" panose="020B0604020202020204" pitchFamily="34" charset="0"/>
            </a:rPr>
            <a:t>безлихвени заеми за мостово финансиране.</a:t>
          </a:r>
        </a:p>
      </dgm:t>
    </dgm:pt>
    <dgm:pt modelId="{D1548A0E-7A45-4697-9670-0B5222DEAA69}" type="parTrans" cxnId="{B7C5A258-894D-4CA3-99DD-C52765B24CA7}">
      <dgm:prSet/>
      <dgm:spPr/>
      <dgm:t>
        <a:bodyPr/>
        <a:lstStyle/>
        <a:p>
          <a:endParaRPr lang="bg-BG"/>
        </a:p>
      </dgm:t>
    </dgm:pt>
    <dgm:pt modelId="{D227D1BA-8CB1-485B-B8B8-6EB4FC366E3B}" type="sibTrans" cxnId="{B7C5A258-894D-4CA3-99DD-C52765B24CA7}">
      <dgm:prSet/>
      <dgm:spPr/>
      <dgm:t>
        <a:bodyPr/>
        <a:lstStyle/>
        <a:p>
          <a:endParaRPr lang="bg-BG"/>
        </a:p>
      </dgm:t>
    </dgm:pt>
    <dgm:pt modelId="{6DF7D055-8592-4885-B32B-9BD8060352CF}">
      <dgm:prSet phldrT="[Text]" custT="1"/>
      <dgm:spPr/>
      <dgm:t>
        <a:bodyPr/>
        <a:lstStyle/>
        <a:p>
          <a:pPr algn="just"/>
          <a:r>
            <a:rPr lang="bg-BG" sz="900">
              <a:latin typeface="Arial" panose="020B0604020202020204" pitchFamily="34" charset="0"/>
              <a:cs typeface="Arial" panose="020B0604020202020204" pitchFamily="34" charset="0"/>
            </a:rPr>
            <a:t>Търсене, продиктувано от нуждите за реализация на проекти за ефективност</a:t>
          </a:r>
          <a:r>
            <a:rPr lang="en-GB" sz="900">
              <a:latin typeface="Arial" panose="020B0604020202020204" pitchFamily="34" charset="0"/>
              <a:cs typeface="Arial" panose="020B0604020202020204" pitchFamily="34" charset="0"/>
            </a:rPr>
            <a:t> (</a:t>
          </a:r>
          <a:r>
            <a:rPr lang="bg-BG" sz="900">
              <a:latin typeface="Arial" panose="020B0604020202020204" pitchFamily="34" charset="0"/>
              <a:cs typeface="Arial" panose="020B0604020202020204" pitchFamily="34" charset="0"/>
            </a:rPr>
            <a:t>заради лошото финансово и оперативно състояние на много от ВиКО</a:t>
          </a:r>
          <a:r>
            <a:rPr lang="en-GB" sz="900">
              <a:latin typeface="Arial" panose="020B0604020202020204" pitchFamily="34" charset="0"/>
              <a:cs typeface="Arial" panose="020B0604020202020204" pitchFamily="34" charset="0"/>
            </a:rPr>
            <a:t>)</a:t>
          </a:r>
          <a:r>
            <a:rPr lang="bg-BG" sz="900">
              <a:latin typeface="Arial" panose="020B0604020202020204" pitchFamily="34" charset="0"/>
              <a:cs typeface="Arial" panose="020B0604020202020204" pitchFamily="34" charset="0"/>
            </a:rPr>
            <a:t>.</a:t>
          </a:r>
        </a:p>
      </dgm:t>
    </dgm:pt>
    <dgm:pt modelId="{678CBAED-3FBD-4364-85B9-3DF53E814F33}" type="parTrans" cxnId="{8D3E8646-B946-4A7B-86A9-5EC56767E0BE}">
      <dgm:prSet/>
      <dgm:spPr/>
      <dgm:t>
        <a:bodyPr/>
        <a:lstStyle/>
        <a:p>
          <a:endParaRPr lang="bg-BG"/>
        </a:p>
      </dgm:t>
    </dgm:pt>
    <dgm:pt modelId="{1AF50352-D69D-418D-9971-19B2D82B2C62}" type="sibTrans" cxnId="{8D3E8646-B946-4A7B-86A9-5EC56767E0BE}">
      <dgm:prSet/>
      <dgm:spPr/>
      <dgm:t>
        <a:bodyPr/>
        <a:lstStyle/>
        <a:p>
          <a:endParaRPr lang="bg-BG"/>
        </a:p>
      </dgm:t>
    </dgm:pt>
    <dgm:pt modelId="{4545E47C-B9BA-4CBD-9279-CAA4FD5822C4}">
      <dgm:prSet phldrT="[Text]" custT="1"/>
      <dgm:spPr/>
      <dgm:t>
        <a:bodyPr/>
        <a:lstStyle/>
        <a:p>
          <a:pPr algn="l"/>
          <a:r>
            <a:rPr lang="bg-BG" sz="900">
              <a:latin typeface="Arial" panose="020B0604020202020204" pitchFamily="34" charset="0"/>
              <a:cs typeface="Arial" panose="020B0604020202020204" pitchFamily="34" charset="0"/>
            </a:rPr>
            <a:t>Приходи от такси</a:t>
          </a:r>
          <a:r>
            <a:rPr lang="en-GB" sz="900">
              <a:latin typeface="Arial" panose="020B0604020202020204" pitchFamily="34" charset="0"/>
              <a:cs typeface="Arial" panose="020B0604020202020204" pitchFamily="34" charset="0"/>
            </a:rPr>
            <a:t> </a:t>
          </a:r>
          <a:r>
            <a:rPr lang="bg-BG" sz="900">
              <a:latin typeface="Arial" panose="020B0604020202020204" pitchFamily="34" charset="0"/>
              <a:cs typeface="Arial" panose="020B0604020202020204" pitchFamily="34" charset="0"/>
            </a:rPr>
            <a:t>за ВиК услуги;</a:t>
          </a:r>
        </a:p>
      </dgm:t>
    </dgm:pt>
    <dgm:pt modelId="{ECAB7AA0-3869-4153-9575-E609FE67A4FD}" type="parTrans" cxnId="{ECBFE668-0FFC-4F49-9861-A61EE2076A49}">
      <dgm:prSet/>
      <dgm:spPr/>
      <dgm:t>
        <a:bodyPr/>
        <a:lstStyle/>
        <a:p>
          <a:endParaRPr lang="bg-BG"/>
        </a:p>
      </dgm:t>
    </dgm:pt>
    <dgm:pt modelId="{9B6E7EBB-D566-4C7E-B632-631188DD16D0}" type="sibTrans" cxnId="{ECBFE668-0FFC-4F49-9861-A61EE2076A49}">
      <dgm:prSet/>
      <dgm:spPr/>
      <dgm:t>
        <a:bodyPr/>
        <a:lstStyle/>
        <a:p>
          <a:endParaRPr lang="bg-BG"/>
        </a:p>
      </dgm:t>
    </dgm:pt>
    <dgm:pt modelId="{D77E3C6D-3C1C-4B48-B5BB-DE47735C6F5E}" type="pres">
      <dgm:prSet presAssocID="{3424A3EB-E1CD-4640-A73C-94B25CE4CA8F}" presName="linearFlow" presStyleCnt="0">
        <dgm:presLayoutVars>
          <dgm:dir/>
          <dgm:animLvl val="lvl"/>
          <dgm:resizeHandles val="exact"/>
        </dgm:presLayoutVars>
      </dgm:prSet>
      <dgm:spPr/>
    </dgm:pt>
    <dgm:pt modelId="{0A2D8634-83A8-448B-BDA3-BDB4EE99A075}" type="pres">
      <dgm:prSet presAssocID="{39655861-71B6-4154-96EE-81058B72D3E8}" presName="composite" presStyleCnt="0"/>
      <dgm:spPr/>
    </dgm:pt>
    <dgm:pt modelId="{4768FBB0-7FED-4311-9E5A-9CDC626F4D30}" type="pres">
      <dgm:prSet presAssocID="{39655861-71B6-4154-96EE-81058B72D3E8}" presName="parTx" presStyleLbl="node1" presStyleIdx="0" presStyleCnt="2">
        <dgm:presLayoutVars>
          <dgm:chMax val="0"/>
          <dgm:chPref val="0"/>
          <dgm:bulletEnabled val="1"/>
        </dgm:presLayoutVars>
      </dgm:prSet>
      <dgm:spPr/>
    </dgm:pt>
    <dgm:pt modelId="{B10125BB-18EF-41AB-B187-38B28E4ECC11}" type="pres">
      <dgm:prSet presAssocID="{39655861-71B6-4154-96EE-81058B72D3E8}" presName="parSh" presStyleLbl="node1" presStyleIdx="0" presStyleCnt="2"/>
      <dgm:spPr/>
    </dgm:pt>
    <dgm:pt modelId="{97984C7F-6238-45EC-969D-1C5C7ED2D790}" type="pres">
      <dgm:prSet presAssocID="{39655861-71B6-4154-96EE-81058B72D3E8}" presName="desTx" presStyleLbl="fgAcc1" presStyleIdx="0" presStyleCnt="2" custLinFactNeighborX="-10789" custLinFactNeighborY="-28649">
        <dgm:presLayoutVars>
          <dgm:bulletEnabled val="1"/>
        </dgm:presLayoutVars>
      </dgm:prSet>
      <dgm:spPr/>
    </dgm:pt>
    <dgm:pt modelId="{611E0896-B1E2-40FC-913C-E4DC104A93D2}" type="pres">
      <dgm:prSet presAssocID="{21DCFDC1-3F4C-4CBF-86FD-1BA2691A13EA}" presName="sibTrans" presStyleLbl="sibTrans2D1" presStyleIdx="0" presStyleCnt="1" custScaleX="52905" custScaleY="35463" custLinFactNeighborX="28407" custLinFactNeighborY="8334"/>
      <dgm:spPr/>
    </dgm:pt>
    <dgm:pt modelId="{88D20424-9497-4446-80F3-1CAA902643A3}" type="pres">
      <dgm:prSet presAssocID="{21DCFDC1-3F4C-4CBF-86FD-1BA2691A13EA}" presName="connTx" presStyleLbl="sibTrans2D1" presStyleIdx="0" presStyleCnt="1"/>
      <dgm:spPr/>
    </dgm:pt>
    <dgm:pt modelId="{61EEA096-4700-43E5-BEBA-961667DB465B}" type="pres">
      <dgm:prSet presAssocID="{43153DAB-AD98-414D-A601-3B9EA235FD38}" presName="composite" presStyleCnt="0"/>
      <dgm:spPr/>
    </dgm:pt>
    <dgm:pt modelId="{56DE8405-F66A-409B-A858-7EC3D346ABA9}" type="pres">
      <dgm:prSet presAssocID="{43153DAB-AD98-414D-A601-3B9EA235FD38}" presName="parTx" presStyleLbl="node1" presStyleIdx="0" presStyleCnt="2">
        <dgm:presLayoutVars>
          <dgm:chMax val="0"/>
          <dgm:chPref val="0"/>
          <dgm:bulletEnabled val="1"/>
        </dgm:presLayoutVars>
      </dgm:prSet>
      <dgm:spPr/>
    </dgm:pt>
    <dgm:pt modelId="{A8FFCF65-662A-4BA1-9FE6-C16810E7CB04}" type="pres">
      <dgm:prSet presAssocID="{43153DAB-AD98-414D-A601-3B9EA235FD38}" presName="parSh" presStyleLbl="node1" presStyleIdx="1" presStyleCnt="2" custLinFactNeighborX="-19387" custLinFactNeighborY="919"/>
      <dgm:spPr/>
    </dgm:pt>
    <dgm:pt modelId="{515A1898-6B9C-4FD5-A3DF-905FE840396D}" type="pres">
      <dgm:prSet presAssocID="{43153DAB-AD98-414D-A601-3B9EA235FD38}" presName="desTx" presStyleLbl="fgAcc1" presStyleIdx="1" presStyleCnt="2" custLinFactNeighborX="-30176" custLinFactNeighborY="-27960">
        <dgm:presLayoutVars>
          <dgm:bulletEnabled val="1"/>
        </dgm:presLayoutVars>
      </dgm:prSet>
      <dgm:spPr/>
    </dgm:pt>
  </dgm:ptLst>
  <dgm:cxnLst>
    <dgm:cxn modelId="{E6B99C01-6119-4889-8F74-D9B57568908E}" type="presOf" srcId="{A9556135-95C6-431E-927C-9E3C39C2E81D}" destId="{97984C7F-6238-45EC-969D-1C5C7ED2D790}" srcOrd="0" destOrd="1" presId="urn:microsoft.com/office/officeart/2005/8/layout/process3"/>
    <dgm:cxn modelId="{929CA612-AA0A-48FA-9642-D37D443CD77B}" type="presOf" srcId="{43153DAB-AD98-414D-A601-3B9EA235FD38}" destId="{A8FFCF65-662A-4BA1-9FE6-C16810E7CB04}" srcOrd="1" destOrd="0" presId="urn:microsoft.com/office/officeart/2005/8/layout/process3"/>
    <dgm:cxn modelId="{E2186C17-F23B-4675-9F9A-1BB3896F2D97}" type="presOf" srcId="{1F0E7723-4E8B-4476-9E1D-00D7CB742D29}" destId="{97984C7F-6238-45EC-969D-1C5C7ED2D790}" srcOrd="0" destOrd="3" presId="urn:microsoft.com/office/officeart/2005/8/layout/process3"/>
    <dgm:cxn modelId="{ECAB0B1D-5AC9-44BC-818B-F439D2D185A3}" type="presOf" srcId="{21DCFDC1-3F4C-4CBF-86FD-1BA2691A13EA}" destId="{88D20424-9497-4446-80F3-1CAA902643A3}" srcOrd="1" destOrd="0" presId="urn:microsoft.com/office/officeart/2005/8/layout/process3"/>
    <dgm:cxn modelId="{E21D232C-E5AF-4BBE-ABB5-29DED9C3ADD4}" type="presOf" srcId="{3424A3EB-E1CD-4640-A73C-94B25CE4CA8F}" destId="{D77E3C6D-3C1C-4B48-B5BB-DE47735C6F5E}" srcOrd="0" destOrd="0" presId="urn:microsoft.com/office/officeart/2005/8/layout/process3"/>
    <dgm:cxn modelId="{13043044-42E1-4626-B748-7E27FB888633}" srcId="{43153DAB-AD98-414D-A601-3B9EA235FD38}" destId="{F3E64203-CFDD-4370-AFCC-D61F6AA5231D}" srcOrd="0" destOrd="0" parTransId="{7AA3D30D-76D0-42E9-8C76-83189968E790}" sibTransId="{7B2BDDE0-A748-41C4-8F71-98026229DFB0}"/>
    <dgm:cxn modelId="{7D2B6C46-C31B-4363-B88C-66789D4EA509}" srcId="{39655861-71B6-4154-96EE-81058B72D3E8}" destId="{1F0E7723-4E8B-4476-9E1D-00D7CB742D29}" srcOrd="3" destOrd="0" parTransId="{5636C6C9-B5C2-4BF6-907A-A352868D9013}" sibTransId="{3056380F-94A0-4BB0-A694-BCA7097F0C03}"/>
    <dgm:cxn modelId="{8D3E8646-B946-4A7B-86A9-5EC56767E0BE}" srcId="{43153DAB-AD98-414D-A601-3B9EA235FD38}" destId="{6DF7D055-8592-4885-B32B-9BD8060352CF}" srcOrd="1" destOrd="0" parTransId="{678CBAED-3FBD-4364-85B9-3DF53E814F33}" sibTransId="{1AF50352-D69D-418D-9971-19B2D82B2C62}"/>
    <dgm:cxn modelId="{365C0168-0AEE-4EE8-98E6-A2951A375568}" type="presOf" srcId="{39655861-71B6-4154-96EE-81058B72D3E8}" destId="{4768FBB0-7FED-4311-9E5A-9CDC626F4D30}" srcOrd="0" destOrd="0" presId="urn:microsoft.com/office/officeart/2005/8/layout/process3"/>
    <dgm:cxn modelId="{ECBFE668-0FFC-4F49-9861-A61EE2076A49}" srcId="{39655861-71B6-4154-96EE-81058B72D3E8}" destId="{4545E47C-B9BA-4CBD-9279-CAA4FD5822C4}" srcOrd="0" destOrd="0" parTransId="{ECAB7AA0-3869-4153-9575-E609FE67A4FD}" sibTransId="{9B6E7EBB-D566-4C7E-B632-631188DD16D0}"/>
    <dgm:cxn modelId="{B7C5A258-894D-4CA3-99DD-C52765B24CA7}" srcId="{39655861-71B6-4154-96EE-81058B72D3E8}" destId="{803DE839-077D-4412-90F9-195F778A182E}" srcOrd="4" destOrd="0" parTransId="{D1548A0E-7A45-4697-9670-0B5222DEAA69}" sibTransId="{D227D1BA-8CB1-485B-B8B8-6EB4FC366E3B}"/>
    <dgm:cxn modelId="{D92A9079-1FE6-4931-B915-D2CD70C7645A}" type="presOf" srcId="{803DE839-077D-4412-90F9-195F778A182E}" destId="{97984C7F-6238-45EC-969D-1C5C7ED2D790}" srcOrd="0" destOrd="4" presId="urn:microsoft.com/office/officeart/2005/8/layout/process3"/>
    <dgm:cxn modelId="{6CF40A80-71FE-4162-8FE2-856ABA92F91E}" type="presOf" srcId="{21DCFDC1-3F4C-4CBF-86FD-1BA2691A13EA}" destId="{611E0896-B1E2-40FC-913C-E4DC104A93D2}" srcOrd="0" destOrd="0" presId="urn:microsoft.com/office/officeart/2005/8/layout/process3"/>
    <dgm:cxn modelId="{8BE8D687-59A4-4B78-A663-AF939931E211}" type="presOf" srcId="{6DF7D055-8592-4885-B32B-9BD8060352CF}" destId="{515A1898-6B9C-4FD5-A3DF-905FE840396D}" srcOrd="0" destOrd="1" presId="urn:microsoft.com/office/officeart/2005/8/layout/process3"/>
    <dgm:cxn modelId="{C5AFA29A-2CC4-4A1A-92E9-84D5E93A04A9}" type="presOf" srcId="{4545E47C-B9BA-4CBD-9279-CAA4FD5822C4}" destId="{97984C7F-6238-45EC-969D-1C5C7ED2D790}" srcOrd="0" destOrd="0" presId="urn:microsoft.com/office/officeart/2005/8/layout/process3"/>
    <dgm:cxn modelId="{415903A5-585B-43BF-9F2F-C5D177230A89}" type="presOf" srcId="{39655861-71B6-4154-96EE-81058B72D3E8}" destId="{B10125BB-18EF-41AB-B187-38B28E4ECC11}" srcOrd="1" destOrd="0" presId="urn:microsoft.com/office/officeart/2005/8/layout/process3"/>
    <dgm:cxn modelId="{EE6EB7AF-7DFC-45B4-A45A-48C75D958534}" type="presOf" srcId="{DBC73E00-1F00-4324-8305-C054C51B89B1}" destId="{97984C7F-6238-45EC-969D-1C5C7ED2D790}" srcOrd="0" destOrd="2" presId="urn:microsoft.com/office/officeart/2005/8/layout/process3"/>
    <dgm:cxn modelId="{788B77B1-EFB7-4D1C-BF39-904F522F35E0}" srcId="{3424A3EB-E1CD-4640-A73C-94B25CE4CA8F}" destId="{43153DAB-AD98-414D-A601-3B9EA235FD38}" srcOrd="1" destOrd="0" parTransId="{2231C78F-BB0A-4BC5-9B5F-40D93D3A5FBB}" sibTransId="{4E98DCC9-CC7A-4E71-B597-1DEAA3A86545}"/>
    <dgm:cxn modelId="{C16F7BBD-7929-4EA6-B895-D3F1ED0498A1}" srcId="{39655861-71B6-4154-96EE-81058B72D3E8}" destId="{DBC73E00-1F00-4324-8305-C054C51B89B1}" srcOrd="2" destOrd="0" parTransId="{EDFE47B3-2AF8-472C-AE3C-2AAD1A2DFC06}" sibTransId="{D6536234-1B4B-4436-8A55-3FAE96896661}"/>
    <dgm:cxn modelId="{032AFBDC-F3F0-49C4-A0F0-CB4632B2FCF8}" srcId="{3424A3EB-E1CD-4640-A73C-94B25CE4CA8F}" destId="{39655861-71B6-4154-96EE-81058B72D3E8}" srcOrd="0" destOrd="0" parTransId="{0EAD8AFD-6C48-47B5-B0AF-F404CB5918B4}" sibTransId="{21DCFDC1-3F4C-4CBF-86FD-1BA2691A13EA}"/>
    <dgm:cxn modelId="{42E9CDE6-1723-4F8C-8598-D38FA28D10FA}" type="presOf" srcId="{F3E64203-CFDD-4370-AFCC-D61F6AA5231D}" destId="{515A1898-6B9C-4FD5-A3DF-905FE840396D}" srcOrd="0" destOrd="0" presId="urn:microsoft.com/office/officeart/2005/8/layout/process3"/>
    <dgm:cxn modelId="{99557CE8-FECA-4CF6-BFED-34A091036062}" type="presOf" srcId="{43153DAB-AD98-414D-A601-3B9EA235FD38}" destId="{56DE8405-F66A-409B-A858-7EC3D346ABA9}" srcOrd="0" destOrd="0" presId="urn:microsoft.com/office/officeart/2005/8/layout/process3"/>
    <dgm:cxn modelId="{25D676FE-B1CF-4C68-AD3B-3E19FF6EF014}" srcId="{39655861-71B6-4154-96EE-81058B72D3E8}" destId="{A9556135-95C6-431E-927C-9E3C39C2E81D}" srcOrd="1" destOrd="0" parTransId="{EB5663AC-621E-49EE-9722-9A93DCDC6305}" sibTransId="{5EE25582-1BFC-4677-AFDB-01A5ACD2E821}"/>
    <dgm:cxn modelId="{DFCE317F-2210-4FA1-B628-022590A7B8B5}" type="presParOf" srcId="{D77E3C6D-3C1C-4B48-B5BB-DE47735C6F5E}" destId="{0A2D8634-83A8-448B-BDA3-BDB4EE99A075}" srcOrd="0" destOrd="0" presId="urn:microsoft.com/office/officeart/2005/8/layout/process3"/>
    <dgm:cxn modelId="{26A3834D-8627-4820-856C-BFBD84933F77}" type="presParOf" srcId="{0A2D8634-83A8-448B-BDA3-BDB4EE99A075}" destId="{4768FBB0-7FED-4311-9E5A-9CDC626F4D30}" srcOrd="0" destOrd="0" presId="urn:microsoft.com/office/officeart/2005/8/layout/process3"/>
    <dgm:cxn modelId="{02EA82ED-FE64-4857-8545-E09A879A635D}" type="presParOf" srcId="{0A2D8634-83A8-448B-BDA3-BDB4EE99A075}" destId="{B10125BB-18EF-41AB-B187-38B28E4ECC11}" srcOrd="1" destOrd="0" presId="urn:microsoft.com/office/officeart/2005/8/layout/process3"/>
    <dgm:cxn modelId="{FDAEB2FC-DE55-48B0-B109-B05DE36ABE04}" type="presParOf" srcId="{0A2D8634-83A8-448B-BDA3-BDB4EE99A075}" destId="{97984C7F-6238-45EC-969D-1C5C7ED2D790}" srcOrd="2" destOrd="0" presId="urn:microsoft.com/office/officeart/2005/8/layout/process3"/>
    <dgm:cxn modelId="{FDD02DF2-A7BF-406C-B562-524EFB310578}" type="presParOf" srcId="{D77E3C6D-3C1C-4B48-B5BB-DE47735C6F5E}" destId="{611E0896-B1E2-40FC-913C-E4DC104A93D2}" srcOrd="1" destOrd="0" presId="urn:microsoft.com/office/officeart/2005/8/layout/process3"/>
    <dgm:cxn modelId="{D35E26C4-1198-4A98-86DA-CCB3C3A5D181}" type="presParOf" srcId="{611E0896-B1E2-40FC-913C-E4DC104A93D2}" destId="{88D20424-9497-4446-80F3-1CAA902643A3}" srcOrd="0" destOrd="0" presId="urn:microsoft.com/office/officeart/2005/8/layout/process3"/>
    <dgm:cxn modelId="{82F6CD36-18F5-46CB-A90E-A2DB9E3097CD}" type="presParOf" srcId="{D77E3C6D-3C1C-4B48-B5BB-DE47735C6F5E}" destId="{61EEA096-4700-43E5-BEBA-961667DB465B}" srcOrd="2" destOrd="0" presId="urn:microsoft.com/office/officeart/2005/8/layout/process3"/>
    <dgm:cxn modelId="{2F220191-21EA-4C8C-87E8-1F5D8BCB1194}" type="presParOf" srcId="{61EEA096-4700-43E5-BEBA-961667DB465B}" destId="{56DE8405-F66A-409B-A858-7EC3D346ABA9}" srcOrd="0" destOrd="0" presId="urn:microsoft.com/office/officeart/2005/8/layout/process3"/>
    <dgm:cxn modelId="{37BF4FF2-A191-4055-969F-A633BF005136}" type="presParOf" srcId="{61EEA096-4700-43E5-BEBA-961667DB465B}" destId="{A8FFCF65-662A-4BA1-9FE6-C16810E7CB04}" srcOrd="1" destOrd="0" presId="urn:microsoft.com/office/officeart/2005/8/layout/process3"/>
    <dgm:cxn modelId="{B3D8F78E-A1F3-44D3-B708-2F38EF8DD4B0}" type="presParOf" srcId="{61EEA096-4700-43E5-BEBA-961667DB465B}" destId="{515A1898-6B9C-4FD5-A3DF-905FE840396D}" srcOrd="2" destOrd="0" presId="urn:microsoft.com/office/officeart/2005/8/layout/process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6ECA17-D9D0-4A8E-930E-58CF7E460ACC}">
      <dsp:nvSpPr>
        <dsp:cNvPr id="0" name=""/>
        <dsp:cNvSpPr/>
      </dsp:nvSpPr>
      <dsp:spPr>
        <a:xfrm>
          <a:off x="933202" y="253546"/>
          <a:ext cx="5133446" cy="7428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bg-BG" sz="1000" b="1" kern="1200">
              <a:latin typeface="Arial" panose="020B0604020202020204" pitchFamily="34" charset="0"/>
              <a:cs typeface="Arial" panose="020B0604020202020204" pitchFamily="34" charset="0"/>
            </a:rPr>
            <a:t>Причини за неоптималната инвестиционна ситуация</a:t>
          </a:r>
        </a:p>
      </dsp:txBody>
      <dsp:txXfrm>
        <a:off x="933202" y="253546"/>
        <a:ext cx="5133446" cy="495220"/>
      </dsp:txXfrm>
    </dsp:sp>
    <dsp:sp modelId="{8801F7B4-8E85-4DFD-BC8D-544F2E220260}">
      <dsp:nvSpPr>
        <dsp:cNvPr id="0" name=""/>
        <dsp:cNvSpPr/>
      </dsp:nvSpPr>
      <dsp:spPr>
        <a:xfrm>
          <a:off x="1044116" y="656761"/>
          <a:ext cx="5148403" cy="15047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Бавен процес по реформиране на ВиК сектора;</a:t>
          </a:r>
        </a:p>
        <a:p>
          <a:pPr marL="57150" lvl="1" indent="-57150" algn="l"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Силна държавна намеса в сектора;</a:t>
          </a:r>
        </a:p>
        <a:p>
          <a:pPr marL="57150" lvl="1" indent="-57150" algn="l"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Нисък капацитет за управление на ВиКО;</a:t>
          </a:r>
        </a:p>
        <a:p>
          <a:pPr marL="57150" lvl="1" indent="-57150" algn="l"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Неефективна финансова и оперативна дейност на ВиКО;</a:t>
          </a:r>
        </a:p>
        <a:p>
          <a:pPr marL="57150" lvl="1" indent="-57150" algn="just"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Нужда от големи първоначални инвестиции с ниска възвращаемост и дълъг период на изплащане;</a:t>
          </a:r>
        </a:p>
        <a:p>
          <a:pPr marL="57150" lvl="1" indent="-57150" algn="just"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Неефективно планиране на инвестициите, нисък капацитет за усвояване и недостатъчно опит в изготвянето и изпълнението на мащабни инвестиционни проекти;</a:t>
          </a:r>
        </a:p>
        <a:p>
          <a:pPr marL="57150" lvl="1" indent="-57150" algn="just"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Липса на желание от страна на банките да предоставят дългосрочно финансиране. </a:t>
          </a:r>
        </a:p>
      </dsp:txBody>
      <dsp:txXfrm>
        <a:off x="1088189" y="700834"/>
        <a:ext cx="5060257" cy="14166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0125BB-18EF-41AB-B187-38B28E4ECC11}">
      <dsp:nvSpPr>
        <dsp:cNvPr id="0" name=""/>
        <dsp:cNvSpPr/>
      </dsp:nvSpPr>
      <dsp:spPr>
        <a:xfrm>
          <a:off x="2917" y="6860"/>
          <a:ext cx="2504760" cy="10367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bg-BG" sz="1000" b="1" kern="1200">
              <a:latin typeface="Arial" panose="020B0604020202020204" pitchFamily="34" charset="0"/>
              <a:cs typeface="Arial" panose="020B0604020202020204" pitchFamily="34" charset="0"/>
            </a:rPr>
            <a:t>Пазарно предлагане</a:t>
          </a:r>
        </a:p>
      </dsp:txBody>
      <dsp:txXfrm>
        <a:off x="2917" y="6860"/>
        <a:ext cx="2504760" cy="691200"/>
      </dsp:txXfrm>
    </dsp:sp>
    <dsp:sp modelId="{97984C7F-6238-45EC-969D-1C5C7ED2D790}">
      <dsp:nvSpPr>
        <dsp:cNvPr id="0" name=""/>
        <dsp:cNvSpPr/>
      </dsp:nvSpPr>
      <dsp:spPr>
        <a:xfrm>
          <a:off x="245702" y="252511"/>
          <a:ext cx="2504760" cy="15552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Приходи от такси</a:t>
          </a:r>
          <a:r>
            <a:rPr lang="en-GB" sz="900" kern="1200">
              <a:latin typeface="Arial" panose="020B0604020202020204" pitchFamily="34" charset="0"/>
              <a:cs typeface="Arial" panose="020B0604020202020204" pitchFamily="34" charset="0"/>
            </a:rPr>
            <a:t> </a:t>
          </a:r>
          <a:r>
            <a:rPr lang="bg-BG" sz="900" kern="1200">
              <a:latin typeface="Arial" panose="020B0604020202020204" pitchFamily="34" charset="0"/>
              <a:cs typeface="Arial" panose="020B0604020202020204" pitchFamily="34" charset="0"/>
            </a:rPr>
            <a:t>за ВиК услуги;</a:t>
          </a:r>
        </a:p>
        <a:p>
          <a:pPr marL="57150" lvl="1" indent="-57150" algn="l"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ЕИБ - заеми, гарантирани от държавата;</a:t>
          </a:r>
        </a:p>
        <a:p>
          <a:pPr marL="57150" lvl="1" indent="-57150" algn="l"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ЕБВР</a:t>
          </a:r>
          <a:r>
            <a:rPr lang="en-GB" sz="900" kern="1200">
              <a:latin typeface="Arial" panose="020B0604020202020204" pitchFamily="34" charset="0"/>
              <a:cs typeface="Arial" panose="020B0604020202020204" pitchFamily="34" charset="0"/>
            </a:rPr>
            <a:t> - </a:t>
          </a:r>
          <a:r>
            <a:rPr lang="bg-BG" sz="900" kern="1200">
              <a:latin typeface="Arial" panose="020B0604020202020204" pitchFamily="34" charset="0"/>
              <a:cs typeface="Arial" panose="020B0604020202020204" pitchFamily="34" charset="0"/>
            </a:rPr>
            <a:t>директни заеми за ВиКО;</a:t>
          </a:r>
        </a:p>
        <a:p>
          <a:pPr marL="57150" lvl="1" indent="-57150" algn="just"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ФЛАГ</a:t>
          </a:r>
          <a:r>
            <a:rPr lang="en-GB" sz="900" kern="1200">
              <a:latin typeface="Arial" panose="020B0604020202020204" pitchFamily="34" charset="0"/>
              <a:cs typeface="Arial" panose="020B0604020202020204" pitchFamily="34" charset="0"/>
            </a:rPr>
            <a:t> - </a:t>
          </a:r>
          <a:r>
            <a:rPr lang="bg-BG" sz="900" kern="1200">
              <a:latin typeface="Arial" panose="020B0604020202020204" pitchFamily="34" charset="0"/>
              <a:cs typeface="Arial" panose="020B0604020202020204" pitchFamily="34" charset="0"/>
            </a:rPr>
            <a:t>заеми за съфинансиране</a:t>
          </a:r>
          <a:r>
            <a:rPr lang="en-GB" sz="900" kern="1200">
              <a:latin typeface="Arial" panose="020B0604020202020204" pitchFamily="34" charset="0"/>
              <a:cs typeface="Arial" panose="020B0604020202020204" pitchFamily="34" charset="0"/>
            </a:rPr>
            <a:t> </a:t>
          </a:r>
          <a:r>
            <a:rPr lang="bg-BG" sz="900" kern="1200">
              <a:latin typeface="Arial" panose="020B0604020202020204" pitchFamily="34" charset="0"/>
              <a:cs typeface="Arial" panose="020B0604020202020204" pitchFamily="34" charset="0"/>
            </a:rPr>
            <a:t>и мостово финансиране;</a:t>
          </a:r>
        </a:p>
        <a:p>
          <a:pPr marL="57150" lvl="1" indent="-57150" algn="l"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ПУДООС</a:t>
          </a:r>
          <a:r>
            <a:rPr lang="en-GB" sz="900" kern="1200">
              <a:latin typeface="Arial" panose="020B0604020202020204" pitchFamily="34" charset="0"/>
              <a:cs typeface="Arial" panose="020B0604020202020204" pitchFamily="34" charset="0"/>
            </a:rPr>
            <a:t> - </a:t>
          </a:r>
          <a:r>
            <a:rPr lang="bg-BG" sz="900" kern="1200">
              <a:latin typeface="Arial" panose="020B0604020202020204" pitchFamily="34" charset="0"/>
              <a:cs typeface="Arial" panose="020B0604020202020204" pitchFamily="34" charset="0"/>
            </a:rPr>
            <a:t>безлихвени заеми за мостово финансиране.</a:t>
          </a:r>
        </a:p>
      </dsp:txBody>
      <dsp:txXfrm>
        <a:off x="291252" y="298061"/>
        <a:ext cx="2413660" cy="1464100"/>
      </dsp:txXfrm>
    </dsp:sp>
    <dsp:sp modelId="{611E0896-B1E2-40FC-913C-E4DC104A93D2}">
      <dsp:nvSpPr>
        <dsp:cNvPr id="0" name=""/>
        <dsp:cNvSpPr/>
      </dsp:nvSpPr>
      <dsp:spPr>
        <a:xfrm rot="9258">
          <a:off x="3050506" y="298662"/>
          <a:ext cx="289721" cy="221151"/>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bg-BG" sz="900" kern="1200"/>
        </a:p>
      </dsp:txBody>
      <dsp:txXfrm>
        <a:off x="3050506" y="342803"/>
        <a:ext cx="223376" cy="132691"/>
      </dsp:txXfrm>
    </dsp:sp>
    <dsp:sp modelId="{A8FFCF65-662A-4BA1-9FE6-C16810E7CB04}">
      <dsp:nvSpPr>
        <dsp:cNvPr id="0" name=""/>
        <dsp:cNvSpPr/>
      </dsp:nvSpPr>
      <dsp:spPr>
        <a:xfrm>
          <a:off x="3540930" y="16388"/>
          <a:ext cx="2504760" cy="10367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bg-BG" sz="1000" b="1" kern="1200">
              <a:latin typeface="Arial" panose="020B0604020202020204" pitchFamily="34" charset="0"/>
              <a:cs typeface="Arial" panose="020B0604020202020204" pitchFamily="34" charset="0"/>
            </a:rPr>
            <a:t>Пазарно търсене</a:t>
          </a:r>
        </a:p>
      </dsp:txBody>
      <dsp:txXfrm>
        <a:off x="3540930" y="16388"/>
        <a:ext cx="2504760" cy="691200"/>
      </dsp:txXfrm>
    </dsp:sp>
    <dsp:sp modelId="{515A1898-6B9C-4FD5-A3DF-905FE840396D}">
      <dsp:nvSpPr>
        <dsp:cNvPr id="0" name=""/>
        <dsp:cNvSpPr/>
      </dsp:nvSpPr>
      <dsp:spPr>
        <a:xfrm>
          <a:off x="3783715" y="263226"/>
          <a:ext cx="2504760" cy="15552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just"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Търсене, предимно продиктувано от изискването за съфинансиране на проекти за постигане на съответствие с изискванията на Рамковата директива за водите (РДВ) и нейните дъщерни директиви</a:t>
          </a:r>
          <a:r>
            <a:rPr lang="en-GB" sz="900" kern="1200">
              <a:latin typeface="Arial" panose="020B0604020202020204" pitchFamily="34" charset="0"/>
              <a:cs typeface="Arial" panose="020B0604020202020204" pitchFamily="34" charset="0"/>
            </a:rPr>
            <a:t>, </a:t>
          </a:r>
          <a:r>
            <a:rPr lang="bg-BG" sz="900" kern="1200">
              <a:latin typeface="Arial" panose="020B0604020202020204" pitchFamily="34" charset="0"/>
              <a:cs typeface="Arial" panose="020B0604020202020204" pitchFamily="34" charset="0"/>
            </a:rPr>
            <a:t>Директива 91/271/ЕИО и Директива 98/83/ЕО;</a:t>
          </a:r>
        </a:p>
        <a:p>
          <a:pPr marL="57150" lvl="1" indent="-57150" algn="just" defTabSz="400050">
            <a:lnSpc>
              <a:spcPct val="90000"/>
            </a:lnSpc>
            <a:spcBef>
              <a:spcPct val="0"/>
            </a:spcBef>
            <a:spcAft>
              <a:spcPct val="15000"/>
            </a:spcAft>
            <a:buChar char="•"/>
          </a:pPr>
          <a:r>
            <a:rPr lang="bg-BG" sz="900" kern="1200">
              <a:latin typeface="Arial" panose="020B0604020202020204" pitchFamily="34" charset="0"/>
              <a:cs typeface="Arial" panose="020B0604020202020204" pitchFamily="34" charset="0"/>
            </a:rPr>
            <a:t>Търсене, продиктувано от нуждите за реализация на проекти за ефективност</a:t>
          </a:r>
          <a:r>
            <a:rPr lang="en-GB" sz="900" kern="1200">
              <a:latin typeface="Arial" panose="020B0604020202020204" pitchFamily="34" charset="0"/>
              <a:cs typeface="Arial" panose="020B0604020202020204" pitchFamily="34" charset="0"/>
            </a:rPr>
            <a:t> (</a:t>
          </a:r>
          <a:r>
            <a:rPr lang="bg-BG" sz="900" kern="1200">
              <a:latin typeface="Arial" panose="020B0604020202020204" pitchFamily="34" charset="0"/>
              <a:cs typeface="Arial" panose="020B0604020202020204" pitchFamily="34" charset="0"/>
            </a:rPr>
            <a:t>заради лошото финансово и оперативно състояние на много от ВиКО</a:t>
          </a:r>
          <a:r>
            <a:rPr lang="en-GB" sz="900" kern="1200">
              <a:latin typeface="Arial" panose="020B0604020202020204" pitchFamily="34" charset="0"/>
              <a:cs typeface="Arial" panose="020B0604020202020204" pitchFamily="34" charset="0"/>
            </a:rPr>
            <a:t>)</a:t>
          </a:r>
          <a:r>
            <a:rPr lang="bg-BG" sz="900" kern="1200">
              <a:latin typeface="Arial" panose="020B0604020202020204" pitchFamily="34" charset="0"/>
              <a:cs typeface="Arial" panose="020B0604020202020204" pitchFamily="34" charset="0"/>
            </a:rPr>
            <a:t>.</a:t>
          </a:r>
        </a:p>
      </dsp:txBody>
      <dsp:txXfrm>
        <a:off x="3829265" y="308776"/>
        <a:ext cx="2413660" cy="14641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1d45786f-a737-4735-8af6-df12fb6939a2"/>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A1E59-EAF6-4DA3-BB49-EF20DD8B18E6}">
  <ds:schemaRefs>
    <ds:schemaRef ds:uri="http://schemas.openxmlformats.org/officeDocument/2006/bibliography"/>
  </ds:schemaRefs>
</ds:datastoreItem>
</file>

<file path=customXml/itemProps3.xml><?xml version="1.0" encoding="utf-8"?>
<ds:datastoreItem xmlns:ds="http://schemas.openxmlformats.org/officeDocument/2006/customXml" ds:itemID="{634D95DB-D457-4DA6-89B4-27F580951AE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13191</Words>
  <Characters>75192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88207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TURCEA Ioana-maria</dc:creator>
  <cp:keywords>[EBRD]</cp:keywords>
  <cp:lastModifiedBy>OPOS BG18</cp:lastModifiedBy>
  <cp:revision>2</cp:revision>
  <cp:lastPrinted>2018-01-10T12:37:00Z</cp:lastPrinted>
  <dcterms:created xsi:type="dcterms:W3CDTF">2023-03-08T08:31:00Z</dcterms:created>
  <dcterms:modified xsi:type="dcterms:W3CDTF">2023-03-08T08:31:00Z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18564e11-15e8-44fd-9369-5f407e2767ce</vt:lpwstr>
  </property>
  <property fmtid="{D5CDD505-2E9C-101B-9397-08002B2CF9AE}" pid="3" name="bjSaver">
    <vt:lpwstr>IE9s+BUqA58/jErWdiOXQU7txJA/DGby</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ies>
</file>