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15E34238" w:rsidR="00B00E10" w:rsidRDefault="00B00E10" w:rsidP="00B00E10">
      <w:pPr>
        <w:jc w:val="center"/>
        <w:rPr>
          <w:rFonts w:eastAsia="Times New Roman"/>
          <w:b/>
          <w:sz w:val="24"/>
          <w:szCs w:val="24"/>
          <w:lang w:eastAsia="pl-PL"/>
        </w:rPr>
      </w:pPr>
    </w:p>
    <w:p w14:paraId="11AB4EE4" w14:textId="77777777" w:rsidR="00317274" w:rsidRPr="00317274" w:rsidRDefault="00317274" w:rsidP="00317274">
      <w:pPr>
        <w:tabs>
          <w:tab w:val="left" w:pos="1185"/>
        </w:tabs>
        <w:spacing w:after="120"/>
        <w:jc w:val="center"/>
        <w:rPr>
          <w:rFonts w:eastAsia="Times New Roman"/>
          <w:b/>
          <w:sz w:val="28"/>
          <w:szCs w:val="28"/>
          <w:lang w:eastAsia="pl-PL"/>
        </w:rPr>
      </w:pPr>
      <w:r w:rsidRPr="00317274">
        <w:rPr>
          <w:rFonts w:eastAsia="Times New Roman"/>
          <w:b/>
          <w:sz w:val="28"/>
          <w:szCs w:val="28"/>
          <w:lang w:eastAsia="pl-PL"/>
        </w:rPr>
        <w:t>КРИТЕРИИ И МЕТОДОЛОГИЯ ЗА ОЦЕНКА НА ПРОЕКТНИ ПРЕДЛОЖЕНИЯ ПО ПРОЦЕДУРА ЧРЕЗ ПОДБОР НА ПРОЕКТНИ ПРЕДЛОЖЕНИЯ „ПОДКРЕПА ЗА РАЗВИТИЕ НА ПРОЕКТНА ДОКТОРАНТУРА “</w:t>
      </w:r>
    </w:p>
    <w:p w14:paraId="73FE4D41" w14:textId="77777777" w:rsidR="00317274" w:rsidRPr="00317274" w:rsidRDefault="00317274" w:rsidP="00317274">
      <w:pPr>
        <w:tabs>
          <w:tab w:val="left" w:pos="1185"/>
        </w:tabs>
        <w:spacing w:after="120"/>
        <w:jc w:val="both"/>
        <w:rPr>
          <w:rFonts w:eastAsia="Times New Roman"/>
          <w:bCs/>
          <w:sz w:val="24"/>
          <w:szCs w:val="24"/>
        </w:rPr>
      </w:pPr>
    </w:p>
    <w:p w14:paraId="7DE69AF0" w14:textId="77777777" w:rsidR="00317274" w:rsidRPr="00317274" w:rsidRDefault="00317274" w:rsidP="00317274">
      <w:pPr>
        <w:tabs>
          <w:tab w:val="left" w:pos="1185"/>
        </w:tabs>
        <w:spacing w:after="120"/>
        <w:jc w:val="both"/>
        <w:rPr>
          <w:rFonts w:eastAsia="Times New Roman"/>
          <w:bCs/>
          <w:color w:val="000000" w:themeColor="text1"/>
          <w:sz w:val="24"/>
          <w:szCs w:val="24"/>
        </w:rPr>
      </w:pPr>
      <w:r w:rsidRPr="00317274">
        <w:rPr>
          <w:rFonts w:eastAsia="Times New Roman"/>
          <w:bCs/>
          <w:sz w:val="24"/>
          <w:szCs w:val="24"/>
        </w:rPr>
        <w:t xml:space="preserve">Оценката на проектните предложения по тази процедура се извършва в съответствие с Глава трета „Предоставяне на безвъзмездна финансова помощ“, Раздел II. „Предоставяне на безвъзмездна финансова помощ чрез подбор“ от Закона за управление на средствата от Европейските фондове при споделено управление, </w:t>
      </w:r>
      <w:r w:rsidRPr="00317274">
        <w:rPr>
          <w:rFonts w:eastAsia="Times New Roman"/>
          <w:bCs/>
          <w:color w:val="000000" w:themeColor="text1"/>
          <w:sz w:val="24"/>
          <w:szCs w:val="24"/>
        </w:rPr>
        <w:t xml:space="preserve">и тази методология. </w:t>
      </w:r>
    </w:p>
    <w:p w14:paraId="12D2F1C9" w14:textId="77777777" w:rsidR="00317274" w:rsidRPr="00317274" w:rsidRDefault="00317274" w:rsidP="00317274">
      <w:pPr>
        <w:tabs>
          <w:tab w:val="left" w:pos="1185"/>
        </w:tabs>
        <w:spacing w:after="120"/>
        <w:jc w:val="both"/>
        <w:rPr>
          <w:rFonts w:eastAsia="Times New Roman"/>
          <w:bCs/>
          <w:sz w:val="24"/>
          <w:szCs w:val="24"/>
        </w:rPr>
      </w:pPr>
      <w:r w:rsidRPr="00317274">
        <w:rPr>
          <w:rFonts w:eastAsia="Times New Roman"/>
          <w:bCs/>
          <w:color w:val="000000" w:themeColor="text1"/>
          <w:sz w:val="24"/>
          <w:szCs w:val="24"/>
        </w:rPr>
        <w:t xml:space="preserve">Оценката на административното съответствие и допустимостта на проектните </w:t>
      </w:r>
      <w:r w:rsidRPr="00317274">
        <w:rPr>
          <w:rFonts w:eastAsia="Times New Roman"/>
          <w:bCs/>
          <w:sz w:val="24"/>
          <w:szCs w:val="24"/>
        </w:rPr>
        <w:t xml:space="preserve">предложения се извършва по критериите, посочени в раздел 1. „Критерии за оценка на административното съответствие и допустимостта“ от тази методология, които се отбелязват с „ДА“, „НЕ“ или „НП“ (не е приложимо). </w:t>
      </w:r>
    </w:p>
    <w:p w14:paraId="41926497" w14:textId="77777777" w:rsidR="00317274" w:rsidRPr="00317274" w:rsidRDefault="00317274" w:rsidP="00317274">
      <w:pPr>
        <w:tabs>
          <w:tab w:val="left" w:pos="1185"/>
        </w:tabs>
        <w:spacing w:after="120"/>
        <w:jc w:val="both"/>
        <w:rPr>
          <w:rFonts w:eastAsia="Times New Roman"/>
          <w:bCs/>
          <w:color w:val="000000" w:themeColor="text1"/>
          <w:sz w:val="24"/>
          <w:szCs w:val="24"/>
        </w:rPr>
      </w:pPr>
      <w:r w:rsidRPr="00317274">
        <w:rPr>
          <w:rFonts w:eastAsia="Times New Roman"/>
          <w:bCs/>
          <w:sz w:val="24"/>
          <w:szCs w:val="24"/>
        </w:rPr>
        <w:t xml:space="preserve">В случай на установени в процеса на оценка липса на документи и/или друга нередовност оценителната комисия изпраща на кандидата уведомление за установените </w:t>
      </w:r>
      <w:proofErr w:type="spellStart"/>
      <w:r w:rsidRPr="00317274">
        <w:rPr>
          <w:rFonts w:eastAsia="Times New Roman"/>
          <w:bCs/>
          <w:sz w:val="24"/>
          <w:szCs w:val="24"/>
        </w:rPr>
        <w:t>нередовности</w:t>
      </w:r>
      <w:proofErr w:type="spellEnd"/>
      <w:r w:rsidRPr="00317274">
        <w:rPr>
          <w:rFonts w:eastAsia="Times New Roman"/>
          <w:bCs/>
          <w:sz w:val="24"/>
          <w:szCs w:val="24"/>
        </w:rPr>
        <w:t xml:space="preserve"> и определя разумен срок за тяхното отстраняване, при спазване на действащата нормативна уредба. Уведомлението съдържа и информация, че </w:t>
      </w:r>
      <w:proofErr w:type="spellStart"/>
      <w:r w:rsidRPr="00317274">
        <w:rPr>
          <w:rFonts w:eastAsia="Times New Roman"/>
          <w:bCs/>
          <w:sz w:val="24"/>
          <w:szCs w:val="24"/>
        </w:rPr>
        <w:t>неотстраняването</w:t>
      </w:r>
      <w:proofErr w:type="spellEnd"/>
      <w:r w:rsidRPr="00317274">
        <w:rPr>
          <w:rFonts w:eastAsia="Times New Roman"/>
          <w:bCs/>
          <w:sz w:val="24"/>
          <w:szCs w:val="24"/>
        </w:rPr>
        <w:t xml:space="preserve"> на </w:t>
      </w:r>
      <w:proofErr w:type="spellStart"/>
      <w:r w:rsidRPr="00317274">
        <w:rPr>
          <w:rFonts w:eastAsia="Times New Roman"/>
          <w:bCs/>
          <w:sz w:val="24"/>
          <w:szCs w:val="24"/>
        </w:rPr>
        <w:t>нередовностите</w:t>
      </w:r>
      <w:proofErr w:type="spellEnd"/>
      <w:r w:rsidRPr="00317274">
        <w:rPr>
          <w:rFonts w:eastAsia="Times New Roman"/>
          <w:bCs/>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317274">
        <w:rPr>
          <w:rFonts w:eastAsia="Times New Roman"/>
          <w:bCs/>
          <w:sz w:val="24"/>
          <w:szCs w:val="24"/>
        </w:rPr>
        <w:t>нередовностите</w:t>
      </w:r>
      <w:proofErr w:type="spellEnd"/>
      <w:r w:rsidRPr="00317274">
        <w:rPr>
          <w:rFonts w:eastAsia="Times New Roman"/>
          <w:bCs/>
          <w:sz w:val="24"/>
          <w:szCs w:val="24"/>
        </w:rPr>
        <w:t xml:space="preserve"> не може да води до подобряване на качеството на проектното предложение. В случай че кандидатът не изпрати исканата информация/документи в указания срок, оценителната комисия може да предложи проектното предложение за недопускане до техническа и финансова оценка, поради неизпълнение/несъответствие с един или повече критерии за оценка на проектните </w:t>
      </w:r>
      <w:r w:rsidRPr="00317274">
        <w:rPr>
          <w:rFonts w:eastAsia="Times New Roman"/>
          <w:bCs/>
          <w:color w:val="000000" w:themeColor="text1"/>
          <w:sz w:val="24"/>
          <w:szCs w:val="24"/>
        </w:rPr>
        <w:t>предложения.</w:t>
      </w:r>
    </w:p>
    <w:p w14:paraId="2829D404" w14:textId="77777777" w:rsidR="00317274" w:rsidRPr="00317274" w:rsidRDefault="00317274" w:rsidP="00317274">
      <w:pPr>
        <w:tabs>
          <w:tab w:val="left" w:pos="1185"/>
        </w:tabs>
        <w:spacing w:after="120"/>
        <w:jc w:val="both"/>
        <w:rPr>
          <w:rFonts w:eastAsia="Times New Roman"/>
          <w:bCs/>
          <w:color w:val="000000" w:themeColor="text1"/>
          <w:sz w:val="24"/>
          <w:szCs w:val="24"/>
        </w:rPr>
      </w:pPr>
      <w:r w:rsidRPr="00317274">
        <w:rPr>
          <w:rFonts w:eastAsia="Times New Roman"/>
          <w:bCs/>
          <w:color w:val="000000" w:themeColor="text1"/>
          <w:sz w:val="24"/>
          <w:szCs w:val="24"/>
        </w:rPr>
        <w:t>Техническата и финансова оценка на проектните предложения се извършва по критериите, посочени в раздел 2 „Критерии за техническа и финансова оценка“ от тази методология.</w:t>
      </w:r>
    </w:p>
    <w:p w14:paraId="67B76B27" w14:textId="77777777" w:rsidR="00317274" w:rsidRPr="00317274" w:rsidRDefault="00317274" w:rsidP="00317274">
      <w:pPr>
        <w:tabs>
          <w:tab w:val="left" w:pos="1185"/>
        </w:tabs>
        <w:spacing w:after="120"/>
        <w:jc w:val="both"/>
        <w:rPr>
          <w:rFonts w:eastAsia="Times New Roman"/>
          <w:bCs/>
          <w:sz w:val="24"/>
          <w:szCs w:val="24"/>
        </w:rPr>
      </w:pPr>
      <w:r w:rsidRPr="00317274">
        <w:rPr>
          <w:rFonts w:eastAsia="Times New Roman"/>
          <w:bCs/>
          <w:sz w:val="24"/>
          <w:szCs w:val="24"/>
        </w:rPr>
        <w:t xml:space="preserve">Максималният брой точки, който може да получи едно проектно предложение в ИСУН  е 100 точки. </w:t>
      </w:r>
    </w:p>
    <w:p w14:paraId="02969EDF" w14:textId="77777777" w:rsidR="00317274" w:rsidRPr="00317274" w:rsidRDefault="00317274" w:rsidP="00317274">
      <w:pPr>
        <w:tabs>
          <w:tab w:val="left" w:pos="1185"/>
        </w:tabs>
        <w:spacing w:after="120"/>
        <w:jc w:val="both"/>
        <w:rPr>
          <w:rFonts w:eastAsia="Times New Roman"/>
          <w:bCs/>
          <w:sz w:val="24"/>
          <w:szCs w:val="24"/>
        </w:rPr>
      </w:pPr>
      <w:r w:rsidRPr="00317274">
        <w:rPr>
          <w:rFonts w:eastAsia="Times New Roman"/>
          <w:bCs/>
          <w:sz w:val="24"/>
          <w:szCs w:val="24"/>
        </w:rPr>
        <w:t>Проектни предложения, които са получили оценка по-малко от 5 т. на критерий 1. „Начин на изпълнение на дейностите“, се отхвърлят от оценителната комисия, без да се извършва оценка по следващите критерии за ТФО.</w:t>
      </w:r>
    </w:p>
    <w:p w14:paraId="67599379" w14:textId="77777777" w:rsidR="00317274" w:rsidRPr="00317274" w:rsidRDefault="00317274" w:rsidP="00317274">
      <w:pPr>
        <w:tabs>
          <w:tab w:val="left" w:pos="1185"/>
        </w:tabs>
        <w:spacing w:after="120"/>
        <w:jc w:val="both"/>
        <w:rPr>
          <w:rFonts w:eastAsia="Times New Roman"/>
          <w:bCs/>
          <w:sz w:val="24"/>
          <w:szCs w:val="24"/>
        </w:rPr>
      </w:pPr>
      <w:r w:rsidRPr="00317274">
        <w:rPr>
          <w:rFonts w:eastAsia="Times New Roman"/>
          <w:bCs/>
          <w:sz w:val="24"/>
          <w:szCs w:val="24"/>
        </w:rPr>
        <w:t xml:space="preserve">След приключване на оценката по критерии от 1 до 7, с които се формира общата оценка на съответното проектно предложение, се попълва критерий 8 за окончателна проверка на БФП. Проверката по критерий 8 се отбелязва с „ДА“ или „НЕ“. </w:t>
      </w:r>
    </w:p>
    <w:p w14:paraId="727B6737" w14:textId="77777777" w:rsidR="00317274" w:rsidRPr="00317274" w:rsidRDefault="00317274" w:rsidP="00317274">
      <w:pPr>
        <w:tabs>
          <w:tab w:val="left" w:pos="1185"/>
        </w:tabs>
        <w:spacing w:after="120"/>
        <w:jc w:val="both"/>
        <w:rPr>
          <w:rFonts w:eastAsia="Times New Roman"/>
          <w:bCs/>
          <w:sz w:val="24"/>
          <w:szCs w:val="24"/>
        </w:rPr>
      </w:pPr>
      <w:r w:rsidRPr="00317274">
        <w:rPr>
          <w:rFonts w:eastAsia="Times New Roman"/>
          <w:bCs/>
          <w:sz w:val="24"/>
          <w:szCs w:val="24"/>
        </w:rPr>
        <w:t xml:space="preserve">Проектните предложения, получили минимум 51 точки на етап „Техническа и финансова оценка“ (критерии от 1 до 7) и „ДА“ на критерий 8 се класират в низходящ ред съобразно получените точки. За финансиране се </w:t>
      </w:r>
      <w:r w:rsidRPr="00317274">
        <w:rPr>
          <w:rFonts w:eastAsia="Times New Roman"/>
          <w:sz w:val="24"/>
          <w:szCs w:val="24"/>
          <w:lang w:eastAsia="en-US"/>
        </w:rPr>
        <w:t xml:space="preserve">предлагат проектите по реда на класирането до достигане на общия размер на бюджета на настоящата процедура. </w:t>
      </w:r>
      <w:r w:rsidRPr="00317274">
        <w:rPr>
          <w:rFonts w:eastAsia="Times New Roman"/>
          <w:bCs/>
          <w:sz w:val="24"/>
          <w:szCs w:val="24"/>
        </w:rPr>
        <w:t xml:space="preserve">В случай че две или повече проектни предложения имат еднакви общи крайни оценки, проектите ще бъдат подреждани в низходящ ред по следните критерии на оценка и в указаната последователност: </w:t>
      </w:r>
    </w:p>
    <w:p w14:paraId="0333AD28" w14:textId="77777777" w:rsidR="00317274" w:rsidRPr="00317274" w:rsidRDefault="00317274" w:rsidP="00317274">
      <w:pPr>
        <w:tabs>
          <w:tab w:val="left" w:pos="1185"/>
        </w:tabs>
        <w:spacing w:after="120"/>
        <w:jc w:val="both"/>
        <w:rPr>
          <w:rFonts w:eastAsia="Times New Roman"/>
          <w:bCs/>
          <w:color w:val="000000" w:themeColor="text1"/>
          <w:sz w:val="24"/>
          <w:szCs w:val="24"/>
        </w:rPr>
      </w:pPr>
      <w:r w:rsidRPr="00317274">
        <w:rPr>
          <w:rFonts w:eastAsia="Times New Roman"/>
          <w:bCs/>
          <w:color w:val="000000" w:themeColor="text1"/>
          <w:sz w:val="24"/>
          <w:szCs w:val="24"/>
        </w:rPr>
        <w:tab/>
      </w:r>
      <w:bookmarkStart w:id="0" w:name="_Hlk122007030"/>
      <w:r w:rsidRPr="00317274">
        <w:rPr>
          <w:rFonts w:eastAsia="Times New Roman"/>
          <w:bCs/>
          <w:color w:val="000000" w:themeColor="text1"/>
          <w:sz w:val="24"/>
          <w:szCs w:val="24"/>
        </w:rPr>
        <w:t xml:space="preserve">• По-висока оценка по критерий „Фокус на проектните докторантури“; </w:t>
      </w:r>
    </w:p>
    <w:p w14:paraId="70869AE4" w14:textId="77777777" w:rsidR="00317274" w:rsidRPr="00317274" w:rsidRDefault="00317274" w:rsidP="00317274">
      <w:pPr>
        <w:tabs>
          <w:tab w:val="left" w:pos="1170"/>
          <w:tab w:val="left" w:pos="1350"/>
        </w:tabs>
        <w:spacing w:after="120"/>
        <w:jc w:val="both"/>
        <w:rPr>
          <w:rFonts w:eastAsia="Times New Roman"/>
          <w:bCs/>
          <w:color w:val="000000" w:themeColor="text1"/>
          <w:sz w:val="24"/>
          <w:szCs w:val="24"/>
        </w:rPr>
      </w:pPr>
      <w:r w:rsidRPr="00317274">
        <w:rPr>
          <w:rFonts w:eastAsia="Times New Roman"/>
          <w:bCs/>
          <w:color w:val="000000" w:themeColor="text1"/>
          <w:sz w:val="24"/>
          <w:szCs w:val="24"/>
        </w:rPr>
        <w:tab/>
        <w:t>•</w:t>
      </w:r>
      <w:r w:rsidRPr="00317274">
        <w:rPr>
          <w:rFonts w:eastAsia="Times New Roman"/>
          <w:bCs/>
          <w:color w:val="000000" w:themeColor="text1"/>
          <w:sz w:val="24"/>
          <w:szCs w:val="24"/>
        </w:rPr>
        <w:tab/>
        <w:t>По-висока оценка по критерий „</w:t>
      </w:r>
      <w:r w:rsidRPr="00317274">
        <w:rPr>
          <w:rFonts w:eastAsia="SimSun"/>
          <w:sz w:val="24"/>
          <w:szCs w:val="24"/>
          <w:lang w:eastAsia="zh-CN"/>
        </w:rPr>
        <w:t>Ефективност на докторските програми</w:t>
      </w:r>
      <w:r w:rsidRPr="00317274">
        <w:rPr>
          <w:rFonts w:eastAsia="Times New Roman"/>
          <w:bCs/>
          <w:color w:val="000000" w:themeColor="text1"/>
          <w:sz w:val="24"/>
          <w:szCs w:val="24"/>
        </w:rPr>
        <w:t>“;</w:t>
      </w:r>
    </w:p>
    <w:bookmarkEnd w:id="0"/>
    <w:p w14:paraId="76F101FB" w14:textId="77777777" w:rsidR="00317274" w:rsidRPr="00317274" w:rsidRDefault="00317274" w:rsidP="00317274">
      <w:pPr>
        <w:tabs>
          <w:tab w:val="left" w:pos="1185"/>
        </w:tabs>
        <w:spacing w:after="120"/>
        <w:jc w:val="both"/>
        <w:rPr>
          <w:rFonts w:eastAsia="Times New Roman"/>
          <w:bCs/>
          <w:color w:val="000000" w:themeColor="text1"/>
          <w:sz w:val="24"/>
          <w:szCs w:val="24"/>
        </w:rPr>
      </w:pPr>
      <w:r w:rsidRPr="00317274">
        <w:rPr>
          <w:rFonts w:eastAsia="Times New Roman"/>
          <w:bCs/>
          <w:color w:val="000000" w:themeColor="text1"/>
          <w:sz w:val="24"/>
          <w:szCs w:val="24"/>
        </w:rPr>
        <w:lastRenderedPageBreak/>
        <w:tab/>
        <w:t>• По-висока оценка по критерий „Фокус върху регионите“.</w:t>
      </w:r>
    </w:p>
    <w:p w14:paraId="16E5F358" w14:textId="77777777" w:rsidR="00317274" w:rsidRPr="00317274" w:rsidRDefault="00317274" w:rsidP="00317274">
      <w:pPr>
        <w:tabs>
          <w:tab w:val="left" w:pos="1185"/>
        </w:tabs>
        <w:spacing w:after="120"/>
        <w:jc w:val="both"/>
        <w:rPr>
          <w:rFonts w:eastAsia="Times New Roman"/>
          <w:sz w:val="24"/>
          <w:szCs w:val="24"/>
        </w:rPr>
      </w:pPr>
    </w:p>
    <w:p w14:paraId="0EB545DF" w14:textId="77777777" w:rsidR="00317274" w:rsidRPr="00317274" w:rsidRDefault="00317274" w:rsidP="00774ACB">
      <w:pPr>
        <w:numPr>
          <w:ilvl w:val="0"/>
          <w:numId w:val="3"/>
        </w:numPr>
        <w:tabs>
          <w:tab w:val="left" w:pos="1185"/>
        </w:tabs>
        <w:spacing w:after="120" w:line="259" w:lineRule="auto"/>
        <w:contextualSpacing/>
        <w:jc w:val="both"/>
        <w:rPr>
          <w:b/>
          <w:bCs/>
          <w:sz w:val="24"/>
          <w:szCs w:val="24"/>
          <w:lang w:val="x-none" w:eastAsia="en-US"/>
        </w:rPr>
      </w:pPr>
      <w:r w:rsidRPr="00317274">
        <w:rPr>
          <w:b/>
          <w:bCs/>
          <w:sz w:val="24"/>
          <w:szCs w:val="24"/>
          <w:lang w:val="x-none" w:eastAsia="en-US"/>
        </w:rPr>
        <w:t>Критерии за оценка на административното съответствие и допустимостта</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gridCol w:w="992"/>
        <w:gridCol w:w="851"/>
        <w:gridCol w:w="850"/>
      </w:tblGrid>
      <w:tr w:rsidR="00317274" w:rsidRPr="00317274" w14:paraId="53EFA04D" w14:textId="77777777" w:rsidTr="00FF32D8">
        <w:tc>
          <w:tcPr>
            <w:tcW w:w="7655" w:type="dxa"/>
            <w:shd w:val="clear" w:color="auto" w:fill="E0E0E0"/>
          </w:tcPr>
          <w:p w14:paraId="5B4639C0" w14:textId="77777777" w:rsidR="00317274" w:rsidRPr="00317274" w:rsidRDefault="00317274" w:rsidP="00317274">
            <w:pPr>
              <w:tabs>
                <w:tab w:val="left" w:pos="-284"/>
              </w:tabs>
              <w:spacing w:after="120"/>
              <w:jc w:val="both"/>
              <w:rPr>
                <w:rFonts w:eastAsia="Times New Roman"/>
                <w:b/>
                <w:sz w:val="24"/>
                <w:szCs w:val="24"/>
                <w:lang w:eastAsia="en-US"/>
              </w:rPr>
            </w:pPr>
            <w:r w:rsidRPr="00317274">
              <w:rPr>
                <w:rFonts w:eastAsia="Times New Roman"/>
                <w:b/>
                <w:sz w:val="24"/>
                <w:szCs w:val="24"/>
                <w:lang w:eastAsia="en-US"/>
              </w:rPr>
              <w:t>І: КРИТЕРИИ ЗА ОЦЕНКА НА АДМИНИСТРАТИВНО СЪОТВЕТСТВИЕ</w:t>
            </w:r>
          </w:p>
        </w:tc>
        <w:tc>
          <w:tcPr>
            <w:tcW w:w="992" w:type="dxa"/>
            <w:shd w:val="clear" w:color="auto" w:fill="E0E0E0"/>
          </w:tcPr>
          <w:p w14:paraId="30226E5E" w14:textId="77777777" w:rsidR="00317274" w:rsidRPr="00317274" w:rsidRDefault="00317274" w:rsidP="00317274">
            <w:pPr>
              <w:spacing w:after="120"/>
              <w:jc w:val="both"/>
              <w:rPr>
                <w:rFonts w:eastAsia="Times New Roman"/>
                <w:b/>
                <w:sz w:val="24"/>
                <w:szCs w:val="24"/>
                <w:lang w:eastAsia="en-US"/>
              </w:rPr>
            </w:pPr>
            <w:r w:rsidRPr="00317274">
              <w:rPr>
                <w:rFonts w:eastAsia="Times New Roman"/>
                <w:b/>
                <w:sz w:val="24"/>
                <w:szCs w:val="24"/>
                <w:lang w:eastAsia="en-US"/>
              </w:rPr>
              <w:t>ДА</w:t>
            </w:r>
          </w:p>
        </w:tc>
        <w:tc>
          <w:tcPr>
            <w:tcW w:w="851" w:type="dxa"/>
            <w:tcBorders>
              <w:bottom w:val="single" w:sz="4" w:space="0" w:color="auto"/>
            </w:tcBorders>
            <w:shd w:val="clear" w:color="auto" w:fill="E0E0E0"/>
          </w:tcPr>
          <w:p w14:paraId="33F0CA0A" w14:textId="77777777" w:rsidR="00317274" w:rsidRPr="00317274" w:rsidRDefault="00317274" w:rsidP="00317274">
            <w:pPr>
              <w:spacing w:after="120"/>
              <w:jc w:val="both"/>
              <w:rPr>
                <w:rFonts w:eastAsia="Times New Roman"/>
                <w:b/>
                <w:sz w:val="24"/>
                <w:szCs w:val="24"/>
                <w:lang w:eastAsia="en-US"/>
              </w:rPr>
            </w:pPr>
            <w:r w:rsidRPr="00317274">
              <w:rPr>
                <w:rFonts w:eastAsia="Times New Roman"/>
                <w:b/>
                <w:sz w:val="24"/>
                <w:szCs w:val="24"/>
                <w:lang w:eastAsia="en-US"/>
              </w:rPr>
              <w:t>НЕ</w:t>
            </w:r>
          </w:p>
        </w:tc>
        <w:tc>
          <w:tcPr>
            <w:tcW w:w="850" w:type="dxa"/>
            <w:tcBorders>
              <w:bottom w:val="single" w:sz="4" w:space="0" w:color="auto"/>
            </w:tcBorders>
            <w:shd w:val="clear" w:color="auto" w:fill="E0E0E0"/>
          </w:tcPr>
          <w:p w14:paraId="3783BCD2" w14:textId="77777777" w:rsidR="00317274" w:rsidRPr="00317274" w:rsidRDefault="00317274" w:rsidP="00317274">
            <w:pPr>
              <w:spacing w:after="120"/>
              <w:jc w:val="both"/>
              <w:rPr>
                <w:rFonts w:eastAsia="Times New Roman"/>
                <w:b/>
                <w:sz w:val="24"/>
                <w:szCs w:val="24"/>
                <w:lang w:eastAsia="en-US"/>
              </w:rPr>
            </w:pPr>
            <w:r w:rsidRPr="00317274">
              <w:rPr>
                <w:rFonts w:eastAsia="Times New Roman"/>
                <w:b/>
                <w:sz w:val="24"/>
                <w:szCs w:val="24"/>
                <w:lang w:eastAsia="en-US"/>
              </w:rPr>
              <w:t>Н/П</w:t>
            </w:r>
          </w:p>
        </w:tc>
      </w:tr>
      <w:tr w:rsidR="00317274" w:rsidRPr="00317274" w14:paraId="195529D8" w14:textId="77777777" w:rsidTr="00FF32D8">
        <w:tc>
          <w:tcPr>
            <w:tcW w:w="7655" w:type="dxa"/>
          </w:tcPr>
          <w:p w14:paraId="2AE585E9" w14:textId="77777777" w:rsidR="00317274" w:rsidRPr="00317274" w:rsidRDefault="00317274" w:rsidP="00774ACB">
            <w:pPr>
              <w:numPr>
                <w:ilvl w:val="0"/>
                <w:numId w:val="1"/>
              </w:numPr>
              <w:tabs>
                <w:tab w:val="left" w:pos="-284"/>
              </w:tabs>
              <w:spacing w:after="120"/>
              <w:ind w:left="498" w:hanging="426"/>
              <w:jc w:val="both"/>
              <w:rPr>
                <w:rFonts w:eastAsia="Times New Roman"/>
                <w:sz w:val="24"/>
                <w:szCs w:val="24"/>
                <w:lang w:eastAsia="en-US"/>
              </w:rPr>
            </w:pPr>
            <w:r w:rsidRPr="00317274">
              <w:rPr>
                <w:rFonts w:eastAsia="Times New Roman"/>
                <w:sz w:val="24"/>
                <w:szCs w:val="24"/>
                <w:lang w:eastAsia="en-US"/>
              </w:rPr>
              <w:t>Формулярът за кандидатстване е подписан с валиден квалифициран електронен подпис (КЕП) от законния представител на кандидата или упълномощено за целите на подаването на проектното предложение лице.</w:t>
            </w:r>
          </w:p>
        </w:tc>
        <w:tc>
          <w:tcPr>
            <w:tcW w:w="992" w:type="dxa"/>
          </w:tcPr>
          <w:p w14:paraId="424F109D"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6E3D301F"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3C6C1457" w14:textId="77777777" w:rsidR="00317274" w:rsidRPr="00317274" w:rsidRDefault="00317274" w:rsidP="00317274">
            <w:pPr>
              <w:spacing w:after="120"/>
              <w:jc w:val="both"/>
              <w:rPr>
                <w:rFonts w:eastAsia="Times New Roman"/>
                <w:sz w:val="24"/>
                <w:szCs w:val="24"/>
                <w:lang w:eastAsia="en-US"/>
              </w:rPr>
            </w:pPr>
          </w:p>
        </w:tc>
      </w:tr>
      <w:tr w:rsidR="00317274" w:rsidRPr="00317274" w14:paraId="114ED787" w14:textId="77777777" w:rsidTr="00FF32D8">
        <w:tc>
          <w:tcPr>
            <w:tcW w:w="7655" w:type="dxa"/>
            <w:tcBorders>
              <w:top w:val="single" w:sz="4" w:space="0" w:color="auto"/>
              <w:left w:val="single" w:sz="4" w:space="0" w:color="auto"/>
              <w:bottom w:val="single" w:sz="4" w:space="0" w:color="auto"/>
              <w:right w:val="single" w:sz="4" w:space="0" w:color="auto"/>
            </w:tcBorders>
          </w:tcPr>
          <w:p w14:paraId="73330DF2" w14:textId="77777777" w:rsidR="00317274" w:rsidRPr="00317274" w:rsidRDefault="00317274" w:rsidP="00774ACB">
            <w:pPr>
              <w:numPr>
                <w:ilvl w:val="0"/>
                <w:numId w:val="1"/>
              </w:numPr>
              <w:tabs>
                <w:tab w:val="left" w:pos="-284"/>
              </w:tabs>
              <w:spacing w:after="120"/>
              <w:ind w:left="502"/>
              <w:jc w:val="both"/>
              <w:rPr>
                <w:rFonts w:eastAsia="Times New Roman"/>
                <w:sz w:val="24"/>
                <w:szCs w:val="24"/>
                <w:lang w:eastAsia="en-US"/>
              </w:rPr>
            </w:pPr>
            <w:r w:rsidRPr="00317274">
              <w:rPr>
                <w:rFonts w:eastAsia="Times New Roman"/>
                <w:sz w:val="24"/>
                <w:szCs w:val="24"/>
                <w:lang w:eastAsia="en-US"/>
              </w:rPr>
              <w:t xml:space="preserve">Заповед за оправомощаване/документ за упълномощаване за подаване на проектното предложение (ако е приложимо),  прикачено в ИСУН.    </w:t>
            </w:r>
          </w:p>
          <w:p w14:paraId="08AAEBE3" w14:textId="77777777" w:rsidR="00317274" w:rsidRPr="00317274" w:rsidRDefault="00317274" w:rsidP="00317274">
            <w:pPr>
              <w:tabs>
                <w:tab w:val="left" w:pos="-284"/>
              </w:tabs>
              <w:spacing w:after="120"/>
              <w:jc w:val="both"/>
              <w:rPr>
                <w:rFonts w:eastAsia="Times New Roman"/>
                <w:sz w:val="24"/>
                <w:szCs w:val="24"/>
                <w:lang w:eastAsia="en-US"/>
              </w:rPr>
            </w:pPr>
            <w:r w:rsidRPr="00317274">
              <w:rPr>
                <w:rFonts w:eastAsia="Times New Roman"/>
                <w:i/>
                <w:sz w:val="24"/>
                <w:szCs w:val="24"/>
                <w:lang w:eastAsia="en-US"/>
              </w:rPr>
              <w:t>Прилага се, в случай че проектното предложение е подадено от лице, различно от официалния представител на кандидата.</w:t>
            </w:r>
          </w:p>
        </w:tc>
        <w:tc>
          <w:tcPr>
            <w:tcW w:w="992" w:type="dxa"/>
          </w:tcPr>
          <w:p w14:paraId="20281764"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3D162C72"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6B3F871"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r>
      <w:tr w:rsidR="00317274" w:rsidRPr="00317274" w14:paraId="60926B34" w14:textId="77777777" w:rsidTr="00FF32D8">
        <w:tc>
          <w:tcPr>
            <w:tcW w:w="7655" w:type="dxa"/>
          </w:tcPr>
          <w:p w14:paraId="18AF0CAB" w14:textId="77777777" w:rsidR="00317274" w:rsidRPr="00317274" w:rsidRDefault="00317274" w:rsidP="00774ACB">
            <w:pPr>
              <w:numPr>
                <w:ilvl w:val="0"/>
                <w:numId w:val="1"/>
              </w:numPr>
              <w:tabs>
                <w:tab w:val="left" w:pos="-284"/>
              </w:tabs>
              <w:spacing w:after="120"/>
              <w:ind w:left="498" w:hanging="426"/>
              <w:jc w:val="both"/>
              <w:rPr>
                <w:rFonts w:eastAsia="Times New Roman"/>
                <w:sz w:val="24"/>
                <w:szCs w:val="24"/>
                <w:lang w:eastAsia="en-US"/>
              </w:rPr>
            </w:pPr>
            <w:r w:rsidRPr="00317274">
              <w:rPr>
                <w:rFonts w:eastAsia="Times New Roman"/>
                <w:sz w:val="24"/>
                <w:szCs w:val="24"/>
                <w:lang w:eastAsia="en-US"/>
              </w:rPr>
              <w:t xml:space="preserve">Декларация на кандидата/партньора, попълнена по образец (Приложение </w:t>
            </w:r>
            <w:r w:rsidRPr="00317274">
              <w:rPr>
                <w:rFonts w:eastAsia="Times New Roman"/>
                <w:sz w:val="24"/>
                <w:szCs w:val="24"/>
                <w:lang w:val="en-US" w:eastAsia="en-US"/>
              </w:rPr>
              <w:t>I</w:t>
            </w:r>
            <w:r w:rsidRPr="00317274">
              <w:rPr>
                <w:rFonts w:eastAsia="Times New Roman"/>
                <w:sz w:val="24"/>
                <w:szCs w:val="24"/>
                <w:lang w:eastAsia="en-US"/>
              </w:rPr>
              <w:t xml:space="preserve"> към Условията за кандидатстване) и прикачена в ИСУН.</w:t>
            </w:r>
          </w:p>
          <w:p w14:paraId="0E85BF8F" w14:textId="77777777" w:rsidR="00317274" w:rsidRPr="00317274" w:rsidRDefault="00317274" w:rsidP="00317274">
            <w:pPr>
              <w:tabs>
                <w:tab w:val="left" w:pos="-284"/>
              </w:tabs>
              <w:spacing w:after="120"/>
              <w:ind w:left="72"/>
              <w:jc w:val="both"/>
              <w:rPr>
                <w:rFonts w:eastAsia="Times New Roman"/>
                <w:i/>
                <w:sz w:val="24"/>
                <w:szCs w:val="24"/>
                <w:lang w:eastAsia="en-US"/>
              </w:rPr>
            </w:pPr>
            <w:r w:rsidRPr="00317274">
              <w:rPr>
                <w:rFonts w:eastAsia="Times New Roman"/>
                <w:i/>
                <w:sz w:val="24"/>
                <w:szCs w:val="24"/>
                <w:lang w:eastAsia="en-US"/>
              </w:rPr>
              <w:t>Прилага се от кандидата и от всички партньори (когато е приложимо).</w:t>
            </w:r>
          </w:p>
        </w:tc>
        <w:tc>
          <w:tcPr>
            <w:tcW w:w="992" w:type="dxa"/>
          </w:tcPr>
          <w:p w14:paraId="3C1296B5"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302C7BB7"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3592ECC7" w14:textId="77777777" w:rsidR="00317274" w:rsidRPr="00317274" w:rsidRDefault="00317274" w:rsidP="00317274">
            <w:pPr>
              <w:spacing w:after="120"/>
              <w:jc w:val="both"/>
              <w:rPr>
                <w:rFonts w:eastAsia="Times New Roman"/>
                <w:sz w:val="24"/>
                <w:szCs w:val="24"/>
                <w:lang w:eastAsia="en-US"/>
              </w:rPr>
            </w:pPr>
          </w:p>
        </w:tc>
      </w:tr>
      <w:tr w:rsidR="00317274" w:rsidRPr="00317274" w14:paraId="7D503A4D" w14:textId="77777777" w:rsidTr="00FF32D8">
        <w:tc>
          <w:tcPr>
            <w:tcW w:w="7655" w:type="dxa"/>
          </w:tcPr>
          <w:p w14:paraId="6C278CB8" w14:textId="77777777" w:rsidR="00317274" w:rsidRPr="00317274" w:rsidRDefault="00317274" w:rsidP="00774ACB">
            <w:pPr>
              <w:numPr>
                <w:ilvl w:val="0"/>
                <w:numId w:val="1"/>
              </w:numPr>
              <w:spacing w:after="120"/>
              <w:ind w:left="502"/>
              <w:jc w:val="both"/>
              <w:rPr>
                <w:rFonts w:eastAsia="Times New Roman"/>
                <w:sz w:val="24"/>
                <w:szCs w:val="24"/>
                <w:lang w:eastAsia="en-US"/>
              </w:rPr>
            </w:pPr>
            <w:r w:rsidRPr="00317274">
              <w:rPr>
                <w:rFonts w:eastAsia="Times New Roman"/>
                <w:sz w:val="24"/>
                <w:szCs w:val="24"/>
                <w:lang w:eastAsia="en-US"/>
              </w:rPr>
              <w:t xml:space="preserve">Декларация за партньорство, попълнена по образец (Приложение </w:t>
            </w:r>
            <w:r w:rsidRPr="00317274">
              <w:rPr>
                <w:rFonts w:eastAsia="Times New Roman"/>
                <w:sz w:val="24"/>
                <w:szCs w:val="24"/>
                <w:lang w:val="en-US" w:eastAsia="en-US"/>
              </w:rPr>
              <w:t>II</w:t>
            </w:r>
            <w:r w:rsidRPr="00317274">
              <w:rPr>
                <w:rFonts w:eastAsia="Times New Roman"/>
                <w:sz w:val="24"/>
                <w:szCs w:val="24"/>
                <w:lang w:eastAsia="en-US"/>
              </w:rPr>
              <w:t xml:space="preserve"> към Условията за кандидатстване) и  прикачена в ИСУН.</w:t>
            </w:r>
          </w:p>
          <w:p w14:paraId="444E5F16" w14:textId="77777777" w:rsidR="00317274" w:rsidRPr="00317274" w:rsidRDefault="00317274" w:rsidP="00317274">
            <w:pPr>
              <w:spacing w:after="120"/>
              <w:ind w:left="142"/>
              <w:jc w:val="both"/>
              <w:rPr>
                <w:rFonts w:eastAsia="Times New Roman"/>
                <w:i/>
                <w:iCs/>
                <w:sz w:val="24"/>
                <w:szCs w:val="24"/>
                <w:lang w:eastAsia="en-US"/>
              </w:rPr>
            </w:pPr>
            <w:r w:rsidRPr="00317274">
              <w:rPr>
                <w:rFonts w:eastAsia="Times New Roman"/>
                <w:i/>
                <w:iCs/>
                <w:sz w:val="24"/>
                <w:szCs w:val="24"/>
                <w:lang w:eastAsia="en-US"/>
              </w:rPr>
              <w:t>Прилага се, в случай че в проектното предложение са включени партньори.</w:t>
            </w:r>
          </w:p>
        </w:tc>
        <w:tc>
          <w:tcPr>
            <w:tcW w:w="992" w:type="dxa"/>
          </w:tcPr>
          <w:p w14:paraId="0DA2ACBB"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34C93E54"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2768DF6E"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r>
      <w:tr w:rsidR="00317274" w:rsidRPr="00317274" w14:paraId="6483708D" w14:textId="77777777" w:rsidTr="00FF32D8">
        <w:tc>
          <w:tcPr>
            <w:tcW w:w="7655" w:type="dxa"/>
          </w:tcPr>
          <w:p w14:paraId="09D996C9" w14:textId="77777777" w:rsidR="00317274" w:rsidRPr="00317274" w:rsidRDefault="00317274" w:rsidP="00774ACB">
            <w:pPr>
              <w:numPr>
                <w:ilvl w:val="0"/>
                <w:numId w:val="1"/>
              </w:numPr>
              <w:spacing w:after="120"/>
              <w:ind w:left="502"/>
              <w:jc w:val="both"/>
              <w:rPr>
                <w:rFonts w:eastAsia="Times New Roman"/>
                <w:sz w:val="24"/>
                <w:szCs w:val="24"/>
                <w:lang w:eastAsia="en-US"/>
              </w:rPr>
            </w:pPr>
            <w:r w:rsidRPr="00317274">
              <w:rPr>
                <w:rFonts w:eastAsia="Times New Roman"/>
                <w:sz w:val="24"/>
                <w:szCs w:val="24"/>
                <w:lang w:eastAsia="en-US"/>
              </w:rPr>
              <w:t xml:space="preserve">Автобиографии на членовете на основния екип за организация и управление на проекта, попълнени по образец (Приложение </w:t>
            </w:r>
            <w:r w:rsidRPr="00317274">
              <w:rPr>
                <w:rFonts w:eastAsia="Times New Roman"/>
                <w:sz w:val="24"/>
                <w:szCs w:val="24"/>
                <w:lang w:val="en-US" w:eastAsia="en-US"/>
              </w:rPr>
              <w:t>III</w:t>
            </w:r>
            <w:r w:rsidRPr="00317274">
              <w:rPr>
                <w:rFonts w:eastAsia="Times New Roman"/>
                <w:sz w:val="24"/>
                <w:szCs w:val="24"/>
                <w:lang w:eastAsia="en-US"/>
              </w:rPr>
              <w:t xml:space="preserve"> към Условията за кандидатстване) и прикачени в ИСУН.</w:t>
            </w:r>
          </w:p>
          <w:p w14:paraId="7B7A4567" w14:textId="77777777" w:rsidR="00317274" w:rsidRPr="00317274" w:rsidRDefault="00317274" w:rsidP="00317274">
            <w:pPr>
              <w:spacing w:after="120"/>
              <w:jc w:val="both"/>
              <w:rPr>
                <w:i/>
                <w:sz w:val="24"/>
                <w:szCs w:val="24"/>
                <w:lang w:eastAsia="zh-CN"/>
              </w:rPr>
            </w:pPr>
            <w:r w:rsidRPr="00317274">
              <w:rPr>
                <w:rFonts w:eastAsia="SimSun"/>
                <w:i/>
                <w:sz w:val="24"/>
                <w:szCs w:val="24"/>
                <w:lang w:eastAsia="zh-CN"/>
              </w:rPr>
              <w:t>Основният екип за организация и управление на проекта включва</w:t>
            </w:r>
            <w:r w:rsidRPr="00317274">
              <w:rPr>
                <w:rFonts w:eastAsia="SimSun"/>
                <w:sz w:val="24"/>
                <w:szCs w:val="24"/>
                <w:lang w:eastAsia="zh-CN"/>
              </w:rPr>
              <w:t xml:space="preserve"> </w:t>
            </w:r>
            <w:r w:rsidRPr="00317274">
              <w:rPr>
                <w:i/>
                <w:sz w:val="24"/>
                <w:szCs w:val="24"/>
                <w:lang w:eastAsia="zh-CN"/>
              </w:rPr>
              <w:t xml:space="preserve">ръководител на проекта, координатор и счетоводител (финансист). </w:t>
            </w:r>
          </w:p>
        </w:tc>
        <w:tc>
          <w:tcPr>
            <w:tcW w:w="992" w:type="dxa"/>
          </w:tcPr>
          <w:p w14:paraId="1CC57CF4"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5F574BEB"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330867D0" w14:textId="77777777" w:rsidR="00317274" w:rsidRPr="00317274" w:rsidRDefault="00317274" w:rsidP="00317274">
            <w:pPr>
              <w:spacing w:after="120"/>
              <w:jc w:val="both"/>
              <w:rPr>
                <w:rFonts w:eastAsia="Times New Roman"/>
                <w:sz w:val="24"/>
                <w:szCs w:val="24"/>
                <w:lang w:eastAsia="en-US"/>
              </w:rPr>
            </w:pPr>
          </w:p>
        </w:tc>
      </w:tr>
      <w:tr w:rsidR="00317274" w:rsidRPr="00317274" w14:paraId="5F4DF297" w14:textId="77777777" w:rsidTr="00FF32D8">
        <w:tc>
          <w:tcPr>
            <w:tcW w:w="7655" w:type="dxa"/>
          </w:tcPr>
          <w:p w14:paraId="2181B0D5" w14:textId="77777777" w:rsidR="00317274" w:rsidRPr="00317274" w:rsidRDefault="00317274" w:rsidP="00774ACB">
            <w:pPr>
              <w:numPr>
                <w:ilvl w:val="0"/>
                <w:numId w:val="1"/>
              </w:numPr>
              <w:tabs>
                <w:tab w:val="left" w:pos="885"/>
              </w:tabs>
              <w:spacing w:after="120"/>
              <w:ind w:left="502"/>
              <w:jc w:val="both"/>
              <w:rPr>
                <w:color w:val="000000"/>
                <w:sz w:val="24"/>
                <w:szCs w:val="24"/>
                <w:lang w:eastAsia="en-US"/>
              </w:rPr>
            </w:pPr>
            <w:r w:rsidRPr="00317274">
              <w:rPr>
                <w:color w:val="000000"/>
                <w:sz w:val="24"/>
                <w:szCs w:val="24"/>
                <w:lang w:eastAsia="en-US"/>
              </w:rPr>
              <w:t xml:space="preserve">Официални документи за последната приключила финансова година към датата на кандидатстване, прикачени в ИСУН за доказване на наличието на финансов капацитет. </w:t>
            </w:r>
          </w:p>
          <w:p w14:paraId="0769AC88" w14:textId="77777777" w:rsidR="00317274" w:rsidRPr="00317274" w:rsidRDefault="00317274" w:rsidP="00317274">
            <w:pPr>
              <w:spacing w:after="120"/>
              <w:jc w:val="both"/>
              <w:rPr>
                <w:i/>
                <w:color w:val="000000"/>
                <w:sz w:val="24"/>
                <w:szCs w:val="24"/>
                <w:lang w:eastAsia="en-US"/>
              </w:rPr>
            </w:pPr>
            <w:r w:rsidRPr="00317274">
              <w:rPr>
                <w:i/>
                <w:color w:val="000000"/>
                <w:sz w:val="24"/>
                <w:szCs w:val="24"/>
                <w:lang w:eastAsia="en-US"/>
              </w:rPr>
              <w:t>Прилага се от кандидата и от всички партньори (когато е приложимо), в случай че документът не е публично оповестен и нито една от участващите организации в проектното предложение (кандидат и/или партньори) не представлява държавно висше училище.</w:t>
            </w:r>
          </w:p>
          <w:p w14:paraId="7C0C8604" w14:textId="77777777" w:rsidR="00317274" w:rsidRPr="00317274" w:rsidRDefault="00317274" w:rsidP="00317274">
            <w:pPr>
              <w:spacing w:after="120"/>
              <w:jc w:val="both"/>
              <w:rPr>
                <w:color w:val="000000"/>
                <w:sz w:val="24"/>
                <w:szCs w:val="24"/>
                <w:lang w:eastAsia="en-US"/>
              </w:rPr>
            </w:pPr>
            <w:r w:rsidRPr="00317274">
              <w:rPr>
                <w:i/>
                <w:sz w:val="24"/>
                <w:szCs w:val="24"/>
                <w:lang w:eastAsia="en-US"/>
              </w:rPr>
              <w:t>В случай че документът е публично оповестен, следва да бъде предоставен линк към източника, в който е наличен.</w:t>
            </w:r>
          </w:p>
        </w:tc>
        <w:tc>
          <w:tcPr>
            <w:tcW w:w="992" w:type="dxa"/>
          </w:tcPr>
          <w:p w14:paraId="077E3288"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0F652E40"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37AC127C"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r>
      <w:tr w:rsidR="00317274" w:rsidRPr="00317274" w14:paraId="23C8B997" w14:textId="77777777" w:rsidTr="00FF32D8">
        <w:tc>
          <w:tcPr>
            <w:tcW w:w="7655" w:type="dxa"/>
          </w:tcPr>
          <w:p w14:paraId="4C607900" w14:textId="77777777" w:rsidR="00317274" w:rsidRPr="00317274" w:rsidRDefault="00317274" w:rsidP="00774ACB">
            <w:pPr>
              <w:numPr>
                <w:ilvl w:val="0"/>
                <w:numId w:val="1"/>
              </w:numPr>
              <w:tabs>
                <w:tab w:val="left" w:pos="975"/>
              </w:tabs>
              <w:spacing w:after="120"/>
              <w:ind w:left="502"/>
              <w:jc w:val="both"/>
              <w:rPr>
                <w:sz w:val="24"/>
                <w:szCs w:val="24"/>
                <w:lang w:eastAsia="en-US"/>
              </w:rPr>
            </w:pPr>
            <w:r w:rsidRPr="00317274">
              <w:rPr>
                <w:sz w:val="24"/>
                <w:szCs w:val="24"/>
                <w:lang w:eastAsia="en-US"/>
              </w:rPr>
              <w:t xml:space="preserve"> Решение на академичния/научния съвет за избора на включените в проектното предложение докторски програми, прикачено в ИСУН. </w:t>
            </w:r>
          </w:p>
          <w:p w14:paraId="2C0ECF4A" w14:textId="77777777" w:rsidR="00317274" w:rsidRPr="00317274" w:rsidRDefault="00317274" w:rsidP="00317274">
            <w:pPr>
              <w:tabs>
                <w:tab w:val="left" w:pos="975"/>
              </w:tabs>
              <w:spacing w:after="120"/>
              <w:jc w:val="both"/>
              <w:rPr>
                <w:i/>
                <w:iCs/>
                <w:sz w:val="24"/>
                <w:szCs w:val="24"/>
                <w:lang w:eastAsia="en-US"/>
              </w:rPr>
            </w:pPr>
            <w:r w:rsidRPr="00317274">
              <w:rPr>
                <w:i/>
                <w:iCs/>
                <w:sz w:val="24"/>
                <w:szCs w:val="24"/>
                <w:lang w:eastAsia="en-US"/>
              </w:rPr>
              <w:t>В случай на партньорство между висши училища и/или научни организации, документът се прилага от всяко висше училище/научна организация.</w:t>
            </w:r>
          </w:p>
        </w:tc>
        <w:tc>
          <w:tcPr>
            <w:tcW w:w="992" w:type="dxa"/>
          </w:tcPr>
          <w:p w14:paraId="4F331F00" w14:textId="77777777" w:rsidR="00317274" w:rsidRPr="00317274" w:rsidRDefault="00317274" w:rsidP="00317274">
            <w:pPr>
              <w:spacing w:after="120"/>
              <w:jc w:val="both"/>
              <w:rPr>
                <w:rFonts w:eastAsia="Times New Roman"/>
                <w:sz w:val="24"/>
                <w:szCs w:val="24"/>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77392A06"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670E1F04" w14:textId="77777777" w:rsidR="00317274" w:rsidRPr="00317274" w:rsidRDefault="00317274" w:rsidP="00317274">
            <w:pPr>
              <w:spacing w:after="120"/>
              <w:jc w:val="both"/>
              <w:rPr>
                <w:rFonts w:eastAsia="Times New Roman"/>
                <w:sz w:val="24"/>
                <w:szCs w:val="24"/>
                <w:lang w:eastAsia="en-US"/>
              </w:rPr>
            </w:pPr>
          </w:p>
        </w:tc>
      </w:tr>
      <w:tr w:rsidR="00317274" w:rsidRPr="00317274" w14:paraId="5F11CC5D" w14:textId="77777777" w:rsidTr="00FF32D8">
        <w:tc>
          <w:tcPr>
            <w:tcW w:w="7655" w:type="dxa"/>
          </w:tcPr>
          <w:p w14:paraId="6684A73A" w14:textId="77777777" w:rsidR="00317274" w:rsidRPr="00317274" w:rsidRDefault="00317274" w:rsidP="00774ACB">
            <w:pPr>
              <w:numPr>
                <w:ilvl w:val="0"/>
                <w:numId w:val="1"/>
              </w:numPr>
              <w:tabs>
                <w:tab w:val="left" w:pos="975"/>
              </w:tabs>
              <w:spacing w:after="120"/>
              <w:ind w:left="502"/>
              <w:jc w:val="both"/>
              <w:rPr>
                <w:sz w:val="24"/>
                <w:szCs w:val="24"/>
                <w:lang w:eastAsia="en-US"/>
              </w:rPr>
            </w:pPr>
            <w:r w:rsidRPr="00317274">
              <w:rPr>
                <w:sz w:val="24"/>
                <w:szCs w:val="24"/>
                <w:lang w:eastAsia="en-US"/>
              </w:rPr>
              <w:lastRenderedPageBreak/>
              <w:t>Писмо за намерение от асоцииран партньор (ако е приложимо), прикачено в ИСУН.</w:t>
            </w:r>
          </w:p>
          <w:p w14:paraId="0A103FF4" w14:textId="77777777" w:rsidR="00317274" w:rsidRPr="00317274" w:rsidRDefault="00317274" w:rsidP="00317274">
            <w:pPr>
              <w:tabs>
                <w:tab w:val="left" w:pos="975"/>
              </w:tabs>
              <w:spacing w:after="120"/>
              <w:jc w:val="both"/>
              <w:rPr>
                <w:sz w:val="24"/>
                <w:szCs w:val="24"/>
                <w:lang w:eastAsia="en-US"/>
              </w:rPr>
            </w:pPr>
            <w:r w:rsidRPr="00317274">
              <w:rPr>
                <w:rFonts w:eastAsia="Times New Roman"/>
                <w:i/>
                <w:iCs/>
                <w:sz w:val="24"/>
                <w:szCs w:val="24"/>
                <w:lang w:eastAsia="en-US"/>
              </w:rPr>
              <w:t>Прилага се, в случай че в проектното предложение е включен асоцииран партньор предприятие/ публична организация/научноизследователски център, вкл. ЦК/ЦВП.</w:t>
            </w:r>
          </w:p>
        </w:tc>
        <w:tc>
          <w:tcPr>
            <w:tcW w:w="992" w:type="dxa"/>
          </w:tcPr>
          <w:p w14:paraId="2C722BFD" w14:textId="77777777" w:rsidR="00317274" w:rsidRPr="00317274" w:rsidRDefault="00317274" w:rsidP="00317274">
            <w:pPr>
              <w:spacing w:after="120"/>
              <w:jc w:val="both"/>
              <w:rPr>
                <w:rFonts w:eastAsia="Times New Roman"/>
                <w:sz w:val="24"/>
                <w:szCs w:val="24"/>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330E532A"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47994C52"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r>
      <w:tr w:rsidR="00317274" w:rsidRPr="00317274" w14:paraId="51FDCCEC" w14:textId="77777777" w:rsidTr="00FF32D8">
        <w:trPr>
          <w:trHeight w:val="1043"/>
        </w:trPr>
        <w:tc>
          <w:tcPr>
            <w:tcW w:w="7655" w:type="dxa"/>
            <w:shd w:val="clear" w:color="auto" w:fill="E0E0E0"/>
          </w:tcPr>
          <w:p w14:paraId="48D9FF2D" w14:textId="77777777" w:rsidR="00317274" w:rsidRPr="00317274" w:rsidRDefault="00317274" w:rsidP="00317274">
            <w:pPr>
              <w:tabs>
                <w:tab w:val="left" w:pos="-284"/>
              </w:tabs>
              <w:spacing w:after="120"/>
              <w:ind w:left="498" w:hanging="426"/>
              <w:jc w:val="both"/>
              <w:rPr>
                <w:rFonts w:eastAsia="Times New Roman"/>
                <w:b/>
                <w:sz w:val="24"/>
                <w:szCs w:val="24"/>
                <w:lang w:eastAsia="en-US"/>
              </w:rPr>
            </w:pPr>
          </w:p>
          <w:p w14:paraId="6E1F30B2" w14:textId="77777777" w:rsidR="00317274" w:rsidRPr="00317274" w:rsidRDefault="00317274" w:rsidP="00317274">
            <w:pPr>
              <w:spacing w:after="120"/>
              <w:rPr>
                <w:rFonts w:eastAsia="Times New Roman"/>
                <w:b/>
                <w:sz w:val="24"/>
                <w:szCs w:val="24"/>
                <w:lang w:eastAsia="pl-PL"/>
              </w:rPr>
            </w:pPr>
            <w:r w:rsidRPr="00317274">
              <w:rPr>
                <w:rFonts w:eastAsia="Times New Roman"/>
                <w:b/>
                <w:sz w:val="24"/>
                <w:szCs w:val="24"/>
                <w:lang w:eastAsia="en-US"/>
              </w:rPr>
              <w:t xml:space="preserve">ІI. </w:t>
            </w:r>
            <w:r w:rsidRPr="00317274">
              <w:rPr>
                <w:rFonts w:eastAsia="Times New Roman"/>
                <w:b/>
                <w:sz w:val="24"/>
                <w:szCs w:val="24"/>
                <w:lang w:eastAsia="pl-PL"/>
              </w:rPr>
              <w:t xml:space="preserve">КРИТЕРИИ ЗА ОЦЕНКА НА ДОПУСТИМОСТТА </w:t>
            </w:r>
          </w:p>
        </w:tc>
        <w:tc>
          <w:tcPr>
            <w:tcW w:w="992" w:type="dxa"/>
            <w:shd w:val="clear" w:color="auto" w:fill="E0E0E0"/>
          </w:tcPr>
          <w:p w14:paraId="3D9C0437" w14:textId="77777777" w:rsidR="00317274" w:rsidRPr="00317274" w:rsidRDefault="00317274" w:rsidP="00317274">
            <w:pPr>
              <w:spacing w:after="120"/>
              <w:jc w:val="both"/>
              <w:rPr>
                <w:rFonts w:eastAsia="Times New Roman"/>
                <w:b/>
                <w:sz w:val="24"/>
                <w:szCs w:val="24"/>
                <w:lang w:eastAsia="en-US"/>
              </w:rPr>
            </w:pPr>
          </w:p>
          <w:p w14:paraId="255A8D05" w14:textId="77777777" w:rsidR="00317274" w:rsidRPr="00317274" w:rsidRDefault="00317274" w:rsidP="00317274">
            <w:pPr>
              <w:spacing w:after="120"/>
              <w:jc w:val="both"/>
              <w:rPr>
                <w:rFonts w:eastAsia="Times New Roman"/>
                <w:b/>
                <w:sz w:val="24"/>
                <w:szCs w:val="24"/>
                <w:lang w:eastAsia="en-US"/>
              </w:rPr>
            </w:pPr>
            <w:r w:rsidRPr="00317274">
              <w:rPr>
                <w:rFonts w:eastAsia="Times New Roman"/>
                <w:b/>
                <w:sz w:val="24"/>
                <w:szCs w:val="24"/>
                <w:lang w:eastAsia="en-US"/>
              </w:rPr>
              <w:t>ДА</w:t>
            </w:r>
          </w:p>
        </w:tc>
        <w:tc>
          <w:tcPr>
            <w:tcW w:w="851" w:type="dxa"/>
            <w:tcBorders>
              <w:bottom w:val="single" w:sz="4" w:space="0" w:color="auto"/>
            </w:tcBorders>
            <w:shd w:val="clear" w:color="auto" w:fill="E0E0E0"/>
          </w:tcPr>
          <w:p w14:paraId="1DE0C6E5" w14:textId="77777777" w:rsidR="00317274" w:rsidRPr="00317274" w:rsidRDefault="00317274" w:rsidP="00317274">
            <w:pPr>
              <w:spacing w:after="120"/>
              <w:jc w:val="both"/>
              <w:rPr>
                <w:rFonts w:eastAsia="Times New Roman"/>
                <w:b/>
                <w:sz w:val="24"/>
                <w:szCs w:val="24"/>
                <w:lang w:eastAsia="en-US"/>
              </w:rPr>
            </w:pPr>
          </w:p>
          <w:p w14:paraId="533AFD02" w14:textId="77777777" w:rsidR="00317274" w:rsidRPr="00317274" w:rsidRDefault="00317274" w:rsidP="00317274">
            <w:pPr>
              <w:spacing w:after="120"/>
              <w:jc w:val="both"/>
              <w:rPr>
                <w:rFonts w:eastAsia="Times New Roman"/>
                <w:b/>
                <w:sz w:val="24"/>
                <w:szCs w:val="24"/>
                <w:lang w:eastAsia="en-US"/>
              </w:rPr>
            </w:pPr>
            <w:r w:rsidRPr="00317274">
              <w:rPr>
                <w:rFonts w:eastAsia="Times New Roman"/>
                <w:b/>
                <w:sz w:val="24"/>
                <w:szCs w:val="24"/>
                <w:lang w:eastAsia="en-US"/>
              </w:rPr>
              <w:t>НЕ</w:t>
            </w:r>
          </w:p>
        </w:tc>
        <w:tc>
          <w:tcPr>
            <w:tcW w:w="850" w:type="dxa"/>
            <w:shd w:val="clear" w:color="auto" w:fill="E0E0E0"/>
          </w:tcPr>
          <w:p w14:paraId="190909F3" w14:textId="77777777" w:rsidR="00317274" w:rsidRPr="00317274" w:rsidRDefault="00317274" w:rsidP="00317274">
            <w:pPr>
              <w:spacing w:after="120"/>
              <w:jc w:val="both"/>
              <w:rPr>
                <w:rFonts w:eastAsia="Times New Roman"/>
                <w:b/>
                <w:sz w:val="24"/>
                <w:szCs w:val="24"/>
                <w:lang w:eastAsia="en-US"/>
              </w:rPr>
            </w:pPr>
          </w:p>
          <w:p w14:paraId="0ACF690D" w14:textId="77777777" w:rsidR="00317274" w:rsidRPr="00317274" w:rsidRDefault="00317274" w:rsidP="00317274">
            <w:pPr>
              <w:spacing w:after="120"/>
              <w:jc w:val="both"/>
              <w:rPr>
                <w:rFonts w:eastAsia="Times New Roman"/>
                <w:b/>
                <w:sz w:val="24"/>
                <w:szCs w:val="24"/>
                <w:lang w:eastAsia="en-US"/>
              </w:rPr>
            </w:pPr>
            <w:r w:rsidRPr="00317274">
              <w:rPr>
                <w:rFonts w:eastAsia="Times New Roman"/>
                <w:b/>
                <w:sz w:val="24"/>
                <w:szCs w:val="24"/>
                <w:lang w:eastAsia="en-US"/>
              </w:rPr>
              <w:t>Н/П</w:t>
            </w:r>
          </w:p>
        </w:tc>
      </w:tr>
      <w:tr w:rsidR="00317274" w:rsidRPr="00317274" w14:paraId="685F1ED2" w14:textId="77777777" w:rsidTr="00FF32D8">
        <w:trPr>
          <w:trHeight w:val="338"/>
        </w:trPr>
        <w:tc>
          <w:tcPr>
            <w:tcW w:w="7655" w:type="dxa"/>
          </w:tcPr>
          <w:p w14:paraId="10AB523A"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Кандидатът е допустим, съгласно т. 11 от Условията за кандидатстване.</w:t>
            </w:r>
          </w:p>
          <w:p w14:paraId="177E4268" w14:textId="77777777" w:rsidR="00317274" w:rsidRPr="00317274" w:rsidRDefault="00317274" w:rsidP="00317274">
            <w:pPr>
              <w:tabs>
                <w:tab w:val="left" w:pos="-284"/>
              </w:tabs>
              <w:spacing w:after="120"/>
              <w:ind w:left="36"/>
              <w:jc w:val="both"/>
              <w:rPr>
                <w:rFonts w:eastAsia="Times New Roman"/>
                <w:i/>
                <w:sz w:val="24"/>
                <w:szCs w:val="24"/>
                <w:lang w:eastAsia="en-US"/>
              </w:rPr>
            </w:pPr>
            <w:r w:rsidRPr="00317274">
              <w:rPr>
                <w:rFonts w:eastAsia="Times New Roman"/>
                <w:i/>
                <w:sz w:val="24"/>
                <w:szCs w:val="24"/>
                <w:lang w:eastAsia="en-US"/>
              </w:rPr>
              <w:t>Изискването за наличие на програмна акредитация</w:t>
            </w:r>
            <w:r w:rsidRPr="00317274">
              <w:rPr>
                <w:rFonts w:eastAsia="Times New Roman"/>
              </w:rPr>
              <w:t xml:space="preserve"> </w:t>
            </w:r>
            <w:r w:rsidRPr="00317274">
              <w:rPr>
                <w:rFonts w:eastAsia="Times New Roman"/>
                <w:i/>
                <w:sz w:val="24"/>
                <w:szCs w:val="24"/>
                <w:lang w:eastAsia="en-US"/>
              </w:rPr>
              <w:t>за провеждане на  обучение в образователна и научна степен “доктор“ на кандидатите, както и наличието на акредитирани докторски програми, към които да са насочени планираните дейности в проектното предложение, в чието изпълнение те участват, се проверява по служебен път от оценителната комисия въз основа на информация, предоставена от Националната агенция за оценяване и акредитация.</w:t>
            </w:r>
          </w:p>
          <w:p w14:paraId="61C64042" w14:textId="77777777" w:rsidR="00317274" w:rsidRPr="00317274" w:rsidRDefault="00317274" w:rsidP="00317274">
            <w:pPr>
              <w:tabs>
                <w:tab w:val="left" w:pos="-284"/>
              </w:tabs>
              <w:spacing w:after="120"/>
              <w:ind w:left="60"/>
              <w:jc w:val="both"/>
              <w:rPr>
                <w:rFonts w:eastAsia="Times New Roman"/>
                <w:sz w:val="24"/>
                <w:szCs w:val="24"/>
                <w:lang w:eastAsia="en-US"/>
              </w:rPr>
            </w:pPr>
            <w:r w:rsidRPr="00317274">
              <w:rPr>
                <w:i/>
                <w:sz w:val="24"/>
                <w:szCs w:val="24"/>
                <w:lang w:eastAsia="en-US"/>
              </w:rPr>
              <w:t>Проектни предложения, които са подадени от кандидати, които не отговарят на изискванията за допустимост на кандидата, следва да бъдат отхвърлени.</w:t>
            </w:r>
          </w:p>
        </w:tc>
        <w:tc>
          <w:tcPr>
            <w:tcW w:w="992" w:type="dxa"/>
          </w:tcPr>
          <w:p w14:paraId="0D9C11D3"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37648A12"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271193C8" w14:textId="77777777" w:rsidR="00317274" w:rsidRPr="00317274" w:rsidRDefault="00317274" w:rsidP="00317274">
            <w:pPr>
              <w:spacing w:after="120"/>
              <w:jc w:val="both"/>
              <w:rPr>
                <w:rFonts w:eastAsia="Times New Roman"/>
                <w:sz w:val="24"/>
                <w:szCs w:val="24"/>
                <w:lang w:eastAsia="en-US"/>
              </w:rPr>
            </w:pPr>
          </w:p>
        </w:tc>
      </w:tr>
      <w:tr w:rsidR="00317274" w:rsidRPr="00317274" w14:paraId="67688544" w14:textId="77777777" w:rsidTr="00FF32D8">
        <w:trPr>
          <w:trHeight w:val="338"/>
        </w:trPr>
        <w:tc>
          <w:tcPr>
            <w:tcW w:w="7655" w:type="dxa"/>
          </w:tcPr>
          <w:p w14:paraId="242E3CDA" w14:textId="77777777" w:rsidR="00317274" w:rsidRPr="00317274" w:rsidRDefault="00317274" w:rsidP="00774ACB">
            <w:pPr>
              <w:numPr>
                <w:ilvl w:val="0"/>
                <w:numId w:val="2"/>
              </w:numPr>
              <w:spacing w:after="160" w:line="259" w:lineRule="auto"/>
              <w:contextualSpacing/>
              <w:jc w:val="both"/>
              <w:rPr>
                <w:rFonts w:eastAsia="Times New Roman"/>
                <w:sz w:val="24"/>
                <w:szCs w:val="24"/>
                <w:lang w:eastAsia="en-US"/>
              </w:rPr>
            </w:pPr>
            <w:r w:rsidRPr="00317274">
              <w:rPr>
                <w:rFonts w:eastAsia="Times New Roman"/>
                <w:sz w:val="24"/>
                <w:szCs w:val="24"/>
                <w:lang w:eastAsia="en-US"/>
              </w:rPr>
              <w:t>Партньорите са допустими съгласно т. 12 от Условията за кандидатстване (ако е приложимо).</w:t>
            </w:r>
          </w:p>
          <w:p w14:paraId="1CE13384" w14:textId="77777777" w:rsidR="00317274" w:rsidRPr="00317274" w:rsidRDefault="00317274" w:rsidP="00317274">
            <w:pPr>
              <w:tabs>
                <w:tab w:val="left" w:pos="-284"/>
              </w:tabs>
              <w:spacing w:after="120"/>
              <w:ind w:left="60"/>
              <w:jc w:val="both"/>
              <w:rPr>
                <w:rFonts w:eastAsia="Times New Roman"/>
                <w:i/>
                <w:sz w:val="24"/>
                <w:szCs w:val="24"/>
                <w:lang w:eastAsia="en-US"/>
              </w:rPr>
            </w:pPr>
            <w:r w:rsidRPr="00317274">
              <w:rPr>
                <w:rFonts w:eastAsia="Times New Roman"/>
                <w:i/>
                <w:sz w:val="24"/>
                <w:szCs w:val="24"/>
                <w:lang w:eastAsia="en-US"/>
              </w:rPr>
              <w:t>В рамките на настоящия критерий се оценяват поотделно за всеки един от партньорите изискванията за допустимост, съгласно т. 12 от Условията за кандидатстване.</w:t>
            </w:r>
          </w:p>
          <w:p w14:paraId="06820AE6" w14:textId="77777777" w:rsidR="00317274" w:rsidRPr="00317274" w:rsidRDefault="00317274" w:rsidP="00317274">
            <w:pPr>
              <w:tabs>
                <w:tab w:val="left" w:pos="-284"/>
              </w:tabs>
              <w:spacing w:after="120"/>
              <w:ind w:left="36"/>
              <w:jc w:val="both"/>
              <w:rPr>
                <w:rFonts w:eastAsia="Times New Roman"/>
                <w:i/>
                <w:sz w:val="24"/>
                <w:szCs w:val="24"/>
                <w:lang w:eastAsia="en-US"/>
              </w:rPr>
            </w:pPr>
            <w:r w:rsidRPr="00317274">
              <w:rPr>
                <w:rFonts w:eastAsia="Times New Roman"/>
                <w:i/>
                <w:sz w:val="24"/>
                <w:szCs w:val="24"/>
                <w:lang w:eastAsia="en-US"/>
              </w:rPr>
              <w:t>Изискването за наличие на програмна акредитация за провеждане на  обучение в образователна и научна степен „доктор“ на партньорите висши училища и научни организации, както и наличието на акредитирани докторски програми, към които да са насочени планираните дейности в проектното предложение, в чието изпълнение те участват, се проверяват по служебен път от оценителната комисия</w:t>
            </w:r>
            <w:r w:rsidRPr="00317274">
              <w:rPr>
                <w:rFonts w:eastAsia="Times New Roman"/>
              </w:rPr>
              <w:t xml:space="preserve"> </w:t>
            </w:r>
            <w:r w:rsidRPr="00317274">
              <w:rPr>
                <w:rFonts w:eastAsia="Times New Roman"/>
                <w:i/>
                <w:sz w:val="24"/>
                <w:szCs w:val="24"/>
                <w:lang w:eastAsia="en-US"/>
              </w:rPr>
              <w:t>въз основа на информация, предоставена от Националната агенция за оценяване и акредитация.</w:t>
            </w:r>
          </w:p>
          <w:p w14:paraId="45E8D905" w14:textId="77777777" w:rsidR="00317274" w:rsidRPr="00317274" w:rsidRDefault="00317274" w:rsidP="00317274">
            <w:pPr>
              <w:spacing w:after="120"/>
              <w:jc w:val="both"/>
              <w:rPr>
                <w:i/>
                <w:sz w:val="24"/>
                <w:szCs w:val="24"/>
                <w:lang w:eastAsia="en-US"/>
              </w:rPr>
            </w:pPr>
            <w:r w:rsidRPr="00317274">
              <w:rPr>
                <w:i/>
                <w:sz w:val="24"/>
                <w:szCs w:val="24"/>
                <w:lang w:eastAsia="en-US"/>
              </w:rPr>
              <w:t>Проектни предложения, в които партньор не отговаря на изискванията за допустимост на партньора, следва да бъдат отхвърлени.</w:t>
            </w:r>
          </w:p>
        </w:tc>
        <w:tc>
          <w:tcPr>
            <w:tcW w:w="992" w:type="dxa"/>
          </w:tcPr>
          <w:p w14:paraId="10DA68E4"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25F69EAA"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01319D34"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r>
      <w:tr w:rsidR="00317274" w:rsidRPr="00317274" w14:paraId="5CFCBD72" w14:textId="77777777" w:rsidTr="00FF32D8">
        <w:trPr>
          <w:trHeight w:val="338"/>
        </w:trPr>
        <w:tc>
          <w:tcPr>
            <w:tcW w:w="7655" w:type="dxa"/>
          </w:tcPr>
          <w:p w14:paraId="2FCD7672" w14:textId="77777777" w:rsidR="00317274" w:rsidRPr="00317274" w:rsidRDefault="00317274" w:rsidP="00774ACB">
            <w:pPr>
              <w:numPr>
                <w:ilvl w:val="0"/>
                <w:numId w:val="2"/>
              </w:numPr>
              <w:spacing w:after="160" w:line="259" w:lineRule="auto"/>
              <w:contextualSpacing/>
              <w:jc w:val="both"/>
              <w:rPr>
                <w:rFonts w:eastAsia="Times New Roman"/>
                <w:sz w:val="24"/>
                <w:szCs w:val="24"/>
                <w:lang w:eastAsia="en-US"/>
              </w:rPr>
            </w:pPr>
            <w:r w:rsidRPr="00317274">
              <w:rPr>
                <w:rFonts w:eastAsia="Times New Roman"/>
                <w:sz w:val="24"/>
                <w:szCs w:val="24"/>
                <w:lang w:eastAsia="en-US"/>
              </w:rPr>
              <w:t>Асоциираните партньори са допустими съгласно т. 12 от Условията за кандидатстване (ако е приложимо).</w:t>
            </w:r>
          </w:p>
          <w:p w14:paraId="7845B233" w14:textId="77777777" w:rsidR="00317274" w:rsidRPr="00317274" w:rsidRDefault="00317274" w:rsidP="00317274">
            <w:pPr>
              <w:jc w:val="both"/>
              <w:rPr>
                <w:rFonts w:eastAsia="Times New Roman"/>
                <w:sz w:val="24"/>
                <w:szCs w:val="24"/>
              </w:rPr>
            </w:pPr>
            <w:r w:rsidRPr="00317274">
              <w:rPr>
                <w:i/>
                <w:sz w:val="24"/>
                <w:szCs w:val="24"/>
                <w:lang w:eastAsia="en-US"/>
              </w:rPr>
              <w:t>Проектни предложения, в които асоцииран партньор не отговаря на изискванията за допустимост, следва да бъдат отхвърлени.</w:t>
            </w:r>
          </w:p>
        </w:tc>
        <w:tc>
          <w:tcPr>
            <w:tcW w:w="992" w:type="dxa"/>
          </w:tcPr>
          <w:p w14:paraId="24D256F9" w14:textId="77777777" w:rsidR="00317274" w:rsidRPr="00317274" w:rsidRDefault="00317274" w:rsidP="00317274">
            <w:pPr>
              <w:spacing w:after="120"/>
              <w:jc w:val="both"/>
              <w:rPr>
                <w:rFonts w:eastAsia="Times New Roman"/>
                <w:sz w:val="24"/>
                <w:szCs w:val="24"/>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345F5F75"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shd w:val="clear" w:color="auto" w:fill="auto"/>
          </w:tcPr>
          <w:p w14:paraId="49DDCC8B"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r>
      <w:tr w:rsidR="00317274" w:rsidRPr="00317274" w14:paraId="173A2F49" w14:textId="77777777" w:rsidTr="00FF32D8">
        <w:trPr>
          <w:trHeight w:val="338"/>
        </w:trPr>
        <w:tc>
          <w:tcPr>
            <w:tcW w:w="7655" w:type="dxa"/>
          </w:tcPr>
          <w:p w14:paraId="66FCAD28" w14:textId="77777777" w:rsidR="00317274" w:rsidRPr="00317274" w:rsidRDefault="00317274" w:rsidP="00774ACB">
            <w:pPr>
              <w:numPr>
                <w:ilvl w:val="0"/>
                <w:numId w:val="2"/>
              </w:numPr>
              <w:spacing w:after="160" w:line="259" w:lineRule="auto"/>
              <w:contextualSpacing/>
              <w:jc w:val="both"/>
              <w:rPr>
                <w:rFonts w:ascii="Calibri" w:hAnsi="Calibri"/>
                <w:sz w:val="24"/>
                <w:szCs w:val="24"/>
                <w:lang w:val="x-none" w:eastAsia="en-US"/>
              </w:rPr>
            </w:pPr>
            <w:r w:rsidRPr="00317274">
              <w:rPr>
                <w:rFonts w:eastAsia="Times New Roman"/>
                <w:sz w:val="24"/>
                <w:szCs w:val="24"/>
                <w:lang w:eastAsia="en-US"/>
              </w:rPr>
              <w:t>Спазени</w:t>
            </w:r>
            <w:r w:rsidRPr="00317274">
              <w:rPr>
                <w:rFonts w:ascii="Calibri" w:hAnsi="Calibri"/>
                <w:sz w:val="24"/>
                <w:szCs w:val="24"/>
                <w:lang w:val="x-none" w:eastAsia="en-US"/>
              </w:rPr>
              <w:t xml:space="preserve"> </w:t>
            </w:r>
            <w:r w:rsidRPr="00317274">
              <w:rPr>
                <w:rFonts w:eastAsia="Times New Roman"/>
                <w:sz w:val="24"/>
                <w:szCs w:val="24"/>
                <w:lang w:eastAsia="en-US"/>
              </w:rPr>
              <w:t>са изискванията и ограниченията по отношение на броя  и обхвата на проектните предложения, съгласно т. 12 от Условията за кандидатстване</w:t>
            </w:r>
            <w:r w:rsidRPr="00317274">
              <w:rPr>
                <w:rFonts w:ascii="Calibri" w:hAnsi="Calibri"/>
                <w:sz w:val="24"/>
                <w:szCs w:val="24"/>
                <w:lang w:val="x-none" w:eastAsia="en-US"/>
              </w:rPr>
              <w:t>.</w:t>
            </w:r>
          </w:p>
          <w:p w14:paraId="068BC335" w14:textId="77777777" w:rsidR="00317274" w:rsidRPr="00317274" w:rsidRDefault="00317274" w:rsidP="00317274">
            <w:pPr>
              <w:jc w:val="both"/>
              <w:rPr>
                <w:i/>
                <w:iCs/>
                <w:sz w:val="24"/>
                <w:szCs w:val="24"/>
              </w:rPr>
            </w:pPr>
            <w:r w:rsidRPr="00317274">
              <w:rPr>
                <w:i/>
                <w:iCs/>
                <w:sz w:val="24"/>
                <w:szCs w:val="24"/>
              </w:rPr>
              <w:t xml:space="preserve">В случай че посоченото в т.12 от Условията за кандидатстване </w:t>
            </w:r>
            <w:r w:rsidRPr="00317274">
              <w:rPr>
                <w:b/>
                <w:bCs/>
                <w:i/>
                <w:iCs/>
                <w:sz w:val="24"/>
                <w:szCs w:val="24"/>
              </w:rPr>
              <w:t>изискване</w:t>
            </w:r>
            <w:r w:rsidRPr="00317274">
              <w:rPr>
                <w:i/>
                <w:iCs/>
                <w:sz w:val="24"/>
                <w:szCs w:val="24"/>
              </w:rPr>
              <w:t xml:space="preserve"> проектните предложения, в които участва една и съща организация </w:t>
            </w:r>
            <w:r w:rsidRPr="00317274">
              <w:rPr>
                <w:i/>
                <w:iCs/>
                <w:sz w:val="24"/>
                <w:szCs w:val="24"/>
                <w:lang w:val="en-US"/>
              </w:rPr>
              <w:t>(</w:t>
            </w:r>
            <w:r w:rsidRPr="00317274">
              <w:rPr>
                <w:i/>
                <w:iCs/>
                <w:sz w:val="24"/>
                <w:szCs w:val="24"/>
              </w:rPr>
              <w:t>кандидат или партньор</w:t>
            </w:r>
            <w:r w:rsidRPr="00317274">
              <w:rPr>
                <w:i/>
                <w:iCs/>
                <w:sz w:val="24"/>
                <w:szCs w:val="24"/>
                <w:lang w:val="en-US"/>
              </w:rPr>
              <w:t>)</w:t>
            </w:r>
            <w:r w:rsidRPr="00317274">
              <w:rPr>
                <w:i/>
                <w:iCs/>
                <w:sz w:val="24"/>
                <w:szCs w:val="24"/>
              </w:rPr>
              <w:t xml:space="preserve">, да са насочени към докторски програми от различни професионални направления, а за висши училища </w:t>
            </w:r>
            <w:r w:rsidRPr="00317274">
              <w:rPr>
                <w:i/>
                <w:iCs/>
                <w:sz w:val="24"/>
                <w:szCs w:val="24"/>
              </w:rPr>
              <w:lastRenderedPageBreak/>
              <w:t xml:space="preserve">- и към различни основни звена по чл. 25 от ЗВО, </w:t>
            </w:r>
            <w:r w:rsidRPr="00317274">
              <w:rPr>
                <w:b/>
                <w:bCs/>
                <w:i/>
                <w:iCs/>
                <w:sz w:val="24"/>
                <w:szCs w:val="24"/>
              </w:rPr>
              <w:t>не е спазено</w:t>
            </w:r>
            <w:r w:rsidRPr="00317274">
              <w:rPr>
                <w:i/>
                <w:iCs/>
                <w:sz w:val="24"/>
                <w:szCs w:val="24"/>
              </w:rPr>
              <w:t>,</w:t>
            </w:r>
            <w:r w:rsidRPr="00317274">
              <w:rPr>
                <w:rFonts w:eastAsia="Times New Roman"/>
              </w:rPr>
              <w:t xml:space="preserve"> </w:t>
            </w:r>
            <w:r w:rsidRPr="00317274">
              <w:rPr>
                <w:i/>
                <w:iCs/>
                <w:sz w:val="24"/>
                <w:szCs w:val="24"/>
              </w:rPr>
              <w:t>последното подадено проектно предложение, в което е включена организация, която не е изпълнила изискването, следва да бъде отхвърлено от оценителната комисия.</w:t>
            </w:r>
            <w:r w:rsidRPr="00317274">
              <w:rPr>
                <w:i/>
                <w:iCs/>
                <w:sz w:val="24"/>
                <w:szCs w:val="24"/>
              </w:rPr>
              <w:tab/>
            </w:r>
          </w:p>
          <w:p w14:paraId="3ACC7C68" w14:textId="77777777" w:rsidR="00317274" w:rsidRPr="00317274" w:rsidRDefault="00317274" w:rsidP="00317274">
            <w:pPr>
              <w:jc w:val="both"/>
              <w:rPr>
                <w:rFonts w:eastAsia="Times New Roman"/>
                <w:i/>
                <w:iCs/>
                <w:sz w:val="24"/>
                <w:szCs w:val="24"/>
              </w:rPr>
            </w:pPr>
          </w:p>
          <w:p w14:paraId="51CD6571" w14:textId="77777777" w:rsidR="00317274" w:rsidRPr="00317274" w:rsidRDefault="00317274" w:rsidP="00317274">
            <w:pPr>
              <w:spacing w:after="120"/>
              <w:jc w:val="both"/>
              <w:rPr>
                <w:rFonts w:eastAsia="Times New Roman"/>
                <w:sz w:val="24"/>
                <w:szCs w:val="24"/>
                <w:lang w:eastAsia="en-US"/>
              </w:rPr>
            </w:pPr>
            <w:r w:rsidRPr="00317274">
              <w:rPr>
                <w:rFonts w:eastAsia="Times New Roman"/>
                <w:i/>
                <w:sz w:val="24"/>
                <w:szCs w:val="24"/>
                <w:lang w:eastAsia="en-US"/>
              </w:rPr>
              <w:t>В случай че ограничението по отношение на броя на проектните предложения, в които може да участва един и същи кандидат или партньор (в не повече от 6 проектни предложения) не е спазено за някоя от включените в проектното предложение организации (кандидат или партньор,) последното подадено проектно предложение, в което е включена  организацията, която не е изпълнила изискването, следва да бъде отхвърлено от оценителната комисия.</w:t>
            </w:r>
            <w:r w:rsidRPr="00317274">
              <w:rPr>
                <w:rFonts w:eastAsia="Times New Roman"/>
                <w:i/>
                <w:sz w:val="24"/>
                <w:szCs w:val="24"/>
                <w:lang w:eastAsia="en-US"/>
              </w:rPr>
              <w:tab/>
            </w:r>
          </w:p>
        </w:tc>
        <w:tc>
          <w:tcPr>
            <w:tcW w:w="992" w:type="dxa"/>
          </w:tcPr>
          <w:p w14:paraId="4FB97AB7"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lastRenderedPageBreak/>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19A59014"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7F9521AF" w14:textId="77777777" w:rsidR="00317274" w:rsidRPr="00317274" w:rsidRDefault="00317274" w:rsidP="00317274">
            <w:pPr>
              <w:spacing w:after="120"/>
              <w:jc w:val="both"/>
              <w:rPr>
                <w:rFonts w:eastAsia="Times New Roman"/>
                <w:sz w:val="24"/>
                <w:szCs w:val="24"/>
                <w:lang w:eastAsia="en-US"/>
              </w:rPr>
            </w:pPr>
          </w:p>
        </w:tc>
      </w:tr>
      <w:tr w:rsidR="00317274" w:rsidRPr="00317274" w14:paraId="7AB24523" w14:textId="77777777" w:rsidTr="00FF32D8">
        <w:trPr>
          <w:trHeight w:val="338"/>
        </w:trPr>
        <w:tc>
          <w:tcPr>
            <w:tcW w:w="7655" w:type="dxa"/>
          </w:tcPr>
          <w:p w14:paraId="2E34CEF9"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Спазени са изискванията за обособяването на отделни аналитични сметки за икономическите дейности на участващите висши училища и научни организации, когато те упражняват и стопански дейности.</w:t>
            </w:r>
          </w:p>
          <w:p w14:paraId="3AF4FCED" w14:textId="77777777" w:rsidR="00317274" w:rsidRPr="00317274" w:rsidRDefault="00317274" w:rsidP="00317274">
            <w:pPr>
              <w:tabs>
                <w:tab w:val="left" w:pos="-284"/>
              </w:tabs>
              <w:spacing w:after="120"/>
              <w:jc w:val="both"/>
              <w:rPr>
                <w:rFonts w:eastAsia="Times New Roman"/>
                <w:i/>
                <w:sz w:val="24"/>
                <w:szCs w:val="24"/>
                <w:lang w:eastAsia="en-US"/>
              </w:rPr>
            </w:pPr>
            <w:r w:rsidRPr="00317274">
              <w:rPr>
                <w:rFonts w:eastAsia="Times New Roman"/>
                <w:i/>
                <w:sz w:val="24"/>
                <w:szCs w:val="24"/>
                <w:lang w:eastAsia="en-US"/>
              </w:rPr>
              <w:t>Проверява се чрез декларация - Приложение I към Условията за кандидатстване.</w:t>
            </w:r>
          </w:p>
        </w:tc>
        <w:tc>
          <w:tcPr>
            <w:tcW w:w="992" w:type="dxa"/>
          </w:tcPr>
          <w:p w14:paraId="6397DB19"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53BD4777"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1F6B83F6" w14:textId="77777777" w:rsidR="00317274" w:rsidRPr="00317274" w:rsidRDefault="00317274" w:rsidP="00317274">
            <w:pPr>
              <w:spacing w:after="120"/>
              <w:jc w:val="both"/>
              <w:rPr>
                <w:rFonts w:eastAsia="Times New Roman"/>
                <w:sz w:val="24"/>
                <w:szCs w:val="24"/>
                <w:lang w:eastAsia="en-US"/>
              </w:rPr>
            </w:pPr>
          </w:p>
        </w:tc>
      </w:tr>
      <w:tr w:rsidR="00317274" w:rsidRPr="00317274" w14:paraId="3E259FF9" w14:textId="77777777" w:rsidTr="00FF32D8">
        <w:trPr>
          <w:trHeight w:val="338"/>
        </w:trPr>
        <w:tc>
          <w:tcPr>
            <w:tcW w:w="7655" w:type="dxa"/>
          </w:tcPr>
          <w:p w14:paraId="24134894"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За кандидата и партньорите не са налице обстоятелствата по чл. 25, ал. 2 от ЗУСЕФСУ.</w:t>
            </w:r>
          </w:p>
          <w:p w14:paraId="12D408CB" w14:textId="77777777" w:rsidR="00317274" w:rsidRPr="00317274" w:rsidRDefault="00317274" w:rsidP="00317274">
            <w:pPr>
              <w:tabs>
                <w:tab w:val="left" w:pos="-284"/>
              </w:tabs>
              <w:spacing w:after="120"/>
              <w:jc w:val="both"/>
              <w:rPr>
                <w:rFonts w:eastAsia="Times New Roman"/>
                <w:i/>
                <w:sz w:val="24"/>
                <w:szCs w:val="24"/>
                <w:lang w:eastAsia="en-US"/>
              </w:rPr>
            </w:pPr>
            <w:r w:rsidRPr="00317274">
              <w:rPr>
                <w:rFonts w:eastAsia="Times New Roman"/>
                <w:i/>
                <w:sz w:val="24"/>
                <w:szCs w:val="24"/>
                <w:lang w:eastAsia="en-US"/>
              </w:rPr>
              <w:t>Проверява се чрез декларация - Приложение I към Условията за кандидатстване.</w:t>
            </w:r>
          </w:p>
        </w:tc>
        <w:tc>
          <w:tcPr>
            <w:tcW w:w="992" w:type="dxa"/>
          </w:tcPr>
          <w:p w14:paraId="6B6221F8"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2EBE1936"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4DD9F8AB" w14:textId="77777777" w:rsidR="00317274" w:rsidRPr="00317274" w:rsidRDefault="00317274" w:rsidP="00317274">
            <w:pPr>
              <w:spacing w:after="120"/>
              <w:jc w:val="both"/>
              <w:rPr>
                <w:rFonts w:eastAsia="Times New Roman"/>
                <w:sz w:val="24"/>
                <w:szCs w:val="24"/>
                <w:lang w:eastAsia="en-US"/>
              </w:rPr>
            </w:pPr>
          </w:p>
        </w:tc>
      </w:tr>
      <w:tr w:rsidR="00317274" w:rsidRPr="00317274" w14:paraId="0B3B9D41" w14:textId="77777777" w:rsidTr="00FF32D8">
        <w:trPr>
          <w:trHeight w:val="338"/>
        </w:trPr>
        <w:tc>
          <w:tcPr>
            <w:tcW w:w="7655" w:type="dxa"/>
          </w:tcPr>
          <w:p w14:paraId="4476E3DB"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 xml:space="preserve">Проектното предложение отговоря на изискванията за териториален обхват, </w:t>
            </w:r>
            <w:r w:rsidRPr="00317274">
              <w:rPr>
                <w:rFonts w:eastAsia="SimSun"/>
                <w:sz w:val="24"/>
                <w:szCs w:val="24"/>
                <w:lang w:eastAsia="zh-CN"/>
              </w:rPr>
              <w:t>съгласно</w:t>
            </w:r>
            <w:r w:rsidRPr="00317274">
              <w:rPr>
                <w:rFonts w:eastAsia="Times New Roman"/>
                <w:sz w:val="24"/>
                <w:szCs w:val="24"/>
                <w:lang w:eastAsia="en-US"/>
              </w:rPr>
              <w:t xml:space="preserve"> т. 5 от Условията за кандидатстване.</w:t>
            </w:r>
          </w:p>
        </w:tc>
        <w:tc>
          <w:tcPr>
            <w:tcW w:w="992" w:type="dxa"/>
          </w:tcPr>
          <w:p w14:paraId="20101E94"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2571DB53"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1BF7C48A" w14:textId="77777777" w:rsidR="00317274" w:rsidRPr="00317274" w:rsidRDefault="00317274" w:rsidP="00317274">
            <w:pPr>
              <w:spacing w:after="120"/>
              <w:jc w:val="both"/>
              <w:rPr>
                <w:rFonts w:eastAsia="Times New Roman"/>
                <w:sz w:val="24"/>
                <w:szCs w:val="24"/>
                <w:lang w:eastAsia="en-US"/>
              </w:rPr>
            </w:pPr>
          </w:p>
        </w:tc>
      </w:tr>
      <w:tr w:rsidR="00317274" w:rsidRPr="00317274" w14:paraId="2A2AAEE3" w14:textId="77777777" w:rsidTr="00FF32D8">
        <w:trPr>
          <w:trHeight w:val="338"/>
        </w:trPr>
        <w:tc>
          <w:tcPr>
            <w:tcW w:w="7655" w:type="dxa"/>
          </w:tcPr>
          <w:p w14:paraId="090C8628"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 xml:space="preserve"> Заявената безвъзмездна финансова помощ е в рамките на минималния и максимален размер, определен в т. 9 от Условията за кандидатстване.</w:t>
            </w:r>
          </w:p>
        </w:tc>
        <w:tc>
          <w:tcPr>
            <w:tcW w:w="992" w:type="dxa"/>
          </w:tcPr>
          <w:p w14:paraId="40836135"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0B34FC55"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0AC106B3" w14:textId="77777777" w:rsidR="00317274" w:rsidRPr="00317274" w:rsidRDefault="00317274" w:rsidP="00317274">
            <w:pPr>
              <w:spacing w:after="120"/>
              <w:jc w:val="both"/>
              <w:rPr>
                <w:rFonts w:eastAsia="Times New Roman"/>
                <w:sz w:val="24"/>
                <w:szCs w:val="24"/>
                <w:lang w:eastAsia="en-US"/>
              </w:rPr>
            </w:pPr>
          </w:p>
        </w:tc>
      </w:tr>
      <w:tr w:rsidR="00317274" w:rsidRPr="00317274" w14:paraId="7E2C3272" w14:textId="77777777" w:rsidTr="00FF32D8">
        <w:trPr>
          <w:trHeight w:val="338"/>
        </w:trPr>
        <w:tc>
          <w:tcPr>
            <w:tcW w:w="7655" w:type="dxa"/>
          </w:tcPr>
          <w:p w14:paraId="4283F43C"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 xml:space="preserve"> Целевата група е допустима, съгласно т. 15 от Условията за кандидатстване.</w:t>
            </w:r>
          </w:p>
        </w:tc>
        <w:tc>
          <w:tcPr>
            <w:tcW w:w="992" w:type="dxa"/>
          </w:tcPr>
          <w:p w14:paraId="5B3D7D5C"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60FF0AE9"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33527A57" w14:textId="77777777" w:rsidR="00317274" w:rsidRPr="00317274" w:rsidRDefault="00317274" w:rsidP="00317274">
            <w:pPr>
              <w:spacing w:after="120"/>
              <w:jc w:val="both"/>
              <w:rPr>
                <w:rFonts w:eastAsia="Times New Roman"/>
                <w:sz w:val="24"/>
                <w:szCs w:val="24"/>
                <w:lang w:eastAsia="en-US"/>
              </w:rPr>
            </w:pPr>
          </w:p>
        </w:tc>
      </w:tr>
      <w:tr w:rsidR="00317274" w:rsidRPr="00317274" w14:paraId="22042DAC" w14:textId="77777777" w:rsidTr="00FF32D8">
        <w:trPr>
          <w:trHeight w:val="338"/>
        </w:trPr>
        <w:tc>
          <w:tcPr>
            <w:tcW w:w="7655" w:type="dxa"/>
          </w:tcPr>
          <w:p w14:paraId="00982D43"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Проектното</w:t>
            </w:r>
            <w:r w:rsidRPr="00317274">
              <w:rPr>
                <w:sz w:val="24"/>
                <w:szCs w:val="24"/>
                <w:lang w:eastAsia="en-US"/>
              </w:rPr>
              <w:t xml:space="preserve"> предложение включва задължителните допустими дейности (дейност 1 и дейност 2) и няма недопустими дейности, съгласно т. 13 от Условията за кандидатстване.</w:t>
            </w:r>
          </w:p>
          <w:p w14:paraId="690D21E7" w14:textId="77777777" w:rsidR="00317274" w:rsidRPr="00317274" w:rsidRDefault="00317274" w:rsidP="00317274">
            <w:pPr>
              <w:tabs>
                <w:tab w:val="left" w:pos="-284"/>
              </w:tabs>
              <w:spacing w:after="120"/>
              <w:jc w:val="both"/>
              <w:rPr>
                <w:rFonts w:eastAsia="Times New Roman"/>
                <w:i/>
                <w:sz w:val="24"/>
                <w:szCs w:val="24"/>
                <w:lang w:eastAsia="en-US"/>
              </w:rPr>
            </w:pPr>
            <w:r w:rsidRPr="00317274">
              <w:rPr>
                <w:rFonts w:eastAsia="Times New Roman"/>
                <w:i/>
                <w:sz w:val="24"/>
                <w:szCs w:val="24"/>
                <w:lang w:eastAsia="en-US"/>
              </w:rPr>
              <w:t>Проектни предложения, които не отговарят на изискването за задължителните допустими дейности, следва да бъдат отхвърлени.</w:t>
            </w:r>
          </w:p>
          <w:p w14:paraId="37DA8E76" w14:textId="77777777" w:rsidR="00317274" w:rsidRPr="00317274" w:rsidRDefault="00317274" w:rsidP="00317274">
            <w:pPr>
              <w:tabs>
                <w:tab w:val="left" w:pos="-284"/>
              </w:tabs>
              <w:spacing w:after="120"/>
              <w:jc w:val="both"/>
              <w:rPr>
                <w:rFonts w:eastAsia="Times New Roman"/>
                <w:sz w:val="24"/>
                <w:szCs w:val="24"/>
                <w:lang w:eastAsia="en-US"/>
              </w:rPr>
            </w:pPr>
            <w:r w:rsidRPr="00317274">
              <w:rPr>
                <w:rFonts w:eastAsia="Times New Roman"/>
                <w:i/>
                <w:sz w:val="24"/>
                <w:szCs w:val="24"/>
                <w:lang w:eastAsia="en-US"/>
              </w:rPr>
              <w:t>Когато проектни предложения съдържат недопустими дейности, на етап техническа и финансова оценка оценителната комисия следва да ги отстрани, съответно и предвидените за тях разходи.</w:t>
            </w:r>
          </w:p>
        </w:tc>
        <w:tc>
          <w:tcPr>
            <w:tcW w:w="992" w:type="dxa"/>
          </w:tcPr>
          <w:p w14:paraId="56980741"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215B1FE8"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3FE3D236" w14:textId="77777777" w:rsidR="00317274" w:rsidRPr="00317274" w:rsidRDefault="00317274" w:rsidP="00317274">
            <w:pPr>
              <w:spacing w:after="120"/>
              <w:jc w:val="both"/>
              <w:rPr>
                <w:rFonts w:eastAsia="Times New Roman"/>
                <w:sz w:val="24"/>
                <w:szCs w:val="24"/>
                <w:lang w:eastAsia="en-US"/>
              </w:rPr>
            </w:pPr>
          </w:p>
        </w:tc>
      </w:tr>
      <w:tr w:rsidR="00317274" w:rsidRPr="00317274" w14:paraId="176DAA33" w14:textId="77777777" w:rsidTr="00FF32D8">
        <w:trPr>
          <w:trHeight w:val="338"/>
        </w:trPr>
        <w:tc>
          <w:tcPr>
            <w:tcW w:w="7655" w:type="dxa"/>
          </w:tcPr>
          <w:p w14:paraId="1558E0FA"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Кандидатът участва в изпълнението на всички дейности, включени в проектното предложение.</w:t>
            </w:r>
          </w:p>
          <w:p w14:paraId="0DBB80DC" w14:textId="77777777" w:rsidR="00317274" w:rsidRPr="00317274" w:rsidRDefault="00317274" w:rsidP="00317274">
            <w:pPr>
              <w:spacing w:after="120"/>
              <w:jc w:val="both"/>
              <w:rPr>
                <w:rFonts w:eastAsia="Times New Roman"/>
                <w:i/>
                <w:sz w:val="24"/>
                <w:szCs w:val="24"/>
                <w:lang w:eastAsia="en-US"/>
              </w:rPr>
            </w:pPr>
            <w:r w:rsidRPr="00317274">
              <w:rPr>
                <w:rFonts w:eastAsia="Times New Roman"/>
                <w:i/>
                <w:sz w:val="24"/>
                <w:szCs w:val="24"/>
                <w:lang w:eastAsia="en-US"/>
              </w:rPr>
              <w:t>Проектни предложения, които не отговарят на изискването, следва да бъдат отхвърлени.</w:t>
            </w:r>
          </w:p>
        </w:tc>
        <w:tc>
          <w:tcPr>
            <w:tcW w:w="992" w:type="dxa"/>
          </w:tcPr>
          <w:p w14:paraId="6D4B2793"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773A2052"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0BF6D59D" w14:textId="77777777" w:rsidR="00317274" w:rsidRPr="00317274" w:rsidRDefault="00317274" w:rsidP="00317274">
            <w:pPr>
              <w:spacing w:after="120"/>
              <w:jc w:val="both"/>
              <w:rPr>
                <w:rFonts w:eastAsia="Times New Roman"/>
                <w:sz w:val="24"/>
                <w:szCs w:val="24"/>
                <w:lang w:eastAsia="en-US"/>
              </w:rPr>
            </w:pPr>
          </w:p>
        </w:tc>
      </w:tr>
      <w:tr w:rsidR="00317274" w:rsidRPr="00317274" w14:paraId="6ED3C64F" w14:textId="77777777" w:rsidTr="00FF32D8">
        <w:trPr>
          <w:trHeight w:val="338"/>
        </w:trPr>
        <w:tc>
          <w:tcPr>
            <w:tcW w:w="7655" w:type="dxa"/>
          </w:tcPr>
          <w:p w14:paraId="652728E9"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 xml:space="preserve">Кандидатът е декларирал във Формуляра за кандидатстване, че в хода на реализиране на дейностите по проектното предложение ще извърши </w:t>
            </w:r>
            <w:r w:rsidRPr="00317274">
              <w:rPr>
                <w:sz w:val="24"/>
                <w:szCs w:val="24"/>
                <w:lang w:eastAsia="en-US"/>
              </w:rPr>
              <w:t>необходимите</w:t>
            </w:r>
            <w:r w:rsidRPr="00317274">
              <w:rPr>
                <w:rFonts w:eastAsia="Times New Roman"/>
                <w:sz w:val="24"/>
                <w:szCs w:val="24"/>
                <w:lang w:eastAsia="en-US"/>
              </w:rPr>
              <w:t xml:space="preserve"> дейности за организация и управление, за видимост, прозрачност и комуникация, и за установяване на </w:t>
            </w:r>
            <w:r w:rsidRPr="00317274">
              <w:rPr>
                <w:rFonts w:eastAsia="Times New Roman"/>
                <w:sz w:val="24"/>
                <w:szCs w:val="24"/>
                <w:lang w:eastAsia="en-US"/>
              </w:rPr>
              <w:lastRenderedPageBreak/>
              <w:t>удовлетвореността на лицата, участници в дейностите по процедурата.</w:t>
            </w:r>
          </w:p>
          <w:p w14:paraId="2A59704D" w14:textId="77777777" w:rsidR="00317274" w:rsidRPr="00317274" w:rsidRDefault="00317274" w:rsidP="00317274">
            <w:pPr>
              <w:spacing w:after="120"/>
              <w:jc w:val="both"/>
              <w:rPr>
                <w:sz w:val="24"/>
                <w:szCs w:val="24"/>
                <w:lang w:eastAsia="en-US"/>
              </w:rPr>
            </w:pPr>
            <w:r w:rsidRPr="00317274">
              <w:rPr>
                <w:rFonts w:eastAsia="Times New Roman"/>
                <w:i/>
                <w:sz w:val="24"/>
                <w:szCs w:val="24"/>
                <w:lang w:eastAsia="en-US"/>
              </w:rPr>
              <w:t>В случай че кандидатът не е декларирал</w:t>
            </w:r>
            <w:r w:rsidRPr="00317274">
              <w:rPr>
                <w:rFonts w:eastAsia="Times New Roman"/>
              </w:rPr>
              <w:t xml:space="preserve"> </w:t>
            </w:r>
            <w:r w:rsidRPr="00317274">
              <w:rPr>
                <w:rFonts w:eastAsia="Times New Roman"/>
                <w:i/>
                <w:sz w:val="24"/>
                <w:szCs w:val="24"/>
                <w:lang w:eastAsia="en-US"/>
              </w:rPr>
              <w:t>в секция „Допълнителна информация, необходима за оценката на проектното предложение“, поле „Непреки дейности“,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 и за установяване на удовлетвореността на лицата, проектното предложение следва да бъде отхвърлено.</w:t>
            </w:r>
          </w:p>
        </w:tc>
        <w:tc>
          <w:tcPr>
            <w:tcW w:w="992" w:type="dxa"/>
          </w:tcPr>
          <w:p w14:paraId="443604E7"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lastRenderedPageBreak/>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6766DDF8"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705E5AF1" w14:textId="77777777" w:rsidR="00317274" w:rsidRPr="00317274" w:rsidRDefault="00317274" w:rsidP="00317274">
            <w:pPr>
              <w:spacing w:after="120"/>
              <w:jc w:val="both"/>
              <w:rPr>
                <w:rFonts w:eastAsia="Times New Roman"/>
                <w:sz w:val="24"/>
                <w:szCs w:val="24"/>
                <w:lang w:eastAsia="en-US"/>
              </w:rPr>
            </w:pPr>
          </w:p>
        </w:tc>
      </w:tr>
      <w:tr w:rsidR="00317274" w:rsidRPr="00317274" w14:paraId="0D64A90F" w14:textId="77777777" w:rsidTr="00FF32D8">
        <w:trPr>
          <w:trHeight w:val="338"/>
        </w:trPr>
        <w:tc>
          <w:tcPr>
            <w:tcW w:w="7655" w:type="dxa"/>
          </w:tcPr>
          <w:p w14:paraId="4D6BC128"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Дейностите по проекта НЕ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w:t>
            </w:r>
          </w:p>
          <w:p w14:paraId="39DDEA22" w14:textId="77777777" w:rsidR="00317274" w:rsidRPr="00317274" w:rsidRDefault="00317274" w:rsidP="00317274">
            <w:pPr>
              <w:tabs>
                <w:tab w:val="left" w:pos="-284"/>
              </w:tabs>
              <w:spacing w:after="120"/>
              <w:jc w:val="both"/>
              <w:rPr>
                <w:rFonts w:eastAsia="Times New Roman"/>
                <w:i/>
                <w:sz w:val="24"/>
                <w:szCs w:val="24"/>
                <w:lang w:eastAsia="en-US"/>
              </w:rPr>
            </w:pPr>
            <w:r w:rsidRPr="00317274">
              <w:rPr>
                <w:rFonts w:eastAsia="Times New Roman"/>
                <w:i/>
                <w:sz w:val="24"/>
                <w:szCs w:val="24"/>
                <w:lang w:eastAsia="en-US"/>
              </w:rPr>
              <w:t xml:space="preserve">Проверява се чрез декларация – Приложение </w:t>
            </w:r>
            <w:r w:rsidRPr="00317274">
              <w:rPr>
                <w:rFonts w:eastAsia="Times New Roman"/>
                <w:i/>
                <w:sz w:val="24"/>
                <w:szCs w:val="24"/>
                <w:lang w:val="en-US" w:eastAsia="en-US"/>
              </w:rPr>
              <w:t>I</w:t>
            </w:r>
            <w:r w:rsidRPr="00317274">
              <w:rPr>
                <w:rFonts w:eastAsia="Times New Roman"/>
                <w:i/>
                <w:sz w:val="24"/>
                <w:szCs w:val="24"/>
                <w:lang w:eastAsia="en-US"/>
              </w:rPr>
              <w:t xml:space="preserve"> към Условията за кандидатстване.</w:t>
            </w:r>
          </w:p>
        </w:tc>
        <w:tc>
          <w:tcPr>
            <w:tcW w:w="992" w:type="dxa"/>
          </w:tcPr>
          <w:p w14:paraId="116BE296"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72E04BDD"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21CB400B" w14:textId="77777777" w:rsidR="00317274" w:rsidRPr="00317274" w:rsidRDefault="00317274" w:rsidP="00317274">
            <w:pPr>
              <w:spacing w:after="120"/>
              <w:jc w:val="both"/>
              <w:rPr>
                <w:rFonts w:eastAsia="Times New Roman"/>
                <w:sz w:val="24"/>
                <w:szCs w:val="24"/>
                <w:lang w:eastAsia="en-US"/>
              </w:rPr>
            </w:pPr>
          </w:p>
        </w:tc>
      </w:tr>
      <w:tr w:rsidR="00317274" w:rsidRPr="00317274" w14:paraId="00874291" w14:textId="77777777" w:rsidTr="00FF32D8">
        <w:trPr>
          <w:trHeight w:val="338"/>
        </w:trPr>
        <w:tc>
          <w:tcPr>
            <w:tcW w:w="7655" w:type="dxa"/>
          </w:tcPr>
          <w:p w14:paraId="69B66DBA"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В проектното предложение са планирани относимите индикатори за изпълнение, съгласно т. 7 от Условията за кандидатстване, и те са количествено определени с положителна целева стойност, различна от 0.</w:t>
            </w:r>
          </w:p>
        </w:tc>
        <w:tc>
          <w:tcPr>
            <w:tcW w:w="992" w:type="dxa"/>
          </w:tcPr>
          <w:p w14:paraId="169C6B23"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09C6ED24"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2F84463C" w14:textId="77777777" w:rsidR="00317274" w:rsidRPr="00317274" w:rsidRDefault="00317274" w:rsidP="00317274">
            <w:pPr>
              <w:spacing w:after="120"/>
              <w:jc w:val="both"/>
              <w:rPr>
                <w:rFonts w:eastAsia="Times New Roman"/>
                <w:sz w:val="24"/>
                <w:szCs w:val="24"/>
                <w:lang w:eastAsia="en-US"/>
              </w:rPr>
            </w:pPr>
          </w:p>
        </w:tc>
      </w:tr>
      <w:tr w:rsidR="00317274" w:rsidRPr="00317274" w14:paraId="3939B304" w14:textId="77777777" w:rsidTr="00FF32D8">
        <w:trPr>
          <w:trHeight w:val="338"/>
        </w:trPr>
        <w:tc>
          <w:tcPr>
            <w:tcW w:w="7655" w:type="dxa"/>
          </w:tcPr>
          <w:p w14:paraId="60117530" w14:textId="77777777" w:rsidR="00317274" w:rsidRPr="00317274" w:rsidRDefault="00317274" w:rsidP="00774ACB">
            <w:pPr>
              <w:numPr>
                <w:ilvl w:val="0"/>
                <w:numId w:val="2"/>
              </w:numPr>
              <w:tabs>
                <w:tab w:val="left" w:pos="-284"/>
              </w:tabs>
              <w:spacing w:after="120"/>
              <w:jc w:val="both"/>
              <w:rPr>
                <w:rFonts w:eastAsia="Times New Roman"/>
                <w:sz w:val="24"/>
                <w:szCs w:val="24"/>
                <w:lang w:eastAsia="en-US"/>
              </w:rPr>
            </w:pPr>
            <w:r w:rsidRPr="00317274">
              <w:rPr>
                <w:rFonts w:eastAsia="Times New Roman"/>
                <w:sz w:val="24"/>
                <w:szCs w:val="24"/>
                <w:lang w:eastAsia="en-US"/>
              </w:rPr>
              <w:t xml:space="preserve"> Целта на проектното предложение съответства на целите на процедурата, посочени в т. 6 от Условията за кандидатстване. </w:t>
            </w:r>
          </w:p>
        </w:tc>
        <w:tc>
          <w:tcPr>
            <w:tcW w:w="992" w:type="dxa"/>
          </w:tcPr>
          <w:p w14:paraId="18C99B57"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095922F0"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3B9E0BDB" w14:textId="77777777" w:rsidR="00317274" w:rsidRPr="00317274" w:rsidRDefault="00317274" w:rsidP="00317274">
            <w:pPr>
              <w:spacing w:after="120"/>
              <w:jc w:val="both"/>
              <w:rPr>
                <w:rFonts w:eastAsia="Times New Roman"/>
                <w:sz w:val="24"/>
                <w:szCs w:val="24"/>
                <w:lang w:eastAsia="en-US"/>
              </w:rPr>
            </w:pPr>
          </w:p>
        </w:tc>
      </w:tr>
      <w:tr w:rsidR="00317274" w:rsidRPr="00317274" w14:paraId="37EFAA2F" w14:textId="77777777" w:rsidTr="00FF32D8">
        <w:trPr>
          <w:trHeight w:val="338"/>
        </w:trPr>
        <w:tc>
          <w:tcPr>
            <w:tcW w:w="7655" w:type="dxa"/>
          </w:tcPr>
          <w:p w14:paraId="75956DDA" w14:textId="77777777" w:rsidR="00317274" w:rsidRPr="00317274" w:rsidRDefault="00317274" w:rsidP="00774ACB">
            <w:pPr>
              <w:numPr>
                <w:ilvl w:val="0"/>
                <w:numId w:val="2"/>
              </w:numPr>
              <w:tabs>
                <w:tab w:val="left" w:pos="-284"/>
              </w:tabs>
              <w:spacing w:after="120"/>
              <w:jc w:val="both"/>
              <w:rPr>
                <w:rFonts w:ascii="Calibri" w:hAnsi="Calibri"/>
                <w:sz w:val="24"/>
                <w:szCs w:val="24"/>
                <w:lang w:val="x-none" w:eastAsia="en-US"/>
              </w:rPr>
            </w:pPr>
            <w:r w:rsidRPr="00317274">
              <w:rPr>
                <w:sz w:val="24"/>
                <w:szCs w:val="24"/>
                <w:lang w:val="x-none" w:eastAsia="en-US"/>
              </w:rPr>
              <w:t xml:space="preserve">Проектното предложение допринася за реализиране на хоризонталните принципи на Програма „Образование“ (устойчиво развитие;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 </w:t>
            </w:r>
          </w:p>
          <w:p w14:paraId="00A43664" w14:textId="77777777" w:rsidR="00317274" w:rsidRPr="00317274" w:rsidRDefault="00317274" w:rsidP="00317274">
            <w:pPr>
              <w:tabs>
                <w:tab w:val="left" w:pos="-284"/>
              </w:tabs>
              <w:spacing w:after="120"/>
              <w:ind w:left="60"/>
              <w:jc w:val="both"/>
              <w:rPr>
                <w:rFonts w:eastAsia="Times New Roman"/>
                <w:i/>
                <w:sz w:val="24"/>
                <w:szCs w:val="24"/>
                <w:lang w:eastAsia="en-US"/>
              </w:rPr>
            </w:pPr>
            <w:r w:rsidRPr="00317274">
              <w:rPr>
                <w:rFonts w:eastAsia="Times New Roman"/>
                <w:i/>
                <w:sz w:val="24"/>
                <w:szCs w:val="24"/>
                <w:lang w:eastAsia="en-US"/>
              </w:rPr>
              <w:t>Проверява се в секция „Допълнителна информация, необходима за оценката на проектното предложение“,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317274">
              <w:rPr>
                <w:rFonts w:eastAsia="Times New Roman"/>
                <w:sz w:val="24"/>
                <w:szCs w:val="24"/>
              </w:rPr>
              <w:t xml:space="preserve"> </w:t>
            </w:r>
          </w:p>
        </w:tc>
        <w:tc>
          <w:tcPr>
            <w:tcW w:w="992" w:type="dxa"/>
          </w:tcPr>
          <w:p w14:paraId="36C746E9"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15F83569"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6E25B723" w14:textId="77777777" w:rsidR="00317274" w:rsidRPr="00317274" w:rsidRDefault="00317274" w:rsidP="00317274">
            <w:pPr>
              <w:spacing w:after="120"/>
              <w:jc w:val="both"/>
              <w:rPr>
                <w:rFonts w:eastAsia="Times New Roman"/>
                <w:sz w:val="24"/>
                <w:szCs w:val="24"/>
                <w:lang w:eastAsia="en-US"/>
              </w:rPr>
            </w:pPr>
          </w:p>
        </w:tc>
      </w:tr>
      <w:tr w:rsidR="00317274" w:rsidRPr="00317274" w14:paraId="2F014B2B" w14:textId="77777777" w:rsidTr="00FF32D8">
        <w:trPr>
          <w:trHeight w:val="338"/>
        </w:trPr>
        <w:tc>
          <w:tcPr>
            <w:tcW w:w="7655" w:type="dxa"/>
          </w:tcPr>
          <w:p w14:paraId="00609948" w14:textId="77777777" w:rsidR="00317274" w:rsidRPr="00317274" w:rsidRDefault="00317274" w:rsidP="00774ACB">
            <w:pPr>
              <w:numPr>
                <w:ilvl w:val="0"/>
                <w:numId w:val="2"/>
              </w:numPr>
              <w:tabs>
                <w:tab w:val="left" w:pos="-284"/>
              </w:tabs>
              <w:spacing w:after="120"/>
              <w:jc w:val="both"/>
              <w:rPr>
                <w:rFonts w:eastAsia="Times New Roman"/>
                <w:sz w:val="24"/>
                <w:szCs w:val="24"/>
                <w:lang w:eastAsia="pl-PL"/>
              </w:rPr>
            </w:pPr>
            <w:r w:rsidRPr="00317274">
              <w:rPr>
                <w:rFonts w:eastAsia="Times New Roman"/>
                <w:sz w:val="24"/>
                <w:szCs w:val="24"/>
                <w:lang w:eastAsia="en-US"/>
              </w:rPr>
              <w:t>Кандидатът</w:t>
            </w:r>
            <w:r w:rsidRPr="00317274">
              <w:rPr>
                <w:rFonts w:eastAsia="Times New Roman"/>
                <w:sz w:val="24"/>
                <w:szCs w:val="24"/>
                <w:lang w:eastAsia="pl-PL"/>
              </w:rPr>
              <w:t xml:space="preserve"> и партньорите (когато е приложимо) разполагат с административен капацитет.</w:t>
            </w:r>
          </w:p>
          <w:p w14:paraId="14E50838" w14:textId="77777777" w:rsidR="00317274" w:rsidRPr="00317274" w:rsidRDefault="00317274" w:rsidP="00317274">
            <w:pPr>
              <w:tabs>
                <w:tab w:val="left" w:pos="-284"/>
              </w:tabs>
              <w:spacing w:after="120"/>
              <w:jc w:val="both"/>
              <w:rPr>
                <w:rFonts w:eastAsia="Times New Roman"/>
                <w:i/>
                <w:sz w:val="24"/>
                <w:szCs w:val="24"/>
                <w:lang w:eastAsia="pl-PL"/>
              </w:rPr>
            </w:pPr>
            <w:r w:rsidRPr="00317274">
              <w:rPr>
                <w:rFonts w:eastAsia="Times New Roman"/>
                <w:i/>
                <w:sz w:val="24"/>
                <w:szCs w:val="24"/>
                <w:lang w:eastAsia="pl-PL"/>
              </w:rPr>
              <w:t xml:space="preserve">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 за които са приложени автобиографии, притежава минимум образователно-квалификационна степен „бакалавър“ и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останалите членове на основния екип имат най-малко 1 година опит в изпълнението на сходен тип дейности и/или управление/изпълнение на сходен тип проекти. Проверката се извършва на база представени автобиографии от всеки от членовете на екипа за организация и управление. </w:t>
            </w:r>
          </w:p>
        </w:tc>
        <w:tc>
          <w:tcPr>
            <w:tcW w:w="992" w:type="dxa"/>
          </w:tcPr>
          <w:p w14:paraId="31791481"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0D1457A3"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6072CBCC" w14:textId="77777777" w:rsidR="00317274" w:rsidRPr="00317274" w:rsidRDefault="00317274" w:rsidP="00317274">
            <w:pPr>
              <w:spacing w:after="120"/>
              <w:jc w:val="both"/>
              <w:rPr>
                <w:rFonts w:eastAsia="Times New Roman"/>
                <w:sz w:val="24"/>
                <w:szCs w:val="24"/>
                <w:lang w:eastAsia="en-US"/>
              </w:rPr>
            </w:pPr>
          </w:p>
        </w:tc>
      </w:tr>
      <w:tr w:rsidR="00317274" w:rsidRPr="00317274" w14:paraId="3EB3E146" w14:textId="77777777" w:rsidTr="00FF32D8">
        <w:trPr>
          <w:trHeight w:val="338"/>
        </w:trPr>
        <w:tc>
          <w:tcPr>
            <w:tcW w:w="7655" w:type="dxa"/>
          </w:tcPr>
          <w:p w14:paraId="5FAD8656" w14:textId="77777777" w:rsidR="00317274" w:rsidRPr="00317274" w:rsidRDefault="00317274" w:rsidP="00774ACB">
            <w:pPr>
              <w:numPr>
                <w:ilvl w:val="0"/>
                <w:numId w:val="2"/>
              </w:numPr>
              <w:tabs>
                <w:tab w:val="left" w:pos="-284"/>
              </w:tabs>
              <w:spacing w:after="120"/>
              <w:jc w:val="both"/>
              <w:rPr>
                <w:rFonts w:eastAsia="Times New Roman"/>
                <w:sz w:val="24"/>
                <w:szCs w:val="24"/>
                <w:lang w:eastAsia="pl-PL"/>
              </w:rPr>
            </w:pPr>
            <w:r w:rsidRPr="00317274">
              <w:rPr>
                <w:rFonts w:eastAsia="Times New Roman"/>
                <w:sz w:val="24"/>
                <w:szCs w:val="24"/>
                <w:lang w:eastAsia="pl-PL"/>
              </w:rPr>
              <w:lastRenderedPageBreak/>
              <w:t xml:space="preserve">Кандидатът разполага с необходимите финансов капацитет и механизми за устойчивост, позволяващи да се изпълнят предложените в проектното предложение дейности и да се гарантира тяхната финансова устойчивост. </w:t>
            </w:r>
          </w:p>
          <w:p w14:paraId="1F0789A7" w14:textId="77777777" w:rsidR="00317274" w:rsidRPr="00317274" w:rsidRDefault="00317274" w:rsidP="00317274">
            <w:pPr>
              <w:tabs>
                <w:tab w:val="left" w:pos="-284"/>
              </w:tabs>
              <w:spacing w:after="120"/>
              <w:jc w:val="both"/>
              <w:rPr>
                <w:rFonts w:eastAsia="Times New Roman"/>
                <w:i/>
                <w:sz w:val="24"/>
                <w:szCs w:val="24"/>
                <w:lang w:eastAsia="pl-PL"/>
              </w:rPr>
            </w:pPr>
            <w:r w:rsidRPr="00317274">
              <w:rPr>
                <w:rFonts w:eastAsia="Times New Roman"/>
                <w:i/>
                <w:sz w:val="24"/>
                <w:szCs w:val="24"/>
                <w:lang w:eastAsia="pl-PL"/>
              </w:rPr>
              <w:t>В случай че кандидатът е държавно висше училище, проверката се извършва служебно от оценителната комисия въз основа на определените трансфери от бюджета на МОН за държавните висши училища, съгласно Закона за държавния бюджет на Република България за предходната приключила финансова година.</w:t>
            </w:r>
          </w:p>
          <w:p w14:paraId="7F38A188" w14:textId="77777777" w:rsidR="00317274" w:rsidRPr="00317274" w:rsidRDefault="00317274" w:rsidP="00317274">
            <w:pPr>
              <w:tabs>
                <w:tab w:val="left" w:pos="-284"/>
              </w:tabs>
              <w:spacing w:after="120"/>
              <w:jc w:val="both"/>
              <w:rPr>
                <w:rFonts w:eastAsia="Times New Roman"/>
                <w:i/>
                <w:sz w:val="24"/>
                <w:szCs w:val="24"/>
                <w:lang w:eastAsia="pl-PL"/>
              </w:rPr>
            </w:pPr>
            <w:r w:rsidRPr="00317274">
              <w:rPr>
                <w:rFonts w:eastAsia="Times New Roman"/>
                <w:i/>
                <w:sz w:val="24"/>
                <w:szCs w:val="24"/>
                <w:lang w:eastAsia="pl-PL"/>
              </w:rPr>
              <w:t>В случай че кандидатът е частно висше училище или научна организация, кандидатът следва да представи официални документи, от които да е виден оборотът му за предходната приключила финансова година.</w:t>
            </w:r>
          </w:p>
          <w:p w14:paraId="3A99E4C1" w14:textId="77777777" w:rsidR="00317274" w:rsidRPr="00317274" w:rsidRDefault="00317274" w:rsidP="00317274">
            <w:pPr>
              <w:tabs>
                <w:tab w:val="left" w:pos="-284"/>
              </w:tabs>
              <w:spacing w:after="120"/>
              <w:jc w:val="both"/>
              <w:rPr>
                <w:rFonts w:eastAsia="Times New Roman"/>
                <w:i/>
                <w:sz w:val="24"/>
                <w:szCs w:val="24"/>
                <w:lang w:eastAsia="pl-PL"/>
              </w:rPr>
            </w:pPr>
            <w:r w:rsidRPr="00317274">
              <w:rPr>
                <w:rFonts w:eastAsia="Times New Roman"/>
                <w:i/>
                <w:sz w:val="24"/>
                <w:szCs w:val="24"/>
                <w:lang w:eastAsia="pl-PL"/>
              </w:rPr>
              <w:t>Счита се, че кандидатът разполага с финансов капацитет, в случай че неговият оборот  през последната приключила финансова година е поне 30 % от стойността на исканото финансиране по проекта.</w:t>
            </w:r>
          </w:p>
          <w:p w14:paraId="3CE98DD0" w14:textId="77777777" w:rsidR="00317274" w:rsidRPr="00317274" w:rsidRDefault="00317274" w:rsidP="00317274">
            <w:pPr>
              <w:tabs>
                <w:tab w:val="left" w:pos="-284"/>
              </w:tabs>
              <w:spacing w:after="120"/>
              <w:jc w:val="both"/>
              <w:rPr>
                <w:rFonts w:eastAsia="Times New Roman"/>
                <w:sz w:val="24"/>
                <w:szCs w:val="24"/>
                <w:lang w:eastAsia="pl-PL"/>
              </w:rPr>
            </w:pPr>
            <w:r w:rsidRPr="00317274">
              <w:rPr>
                <w:rFonts w:eastAsia="Times New Roman"/>
                <w:i/>
                <w:sz w:val="24"/>
                <w:szCs w:val="24"/>
                <w:lang w:eastAsia="pl-PL"/>
              </w:rPr>
              <w:t>Счита се, че са налице механизми за устойчивост, когато кандидатът е посочил във Формуляра за кандидатстване потенциалните източници за финансиране след приключване на проекта и те са реалистични и надеждни.</w:t>
            </w:r>
          </w:p>
        </w:tc>
        <w:tc>
          <w:tcPr>
            <w:tcW w:w="992" w:type="dxa"/>
          </w:tcPr>
          <w:p w14:paraId="66F24C43"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78648F29" w14:textId="77777777" w:rsidR="00317274" w:rsidRPr="00317274" w:rsidRDefault="00317274" w:rsidP="00317274">
            <w:pPr>
              <w:spacing w:after="120"/>
              <w:jc w:val="both"/>
              <w:rPr>
                <w:rFonts w:eastAsia="SimSun"/>
                <w:sz w:val="16"/>
                <w:szCs w:val="16"/>
                <w:lang w:eastAsia="zh-CN"/>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44D51C85" w14:textId="77777777" w:rsidR="00317274" w:rsidRPr="00317274" w:rsidRDefault="00317274" w:rsidP="00317274">
            <w:pPr>
              <w:spacing w:after="120"/>
              <w:jc w:val="both"/>
              <w:rPr>
                <w:rFonts w:eastAsia="Times New Roman"/>
                <w:sz w:val="24"/>
                <w:szCs w:val="24"/>
                <w:lang w:eastAsia="en-US"/>
              </w:rPr>
            </w:pPr>
          </w:p>
        </w:tc>
      </w:tr>
      <w:tr w:rsidR="00317274" w:rsidRPr="00317274" w14:paraId="1221393B" w14:textId="77777777" w:rsidTr="00FF32D8">
        <w:trPr>
          <w:trHeight w:val="338"/>
        </w:trPr>
        <w:tc>
          <w:tcPr>
            <w:tcW w:w="7655" w:type="dxa"/>
          </w:tcPr>
          <w:p w14:paraId="15D614CC" w14:textId="77777777" w:rsidR="00317274" w:rsidRPr="00317274" w:rsidRDefault="00317274" w:rsidP="00774ACB">
            <w:pPr>
              <w:numPr>
                <w:ilvl w:val="0"/>
                <w:numId w:val="2"/>
              </w:numPr>
              <w:tabs>
                <w:tab w:val="left" w:pos="-284"/>
              </w:tabs>
              <w:spacing w:after="120"/>
              <w:jc w:val="both"/>
              <w:rPr>
                <w:rFonts w:eastAsia="Times New Roman"/>
                <w:sz w:val="24"/>
                <w:szCs w:val="24"/>
                <w:lang w:eastAsia="pl-PL"/>
              </w:rPr>
            </w:pPr>
            <w:r w:rsidRPr="00317274">
              <w:rPr>
                <w:rFonts w:eastAsia="Times New Roman"/>
                <w:sz w:val="24"/>
                <w:szCs w:val="24"/>
                <w:lang w:eastAsia="pl-PL"/>
              </w:rPr>
              <w:t>Разходите, заложени в проектното предложение не са финансирани със средства от Европейските фондове при споделено управление или чрез други инструменти на Европейския съюз в съответствие с чл. 63, параграф 9 от Регламент (ЕС) 2021/1060, както и с други публични средства, различни от тези на кандидата/ партньорите.</w:t>
            </w:r>
          </w:p>
          <w:p w14:paraId="50E88BD5" w14:textId="77777777" w:rsidR="00317274" w:rsidRPr="00317274" w:rsidRDefault="00317274" w:rsidP="00317274">
            <w:pPr>
              <w:tabs>
                <w:tab w:val="left" w:pos="-284"/>
              </w:tabs>
              <w:spacing w:after="120"/>
              <w:jc w:val="both"/>
              <w:rPr>
                <w:rFonts w:eastAsia="Times New Roman"/>
                <w:sz w:val="24"/>
                <w:szCs w:val="24"/>
                <w:lang w:eastAsia="pl-PL"/>
              </w:rPr>
            </w:pPr>
            <w:r w:rsidRPr="00317274">
              <w:rPr>
                <w:rFonts w:eastAsia="Times New Roman"/>
                <w:i/>
                <w:sz w:val="24"/>
                <w:szCs w:val="24"/>
                <w:lang w:eastAsia="en-US"/>
              </w:rPr>
              <w:t xml:space="preserve">Проверява се чрез декларация - Приложение </w:t>
            </w:r>
            <w:r w:rsidRPr="00317274">
              <w:rPr>
                <w:rFonts w:eastAsia="Times New Roman"/>
                <w:i/>
                <w:sz w:val="24"/>
                <w:szCs w:val="24"/>
                <w:lang w:val="en-US" w:eastAsia="en-US"/>
              </w:rPr>
              <w:t>I</w:t>
            </w:r>
            <w:r w:rsidRPr="00317274">
              <w:rPr>
                <w:rFonts w:eastAsia="Times New Roman"/>
                <w:i/>
                <w:sz w:val="24"/>
                <w:szCs w:val="24"/>
                <w:lang w:eastAsia="en-US"/>
              </w:rPr>
              <w:t xml:space="preserve"> към Условията за кандидатстване.</w:t>
            </w:r>
          </w:p>
        </w:tc>
        <w:tc>
          <w:tcPr>
            <w:tcW w:w="992" w:type="dxa"/>
          </w:tcPr>
          <w:p w14:paraId="04494D4A"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rPr>
              <w:fldChar w:fldCharType="begin">
                <w:ffData>
                  <w:name w:val=""/>
                  <w:enabled/>
                  <w:calcOnExit/>
                  <w:checkBox>
                    <w:sizeAuto/>
                    <w:default w:val="0"/>
                  </w:checkBox>
                </w:ffData>
              </w:fldChar>
            </w:r>
            <w:r w:rsidRPr="00317274">
              <w:rPr>
                <w:rFonts w:eastAsia="Times New Roman"/>
                <w:sz w:val="24"/>
                <w:szCs w:val="24"/>
              </w:rPr>
              <w:instrText xml:space="preserve"> FORMCHECKBOX </w:instrText>
            </w:r>
            <w:r w:rsidRPr="00317274">
              <w:rPr>
                <w:rFonts w:eastAsia="Times New Roman"/>
                <w:sz w:val="24"/>
                <w:szCs w:val="24"/>
              </w:rPr>
            </w:r>
            <w:r w:rsidRPr="00317274">
              <w:rPr>
                <w:rFonts w:eastAsia="Times New Roman"/>
                <w:sz w:val="24"/>
                <w:szCs w:val="24"/>
              </w:rPr>
              <w:fldChar w:fldCharType="separate"/>
            </w:r>
            <w:r w:rsidRPr="00317274">
              <w:rPr>
                <w:rFonts w:eastAsia="Times New Roman"/>
                <w:sz w:val="24"/>
                <w:szCs w:val="24"/>
              </w:rPr>
              <w:fldChar w:fldCharType="end"/>
            </w:r>
          </w:p>
        </w:tc>
        <w:tc>
          <w:tcPr>
            <w:tcW w:w="851" w:type="dxa"/>
            <w:shd w:val="clear" w:color="auto" w:fill="auto"/>
          </w:tcPr>
          <w:p w14:paraId="0B26BA5F" w14:textId="77777777" w:rsidR="00317274" w:rsidRPr="00317274" w:rsidRDefault="00317274" w:rsidP="00317274">
            <w:pPr>
              <w:spacing w:after="120"/>
              <w:jc w:val="both"/>
              <w:rPr>
                <w:rFonts w:eastAsia="Times New Roman"/>
                <w:sz w:val="24"/>
                <w:szCs w:val="24"/>
                <w:lang w:eastAsia="en-US"/>
              </w:rPr>
            </w:pPr>
            <w:r w:rsidRPr="00317274">
              <w:rPr>
                <w:rFonts w:eastAsia="Times New Roman"/>
                <w:sz w:val="24"/>
                <w:szCs w:val="24"/>
                <w:lang w:eastAsia="en-US"/>
              </w:rPr>
              <w:fldChar w:fldCharType="begin">
                <w:ffData>
                  <w:name w:val=""/>
                  <w:enabled/>
                  <w:calcOnExit/>
                  <w:checkBox>
                    <w:sizeAuto/>
                    <w:default w:val="0"/>
                  </w:checkBox>
                </w:ffData>
              </w:fldChar>
            </w:r>
            <w:r w:rsidRPr="00317274">
              <w:rPr>
                <w:rFonts w:eastAsia="Times New Roman"/>
                <w:sz w:val="24"/>
                <w:szCs w:val="24"/>
                <w:lang w:eastAsia="en-US"/>
              </w:rPr>
              <w:instrText xml:space="preserve"> FORMCHECKBOX </w:instrText>
            </w:r>
            <w:r w:rsidRPr="00317274">
              <w:rPr>
                <w:rFonts w:eastAsia="Times New Roman"/>
                <w:sz w:val="24"/>
                <w:szCs w:val="24"/>
                <w:lang w:eastAsia="en-US"/>
              </w:rPr>
            </w:r>
            <w:r w:rsidRPr="00317274">
              <w:rPr>
                <w:rFonts w:eastAsia="Times New Roman"/>
                <w:sz w:val="24"/>
                <w:szCs w:val="24"/>
                <w:lang w:eastAsia="en-US"/>
              </w:rPr>
              <w:fldChar w:fldCharType="separate"/>
            </w:r>
            <w:r w:rsidRPr="00317274">
              <w:rPr>
                <w:rFonts w:eastAsia="Times New Roman"/>
                <w:sz w:val="24"/>
                <w:szCs w:val="24"/>
                <w:lang w:eastAsia="en-US"/>
              </w:rPr>
              <w:fldChar w:fldCharType="end"/>
            </w:r>
          </w:p>
        </w:tc>
        <w:tc>
          <w:tcPr>
            <w:tcW w:w="850" w:type="dxa"/>
          </w:tcPr>
          <w:p w14:paraId="67C8819C" w14:textId="77777777" w:rsidR="00317274" w:rsidRPr="00317274" w:rsidRDefault="00317274" w:rsidP="00317274">
            <w:pPr>
              <w:spacing w:after="120"/>
              <w:jc w:val="both"/>
              <w:rPr>
                <w:rFonts w:eastAsia="Times New Roman"/>
                <w:sz w:val="24"/>
                <w:szCs w:val="24"/>
                <w:lang w:eastAsia="en-US"/>
              </w:rPr>
            </w:pPr>
          </w:p>
        </w:tc>
      </w:tr>
    </w:tbl>
    <w:p w14:paraId="1F9D5411" w14:textId="77777777" w:rsidR="00317274" w:rsidRPr="00317274" w:rsidRDefault="00317274" w:rsidP="00317274">
      <w:pPr>
        <w:tabs>
          <w:tab w:val="left" w:pos="1185"/>
        </w:tabs>
        <w:spacing w:after="120"/>
        <w:jc w:val="both"/>
        <w:rPr>
          <w:rFonts w:eastAsia="Times New Roman"/>
          <w:bCs/>
          <w:sz w:val="24"/>
          <w:szCs w:val="24"/>
        </w:rPr>
      </w:pPr>
    </w:p>
    <w:p w14:paraId="71AEDC86" w14:textId="77777777" w:rsidR="00317274" w:rsidRPr="00317274" w:rsidRDefault="00317274" w:rsidP="00317274">
      <w:pPr>
        <w:tabs>
          <w:tab w:val="left" w:pos="1185"/>
        </w:tabs>
        <w:spacing w:after="120"/>
        <w:jc w:val="both"/>
        <w:rPr>
          <w:rFonts w:eastAsia="Times New Roman"/>
          <w:b/>
          <w:sz w:val="24"/>
          <w:szCs w:val="24"/>
        </w:rPr>
      </w:pPr>
      <w:r w:rsidRPr="00317274">
        <w:rPr>
          <w:rFonts w:eastAsia="Times New Roman"/>
          <w:b/>
          <w:sz w:val="24"/>
          <w:szCs w:val="24"/>
        </w:rPr>
        <w:t>2. Критерии за техническа и финансова оценка</w:t>
      </w:r>
    </w:p>
    <w:p w14:paraId="5C4F0467" w14:textId="77777777" w:rsidR="00317274" w:rsidRPr="00317274" w:rsidRDefault="00317274" w:rsidP="00317274">
      <w:pPr>
        <w:tabs>
          <w:tab w:val="left" w:pos="1185"/>
        </w:tabs>
        <w:spacing w:after="120"/>
        <w:jc w:val="both"/>
        <w:rPr>
          <w:rFonts w:eastAsia="Times New Roman"/>
          <w:b/>
          <w:sz w:val="24"/>
          <w:szCs w:val="24"/>
        </w:rPr>
      </w:pPr>
    </w:p>
    <w:tbl>
      <w:tblPr>
        <w:tblW w:w="5721" w:type="pct"/>
        <w:jc w:val="center"/>
        <w:tblBorders>
          <w:top w:val="double" w:sz="6" w:space="0" w:color="0033CC"/>
          <w:left w:val="double" w:sz="6" w:space="0" w:color="0033CC"/>
          <w:bottom w:val="double" w:sz="6" w:space="0" w:color="0033CC"/>
          <w:right w:val="double" w:sz="6" w:space="0" w:color="0033CC"/>
          <w:insideH w:val="single" w:sz="4" w:space="0" w:color="0033CC"/>
          <w:insideV w:val="single" w:sz="4" w:space="0" w:color="0033CC"/>
        </w:tblBorders>
        <w:tblLayout w:type="fixed"/>
        <w:tblLook w:val="01E0" w:firstRow="1" w:lastRow="1" w:firstColumn="1" w:lastColumn="1" w:noHBand="0" w:noVBand="0"/>
      </w:tblPr>
      <w:tblGrid>
        <w:gridCol w:w="799"/>
        <w:gridCol w:w="4024"/>
        <w:gridCol w:w="1610"/>
        <w:gridCol w:w="3892"/>
      </w:tblGrid>
      <w:tr w:rsidR="00317274" w:rsidRPr="00317274" w14:paraId="2ACC9572" w14:textId="77777777" w:rsidTr="00FF32D8">
        <w:trPr>
          <w:trHeight w:val="519"/>
          <w:jc w:val="center"/>
        </w:trPr>
        <w:tc>
          <w:tcPr>
            <w:tcW w:w="805" w:type="dxa"/>
            <w:tcBorders>
              <w:top w:val="double" w:sz="6" w:space="0" w:color="0033CC"/>
              <w:bottom w:val="double" w:sz="6" w:space="0" w:color="0033CC"/>
            </w:tcBorders>
            <w:shd w:val="clear" w:color="auto" w:fill="D9D9D9"/>
            <w:vAlign w:val="center"/>
          </w:tcPr>
          <w:p w14:paraId="5E68C9D8"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w:t>
            </w:r>
          </w:p>
        </w:tc>
        <w:tc>
          <w:tcPr>
            <w:tcW w:w="4055" w:type="dxa"/>
            <w:tcBorders>
              <w:top w:val="double" w:sz="6" w:space="0" w:color="0033CC"/>
              <w:bottom w:val="double" w:sz="6" w:space="0" w:color="0033CC"/>
            </w:tcBorders>
            <w:shd w:val="clear" w:color="auto" w:fill="D9D9D9"/>
            <w:vAlign w:val="center"/>
          </w:tcPr>
          <w:p w14:paraId="751448EB"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КРИТЕРИИ:</w:t>
            </w:r>
          </w:p>
        </w:tc>
        <w:tc>
          <w:tcPr>
            <w:tcW w:w="1621" w:type="dxa"/>
            <w:tcBorders>
              <w:top w:val="double" w:sz="6" w:space="0" w:color="0033CC"/>
              <w:bottom w:val="double" w:sz="6" w:space="0" w:color="0033CC"/>
            </w:tcBorders>
            <w:shd w:val="clear" w:color="auto" w:fill="D9D9D9"/>
            <w:vAlign w:val="center"/>
          </w:tcPr>
          <w:p w14:paraId="263E5D54" w14:textId="77777777" w:rsidR="00317274" w:rsidRPr="00317274" w:rsidRDefault="00317274" w:rsidP="00317274">
            <w:pPr>
              <w:spacing w:after="120"/>
              <w:jc w:val="center"/>
              <w:rPr>
                <w:rFonts w:eastAsia="Times New Roman"/>
                <w:b/>
                <w:sz w:val="24"/>
                <w:szCs w:val="24"/>
                <w:lang w:eastAsia="en-US"/>
              </w:rPr>
            </w:pPr>
            <w:r w:rsidRPr="00317274">
              <w:rPr>
                <w:rFonts w:eastAsia="Times New Roman"/>
                <w:b/>
                <w:sz w:val="24"/>
                <w:szCs w:val="24"/>
                <w:lang w:eastAsia="en-US"/>
              </w:rPr>
              <w:t>Максимален брой точки</w:t>
            </w:r>
          </w:p>
        </w:tc>
        <w:tc>
          <w:tcPr>
            <w:tcW w:w="3922" w:type="dxa"/>
            <w:tcBorders>
              <w:top w:val="double" w:sz="6" w:space="0" w:color="0033CC"/>
              <w:bottom w:val="double" w:sz="6" w:space="0" w:color="0033CC"/>
            </w:tcBorders>
            <w:shd w:val="clear" w:color="auto" w:fill="D9D9D9"/>
            <w:vAlign w:val="center"/>
          </w:tcPr>
          <w:p w14:paraId="418F2007" w14:textId="77777777" w:rsidR="00317274" w:rsidRPr="00317274" w:rsidRDefault="00317274" w:rsidP="00317274">
            <w:pPr>
              <w:spacing w:after="120"/>
              <w:jc w:val="center"/>
              <w:rPr>
                <w:rFonts w:eastAsia="Times New Roman"/>
                <w:b/>
                <w:sz w:val="24"/>
                <w:szCs w:val="24"/>
                <w:lang w:eastAsia="en-US"/>
              </w:rPr>
            </w:pPr>
            <w:r w:rsidRPr="00317274">
              <w:rPr>
                <w:rFonts w:eastAsia="Times New Roman"/>
                <w:b/>
                <w:sz w:val="24"/>
                <w:szCs w:val="24"/>
                <w:lang w:eastAsia="en-US"/>
              </w:rPr>
              <w:t>ИЗТОЧНИК НА ПРОВЕРКА</w:t>
            </w:r>
          </w:p>
        </w:tc>
      </w:tr>
      <w:tr w:rsidR="00317274" w:rsidRPr="00317274" w14:paraId="68F08839" w14:textId="77777777" w:rsidTr="00FF32D8">
        <w:trPr>
          <w:trHeight w:val="792"/>
          <w:jc w:val="center"/>
        </w:trPr>
        <w:tc>
          <w:tcPr>
            <w:tcW w:w="805" w:type="dxa"/>
            <w:tcBorders>
              <w:top w:val="double" w:sz="6" w:space="0" w:color="0033CC"/>
              <w:bottom w:val="double" w:sz="6" w:space="0" w:color="0033CC"/>
            </w:tcBorders>
            <w:shd w:val="clear" w:color="auto" w:fill="ACB9CA" w:themeFill="text2" w:themeFillTint="66"/>
            <w:vAlign w:val="center"/>
          </w:tcPr>
          <w:p w14:paraId="058DF548"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1</w:t>
            </w:r>
          </w:p>
        </w:tc>
        <w:tc>
          <w:tcPr>
            <w:tcW w:w="4055" w:type="dxa"/>
            <w:shd w:val="clear" w:color="auto" w:fill="ACB9CA" w:themeFill="text2" w:themeFillTint="66"/>
          </w:tcPr>
          <w:p w14:paraId="32078DD8" w14:textId="77777777" w:rsidR="00317274" w:rsidRPr="00317274" w:rsidRDefault="00317274" w:rsidP="00317274">
            <w:pPr>
              <w:spacing w:after="120"/>
              <w:jc w:val="both"/>
              <w:rPr>
                <w:rFonts w:eastAsia="Times New Roman"/>
                <w:b/>
                <w:color w:val="000000"/>
                <w:sz w:val="24"/>
                <w:szCs w:val="24"/>
                <w:lang w:eastAsia="en-GB"/>
              </w:rPr>
            </w:pPr>
            <w:r w:rsidRPr="00317274">
              <w:rPr>
                <w:rFonts w:eastAsia="Times New Roman"/>
                <w:b/>
                <w:color w:val="000000"/>
                <w:sz w:val="24"/>
                <w:szCs w:val="24"/>
                <w:lang w:eastAsia="en-GB"/>
              </w:rPr>
              <w:t>Начин на изпълнение на дейностите:</w:t>
            </w:r>
          </w:p>
          <w:p w14:paraId="66D96445" w14:textId="77777777" w:rsidR="00317274" w:rsidRPr="00317274" w:rsidRDefault="00317274" w:rsidP="00317274">
            <w:pPr>
              <w:spacing w:after="120"/>
              <w:jc w:val="both"/>
              <w:rPr>
                <w:rFonts w:eastAsia="Times New Roman"/>
                <w:b/>
                <w:color w:val="000000"/>
                <w:sz w:val="24"/>
                <w:szCs w:val="24"/>
                <w:lang w:eastAsia="en-GB"/>
              </w:rPr>
            </w:pPr>
            <w:r w:rsidRPr="00317274">
              <w:rPr>
                <w:rFonts w:eastAsia="Times New Roman"/>
                <w:b/>
                <w:color w:val="000000"/>
                <w:sz w:val="24"/>
                <w:szCs w:val="24"/>
                <w:lang w:eastAsia="en-GB"/>
              </w:rPr>
              <w:t>- Представен е анализ/обосновка, основан на статистически тенденции/прогнози, който доказва/обосновава наличието или необходимостта от разкриване на работни позиции при кандидата/партньора/асоциирания партньор за лица с научна и образователна степен „доктор“ през 2029-2030 г.;</w:t>
            </w:r>
          </w:p>
          <w:p w14:paraId="3CE88BE0"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b/>
                <w:color w:val="000000"/>
                <w:sz w:val="24"/>
                <w:szCs w:val="24"/>
                <w:lang w:eastAsia="en-GB"/>
              </w:rPr>
              <w:lastRenderedPageBreak/>
              <w:t xml:space="preserve">- </w:t>
            </w:r>
            <w:r w:rsidRPr="00317274">
              <w:rPr>
                <w:rFonts w:eastAsia="Times New Roman"/>
                <w:b/>
                <w:bCs/>
                <w:color w:val="000000"/>
                <w:sz w:val="24"/>
                <w:szCs w:val="24"/>
                <w:lang w:eastAsia="en-GB"/>
              </w:rPr>
              <w:t xml:space="preserve">Представен е конкретен разчет относно броя на новите докторанти, които се планира да бъдат подкрепени в проектното предложение.   </w:t>
            </w:r>
          </w:p>
          <w:p w14:paraId="404ADDED" w14:textId="77777777" w:rsidR="00317274" w:rsidRPr="00317274" w:rsidRDefault="00317274" w:rsidP="00317274">
            <w:pPr>
              <w:spacing w:after="120"/>
              <w:jc w:val="both"/>
              <w:rPr>
                <w:rFonts w:eastAsia="Times New Roman"/>
                <w:i/>
                <w:iCs/>
                <w:color w:val="000000"/>
                <w:sz w:val="24"/>
                <w:szCs w:val="24"/>
                <w:lang w:eastAsia="en-GB"/>
              </w:rPr>
            </w:pPr>
            <w:r w:rsidRPr="00317274">
              <w:rPr>
                <w:rFonts w:eastAsia="Times New Roman"/>
                <w:i/>
                <w:iCs/>
                <w:color w:val="000000"/>
                <w:sz w:val="24"/>
                <w:szCs w:val="24"/>
                <w:lang w:eastAsia="en-GB"/>
              </w:rPr>
              <w:t xml:space="preserve">Счита се, че е налице разчет за броя на новите докторанти, когато са описани възможностите/ капацитета на ВУ/НО за тяхното обучение по реда на чл. 21, ал. 7 от ЗВО, възможностите за определяне на научен ръководител на всеки докторант, безвъзмездно осигуряване на материално-техническа база за целите на провеждането на  научноизследователска дейност в рамките на проектната докторантура, </w:t>
            </w:r>
            <w:r w:rsidRPr="00317274">
              <w:rPr>
                <w:rFonts w:eastAsia="Times New Roman"/>
                <w:b/>
                <w:bCs/>
                <w:color w:val="000000"/>
                <w:sz w:val="24"/>
                <w:szCs w:val="24"/>
                <w:lang w:eastAsia="en-GB"/>
              </w:rPr>
              <w:t xml:space="preserve"> </w:t>
            </w:r>
            <w:r w:rsidRPr="00317274">
              <w:rPr>
                <w:rFonts w:eastAsia="Times New Roman"/>
                <w:i/>
                <w:iCs/>
                <w:color w:val="000000"/>
                <w:sz w:val="24"/>
                <w:szCs w:val="24"/>
                <w:lang w:eastAsia="en-GB"/>
              </w:rPr>
              <w:t>и е съобразен с броя на действащите към момента докторанти в редовна форма на обучение в акредитираните докторски програми и наличния академичен състав и материално-техническа база на съответното ВУ (основно звено на ВУ)/научна организация.;</w:t>
            </w:r>
          </w:p>
          <w:p w14:paraId="1330A6DD"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b/>
                <w:bCs/>
                <w:color w:val="000000"/>
                <w:sz w:val="24"/>
                <w:szCs w:val="24"/>
                <w:lang w:eastAsia="en-GB"/>
              </w:rPr>
              <w:t>- В проектното предложение се предвижда разработване и въвеждане на нови специализирани интердисциплинарни/мултидисциплинарни курсове</w:t>
            </w:r>
            <w:r w:rsidRPr="00317274">
              <w:rPr>
                <w:rFonts w:eastAsia="Times New Roman"/>
                <w:b/>
                <w:bCs/>
              </w:rPr>
              <w:t xml:space="preserve"> </w:t>
            </w:r>
            <w:r w:rsidRPr="00317274">
              <w:rPr>
                <w:rFonts w:eastAsia="Times New Roman"/>
                <w:b/>
                <w:bCs/>
                <w:color w:val="000000"/>
                <w:sz w:val="24"/>
                <w:szCs w:val="24"/>
                <w:lang w:eastAsia="en-GB"/>
              </w:rPr>
              <w:t>за обучение на зачислените по проекта докторанти;</w:t>
            </w:r>
          </w:p>
          <w:p w14:paraId="4C7E36FD" w14:textId="77777777" w:rsidR="00317274" w:rsidRPr="00317274" w:rsidRDefault="00317274" w:rsidP="00317274">
            <w:pPr>
              <w:spacing w:after="120"/>
              <w:jc w:val="both"/>
              <w:rPr>
                <w:rFonts w:eastAsia="Times New Roman"/>
                <w:b/>
                <w:color w:val="000000"/>
                <w:sz w:val="24"/>
                <w:szCs w:val="24"/>
                <w:lang w:eastAsia="en-GB"/>
              </w:rPr>
            </w:pPr>
            <w:r w:rsidRPr="00317274">
              <w:rPr>
                <w:rFonts w:eastAsia="Times New Roman"/>
                <w:b/>
                <w:color w:val="000000"/>
                <w:sz w:val="24"/>
                <w:szCs w:val="24"/>
                <w:lang w:eastAsia="en-GB"/>
              </w:rPr>
              <w:t xml:space="preserve">- Проектното предложение адресира  конкретни бизнес потребности </w:t>
            </w:r>
          </w:p>
          <w:p w14:paraId="2110656C" w14:textId="77777777" w:rsidR="00317274" w:rsidRPr="00317274" w:rsidRDefault="00317274" w:rsidP="00317274">
            <w:pPr>
              <w:spacing w:after="120"/>
              <w:jc w:val="both"/>
              <w:rPr>
                <w:rFonts w:eastAsia="Times New Roman"/>
                <w:b/>
                <w:color w:val="000000"/>
                <w:sz w:val="24"/>
                <w:szCs w:val="24"/>
                <w:lang w:eastAsia="en-GB"/>
              </w:rPr>
            </w:pPr>
            <w:r w:rsidRPr="00317274">
              <w:rPr>
                <w:rFonts w:eastAsia="Times New Roman"/>
                <w:i/>
                <w:iCs/>
                <w:color w:val="000000"/>
                <w:sz w:val="24"/>
                <w:szCs w:val="24"/>
                <w:lang w:eastAsia="en-GB"/>
              </w:rPr>
              <w:t>Счита се, че проектното предложение адресира конкретни бизнес потребности, когато в проектното предложение е включен асоцииран партньор – предприятие, публична организация, НПО или научноизследователски център, в т.ч. ЦК и ЦВП, който е обосновал нуждата от персонал с докторска степен.</w:t>
            </w:r>
          </w:p>
        </w:tc>
        <w:tc>
          <w:tcPr>
            <w:tcW w:w="1621" w:type="dxa"/>
            <w:shd w:val="clear" w:color="auto" w:fill="ACB9CA" w:themeFill="text2" w:themeFillTint="66"/>
          </w:tcPr>
          <w:p w14:paraId="0D0FAE17" w14:textId="77777777" w:rsidR="00317274" w:rsidRPr="00317274" w:rsidRDefault="00317274" w:rsidP="00317274">
            <w:pPr>
              <w:spacing w:after="120"/>
              <w:jc w:val="center"/>
              <w:rPr>
                <w:rFonts w:eastAsia="Times New Roman"/>
                <w:b/>
                <w:color w:val="000000"/>
                <w:sz w:val="24"/>
                <w:szCs w:val="24"/>
                <w:lang w:eastAsia="en-GB"/>
              </w:rPr>
            </w:pPr>
            <w:r w:rsidRPr="00317274">
              <w:rPr>
                <w:rFonts w:eastAsia="Times New Roman"/>
                <w:b/>
                <w:color w:val="000000"/>
                <w:sz w:val="24"/>
                <w:szCs w:val="24"/>
                <w:lang w:eastAsia="en-GB"/>
              </w:rPr>
              <w:lastRenderedPageBreak/>
              <w:t>20</w:t>
            </w:r>
          </w:p>
        </w:tc>
        <w:tc>
          <w:tcPr>
            <w:tcW w:w="3922" w:type="dxa"/>
            <w:tcBorders>
              <w:top w:val="double" w:sz="6" w:space="0" w:color="0033CC"/>
              <w:bottom w:val="double" w:sz="6" w:space="0" w:color="0033CC"/>
            </w:tcBorders>
            <w:shd w:val="clear" w:color="auto" w:fill="ACB9CA" w:themeFill="text2" w:themeFillTint="66"/>
            <w:vAlign w:val="center"/>
          </w:tcPr>
          <w:p w14:paraId="2D965145" w14:textId="77777777" w:rsidR="00317274" w:rsidRPr="00317274" w:rsidRDefault="00317274" w:rsidP="00317274">
            <w:pPr>
              <w:spacing w:after="120"/>
              <w:jc w:val="both"/>
              <w:rPr>
                <w:i/>
                <w:sz w:val="24"/>
                <w:szCs w:val="24"/>
                <w:lang w:eastAsia="en-US"/>
              </w:rPr>
            </w:pPr>
            <w:r w:rsidRPr="00317274">
              <w:rPr>
                <w:i/>
                <w:sz w:val="24"/>
                <w:szCs w:val="24"/>
                <w:lang w:eastAsia="en-US"/>
              </w:rPr>
              <w:t>Формуляр за кандидатстване, секция „План за изпълнение/Дейности по проекта“; секция „Допълнителна информация, необходима за оценка на проектното предложение“; Писмо за намерение от асоцииран партньор.</w:t>
            </w:r>
          </w:p>
          <w:p w14:paraId="7AB87E48" w14:textId="77777777" w:rsidR="00317274" w:rsidRPr="00317274" w:rsidRDefault="00317274" w:rsidP="00317274">
            <w:pPr>
              <w:spacing w:after="120"/>
              <w:jc w:val="both"/>
              <w:rPr>
                <w:i/>
                <w:sz w:val="24"/>
                <w:szCs w:val="24"/>
                <w:u w:val="single"/>
                <w:lang w:eastAsia="en-US"/>
              </w:rPr>
            </w:pPr>
            <w:r w:rsidRPr="00317274">
              <w:rPr>
                <w:i/>
                <w:sz w:val="24"/>
                <w:szCs w:val="24"/>
                <w:u w:val="single"/>
                <w:lang w:eastAsia="en-US"/>
              </w:rPr>
              <w:t>Скала за оценяване:</w:t>
            </w:r>
          </w:p>
          <w:p w14:paraId="12D19588" w14:textId="77777777" w:rsidR="00317274" w:rsidRPr="00317274" w:rsidRDefault="00317274" w:rsidP="00317274">
            <w:pPr>
              <w:spacing w:after="120"/>
              <w:jc w:val="both"/>
              <w:rPr>
                <w:i/>
                <w:sz w:val="24"/>
                <w:szCs w:val="24"/>
                <w:lang w:eastAsia="en-US"/>
              </w:rPr>
            </w:pPr>
            <w:r w:rsidRPr="00317274">
              <w:rPr>
                <w:i/>
                <w:sz w:val="24"/>
                <w:szCs w:val="24"/>
                <w:lang w:eastAsia="en-US"/>
              </w:rPr>
              <w:t xml:space="preserve">На проектни предложения, които са  изпълнили всички четири посочени изисквания, </w:t>
            </w:r>
            <w:r w:rsidRPr="00317274">
              <w:rPr>
                <w:i/>
                <w:sz w:val="24"/>
                <w:szCs w:val="24"/>
                <w:lang w:eastAsia="en-US"/>
              </w:rPr>
              <w:lastRenderedPageBreak/>
              <w:t>оценителната комисия присъжда 20 точки.</w:t>
            </w:r>
          </w:p>
          <w:p w14:paraId="0D62422C" w14:textId="77777777" w:rsidR="00317274" w:rsidRPr="00317274" w:rsidRDefault="00317274" w:rsidP="00317274">
            <w:pPr>
              <w:spacing w:after="120"/>
              <w:jc w:val="both"/>
              <w:rPr>
                <w:i/>
                <w:sz w:val="24"/>
                <w:szCs w:val="24"/>
                <w:lang w:eastAsia="en-US"/>
              </w:rPr>
            </w:pPr>
            <w:r w:rsidRPr="00317274">
              <w:rPr>
                <w:i/>
                <w:sz w:val="24"/>
                <w:szCs w:val="24"/>
                <w:lang w:eastAsia="en-US"/>
              </w:rPr>
              <w:t>На проектни предложения, които са  изпълнили три от посочените изисквания, оценителната комисия присъжда 15 точки.</w:t>
            </w:r>
          </w:p>
          <w:p w14:paraId="0D915B91" w14:textId="77777777" w:rsidR="00317274" w:rsidRPr="00317274" w:rsidRDefault="00317274" w:rsidP="00317274">
            <w:pPr>
              <w:spacing w:after="120"/>
              <w:jc w:val="both"/>
              <w:rPr>
                <w:i/>
                <w:sz w:val="24"/>
                <w:szCs w:val="24"/>
                <w:lang w:eastAsia="en-US"/>
              </w:rPr>
            </w:pPr>
            <w:r w:rsidRPr="00317274">
              <w:rPr>
                <w:i/>
                <w:sz w:val="24"/>
                <w:szCs w:val="24"/>
                <w:lang w:eastAsia="en-US"/>
              </w:rPr>
              <w:t>На проектни предложения, които са  изпълнили две от посочените изисквания, оценителната комисия присъжда 10 точки.</w:t>
            </w:r>
          </w:p>
          <w:p w14:paraId="1C728B64" w14:textId="77777777" w:rsidR="00317274" w:rsidRPr="00317274" w:rsidRDefault="00317274" w:rsidP="00317274">
            <w:pPr>
              <w:spacing w:after="120"/>
              <w:jc w:val="both"/>
              <w:rPr>
                <w:i/>
                <w:sz w:val="24"/>
                <w:szCs w:val="24"/>
                <w:lang w:eastAsia="en-US"/>
              </w:rPr>
            </w:pPr>
            <w:r w:rsidRPr="00317274">
              <w:rPr>
                <w:i/>
                <w:sz w:val="24"/>
                <w:szCs w:val="24"/>
                <w:lang w:eastAsia="en-US"/>
              </w:rPr>
              <w:t>На проектни предложения, които са  изпълнили едно от посочените изисквания, оценителната комисия присъжда 5 точки.</w:t>
            </w:r>
          </w:p>
          <w:p w14:paraId="715A3A44" w14:textId="77777777" w:rsidR="00317274" w:rsidRPr="00317274" w:rsidRDefault="00317274" w:rsidP="00317274">
            <w:pPr>
              <w:spacing w:after="120"/>
              <w:jc w:val="both"/>
              <w:rPr>
                <w:i/>
                <w:sz w:val="24"/>
                <w:szCs w:val="24"/>
                <w:lang w:eastAsia="en-US"/>
              </w:rPr>
            </w:pPr>
            <w:r w:rsidRPr="00317274">
              <w:rPr>
                <w:i/>
                <w:sz w:val="24"/>
                <w:szCs w:val="24"/>
                <w:lang w:eastAsia="en-US"/>
              </w:rPr>
              <w:t>На проектни предложения, които НЕ са  изпълнили нито едно от посочените изисквания, оценителната комисия присъжда 0 точки.</w:t>
            </w:r>
          </w:p>
          <w:p w14:paraId="2D7A32B9" w14:textId="77777777" w:rsidR="00317274" w:rsidRPr="00317274" w:rsidRDefault="00317274" w:rsidP="00317274">
            <w:pPr>
              <w:spacing w:after="120"/>
              <w:jc w:val="both"/>
              <w:rPr>
                <w:i/>
                <w:sz w:val="24"/>
                <w:szCs w:val="24"/>
                <w:u w:val="single"/>
                <w:lang w:eastAsia="en-US"/>
              </w:rPr>
            </w:pPr>
            <w:r w:rsidRPr="00317274">
              <w:rPr>
                <w:i/>
                <w:sz w:val="24"/>
                <w:szCs w:val="24"/>
                <w:u w:val="single"/>
                <w:lang w:eastAsia="en-US"/>
              </w:rPr>
              <w:t>Забележка:</w:t>
            </w:r>
          </w:p>
          <w:p w14:paraId="43F8ABF6" w14:textId="77777777" w:rsidR="00317274" w:rsidRPr="00317274" w:rsidRDefault="00317274" w:rsidP="00317274">
            <w:pPr>
              <w:spacing w:after="120"/>
              <w:jc w:val="both"/>
              <w:rPr>
                <w:i/>
                <w:sz w:val="24"/>
                <w:szCs w:val="24"/>
                <w:lang w:eastAsia="en-US"/>
              </w:rPr>
            </w:pPr>
            <w:r w:rsidRPr="00317274">
              <w:rPr>
                <w:i/>
                <w:sz w:val="24"/>
                <w:szCs w:val="24"/>
                <w:lang w:eastAsia="en-US"/>
              </w:rPr>
              <w:t>Минималният праг за преминаване на проектното предложение към оценка по критерии от 2 до 8 е 5 точки.</w:t>
            </w:r>
          </w:p>
          <w:p w14:paraId="35E9E485" w14:textId="77777777" w:rsidR="00317274" w:rsidRPr="00317274" w:rsidRDefault="00317274" w:rsidP="00317274">
            <w:pPr>
              <w:spacing w:after="120"/>
              <w:jc w:val="both"/>
              <w:rPr>
                <w:i/>
                <w:sz w:val="24"/>
                <w:szCs w:val="24"/>
                <w:lang w:eastAsia="en-US"/>
              </w:rPr>
            </w:pPr>
            <w:r w:rsidRPr="00317274">
              <w:rPr>
                <w:i/>
                <w:sz w:val="24"/>
                <w:szCs w:val="24"/>
                <w:lang w:eastAsia="en-US"/>
              </w:rPr>
              <w:t>В случай че при оценка на критерий 1 проектно предложение не получи оценка най-малко 5 точки, проектното предложение се отхвърля от оценителната комисия, без да се извършва оценка по следващите критерии за ТФО.</w:t>
            </w:r>
          </w:p>
        </w:tc>
      </w:tr>
      <w:tr w:rsidR="00317274" w:rsidRPr="00317274" w14:paraId="3CBC9DE7" w14:textId="77777777" w:rsidTr="00FF32D8">
        <w:trPr>
          <w:trHeight w:val="792"/>
          <w:jc w:val="center"/>
        </w:trPr>
        <w:tc>
          <w:tcPr>
            <w:tcW w:w="805" w:type="dxa"/>
            <w:tcBorders>
              <w:top w:val="double" w:sz="6" w:space="0" w:color="0033CC"/>
              <w:bottom w:val="double" w:sz="6" w:space="0" w:color="0033CC"/>
            </w:tcBorders>
            <w:shd w:val="clear" w:color="auto" w:fill="ACB9CA" w:themeFill="text2" w:themeFillTint="66"/>
            <w:vAlign w:val="center"/>
          </w:tcPr>
          <w:p w14:paraId="6EA6DE9A"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lastRenderedPageBreak/>
              <w:t xml:space="preserve">2. </w:t>
            </w:r>
          </w:p>
        </w:tc>
        <w:tc>
          <w:tcPr>
            <w:tcW w:w="4055" w:type="dxa"/>
            <w:shd w:val="clear" w:color="auto" w:fill="ACB9CA" w:themeFill="text2" w:themeFillTint="66"/>
          </w:tcPr>
          <w:p w14:paraId="12B6A95E" w14:textId="77777777" w:rsidR="00317274" w:rsidRPr="00317274" w:rsidRDefault="00317274" w:rsidP="00317274">
            <w:pPr>
              <w:spacing w:after="120"/>
              <w:jc w:val="both"/>
              <w:rPr>
                <w:rFonts w:eastAsia="Times New Roman"/>
                <w:b/>
                <w:color w:val="000000"/>
                <w:sz w:val="24"/>
                <w:szCs w:val="24"/>
                <w:lang w:eastAsia="en-GB"/>
              </w:rPr>
            </w:pPr>
          </w:p>
          <w:p w14:paraId="048C3286" w14:textId="77777777" w:rsidR="00317274" w:rsidRPr="00317274" w:rsidRDefault="00317274" w:rsidP="00317274">
            <w:pPr>
              <w:spacing w:after="120"/>
              <w:jc w:val="both"/>
              <w:rPr>
                <w:rFonts w:eastAsia="Times New Roman"/>
                <w:b/>
                <w:color w:val="000000"/>
                <w:sz w:val="24"/>
                <w:szCs w:val="24"/>
                <w:lang w:val="en-US" w:eastAsia="en-GB"/>
              </w:rPr>
            </w:pPr>
            <w:r w:rsidRPr="00317274">
              <w:rPr>
                <w:rFonts w:eastAsia="Times New Roman"/>
                <w:b/>
                <w:color w:val="000000"/>
                <w:sz w:val="24"/>
                <w:szCs w:val="24"/>
                <w:lang w:eastAsia="en-GB"/>
              </w:rPr>
              <w:t>Фокус на проектните докторантури</w:t>
            </w:r>
          </w:p>
        </w:tc>
        <w:tc>
          <w:tcPr>
            <w:tcW w:w="1621" w:type="dxa"/>
            <w:shd w:val="clear" w:color="auto" w:fill="ACB9CA" w:themeFill="text2" w:themeFillTint="66"/>
          </w:tcPr>
          <w:p w14:paraId="117AFB13" w14:textId="77777777" w:rsidR="00317274" w:rsidRPr="00317274" w:rsidRDefault="00317274" w:rsidP="00317274">
            <w:pPr>
              <w:spacing w:after="120"/>
              <w:jc w:val="center"/>
              <w:rPr>
                <w:rFonts w:eastAsia="Times New Roman"/>
                <w:b/>
                <w:color w:val="000000"/>
                <w:sz w:val="24"/>
                <w:szCs w:val="24"/>
                <w:lang w:eastAsia="en-GB"/>
              </w:rPr>
            </w:pPr>
          </w:p>
          <w:p w14:paraId="35FECAD0" w14:textId="77777777" w:rsidR="00317274" w:rsidRPr="00317274" w:rsidRDefault="00317274" w:rsidP="00317274">
            <w:pPr>
              <w:spacing w:after="120"/>
              <w:jc w:val="center"/>
              <w:rPr>
                <w:rFonts w:eastAsia="Times New Roman"/>
                <w:b/>
                <w:color w:val="000000"/>
                <w:sz w:val="24"/>
                <w:szCs w:val="24"/>
                <w:lang w:val="en-GB" w:eastAsia="en-GB"/>
              </w:rPr>
            </w:pPr>
            <w:r w:rsidRPr="00317274">
              <w:rPr>
                <w:rFonts w:eastAsia="Times New Roman"/>
                <w:b/>
                <w:color w:val="000000"/>
                <w:sz w:val="24"/>
                <w:szCs w:val="24"/>
                <w:lang w:val="en-GB" w:eastAsia="en-GB"/>
              </w:rPr>
              <w:t>15</w:t>
            </w:r>
          </w:p>
        </w:tc>
        <w:tc>
          <w:tcPr>
            <w:tcW w:w="3922" w:type="dxa"/>
            <w:tcBorders>
              <w:top w:val="double" w:sz="6" w:space="0" w:color="0033CC"/>
              <w:bottom w:val="double" w:sz="6" w:space="0" w:color="0033CC"/>
            </w:tcBorders>
            <w:shd w:val="clear" w:color="auto" w:fill="ACB9CA" w:themeFill="text2" w:themeFillTint="66"/>
            <w:vAlign w:val="center"/>
          </w:tcPr>
          <w:p w14:paraId="0AB76F46" w14:textId="77777777" w:rsidR="00317274" w:rsidRPr="00317274" w:rsidRDefault="00317274" w:rsidP="00317274">
            <w:pPr>
              <w:spacing w:after="120"/>
              <w:jc w:val="both"/>
              <w:rPr>
                <w:i/>
                <w:sz w:val="24"/>
                <w:szCs w:val="24"/>
                <w:lang w:eastAsia="en-US"/>
              </w:rPr>
            </w:pPr>
            <w:r w:rsidRPr="00317274">
              <w:rPr>
                <w:i/>
                <w:sz w:val="24"/>
                <w:szCs w:val="24"/>
                <w:lang w:eastAsia="en-US"/>
              </w:rPr>
              <w:t>Формуляр за кандидатстване, секция „План за изпълнение/Дейности по проекта“; секция „Допълнителна информация, необходима за оценка на проектното предложение“.</w:t>
            </w:r>
          </w:p>
          <w:p w14:paraId="3A347E83" w14:textId="77777777" w:rsidR="00317274" w:rsidRPr="00317274" w:rsidRDefault="00317274" w:rsidP="00317274">
            <w:pPr>
              <w:spacing w:after="120"/>
              <w:jc w:val="both"/>
              <w:rPr>
                <w:i/>
                <w:sz w:val="24"/>
                <w:szCs w:val="24"/>
                <w:lang w:eastAsia="en-US"/>
              </w:rPr>
            </w:pPr>
            <w:r w:rsidRPr="00317274">
              <w:rPr>
                <w:i/>
                <w:sz w:val="24"/>
                <w:szCs w:val="24"/>
                <w:lang w:eastAsia="en-US"/>
              </w:rPr>
              <w:t>Забележка:</w:t>
            </w:r>
          </w:p>
          <w:p w14:paraId="0AE63645" w14:textId="77777777" w:rsidR="00317274" w:rsidRPr="00317274" w:rsidRDefault="00317274" w:rsidP="00317274">
            <w:pPr>
              <w:spacing w:after="120"/>
              <w:jc w:val="both"/>
              <w:rPr>
                <w:i/>
                <w:sz w:val="24"/>
                <w:szCs w:val="24"/>
                <w:lang w:eastAsia="en-US"/>
              </w:rPr>
            </w:pPr>
            <w:r w:rsidRPr="00317274">
              <w:rPr>
                <w:i/>
                <w:sz w:val="24"/>
                <w:szCs w:val="24"/>
                <w:lang w:eastAsia="en-US"/>
              </w:rPr>
              <w:t>За целите на оценката изчисленията се закръгляват до втория знак след десетичната запетая.</w:t>
            </w:r>
          </w:p>
        </w:tc>
      </w:tr>
      <w:tr w:rsidR="00317274" w:rsidRPr="00317274" w14:paraId="548AF4F9"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2B028089"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2.1.</w:t>
            </w:r>
          </w:p>
        </w:tc>
        <w:tc>
          <w:tcPr>
            <w:tcW w:w="4055" w:type="dxa"/>
          </w:tcPr>
          <w:p w14:paraId="1A09C48A"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b/>
                <w:bCs/>
                <w:color w:val="000000"/>
                <w:sz w:val="24"/>
                <w:szCs w:val="24"/>
                <w:lang w:eastAsia="en-GB"/>
              </w:rPr>
              <w:t>Връзка на проектните предложения с ИСИС</w:t>
            </w:r>
          </w:p>
        </w:tc>
        <w:tc>
          <w:tcPr>
            <w:tcW w:w="1621" w:type="dxa"/>
          </w:tcPr>
          <w:p w14:paraId="03C5A187" w14:textId="77777777" w:rsidR="00317274" w:rsidRPr="00317274" w:rsidRDefault="00317274" w:rsidP="00317274">
            <w:pPr>
              <w:spacing w:after="120"/>
              <w:jc w:val="center"/>
              <w:rPr>
                <w:rFonts w:eastAsia="Times New Roman"/>
                <w:b/>
                <w:bCs/>
                <w:color w:val="000000"/>
                <w:sz w:val="24"/>
                <w:szCs w:val="24"/>
                <w:lang w:val="en-GB" w:eastAsia="en-GB"/>
              </w:rPr>
            </w:pPr>
            <w:r w:rsidRPr="00317274">
              <w:rPr>
                <w:rFonts w:eastAsia="Times New Roman"/>
                <w:b/>
                <w:bCs/>
                <w:color w:val="000000"/>
                <w:sz w:val="24"/>
                <w:szCs w:val="24"/>
                <w:lang w:val="en-GB" w:eastAsia="en-GB"/>
              </w:rPr>
              <w:t>5</w:t>
            </w:r>
          </w:p>
        </w:tc>
        <w:tc>
          <w:tcPr>
            <w:tcW w:w="3922" w:type="dxa"/>
            <w:tcBorders>
              <w:top w:val="double" w:sz="6" w:space="0" w:color="0033CC"/>
              <w:bottom w:val="double" w:sz="6" w:space="0" w:color="0033CC"/>
            </w:tcBorders>
            <w:shd w:val="clear" w:color="auto" w:fill="FFFFFF"/>
            <w:vAlign w:val="center"/>
          </w:tcPr>
          <w:p w14:paraId="4FD25EC8" w14:textId="77777777" w:rsidR="00317274" w:rsidRPr="00317274" w:rsidRDefault="00317274" w:rsidP="00317274">
            <w:pPr>
              <w:spacing w:after="120"/>
              <w:jc w:val="both"/>
              <w:rPr>
                <w:i/>
                <w:sz w:val="24"/>
                <w:szCs w:val="24"/>
                <w:lang w:eastAsia="en-US"/>
              </w:rPr>
            </w:pPr>
          </w:p>
        </w:tc>
      </w:tr>
      <w:tr w:rsidR="00317274" w:rsidRPr="00317274" w14:paraId="679CB1A0"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71E4D7E2"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733AFABA"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 xml:space="preserve">Между 80%  и 100% от броя на планираните в проектното предложение докторанти в редовна форма на обучение са по акредитирани докторски програми, пряко насочени към приоритетни тематични области на ИСИС </w:t>
            </w:r>
          </w:p>
        </w:tc>
        <w:tc>
          <w:tcPr>
            <w:tcW w:w="1621" w:type="dxa"/>
          </w:tcPr>
          <w:p w14:paraId="38B194B4" w14:textId="77777777" w:rsidR="00317274" w:rsidRPr="00317274" w:rsidRDefault="00317274" w:rsidP="00317274">
            <w:pPr>
              <w:spacing w:after="120"/>
              <w:jc w:val="center"/>
              <w:rPr>
                <w:rFonts w:eastAsia="Times New Roman"/>
                <w:color w:val="000000"/>
                <w:sz w:val="24"/>
                <w:szCs w:val="24"/>
                <w:lang w:val="en-GB" w:eastAsia="en-GB"/>
              </w:rPr>
            </w:pPr>
            <w:r w:rsidRPr="00317274">
              <w:rPr>
                <w:rFonts w:eastAsia="Times New Roman"/>
                <w:color w:val="000000"/>
                <w:sz w:val="24"/>
                <w:szCs w:val="24"/>
                <w:lang w:val="en-GB" w:eastAsia="en-GB"/>
              </w:rPr>
              <w:t>5</w:t>
            </w:r>
          </w:p>
        </w:tc>
        <w:tc>
          <w:tcPr>
            <w:tcW w:w="3922" w:type="dxa"/>
            <w:tcBorders>
              <w:top w:val="double" w:sz="6" w:space="0" w:color="0033CC"/>
              <w:bottom w:val="double" w:sz="6" w:space="0" w:color="0033CC"/>
            </w:tcBorders>
            <w:shd w:val="clear" w:color="auto" w:fill="FFFFFF"/>
            <w:vAlign w:val="center"/>
          </w:tcPr>
          <w:p w14:paraId="0FA27CDC" w14:textId="77777777" w:rsidR="00317274" w:rsidRPr="00317274" w:rsidRDefault="00317274" w:rsidP="00317274">
            <w:pPr>
              <w:spacing w:after="120"/>
              <w:jc w:val="both"/>
              <w:rPr>
                <w:i/>
                <w:sz w:val="24"/>
                <w:szCs w:val="24"/>
                <w:lang w:eastAsia="en-US"/>
              </w:rPr>
            </w:pPr>
          </w:p>
        </w:tc>
      </w:tr>
      <w:tr w:rsidR="00317274" w:rsidRPr="00317274" w14:paraId="286BC2C0"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01573FB0"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0B330062"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Между 60% и 79,99% от броя на планираните в проектното предложение докторанти в редовна форма на обучение са по акредитирани докторски програми, пряко насочени към приоритетни тематични области на ИСИС</w:t>
            </w:r>
          </w:p>
        </w:tc>
        <w:tc>
          <w:tcPr>
            <w:tcW w:w="1621" w:type="dxa"/>
          </w:tcPr>
          <w:p w14:paraId="3EA260FB" w14:textId="77777777" w:rsidR="00317274" w:rsidRPr="00317274" w:rsidRDefault="00317274" w:rsidP="00317274">
            <w:pPr>
              <w:spacing w:after="120"/>
              <w:jc w:val="center"/>
              <w:rPr>
                <w:rFonts w:eastAsia="Times New Roman"/>
                <w:color w:val="000000"/>
                <w:sz w:val="24"/>
                <w:szCs w:val="24"/>
                <w:lang w:val="en-GB" w:eastAsia="en-GB"/>
              </w:rPr>
            </w:pPr>
            <w:r w:rsidRPr="00317274">
              <w:rPr>
                <w:rFonts w:eastAsia="Times New Roman"/>
                <w:color w:val="000000"/>
                <w:sz w:val="24"/>
                <w:szCs w:val="24"/>
                <w:lang w:val="en-GB" w:eastAsia="en-GB"/>
              </w:rPr>
              <w:t>4</w:t>
            </w:r>
          </w:p>
        </w:tc>
        <w:tc>
          <w:tcPr>
            <w:tcW w:w="3922" w:type="dxa"/>
            <w:tcBorders>
              <w:top w:val="double" w:sz="6" w:space="0" w:color="0033CC"/>
              <w:bottom w:val="double" w:sz="6" w:space="0" w:color="0033CC"/>
            </w:tcBorders>
            <w:shd w:val="clear" w:color="auto" w:fill="FFFFFF"/>
            <w:vAlign w:val="center"/>
          </w:tcPr>
          <w:p w14:paraId="766F570F" w14:textId="77777777" w:rsidR="00317274" w:rsidRPr="00317274" w:rsidRDefault="00317274" w:rsidP="00317274">
            <w:pPr>
              <w:spacing w:after="120"/>
              <w:jc w:val="both"/>
              <w:rPr>
                <w:i/>
                <w:sz w:val="24"/>
                <w:szCs w:val="24"/>
                <w:lang w:eastAsia="en-US"/>
              </w:rPr>
            </w:pPr>
          </w:p>
        </w:tc>
      </w:tr>
      <w:tr w:rsidR="00317274" w:rsidRPr="00317274" w14:paraId="4ADCA675"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491B1398"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2ECB91E0"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Между 40% и 59,99% от броя на планираните в проектното предложение докторанти</w:t>
            </w:r>
            <w:r w:rsidRPr="00317274">
              <w:rPr>
                <w:rFonts w:eastAsia="Times New Roman"/>
              </w:rPr>
              <w:t xml:space="preserve"> </w:t>
            </w:r>
            <w:r w:rsidRPr="00317274">
              <w:rPr>
                <w:rFonts w:eastAsia="Times New Roman"/>
                <w:color w:val="000000"/>
                <w:sz w:val="24"/>
                <w:szCs w:val="24"/>
                <w:lang w:eastAsia="en-GB"/>
              </w:rPr>
              <w:t xml:space="preserve">в редовна форма на обучение са по акредитирани докторски програми, пряко насочени към приоритетни тематични области на ИСИС </w:t>
            </w:r>
          </w:p>
        </w:tc>
        <w:tc>
          <w:tcPr>
            <w:tcW w:w="1621" w:type="dxa"/>
          </w:tcPr>
          <w:p w14:paraId="52A8082E" w14:textId="77777777" w:rsidR="00317274" w:rsidRPr="00317274" w:rsidRDefault="00317274" w:rsidP="00317274">
            <w:pPr>
              <w:spacing w:after="120"/>
              <w:jc w:val="center"/>
              <w:rPr>
                <w:rFonts w:eastAsia="Times New Roman"/>
                <w:color w:val="000000"/>
                <w:sz w:val="24"/>
                <w:szCs w:val="24"/>
                <w:lang w:val="en-GB" w:eastAsia="en-GB"/>
              </w:rPr>
            </w:pPr>
            <w:r w:rsidRPr="00317274">
              <w:rPr>
                <w:rFonts w:eastAsia="Times New Roman"/>
                <w:color w:val="000000"/>
                <w:sz w:val="24"/>
                <w:szCs w:val="24"/>
                <w:lang w:val="en-GB" w:eastAsia="en-GB"/>
              </w:rPr>
              <w:t>3</w:t>
            </w:r>
          </w:p>
        </w:tc>
        <w:tc>
          <w:tcPr>
            <w:tcW w:w="3922" w:type="dxa"/>
            <w:tcBorders>
              <w:top w:val="double" w:sz="6" w:space="0" w:color="0033CC"/>
              <w:bottom w:val="double" w:sz="6" w:space="0" w:color="0033CC"/>
            </w:tcBorders>
            <w:shd w:val="clear" w:color="auto" w:fill="FFFFFF"/>
            <w:vAlign w:val="center"/>
          </w:tcPr>
          <w:p w14:paraId="134EA355" w14:textId="77777777" w:rsidR="00317274" w:rsidRPr="00317274" w:rsidRDefault="00317274" w:rsidP="00317274">
            <w:pPr>
              <w:spacing w:after="120"/>
              <w:jc w:val="both"/>
              <w:rPr>
                <w:i/>
                <w:sz w:val="24"/>
                <w:szCs w:val="24"/>
                <w:lang w:eastAsia="en-US"/>
              </w:rPr>
            </w:pPr>
          </w:p>
        </w:tc>
      </w:tr>
      <w:tr w:rsidR="00317274" w:rsidRPr="00317274" w14:paraId="2C989560"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0DEAA149"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7D3A2BA2"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Между 20% и 39,99% от броя на планираните в проектното предложение докторанти</w:t>
            </w:r>
            <w:r w:rsidRPr="00317274">
              <w:rPr>
                <w:rFonts w:eastAsia="Times New Roman"/>
              </w:rPr>
              <w:t xml:space="preserve"> </w:t>
            </w:r>
            <w:r w:rsidRPr="00317274">
              <w:rPr>
                <w:rFonts w:eastAsia="Times New Roman"/>
                <w:color w:val="000000"/>
                <w:sz w:val="24"/>
                <w:szCs w:val="24"/>
                <w:lang w:eastAsia="en-GB"/>
              </w:rPr>
              <w:t xml:space="preserve">в редовна форма на обучение са по акредитирани докторски програми, пряко насочени към приоритетни тематични области на ИСИС </w:t>
            </w:r>
          </w:p>
        </w:tc>
        <w:tc>
          <w:tcPr>
            <w:tcW w:w="1621" w:type="dxa"/>
          </w:tcPr>
          <w:p w14:paraId="3BA8D5F2" w14:textId="77777777" w:rsidR="00317274" w:rsidRPr="00317274" w:rsidRDefault="00317274" w:rsidP="00317274">
            <w:pPr>
              <w:spacing w:after="120"/>
              <w:jc w:val="center"/>
              <w:rPr>
                <w:rFonts w:eastAsia="Times New Roman"/>
                <w:color w:val="000000"/>
                <w:sz w:val="24"/>
                <w:szCs w:val="24"/>
                <w:lang w:val="en-GB" w:eastAsia="en-GB"/>
              </w:rPr>
            </w:pPr>
            <w:r w:rsidRPr="00317274">
              <w:rPr>
                <w:rFonts w:eastAsia="Times New Roman"/>
                <w:color w:val="000000"/>
                <w:sz w:val="24"/>
                <w:szCs w:val="24"/>
                <w:lang w:val="en-GB" w:eastAsia="en-GB"/>
              </w:rPr>
              <w:t>2</w:t>
            </w:r>
          </w:p>
        </w:tc>
        <w:tc>
          <w:tcPr>
            <w:tcW w:w="3922" w:type="dxa"/>
            <w:tcBorders>
              <w:top w:val="double" w:sz="6" w:space="0" w:color="0033CC"/>
              <w:bottom w:val="double" w:sz="6" w:space="0" w:color="0033CC"/>
            </w:tcBorders>
            <w:shd w:val="clear" w:color="auto" w:fill="FFFFFF"/>
            <w:vAlign w:val="center"/>
          </w:tcPr>
          <w:p w14:paraId="57247490" w14:textId="77777777" w:rsidR="00317274" w:rsidRPr="00317274" w:rsidRDefault="00317274" w:rsidP="00317274">
            <w:pPr>
              <w:spacing w:after="120"/>
              <w:jc w:val="both"/>
              <w:rPr>
                <w:i/>
                <w:sz w:val="24"/>
                <w:szCs w:val="24"/>
                <w:lang w:eastAsia="en-US"/>
              </w:rPr>
            </w:pPr>
          </w:p>
        </w:tc>
      </w:tr>
      <w:tr w:rsidR="00317274" w:rsidRPr="00317274" w14:paraId="189F2417"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74A74E47"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5172E1CB"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Между 0% и 19,99% от броя на планираните в проектното предложение докторанти</w:t>
            </w:r>
            <w:r w:rsidRPr="00317274">
              <w:rPr>
                <w:rFonts w:eastAsia="Times New Roman"/>
              </w:rPr>
              <w:t xml:space="preserve"> </w:t>
            </w:r>
            <w:r w:rsidRPr="00317274">
              <w:rPr>
                <w:rFonts w:eastAsia="Times New Roman"/>
                <w:color w:val="000000"/>
                <w:sz w:val="24"/>
                <w:szCs w:val="24"/>
                <w:lang w:eastAsia="en-GB"/>
              </w:rPr>
              <w:t xml:space="preserve">в редовна форма на обучение са по акредитирани докторски програми, </w:t>
            </w:r>
            <w:r w:rsidRPr="00317274">
              <w:rPr>
                <w:rFonts w:eastAsia="Times New Roman"/>
                <w:color w:val="000000"/>
                <w:sz w:val="24"/>
                <w:szCs w:val="24"/>
                <w:lang w:eastAsia="en-GB"/>
              </w:rPr>
              <w:lastRenderedPageBreak/>
              <w:t xml:space="preserve">пряко насочени към приоритетни тематични области на ИСИС </w:t>
            </w:r>
          </w:p>
        </w:tc>
        <w:tc>
          <w:tcPr>
            <w:tcW w:w="1621" w:type="dxa"/>
          </w:tcPr>
          <w:p w14:paraId="3F4D0715"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lastRenderedPageBreak/>
              <w:t>1</w:t>
            </w:r>
          </w:p>
        </w:tc>
        <w:tc>
          <w:tcPr>
            <w:tcW w:w="3922" w:type="dxa"/>
            <w:tcBorders>
              <w:top w:val="double" w:sz="6" w:space="0" w:color="0033CC"/>
              <w:bottom w:val="double" w:sz="6" w:space="0" w:color="0033CC"/>
            </w:tcBorders>
            <w:shd w:val="clear" w:color="auto" w:fill="FFFFFF"/>
            <w:vAlign w:val="center"/>
          </w:tcPr>
          <w:p w14:paraId="09157E68" w14:textId="77777777" w:rsidR="00317274" w:rsidRPr="00317274" w:rsidRDefault="00317274" w:rsidP="00317274">
            <w:pPr>
              <w:spacing w:after="120"/>
              <w:jc w:val="both"/>
              <w:rPr>
                <w:i/>
                <w:sz w:val="24"/>
                <w:szCs w:val="24"/>
                <w:lang w:eastAsia="en-US"/>
              </w:rPr>
            </w:pPr>
          </w:p>
        </w:tc>
      </w:tr>
      <w:tr w:rsidR="00317274" w:rsidRPr="00317274" w14:paraId="37BA3519"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2C3844B3"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2.2.</w:t>
            </w:r>
          </w:p>
        </w:tc>
        <w:tc>
          <w:tcPr>
            <w:tcW w:w="4055" w:type="dxa"/>
          </w:tcPr>
          <w:p w14:paraId="05B03F4D"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b/>
                <w:bCs/>
                <w:color w:val="000000"/>
                <w:sz w:val="24"/>
                <w:szCs w:val="24"/>
                <w:lang w:eastAsia="en-GB"/>
              </w:rPr>
              <w:t>Връзка на проектните предложения с Индустрия 5.0 и/или зеления преход и/или син растеж</w:t>
            </w:r>
          </w:p>
        </w:tc>
        <w:tc>
          <w:tcPr>
            <w:tcW w:w="1621" w:type="dxa"/>
          </w:tcPr>
          <w:p w14:paraId="55793042" w14:textId="77777777" w:rsidR="00317274" w:rsidRPr="00317274" w:rsidRDefault="00317274" w:rsidP="00317274">
            <w:pPr>
              <w:spacing w:after="120"/>
              <w:jc w:val="center"/>
              <w:rPr>
                <w:rFonts w:eastAsia="Times New Roman"/>
                <w:b/>
                <w:bCs/>
                <w:color w:val="000000"/>
                <w:sz w:val="24"/>
                <w:szCs w:val="24"/>
                <w:lang w:eastAsia="en-GB"/>
              </w:rPr>
            </w:pPr>
            <w:r w:rsidRPr="00317274">
              <w:rPr>
                <w:rFonts w:eastAsia="Times New Roman"/>
                <w:b/>
                <w:bCs/>
                <w:color w:val="000000"/>
                <w:sz w:val="24"/>
                <w:szCs w:val="24"/>
                <w:lang w:eastAsia="en-GB"/>
              </w:rPr>
              <w:t>5</w:t>
            </w:r>
          </w:p>
        </w:tc>
        <w:tc>
          <w:tcPr>
            <w:tcW w:w="3922" w:type="dxa"/>
            <w:tcBorders>
              <w:top w:val="double" w:sz="6" w:space="0" w:color="0033CC"/>
              <w:bottom w:val="double" w:sz="6" w:space="0" w:color="0033CC"/>
            </w:tcBorders>
            <w:shd w:val="clear" w:color="auto" w:fill="FFFFFF"/>
            <w:vAlign w:val="center"/>
          </w:tcPr>
          <w:p w14:paraId="253D322A" w14:textId="77777777" w:rsidR="00317274" w:rsidRPr="00317274" w:rsidRDefault="00317274" w:rsidP="00317274">
            <w:pPr>
              <w:spacing w:after="120"/>
              <w:jc w:val="both"/>
              <w:rPr>
                <w:i/>
                <w:sz w:val="24"/>
                <w:szCs w:val="24"/>
                <w:lang w:eastAsia="en-US"/>
              </w:rPr>
            </w:pPr>
          </w:p>
        </w:tc>
      </w:tr>
      <w:tr w:rsidR="00317274" w:rsidRPr="00317274" w14:paraId="1CDBAE66"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7D93D0A0"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2AB79472"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80%  и 100% от броя на планираните в проектното предложение докторанти</w:t>
            </w:r>
            <w:r w:rsidRPr="00317274">
              <w:rPr>
                <w:rFonts w:eastAsia="Times New Roman"/>
              </w:rPr>
              <w:t xml:space="preserve"> </w:t>
            </w:r>
            <w:r w:rsidRPr="00317274">
              <w:rPr>
                <w:rFonts w:eastAsia="Times New Roman"/>
                <w:color w:val="000000"/>
                <w:sz w:val="24"/>
                <w:szCs w:val="24"/>
                <w:lang w:eastAsia="en-GB"/>
              </w:rPr>
              <w:t>в редовна форма на обучение са по акредитирани докторски програми, пряко насочени към Индустрия 5.0 и/или зеления преход и/или син растеж</w:t>
            </w:r>
          </w:p>
        </w:tc>
        <w:tc>
          <w:tcPr>
            <w:tcW w:w="1621" w:type="dxa"/>
          </w:tcPr>
          <w:p w14:paraId="5FC698E0"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5</w:t>
            </w:r>
          </w:p>
        </w:tc>
        <w:tc>
          <w:tcPr>
            <w:tcW w:w="3922" w:type="dxa"/>
            <w:tcBorders>
              <w:top w:val="double" w:sz="6" w:space="0" w:color="0033CC"/>
              <w:bottom w:val="double" w:sz="6" w:space="0" w:color="0033CC"/>
            </w:tcBorders>
            <w:shd w:val="clear" w:color="auto" w:fill="FFFFFF"/>
            <w:vAlign w:val="center"/>
          </w:tcPr>
          <w:p w14:paraId="60E3C3CE" w14:textId="77777777" w:rsidR="00317274" w:rsidRPr="00317274" w:rsidRDefault="00317274" w:rsidP="00317274">
            <w:pPr>
              <w:spacing w:after="120"/>
              <w:jc w:val="both"/>
              <w:rPr>
                <w:i/>
                <w:sz w:val="24"/>
                <w:szCs w:val="24"/>
                <w:lang w:eastAsia="en-US"/>
              </w:rPr>
            </w:pPr>
          </w:p>
        </w:tc>
      </w:tr>
      <w:tr w:rsidR="00317274" w:rsidRPr="00317274" w14:paraId="5A802BCE"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32BE3C7F"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4723ABE1"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60% и 79,99% от броя на планираните в проектното предложение докторанти в редовна форма на обучение са по акредитирани докторски програми, пряко насочени към Индустрия 5.0 и/или зеления преход и/или син растеж</w:t>
            </w:r>
          </w:p>
        </w:tc>
        <w:tc>
          <w:tcPr>
            <w:tcW w:w="1621" w:type="dxa"/>
          </w:tcPr>
          <w:p w14:paraId="3E85A51D"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4</w:t>
            </w:r>
          </w:p>
        </w:tc>
        <w:tc>
          <w:tcPr>
            <w:tcW w:w="3922" w:type="dxa"/>
            <w:tcBorders>
              <w:top w:val="double" w:sz="6" w:space="0" w:color="0033CC"/>
              <w:bottom w:val="double" w:sz="6" w:space="0" w:color="0033CC"/>
            </w:tcBorders>
            <w:shd w:val="clear" w:color="auto" w:fill="FFFFFF"/>
            <w:vAlign w:val="center"/>
          </w:tcPr>
          <w:p w14:paraId="281C233A" w14:textId="77777777" w:rsidR="00317274" w:rsidRPr="00317274" w:rsidRDefault="00317274" w:rsidP="00317274">
            <w:pPr>
              <w:spacing w:after="120"/>
              <w:jc w:val="both"/>
              <w:rPr>
                <w:i/>
                <w:sz w:val="24"/>
                <w:szCs w:val="24"/>
                <w:lang w:eastAsia="en-US"/>
              </w:rPr>
            </w:pPr>
          </w:p>
        </w:tc>
      </w:tr>
      <w:tr w:rsidR="00317274" w:rsidRPr="00317274" w14:paraId="6179749B"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021D5F79"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3BE44C12"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40% и 59,99% от броя на планираните в проектното предложение докторанти</w:t>
            </w:r>
            <w:r w:rsidRPr="00317274">
              <w:rPr>
                <w:rFonts w:eastAsia="Times New Roman"/>
              </w:rPr>
              <w:t xml:space="preserve"> </w:t>
            </w:r>
            <w:r w:rsidRPr="00317274">
              <w:rPr>
                <w:rFonts w:eastAsia="Times New Roman"/>
                <w:color w:val="000000"/>
                <w:sz w:val="24"/>
                <w:szCs w:val="24"/>
                <w:lang w:eastAsia="en-GB"/>
              </w:rPr>
              <w:t>в редовна форма на обучение са по акредитирани докторски програми,</w:t>
            </w:r>
            <w:r w:rsidRPr="00317274">
              <w:rPr>
                <w:rFonts w:eastAsia="Times New Roman"/>
              </w:rPr>
              <w:t xml:space="preserve"> </w:t>
            </w:r>
            <w:r w:rsidRPr="00317274">
              <w:rPr>
                <w:rFonts w:eastAsia="Times New Roman"/>
                <w:color w:val="000000"/>
                <w:sz w:val="24"/>
                <w:szCs w:val="24"/>
                <w:lang w:eastAsia="en-GB"/>
              </w:rPr>
              <w:t>пряко насочени към Индустрия 5.0 и/или зеления преход и/или син растеж</w:t>
            </w:r>
          </w:p>
        </w:tc>
        <w:tc>
          <w:tcPr>
            <w:tcW w:w="1621" w:type="dxa"/>
          </w:tcPr>
          <w:p w14:paraId="40472156"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3</w:t>
            </w:r>
          </w:p>
        </w:tc>
        <w:tc>
          <w:tcPr>
            <w:tcW w:w="3922" w:type="dxa"/>
            <w:tcBorders>
              <w:top w:val="double" w:sz="6" w:space="0" w:color="0033CC"/>
              <w:bottom w:val="double" w:sz="6" w:space="0" w:color="0033CC"/>
            </w:tcBorders>
            <w:shd w:val="clear" w:color="auto" w:fill="FFFFFF"/>
            <w:vAlign w:val="center"/>
          </w:tcPr>
          <w:p w14:paraId="03D6C613" w14:textId="77777777" w:rsidR="00317274" w:rsidRPr="00317274" w:rsidRDefault="00317274" w:rsidP="00317274">
            <w:pPr>
              <w:spacing w:after="120"/>
              <w:jc w:val="both"/>
              <w:rPr>
                <w:i/>
                <w:sz w:val="24"/>
                <w:szCs w:val="24"/>
                <w:lang w:eastAsia="en-US"/>
              </w:rPr>
            </w:pPr>
          </w:p>
        </w:tc>
      </w:tr>
      <w:tr w:rsidR="00317274" w:rsidRPr="00317274" w14:paraId="58DD5D02"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0B7B56DF"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15C06675"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20% и 39,99% от броя на планираните в проектното предложение докторанти в редовна форма на обучение са по акредитирани докторски програми, пряко насочени към Индустрия 5.0 и/или зеления преход и/или син растеж</w:t>
            </w:r>
          </w:p>
        </w:tc>
        <w:tc>
          <w:tcPr>
            <w:tcW w:w="1621" w:type="dxa"/>
          </w:tcPr>
          <w:p w14:paraId="112747E3"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2</w:t>
            </w:r>
          </w:p>
        </w:tc>
        <w:tc>
          <w:tcPr>
            <w:tcW w:w="3922" w:type="dxa"/>
            <w:tcBorders>
              <w:top w:val="double" w:sz="6" w:space="0" w:color="0033CC"/>
              <w:bottom w:val="double" w:sz="6" w:space="0" w:color="0033CC"/>
            </w:tcBorders>
            <w:shd w:val="clear" w:color="auto" w:fill="FFFFFF"/>
            <w:vAlign w:val="center"/>
          </w:tcPr>
          <w:p w14:paraId="2AFD777A" w14:textId="77777777" w:rsidR="00317274" w:rsidRPr="00317274" w:rsidRDefault="00317274" w:rsidP="00317274">
            <w:pPr>
              <w:spacing w:after="120"/>
              <w:jc w:val="both"/>
              <w:rPr>
                <w:i/>
                <w:sz w:val="24"/>
                <w:szCs w:val="24"/>
                <w:lang w:eastAsia="en-US"/>
              </w:rPr>
            </w:pPr>
          </w:p>
        </w:tc>
      </w:tr>
      <w:tr w:rsidR="00317274" w:rsidRPr="00317274" w14:paraId="5CCC89E4"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3F45FFD3"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7B742348"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0% и 19,99% от броя на планираните в проектното предложение докторанти</w:t>
            </w:r>
            <w:r w:rsidRPr="00317274">
              <w:rPr>
                <w:rFonts w:eastAsia="Times New Roman"/>
              </w:rPr>
              <w:t xml:space="preserve"> </w:t>
            </w:r>
            <w:r w:rsidRPr="00317274">
              <w:rPr>
                <w:rFonts w:eastAsia="Times New Roman"/>
                <w:color w:val="000000"/>
                <w:sz w:val="24"/>
                <w:szCs w:val="24"/>
                <w:lang w:eastAsia="en-GB"/>
              </w:rPr>
              <w:t>в редовна форма на обучение са по акредитирани докторски програми, пряко насочени към Индустрия 5.0 и/или зеления преход и/или син растеж</w:t>
            </w:r>
          </w:p>
        </w:tc>
        <w:tc>
          <w:tcPr>
            <w:tcW w:w="1621" w:type="dxa"/>
          </w:tcPr>
          <w:p w14:paraId="317A74FF"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1</w:t>
            </w:r>
          </w:p>
        </w:tc>
        <w:tc>
          <w:tcPr>
            <w:tcW w:w="3922" w:type="dxa"/>
            <w:tcBorders>
              <w:top w:val="double" w:sz="6" w:space="0" w:color="0033CC"/>
              <w:bottom w:val="double" w:sz="6" w:space="0" w:color="0033CC"/>
            </w:tcBorders>
            <w:shd w:val="clear" w:color="auto" w:fill="FFFFFF"/>
            <w:vAlign w:val="center"/>
          </w:tcPr>
          <w:p w14:paraId="41E72D95" w14:textId="77777777" w:rsidR="00317274" w:rsidRPr="00317274" w:rsidRDefault="00317274" w:rsidP="00317274">
            <w:pPr>
              <w:spacing w:after="120"/>
              <w:jc w:val="both"/>
              <w:rPr>
                <w:i/>
                <w:sz w:val="24"/>
                <w:szCs w:val="24"/>
                <w:lang w:eastAsia="en-US"/>
              </w:rPr>
            </w:pPr>
          </w:p>
        </w:tc>
      </w:tr>
      <w:tr w:rsidR="00317274" w:rsidRPr="00317274" w14:paraId="35F739F3"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2DD2C4B9"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lastRenderedPageBreak/>
              <w:t>2.3.</w:t>
            </w:r>
          </w:p>
        </w:tc>
        <w:tc>
          <w:tcPr>
            <w:tcW w:w="4055" w:type="dxa"/>
          </w:tcPr>
          <w:p w14:paraId="09D1BF55"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b/>
                <w:bCs/>
                <w:color w:val="000000"/>
                <w:sz w:val="24"/>
                <w:szCs w:val="24"/>
                <w:lang w:eastAsia="en-GB"/>
              </w:rPr>
              <w:t>Връзка на проектните предложения с приоритетни професионални направления</w:t>
            </w:r>
            <w:r w:rsidRPr="00317274">
              <w:rPr>
                <w:rFonts w:eastAsia="Times New Roman"/>
                <w:b/>
                <w:bCs/>
                <w:color w:val="000000"/>
                <w:sz w:val="24"/>
                <w:szCs w:val="24"/>
                <w:vertAlign w:val="superscript"/>
                <w:lang w:eastAsia="en-GB"/>
              </w:rPr>
              <w:footnoteReference w:id="1"/>
            </w:r>
            <w:r w:rsidRPr="00317274">
              <w:rPr>
                <w:rFonts w:eastAsia="Times New Roman"/>
                <w:b/>
                <w:bCs/>
                <w:color w:val="000000"/>
                <w:sz w:val="24"/>
                <w:szCs w:val="24"/>
                <w:lang w:eastAsia="en-GB"/>
              </w:rPr>
              <w:t xml:space="preserve"> и Националната карта на висшето образование на Република България</w:t>
            </w:r>
            <w:r w:rsidRPr="00317274">
              <w:rPr>
                <w:rFonts w:eastAsia="Times New Roman"/>
                <w:b/>
                <w:bCs/>
                <w:color w:val="000000"/>
                <w:sz w:val="24"/>
                <w:szCs w:val="24"/>
                <w:vertAlign w:val="superscript"/>
                <w:lang w:eastAsia="en-GB"/>
              </w:rPr>
              <w:footnoteReference w:id="2"/>
            </w:r>
            <w:r w:rsidRPr="00317274">
              <w:rPr>
                <w:rFonts w:eastAsia="Times New Roman"/>
                <w:b/>
                <w:bCs/>
                <w:color w:val="000000"/>
                <w:sz w:val="24"/>
                <w:szCs w:val="24"/>
                <w:lang w:eastAsia="en-GB"/>
              </w:rPr>
              <w:t xml:space="preserve"> </w:t>
            </w:r>
          </w:p>
        </w:tc>
        <w:tc>
          <w:tcPr>
            <w:tcW w:w="1621" w:type="dxa"/>
          </w:tcPr>
          <w:p w14:paraId="4EA5D65A" w14:textId="77777777" w:rsidR="00317274" w:rsidRPr="00317274" w:rsidRDefault="00317274" w:rsidP="00317274">
            <w:pPr>
              <w:spacing w:after="120"/>
              <w:jc w:val="center"/>
              <w:rPr>
                <w:rFonts w:eastAsia="Times New Roman"/>
                <w:b/>
                <w:bCs/>
                <w:color w:val="000000"/>
                <w:sz w:val="24"/>
                <w:szCs w:val="24"/>
                <w:lang w:eastAsia="en-GB"/>
              </w:rPr>
            </w:pPr>
            <w:r w:rsidRPr="00317274">
              <w:rPr>
                <w:rFonts w:eastAsia="Times New Roman"/>
                <w:b/>
                <w:bCs/>
                <w:color w:val="000000"/>
                <w:sz w:val="24"/>
                <w:szCs w:val="24"/>
                <w:lang w:eastAsia="en-GB"/>
              </w:rPr>
              <w:t>5</w:t>
            </w:r>
          </w:p>
        </w:tc>
        <w:tc>
          <w:tcPr>
            <w:tcW w:w="3922" w:type="dxa"/>
            <w:tcBorders>
              <w:top w:val="double" w:sz="6" w:space="0" w:color="0033CC"/>
              <w:bottom w:val="double" w:sz="6" w:space="0" w:color="0033CC"/>
            </w:tcBorders>
            <w:shd w:val="clear" w:color="auto" w:fill="FFFFFF"/>
            <w:vAlign w:val="center"/>
          </w:tcPr>
          <w:p w14:paraId="4B1D168F" w14:textId="77777777" w:rsidR="00317274" w:rsidRPr="00317274" w:rsidRDefault="00317274" w:rsidP="00317274">
            <w:pPr>
              <w:spacing w:after="120"/>
              <w:jc w:val="both"/>
              <w:rPr>
                <w:i/>
                <w:sz w:val="24"/>
                <w:szCs w:val="24"/>
                <w:lang w:eastAsia="en-US"/>
              </w:rPr>
            </w:pPr>
          </w:p>
        </w:tc>
      </w:tr>
      <w:tr w:rsidR="00317274" w:rsidRPr="00317274" w14:paraId="74B69DCB"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6876FC7C"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37C11FC0"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80%  и 100% от броя на планираните в проектното предложение докторанти в редовна форма на обучение са по акредитирани докторски програми, пряко насочени към приоритетни професионални направления и/или към професионални направления/специалности от регулирани професии с висока степен на реализация на завършилите и висока степен на търсене на висше образование от кандидат-студентите (Група 1 от Групи ПН и СРП на национално ниво според степента на търсене на висше образование от кандидат-студентите и степента на реализация на завършилите за 2022 г., определени в Националната карта на висшето образование на Република България).</w:t>
            </w:r>
          </w:p>
        </w:tc>
        <w:tc>
          <w:tcPr>
            <w:tcW w:w="1621" w:type="dxa"/>
          </w:tcPr>
          <w:p w14:paraId="06EBE883"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5</w:t>
            </w:r>
          </w:p>
        </w:tc>
        <w:tc>
          <w:tcPr>
            <w:tcW w:w="3922" w:type="dxa"/>
            <w:tcBorders>
              <w:top w:val="double" w:sz="6" w:space="0" w:color="0033CC"/>
              <w:bottom w:val="double" w:sz="6" w:space="0" w:color="0033CC"/>
            </w:tcBorders>
            <w:shd w:val="clear" w:color="auto" w:fill="FFFFFF"/>
            <w:vAlign w:val="center"/>
          </w:tcPr>
          <w:p w14:paraId="2343A250" w14:textId="77777777" w:rsidR="00317274" w:rsidRPr="00317274" w:rsidRDefault="00317274" w:rsidP="00317274">
            <w:pPr>
              <w:spacing w:after="120"/>
              <w:jc w:val="both"/>
              <w:rPr>
                <w:i/>
                <w:sz w:val="24"/>
                <w:szCs w:val="24"/>
                <w:lang w:eastAsia="en-US"/>
              </w:rPr>
            </w:pPr>
          </w:p>
        </w:tc>
      </w:tr>
      <w:tr w:rsidR="00317274" w:rsidRPr="00317274" w14:paraId="5DD9156C"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1CD06092"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01158334"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60% и 79,99% от броя на планираните в проектното предложение докторанти</w:t>
            </w:r>
            <w:r w:rsidRPr="00317274">
              <w:rPr>
                <w:rFonts w:eastAsia="Times New Roman"/>
              </w:rPr>
              <w:t xml:space="preserve"> </w:t>
            </w:r>
            <w:r w:rsidRPr="00317274">
              <w:rPr>
                <w:rFonts w:eastAsia="Times New Roman"/>
                <w:color w:val="000000"/>
                <w:sz w:val="24"/>
                <w:szCs w:val="24"/>
                <w:lang w:eastAsia="en-GB"/>
              </w:rPr>
              <w:t>в редовна форма на обучение са по акредитирани докторски програми, пряко насочени към приоритетни професионални направления</w:t>
            </w:r>
            <w:r w:rsidRPr="00317274">
              <w:rPr>
                <w:rFonts w:eastAsia="Times New Roman"/>
              </w:rPr>
              <w:t xml:space="preserve"> </w:t>
            </w:r>
            <w:r w:rsidRPr="00317274">
              <w:rPr>
                <w:rFonts w:eastAsia="Times New Roman"/>
                <w:color w:val="000000"/>
                <w:sz w:val="24"/>
                <w:szCs w:val="24"/>
                <w:lang w:eastAsia="en-GB"/>
              </w:rPr>
              <w:t xml:space="preserve">и/или към професионални направления/специалности от регулирани професии с висока степен на реализация на завършилите и висока степен на търсене на висше образование от кандидат-студентите (Група 1 от Групи ПН и СРП на национално ниво според степента на търсене на висше образование от кандидат-студентите </w:t>
            </w:r>
            <w:r w:rsidRPr="00317274">
              <w:rPr>
                <w:rFonts w:eastAsia="Times New Roman"/>
                <w:color w:val="000000"/>
                <w:sz w:val="24"/>
                <w:szCs w:val="24"/>
                <w:lang w:eastAsia="en-GB"/>
              </w:rPr>
              <w:lastRenderedPageBreak/>
              <w:t>и степента на реализация на завършилите за 2022 г., определени в Националната карта на висшето образование на Република България)..</w:t>
            </w:r>
          </w:p>
        </w:tc>
        <w:tc>
          <w:tcPr>
            <w:tcW w:w="1621" w:type="dxa"/>
          </w:tcPr>
          <w:p w14:paraId="31572447"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lastRenderedPageBreak/>
              <w:t>4</w:t>
            </w:r>
          </w:p>
        </w:tc>
        <w:tc>
          <w:tcPr>
            <w:tcW w:w="3922" w:type="dxa"/>
            <w:tcBorders>
              <w:top w:val="double" w:sz="6" w:space="0" w:color="0033CC"/>
              <w:bottom w:val="double" w:sz="6" w:space="0" w:color="0033CC"/>
            </w:tcBorders>
            <w:shd w:val="clear" w:color="auto" w:fill="FFFFFF"/>
            <w:vAlign w:val="center"/>
          </w:tcPr>
          <w:p w14:paraId="77178F15" w14:textId="77777777" w:rsidR="00317274" w:rsidRPr="00317274" w:rsidRDefault="00317274" w:rsidP="00317274">
            <w:pPr>
              <w:spacing w:after="120"/>
              <w:jc w:val="both"/>
              <w:rPr>
                <w:i/>
                <w:sz w:val="24"/>
                <w:szCs w:val="24"/>
                <w:lang w:eastAsia="en-US"/>
              </w:rPr>
            </w:pPr>
          </w:p>
        </w:tc>
      </w:tr>
      <w:tr w:rsidR="00317274" w:rsidRPr="00317274" w14:paraId="250AB96C"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6C17AAF8"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6306EB05"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40% и 59,99% от броя на планираните в проектното предложение докторанти</w:t>
            </w:r>
            <w:r w:rsidRPr="00317274">
              <w:rPr>
                <w:rFonts w:eastAsia="Times New Roman"/>
              </w:rPr>
              <w:t xml:space="preserve"> </w:t>
            </w:r>
            <w:r w:rsidRPr="00317274">
              <w:rPr>
                <w:rFonts w:eastAsia="Times New Roman"/>
                <w:color w:val="000000"/>
                <w:sz w:val="24"/>
                <w:szCs w:val="24"/>
                <w:lang w:eastAsia="en-GB"/>
              </w:rPr>
              <w:t>в редовна форма на обучение са по акредитирани докторски програми,</w:t>
            </w:r>
            <w:r w:rsidRPr="00317274">
              <w:rPr>
                <w:rFonts w:eastAsia="Times New Roman"/>
              </w:rPr>
              <w:t xml:space="preserve"> </w:t>
            </w:r>
            <w:r w:rsidRPr="00317274">
              <w:rPr>
                <w:rFonts w:eastAsia="Times New Roman"/>
                <w:color w:val="000000"/>
                <w:sz w:val="24"/>
                <w:szCs w:val="24"/>
                <w:lang w:eastAsia="en-GB"/>
              </w:rPr>
              <w:t>пряко насочени към приоритетни професионални направления</w:t>
            </w:r>
            <w:r w:rsidRPr="00317274">
              <w:rPr>
                <w:rFonts w:eastAsia="Times New Roman"/>
              </w:rPr>
              <w:t xml:space="preserve"> </w:t>
            </w:r>
            <w:r w:rsidRPr="00317274">
              <w:rPr>
                <w:rFonts w:eastAsia="Times New Roman"/>
                <w:color w:val="000000"/>
                <w:sz w:val="24"/>
                <w:szCs w:val="24"/>
                <w:lang w:eastAsia="en-GB"/>
              </w:rPr>
              <w:t>и/или към професионални направления/специалности от регулирани професии с висока степен на реализация на завършилите и висока степен на търсене на висше образование от кандидат-студентите (Група 1 от Групи ПН и СРП на национално ниво според степента на търсене на висше образование от кандидат-студентите и степента на реализация на завършилите за 2022 г., определени в Националната карта на висшето образование на Република България).</w:t>
            </w:r>
          </w:p>
        </w:tc>
        <w:tc>
          <w:tcPr>
            <w:tcW w:w="1621" w:type="dxa"/>
          </w:tcPr>
          <w:p w14:paraId="1B7313A2"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3</w:t>
            </w:r>
          </w:p>
        </w:tc>
        <w:tc>
          <w:tcPr>
            <w:tcW w:w="3922" w:type="dxa"/>
            <w:tcBorders>
              <w:top w:val="double" w:sz="6" w:space="0" w:color="0033CC"/>
              <w:bottom w:val="double" w:sz="6" w:space="0" w:color="0033CC"/>
            </w:tcBorders>
            <w:shd w:val="clear" w:color="auto" w:fill="FFFFFF"/>
            <w:vAlign w:val="center"/>
          </w:tcPr>
          <w:p w14:paraId="28C4E826" w14:textId="77777777" w:rsidR="00317274" w:rsidRPr="00317274" w:rsidRDefault="00317274" w:rsidP="00317274">
            <w:pPr>
              <w:spacing w:after="120"/>
              <w:jc w:val="both"/>
              <w:rPr>
                <w:i/>
                <w:sz w:val="24"/>
                <w:szCs w:val="24"/>
                <w:lang w:eastAsia="en-US"/>
              </w:rPr>
            </w:pPr>
          </w:p>
        </w:tc>
      </w:tr>
      <w:tr w:rsidR="00317274" w:rsidRPr="00317274" w14:paraId="5F259781"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27781FE1"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466BC4B1"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Между 20% и 39,99% от броя на планираните в проектното предложение докторанти в редовна форма на обучение са по акредитирани докторски програми, пряко насочени към приоритетни професионални направления</w:t>
            </w:r>
            <w:r w:rsidRPr="00317274">
              <w:rPr>
                <w:rFonts w:eastAsia="Times New Roman"/>
              </w:rPr>
              <w:t xml:space="preserve"> </w:t>
            </w:r>
            <w:r w:rsidRPr="00317274">
              <w:rPr>
                <w:rFonts w:eastAsia="Times New Roman"/>
                <w:color w:val="000000"/>
                <w:sz w:val="24"/>
                <w:szCs w:val="24"/>
                <w:lang w:eastAsia="en-GB"/>
              </w:rPr>
              <w:t>и/или към професионални направления/специалности от регулирани професии с висока степен на реализация на завършилите и висока степен на търсене на висше образование от кандидат-студентите (Група 1 от Групи ПН и СРП на национално ниво според степента на търсене на висше образование от кандидат-студентите и степента на реализация на завършилите за 2022 г., определени в Националната карта на висшето образование на Република България).</w:t>
            </w:r>
          </w:p>
        </w:tc>
        <w:tc>
          <w:tcPr>
            <w:tcW w:w="1621" w:type="dxa"/>
          </w:tcPr>
          <w:p w14:paraId="2F659EDB"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2</w:t>
            </w:r>
          </w:p>
        </w:tc>
        <w:tc>
          <w:tcPr>
            <w:tcW w:w="3922" w:type="dxa"/>
            <w:tcBorders>
              <w:top w:val="double" w:sz="6" w:space="0" w:color="0033CC"/>
              <w:bottom w:val="double" w:sz="6" w:space="0" w:color="0033CC"/>
            </w:tcBorders>
            <w:shd w:val="clear" w:color="auto" w:fill="FFFFFF"/>
            <w:vAlign w:val="center"/>
          </w:tcPr>
          <w:p w14:paraId="688C0841" w14:textId="77777777" w:rsidR="00317274" w:rsidRPr="00317274" w:rsidRDefault="00317274" w:rsidP="00317274">
            <w:pPr>
              <w:spacing w:after="120"/>
              <w:jc w:val="both"/>
              <w:rPr>
                <w:i/>
                <w:sz w:val="24"/>
                <w:szCs w:val="24"/>
                <w:lang w:eastAsia="en-US"/>
              </w:rPr>
            </w:pPr>
          </w:p>
        </w:tc>
      </w:tr>
      <w:tr w:rsidR="00317274" w:rsidRPr="00317274" w14:paraId="59BE085D" w14:textId="77777777" w:rsidTr="00FF32D8">
        <w:trPr>
          <w:trHeight w:val="513"/>
          <w:jc w:val="center"/>
        </w:trPr>
        <w:tc>
          <w:tcPr>
            <w:tcW w:w="805" w:type="dxa"/>
            <w:tcBorders>
              <w:top w:val="double" w:sz="6" w:space="0" w:color="0033CC"/>
              <w:bottom w:val="double" w:sz="6" w:space="0" w:color="0033CC"/>
            </w:tcBorders>
            <w:shd w:val="clear" w:color="auto" w:fill="FFFFFF"/>
            <w:vAlign w:val="center"/>
          </w:tcPr>
          <w:p w14:paraId="40320D4D"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Pr>
          <w:p w14:paraId="5B3509DA" w14:textId="77777777" w:rsidR="00317274" w:rsidRPr="00317274" w:rsidRDefault="00317274" w:rsidP="00317274">
            <w:pPr>
              <w:spacing w:after="120"/>
              <w:jc w:val="both"/>
              <w:rPr>
                <w:rFonts w:eastAsia="Times New Roman"/>
                <w:b/>
                <w:bCs/>
                <w:color w:val="000000"/>
                <w:sz w:val="24"/>
                <w:szCs w:val="24"/>
                <w:lang w:eastAsia="en-GB"/>
              </w:rPr>
            </w:pPr>
            <w:r w:rsidRPr="00317274">
              <w:rPr>
                <w:rFonts w:eastAsia="Times New Roman"/>
                <w:color w:val="000000"/>
                <w:sz w:val="24"/>
                <w:szCs w:val="24"/>
                <w:lang w:eastAsia="en-GB"/>
              </w:rPr>
              <w:t xml:space="preserve">Между 0% и 19,99% от броя на планираните в проектното </w:t>
            </w:r>
            <w:r w:rsidRPr="00317274">
              <w:rPr>
                <w:rFonts w:eastAsia="Times New Roman"/>
                <w:color w:val="000000"/>
                <w:sz w:val="24"/>
                <w:szCs w:val="24"/>
                <w:lang w:eastAsia="en-GB"/>
              </w:rPr>
              <w:lastRenderedPageBreak/>
              <w:t>предложение докторанти</w:t>
            </w:r>
            <w:r w:rsidRPr="00317274">
              <w:rPr>
                <w:rFonts w:eastAsia="Times New Roman"/>
              </w:rPr>
              <w:t xml:space="preserve"> </w:t>
            </w:r>
            <w:r w:rsidRPr="00317274">
              <w:rPr>
                <w:rFonts w:eastAsia="Times New Roman"/>
                <w:color w:val="000000"/>
                <w:sz w:val="24"/>
                <w:szCs w:val="24"/>
                <w:lang w:eastAsia="en-GB"/>
              </w:rPr>
              <w:t>в редовна форма на обучение са по акредитирани докторски програми, пряко насочени към приоритетни професионални направления</w:t>
            </w:r>
            <w:r w:rsidRPr="00317274">
              <w:rPr>
                <w:rFonts w:eastAsia="Times New Roman"/>
              </w:rPr>
              <w:t xml:space="preserve"> </w:t>
            </w:r>
            <w:r w:rsidRPr="00317274">
              <w:rPr>
                <w:rFonts w:eastAsia="Times New Roman"/>
                <w:color w:val="000000"/>
                <w:sz w:val="24"/>
                <w:szCs w:val="24"/>
                <w:lang w:eastAsia="en-GB"/>
              </w:rPr>
              <w:t>и/или към професионални направления/специалности от регулирани професии с висока степен на реализация на завършилите и висока степен на търсене на висше образование от кандидат-студентите (Група 1 от Групи ПН и СРП на национално ниво според степента на търсене на висше образование от кандидат-студентите и степента на реализация на завършилите за 2022 г., определени в Националната карта на висшето образование на Република България).</w:t>
            </w:r>
          </w:p>
        </w:tc>
        <w:tc>
          <w:tcPr>
            <w:tcW w:w="1621" w:type="dxa"/>
          </w:tcPr>
          <w:p w14:paraId="1CC7E9F5"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lastRenderedPageBreak/>
              <w:t>1</w:t>
            </w:r>
          </w:p>
        </w:tc>
        <w:tc>
          <w:tcPr>
            <w:tcW w:w="3922" w:type="dxa"/>
            <w:tcBorders>
              <w:top w:val="double" w:sz="6" w:space="0" w:color="0033CC"/>
              <w:bottom w:val="double" w:sz="6" w:space="0" w:color="0033CC"/>
            </w:tcBorders>
            <w:shd w:val="clear" w:color="auto" w:fill="FFFFFF"/>
            <w:vAlign w:val="center"/>
          </w:tcPr>
          <w:p w14:paraId="3C6715D9" w14:textId="77777777" w:rsidR="00317274" w:rsidRPr="00317274" w:rsidRDefault="00317274" w:rsidP="00317274">
            <w:pPr>
              <w:spacing w:after="120"/>
              <w:jc w:val="both"/>
              <w:rPr>
                <w:i/>
                <w:sz w:val="24"/>
                <w:szCs w:val="24"/>
                <w:lang w:eastAsia="en-US"/>
              </w:rPr>
            </w:pPr>
          </w:p>
        </w:tc>
      </w:tr>
      <w:tr w:rsidR="00317274" w:rsidRPr="00317274" w14:paraId="7B46C318"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CB9CA" w:themeFill="text2" w:themeFillTint="66"/>
            <w:vAlign w:val="center"/>
          </w:tcPr>
          <w:p w14:paraId="6A53AC27"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3.</w:t>
            </w:r>
          </w:p>
        </w:tc>
        <w:tc>
          <w:tcPr>
            <w:tcW w:w="4055" w:type="dxa"/>
            <w:tcBorders>
              <w:top w:val="single" w:sz="4" w:space="0" w:color="0033CC"/>
              <w:left w:val="single" w:sz="4" w:space="0" w:color="0033CC"/>
              <w:bottom w:val="single" w:sz="4" w:space="0" w:color="0033CC"/>
              <w:right w:val="single" w:sz="4" w:space="0" w:color="0033CC"/>
            </w:tcBorders>
            <w:shd w:val="clear" w:color="auto" w:fill="ACB9CA" w:themeFill="text2" w:themeFillTint="66"/>
          </w:tcPr>
          <w:p w14:paraId="2700423D" w14:textId="77777777" w:rsidR="00317274" w:rsidRPr="00317274" w:rsidRDefault="00317274" w:rsidP="00317274">
            <w:pPr>
              <w:spacing w:after="120"/>
              <w:jc w:val="both"/>
              <w:rPr>
                <w:rFonts w:eastAsia="Times New Roman"/>
                <w:b/>
                <w:color w:val="000000"/>
                <w:sz w:val="24"/>
                <w:szCs w:val="24"/>
                <w:lang w:eastAsia="en-GB"/>
              </w:rPr>
            </w:pPr>
          </w:p>
          <w:p w14:paraId="4FF9F17B" w14:textId="77777777" w:rsidR="00317274" w:rsidRPr="00317274" w:rsidRDefault="00317274" w:rsidP="00317274">
            <w:pPr>
              <w:spacing w:after="120"/>
              <w:jc w:val="both"/>
              <w:rPr>
                <w:rFonts w:eastAsia="Times New Roman"/>
                <w:b/>
                <w:color w:val="000000"/>
                <w:sz w:val="24"/>
                <w:szCs w:val="24"/>
                <w:lang w:eastAsia="en-GB"/>
              </w:rPr>
            </w:pPr>
            <w:r w:rsidRPr="00317274">
              <w:rPr>
                <w:rFonts w:eastAsia="Times New Roman"/>
                <w:b/>
                <w:color w:val="000000"/>
                <w:sz w:val="24"/>
                <w:szCs w:val="24"/>
                <w:lang w:eastAsia="en-GB"/>
              </w:rPr>
              <w:t xml:space="preserve">Обхват на проектното предложение </w:t>
            </w:r>
          </w:p>
        </w:tc>
        <w:tc>
          <w:tcPr>
            <w:tcW w:w="1621" w:type="dxa"/>
            <w:tcBorders>
              <w:top w:val="single" w:sz="4" w:space="0" w:color="0033CC"/>
              <w:left w:val="single" w:sz="4" w:space="0" w:color="0033CC"/>
              <w:bottom w:val="single" w:sz="4" w:space="0" w:color="0033CC"/>
              <w:right w:val="single" w:sz="4" w:space="0" w:color="0033CC"/>
            </w:tcBorders>
            <w:shd w:val="clear" w:color="auto" w:fill="ACB9CA" w:themeFill="text2" w:themeFillTint="66"/>
          </w:tcPr>
          <w:p w14:paraId="42B1D4EC" w14:textId="77777777" w:rsidR="00317274" w:rsidRPr="00317274" w:rsidRDefault="00317274" w:rsidP="00317274">
            <w:pPr>
              <w:spacing w:after="120"/>
              <w:jc w:val="center"/>
              <w:rPr>
                <w:rFonts w:eastAsia="Times New Roman"/>
                <w:b/>
                <w:color w:val="000000"/>
                <w:sz w:val="24"/>
                <w:szCs w:val="24"/>
                <w:lang w:eastAsia="en-GB"/>
              </w:rPr>
            </w:pPr>
          </w:p>
          <w:p w14:paraId="3B424863" w14:textId="77777777" w:rsidR="00317274" w:rsidRPr="00317274" w:rsidRDefault="00317274" w:rsidP="00317274">
            <w:pPr>
              <w:spacing w:after="120"/>
              <w:jc w:val="center"/>
              <w:rPr>
                <w:rFonts w:eastAsia="Times New Roman"/>
                <w:b/>
                <w:color w:val="000000"/>
                <w:sz w:val="24"/>
                <w:szCs w:val="24"/>
                <w:lang w:eastAsia="en-GB"/>
              </w:rPr>
            </w:pPr>
          </w:p>
          <w:p w14:paraId="78DFD1F5" w14:textId="77777777" w:rsidR="00317274" w:rsidRPr="00317274" w:rsidRDefault="00317274" w:rsidP="00317274">
            <w:pPr>
              <w:spacing w:after="120"/>
              <w:jc w:val="center"/>
              <w:rPr>
                <w:rFonts w:eastAsia="Times New Roman"/>
                <w:b/>
                <w:color w:val="000000"/>
                <w:sz w:val="24"/>
                <w:szCs w:val="24"/>
                <w:lang w:eastAsia="en-GB"/>
              </w:rPr>
            </w:pPr>
            <w:r w:rsidRPr="00317274">
              <w:rPr>
                <w:rFonts w:eastAsia="Times New Roman"/>
                <w:b/>
                <w:color w:val="000000"/>
                <w:sz w:val="24"/>
                <w:szCs w:val="24"/>
                <w:lang w:eastAsia="en-GB"/>
              </w:rPr>
              <w:t>15</w:t>
            </w:r>
          </w:p>
        </w:tc>
        <w:tc>
          <w:tcPr>
            <w:tcW w:w="3922" w:type="dxa"/>
            <w:tcBorders>
              <w:top w:val="double" w:sz="6" w:space="0" w:color="0033CC"/>
              <w:left w:val="single" w:sz="4" w:space="0" w:color="0033CC"/>
              <w:bottom w:val="double" w:sz="6" w:space="0" w:color="0033CC"/>
              <w:right w:val="double" w:sz="6" w:space="0" w:color="0033CC"/>
            </w:tcBorders>
            <w:shd w:val="clear" w:color="auto" w:fill="ACB9CA" w:themeFill="text2" w:themeFillTint="66"/>
            <w:vAlign w:val="center"/>
          </w:tcPr>
          <w:p w14:paraId="3D869598" w14:textId="77777777" w:rsidR="00317274" w:rsidRPr="00317274" w:rsidRDefault="00317274" w:rsidP="00317274">
            <w:pPr>
              <w:spacing w:after="120"/>
              <w:jc w:val="both"/>
              <w:rPr>
                <w:bCs/>
                <w:i/>
                <w:sz w:val="24"/>
                <w:szCs w:val="24"/>
                <w:lang w:eastAsia="en-US"/>
              </w:rPr>
            </w:pPr>
            <w:r w:rsidRPr="00317274">
              <w:rPr>
                <w:bCs/>
                <w:i/>
                <w:sz w:val="24"/>
                <w:szCs w:val="24"/>
                <w:lang w:eastAsia="en-US"/>
              </w:rPr>
              <w:t>Формуляр за кандидатстване, секция „План за изпълнение/Дейности по проекта“; секция „Индикатори“; служебна информация от НАЦИД за броя на действащите докторанти в редовна форма във ВУ и НО по акредитирани докторски програми, приложена към насоките за кандидатстване.</w:t>
            </w:r>
          </w:p>
          <w:p w14:paraId="6F25D024" w14:textId="77777777" w:rsidR="00317274" w:rsidRPr="00317274" w:rsidRDefault="00317274" w:rsidP="00317274">
            <w:pPr>
              <w:spacing w:after="120"/>
              <w:jc w:val="both"/>
              <w:rPr>
                <w:bCs/>
                <w:i/>
                <w:sz w:val="24"/>
                <w:szCs w:val="24"/>
                <w:lang w:eastAsia="en-US"/>
              </w:rPr>
            </w:pPr>
            <w:r w:rsidRPr="00317274">
              <w:rPr>
                <w:bCs/>
                <w:i/>
                <w:sz w:val="24"/>
                <w:szCs w:val="24"/>
                <w:lang w:eastAsia="en-US"/>
              </w:rPr>
              <w:t>Забележка:</w:t>
            </w:r>
          </w:p>
          <w:p w14:paraId="18AEF2CF" w14:textId="77777777" w:rsidR="00317274" w:rsidRPr="00317274" w:rsidRDefault="00317274" w:rsidP="00317274">
            <w:pPr>
              <w:spacing w:after="120"/>
              <w:jc w:val="both"/>
              <w:rPr>
                <w:bCs/>
                <w:i/>
                <w:sz w:val="24"/>
                <w:szCs w:val="24"/>
                <w:lang w:eastAsia="en-US"/>
              </w:rPr>
            </w:pPr>
          </w:p>
          <w:p w14:paraId="0AA5C140" w14:textId="77777777" w:rsidR="00317274" w:rsidRPr="00317274" w:rsidRDefault="00317274" w:rsidP="00317274">
            <w:pPr>
              <w:spacing w:after="120"/>
              <w:jc w:val="both"/>
              <w:rPr>
                <w:bCs/>
                <w:i/>
                <w:sz w:val="24"/>
                <w:szCs w:val="24"/>
                <w:lang w:eastAsia="en-US"/>
              </w:rPr>
            </w:pPr>
            <w:r w:rsidRPr="00317274">
              <w:rPr>
                <w:bCs/>
                <w:i/>
                <w:sz w:val="24"/>
                <w:szCs w:val="24"/>
                <w:lang w:eastAsia="en-US"/>
              </w:rPr>
              <w:t xml:space="preserve">Изчислява се съотношението между общия брой докторанти, които се планира да бъдат зачислени в редовна форма на обучение в рамките на проекта и сбора на действащите докторанти, които са се обучавали в редовна форма при кандидата и, когато е приложимо, при партньора, кумулативно по всички включени в проектното предложение акредитирани докторски програми за референтен период, определен в Условията за кандидатстване. </w:t>
            </w:r>
          </w:p>
          <w:p w14:paraId="13F363C2" w14:textId="77777777" w:rsidR="00317274" w:rsidRPr="00317274" w:rsidRDefault="00317274" w:rsidP="00317274">
            <w:pPr>
              <w:spacing w:after="120"/>
              <w:jc w:val="both"/>
              <w:rPr>
                <w:bCs/>
                <w:i/>
                <w:sz w:val="24"/>
                <w:szCs w:val="24"/>
                <w:lang w:eastAsia="en-US"/>
              </w:rPr>
            </w:pPr>
            <w:r w:rsidRPr="00317274">
              <w:rPr>
                <w:bCs/>
                <w:i/>
                <w:sz w:val="24"/>
                <w:szCs w:val="24"/>
                <w:lang w:eastAsia="en-US"/>
              </w:rPr>
              <w:lastRenderedPageBreak/>
              <w:t>Резултатът се закръглява до цяло число по общото аритметично правило.</w:t>
            </w:r>
          </w:p>
        </w:tc>
      </w:tr>
      <w:tr w:rsidR="00317274" w:rsidRPr="00317274" w14:paraId="0335813A"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64B763B5"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0033CC"/>
              <w:left w:val="single" w:sz="4" w:space="0" w:color="0033CC"/>
              <w:bottom w:val="single" w:sz="4" w:space="0" w:color="0033CC"/>
              <w:right w:val="single" w:sz="4" w:space="0" w:color="0033CC"/>
            </w:tcBorders>
            <w:shd w:val="clear" w:color="auto" w:fill="auto"/>
          </w:tcPr>
          <w:p w14:paraId="6A78F77C" w14:textId="77777777" w:rsidR="00317274" w:rsidRPr="00317274" w:rsidRDefault="00317274" w:rsidP="00317274">
            <w:pPr>
              <w:spacing w:after="120"/>
              <w:jc w:val="both"/>
              <w:rPr>
                <w:rFonts w:eastAsia="Times New Roman"/>
                <w:bCs/>
                <w:color w:val="000000"/>
                <w:sz w:val="24"/>
                <w:szCs w:val="24"/>
                <w:lang w:eastAsia="en-GB"/>
              </w:rPr>
            </w:pPr>
            <w:r w:rsidRPr="00317274">
              <w:rPr>
                <w:rFonts w:eastAsia="Times New Roman"/>
                <w:bCs/>
                <w:color w:val="000000"/>
                <w:sz w:val="24"/>
                <w:szCs w:val="24"/>
                <w:lang w:eastAsia="en-GB"/>
              </w:rPr>
              <w:t>Планираният брой докторанти в проектното предложение представлява по-малко от 40% от броя на действащите докторанти, които се обучават в редовна форма при кандидата и, когато е приложимо при партньорите съвкупно, през определения в насоките за кандидатстване референтен период по включените в проектното предложение докторски програми.</w:t>
            </w:r>
          </w:p>
        </w:tc>
        <w:tc>
          <w:tcPr>
            <w:tcW w:w="1621" w:type="dxa"/>
            <w:tcBorders>
              <w:top w:val="single" w:sz="4" w:space="0" w:color="0033CC"/>
              <w:left w:val="single" w:sz="4" w:space="0" w:color="0033CC"/>
              <w:bottom w:val="single" w:sz="4" w:space="0" w:color="0033CC"/>
              <w:right w:val="single" w:sz="4" w:space="0" w:color="0033CC"/>
            </w:tcBorders>
            <w:shd w:val="clear" w:color="auto" w:fill="auto"/>
          </w:tcPr>
          <w:p w14:paraId="3DBB3CFE" w14:textId="77777777" w:rsidR="00317274" w:rsidRPr="00317274" w:rsidRDefault="00317274" w:rsidP="00317274">
            <w:pPr>
              <w:spacing w:after="120"/>
              <w:jc w:val="center"/>
              <w:rPr>
                <w:rFonts w:eastAsia="Times New Roman"/>
                <w:bCs/>
                <w:color w:val="000000"/>
                <w:sz w:val="24"/>
                <w:szCs w:val="24"/>
                <w:lang w:eastAsia="en-GB"/>
              </w:rPr>
            </w:pPr>
            <w:r w:rsidRPr="00317274">
              <w:rPr>
                <w:rFonts w:eastAsia="Times New Roman"/>
                <w:bCs/>
                <w:color w:val="000000"/>
                <w:sz w:val="24"/>
                <w:szCs w:val="24"/>
                <w:lang w:eastAsia="en-GB"/>
              </w:rPr>
              <w:t>15</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531FBA28" w14:textId="77777777" w:rsidR="00317274" w:rsidRPr="00317274" w:rsidRDefault="00317274" w:rsidP="00317274">
            <w:pPr>
              <w:spacing w:after="120"/>
              <w:jc w:val="both"/>
              <w:rPr>
                <w:b/>
                <w:i/>
                <w:sz w:val="24"/>
                <w:szCs w:val="24"/>
                <w:lang w:eastAsia="en-US"/>
              </w:rPr>
            </w:pPr>
          </w:p>
        </w:tc>
      </w:tr>
      <w:tr w:rsidR="00317274" w:rsidRPr="00317274" w14:paraId="7BC5E5D9"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36AB48BD"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0033CC"/>
              <w:left w:val="single" w:sz="4" w:space="0" w:color="0033CC"/>
              <w:bottom w:val="single" w:sz="4" w:space="0" w:color="0033CC"/>
              <w:right w:val="single" w:sz="4" w:space="0" w:color="0033CC"/>
            </w:tcBorders>
            <w:shd w:val="clear" w:color="auto" w:fill="auto"/>
          </w:tcPr>
          <w:p w14:paraId="64125D1E" w14:textId="77777777" w:rsidR="00317274" w:rsidRPr="00317274" w:rsidRDefault="00317274" w:rsidP="00317274">
            <w:pPr>
              <w:spacing w:after="120"/>
              <w:jc w:val="both"/>
              <w:rPr>
                <w:rFonts w:eastAsia="Times New Roman"/>
                <w:bCs/>
                <w:color w:val="000000"/>
                <w:sz w:val="24"/>
                <w:szCs w:val="24"/>
                <w:lang w:eastAsia="en-GB"/>
              </w:rPr>
            </w:pPr>
            <w:r w:rsidRPr="00317274">
              <w:rPr>
                <w:rFonts w:eastAsia="Times New Roman"/>
                <w:bCs/>
                <w:color w:val="000000"/>
                <w:sz w:val="24"/>
                <w:szCs w:val="24"/>
                <w:lang w:eastAsia="en-GB"/>
              </w:rPr>
              <w:t>Планираният брой докторанти в проектното предложение  е между 40% и 60%  вкл. от броя на действащите докторанти, които се обучават в редовна форма при кандидата и, когато е приложимо при партньорите съвкупно, през определения в насоките за кандидатстване референтен период по включените в проектното предложение докторски програми.</w:t>
            </w:r>
          </w:p>
        </w:tc>
        <w:tc>
          <w:tcPr>
            <w:tcW w:w="1621" w:type="dxa"/>
            <w:tcBorders>
              <w:top w:val="single" w:sz="4" w:space="0" w:color="0033CC"/>
              <w:left w:val="single" w:sz="4" w:space="0" w:color="0033CC"/>
              <w:bottom w:val="single" w:sz="4" w:space="0" w:color="0033CC"/>
              <w:right w:val="single" w:sz="4" w:space="0" w:color="0033CC"/>
            </w:tcBorders>
            <w:shd w:val="clear" w:color="auto" w:fill="auto"/>
          </w:tcPr>
          <w:p w14:paraId="2F8B2C4E" w14:textId="77777777" w:rsidR="00317274" w:rsidRPr="00317274" w:rsidRDefault="00317274" w:rsidP="00317274">
            <w:pPr>
              <w:spacing w:after="120"/>
              <w:jc w:val="center"/>
              <w:rPr>
                <w:rFonts w:eastAsia="Times New Roman"/>
                <w:bCs/>
                <w:color w:val="000000"/>
                <w:sz w:val="24"/>
                <w:szCs w:val="24"/>
                <w:lang w:eastAsia="en-GB"/>
              </w:rPr>
            </w:pPr>
            <w:r w:rsidRPr="00317274">
              <w:rPr>
                <w:rFonts w:eastAsia="Times New Roman"/>
                <w:bCs/>
                <w:color w:val="000000"/>
                <w:sz w:val="24"/>
                <w:szCs w:val="24"/>
                <w:lang w:eastAsia="en-GB"/>
              </w:rPr>
              <w:t>10</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092F6F1A" w14:textId="77777777" w:rsidR="00317274" w:rsidRPr="00317274" w:rsidRDefault="00317274" w:rsidP="00317274">
            <w:pPr>
              <w:spacing w:after="120"/>
              <w:jc w:val="both"/>
              <w:rPr>
                <w:b/>
                <w:i/>
                <w:sz w:val="24"/>
                <w:szCs w:val="24"/>
                <w:lang w:eastAsia="en-US"/>
              </w:rPr>
            </w:pPr>
          </w:p>
        </w:tc>
      </w:tr>
      <w:tr w:rsidR="00317274" w:rsidRPr="00317274" w14:paraId="1C783D2A"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720FB8E1"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0033CC"/>
              <w:left w:val="single" w:sz="4" w:space="0" w:color="0033CC"/>
              <w:bottom w:val="single" w:sz="4" w:space="0" w:color="0033CC"/>
              <w:right w:val="single" w:sz="4" w:space="0" w:color="0033CC"/>
            </w:tcBorders>
            <w:shd w:val="clear" w:color="auto" w:fill="auto"/>
          </w:tcPr>
          <w:p w14:paraId="6034841A" w14:textId="77777777" w:rsidR="00317274" w:rsidRPr="00317274" w:rsidRDefault="00317274" w:rsidP="00317274">
            <w:pPr>
              <w:spacing w:after="120"/>
              <w:jc w:val="both"/>
              <w:rPr>
                <w:rFonts w:eastAsia="Times New Roman"/>
                <w:bCs/>
                <w:color w:val="000000"/>
                <w:sz w:val="24"/>
                <w:szCs w:val="24"/>
                <w:lang w:eastAsia="en-GB"/>
              </w:rPr>
            </w:pPr>
            <w:r w:rsidRPr="00317274">
              <w:rPr>
                <w:rFonts w:eastAsia="Times New Roman"/>
                <w:bCs/>
                <w:color w:val="000000"/>
                <w:sz w:val="24"/>
                <w:szCs w:val="24"/>
                <w:lang w:eastAsia="en-GB"/>
              </w:rPr>
              <w:t>Планираният брой докторанти в проектното предложение представлява  повече от 60% и по-малко от 80% от броя на действащите докторанти, които се обучават в редовна форма при кандидата и, когато е приложимо при партньорите съвкупно, през определения в насоките за кандидатстване референтен период по включените в проектното предложение докторски програми.</w:t>
            </w:r>
          </w:p>
        </w:tc>
        <w:tc>
          <w:tcPr>
            <w:tcW w:w="1621" w:type="dxa"/>
            <w:tcBorders>
              <w:top w:val="single" w:sz="4" w:space="0" w:color="0033CC"/>
              <w:left w:val="single" w:sz="4" w:space="0" w:color="0033CC"/>
              <w:bottom w:val="single" w:sz="4" w:space="0" w:color="0033CC"/>
              <w:right w:val="single" w:sz="4" w:space="0" w:color="0033CC"/>
            </w:tcBorders>
            <w:shd w:val="clear" w:color="auto" w:fill="auto"/>
          </w:tcPr>
          <w:p w14:paraId="59BCB6BB" w14:textId="77777777" w:rsidR="00317274" w:rsidRPr="00317274" w:rsidRDefault="00317274" w:rsidP="00317274">
            <w:pPr>
              <w:spacing w:after="120"/>
              <w:jc w:val="center"/>
              <w:rPr>
                <w:rFonts w:eastAsia="Times New Roman"/>
                <w:bCs/>
                <w:color w:val="000000"/>
                <w:sz w:val="24"/>
                <w:szCs w:val="24"/>
                <w:lang w:eastAsia="en-GB"/>
              </w:rPr>
            </w:pPr>
            <w:r w:rsidRPr="00317274">
              <w:rPr>
                <w:rFonts w:eastAsia="Times New Roman"/>
                <w:bCs/>
                <w:color w:val="000000"/>
                <w:sz w:val="24"/>
                <w:szCs w:val="24"/>
                <w:lang w:eastAsia="en-GB"/>
              </w:rPr>
              <w:t>5</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37BB033E" w14:textId="77777777" w:rsidR="00317274" w:rsidRPr="00317274" w:rsidRDefault="00317274" w:rsidP="00317274">
            <w:pPr>
              <w:spacing w:after="120"/>
              <w:jc w:val="both"/>
              <w:rPr>
                <w:b/>
                <w:i/>
                <w:sz w:val="24"/>
                <w:szCs w:val="24"/>
                <w:lang w:eastAsia="en-US"/>
              </w:rPr>
            </w:pPr>
          </w:p>
        </w:tc>
      </w:tr>
      <w:tr w:rsidR="00317274" w:rsidRPr="00317274" w14:paraId="440F7BEF"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4BCF2D5A"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0033CC"/>
              <w:left w:val="single" w:sz="4" w:space="0" w:color="0033CC"/>
              <w:bottom w:val="single" w:sz="4" w:space="0" w:color="0033CC"/>
              <w:right w:val="single" w:sz="4" w:space="0" w:color="0033CC"/>
            </w:tcBorders>
            <w:shd w:val="clear" w:color="auto" w:fill="auto"/>
          </w:tcPr>
          <w:p w14:paraId="660BBF44" w14:textId="77777777" w:rsidR="00317274" w:rsidRPr="00317274" w:rsidRDefault="00317274" w:rsidP="00317274">
            <w:pPr>
              <w:spacing w:after="120"/>
              <w:jc w:val="both"/>
              <w:rPr>
                <w:rFonts w:eastAsia="Times New Roman"/>
                <w:bCs/>
                <w:color w:val="000000"/>
                <w:sz w:val="24"/>
                <w:szCs w:val="24"/>
                <w:lang w:eastAsia="en-GB"/>
              </w:rPr>
            </w:pPr>
            <w:r w:rsidRPr="00317274">
              <w:rPr>
                <w:rFonts w:eastAsia="Times New Roman"/>
                <w:bCs/>
                <w:color w:val="000000"/>
                <w:sz w:val="24"/>
                <w:szCs w:val="24"/>
                <w:lang w:eastAsia="en-GB"/>
              </w:rPr>
              <w:t>Планираният брой докторанти в проектното предложение представлява 80% или повече от броя на действащите докторанти, които се обучават в редовна форма при кандидата и, когато е приложимо при партньорите съвкупно, през определения в насоките за кандидатстване референтен период по включените в проектното предложение докторски програми.</w:t>
            </w:r>
          </w:p>
        </w:tc>
        <w:tc>
          <w:tcPr>
            <w:tcW w:w="1621" w:type="dxa"/>
            <w:tcBorders>
              <w:top w:val="single" w:sz="4" w:space="0" w:color="0033CC"/>
              <w:left w:val="single" w:sz="4" w:space="0" w:color="0033CC"/>
              <w:bottom w:val="single" w:sz="4" w:space="0" w:color="0033CC"/>
              <w:right w:val="single" w:sz="4" w:space="0" w:color="0033CC"/>
            </w:tcBorders>
            <w:shd w:val="clear" w:color="auto" w:fill="auto"/>
          </w:tcPr>
          <w:p w14:paraId="6BB59148" w14:textId="77777777" w:rsidR="00317274" w:rsidRPr="00317274" w:rsidRDefault="00317274" w:rsidP="00317274">
            <w:pPr>
              <w:spacing w:after="120"/>
              <w:jc w:val="center"/>
              <w:rPr>
                <w:rFonts w:eastAsia="Times New Roman"/>
                <w:bCs/>
                <w:color w:val="000000"/>
                <w:sz w:val="24"/>
                <w:szCs w:val="24"/>
                <w:lang w:eastAsia="en-GB"/>
              </w:rPr>
            </w:pPr>
            <w:r w:rsidRPr="00317274">
              <w:rPr>
                <w:rFonts w:eastAsia="Times New Roman"/>
                <w:bCs/>
                <w:color w:val="000000"/>
                <w:sz w:val="24"/>
                <w:szCs w:val="24"/>
                <w:lang w:eastAsia="en-GB"/>
              </w:rPr>
              <w:t>1</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2F93617B" w14:textId="77777777" w:rsidR="00317274" w:rsidRPr="00317274" w:rsidRDefault="00317274" w:rsidP="00317274">
            <w:pPr>
              <w:spacing w:after="120"/>
              <w:jc w:val="both"/>
              <w:rPr>
                <w:b/>
                <w:i/>
                <w:sz w:val="24"/>
                <w:szCs w:val="24"/>
                <w:lang w:eastAsia="en-US"/>
              </w:rPr>
            </w:pPr>
          </w:p>
        </w:tc>
      </w:tr>
      <w:tr w:rsidR="00317274" w:rsidRPr="00317274" w14:paraId="4DBA0032"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CB9CA" w:themeFill="text2" w:themeFillTint="66"/>
            <w:vAlign w:val="center"/>
          </w:tcPr>
          <w:p w14:paraId="211247E8"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lastRenderedPageBreak/>
              <w:t>4.</w:t>
            </w:r>
          </w:p>
        </w:tc>
        <w:tc>
          <w:tcPr>
            <w:tcW w:w="4055" w:type="dxa"/>
            <w:tcBorders>
              <w:top w:val="single" w:sz="4" w:space="0" w:color="0033CC"/>
              <w:left w:val="single" w:sz="4" w:space="0" w:color="0033CC"/>
              <w:bottom w:val="single" w:sz="4" w:space="0" w:color="0033CC"/>
              <w:right w:val="single" w:sz="4" w:space="0" w:color="0033CC"/>
            </w:tcBorders>
            <w:shd w:val="clear" w:color="auto" w:fill="ACB9CA" w:themeFill="text2" w:themeFillTint="66"/>
          </w:tcPr>
          <w:p w14:paraId="555D5F14" w14:textId="77777777" w:rsidR="00317274" w:rsidRPr="00317274" w:rsidRDefault="00317274" w:rsidP="00317274">
            <w:pPr>
              <w:jc w:val="both"/>
              <w:rPr>
                <w:rFonts w:eastAsia="SimSun"/>
                <w:b/>
                <w:sz w:val="24"/>
                <w:szCs w:val="24"/>
                <w:lang w:eastAsia="zh-CN"/>
              </w:rPr>
            </w:pPr>
          </w:p>
          <w:p w14:paraId="7A156D43" w14:textId="77777777" w:rsidR="00317274" w:rsidRPr="00317274" w:rsidRDefault="00317274" w:rsidP="00317274">
            <w:pPr>
              <w:jc w:val="both"/>
              <w:rPr>
                <w:rFonts w:eastAsia="SimSun"/>
                <w:b/>
                <w:sz w:val="24"/>
                <w:szCs w:val="24"/>
                <w:lang w:eastAsia="zh-CN"/>
              </w:rPr>
            </w:pPr>
          </w:p>
          <w:p w14:paraId="230D8BDE" w14:textId="77777777" w:rsidR="00317274" w:rsidRPr="00317274" w:rsidRDefault="00317274" w:rsidP="00317274">
            <w:pPr>
              <w:jc w:val="both"/>
              <w:rPr>
                <w:rFonts w:eastAsia="SimSun"/>
                <w:b/>
                <w:sz w:val="24"/>
                <w:szCs w:val="24"/>
                <w:lang w:eastAsia="zh-CN"/>
              </w:rPr>
            </w:pPr>
          </w:p>
          <w:p w14:paraId="59BB861C" w14:textId="77777777" w:rsidR="00317274" w:rsidRPr="00317274" w:rsidRDefault="00317274" w:rsidP="00317274">
            <w:pPr>
              <w:jc w:val="both"/>
              <w:rPr>
                <w:rFonts w:eastAsia="SimSun"/>
                <w:b/>
                <w:sz w:val="24"/>
                <w:szCs w:val="24"/>
                <w:lang w:eastAsia="zh-CN"/>
              </w:rPr>
            </w:pPr>
          </w:p>
          <w:p w14:paraId="0A14BE6F" w14:textId="77777777" w:rsidR="00317274" w:rsidRPr="00317274" w:rsidRDefault="00317274" w:rsidP="00317274">
            <w:pPr>
              <w:jc w:val="both"/>
              <w:rPr>
                <w:rFonts w:eastAsia="SimSun"/>
                <w:b/>
                <w:sz w:val="24"/>
                <w:szCs w:val="24"/>
                <w:lang w:eastAsia="zh-CN"/>
              </w:rPr>
            </w:pPr>
          </w:p>
          <w:p w14:paraId="58DA6F21" w14:textId="77777777" w:rsidR="00317274" w:rsidRPr="00317274" w:rsidDel="008654FF" w:rsidRDefault="00317274" w:rsidP="00317274">
            <w:pPr>
              <w:jc w:val="both"/>
              <w:rPr>
                <w:rFonts w:eastAsia="SimSun"/>
                <w:b/>
                <w:sz w:val="24"/>
                <w:szCs w:val="24"/>
                <w:lang w:eastAsia="zh-CN"/>
              </w:rPr>
            </w:pPr>
            <w:r w:rsidRPr="00317274">
              <w:rPr>
                <w:rFonts w:eastAsia="SimSun"/>
                <w:b/>
                <w:sz w:val="24"/>
                <w:szCs w:val="24"/>
                <w:lang w:eastAsia="zh-CN"/>
              </w:rPr>
              <w:t>Ефективност на докторските програми</w:t>
            </w:r>
          </w:p>
        </w:tc>
        <w:tc>
          <w:tcPr>
            <w:tcW w:w="1621" w:type="dxa"/>
            <w:tcBorders>
              <w:top w:val="single" w:sz="4" w:space="0" w:color="0033CC"/>
              <w:left w:val="single" w:sz="4" w:space="0" w:color="0033CC"/>
              <w:bottom w:val="single" w:sz="4" w:space="0" w:color="0033CC"/>
              <w:right w:val="single" w:sz="4" w:space="0" w:color="0033CC"/>
            </w:tcBorders>
            <w:shd w:val="clear" w:color="auto" w:fill="ACB9CA" w:themeFill="text2" w:themeFillTint="66"/>
          </w:tcPr>
          <w:p w14:paraId="4EE637C7" w14:textId="77777777" w:rsidR="00317274" w:rsidRPr="00317274" w:rsidRDefault="00317274" w:rsidP="00317274">
            <w:pPr>
              <w:spacing w:after="120"/>
              <w:jc w:val="center"/>
              <w:rPr>
                <w:rFonts w:eastAsia="Times New Roman"/>
                <w:b/>
                <w:color w:val="000000"/>
                <w:sz w:val="24"/>
                <w:szCs w:val="24"/>
                <w:lang w:eastAsia="en-GB"/>
              </w:rPr>
            </w:pPr>
          </w:p>
          <w:p w14:paraId="70F6B19F" w14:textId="77777777" w:rsidR="00317274" w:rsidRPr="00317274" w:rsidRDefault="00317274" w:rsidP="00317274">
            <w:pPr>
              <w:spacing w:after="120"/>
              <w:jc w:val="center"/>
              <w:rPr>
                <w:rFonts w:eastAsia="Times New Roman"/>
                <w:b/>
                <w:color w:val="000000"/>
                <w:sz w:val="24"/>
                <w:szCs w:val="24"/>
                <w:lang w:eastAsia="en-GB"/>
              </w:rPr>
            </w:pPr>
          </w:p>
          <w:p w14:paraId="430902EB" w14:textId="77777777" w:rsidR="00317274" w:rsidRPr="00317274" w:rsidRDefault="00317274" w:rsidP="00317274">
            <w:pPr>
              <w:spacing w:after="120"/>
              <w:jc w:val="center"/>
              <w:rPr>
                <w:rFonts w:eastAsia="Times New Roman"/>
                <w:b/>
                <w:color w:val="000000"/>
                <w:sz w:val="24"/>
                <w:szCs w:val="24"/>
                <w:lang w:eastAsia="en-GB"/>
              </w:rPr>
            </w:pPr>
          </w:p>
          <w:p w14:paraId="4BC1C969" w14:textId="77777777" w:rsidR="00317274" w:rsidRPr="00317274" w:rsidDel="0083265F" w:rsidRDefault="00317274" w:rsidP="00317274">
            <w:pPr>
              <w:spacing w:after="120"/>
              <w:jc w:val="center"/>
              <w:rPr>
                <w:rFonts w:eastAsia="Times New Roman"/>
                <w:b/>
                <w:color w:val="000000"/>
                <w:sz w:val="24"/>
                <w:szCs w:val="24"/>
                <w:lang w:eastAsia="en-GB"/>
              </w:rPr>
            </w:pPr>
            <w:r w:rsidRPr="00317274">
              <w:rPr>
                <w:rFonts w:eastAsia="Times New Roman"/>
                <w:b/>
                <w:color w:val="000000"/>
                <w:sz w:val="24"/>
                <w:szCs w:val="24"/>
                <w:lang w:eastAsia="en-GB"/>
              </w:rPr>
              <w:t>15</w:t>
            </w:r>
          </w:p>
        </w:tc>
        <w:tc>
          <w:tcPr>
            <w:tcW w:w="3922" w:type="dxa"/>
            <w:tcBorders>
              <w:top w:val="double" w:sz="6" w:space="0" w:color="0033CC"/>
              <w:left w:val="single" w:sz="4" w:space="0" w:color="0033CC"/>
              <w:bottom w:val="double" w:sz="6" w:space="0" w:color="0033CC"/>
              <w:right w:val="double" w:sz="6" w:space="0" w:color="0033CC"/>
            </w:tcBorders>
            <w:shd w:val="clear" w:color="auto" w:fill="ACB9CA" w:themeFill="text2" w:themeFillTint="66"/>
            <w:vAlign w:val="center"/>
          </w:tcPr>
          <w:p w14:paraId="6458AB64" w14:textId="77777777" w:rsidR="00317274" w:rsidRPr="00317274" w:rsidRDefault="00317274" w:rsidP="00317274">
            <w:pPr>
              <w:spacing w:after="120"/>
              <w:jc w:val="both"/>
              <w:rPr>
                <w:bCs/>
                <w:i/>
                <w:sz w:val="24"/>
                <w:szCs w:val="24"/>
                <w:lang w:eastAsia="en-US"/>
              </w:rPr>
            </w:pPr>
            <w:r w:rsidRPr="00317274">
              <w:rPr>
                <w:bCs/>
                <w:i/>
                <w:sz w:val="24"/>
                <w:szCs w:val="24"/>
                <w:lang w:eastAsia="en-US"/>
              </w:rPr>
              <w:t xml:space="preserve">Служебна информация от НАЦИД за броя на действащите докторанти във ВУ и НО и броя на защитилите ОНС „доктор“ по акредитирани докторски програми, приложена към насоките за кандидатстване. </w:t>
            </w:r>
          </w:p>
          <w:p w14:paraId="38B40AE6" w14:textId="77777777" w:rsidR="00317274" w:rsidRPr="00317274" w:rsidRDefault="00317274" w:rsidP="00317274">
            <w:pPr>
              <w:spacing w:after="120"/>
              <w:jc w:val="both"/>
              <w:rPr>
                <w:bCs/>
                <w:i/>
                <w:sz w:val="24"/>
                <w:szCs w:val="24"/>
                <w:lang w:eastAsia="en-US"/>
              </w:rPr>
            </w:pPr>
            <w:r w:rsidRPr="00317274">
              <w:rPr>
                <w:bCs/>
                <w:i/>
                <w:sz w:val="24"/>
                <w:szCs w:val="24"/>
                <w:lang w:eastAsia="en-US"/>
              </w:rPr>
              <w:t xml:space="preserve">Критерият оценява съотношението между защитилите ОНС „доктор“, по всички докторски програми, които са включени в проектното предложение, и </w:t>
            </w:r>
            <w:r w:rsidRPr="00317274">
              <w:rPr>
                <w:rFonts w:eastAsia="Times New Roman"/>
              </w:rPr>
              <w:t xml:space="preserve"> </w:t>
            </w:r>
            <w:r w:rsidRPr="00317274">
              <w:rPr>
                <w:bCs/>
                <w:i/>
                <w:sz w:val="24"/>
                <w:szCs w:val="24"/>
                <w:lang w:eastAsia="en-US"/>
              </w:rPr>
              <w:t>действащите докторанти по същите докторски програми за референтен период, определен в насоките за кандидатстване.</w:t>
            </w:r>
          </w:p>
          <w:p w14:paraId="6E12DEC9" w14:textId="77777777" w:rsidR="00317274" w:rsidRPr="00317274" w:rsidRDefault="00317274" w:rsidP="00317274">
            <w:pPr>
              <w:spacing w:after="120"/>
              <w:jc w:val="both"/>
              <w:rPr>
                <w:bCs/>
                <w:i/>
                <w:sz w:val="24"/>
                <w:szCs w:val="24"/>
                <w:lang w:eastAsia="en-US"/>
              </w:rPr>
            </w:pPr>
            <w:r w:rsidRPr="00317274">
              <w:rPr>
                <w:bCs/>
                <w:i/>
                <w:sz w:val="24"/>
                <w:szCs w:val="24"/>
                <w:lang w:eastAsia="en-US"/>
              </w:rPr>
              <w:t xml:space="preserve"> </w:t>
            </w:r>
          </w:p>
          <w:p w14:paraId="64F9BEED" w14:textId="77777777" w:rsidR="00317274" w:rsidRPr="00317274" w:rsidRDefault="00317274" w:rsidP="00317274">
            <w:pPr>
              <w:tabs>
                <w:tab w:val="left" w:pos="-284"/>
              </w:tabs>
              <w:spacing w:after="120"/>
              <w:jc w:val="both"/>
              <w:rPr>
                <w:rFonts w:eastAsia="Times New Roman"/>
                <w:b/>
                <w:bCs/>
                <w:i/>
                <w:iCs/>
                <w:sz w:val="24"/>
                <w:szCs w:val="24"/>
                <w:lang w:eastAsia="en-US"/>
              </w:rPr>
            </w:pPr>
            <w:r w:rsidRPr="00317274">
              <w:rPr>
                <w:rFonts w:eastAsia="Times New Roman"/>
                <w:i/>
                <w:iCs/>
                <w:sz w:val="24"/>
                <w:szCs w:val="24"/>
                <w:lang w:eastAsia="en-US"/>
              </w:rPr>
              <w:t xml:space="preserve">За целите на изчислението се </w:t>
            </w:r>
            <w:r w:rsidRPr="00317274">
              <w:rPr>
                <w:rFonts w:eastAsia="Times New Roman"/>
                <w:b/>
                <w:bCs/>
                <w:i/>
                <w:iCs/>
                <w:sz w:val="24"/>
                <w:szCs w:val="24"/>
                <w:lang w:eastAsia="en-US"/>
              </w:rPr>
              <w:t>сумира броят на действащите докторанти в редовна форма за определения в Условията за кандидатстване референтен период кумулативно</w:t>
            </w:r>
            <w:r w:rsidRPr="00317274">
              <w:rPr>
                <w:rFonts w:eastAsia="Times New Roman"/>
                <w:i/>
                <w:iCs/>
                <w:sz w:val="24"/>
                <w:szCs w:val="24"/>
                <w:lang w:eastAsia="en-US"/>
              </w:rPr>
              <w:t xml:space="preserve"> </w:t>
            </w:r>
            <w:r w:rsidRPr="00317274">
              <w:rPr>
                <w:rFonts w:eastAsia="Times New Roman"/>
                <w:b/>
                <w:bCs/>
                <w:i/>
                <w:iCs/>
                <w:sz w:val="24"/>
                <w:szCs w:val="24"/>
                <w:u w:val="single"/>
                <w:lang w:eastAsia="en-US"/>
              </w:rPr>
              <w:t>по всички включени в проектното предложение акредитирани докторски програми</w:t>
            </w:r>
            <w:r w:rsidRPr="00317274">
              <w:rPr>
                <w:rFonts w:eastAsia="Times New Roman"/>
                <w:i/>
                <w:iCs/>
                <w:sz w:val="24"/>
                <w:szCs w:val="24"/>
                <w:lang w:eastAsia="en-US"/>
              </w:rPr>
              <w:t xml:space="preserve"> и</w:t>
            </w:r>
            <w:r w:rsidRPr="00317274">
              <w:rPr>
                <w:rFonts w:eastAsia="Times New Roman"/>
                <w:b/>
                <w:bCs/>
                <w:i/>
                <w:iCs/>
                <w:sz w:val="24"/>
                <w:szCs w:val="24"/>
                <w:lang w:eastAsia="en-US"/>
              </w:rPr>
              <w:t xml:space="preserve"> броят на защитилите ОНС „доктор“, обучавани в редовна форма за определения в Условията за кандидатстване референтен период</w:t>
            </w:r>
            <w:r w:rsidRPr="00317274" w:rsidDel="00760779">
              <w:rPr>
                <w:rFonts w:eastAsia="Times New Roman"/>
                <w:b/>
                <w:bCs/>
                <w:i/>
                <w:iCs/>
                <w:sz w:val="24"/>
                <w:szCs w:val="24"/>
                <w:lang w:eastAsia="en-US"/>
              </w:rPr>
              <w:t xml:space="preserve"> </w:t>
            </w:r>
            <w:r w:rsidRPr="00317274">
              <w:rPr>
                <w:rFonts w:eastAsia="Times New Roman"/>
                <w:b/>
                <w:bCs/>
                <w:i/>
                <w:iCs/>
                <w:sz w:val="24"/>
                <w:szCs w:val="24"/>
                <w:lang w:eastAsia="en-US"/>
              </w:rPr>
              <w:t>кумулативно по същите акредитирани докторски програми.</w:t>
            </w:r>
          </w:p>
          <w:p w14:paraId="5C1E7851" w14:textId="77777777" w:rsidR="00317274" w:rsidRPr="00317274" w:rsidRDefault="00317274" w:rsidP="00317274">
            <w:pPr>
              <w:spacing w:after="120"/>
              <w:jc w:val="both"/>
              <w:rPr>
                <w:rFonts w:eastAsia="Times New Roman"/>
                <w:i/>
                <w:sz w:val="24"/>
                <w:szCs w:val="24"/>
                <w:lang w:eastAsia="en-US"/>
              </w:rPr>
            </w:pPr>
            <w:r w:rsidRPr="00317274">
              <w:rPr>
                <w:rFonts w:eastAsia="Times New Roman"/>
                <w:i/>
                <w:sz w:val="24"/>
                <w:szCs w:val="24"/>
                <w:lang w:eastAsia="en-US"/>
              </w:rPr>
              <w:t>Оценката се изчислява по следната формула:</w:t>
            </w:r>
          </w:p>
          <w:p w14:paraId="17FA9CAF" w14:textId="77777777" w:rsidR="00317274" w:rsidRPr="00317274" w:rsidRDefault="00317274" w:rsidP="00317274">
            <w:pPr>
              <w:spacing w:after="120"/>
              <w:jc w:val="both"/>
              <w:rPr>
                <w:rFonts w:eastAsia="Times New Roman"/>
                <w:i/>
                <w:sz w:val="24"/>
                <w:szCs w:val="24"/>
                <w:lang w:eastAsia="en-US"/>
              </w:rPr>
            </w:pPr>
            <w:r w:rsidRPr="00317274">
              <w:rPr>
                <w:rFonts w:eastAsia="Times New Roman"/>
                <w:i/>
                <w:sz w:val="24"/>
                <w:szCs w:val="24"/>
                <w:lang w:eastAsia="en-US"/>
              </w:rPr>
              <w:t>∑</w:t>
            </w:r>
            <w:r w:rsidRPr="00317274">
              <w:rPr>
                <w:rFonts w:eastAsia="Times New Roman"/>
                <w:i/>
                <w:sz w:val="32"/>
                <w:szCs w:val="32"/>
                <w:lang w:eastAsia="en-US"/>
              </w:rPr>
              <w:t xml:space="preserve">= </w:t>
            </w:r>
            <m:oMath>
              <m:f>
                <m:fPr>
                  <m:ctrlPr>
                    <w:rPr>
                      <w:rFonts w:ascii="Cambria Math" w:eastAsia="Times New Roman" w:hAnsi="Cambria Math"/>
                      <w:i/>
                      <w:sz w:val="44"/>
                      <w:szCs w:val="32"/>
                      <w:lang w:eastAsia="en-US"/>
                    </w:rPr>
                  </m:ctrlPr>
                </m:fPr>
                <m:num>
                  <m:r>
                    <w:rPr>
                      <w:rFonts w:ascii="Cambria Math" w:eastAsia="Times New Roman" w:hAnsi="Cambria Math"/>
                      <w:sz w:val="44"/>
                      <w:szCs w:val="32"/>
                      <w:lang w:eastAsia="en-US"/>
                    </w:rPr>
                    <m:t>A</m:t>
                  </m:r>
                </m:num>
                <m:den>
                  <m:r>
                    <w:rPr>
                      <w:rFonts w:ascii="Cambria Math" w:eastAsia="Times New Roman" w:hAnsi="Cambria Math"/>
                      <w:sz w:val="44"/>
                      <w:szCs w:val="32"/>
                      <w:lang w:eastAsia="en-US"/>
                    </w:rPr>
                    <m:t>B</m:t>
                  </m:r>
                </m:den>
              </m:f>
            </m:oMath>
            <w:r w:rsidRPr="00317274">
              <w:rPr>
                <w:rFonts w:eastAsia="Times New Roman"/>
                <w:sz w:val="32"/>
                <w:szCs w:val="32"/>
                <w:lang w:eastAsia="en-US"/>
              </w:rPr>
              <w:fldChar w:fldCharType="begin"/>
            </w:r>
            <w:r w:rsidRPr="00317274">
              <w:rPr>
                <w:rFonts w:eastAsia="Times New Roman"/>
                <w:sz w:val="32"/>
                <w:szCs w:val="32"/>
                <w:lang w:eastAsia="en-US"/>
              </w:rPr>
              <w:instrText xml:space="preserve"> QUOTE </w:instrText>
            </w:r>
            <m:oMath>
              <m:f>
                <m:fPr>
                  <m:ctrlPr>
                    <w:rPr>
                      <w:rFonts w:ascii="Cambria Math" w:eastAsia="Times New Roman" w:hAnsi="Cambria Math"/>
                      <w:i/>
                      <w:sz w:val="36"/>
                      <w:szCs w:val="36"/>
                      <w:lang w:eastAsia="en-US"/>
                    </w:rPr>
                  </m:ctrlPr>
                </m:fPr>
                <m:num>
                  <m:r>
                    <m:rPr>
                      <m:sty m:val="p"/>
                    </m:rPr>
                    <w:rPr>
                      <w:rFonts w:ascii="Cambria Math" w:eastAsia="Times New Roman" w:hAnsi="Cambria Math"/>
                      <w:sz w:val="36"/>
                      <w:szCs w:val="36"/>
                      <w:lang w:val="en-GB" w:eastAsia="en-US"/>
                    </w:rPr>
                    <m:t>C</m:t>
                  </m:r>
                </m:num>
                <m:den>
                  <m:r>
                    <m:rPr>
                      <m:sty m:val="p"/>
                    </m:rPr>
                    <w:rPr>
                      <w:rFonts w:ascii="Cambria Math" w:eastAsia="Times New Roman" w:hAnsi="Cambria Math"/>
                      <w:sz w:val="36"/>
                      <w:szCs w:val="36"/>
                      <w:lang w:eastAsia="en-US"/>
                    </w:rPr>
                    <m:t>D</m:t>
                  </m:r>
                </m:den>
              </m:f>
            </m:oMath>
            <w:r w:rsidRPr="00317274">
              <w:rPr>
                <w:rFonts w:eastAsia="Times New Roman"/>
                <w:sz w:val="32"/>
                <w:szCs w:val="32"/>
                <w:lang w:eastAsia="en-US"/>
              </w:rPr>
              <w:instrText xml:space="preserve"> </w:instrText>
            </w:r>
            <w:r w:rsidRPr="00317274">
              <w:rPr>
                <w:rFonts w:eastAsia="Times New Roman"/>
                <w:sz w:val="32"/>
                <w:szCs w:val="32"/>
                <w:lang w:eastAsia="en-US"/>
              </w:rPr>
              <w:fldChar w:fldCharType="end"/>
            </w:r>
            <w:r w:rsidRPr="00317274">
              <w:rPr>
                <w:rFonts w:eastAsia="Times New Roman"/>
                <w:sz w:val="32"/>
                <w:szCs w:val="32"/>
                <w:lang w:eastAsia="en-US"/>
              </w:rPr>
              <w:t xml:space="preserve">*15, </w:t>
            </w:r>
            <w:r w:rsidRPr="00317274">
              <w:rPr>
                <w:rFonts w:eastAsia="Times New Roman"/>
                <w:i/>
                <w:sz w:val="24"/>
                <w:szCs w:val="24"/>
                <w:lang w:eastAsia="en-US"/>
              </w:rPr>
              <w:t>където:</w:t>
            </w:r>
          </w:p>
          <w:p w14:paraId="0459B693" w14:textId="77777777" w:rsidR="00317274" w:rsidRPr="00317274" w:rsidRDefault="00317274" w:rsidP="00317274">
            <w:pPr>
              <w:spacing w:after="120"/>
              <w:jc w:val="both"/>
              <w:rPr>
                <w:rFonts w:eastAsia="Times New Roman"/>
                <w:i/>
                <w:sz w:val="24"/>
                <w:szCs w:val="24"/>
                <w:lang w:eastAsia="en-US"/>
              </w:rPr>
            </w:pPr>
            <w:r w:rsidRPr="00317274">
              <w:rPr>
                <w:rFonts w:eastAsia="Times New Roman"/>
                <w:i/>
                <w:sz w:val="24"/>
                <w:szCs w:val="24"/>
                <w:lang w:eastAsia="en-US"/>
              </w:rPr>
              <w:t xml:space="preserve">A – броят на защитилите ОНС „доктор“, обучавани в редовна форма през определения в Условията за кандидатстване референтен период кумулативно по всички включени в проектното предложение акредитирани докторски програми; </w:t>
            </w:r>
            <w:r w:rsidRPr="00317274">
              <w:rPr>
                <w:rFonts w:eastAsia="Times New Roman"/>
                <w:i/>
                <w:iCs/>
                <w:sz w:val="24"/>
                <w:szCs w:val="24"/>
                <w:lang w:eastAsia="en-US"/>
              </w:rPr>
              <w:t xml:space="preserve"> </w:t>
            </w:r>
          </w:p>
          <w:p w14:paraId="00BDE672" w14:textId="77777777" w:rsidR="00317274" w:rsidRPr="00317274" w:rsidRDefault="00317274" w:rsidP="00317274">
            <w:pPr>
              <w:spacing w:after="120"/>
              <w:jc w:val="both"/>
              <w:rPr>
                <w:rFonts w:eastAsia="Times New Roman"/>
                <w:i/>
                <w:sz w:val="24"/>
                <w:szCs w:val="24"/>
                <w:lang w:eastAsia="en-US"/>
              </w:rPr>
            </w:pPr>
            <w:r w:rsidRPr="00317274">
              <w:rPr>
                <w:rFonts w:eastAsia="Times New Roman"/>
                <w:i/>
                <w:sz w:val="24"/>
                <w:szCs w:val="24"/>
                <w:lang w:eastAsia="en-US"/>
              </w:rPr>
              <w:lastRenderedPageBreak/>
              <w:t>B – броят на действащите докторанти в редовна форма през определения в Условията за кандидатстване референтен период кумулативно по всички включени в проектното предложение акредитирани докторски програми.</w:t>
            </w:r>
          </w:p>
          <w:p w14:paraId="103E4A01" w14:textId="77777777" w:rsidR="00317274" w:rsidRPr="00317274" w:rsidRDefault="00317274" w:rsidP="00317274">
            <w:pPr>
              <w:spacing w:after="120"/>
              <w:jc w:val="both"/>
              <w:rPr>
                <w:bCs/>
                <w:i/>
                <w:sz w:val="24"/>
                <w:szCs w:val="24"/>
                <w:lang w:eastAsia="en-US"/>
              </w:rPr>
            </w:pPr>
            <w:r w:rsidRPr="00317274">
              <w:rPr>
                <w:bCs/>
                <w:i/>
                <w:sz w:val="24"/>
                <w:szCs w:val="24"/>
                <w:lang w:eastAsia="en-US"/>
              </w:rPr>
              <w:t>Резултатът се закръглява до втория знак след десетичната запетая.</w:t>
            </w:r>
          </w:p>
          <w:p w14:paraId="40A9D0BF" w14:textId="77777777" w:rsidR="00317274" w:rsidRPr="00317274" w:rsidRDefault="00317274" w:rsidP="00317274">
            <w:pPr>
              <w:spacing w:after="120"/>
              <w:jc w:val="both"/>
              <w:rPr>
                <w:bCs/>
                <w:i/>
                <w:sz w:val="24"/>
                <w:szCs w:val="24"/>
                <w:lang w:eastAsia="en-US"/>
              </w:rPr>
            </w:pPr>
            <w:r w:rsidRPr="00317274">
              <w:rPr>
                <w:bCs/>
                <w:i/>
                <w:sz w:val="24"/>
                <w:szCs w:val="24"/>
                <w:lang w:eastAsia="en-US"/>
              </w:rPr>
              <w:t xml:space="preserve">При А=0 или В=0 проектното предложение получава 0 т. по този критерий. </w:t>
            </w:r>
          </w:p>
        </w:tc>
      </w:tr>
      <w:tr w:rsidR="00317274" w:rsidRPr="00317274" w14:paraId="15E2FB29"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CB9CA" w:themeFill="text2" w:themeFillTint="66"/>
            <w:vAlign w:val="center"/>
          </w:tcPr>
          <w:p w14:paraId="73A6675C" w14:textId="77777777" w:rsidR="00317274" w:rsidRPr="00317274" w:rsidRDefault="00317274" w:rsidP="00317274">
            <w:pPr>
              <w:tabs>
                <w:tab w:val="left" w:pos="-284"/>
              </w:tabs>
              <w:spacing w:after="120"/>
              <w:rPr>
                <w:rFonts w:eastAsia="Times New Roman"/>
                <w:b/>
                <w:sz w:val="24"/>
                <w:szCs w:val="24"/>
                <w:lang w:val="en-US" w:eastAsia="en-US"/>
              </w:rPr>
            </w:pPr>
            <w:r w:rsidRPr="00317274">
              <w:rPr>
                <w:rFonts w:eastAsia="Times New Roman"/>
                <w:b/>
                <w:sz w:val="24"/>
                <w:szCs w:val="24"/>
                <w:lang w:eastAsia="en-US"/>
              </w:rPr>
              <w:lastRenderedPageBreak/>
              <w:t>5.</w:t>
            </w:r>
          </w:p>
        </w:tc>
        <w:tc>
          <w:tcPr>
            <w:tcW w:w="4055" w:type="dxa"/>
            <w:tcBorders>
              <w:top w:val="single" w:sz="4" w:space="0" w:color="0033CC"/>
              <w:left w:val="single" w:sz="4" w:space="0" w:color="0033CC"/>
              <w:bottom w:val="double" w:sz="6" w:space="0" w:color="0033CC"/>
              <w:right w:val="single" w:sz="4" w:space="0" w:color="0033CC"/>
            </w:tcBorders>
            <w:shd w:val="clear" w:color="auto" w:fill="ACB9CA" w:themeFill="text2" w:themeFillTint="66"/>
          </w:tcPr>
          <w:p w14:paraId="51D83586" w14:textId="77777777" w:rsidR="00317274" w:rsidRPr="00317274" w:rsidRDefault="00317274" w:rsidP="00317274">
            <w:pPr>
              <w:spacing w:after="120" w:line="360" w:lineRule="auto"/>
              <w:jc w:val="both"/>
              <w:rPr>
                <w:rFonts w:eastAsia="Times New Roman"/>
                <w:b/>
                <w:color w:val="000000"/>
                <w:sz w:val="24"/>
                <w:szCs w:val="24"/>
                <w:lang w:eastAsia="en-GB"/>
              </w:rPr>
            </w:pPr>
            <w:r w:rsidRPr="00317274">
              <w:rPr>
                <w:rFonts w:eastAsia="Times New Roman"/>
                <w:b/>
                <w:color w:val="000000"/>
                <w:sz w:val="24"/>
                <w:szCs w:val="24"/>
                <w:lang w:eastAsia="en-GB"/>
              </w:rPr>
              <w:t>Фокус върху регионите</w:t>
            </w:r>
          </w:p>
        </w:tc>
        <w:tc>
          <w:tcPr>
            <w:tcW w:w="1621" w:type="dxa"/>
            <w:tcBorders>
              <w:top w:val="single" w:sz="4" w:space="0" w:color="0033CC"/>
              <w:left w:val="single" w:sz="4" w:space="0" w:color="0033CC"/>
              <w:bottom w:val="double" w:sz="6" w:space="0" w:color="0033CC"/>
              <w:right w:val="single" w:sz="4" w:space="0" w:color="0033CC"/>
            </w:tcBorders>
            <w:shd w:val="clear" w:color="auto" w:fill="ACB9CA" w:themeFill="text2" w:themeFillTint="66"/>
          </w:tcPr>
          <w:p w14:paraId="6E8A2E51" w14:textId="77777777" w:rsidR="00317274" w:rsidRPr="00317274" w:rsidRDefault="00317274" w:rsidP="00317274">
            <w:pPr>
              <w:spacing w:after="120"/>
              <w:jc w:val="center"/>
              <w:rPr>
                <w:rFonts w:eastAsia="Times New Roman"/>
                <w:b/>
                <w:color w:val="000000"/>
                <w:sz w:val="24"/>
                <w:szCs w:val="24"/>
                <w:lang w:eastAsia="en-GB"/>
              </w:rPr>
            </w:pPr>
          </w:p>
          <w:p w14:paraId="461FD50F" w14:textId="77777777" w:rsidR="00317274" w:rsidRPr="00317274" w:rsidRDefault="00317274" w:rsidP="00317274">
            <w:pPr>
              <w:spacing w:after="120"/>
              <w:jc w:val="center"/>
              <w:rPr>
                <w:rFonts w:eastAsia="Times New Roman"/>
                <w:b/>
                <w:color w:val="000000"/>
                <w:sz w:val="24"/>
                <w:szCs w:val="24"/>
                <w:lang w:eastAsia="en-GB"/>
              </w:rPr>
            </w:pPr>
          </w:p>
          <w:p w14:paraId="4E3D6F33" w14:textId="77777777" w:rsidR="00317274" w:rsidRPr="00317274" w:rsidRDefault="00317274" w:rsidP="00317274">
            <w:pPr>
              <w:spacing w:after="120"/>
              <w:jc w:val="center"/>
              <w:rPr>
                <w:rFonts w:eastAsia="Times New Roman"/>
                <w:b/>
                <w:color w:val="000000"/>
                <w:sz w:val="24"/>
                <w:szCs w:val="24"/>
                <w:lang w:eastAsia="en-GB"/>
              </w:rPr>
            </w:pPr>
            <w:r w:rsidRPr="00317274">
              <w:rPr>
                <w:rFonts w:eastAsia="Times New Roman"/>
                <w:b/>
                <w:color w:val="000000"/>
                <w:sz w:val="24"/>
                <w:szCs w:val="24"/>
                <w:lang w:eastAsia="en-GB"/>
              </w:rPr>
              <w:t>10</w:t>
            </w:r>
          </w:p>
        </w:tc>
        <w:tc>
          <w:tcPr>
            <w:tcW w:w="3922" w:type="dxa"/>
            <w:tcBorders>
              <w:top w:val="double" w:sz="6" w:space="0" w:color="0033CC"/>
              <w:left w:val="single" w:sz="4" w:space="0" w:color="0033CC"/>
              <w:bottom w:val="double" w:sz="6" w:space="0" w:color="0033CC"/>
              <w:right w:val="double" w:sz="6" w:space="0" w:color="0033CC"/>
            </w:tcBorders>
            <w:shd w:val="clear" w:color="auto" w:fill="ACB9CA" w:themeFill="text2" w:themeFillTint="66"/>
            <w:vAlign w:val="center"/>
          </w:tcPr>
          <w:p w14:paraId="25DFCDB2" w14:textId="77777777" w:rsidR="00317274" w:rsidRPr="00317274" w:rsidRDefault="00317274" w:rsidP="00317274">
            <w:pPr>
              <w:spacing w:after="120"/>
              <w:jc w:val="both"/>
              <w:rPr>
                <w:rFonts w:eastAsia="Times New Roman"/>
                <w:i/>
                <w:color w:val="000000"/>
                <w:sz w:val="24"/>
                <w:szCs w:val="24"/>
                <w:lang w:eastAsia="en-US"/>
              </w:rPr>
            </w:pPr>
            <w:r w:rsidRPr="00317274">
              <w:rPr>
                <w:rFonts w:eastAsia="Times New Roman"/>
                <w:i/>
                <w:color w:val="000000"/>
                <w:sz w:val="24"/>
                <w:szCs w:val="24"/>
                <w:lang w:eastAsia="en-US"/>
              </w:rPr>
              <w:t xml:space="preserve">Формуляр за кандидатстване, секция „Данни за кандидата“, секция „Данни за партньора“, </w:t>
            </w:r>
            <w:r w:rsidRPr="00317274">
              <w:rPr>
                <w:i/>
                <w:sz w:val="24"/>
                <w:szCs w:val="24"/>
                <w:lang w:eastAsia="en-US"/>
              </w:rPr>
              <w:t>секция „План за изпълнение/Дейности по проекта“, Декларация за партньорство</w:t>
            </w:r>
            <w:r w:rsidRPr="00317274">
              <w:rPr>
                <w:rFonts w:eastAsia="Times New Roman"/>
                <w:i/>
                <w:color w:val="000000"/>
                <w:sz w:val="24"/>
                <w:szCs w:val="24"/>
                <w:lang w:eastAsia="en-US"/>
              </w:rPr>
              <w:t xml:space="preserve"> .</w:t>
            </w:r>
          </w:p>
        </w:tc>
      </w:tr>
      <w:tr w:rsidR="00317274" w:rsidRPr="00317274" w14:paraId="57A812EE"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3FCA1109"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45FC6880"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Повече от 20 % от докторантите по проекта се предвижда да бъдат зачислени във ВУ/НО (основно звено на ВУ) в Северна България.</w:t>
            </w:r>
          </w:p>
        </w:tc>
        <w:tc>
          <w:tcPr>
            <w:tcW w:w="1621" w:type="dxa"/>
            <w:tcBorders>
              <w:top w:val="double" w:sz="6" w:space="0" w:color="0033CC"/>
              <w:bottom w:val="double" w:sz="6" w:space="0" w:color="0033CC"/>
            </w:tcBorders>
            <w:shd w:val="clear" w:color="auto" w:fill="FFFFFF"/>
            <w:vAlign w:val="center"/>
          </w:tcPr>
          <w:p w14:paraId="7F41D55B" w14:textId="77777777" w:rsidR="00317274" w:rsidRPr="00317274" w:rsidRDefault="00317274" w:rsidP="00317274">
            <w:pPr>
              <w:spacing w:after="120"/>
              <w:jc w:val="center"/>
              <w:rPr>
                <w:rFonts w:eastAsia="Times New Roman"/>
                <w:b/>
                <w:color w:val="000000"/>
                <w:sz w:val="24"/>
                <w:szCs w:val="24"/>
                <w:lang w:val="en-US" w:eastAsia="en-GB"/>
              </w:rPr>
            </w:pPr>
            <w:r w:rsidRPr="00317274">
              <w:rPr>
                <w:rFonts w:eastAsia="Times New Roman"/>
                <w:sz w:val="24"/>
                <w:szCs w:val="24"/>
                <w:lang w:eastAsia="en-US"/>
              </w:rPr>
              <w:t>10</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1BA3029D" w14:textId="77777777" w:rsidR="00317274" w:rsidRPr="00317274" w:rsidRDefault="00317274" w:rsidP="00317274">
            <w:pPr>
              <w:spacing w:after="120"/>
              <w:jc w:val="both"/>
              <w:rPr>
                <w:i/>
                <w:sz w:val="24"/>
                <w:szCs w:val="24"/>
                <w:lang w:eastAsia="en-US"/>
              </w:rPr>
            </w:pPr>
          </w:p>
        </w:tc>
      </w:tr>
      <w:tr w:rsidR="00317274" w:rsidRPr="00317274" w14:paraId="21A1A24D"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65EB22C1"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08A12E58"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Повече от 20% от докторантите по проекта се предвижда да бъдат зачислени във ВУ/НО (основно звено на ВУ) в Южна България, но извън ЮЗР.</w:t>
            </w:r>
          </w:p>
        </w:tc>
        <w:tc>
          <w:tcPr>
            <w:tcW w:w="1621" w:type="dxa"/>
            <w:tcBorders>
              <w:top w:val="double" w:sz="6" w:space="0" w:color="0033CC"/>
              <w:bottom w:val="double" w:sz="6" w:space="0" w:color="0033CC"/>
            </w:tcBorders>
            <w:shd w:val="clear" w:color="auto" w:fill="FFFFFF"/>
            <w:vAlign w:val="center"/>
          </w:tcPr>
          <w:p w14:paraId="2A7B8C7C" w14:textId="77777777" w:rsidR="00317274" w:rsidRPr="00317274" w:rsidDel="001F3C3B" w:rsidRDefault="00317274" w:rsidP="00317274">
            <w:pPr>
              <w:spacing w:after="120"/>
              <w:jc w:val="center"/>
              <w:rPr>
                <w:rFonts w:eastAsia="Times New Roman"/>
                <w:sz w:val="24"/>
                <w:szCs w:val="24"/>
                <w:lang w:eastAsia="en-US"/>
              </w:rPr>
            </w:pPr>
            <w:r w:rsidRPr="00317274">
              <w:rPr>
                <w:rFonts w:eastAsia="Times New Roman"/>
                <w:sz w:val="24"/>
                <w:szCs w:val="24"/>
                <w:lang w:eastAsia="en-US"/>
              </w:rPr>
              <w:t>7</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60C93275" w14:textId="77777777" w:rsidR="00317274" w:rsidRPr="00317274" w:rsidRDefault="00317274" w:rsidP="00317274">
            <w:pPr>
              <w:spacing w:after="120"/>
              <w:jc w:val="both"/>
              <w:rPr>
                <w:i/>
                <w:sz w:val="24"/>
                <w:szCs w:val="24"/>
                <w:lang w:eastAsia="en-US"/>
              </w:rPr>
            </w:pPr>
          </w:p>
        </w:tc>
      </w:tr>
      <w:tr w:rsidR="00317274" w:rsidRPr="00317274" w14:paraId="3BD61610"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50DC17BF"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2687E7EF"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 xml:space="preserve">Между 10 % и 20 % от докторантите по проекта се предвижда да бъдат зачислени във ВУ/НО (основно звено на ВУ) извън ЮЗР. </w:t>
            </w:r>
          </w:p>
        </w:tc>
        <w:tc>
          <w:tcPr>
            <w:tcW w:w="1621" w:type="dxa"/>
            <w:tcBorders>
              <w:top w:val="double" w:sz="6" w:space="0" w:color="0033CC"/>
              <w:bottom w:val="double" w:sz="6" w:space="0" w:color="0033CC"/>
            </w:tcBorders>
            <w:shd w:val="clear" w:color="auto" w:fill="FFFFFF"/>
            <w:vAlign w:val="center"/>
          </w:tcPr>
          <w:p w14:paraId="46D984BB" w14:textId="77777777" w:rsidR="00317274" w:rsidRPr="00317274" w:rsidRDefault="00317274" w:rsidP="00317274">
            <w:pPr>
              <w:spacing w:after="120"/>
              <w:jc w:val="center"/>
              <w:rPr>
                <w:rFonts w:eastAsia="Times New Roman"/>
                <w:b/>
                <w:color w:val="000000"/>
                <w:sz w:val="24"/>
                <w:szCs w:val="24"/>
                <w:lang w:eastAsia="en-GB"/>
              </w:rPr>
            </w:pPr>
            <w:r w:rsidRPr="00317274">
              <w:rPr>
                <w:rFonts w:eastAsia="Times New Roman"/>
                <w:sz w:val="24"/>
                <w:szCs w:val="24"/>
                <w:lang w:eastAsia="en-US"/>
              </w:rPr>
              <w:t>4</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21C5C9A9" w14:textId="77777777" w:rsidR="00317274" w:rsidRPr="00317274" w:rsidRDefault="00317274" w:rsidP="00317274">
            <w:pPr>
              <w:spacing w:after="120"/>
              <w:jc w:val="both"/>
              <w:rPr>
                <w:i/>
                <w:sz w:val="24"/>
                <w:szCs w:val="24"/>
                <w:lang w:eastAsia="en-US"/>
              </w:rPr>
            </w:pPr>
          </w:p>
        </w:tc>
      </w:tr>
      <w:tr w:rsidR="00317274" w:rsidRPr="00317274" w14:paraId="1A2241BC"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1F192A19"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2370C319"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По-малко от 10 % от докторантите по проекта се предвижда да бъдат зачислени във ВУ/НО (основно звено на ВУ) извън ЮЗР.</w:t>
            </w:r>
          </w:p>
        </w:tc>
        <w:tc>
          <w:tcPr>
            <w:tcW w:w="1621" w:type="dxa"/>
            <w:tcBorders>
              <w:top w:val="double" w:sz="6" w:space="0" w:color="0033CC"/>
              <w:bottom w:val="double" w:sz="6" w:space="0" w:color="0033CC"/>
            </w:tcBorders>
            <w:shd w:val="clear" w:color="auto" w:fill="FFFFFF"/>
            <w:vAlign w:val="center"/>
          </w:tcPr>
          <w:p w14:paraId="37F94A88" w14:textId="77777777" w:rsidR="00317274" w:rsidRPr="00317274" w:rsidRDefault="00317274" w:rsidP="00317274">
            <w:pPr>
              <w:spacing w:after="120"/>
              <w:jc w:val="center"/>
              <w:rPr>
                <w:rFonts w:eastAsia="Times New Roman"/>
                <w:b/>
                <w:color w:val="000000"/>
                <w:sz w:val="24"/>
                <w:szCs w:val="24"/>
                <w:lang w:eastAsia="en-GB"/>
              </w:rPr>
            </w:pPr>
            <w:r w:rsidRPr="00317274">
              <w:rPr>
                <w:rFonts w:eastAsia="Times New Roman"/>
                <w:sz w:val="24"/>
                <w:szCs w:val="24"/>
                <w:lang w:eastAsia="en-US"/>
              </w:rPr>
              <w:t>1</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71AD22F0" w14:textId="77777777" w:rsidR="00317274" w:rsidRPr="00317274" w:rsidRDefault="00317274" w:rsidP="00317274">
            <w:pPr>
              <w:spacing w:after="120"/>
              <w:jc w:val="both"/>
              <w:rPr>
                <w:i/>
                <w:sz w:val="24"/>
                <w:szCs w:val="24"/>
                <w:lang w:eastAsia="en-US"/>
              </w:rPr>
            </w:pPr>
          </w:p>
        </w:tc>
      </w:tr>
      <w:tr w:rsidR="00317274" w:rsidRPr="00317274" w14:paraId="6AA3CDDF"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CB9CA" w:themeFill="text2" w:themeFillTint="66"/>
            <w:vAlign w:val="center"/>
          </w:tcPr>
          <w:p w14:paraId="2F40762E"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 xml:space="preserve">6. </w:t>
            </w:r>
          </w:p>
        </w:tc>
        <w:tc>
          <w:tcPr>
            <w:tcW w:w="4055" w:type="dxa"/>
            <w:tcBorders>
              <w:top w:val="single" w:sz="4" w:space="0" w:color="auto"/>
              <w:left w:val="nil"/>
              <w:bottom w:val="single" w:sz="4" w:space="0" w:color="auto"/>
              <w:right w:val="single" w:sz="4" w:space="0" w:color="auto"/>
            </w:tcBorders>
            <w:shd w:val="clear" w:color="auto" w:fill="ACB9CA" w:themeFill="text2" w:themeFillTint="66"/>
            <w:vAlign w:val="bottom"/>
          </w:tcPr>
          <w:p w14:paraId="570294FB" w14:textId="77777777" w:rsidR="00317274" w:rsidRPr="00317274" w:rsidRDefault="00317274" w:rsidP="00317274">
            <w:pPr>
              <w:tabs>
                <w:tab w:val="left" w:pos="-284"/>
              </w:tabs>
              <w:spacing w:after="120" w:line="720" w:lineRule="auto"/>
              <w:rPr>
                <w:rFonts w:eastAsia="Times New Roman"/>
                <w:b/>
                <w:bCs/>
                <w:color w:val="000000"/>
                <w:sz w:val="24"/>
                <w:szCs w:val="24"/>
                <w:lang w:eastAsia="en-GB"/>
              </w:rPr>
            </w:pPr>
            <w:r w:rsidRPr="00317274">
              <w:rPr>
                <w:rFonts w:eastAsia="Times New Roman"/>
                <w:b/>
                <w:sz w:val="24"/>
                <w:szCs w:val="24"/>
                <w:lang w:eastAsia="en-US"/>
              </w:rPr>
              <w:t>Споделяне на ресурси</w:t>
            </w:r>
          </w:p>
        </w:tc>
        <w:tc>
          <w:tcPr>
            <w:tcW w:w="1621" w:type="dxa"/>
            <w:tcBorders>
              <w:top w:val="double" w:sz="6" w:space="0" w:color="0033CC"/>
              <w:bottom w:val="double" w:sz="6" w:space="0" w:color="0033CC"/>
            </w:tcBorders>
            <w:shd w:val="clear" w:color="auto" w:fill="ACB9CA" w:themeFill="text2" w:themeFillTint="66"/>
            <w:vAlign w:val="center"/>
          </w:tcPr>
          <w:p w14:paraId="191A4BF6" w14:textId="77777777" w:rsidR="00317274" w:rsidRPr="00317274" w:rsidRDefault="00317274" w:rsidP="00317274">
            <w:pPr>
              <w:spacing w:after="120"/>
              <w:jc w:val="center"/>
              <w:rPr>
                <w:rFonts w:eastAsia="Times New Roman"/>
                <w:b/>
                <w:bCs/>
                <w:sz w:val="24"/>
                <w:szCs w:val="24"/>
                <w:lang w:eastAsia="en-US"/>
              </w:rPr>
            </w:pPr>
            <w:r w:rsidRPr="00317274">
              <w:rPr>
                <w:rFonts w:eastAsia="Times New Roman"/>
                <w:b/>
                <w:bCs/>
                <w:sz w:val="24"/>
                <w:szCs w:val="24"/>
                <w:lang w:eastAsia="en-US"/>
              </w:rPr>
              <w:t>10</w:t>
            </w:r>
          </w:p>
        </w:tc>
        <w:tc>
          <w:tcPr>
            <w:tcW w:w="3922" w:type="dxa"/>
            <w:tcBorders>
              <w:top w:val="double" w:sz="6" w:space="0" w:color="0033CC"/>
              <w:left w:val="single" w:sz="4" w:space="0" w:color="0033CC"/>
              <w:bottom w:val="double" w:sz="6" w:space="0" w:color="0033CC"/>
              <w:right w:val="double" w:sz="6" w:space="0" w:color="0033CC"/>
            </w:tcBorders>
            <w:shd w:val="clear" w:color="auto" w:fill="ACB9CA" w:themeFill="text2" w:themeFillTint="66"/>
            <w:vAlign w:val="center"/>
          </w:tcPr>
          <w:p w14:paraId="20E0C9A0" w14:textId="77777777" w:rsidR="00317274" w:rsidRPr="00317274" w:rsidRDefault="00317274" w:rsidP="00317274">
            <w:pPr>
              <w:spacing w:after="120"/>
              <w:jc w:val="both"/>
              <w:rPr>
                <w:i/>
                <w:sz w:val="24"/>
                <w:szCs w:val="24"/>
                <w:lang w:eastAsia="en-US"/>
              </w:rPr>
            </w:pPr>
            <w:r w:rsidRPr="00317274">
              <w:rPr>
                <w:i/>
                <w:sz w:val="24"/>
                <w:szCs w:val="24"/>
                <w:lang w:eastAsia="en-US"/>
              </w:rPr>
              <w:t>Формуляр за кандидатстване, секция „Данни за кандидата“, секция „Данни за партньора“, секция „План за изпълнение / Дейности по проекта“,</w:t>
            </w:r>
            <w:r w:rsidRPr="00317274">
              <w:rPr>
                <w:rFonts w:eastAsia="Times New Roman"/>
              </w:rPr>
              <w:t xml:space="preserve"> </w:t>
            </w:r>
            <w:r w:rsidRPr="00317274">
              <w:rPr>
                <w:i/>
                <w:sz w:val="24"/>
                <w:szCs w:val="24"/>
                <w:lang w:eastAsia="en-US"/>
              </w:rPr>
              <w:t>Декларация за партньорство.</w:t>
            </w:r>
          </w:p>
        </w:tc>
      </w:tr>
      <w:tr w:rsidR="00317274" w:rsidRPr="00317274" w14:paraId="3E248798"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291DE08B"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7A3C09FC"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 xml:space="preserve">Проектното предложение предвижда партньорство с друго висше училище/научна организация и в </w:t>
            </w:r>
            <w:r w:rsidRPr="00317274">
              <w:rPr>
                <w:rFonts w:eastAsia="Times New Roman"/>
                <w:color w:val="000000"/>
                <w:sz w:val="24"/>
                <w:szCs w:val="24"/>
                <w:lang w:eastAsia="en-GB"/>
              </w:rPr>
              <w:lastRenderedPageBreak/>
              <w:t>декларацията за партньорство е предвидено споделяне на ресурси.</w:t>
            </w:r>
          </w:p>
        </w:tc>
        <w:tc>
          <w:tcPr>
            <w:tcW w:w="1621" w:type="dxa"/>
            <w:tcBorders>
              <w:top w:val="double" w:sz="6" w:space="0" w:color="0033CC"/>
              <w:bottom w:val="double" w:sz="6" w:space="0" w:color="0033CC"/>
            </w:tcBorders>
            <w:shd w:val="clear" w:color="auto" w:fill="FFFFFF"/>
            <w:vAlign w:val="center"/>
          </w:tcPr>
          <w:p w14:paraId="6C58126A" w14:textId="77777777" w:rsidR="00317274" w:rsidRPr="00317274" w:rsidRDefault="00317274" w:rsidP="00317274">
            <w:pPr>
              <w:spacing w:after="120"/>
              <w:jc w:val="center"/>
              <w:rPr>
                <w:rFonts w:eastAsia="Times New Roman"/>
                <w:sz w:val="24"/>
                <w:szCs w:val="24"/>
                <w:lang w:eastAsia="en-US"/>
              </w:rPr>
            </w:pPr>
            <w:r w:rsidRPr="00317274">
              <w:rPr>
                <w:rFonts w:eastAsia="Times New Roman"/>
                <w:sz w:val="24"/>
                <w:szCs w:val="24"/>
                <w:lang w:eastAsia="en-US"/>
              </w:rPr>
              <w:lastRenderedPageBreak/>
              <w:t>10</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09C74EBE" w14:textId="77777777" w:rsidR="00317274" w:rsidRPr="00317274" w:rsidRDefault="00317274" w:rsidP="00317274">
            <w:pPr>
              <w:spacing w:after="120"/>
              <w:jc w:val="both"/>
              <w:rPr>
                <w:i/>
                <w:sz w:val="24"/>
                <w:szCs w:val="24"/>
                <w:lang w:eastAsia="en-US"/>
              </w:rPr>
            </w:pPr>
          </w:p>
        </w:tc>
      </w:tr>
      <w:tr w:rsidR="00317274" w:rsidRPr="00317274" w14:paraId="23288B26"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1A72B161"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3D0BA3F0"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Проектното предложение  предвижда  партньорство с друго висше училище/научна организация, но в декларацията за партньорство не е предвидено споделяне на ресурси.</w:t>
            </w:r>
          </w:p>
        </w:tc>
        <w:tc>
          <w:tcPr>
            <w:tcW w:w="1621" w:type="dxa"/>
            <w:tcBorders>
              <w:top w:val="double" w:sz="6" w:space="0" w:color="0033CC"/>
              <w:bottom w:val="double" w:sz="6" w:space="0" w:color="0033CC"/>
            </w:tcBorders>
            <w:shd w:val="clear" w:color="auto" w:fill="FFFFFF"/>
            <w:vAlign w:val="center"/>
          </w:tcPr>
          <w:p w14:paraId="029D15E4" w14:textId="77777777" w:rsidR="00317274" w:rsidRPr="00317274" w:rsidRDefault="00317274" w:rsidP="00317274">
            <w:pPr>
              <w:spacing w:after="120"/>
              <w:jc w:val="center"/>
              <w:rPr>
                <w:rFonts w:eastAsia="Times New Roman"/>
                <w:sz w:val="24"/>
                <w:szCs w:val="24"/>
                <w:lang w:eastAsia="en-US"/>
              </w:rPr>
            </w:pPr>
            <w:r w:rsidRPr="00317274">
              <w:rPr>
                <w:rFonts w:eastAsia="Times New Roman"/>
                <w:sz w:val="24"/>
                <w:szCs w:val="24"/>
                <w:lang w:eastAsia="en-US"/>
              </w:rPr>
              <w:t>5</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5F5D8E4A" w14:textId="77777777" w:rsidR="00317274" w:rsidRPr="00317274" w:rsidRDefault="00317274" w:rsidP="00317274">
            <w:pPr>
              <w:spacing w:after="120"/>
              <w:jc w:val="both"/>
              <w:rPr>
                <w:i/>
                <w:sz w:val="24"/>
                <w:szCs w:val="24"/>
                <w:lang w:eastAsia="en-US"/>
              </w:rPr>
            </w:pPr>
          </w:p>
        </w:tc>
      </w:tr>
      <w:tr w:rsidR="00317274" w:rsidRPr="00317274" w14:paraId="5A07FBC7"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656EE840"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6AD0C8F9"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 xml:space="preserve">Проектното предложение не предвижда партньорство с друго висше училище/научна организация. </w:t>
            </w:r>
          </w:p>
        </w:tc>
        <w:tc>
          <w:tcPr>
            <w:tcW w:w="1621" w:type="dxa"/>
            <w:tcBorders>
              <w:top w:val="double" w:sz="6" w:space="0" w:color="0033CC"/>
              <w:bottom w:val="double" w:sz="6" w:space="0" w:color="0033CC"/>
            </w:tcBorders>
            <w:shd w:val="clear" w:color="auto" w:fill="FFFFFF"/>
            <w:vAlign w:val="center"/>
          </w:tcPr>
          <w:p w14:paraId="66BADD9C" w14:textId="77777777" w:rsidR="00317274" w:rsidRPr="00317274" w:rsidRDefault="00317274" w:rsidP="00317274">
            <w:pPr>
              <w:spacing w:after="120"/>
              <w:jc w:val="center"/>
              <w:rPr>
                <w:rFonts w:eastAsia="Times New Roman"/>
                <w:sz w:val="24"/>
                <w:szCs w:val="24"/>
                <w:lang w:eastAsia="en-US"/>
              </w:rPr>
            </w:pPr>
            <w:r w:rsidRPr="00317274">
              <w:rPr>
                <w:rFonts w:eastAsia="Times New Roman"/>
                <w:sz w:val="24"/>
                <w:szCs w:val="24"/>
                <w:lang w:eastAsia="en-US"/>
              </w:rPr>
              <w:t>1</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29D48BE8" w14:textId="77777777" w:rsidR="00317274" w:rsidRPr="00317274" w:rsidRDefault="00317274" w:rsidP="00317274">
            <w:pPr>
              <w:spacing w:after="120"/>
              <w:jc w:val="both"/>
              <w:rPr>
                <w:i/>
                <w:sz w:val="24"/>
                <w:szCs w:val="24"/>
                <w:lang w:eastAsia="en-US"/>
              </w:rPr>
            </w:pPr>
          </w:p>
        </w:tc>
      </w:tr>
      <w:tr w:rsidR="00317274" w:rsidRPr="00317274" w14:paraId="49DA6B1D"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7F52D97B"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7</w:t>
            </w:r>
          </w:p>
        </w:tc>
        <w:tc>
          <w:tcPr>
            <w:tcW w:w="4055" w:type="dxa"/>
            <w:tcBorders>
              <w:top w:val="single" w:sz="4" w:space="0" w:color="auto"/>
              <w:left w:val="nil"/>
              <w:bottom w:val="single" w:sz="4" w:space="0" w:color="auto"/>
              <w:right w:val="single" w:sz="4" w:space="0" w:color="auto"/>
            </w:tcBorders>
            <w:shd w:val="clear" w:color="auto" w:fill="auto"/>
            <w:vAlign w:val="center"/>
          </w:tcPr>
          <w:p w14:paraId="286E3BDF" w14:textId="77777777" w:rsidR="00317274" w:rsidRPr="00317274" w:rsidRDefault="00317274" w:rsidP="00317274">
            <w:pPr>
              <w:spacing w:after="120"/>
              <w:jc w:val="both"/>
              <w:rPr>
                <w:rFonts w:eastAsia="Times New Roman"/>
                <w:b/>
                <w:color w:val="000000"/>
                <w:sz w:val="24"/>
                <w:szCs w:val="24"/>
                <w:lang w:eastAsia="en-GB"/>
              </w:rPr>
            </w:pPr>
            <w:r w:rsidRPr="00317274">
              <w:rPr>
                <w:rFonts w:eastAsia="Times New Roman"/>
                <w:b/>
                <w:color w:val="000000"/>
                <w:sz w:val="24"/>
                <w:szCs w:val="24"/>
                <w:lang w:eastAsia="en-GB"/>
              </w:rPr>
              <w:t>Капацитет на докторските програми</w:t>
            </w:r>
          </w:p>
        </w:tc>
        <w:tc>
          <w:tcPr>
            <w:tcW w:w="1621" w:type="dxa"/>
            <w:tcBorders>
              <w:top w:val="double" w:sz="6" w:space="0" w:color="0033CC"/>
              <w:bottom w:val="double" w:sz="6" w:space="0" w:color="0033CC"/>
            </w:tcBorders>
            <w:shd w:val="clear" w:color="auto" w:fill="FFFFFF"/>
            <w:vAlign w:val="center"/>
          </w:tcPr>
          <w:p w14:paraId="27FB9AFA" w14:textId="77777777" w:rsidR="00317274" w:rsidRPr="00317274" w:rsidRDefault="00317274" w:rsidP="00317274">
            <w:pPr>
              <w:spacing w:after="120"/>
              <w:jc w:val="center"/>
              <w:rPr>
                <w:rFonts w:eastAsia="Times New Roman"/>
                <w:b/>
                <w:sz w:val="24"/>
                <w:szCs w:val="24"/>
                <w:lang w:eastAsia="en-US"/>
              </w:rPr>
            </w:pPr>
            <w:r w:rsidRPr="00317274">
              <w:rPr>
                <w:rFonts w:eastAsia="Times New Roman"/>
                <w:b/>
                <w:sz w:val="24"/>
                <w:szCs w:val="24"/>
                <w:lang w:eastAsia="en-US"/>
              </w:rPr>
              <w:t>15</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7A752ECD" w14:textId="77777777" w:rsidR="00317274" w:rsidRPr="00317274" w:rsidRDefault="00317274" w:rsidP="00317274">
            <w:pPr>
              <w:spacing w:after="120"/>
              <w:jc w:val="both"/>
              <w:rPr>
                <w:bCs/>
                <w:i/>
                <w:sz w:val="24"/>
                <w:szCs w:val="24"/>
                <w:lang w:eastAsia="en-US"/>
              </w:rPr>
            </w:pPr>
            <w:r w:rsidRPr="00317274">
              <w:rPr>
                <w:bCs/>
                <w:i/>
                <w:sz w:val="24"/>
                <w:szCs w:val="24"/>
                <w:lang w:eastAsia="en-US"/>
              </w:rPr>
              <w:t>Служебна информация за последната оценка от акредитацията на включените в проекта докторски програми, предоставена от Национална агенция за оценяване и акредитация</w:t>
            </w:r>
          </w:p>
          <w:p w14:paraId="7C916156" w14:textId="77777777" w:rsidR="00317274" w:rsidRPr="00317274" w:rsidRDefault="00317274" w:rsidP="00317274">
            <w:pPr>
              <w:spacing w:after="120"/>
              <w:jc w:val="both"/>
              <w:rPr>
                <w:bCs/>
                <w:i/>
                <w:sz w:val="24"/>
                <w:szCs w:val="24"/>
                <w:lang w:eastAsia="en-US"/>
              </w:rPr>
            </w:pPr>
            <w:r w:rsidRPr="00317274">
              <w:rPr>
                <w:bCs/>
                <w:i/>
                <w:sz w:val="24"/>
                <w:szCs w:val="24"/>
                <w:lang w:eastAsia="en-US"/>
              </w:rPr>
              <w:t>Забележка:</w:t>
            </w:r>
          </w:p>
          <w:p w14:paraId="70500B9D" w14:textId="77777777" w:rsidR="00317274" w:rsidRPr="00317274" w:rsidRDefault="00317274" w:rsidP="00317274">
            <w:pPr>
              <w:spacing w:after="120"/>
              <w:jc w:val="both"/>
              <w:rPr>
                <w:b/>
                <w:i/>
                <w:sz w:val="24"/>
                <w:szCs w:val="24"/>
                <w:lang w:eastAsia="en-US"/>
              </w:rPr>
            </w:pPr>
            <w:r w:rsidRPr="00317274">
              <w:rPr>
                <w:bCs/>
                <w:i/>
                <w:sz w:val="24"/>
                <w:szCs w:val="24"/>
                <w:lang w:eastAsia="en-US"/>
              </w:rPr>
              <w:t>За целите на оценката се изчислява средноаритметичната оценка за всички включени докторски програми и се закръглява до втория знак след десетичната запетая.</w:t>
            </w:r>
          </w:p>
        </w:tc>
      </w:tr>
      <w:tr w:rsidR="00317274" w:rsidRPr="00317274" w14:paraId="17BB42B8"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5B4C12B9"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10771F39"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Средната оценка от последната акредитация на докторските програми, включени в проектното предложение, е между 9,50 и 10,00.</w:t>
            </w:r>
          </w:p>
        </w:tc>
        <w:tc>
          <w:tcPr>
            <w:tcW w:w="1621" w:type="dxa"/>
            <w:tcBorders>
              <w:top w:val="double" w:sz="6" w:space="0" w:color="0033CC"/>
              <w:bottom w:val="double" w:sz="6" w:space="0" w:color="0033CC"/>
            </w:tcBorders>
            <w:shd w:val="clear" w:color="auto" w:fill="FFFFFF"/>
            <w:vAlign w:val="center"/>
          </w:tcPr>
          <w:p w14:paraId="44F58348" w14:textId="77777777" w:rsidR="00317274" w:rsidRPr="00317274" w:rsidRDefault="00317274" w:rsidP="00317274">
            <w:pPr>
              <w:spacing w:after="120"/>
              <w:jc w:val="center"/>
              <w:rPr>
                <w:rFonts w:eastAsia="Times New Roman"/>
                <w:sz w:val="24"/>
                <w:szCs w:val="24"/>
                <w:lang w:eastAsia="en-US"/>
              </w:rPr>
            </w:pPr>
            <w:r w:rsidRPr="00317274">
              <w:rPr>
                <w:rFonts w:eastAsia="Times New Roman"/>
                <w:sz w:val="24"/>
                <w:szCs w:val="24"/>
                <w:lang w:eastAsia="en-US"/>
              </w:rPr>
              <w:t>15</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19BA3621" w14:textId="77777777" w:rsidR="00317274" w:rsidRPr="00317274" w:rsidRDefault="00317274" w:rsidP="00317274">
            <w:pPr>
              <w:spacing w:after="120"/>
              <w:jc w:val="both"/>
              <w:rPr>
                <w:i/>
                <w:sz w:val="24"/>
                <w:szCs w:val="24"/>
                <w:lang w:eastAsia="en-US"/>
              </w:rPr>
            </w:pPr>
          </w:p>
        </w:tc>
      </w:tr>
      <w:tr w:rsidR="00317274" w:rsidRPr="00317274" w14:paraId="1928311C"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05FB3F33"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12B43D67"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Средната оценка от последната акредитация на докторските програми, включени в проектното предложение, е между 9,00 и 9,49.</w:t>
            </w:r>
          </w:p>
        </w:tc>
        <w:tc>
          <w:tcPr>
            <w:tcW w:w="1621" w:type="dxa"/>
            <w:tcBorders>
              <w:top w:val="double" w:sz="6" w:space="0" w:color="0033CC"/>
              <w:bottom w:val="double" w:sz="6" w:space="0" w:color="0033CC"/>
            </w:tcBorders>
            <w:shd w:val="clear" w:color="auto" w:fill="FFFFFF"/>
            <w:vAlign w:val="center"/>
          </w:tcPr>
          <w:p w14:paraId="27A462E6" w14:textId="77777777" w:rsidR="00317274" w:rsidRPr="00317274" w:rsidRDefault="00317274" w:rsidP="00317274">
            <w:pPr>
              <w:spacing w:after="120"/>
              <w:jc w:val="center"/>
              <w:rPr>
                <w:rFonts w:eastAsia="Times New Roman"/>
                <w:sz w:val="24"/>
                <w:szCs w:val="24"/>
                <w:lang w:eastAsia="en-US"/>
              </w:rPr>
            </w:pPr>
            <w:r w:rsidRPr="00317274">
              <w:rPr>
                <w:rFonts w:eastAsia="Times New Roman"/>
                <w:sz w:val="24"/>
                <w:szCs w:val="24"/>
                <w:lang w:eastAsia="en-US"/>
              </w:rPr>
              <w:t>10</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6872DA28" w14:textId="77777777" w:rsidR="00317274" w:rsidRPr="00317274" w:rsidRDefault="00317274" w:rsidP="00317274">
            <w:pPr>
              <w:spacing w:after="120"/>
              <w:jc w:val="both"/>
              <w:rPr>
                <w:i/>
                <w:sz w:val="24"/>
                <w:szCs w:val="24"/>
                <w:lang w:eastAsia="en-US"/>
              </w:rPr>
            </w:pPr>
          </w:p>
        </w:tc>
      </w:tr>
      <w:tr w:rsidR="00317274" w:rsidRPr="00317274" w14:paraId="71255174"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35F0CD53"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7201ADEF"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Средната оценка от последната акредитация на докторските програми, включени в проектното предложение, е между 8,50 и 8,99.</w:t>
            </w:r>
          </w:p>
        </w:tc>
        <w:tc>
          <w:tcPr>
            <w:tcW w:w="1621" w:type="dxa"/>
            <w:tcBorders>
              <w:top w:val="double" w:sz="6" w:space="0" w:color="0033CC"/>
              <w:bottom w:val="double" w:sz="6" w:space="0" w:color="0033CC"/>
            </w:tcBorders>
            <w:shd w:val="clear" w:color="auto" w:fill="FFFFFF"/>
            <w:vAlign w:val="center"/>
          </w:tcPr>
          <w:p w14:paraId="457AA049" w14:textId="77777777" w:rsidR="00317274" w:rsidRPr="00317274" w:rsidRDefault="00317274" w:rsidP="00317274">
            <w:pPr>
              <w:spacing w:after="120"/>
              <w:jc w:val="center"/>
              <w:rPr>
                <w:rFonts w:eastAsia="Times New Roman"/>
                <w:sz w:val="24"/>
                <w:szCs w:val="24"/>
                <w:lang w:eastAsia="en-US"/>
              </w:rPr>
            </w:pPr>
            <w:r w:rsidRPr="00317274">
              <w:rPr>
                <w:rFonts w:eastAsia="Times New Roman"/>
                <w:sz w:val="24"/>
                <w:szCs w:val="24"/>
                <w:lang w:eastAsia="en-US"/>
              </w:rPr>
              <w:t>5</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0C63F11B" w14:textId="77777777" w:rsidR="00317274" w:rsidRPr="00317274" w:rsidRDefault="00317274" w:rsidP="00317274">
            <w:pPr>
              <w:spacing w:after="120"/>
              <w:jc w:val="both"/>
              <w:rPr>
                <w:i/>
                <w:sz w:val="24"/>
                <w:szCs w:val="24"/>
                <w:lang w:eastAsia="en-US"/>
              </w:rPr>
            </w:pPr>
          </w:p>
        </w:tc>
      </w:tr>
      <w:tr w:rsidR="00317274" w:rsidRPr="00317274" w14:paraId="6A638955"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uto"/>
            <w:vAlign w:val="center"/>
          </w:tcPr>
          <w:p w14:paraId="3FB2B545"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auto"/>
              <w:left w:val="nil"/>
              <w:bottom w:val="single" w:sz="4" w:space="0" w:color="auto"/>
              <w:right w:val="single" w:sz="4" w:space="0" w:color="auto"/>
            </w:tcBorders>
            <w:shd w:val="clear" w:color="auto" w:fill="auto"/>
            <w:vAlign w:val="bottom"/>
          </w:tcPr>
          <w:p w14:paraId="45E0E1B9"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Средната оценка от последната акредитация на докторските програми, включени в проектното предложение, е между 8,00 и 8,49.</w:t>
            </w:r>
          </w:p>
        </w:tc>
        <w:tc>
          <w:tcPr>
            <w:tcW w:w="1621" w:type="dxa"/>
            <w:tcBorders>
              <w:top w:val="double" w:sz="6" w:space="0" w:color="0033CC"/>
              <w:bottom w:val="double" w:sz="6" w:space="0" w:color="0033CC"/>
            </w:tcBorders>
            <w:shd w:val="clear" w:color="auto" w:fill="FFFFFF"/>
            <w:vAlign w:val="center"/>
          </w:tcPr>
          <w:p w14:paraId="5F403EE3" w14:textId="77777777" w:rsidR="00317274" w:rsidRPr="00317274" w:rsidRDefault="00317274" w:rsidP="00317274">
            <w:pPr>
              <w:spacing w:after="120"/>
              <w:jc w:val="center"/>
              <w:rPr>
                <w:rFonts w:eastAsia="Times New Roman"/>
                <w:sz w:val="24"/>
                <w:szCs w:val="24"/>
                <w:lang w:eastAsia="en-US"/>
              </w:rPr>
            </w:pPr>
            <w:r w:rsidRPr="00317274">
              <w:rPr>
                <w:rFonts w:eastAsia="Times New Roman"/>
                <w:sz w:val="24"/>
                <w:szCs w:val="24"/>
                <w:lang w:eastAsia="en-US"/>
              </w:rPr>
              <w:t>1</w:t>
            </w:r>
          </w:p>
        </w:tc>
        <w:tc>
          <w:tcPr>
            <w:tcW w:w="3922" w:type="dxa"/>
            <w:tcBorders>
              <w:top w:val="double" w:sz="6" w:space="0" w:color="0033CC"/>
              <w:left w:val="single" w:sz="4" w:space="0" w:color="0033CC"/>
              <w:bottom w:val="double" w:sz="6" w:space="0" w:color="0033CC"/>
              <w:right w:val="double" w:sz="6" w:space="0" w:color="0033CC"/>
            </w:tcBorders>
            <w:shd w:val="clear" w:color="auto" w:fill="auto"/>
            <w:vAlign w:val="center"/>
          </w:tcPr>
          <w:p w14:paraId="3EB96BA6" w14:textId="77777777" w:rsidR="00317274" w:rsidRPr="00317274" w:rsidRDefault="00317274" w:rsidP="00317274">
            <w:pPr>
              <w:spacing w:after="120"/>
              <w:jc w:val="both"/>
              <w:rPr>
                <w:i/>
                <w:sz w:val="24"/>
                <w:szCs w:val="24"/>
                <w:lang w:eastAsia="en-US"/>
              </w:rPr>
            </w:pPr>
          </w:p>
        </w:tc>
      </w:tr>
      <w:tr w:rsidR="00317274" w:rsidRPr="00317274" w14:paraId="46D0B61F" w14:textId="77777777" w:rsidTr="00FF32D8">
        <w:trPr>
          <w:trHeight w:val="580"/>
          <w:jc w:val="center"/>
        </w:trPr>
        <w:tc>
          <w:tcPr>
            <w:tcW w:w="4860" w:type="dxa"/>
            <w:gridSpan w:val="2"/>
            <w:tcBorders>
              <w:top w:val="double" w:sz="6" w:space="0" w:color="0033CC"/>
              <w:left w:val="double" w:sz="6" w:space="0" w:color="0033CC"/>
              <w:bottom w:val="double" w:sz="6" w:space="0" w:color="0033CC"/>
              <w:right w:val="single" w:sz="4" w:space="0" w:color="0033CC"/>
            </w:tcBorders>
            <w:shd w:val="clear" w:color="auto" w:fill="ACB9CA" w:themeFill="text2" w:themeFillTint="66"/>
            <w:vAlign w:val="center"/>
          </w:tcPr>
          <w:p w14:paraId="07986D68" w14:textId="77777777" w:rsidR="00317274" w:rsidRPr="00317274" w:rsidRDefault="00317274" w:rsidP="00317274">
            <w:pPr>
              <w:spacing w:after="120"/>
              <w:jc w:val="both"/>
              <w:rPr>
                <w:rFonts w:eastAsia="Times New Roman"/>
                <w:b/>
                <w:color w:val="000000"/>
                <w:sz w:val="24"/>
                <w:szCs w:val="24"/>
                <w:lang w:eastAsia="en-GB"/>
              </w:rPr>
            </w:pPr>
            <w:r w:rsidRPr="00317274">
              <w:rPr>
                <w:rFonts w:eastAsia="Times New Roman"/>
                <w:b/>
                <w:color w:val="000000"/>
                <w:sz w:val="24"/>
                <w:szCs w:val="24"/>
                <w:lang w:eastAsia="en-GB"/>
              </w:rPr>
              <w:t>МАКСИМАЛЕН БРОЙ ТОЧКИ</w:t>
            </w:r>
            <w:r w:rsidRPr="00317274">
              <w:rPr>
                <w:rFonts w:eastAsia="Times New Roman"/>
                <w:b/>
                <w:color w:val="000000"/>
                <w:sz w:val="24"/>
                <w:szCs w:val="24"/>
                <w:lang w:eastAsia="en-GB"/>
              </w:rPr>
              <w:tab/>
            </w:r>
            <w:r w:rsidRPr="00317274">
              <w:rPr>
                <w:rFonts w:eastAsia="Times New Roman"/>
                <w:b/>
                <w:color w:val="000000"/>
                <w:sz w:val="24"/>
                <w:szCs w:val="24"/>
                <w:lang w:eastAsia="en-GB"/>
              </w:rPr>
              <w:tab/>
            </w:r>
          </w:p>
        </w:tc>
        <w:tc>
          <w:tcPr>
            <w:tcW w:w="1621" w:type="dxa"/>
            <w:tcBorders>
              <w:top w:val="single" w:sz="4" w:space="0" w:color="0033CC"/>
              <w:left w:val="single" w:sz="4" w:space="0" w:color="0033CC"/>
              <w:bottom w:val="double" w:sz="6" w:space="0" w:color="0033CC"/>
              <w:right w:val="single" w:sz="4" w:space="0" w:color="0033CC"/>
            </w:tcBorders>
            <w:shd w:val="clear" w:color="auto" w:fill="ACB9CA" w:themeFill="text2" w:themeFillTint="66"/>
          </w:tcPr>
          <w:p w14:paraId="7DA9D4FE" w14:textId="77777777" w:rsidR="00317274" w:rsidRPr="00317274" w:rsidRDefault="00317274" w:rsidP="00317274">
            <w:pPr>
              <w:spacing w:after="120"/>
              <w:jc w:val="center"/>
              <w:rPr>
                <w:rFonts w:eastAsia="Times New Roman"/>
                <w:b/>
                <w:color w:val="000000"/>
                <w:sz w:val="24"/>
                <w:szCs w:val="24"/>
                <w:lang w:eastAsia="en-GB"/>
              </w:rPr>
            </w:pPr>
            <w:r w:rsidRPr="00317274">
              <w:rPr>
                <w:rFonts w:eastAsia="Times New Roman"/>
                <w:b/>
                <w:color w:val="000000"/>
                <w:sz w:val="24"/>
                <w:szCs w:val="24"/>
                <w:lang w:eastAsia="en-GB"/>
              </w:rPr>
              <w:t>100</w:t>
            </w:r>
          </w:p>
        </w:tc>
        <w:tc>
          <w:tcPr>
            <w:tcW w:w="3922" w:type="dxa"/>
            <w:tcBorders>
              <w:top w:val="double" w:sz="6" w:space="0" w:color="0033CC"/>
              <w:left w:val="single" w:sz="4" w:space="0" w:color="0033CC"/>
              <w:bottom w:val="double" w:sz="6" w:space="0" w:color="0033CC"/>
              <w:right w:val="double" w:sz="6" w:space="0" w:color="0033CC"/>
            </w:tcBorders>
            <w:shd w:val="clear" w:color="auto" w:fill="ACB9CA" w:themeFill="text2" w:themeFillTint="66"/>
            <w:vAlign w:val="center"/>
          </w:tcPr>
          <w:p w14:paraId="775D0689" w14:textId="77777777" w:rsidR="00317274" w:rsidRPr="00317274" w:rsidRDefault="00317274" w:rsidP="00317274">
            <w:pPr>
              <w:spacing w:after="120"/>
              <w:jc w:val="both"/>
              <w:rPr>
                <w:b/>
                <w:i/>
                <w:sz w:val="24"/>
                <w:szCs w:val="24"/>
                <w:lang w:eastAsia="en-US"/>
              </w:rPr>
            </w:pPr>
          </w:p>
        </w:tc>
      </w:tr>
      <w:tr w:rsidR="00317274" w:rsidRPr="00317274" w14:paraId="31E2A5B5" w14:textId="77777777" w:rsidTr="00FF32D8">
        <w:trPr>
          <w:trHeight w:val="181"/>
          <w:jc w:val="center"/>
        </w:trPr>
        <w:tc>
          <w:tcPr>
            <w:tcW w:w="805" w:type="dxa"/>
            <w:tcBorders>
              <w:top w:val="double" w:sz="6" w:space="0" w:color="0033CC"/>
              <w:left w:val="double" w:sz="6" w:space="0" w:color="0033CC"/>
              <w:bottom w:val="double" w:sz="6" w:space="0" w:color="0033CC"/>
              <w:right w:val="single" w:sz="4" w:space="0" w:color="0033CC"/>
            </w:tcBorders>
            <w:shd w:val="clear" w:color="auto" w:fill="FFFFFF"/>
            <w:vAlign w:val="center"/>
          </w:tcPr>
          <w:p w14:paraId="4FE7A2F2" w14:textId="77777777" w:rsidR="00317274" w:rsidRPr="00317274" w:rsidRDefault="00317274" w:rsidP="00317274">
            <w:pPr>
              <w:tabs>
                <w:tab w:val="left" w:pos="-284"/>
              </w:tabs>
              <w:spacing w:after="120"/>
              <w:rPr>
                <w:rFonts w:eastAsia="Times New Roman"/>
                <w:b/>
                <w:sz w:val="24"/>
                <w:szCs w:val="24"/>
                <w:lang w:val="en-US" w:eastAsia="en-US"/>
              </w:rPr>
            </w:pPr>
          </w:p>
        </w:tc>
        <w:tc>
          <w:tcPr>
            <w:tcW w:w="4055" w:type="dxa"/>
            <w:tcBorders>
              <w:top w:val="single" w:sz="4" w:space="0" w:color="0033CC"/>
              <w:left w:val="single" w:sz="4" w:space="0" w:color="0033CC"/>
              <w:bottom w:val="double" w:sz="6" w:space="0" w:color="0033CC"/>
              <w:right w:val="single" w:sz="4" w:space="0" w:color="0033CC"/>
            </w:tcBorders>
            <w:shd w:val="clear" w:color="auto" w:fill="FFFFFF"/>
          </w:tcPr>
          <w:p w14:paraId="0462F609" w14:textId="77777777" w:rsidR="00317274" w:rsidRPr="00317274" w:rsidRDefault="00317274" w:rsidP="00317274">
            <w:pPr>
              <w:spacing w:after="120"/>
              <w:jc w:val="both"/>
              <w:rPr>
                <w:rFonts w:eastAsia="Times New Roman"/>
                <w:color w:val="000000"/>
                <w:sz w:val="24"/>
                <w:szCs w:val="24"/>
                <w:lang w:eastAsia="en-GB"/>
              </w:rPr>
            </w:pPr>
          </w:p>
        </w:tc>
        <w:tc>
          <w:tcPr>
            <w:tcW w:w="1621" w:type="dxa"/>
            <w:tcBorders>
              <w:top w:val="single" w:sz="4" w:space="0" w:color="0033CC"/>
              <w:left w:val="single" w:sz="4" w:space="0" w:color="0033CC"/>
              <w:bottom w:val="double" w:sz="6" w:space="0" w:color="0033CC"/>
              <w:right w:val="single" w:sz="4" w:space="0" w:color="0033CC"/>
            </w:tcBorders>
            <w:shd w:val="clear" w:color="auto" w:fill="FFFFFF"/>
          </w:tcPr>
          <w:p w14:paraId="63855BC2" w14:textId="77777777" w:rsidR="00317274" w:rsidRPr="00317274" w:rsidRDefault="00317274" w:rsidP="00317274">
            <w:pPr>
              <w:spacing w:after="120"/>
              <w:jc w:val="center"/>
              <w:rPr>
                <w:rFonts w:eastAsia="Times New Roman"/>
                <w:color w:val="000000"/>
                <w:sz w:val="24"/>
                <w:szCs w:val="24"/>
                <w:lang w:eastAsia="en-GB"/>
              </w:rPr>
            </w:pPr>
          </w:p>
        </w:tc>
        <w:tc>
          <w:tcPr>
            <w:tcW w:w="3922" w:type="dxa"/>
            <w:tcBorders>
              <w:top w:val="double" w:sz="6" w:space="0" w:color="0033CC"/>
              <w:left w:val="single" w:sz="4" w:space="0" w:color="0033CC"/>
              <w:bottom w:val="double" w:sz="6" w:space="0" w:color="0033CC"/>
              <w:right w:val="double" w:sz="6" w:space="0" w:color="0033CC"/>
            </w:tcBorders>
            <w:shd w:val="clear" w:color="auto" w:fill="FFFFFF"/>
            <w:vAlign w:val="center"/>
          </w:tcPr>
          <w:p w14:paraId="0E1E0CED" w14:textId="77777777" w:rsidR="00317274" w:rsidRPr="00317274" w:rsidRDefault="00317274" w:rsidP="00317274">
            <w:pPr>
              <w:spacing w:after="120"/>
              <w:jc w:val="both"/>
              <w:rPr>
                <w:i/>
                <w:sz w:val="24"/>
                <w:szCs w:val="24"/>
                <w:lang w:eastAsia="en-US"/>
              </w:rPr>
            </w:pPr>
          </w:p>
        </w:tc>
      </w:tr>
      <w:tr w:rsidR="00317274" w:rsidRPr="00317274" w14:paraId="02198746"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ACB9CA" w:themeFill="text2" w:themeFillTint="66"/>
            <w:vAlign w:val="center"/>
          </w:tcPr>
          <w:p w14:paraId="5EFBE0C7"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8</w:t>
            </w:r>
          </w:p>
        </w:tc>
        <w:tc>
          <w:tcPr>
            <w:tcW w:w="4055" w:type="dxa"/>
            <w:tcBorders>
              <w:top w:val="single" w:sz="4" w:space="0" w:color="0033CC"/>
              <w:left w:val="single" w:sz="4" w:space="0" w:color="0033CC"/>
              <w:bottom w:val="double" w:sz="6" w:space="0" w:color="0033CC"/>
              <w:right w:val="single" w:sz="4" w:space="0" w:color="0033CC"/>
            </w:tcBorders>
            <w:shd w:val="clear" w:color="auto" w:fill="ACB9CA" w:themeFill="text2" w:themeFillTint="66"/>
          </w:tcPr>
          <w:p w14:paraId="7FEB0BD4"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Финална ТФО след проверка на бюджет</w:t>
            </w:r>
          </w:p>
        </w:tc>
        <w:tc>
          <w:tcPr>
            <w:tcW w:w="1621" w:type="dxa"/>
            <w:tcBorders>
              <w:top w:val="single" w:sz="4" w:space="0" w:color="0033CC"/>
              <w:left w:val="single" w:sz="4" w:space="0" w:color="0033CC"/>
              <w:bottom w:val="double" w:sz="6" w:space="0" w:color="0033CC"/>
              <w:right w:val="single" w:sz="4" w:space="0" w:color="0033CC"/>
            </w:tcBorders>
            <w:shd w:val="clear" w:color="auto" w:fill="ACB9CA" w:themeFill="text2" w:themeFillTint="66"/>
          </w:tcPr>
          <w:p w14:paraId="7731C68A" w14:textId="77777777" w:rsidR="00317274" w:rsidRPr="00317274" w:rsidRDefault="00317274" w:rsidP="00317274">
            <w:pPr>
              <w:tabs>
                <w:tab w:val="left" w:pos="-284"/>
              </w:tabs>
              <w:spacing w:after="120"/>
              <w:rPr>
                <w:rFonts w:eastAsia="Times New Roman"/>
                <w:b/>
                <w:sz w:val="24"/>
                <w:szCs w:val="24"/>
                <w:lang w:eastAsia="en-US"/>
              </w:rPr>
            </w:pPr>
          </w:p>
        </w:tc>
        <w:tc>
          <w:tcPr>
            <w:tcW w:w="3922" w:type="dxa"/>
            <w:tcBorders>
              <w:top w:val="double" w:sz="6" w:space="0" w:color="0033CC"/>
              <w:left w:val="single" w:sz="4" w:space="0" w:color="0033CC"/>
              <w:bottom w:val="double" w:sz="6" w:space="0" w:color="0033CC"/>
              <w:right w:val="double" w:sz="6" w:space="0" w:color="0033CC"/>
            </w:tcBorders>
            <w:shd w:val="clear" w:color="auto" w:fill="ACB9CA" w:themeFill="text2" w:themeFillTint="66"/>
            <w:vAlign w:val="center"/>
          </w:tcPr>
          <w:p w14:paraId="4B9A8628" w14:textId="77777777" w:rsidR="00317274" w:rsidRPr="00317274" w:rsidRDefault="00317274" w:rsidP="00317274">
            <w:pPr>
              <w:tabs>
                <w:tab w:val="left" w:pos="-284"/>
              </w:tabs>
              <w:spacing w:after="120"/>
              <w:rPr>
                <w:rFonts w:eastAsia="Times New Roman"/>
                <w:b/>
                <w:sz w:val="24"/>
                <w:szCs w:val="24"/>
                <w:lang w:eastAsia="en-US"/>
              </w:rPr>
            </w:pPr>
            <w:r w:rsidRPr="00317274">
              <w:rPr>
                <w:rFonts w:eastAsia="Times New Roman"/>
                <w:b/>
                <w:sz w:val="24"/>
                <w:szCs w:val="24"/>
                <w:lang w:eastAsia="en-US"/>
              </w:rPr>
              <w:t>Формуляр за кандидатстване, Раздел 5 „Бюджет (в лева)</w:t>
            </w:r>
          </w:p>
        </w:tc>
      </w:tr>
      <w:tr w:rsidR="00317274" w:rsidRPr="00317274" w14:paraId="58E25E2F" w14:textId="77777777" w:rsidTr="00FF32D8">
        <w:trPr>
          <w:trHeight w:val="580"/>
          <w:jc w:val="center"/>
        </w:trPr>
        <w:tc>
          <w:tcPr>
            <w:tcW w:w="805" w:type="dxa"/>
            <w:tcBorders>
              <w:top w:val="double" w:sz="6" w:space="0" w:color="0033CC"/>
              <w:left w:val="double" w:sz="6" w:space="0" w:color="0033CC"/>
              <w:bottom w:val="double" w:sz="6" w:space="0" w:color="0033CC"/>
              <w:right w:val="single" w:sz="4" w:space="0" w:color="0033CC"/>
            </w:tcBorders>
            <w:shd w:val="clear" w:color="auto" w:fill="FFFFFF"/>
            <w:vAlign w:val="center"/>
          </w:tcPr>
          <w:p w14:paraId="28673AA2" w14:textId="77777777" w:rsidR="00317274" w:rsidRPr="00317274" w:rsidRDefault="00317274" w:rsidP="00317274">
            <w:pPr>
              <w:tabs>
                <w:tab w:val="left" w:pos="-284"/>
              </w:tabs>
              <w:spacing w:after="120"/>
              <w:rPr>
                <w:rFonts w:eastAsia="Times New Roman"/>
                <w:b/>
                <w:sz w:val="24"/>
                <w:szCs w:val="24"/>
                <w:lang w:eastAsia="en-US"/>
              </w:rPr>
            </w:pPr>
          </w:p>
        </w:tc>
        <w:tc>
          <w:tcPr>
            <w:tcW w:w="4055" w:type="dxa"/>
            <w:tcBorders>
              <w:top w:val="single" w:sz="4" w:space="0" w:color="0033CC"/>
              <w:left w:val="single" w:sz="4" w:space="0" w:color="0033CC"/>
              <w:bottom w:val="double" w:sz="6" w:space="0" w:color="0033CC"/>
              <w:right w:val="single" w:sz="4" w:space="0" w:color="0033CC"/>
            </w:tcBorders>
            <w:shd w:val="clear" w:color="auto" w:fill="FFFFFF"/>
          </w:tcPr>
          <w:p w14:paraId="1B412728" w14:textId="77777777" w:rsidR="00317274" w:rsidRPr="00317274" w:rsidRDefault="00317274" w:rsidP="00317274">
            <w:pPr>
              <w:spacing w:after="120"/>
              <w:jc w:val="both"/>
              <w:rPr>
                <w:rFonts w:eastAsia="Times New Roman"/>
                <w:color w:val="000000"/>
                <w:sz w:val="24"/>
                <w:szCs w:val="24"/>
                <w:lang w:eastAsia="en-GB"/>
              </w:rPr>
            </w:pPr>
            <w:r w:rsidRPr="00317274">
              <w:rPr>
                <w:rFonts w:eastAsia="Times New Roman"/>
                <w:color w:val="000000"/>
                <w:sz w:val="24"/>
                <w:szCs w:val="24"/>
                <w:lang w:eastAsia="en-GB"/>
              </w:rPr>
              <w:t>Размерът на безвъзмездната финансова помощ след проверка на бюджета и корекция, когато е приложимо, е равен или по-висок от минималния размер на БФП съгласно т. 9 от Условията за кандидатстване.</w:t>
            </w:r>
          </w:p>
          <w:p w14:paraId="2D87ECE5" w14:textId="77777777" w:rsidR="00317274" w:rsidRPr="00317274" w:rsidRDefault="00317274" w:rsidP="00317274">
            <w:pPr>
              <w:spacing w:after="120"/>
              <w:jc w:val="both"/>
              <w:rPr>
                <w:rFonts w:eastAsia="Times New Roman"/>
                <w:color w:val="000000"/>
                <w:sz w:val="24"/>
                <w:szCs w:val="24"/>
                <w:lang w:eastAsia="en-GB"/>
              </w:rPr>
            </w:pPr>
          </w:p>
        </w:tc>
        <w:tc>
          <w:tcPr>
            <w:tcW w:w="1621" w:type="dxa"/>
            <w:tcBorders>
              <w:top w:val="single" w:sz="4" w:space="0" w:color="0033CC"/>
              <w:left w:val="single" w:sz="4" w:space="0" w:color="0033CC"/>
              <w:bottom w:val="double" w:sz="6" w:space="0" w:color="0033CC"/>
              <w:right w:val="single" w:sz="4" w:space="0" w:color="0033CC"/>
            </w:tcBorders>
            <w:shd w:val="clear" w:color="auto" w:fill="FFFFFF"/>
          </w:tcPr>
          <w:p w14:paraId="5297CBFB" w14:textId="77777777" w:rsidR="00317274" w:rsidRPr="00317274" w:rsidRDefault="00317274" w:rsidP="00317274">
            <w:pPr>
              <w:spacing w:after="120"/>
              <w:jc w:val="center"/>
              <w:rPr>
                <w:rFonts w:eastAsia="Times New Roman"/>
                <w:color w:val="000000"/>
                <w:sz w:val="24"/>
                <w:szCs w:val="24"/>
                <w:lang w:eastAsia="en-GB"/>
              </w:rPr>
            </w:pPr>
            <w:r w:rsidRPr="00317274">
              <w:rPr>
                <w:rFonts w:eastAsia="Times New Roman"/>
                <w:color w:val="000000"/>
                <w:sz w:val="24"/>
                <w:szCs w:val="24"/>
                <w:lang w:eastAsia="en-GB"/>
              </w:rPr>
              <w:t>ДА/НЕ</w:t>
            </w:r>
          </w:p>
        </w:tc>
        <w:tc>
          <w:tcPr>
            <w:tcW w:w="3922" w:type="dxa"/>
            <w:tcBorders>
              <w:top w:val="double" w:sz="6" w:space="0" w:color="0033CC"/>
              <w:left w:val="single" w:sz="4" w:space="0" w:color="0033CC"/>
              <w:bottom w:val="double" w:sz="6" w:space="0" w:color="0033CC"/>
              <w:right w:val="double" w:sz="6" w:space="0" w:color="0033CC"/>
            </w:tcBorders>
            <w:shd w:val="clear" w:color="auto" w:fill="FFFFFF"/>
            <w:vAlign w:val="center"/>
          </w:tcPr>
          <w:p w14:paraId="24793E44" w14:textId="77777777" w:rsidR="00317274" w:rsidRPr="00317274" w:rsidRDefault="00317274" w:rsidP="00317274">
            <w:pPr>
              <w:spacing w:after="120"/>
              <w:jc w:val="both"/>
              <w:rPr>
                <w:i/>
                <w:sz w:val="24"/>
                <w:szCs w:val="24"/>
                <w:lang w:eastAsia="en-US"/>
              </w:rPr>
            </w:pPr>
            <w:r w:rsidRPr="00317274">
              <w:rPr>
                <w:i/>
                <w:sz w:val="24"/>
                <w:szCs w:val="24"/>
                <w:lang w:eastAsia="en-US"/>
              </w:rPr>
              <w:t>Оценява се чрез "ДА" или "НЕ" .</w:t>
            </w:r>
          </w:p>
          <w:p w14:paraId="5A5687A0" w14:textId="77777777" w:rsidR="00317274" w:rsidRPr="00317274" w:rsidRDefault="00317274" w:rsidP="00317274">
            <w:pPr>
              <w:spacing w:after="120"/>
              <w:jc w:val="both"/>
              <w:rPr>
                <w:i/>
                <w:sz w:val="24"/>
                <w:szCs w:val="24"/>
                <w:lang w:eastAsia="en-US"/>
              </w:rPr>
            </w:pPr>
            <w:r w:rsidRPr="00317274">
              <w:rPr>
                <w:i/>
                <w:sz w:val="24"/>
                <w:szCs w:val="24"/>
                <w:lang w:eastAsia="en-US"/>
              </w:rPr>
              <w:t>При отговор „ДА“ проектното предложение се класира в низходящ ред съгласно получения брой точки.</w:t>
            </w:r>
          </w:p>
          <w:p w14:paraId="449DE58F" w14:textId="77777777" w:rsidR="00317274" w:rsidRPr="00317274" w:rsidRDefault="00317274" w:rsidP="00317274">
            <w:pPr>
              <w:spacing w:after="120"/>
              <w:jc w:val="both"/>
              <w:rPr>
                <w:i/>
                <w:sz w:val="24"/>
                <w:szCs w:val="24"/>
                <w:lang w:eastAsia="en-US"/>
              </w:rPr>
            </w:pPr>
            <w:r w:rsidRPr="00317274">
              <w:rPr>
                <w:i/>
                <w:sz w:val="24"/>
                <w:szCs w:val="24"/>
                <w:lang w:eastAsia="en-US"/>
              </w:rPr>
              <w:t>При отговор „НЕ“ проектното предложение се отхвърля и не участва в класирането, независимо от получения брой точки по критерии от 1 до 7.</w:t>
            </w:r>
          </w:p>
          <w:p w14:paraId="787C7005" w14:textId="77777777" w:rsidR="00317274" w:rsidRPr="00317274" w:rsidRDefault="00317274" w:rsidP="00317274">
            <w:pPr>
              <w:spacing w:after="120"/>
              <w:jc w:val="both"/>
              <w:rPr>
                <w:i/>
                <w:sz w:val="24"/>
                <w:szCs w:val="24"/>
                <w:lang w:eastAsia="en-US"/>
              </w:rPr>
            </w:pPr>
            <w:r w:rsidRPr="00317274">
              <w:rPr>
                <w:i/>
                <w:sz w:val="24"/>
                <w:szCs w:val="24"/>
                <w:lang w:eastAsia="en-US"/>
              </w:rPr>
              <w:t>Въвежда се ръчно от оценителя с аргументация за дадения отговор.</w:t>
            </w:r>
          </w:p>
        </w:tc>
      </w:tr>
    </w:tbl>
    <w:p w14:paraId="7F442057" w14:textId="77777777" w:rsidR="00317274" w:rsidRPr="00317274" w:rsidRDefault="00317274" w:rsidP="00317274">
      <w:pPr>
        <w:spacing w:after="120"/>
        <w:jc w:val="both"/>
        <w:rPr>
          <w:rFonts w:eastAsia="SimSun"/>
          <w:color w:val="FF0000"/>
          <w:sz w:val="24"/>
          <w:szCs w:val="24"/>
          <w:lang w:eastAsia="zh-CN"/>
        </w:rPr>
      </w:pPr>
    </w:p>
    <w:p w14:paraId="4A7020CE" w14:textId="77777777" w:rsidR="00317274" w:rsidRPr="00B00E10" w:rsidRDefault="00317274" w:rsidP="00B00E10">
      <w:pPr>
        <w:jc w:val="center"/>
        <w:rPr>
          <w:rFonts w:eastAsia="Times New Roman"/>
          <w:b/>
          <w:sz w:val="24"/>
          <w:szCs w:val="24"/>
          <w:lang w:eastAsia="pl-PL"/>
        </w:rPr>
      </w:pPr>
    </w:p>
    <w:sectPr w:rsidR="00317274" w:rsidRPr="00B00E10"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FB213" w14:textId="77777777" w:rsidR="00774ACB" w:rsidRDefault="00774ACB" w:rsidP="000A1155">
      <w:pPr>
        <w:pStyle w:val="Default"/>
      </w:pPr>
      <w:r>
        <w:separator/>
      </w:r>
    </w:p>
  </w:endnote>
  <w:endnote w:type="continuationSeparator" w:id="0">
    <w:p w14:paraId="6E12D6D2" w14:textId="77777777" w:rsidR="00774ACB" w:rsidRDefault="00774ACB"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HG Mincho Light J">
    <w:altName w:val="Times New Roman"/>
    <w:charset w:val="00"/>
    <w:family w:val="auto"/>
    <w:pitch w:val="variable"/>
  </w:font>
  <w:font w:name="Futura Bk">
    <w:altName w:val="Century Gothic"/>
    <w:charset w:val="CC"/>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75AC" w14:textId="77777777" w:rsidR="00774ACB" w:rsidRDefault="00774ACB" w:rsidP="000A1155">
      <w:pPr>
        <w:pStyle w:val="Default"/>
      </w:pPr>
      <w:r>
        <w:separator/>
      </w:r>
    </w:p>
  </w:footnote>
  <w:footnote w:type="continuationSeparator" w:id="0">
    <w:p w14:paraId="6D36C14C" w14:textId="77777777" w:rsidR="00774ACB" w:rsidRDefault="00774ACB" w:rsidP="000A1155">
      <w:pPr>
        <w:pStyle w:val="Default"/>
      </w:pPr>
      <w:r>
        <w:continuationSeparator/>
      </w:r>
    </w:p>
  </w:footnote>
  <w:footnote w:id="1">
    <w:p w14:paraId="73999FB1" w14:textId="77777777" w:rsidR="00317274" w:rsidRPr="003B1CB7" w:rsidRDefault="00317274" w:rsidP="00317274">
      <w:pPr>
        <w:pStyle w:val="FootnoteText"/>
        <w:jc w:val="both"/>
      </w:pPr>
      <w:r>
        <w:rPr>
          <w:rStyle w:val="FootnoteReference"/>
        </w:rPr>
        <w:footnoteRef/>
      </w:r>
      <w:r w:rsidRPr="003B1CB7">
        <w:t xml:space="preserve"> </w:t>
      </w:r>
      <w:r>
        <w:t xml:space="preserve">Приоритетни професионални направления </w:t>
      </w:r>
      <w:r w:rsidRPr="00AD3E5F">
        <w:t xml:space="preserve">съгласно </w:t>
      </w:r>
      <w:r w:rsidRPr="005F753B">
        <w:t>Постановление № 64 на Министерския съвет от 2016 г. за условията и реда за утвърждаване на броя на приеманите за обучение студенти и докторанти в държавните висши училища и за приемане на Списък на приоритетните професионални направления и на Списък на защитените специалности</w:t>
      </w:r>
    </w:p>
  </w:footnote>
  <w:footnote w:id="2">
    <w:p w14:paraId="67902D54" w14:textId="77777777" w:rsidR="00317274" w:rsidRDefault="00317274" w:rsidP="00317274">
      <w:pPr>
        <w:pStyle w:val="FootnoteText"/>
      </w:pPr>
      <w:r>
        <w:rPr>
          <w:rStyle w:val="FootnoteReference"/>
        </w:rPr>
        <w:footnoteRef/>
      </w:r>
      <w:r w:rsidRPr="00AF515B">
        <w:t xml:space="preserve"> </w:t>
      </w:r>
      <w:hyperlink r:id="rId1" w:history="1">
        <w:r w:rsidRPr="00B408B5">
          <w:rPr>
            <w:rStyle w:val="Hyperlink"/>
          </w:rPr>
          <w:t>https</w:t>
        </w:r>
        <w:r w:rsidRPr="00AF515B">
          <w:rPr>
            <w:rStyle w:val="Hyperlink"/>
          </w:rPr>
          <w:t>://</w:t>
        </w:r>
        <w:r w:rsidRPr="00B408B5">
          <w:rPr>
            <w:rStyle w:val="Hyperlink"/>
          </w:rPr>
          <w:t>web</w:t>
        </w:r>
        <w:r w:rsidRPr="00AF515B">
          <w:rPr>
            <w:rStyle w:val="Hyperlink"/>
          </w:rPr>
          <w:t>.</w:t>
        </w:r>
        <w:r w:rsidRPr="00B408B5">
          <w:rPr>
            <w:rStyle w:val="Hyperlink"/>
          </w:rPr>
          <w:t>mon</w:t>
        </w:r>
        <w:r w:rsidRPr="00AF515B">
          <w:rPr>
            <w:rStyle w:val="Hyperlink"/>
          </w:rPr>
          <w:t>.</w:t>
        </w:r>
        <w:r w:rsidRPr="00B408B5">
          <w:rPr>
            <w:rStyle w:val="Hyperlink"/>
          </w:rPr>
          <w:t>bg</w:t>
        </w:r>
        <w:r w:rsidRPr="00AF515B">
          <w:rPr>
            <w:rStyle w:val="Hyperlink"/>
          </w:rPr>
          <w:t>/</w:t>
        </w:r>
        <w:r w:rsidRPr="00B408B5">
          <w:rPr>
            <w:rStyle w:val="Hyperlink"/>
          </w:rPr>
          <w:t>bg</w:t>
        </w:r>
        <w:r w:rsidRPr="00AF515B">
          <w:rPr>
            <w:rStyle w:val="Hyperlink"/>
          </w:rPr>
          <w:t>/101031</w:t>
        </w:r>
      </w:hyperlink>
    </w:p>
    <w:p w14:paraId="2127DC3D" w14:textId="77777777" w:rsidR="00317274" w:rsidRPr="00AF515B" w:rsidRDefault="00317274" w:rsidP="0031727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0BD2CCD"/>
    <w:multiLevelType w:val="hybridMultilevel"/>
    <w:tmpl w:val="713EC2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5AA705F4"/>
    <w:multiLevelType w:val="hybridMultilevel"/>
    <w:tmpl w:val="38569AEC"/>
    <w:lvl w:ilvl="0" w:tplc="645C7A3E">
      <w:start w:val="1"/>
      <w:numFmt w:val="decimal"/>
      <w:lvlText w:val="%1."/>
      <w:lvlJc w:val="left"/>
      <w:pPr>
        <w:ind w:left="36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62D"/>
    <w:rsid w:val="0004216A"/>
    <w:rsid w:val="00042943"/>
    <w:rsid w:val="00042FB0"/>
    <w:rsid w:val="00043046"/>
    <w:rsid w:val="00043453"/>
    <w:rsid w:val="0004529A"/>
    <w:rsid w:val="00046BDA"/>
    <w:rsid w:val="00047E4D"/>
    <w:rsid w:val="00050FCD"/>
    <w:rsid w:val="00053CFA"/>
    <w:rsid w:val="00055BCA"/>
    <w:rsid w:val="00057F06"/>
    <w:rsid w:val="00060F0C"/>
    <w:rsid w:val="000616BD"/>
    <w:rsid w:val="00061CB0"/>
    <w:rsid w:val="000659BA"/>
    <w:rsid w:val="00065BC6"/>
    <w:rsid w:val="0006706C"/>
    <w:rsid w:val="00067937"/>
    <w:rsid w:val="00070AAD"/>
    <w:rsid w:val="00072FD1"/>
    <w:rsid w:val="000739E6"/>
    <w:rsid w:val="00073B4E"/>
    <w:rsid w:val="000757FA"/>
    <w:rsid w:val="00075EF8"/>
    <w:rsid w:val="00076243"/>
    <w:rsid w:val="000764D2"/>
    <w:rsid w:val="000774F6"/>
    <w:rsid w:val="000806BF"/>
    <w:rsid w:val="0008415B"/>
    <w:rsid w:val="00085BD2"/>
    <w:rsid w:val="00086DC6"/>
    <w:rsid w:val="00087621"/>
    <w:rsid w:val="000905D0"/>
    <w:rsid w:val="00091851"/>
    <w:rsid w:val="000930D9"/>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6D86"/>
    <w:rsid w:val="000D75DD"/>
    <w:rsid w:val="000D7D76"/>
    <w:rsid w:val="000E1923"/>
    <w:rsid w:val="000E1CB8"/>
    <w:rsid w:val="000E2A4A"/>
    <w:rsid w:val="000E3768"/>
    <w:rsid w:val="000E4717"/>
    <w:rsid w:val="000E581F"/>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2A41"/>
    <w:rsid w:val="00305DCC"/>
    <w:rsid w:val="00305E6D"/>
    <w:rsid w:val="00305EF6"/>
    <w:rsid w:val="00307ADB"/>
    <w:rsid w:val="003114AE"/>
    <w:rsid w:val="0031266D"/>
    <w:rsid w:val="00314C88"/>
    <w:rsid w:val="00317232"/>
    <w:rsid w:val="00317274"/>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4ACB"/>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BFA"/>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D11"/>
    <w:rsid w:val="00D0274C"/>
    <w:rsid w:val="00D04595"/>
    <w:rsid w:val="00D04F2E"/>
    <w:rsid w:val="00D056CB"/>
    <w:rsid w:val="00D05A4C"/>
    <w:rsid w:val="00D05BD3"/>
    <w:rsid w:val="00D065EE"/>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7C06"/>
    <w:rsid w:val="00DB0F75"/>
    <w:rsid w:val="00DB207C"/>
    <w:rsid w:val="00DB26B3"/>
    <w:rsid w:val="00DB26FE"/>
    <w:rsid w:val="00DB4F6C"/>
    <w:rsid w:val="00DB69C2"/>
    <w:rsid w:val="00DB70D7"/>
    <w:rsid w:val="00DC0041"/>
    <w:rsid w:val="00DC22A0"/>
    <w:rsid w:val="00DC2B41"/>
    <w:rsid w:val="00DC4C6E"/>
    <w:rsid w:val="00DC4E48"/>
    <w:rsid w:val="00DC5CA2"/>
    <w:rsid w:val="00DC680C"/>
    <w:rsid w:val="00DC6FF7"/>
    <w:rsid w:val="00DC7382"/>
    <w:rsid w:val="00DC75D7"/>
    <w:rsid w:val="00DC7E2F"/>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Знак сноски-FN,Ref,fr"/>
    <w:uiPriority w:val="99"/>
    <w:qFormat/>
    <w:rsid w:val="00F66C96"/>
    <w:rPr>
      <w:vertAlign w:val="superscript"/>
    </w:rPr>
  </w:style>
  <w:style w:type="character" w:styleId="CommentReference">
    <w:name w:val="annotation reference"/>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uiPriority w:val="39"/>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15474F"/>
    <w:rPr>
      <w:rFonts w:eastAsia="Calibri"/>
    </w:rPr>
  </w:style>
  <w:style w:type="character" w:customStyle="1" w:styleId="FooterChar">
    <w:name w:val="Footer Char"/>
    <w:basedOn w:val="DefaultParagraphFont"/>
    <w:link w:val="Footer"/>
    <w:rsid w:val="008740B8"/>
    <w:rPr>
      <w:rFonts w:eastAsia="Calibri"/>
    </w:rPr>
  </w:style>
  <w:style w:type="character" w:styleId="Hyperlink">
    <w:name w:val="Hyperlink"/>
    <w:basedOn w:val="DefaultParagraphFont"/>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34"/>
    <w:qFormat/>
    <w:locked/>
    <w:rsid w:val="00BD0368"/>
    <w:rPr>
      <w:rFonts w:ascii="Calibri" w:eastAsia="SimSun" w:hAnsi="Calibri"/>
      <w:kern w:val="1"/>
      <w:sz w:val="22"/>
      <w:szCs w:val="22"/>
      <w:lang w:val="en-GB" w:eastAsia="ar-SA"/>
    </w:rPr>
  </w:style>
  <w:style w:type="numbering" w:customStyle="1" w:styleId="NoList1">
    <w:name w:val="No List1"/>
    <w:next w:val="NoList"/>
    <w:uiPriority w:val="99"/>
    <w:semiHidden/>
    <w:unhideWhenUsed/>
    <w:rsid w:val="00317274"/>
  </w:style>
  <w:style w:type="paragraph" w:customStyle="1" w:styleId="Index">
    <w:name w:val="Index"/>
    <w:basedOn w:val="Normal"/>
    <w:rsid w:val="00317274"/>
    <w:pPr>
      <w:widowControl w:val="0"/>
      <w:suppressLineNumbers/>
      <w:suppressAutoHyphens/>
    </w:pPr>
    <w:rPr>
      <w:rFonts w:eastAsia="HG Mincho Light J"/>
      <w:color w:val="000000"/>
      <w:sz w:val="24"/>
    </w:rPr>
  </w:style>
  <w:style w:type="paragraph" w:customStyle="1" w:styleId="TableContents">
    <w:name w:val="Table Contents"/>
    <w:basedOn w:val="BodyText"/>
    <w:rsid w:val="00317274"/>
    <w:pPr>
      <w:widowControl w:val="0"/>
      <w:suppressLineNumbers/>
      <w:suppressAutoHyphens/>
    </w:pPr>
    <w:rPr>
      <w:rFonts w:eastAsia="HG Mincho Light J"/>
      <w:color w:val="000000"/>
      <w:sz w:val="24"/>
    </w:rPr>
  </w:style>
  <w:style w:type="paragraph" w:customStyle="1" w:styleId="Char0">
    <w:name w:val="Char"/>
    <w:basedOn w:val="Normal"/>
    <w:rsid w:val="00317274"/>
    <w:pPr>
      <w:tabs>
        <w:tab w:val="left" w:pos="709"/>
      </w:tabs>
    </w:pPr>
    <w:rPr>
      <w:rFonts w:ascii="Futura Bk" w:eastAsia="Times New Roman" w:hAnsi="Futura Bk"/>
      <w:szCs w:val="24"/>
      <w:lang w:val="pl-PL" w:eastAsia="pl-PL"/>
    </w:rPr>
  </w:style>
  <w:style w:type="paragraph" w:styleId="BodyText">
    <w:name w:val="Body Text"/>
    <w:basedOn w:val="Normal"/>
    <w:link w:val="BodyTextChar"/>
    <w:rsid w:val="00317274"/>
    <w:pPr>
      <w:spacing w:after="120"/>
    </w:pPr>
    <w:rPr>
      <w:rFonts w:eastAsia="Times New Roman"/>
    </w:rPr>
  </w:style>
  <w:style w:type="character" w:customStyle="1" w:styleId="BodyTextChar">
    <w:name w:val="Body Text Char"/>
    <w:basedOn w:val="DefaultParagraphFont"/>
    <w:link w:val="BodyText"/>
    <w:rsid w:val="00317274"/>
  </w:style>
  <w:style w:type="character" w:customStyle="1" w:styleId="CommentSubjectChar">
    <w:name w:val="Comment Subject Char"/>
    <w:link w:val="CommentSubject"/>
    <w:rsid w:val="00317274"/>
    <w:rPr>
      <w:rFonts w:eastAsia="Calibri"/>
      <w:b/>
      <w:bCs/>
      <w:lang w:val="en-US" w:eastAsia="en-US"/>
    </w:rPr>
  </w:style>
  <w:style w:type="paragraph" w:styleId="NormalWeb">
    <w:name w:val="Normal (Web)"/>
    <w:basedOn w:val="Normal"/>
    <w:uiPriority w:val="99"/>
    <w:unhideWhenUsed/>
    <w:rsid w:val="00317274"/>
    <w:pPr>
      <w:spacing w:before="100" w:beforeAutospacing="1" w:after="100" w:afterAutospacing="1"/>
    </w:pPr>
    <w:rPr>
      <w:rFonts w:eastAsiaTheme="minorEastAsia"/>
      <w:sz w:val="24"/>
      <w:szCs w:val="24"/>
      <w:lang w:val="en-GB" w:eastAsia="en-GB"/>
    </w:rPr>
  </w:style>
  <w:style w:type="character" w:customStyle="1" w:styleId="UnresolvedMention1">
    <w:name w:val="Unresolved Mention1"/>
    <w:basedOn w:val="DefaultParagraphFont"/>
    <w:uiPriority w:val="99"/>
    <w:semiHidden/>
    <w:unhideWhenUsed/>
    <w:rsid w:val="00317274"/>
    <w:rPr>
      <w:color w:val="605E5C"/>
      <w:shd w:val="clear" w:color="auto" w:fill="E1DFDD"/>
    </w:rPr>
  </w:style>
  <w:style w:type="character" w:styleId="Strong">
    <w:name w:val="Strong"/>
    <w:basedOn w:val="DefaultParagraphFont"/>
    <w:uiPriority w:val="22"/>
    <w:qFormat/>
    <w:rsid w:val="00317274"/>
    <w:rPr>
      <w:b/>
      <w:bCs/>
    </w:rPr>
  </w:style>
  <w:style w:type="character" w:customStyle="1" w:styleId="UnresolvedMention2">
    <w:name w:val="Unresolved Mention2"/>
    <w:basedOn w:val="DefaultParagraphFont"/>
    <w:uiPriority w:val="99"/>
    <w:semiHidden/>
    <w:unhideWhenUsed/>
    <w:rsid w:val="00317274"/>
    <w:rPr>
      <w:color w:val="605E5C"/>
      <w:shd w:val="clear" w:color="auto" w:fill="E1DFDD"/>
    </w:rPr>
  </w:style>
  <w:style w:type="character" w:styleId="UnresolvedMention">
    <w:name w:val="Unresolved Mention"/>
    <w:basedOn w:val="DefaultParagraphFont"/>
    <w:uiPriority w:val="99"/>
    <w:semiHidden/>
    <w:unhideWhenUsed/>
    <w:rsid w:val="0031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eb.mon.bg/bg/10103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4540</Words>
  <Characters>25881</Characters>
  <Application>Microsoft Office Word</Application>
  <DocSecurity>0</DocSecurity>
  <Lines>215</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2022-07-26T12:14:00Z</dcterms:created>
  <dcterms:modified xsi:type="dcterms:W3CDTF">2023-11-08T08:15:00Z</dcterms:modified>
</cp:coreProperties>
</file>