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BF24" w14:textId="23609EA3" w:rsidR="00703472" w:rsidRDefault="00703472" w:rsidP="000C3C1F">
      <w:pPr>
        <w:spacing w:after="0" w:line="360" w:lineRule="auto"/>
        <w:ind w:firstLine="90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0A6B293" w14:textId="403B7C67" w:rsidR="00E1091F" w:rsidRPr="00E1091F" w:rsidRDefault="00E1091F" w:rsidP="00E1091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E109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Приложение ТЕРЕС-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ПД</w:t>
      </w:r>
    </w:p>
    <w:p w14:paraId="48ACDF5E" w14:textId="515B4A26" w:rsidR="00D078C7" w:rsidRDefault="00D078C7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63879A2" w14:textId="2F3B42E2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819B64" w14:textId="7A33032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20CAF03" w14:textId="0BA2B0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B515161" w14:textId="79AC02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6E04A5D" w14:textId="777B101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72571EA" w14:textId="028FE7F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5C2ACEB" w14:textId="7870AA6E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54746DC" w14:textId="6A761400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EEA390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1971D9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3A8BFD0" w14:textId="77777777" w:rsidR="00E1091F" w:rsidRPr="00E1091F" w:rsidRDefault="00E1091F" w:rsidP="00E10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091F">
        <w:rPr>
          <w:rFonts w:ascii="Times New Roman" w:eastAsia="Calibri" w:hAnsi="Times New Roman" w:cs="Times New Roman"/>
          <w:b/>
          <w:sz w:val="36"/>
          <w:szCs w:val="36"/>
        </w:rPr>
        <w:t>Таблица на единичните разходи и еднократните суми по процедура</w:t>
      </w:r>
    </w:p>
    <w:p w14:paraId="0BD36E66" w14:textId="77777777" w:rsidR="00E1091F" w:rsidRPr="00E1091F" w:rsidRDefault="00E1091F" w:rsidP="00E10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highlight w:val="yellow"/>
        </w:rPr>
      </w:pPr>
    </w:p>
    <w:p w14:paraId="493EFEBE" w14:textId="6F71F8A1" w:rsidR="00E1091F" w:rsidRPr="00E1091F" w:rsidRDefault="00E1091F" w:rsidP="00E10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Hlk151990405"/>
      <w:bookmarkStart w:id="1" w:name="_Hlk131601644"/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BG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05</w:t>
      </w:r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SFPR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001-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.00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4</w:t>
      </w:r>
    </w:p>
    <w:p w14:paraId="10BFA800" w14:textId="654F534B" w:rsidR="00E1091F" w:rsidRPr="00E1091F" w:rsidRDefault="00E1091F" w:rsidP="00E1091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2" w:name="_Hlk131492395"/>
      <w:bookmarkEnd w:id="0"/>
      <w:r w:rsidRPr="00E1091F">
        <w:rPr>
          <w:rFonts w:ascii="Times New Roman" w:eastAsia="Calibri" w:hAnsi="Times New Roman" w:cs="Times New Roman"/>
          <w:b/>
          <w:sz w:val="36"/>
          <w:szCs w:val="36"/>
        </w:rPr>
        <w:t>„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Подкрепа за развитие на проектна докторантура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“</w:t>
      </w:r>
    </w:p>
    <w:bookmarkEnd w:id="1"/>
    <w:bookmarkEnd w:id="2"/>
    <w:p w14:paraId="0432A2EF" w14:textId="25A16844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C29D072" w14:textId="2B2E73CA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01CE613" w14:textId="4D579E59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5628A7C" w14:textId="20677BD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D066A7A" w14:textId="3A2FAAD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1B95F0E" w14:textId="4F80865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0AE5A73" w14:textId="0BD0B30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0704DA2" w14:textId="4F5F2DFF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17469EE" w14:textId="3A107E3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5C6EB02" w14:textId="5B327C3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AD38D84" w14:textId="60E8C46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CC2F616" w14:textId="3E6787F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4D76CF1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77790D8" w14:textId="60BB62E0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CD031F" w14:textId="46FD6446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1FCAB1F" w14:textId="06E0FFA1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A278CE3" w14:textId="40E59A5C" w:rsidR="00E247D9" w:rsidRPr="00E247D9" w:rsidRDefault="00E247D9" w:rsidP="00E247D9">
      <w:pPr>
        <w:pStyle w:val="ListParagraph"/>
        <w:keepNext/>
        <w:keepLines/>
        <w:widowControl w:val="0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21408996"/>
      <w:bookmarkStart w:id="4" w:name="_Toc121493475"/>
      <w:r w:rsidRPr="00E247D9">
        <w:rPr>
          <w:rFonts w:ascii="Times New Roman" w:eastAsia="Times New Roman" w:hAnsi="Times New Roman" w:cs="Times New Roman"/>
          <w:b/>
          <w:sz w:val="24"/>
          <w:szCs w:val="24"/>
        </w:rPr>
        <w:t>Общи положения</w:t>
      </w:r>
      <w:bookmarkEnd w:id="3"/>
      <w:bookmarkEnd w:id="4"/>
    </w:p>
    <w:p w14:paraId="4A54A76C" w14:textId="77777777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7B499" w14:textId="76F2560C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При изпълнението на допустимите преки дейности по процедура </w:t>
      </w:r>
      <w:bookmarkStart w:id="5" w:name="_Hlk153370803"/>
      <w:r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4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Подкрепа за развитие на проектна докторантура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“ </w:t>
      </w:r>
      <w:bookmarkEnd w:id="5"/>
      <w:r w:rsidRPr="00E247D9">
        <w:rPr>
          <w:rFonts w:ascii="Times New Roman" w:eastAsia="Calibri" w:hAnsi="Times New Roman" w:cs="Times New Roman"/>
          <w:sz w:val="24"/>
          <w:szCs w:val="24"/>
        </w:rPr>
        <w:t>се прилагат единични разходи, които са обосновани, определени и прилагани през предходния програмен период, както е посочено в раздел 1 на Приложение ТЕРЕС-ПО (</w:t>
      </w:r>
      <w:r w:rsidRPr="00E247D9">
        <w:rPr>
          <w:rFonts w:ascii="Times New Roman" w:eastAsia="Calibri" w:hAnsi="Times New Roman" w:cs="Times New Roman"/>
          <w:i/>
          <w:iCs/>
          <w:sz w:val="24"/>
          <w:szCs w:val="24"/>
        </w:rPr>
        <w:t>Таблица на единичните разходи и еднократните суми, които може да се прилагат за процедури, финансирани от Програма „Образование“ през програмния период 2021-2027 г.</w:t>
      </w:r>
      <w:r w:rsidRPr="00E247D9">
        <w:rPr>
          <w:rFonts w:ascii="Times New Roman" w:eastAsia="Calibri" w:hAnsi="Times New Roman" w:cs="Times New Roman"/>
          <w:sz w:val="24"/>
          <w:szCs w:val="24"/>
        </w:rPr>
        <w:t>). За част от финансираните дейности са определени нови единични разходи, които са описани и обосновани в настоящия документ.</w:t>
      </w:r>
    </w:p>
    <w:p w14:paraId="38C82DAB" w14:textId="49DC03F8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Единични разходи се прилагат при изпълнението на </w:t>
      </w:r>
      <w:r w:rsidR="00594B97">
        <w:rPr>
          <w:rFonts w:ascii="Times New Roman" w:eastAsia="Calibri" w:hAnsi="Times New Roman" w:cs="Times New Roman"/>
          <w:sz w:val="24"/>
          <w:szCs w:val="24"/>
        </w:rPr>
        <w:t xml:space="preserve">всички допустими </w:t>
      </w:r>
      <w:r w:rsidRPr="00E247D9">
        <w:rPr>
          <w:rFonts w:ascii="Times New Roman" w:eastAsia="Calibri" w:hAnsi="Times New Roman" w:cs="Times New Roman"/>
          <w:sz w:val="24"/>
          <w:szCs w:val="24"/>
        </w:rPr>
        <w:t>преки дейности:</w:t>
      </w:r>
    </w:p>
    <w:p w14:paraId="72E27BCF" w14:textId="77777777" w:rsidR="00FC2C06" w:rsidRPr="00FC2C06" w:rsidRDefault="00FC2C06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C2C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Дейност 1. </w:t>
      </w:r>
      <w:r w:rsidRPr="00FC2C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Подкрепа за създаване и развитие на докторантски училища/школи,</w:t>
      </w:r>
      <w:r w:rsidRPr="00FC2C0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C2C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насочени към конкретни нужди на работодатели/пазара на труда;</w:t>
      </w:r>
    </w:p>
    <w:p w14:paraId="75B4B1B3" w14:textId="77777777" w:rsidR="00FC2C06" w:rsidRPr="00FC2C06" w:rsidRDefault="00FC2C06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C2C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Дейност 2. </w:t>
      </w:r>
      <w:r w:rsidRPr="00FC2C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Подкрепа за проектна докторантура, насочена към подпомагане на професионалното развитие на докторанти за провеждане на докторантури, пряко свързани с актуални потребности на конкретни икономически сектори, бизнеси и работодатели, публични институции, НПО и научни организации;</w:t>
      </w:r>
    </w:p>
    <w:p w14:paraId="301229D2" w14:textId="77777777" w:rsidR="00FC2C06" w:rsidRPr="00FC2C06" w:rsidRDefault="00FC2C06" w:rsidP="00FC2C06">
      <w:pPr>
        <w:spacing w:after="12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FC2C0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Дейност 3. </w:t>
      </w:r>
      <w:r w:rsidRPr="00FC2C06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Повишаване на капацитета и уменията на академичния състав</w:t>
      </w:r>
      <w:r w:rsidRPr="00FC2C0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</w:p>
    <w:p w14:paraId="4C764414" w14:textId="07C241A5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>Допустимите разходи за тези дейности се определят чрез прилагане на таблица на единичните разходи и еднократни суми в съответствие с член 53, параграф 1, буква б) и в) от Регламент (ЕС) 1060/2021 г. (съответно чл. 55, ал. 1, т. 2-3 от ЗУСЕФСУ).</w:t>
      </w:r>
    </w:p>
    <w:p w14:paraId="701E9FE9" w14:textId="18911371" w:rsidR="00E247D9" w:rsidRDefault="00E247D9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Изчисленията на единичните разходи се извършат в съответствие с член 53, параграф 3, буква а) от Регламент (ЕС) 1060/2021, т.е. чрез прилагане на </w:t>
      </w:r>
      <w:r w:rsidRPr="00E247D9">
        <w:rPr>
          <w:rFonts w:ascii="Times New Roman" w:eastAsia="Calibri" w:hAnsi="Times New Roman" w:cs="Times New Roman"/>
          <w:b/>
          <w:sz w:val="24"/>
          <w:szCs w:val="24"/>
        </w:rPr>
        <w:t>коректен, справедлив и проверим метод на изчисление</w:t>
      </w:r>
      <w:r w:rsidRPr="00E247D9">
        <w:rPr>
          <w:rFonts w:ascii="Times New Roman" w:eastAsia="Calibri" w:hAnsi="Times New Roman" w:cs="Times New Roman"/>
          <w:sz w:val="24"/>
          <w:szCs w:val="24"/>
        </w:rPr>
        <w:t>. За база на изчисленията се използват статистически данни или друга обективна информация, обобщаваща изпълнението на сходни процедури за програмен период 2014-2020 г., както и прилагането на обичайните практики за осчетоводяване на разходите на отделните бенефициенти.</w:t>
      </w:r>
    </w:p>
    <w:p w14:paraId="5608E8AC" w14:textId="052F9628" w:rsidR="009E2388" w:rsidRPr="00E247D9" w:rsidRDefault="00463B95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E350D0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правилата за прилагането на съответните единични разходи, еднократни суми и единни ставки, прилагани в други политики на Съюза за подобен вид </w:t>
      </w:r>
      <w:r w:rsidRPr="00E350D0">
        <w:rPr>
          <w:rFonts w:ascii="Times New Roman" w:eastAsia="Calibri" w:hAnsi="Times New Roman" w:cs="Times New Roman"/>
          <w:sz w:val="24"/>
          <w:szCs w:val="24"/>
        </w:rPr>
        <w:lastRenderedPageBreak/>
        <w:t>операция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64CE4">
        <w:rPr>
          <w:rFonts w:ascii="Times New Roman" w:eastAsia="Calibri" w:hAnsi="Times New Roman" w:cs="Times New Roman"/>
          <w:sz w:val="24"/>
          <w:szCs w:val="24"/>
        </w:rPr>
        <w:t xml:space="preserve">член 53, параграф 3, буква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4CE4">
        <w:rPr>
          <w:rFonts w:ascii="Times New Roman" w:eastAsia="Calibri" w:hAnsi="Times New Roman" w:cs="Times New Roman"/>
          <w:sz w:val="24"/>
          <w:szCs w:val="24"/>
        </w:rPr>
        <w:t>) от Регламент (ЕС) 1060/2021</w:t>
      </w:r>
      <w:r>
        <w:rPr>
          <w:rFonts w:ascii="Times New Roman" w:eastAsia="Calibri" w:hAnsi="Times New Roman" w:cs="Times New Roman"/>
          <w:sz w:val="24"/>
          <w:szCs w:val="24"/>
        </w:rPr>
        <w:t>), з</w:t>
      </w:r>
      <w:r w:rsidR="00E727FA">
        <w:rPr>
          <w:rFonts w:ascii="Times New Roman" w:eastAsia="Calibri" w:hAnsi="Times New Roman" w:cs="Times New Roman"/>
          <w:sz w:val="24"/>
          <w:szCs w:val="24"/>
        </w:rPr>
        <w:t xml:space="preserve">а разходите за мобилности </w:t>
      </w:r>
      <w:r w:rsidR="00547A3D">
        <w:rPr>
          <w:rFonts w:ascii="Times New Roman" w:eastAsia="Calibri" w:hAnsi="Times New Roman" w:cs="Times New Roman"/>
          <w:sz w:val="24"/>
          <w:szCs w:val="24"/>
        </w:rPr>
        <w:t xml:space="preserve">се прилагат </w:t>
      </w:r>
      <w:r w:rsidR="00547A3D" w:rsidRPr="00547A3D">
        <w:rPr>
          <w:rFonts w:ascii="Times New Roman" w:eastAsia="Calibri" w:hAnsi="Times New Roman" w:cs="Times New Roman"/>
          <w:sz w:val="24"/>
          <w:szCs w:val="24"/>
        </w:rPr>
        <w:t>единичните разходи от програма Еразъм+</w:t>
      </w:r>
      <w:r w:rsidR="003F2B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99605" w14:textId="10A3A16F" w:rsidR="00E247D9" w:rsidRPr="00E247D9" w:rsidRDefault="00E247D9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Отчитайки, че настоящата процедура ще стартира през </w:t>
      </w:r>
      <w:r w:rsidR="00067CC2">
        <w:rPr>
          <w:rFonts w:ascii="Times New Roman" w:eastAsia="Calibri" w:hAnsi="Times New Roman" w:cs="Times New Roman"/>
          <w:sz w:val="24"/>
          <w:szCs w:val="24"/>
        </w:rPr>
        <w:t>академичната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678D5" w:rsidRPr="00851769">
        <w:rPr>
          <w:rFonts w:ascii="Times New Roman" w:eastAsia="Calibri" w:hAnsi="Times New Roman" w:cs="Times New Roman"/>
          <w:sz w:val="24"/>
          <w:szCs w:val="24"/>
        </w:rPr>
        <w:t>4</w:t>
      </w:r>
      <w:r w:rsidRPr="00E247D9">
        <w:rPr>
          <w:rFonts w:ascii="Times New Roman" w:eastAsia="Calibri" w:hAnsi="Times New Roman" w:cs="Times New Roman"/>
          <w:sz w:val="24"/>
          <w:szCs w:val="24"/>
        </w:rPr>
        <w:t>/202</w:t>
      </w:r>
      <w:r w:rsidR="00851769" w:rsidRPr="00851769">
        <w:rPr>
          <w:rFonts w:ascii="Times New Roman" w:eastAsia="Calibri" w:hAnsi="Times New Roman" w:cs="Times New Roman"/>
          <w:sz w:val="24"/>
          <w:szCs w:val="24"/>
        </w:rPr>
        <w:t>5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г. и е с продължителност от 5 години, е необходимо да се разпише и процедура за периодично актуализиране на прилаганите единични разходи. </w:t>
      </w:r>
    </w:p>
    <w:p w14:paraId="786572A8" w14:textId="77777777" w:rsidR="00E247D9" w:rsidRDefault="00E247D9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AD9D083" w14:textId="04FE3D34" w:rsidR="00D078C7" w:rsidRPr="000C3C1F" w:rsidRDefault="00E247D9" w:rsidP="00D078C7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078C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17C4C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Определяне на </w:t>
      </w:r>
      <w:r w:rsidR="007B4DF0">
        <w:rPr>
          <w:rFonts w:ascii="Times New Roman" w:eastAsia="Times New Roman" w:hAnsi="Times New Roman" w:cs="Times New Roman"/>
          <w:b/>
          <w:sz w:val="24"/>
          <w:szCs w:val="24"/>
        </w:rPr>
        <w:t>единич</w:t>
      </w:r>
      <w:r w:rsidR="0033296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7B4DF0">
        <w:rPr>
          <w:rFonts w:ascii="Times New Roman" w:eastAsia="Times New Roman" w:hAnsi="Times New Roman" w:cs="Times New Roman"/>
          <w:b/>
          <w:sz w:val="24"/>
          <w:szCs w:val="24"/>
        </w:rPr>
        <w:t xml:space="preserve">н разход </w:t>
      </w:r>
      <w:r w:rsidR="00D078C7">
        <w:rPr>
          <w:rFonts w:ascii="Times New Roman" w:eastAsia="Times New Roman" w:hAnsi="Times New Roman" w:cs="Times New Roman"/>
          <w:b/>
          <w:sz w:val="24"/>
          <w:szCs w:val="24"/>
        </w:rPr>
        <w:t>за възнаграждение на докторант</w:t>
      </w:r>
      <w:r w:rsidR="00002762">
        <w:rPr>
          <w:rFonts w:ascii="Times New Roman" w:eastAsia="Times New Roman" w:hAnsi="Times New Roman" w:cs="Times New Roman"/>
          <w:b/>
          <w:sz w:val="24"/>
          <w:szCs w:val="24"/>
        </w:rPr>
        <w:t>ите</w:t>
      </w:r>
    </w:p>
    <w:p w14:paraId="3120F7A6" w14:textId="77777777" w:rsidR="00D078C7" w:rsidRDefault="00D078C7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6E1ADEB" w14:textId="7074C875" w:rsidR="00D078C7" w:rsidRPr="00533012" w:rsidRDefault="00533012" w:rsidP="0053301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Докторантите, които получават подкрепа по процедурата са такива, които </w:t>
      </w:r>
      <w:r w:rsidR="00A8647A" w:rsidRPr="00A8647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се обучават в редовна форма по реда на чл. 21, ал. 7 от </w:t>
      </w:r>
      <w:r w:rsidR="00257118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Закона за висшето образование </w:t>
      </w:r>
      <w:r w:rsidR="00257118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(</w:t>
      </w:r>
      <w:r w:rsidR="00257118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ЗВО</w:t>
      </w:r>
      <w:r w:rsidR="00257118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)</w:t>
      </w:r>
      <w:r w:rsidR="00257118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8647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и </w:t>
      </w:r>
      <w:r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към момента на стартиране на проекта не са зачислени в докторантура при кандидата/партньора </w:t>
      </w:r>
      <w:r w:rsidR="00FA433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 w:eastAsia="zh-CN"/>
        </w:rPr>
        <w:t xml:space="preserve">– </w:t>
      </w:r>
      <w:r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висше училище/научна организация. Изборът на докторанти се провежда въз основа на публична покана към заинтересованите страни и на обективни критерии за избор,</w:t>
      </w:r>
      <w:r w:rsidR="00CE3E5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които </w:t>
      </w:r>
      <w:r w:rsidR="00CE3E50" w:rsidRPr="00CE3E5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осигуряват възможност за фокус на подкрепата към докторантури</w:t>
      </w:r>
      <w:r w:rsidR="00CE3E5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</w:t>
      </w:r>
      <w:r w:rsidR="00CE3E50" w:rsidRPr="00CE3E5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обосновани чрез съществуващата заетост на докторанта и бъдещото му кариерно развитие при съответния работодател или през конкретна потребност за развитие на научноизследователския потенциал в конкретен регион</w:t>
      </w:r>
      <w:r w:rsidR="00CE3E5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. </w:t>
      </w:r>
    </w:p>
    <w:p w14:paraId="42EF18FC" w14:textId="20EA651F" w:rsidR="006841A0" w:rsidRDefault="003E4CD8" w:rsidP="003E4C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Съгласно чл. 8, ал. 1 и ал. 2 от Закона за развитие на академичния състав в Република България обучението на докторанти </w:t>
      </w:r>
      <w:r w:rsidR="00816514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 чл. 21, ал. 7 от ЗВО е с продължителност до 5 години</w:t>
      </w:r>
      <w:r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816514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</w:t>
      </w:r>
      <w:r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се осъществява при условията и по реда на </w:t>
      </w:r>
      <w:r w:rsidR="00816514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ЗВО</w:t>
      </w:r>
      <w:r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правилника на съответното висше училище или научна организация. </w:t>
      </w:r>
      <w:r w:rsidR="007321F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Оптималната</w:t>
      </w:r>
      <w:r w:rsidR="00E83C71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продължителност на обучението по чл. 21, ал.</w:t>
      </w:r>
      <w:r w:rsidR="00E83C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83C71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7 от ЗВО </w:t>
      </w:r>
      <w:r w:rsidR="000413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момента на зачисляване до защита</w:t>
      </w:r>
      <w:r w:rsidR="00B43A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</w:t>
      </w:r>
      <w:r w:rsidR="000413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 дисертацията </w:t>
      </w:r>
      <w:r w:rsidR="007321F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="00E83C71" w:rsidRPr="008165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3 години</w:t>
      </w:r>
      <w:r w:rsidR="00E83C7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347F4F33" w14:textId="729401A9" w:rsidR="006841A0" w:rsidRDefault="006B3DBF" w:rsidP="006841A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Съгласно Условията за кандидатстване при проектната докторантура</w:t>
      </w:r>
      <w:r w:rsidR="006841A0"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се </w:t>
      </w:r>
      <w:r w:rsidR="006841A0"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провежда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о</w:t>
      </w:r>
      <w:r w:rsidR="006841A0" w:rsidRPr="0053301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бучение на докторанти, пряко насочено към </w:t>
      </w:r>
      <w:r w:rsidR="006841A0" w:rsidRPr="00AD5BCD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конкретна потребност за развитие на научноизследователския потенциал в конкретен регион</w:t>
      </w:r>
      <w:r w:rsidR="0075026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като </w:t>
      </w:r>
      <w:r w:rsidR="00D5549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докторантурата е</w:t>
      </w:r>
      <w:r w:rsidR="0075026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770E9A" w:rsidRPr="00770E9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насочена към насърчаване на по-ефективното сътрудничество между бизнеса и науката и към повишаване нивото на практическата приложимост на докторските програми.</w:t>
      </w:r>
    </w:p>
    <w:p w14:paraId="6D3DF61F" w14:textId="76F16423" w:rsidR="00874D5F" w:rsidRDefault="00874D5F" w:rsidP="006841A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874D5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Научноизследователската дейност на докторанта в рамките на срока на обучение за придобиване на ОНС „доктор“ може да се провежда при кандидата/партньора висше училище/научна организация, или в асоциирания партньор научноизследователски център, в т.ч. център за върхови постижения/център за компетентност, финансиран по Оперативна програма „Наука и образование за интелигентен растеж“ 2014-2020 г., </w:t>
      </w:r>
      <w:r w:rsidRPr="00874D5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lastRenderedPageBreak/>
        <w:t>бизнес организация, НПО или публична организация/институция, съобразно спецификата на конкретната докторантура, като материално-техническата база на съответната организация се използва безвъзмездно от докторанта. Ангажиментът за осигуряване на материално-техническата база, в която докторантът ще осъществява научноизследователската си дейност по учебен план, е на кандидата/партньора.</w:t>
      </w:r>
    </w:p>
    <w:p w14:paraId="35F0C90D" w14:textId="4F98253D" w:rsidR="00DC6230" w:rsidRDefault="00E01FA5" w:rsidP="006841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За да се гарантир</w:t>
      </w:r>
      <w:r w:rsidR="00581A9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а </w:t>
      </w:r>
      <w:r w:rsidR="009A095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пълноценно участие на докторанта в научноизследователската и иновационна дейност</w:t>
      </w:r>
      <w:r w:rsidR="0048637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</w:t>
      </w:r>
      <w:r w:rsidR="00DA70C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докторантът сключва трудово правоотношение с </w:t>
      </w:r>
      <w:r w:rsidR="006941C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обучаващата организация</w:t>
      </w:r>
      <w:r w:rsidR="0076060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с минимална заетост от 4 часа на ден.</w:t>
      </w:r>
      <w:r w:rsidR="00B11A6A" w:rsidRPr="00B11A6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56290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След сключването на трудовия договор докторантът придобива качеството на изследовател </w:t>
      </w:r>
      <w:r w:rsidR="0056290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R1</w:t>
      </w:r>
      <w:r w:rsidR="00CE14F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съгласно </w:t>
      </w:r>
      <w:r w:rsidR="00A7257F" w:rsidRPr="00A725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Европейската рамка за научноизследователски кариери</w:t>
      </w:r>
      <w:r w:rsidR="002142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2142B0" w:rsidRPr="00A87C11"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</w:rPr>
        <w:t>(</w:t>
      </w:r>
      <w:proofErr w:type="spellStart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>European</w:t>
      </w:r>
      <w:proofErr w:type="spellEnd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 xml:space="preserve"> Framework </w:t>
      </w:r>
      <w:proofErr w:type="spellStart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>for</w:t>
      </w:r>
      <w:proofErr w:type="spellEnd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>Research</w:t>
      </w:r>
      <w:proofErr w:type="spellEnd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142B0" w:rsidRPr="008031DE">
        <w:rPr>
          <w:rFonts w:ascii="Times New Roman" w:eastAsia="Times New Roman" w:hAnsi="Times New Roman"/>
          <w:i/>
          <w:iCs/>
          <w:snapToGrid w:val="0"/>
          <w:color w:val="000000" w:themeColor="text1"/>
          <w:sz w:val="24"/>
          <w:szCs w:val="24"/>
        </w:rPr>
        <w:t>Careers</w:t>
      </w:r>
      <w:proofErr w:type="spellEnd"/>
      <w:r w:rsidR="002142B0" w:rsidRPr="00A87C11">
        <w:rPr>
          <w:rFonts w:ascii="Times New Roman" w:eastAsia="Times New Roman" w:hAnsi="Times New Roman"/>
          <w:snapToGrid w:val="0"/>
          <w:color w:val="000000" w:themeColor="text1"/>
          <w:sz w:val="24"/>
          <w:szCs w:val="24"/>
        </w:rPr>
        <w:t>)</w:t>
      </w:r>
      <w:r w:rsidR="002142B0" w:rsidRPr="00A87C11">
        <w:rPr>
          <w:rStyle w:val="FootnoteReference"/>
          <w:rFonts w:ascii="Times New Roman" w:eastAsia="Times New Roman" w:hAnsi="Times New Roman"/>
          <w:snapToGrid w:val="0"/>
          <w:color w:val="000000" w:themeColor="text1"/>
          <w:sz w:val="24"/>
          <w:szCs w:val="24"/>
        </w:rPr>
        <w:footnoteReference w:id="1"/>
      </w:r>
      <w:r w:rsidR="00CE14F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B11A6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Като се отчете </w:t>
      </w:r>
      <w:r w:rsidR="001A5C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обичайното разпределение на учебния план </w:t>
      </w:r>
      <w:r w:rsidR="006D461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 докторанта (засилено обучение и изпити през първата година</w:t>
      </w:r>
      <w:r w:rsidR="00CC05B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; </w:t>
      </w:r>
      <w:r w:rsidR="009B55D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постепенно увеличаване на научноизследователската и преподавателска дейност през втората и третата година)</w:t>
      </w:r>
      <w:r w:rsidR="00B43A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A3412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може да се очаква, че трудовата ангажираност на докторанта </w:t>
      </w:r>
      <w:r w:rsidR="00D5166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провеждане на НИРД </w:t>
      </w:r>
      <w:r w:rsidR="00A3412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ще се увеличава </w:t>
      </w:r>
      <w:r w:rsidR="00D1437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 постепенното повишаване на квалификацията на докторанта. </w:t>
      </w:r>
    </w:p>
    <w:p w14:paraId="792919BF" w14:textId="2336A54E" w:rsidR="009C3851" w:rsidRDefault="00DC6230" w:rsidP="006841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 определяне на единичния разход за месечно възнаграждение на докторанта ще се </w:t>
      </w:r>
      <w:r w:rsidR="004A59A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вземе предвид средна </w:t>
      </w:r>
      <w:r w:rsidR="00E667BC" w:rsidRPr="00BA33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трудова заетост на докторанта </w:t>
      </w:r>
      <w:r w:rsidR="00C80DF3" w:rsidRPr="00BA332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от 6 часа на ден</w:t>
      </w:r>
      <w:r w:rsidR="00C80D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E667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</w:t>
      </w:r>
      <w:r w:rsidR="0017310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оптималния </w:t>
      </w:r>
      <w:r w:rsidR="00E667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3-годишен срок на докторантурата</w:t>
      </w:r>
      <w:r w:rsidR="00C80D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</w:t>
      </w:r>
      <w:r w:rsidR="00217E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например, </w:t>
      </w:r>
      <w:r w:rsidR="00BA33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заетост от 4 часа </w:t>
      </w:r>
      <w:r w:rsidR="00E14A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ден </w:t>
      </w:r>
      <w:r w:rsidR="00BA33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първата година, 6 часа </w:t>
      </w:r>
      <w:r w:rsidR="00E14A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ден </w:t>
      </w:r>
      <w:r w:rsidR="00BA33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втората година и 8 часа </w:t>
      </w:r>
      <w:r w:rsidR="00E14A7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ден </w:t>
      </w:r>
      <w:r w:rsidR="00BA332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 третата година).</w:t>
      </w:r>
      <w:r w:rsidR="00E667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830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Обучаващата организация и докторантът </w:t>
      </w:r>
      <w:r w:rsidR="008601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може да </w:t>
      </w:r>
      <w:r w:rsidR="00D31DF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определят</w:t>
      </w:r>
      <w:r w:rsidR="0086019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друго разпределение </w:t>
      </w:r>
      <w:r w:rsidR="006135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</w:t>
      </w:r>
      <w:r w:rsidR="00F125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заетостта по трудовия договор в</w:t>
      </w:r>
      <w:r w:rsidR="00AD0B5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зависимост от спецификата на обучението в </w:t>
      </w:r>
      <w:r w:rsidR="00830B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съответната </w:t>
      </w:r>
      <w:r w:rsidR="00AD0B5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докторска програма </w:t>
      </w:r>
      <w:r w:rsidR="00146B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</w:t>
      </w:r>
      <w:r w:rsidR="006135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възложените задължения по трудови</w:t>
      </w:r>
      <w:r w:rsidR="004E39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</w:t>
      </w:r>
      <w:r w:rsidR="006135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</w:t>
      </w:r>
      <w:r w:rsidR="004E39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="006135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говор</w:t>
      </w:r>
      <w:r w:rsidR="003B642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като спазват </w:t>
      </w:r>
      <w:r w:rsidR="00CC22E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следните</w:t>
      </w:r>
      <w:r w:rsidR="00394C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3B642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</w:t>
      </w:r>
      <w:r w:rsidR="00A373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адължителн</w:t>
      </w:r>
      <w:r w:rsidR="00B45C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="00A373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услови</w:t>
      </w:r>
      <w:r w:rsidR="009C385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я:</w:t>
      </w:r>
    </w:p>
    <w:p w14:paraId="42AE8D38" w14:textId="72EEB890" w:rsidR="009C3851" w:rsidRDefault="009C3851" w:rsidP="006841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="00A373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минималната </w:t>
      </w:r>
      <w:r w:rsidR="00CE276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заетост по трудовия договор </w:t>
      </w:r>
      <w:r w:rsidR="00241D9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да бъде поне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="00241D9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часа на ден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14:paraId="31708414" w14:textId="4F49599E" w:rsidR="00E76A73" w:rsidRDefault="009C3851" w:rsidP="006841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F072E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срокът на трудовия договор да обхваща периода от зачисляването на докторанта до защита</w:t>
      </w:r>
      <w:r w:rsidR="00580EB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 на дисер</w:t>
      </w:r>
      <w:r w:rsidR="002002D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тационния труд</w:t>
      </w:r>
      <w:r w:rsidR="00E76A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14:paraId="2F5BE07E" w14:textId="2768FA6D" w:rsidR="00E01FA5" w:rsidRDefault="00ED6467" w:rsidP="006841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="00827A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да бъде посочена </w:t>
      </w:r>
      <w:r w:rsidR="006C5C10">
        <w:rPr>
          <w:rFonts w:ascii="Times New Roman" w:hAnsi="Times New Roman"/>
          <w:sz w:val="24"/>
          <w:szCs w:val="24"/>
        </w:rPr>
        <w:t>обща</w:t>
      </w:r>
      <w:r w:rsidR="00B022A2">
        <w:rPr>
          <w:rFonts w:ascii="Times New Roman" w:hAnsi="Times New Roman"/>
          <w:sz w:val="24"/>
          <w:szCs w:val="24"/>
        </w:rPr>
        <w:t>та</w:t>
      </w:r>
      <w:r w:rsidR="006C5C10">
        <w:rPr>
          <w:rFonts w:ascii="Times New Roman" w:hAnsi="Times New Roman"/>
          <w:sz w:val="24"/>
          <w:szCs w:val="24"/>
        </w:rPr>
        <w:t xml:space="preserve"> сума на дължимото възнаграждение</w:t>
      </w:r>
      <w:r w:rsidR="00D839B0" w:rsidRPr="00D839B0">
        <w:rPr>
          <w:rFonts w:ascii="Times New Roman" w:hAnsi="Times New Roman"/>
          <w:sz w:val="24"/>
          <w:szCs w:val="24"/>
        </w:rPr>
        <w:t xml:space="preserve"> </w:t>
      </w:r>
      <w:r w:rsidR="00D839B0">
        <w:rPr>
          <w:rFonts w:ascii="Times New Roman" w:hAnsi="Times New Roman"/>
          <w:sz w:val="24"/>
          <w:szCs w:val="24"/>
        </w:rPr>
        <w:t>за целия срок на договора</w:t>
      </w:r>
      <w:r w:rsidR="006C5C10">
        <w:rPr>
          <w:rFonts w:ascii="Times New Roman" w:hAnsi="Times New Roman"/>
          <w:sz w:val="24"/>
          <w:szCs w:val="24"/>
        </w:rPr>
        <w:t xml:space="preserve"> </w:t>
      </w:r>
      <w:r w:rsidR="00CC0F33">
        <w:rPr>
          <w:rFonts w:ascii="Times New Roman" w:hAnsi="Times New Roman"/>
          <w:sz w:val="24"/>
          <w:szCs w:val="24"/>
        </w:rPr>
        <w:t>(</w:t>
      </w:r>
      <w:r w:rsidR="006C5C10">
        <w:rPr>
          <w:rFonts w:ascii="Times New Roman" w:hAnsi="Times New Roman"/>
          <w:sz w:val="24"/>
          <w:szCs w:val="24"/>
        </w:rPr>
        <w:t>вкл. задължителните вноски за сметка на работодателя</w:t>
      </w:r>
      <w:r w:rsidR="00CC0F33">
        <w:rPr>
          <w:rFonts w:ascii="Times New Roman" w:hAnsi="Times New Roman"/>
          <w:sz w:val="24"/>
          <w:szCs w:val="24"/>
        </w:rPr>
        <w:t>)</w:t>
      </w:r>
      <w:r w:rsidR="006C5C10">
        <w:rPr>
          <w:rFonts w:ascii="Times New Roman" w:hAnsi="Times New Roman"/>
          <w:sz w:val="24"/>
          <w:szCs w:val="24"/>
        </w:rPr>
        <w:t xml:space="preserve">, </w:t>
      </w:r>
      <w:r w:rsidR="005B581D">
        <w:rPr>
          <w:rFonts w:ascii="Times New Roman" w:hAnsi="Times New Roman"/>
          <w:sz w:val="24"/>
          <w:szCs w:val="24"/>
        </w:rPr>
        <w:t>която</w:t>
      </w:r>
      <w:r w:rsidR="006C5C10">
        <w:rPr>
          <w:rFonts w:ascii="Times New Roman" w:hAnsi="Times New Roman"/>
          <w:sz w:val="24"/>
          <w:szCs w:val="24"/>
        </w:rPr>
        <w:t xml:space="preserve"> не може да </w:t>
      </w:r>
      <w:r w:rsidR="00121B0A">
        <w:rPr>
          <w:rFonts w:ascii="Times New Roman" w:hAnsi="Times New Roman"/>
          <w:sz w:val="24"/>
          <w:szCs w:val="24"/>
        </w:rPr>
        <w:t>бъд</w:t>
      </w:r>
      <w:r w:rsidR="006C5C10">
        <w:rPr>
          <w:rFonts w:ascii="Times New Roman" w:hAnsi="Times New Roman"/>
          <w:sz w:val="24"/>
          <w:szCs w:val="24"/>
        </w:rPr>
        <w:t>е по-малк</w:t>
      </w:r>
      <w:r w:rsidR="004045A8">
        <w:rPr>
          <w:rFonts w:ascii="Times New Roman" w:hAnsi="Times New Roman"/>
          <w:sz w:val="24"/>
          <w:szCs w:val="24"/>
        </w:rPr>
        <w:t>а</w:t>
      </w:r>
      <w:r w:rsidR="006C5C10">
        <w:rPr>
          <w:rFonts w:ascii="Times New Roman" w:hAnsi="Times New Roman"/>
          <w:sz w:val="24"/>
          <w:szCs w:val="24"/>
        </w:rPr>
        <w:t xml:space="preserve"> от приложимия единичен разход, както и етапите от изпълнението на проектната докторантура и дължимите суми при достигане на съответния етап</w:t>
      </w:r>
      <w:r w:rsidR="00241D9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26C9CC17" w14:textId="7963C53E" w:rsidR="00D078C7" w:rsidRDefault="00265ABF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lastRenderedPageBreak/>
        <w:t xml:space="preserve">Управляващият орган </w:t>
      </w:r>
      <w:r w:rsidR="007E459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на Програма „Образование“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 </w:t>
      </w:r>
      <w:r w:rsidR="007E459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М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еждинно звено по </w:t>
      </w:r>
      <w:r w:rsidR="007E4599" w:rsidRPr="007E459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Програма „Научни изследвания, иновации и дигитализация за интелигентна трансформация“</w:t>
      </w:r>
      <w:r w:rsidR="00AC6D5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и в изпълнение на своите правомощия е определи</w:t>
      </w:r>
      <w:r w:rsidR="000F593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л</w:t>
      </w:r>
      <w:r w:rsidR="00AC6D5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единичен разход за месечно възнаграждение на изследователи </w:t>
      </w:r>
      <w:r w:rsidR="00AC6D5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 w:eastAsia="zh-CN"/>
        </w:rPr>
        <w:t>R1</w:t>
      </w:r>
      <w:r w:rsidR="00DF73E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DF73E5" w:rsidRPr="00DF73E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(Учен без ОНС "доктор" или докторант)</w:t>
      </w:r>
      <w:r w:rsidR="00E4073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които работят </w:t>
      </w:r>
      <w:r w:rsidR="00A32A2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на трудово правоотношение </w:t>
      </w:r>
      <w:r w:rsidR="00E4073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в </w:t>
      </w:r>
      <w:r w:rsidR="008E7A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ц</w:t>
      </w:r>
      <w:r w:rsidR="00E4073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ентровете за върхови постижения </w:t>
      </w:r>
      <w:r w:rsidR="00A32A2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или центровете за компетентност </w:t>
      </w:r>
      <w:r w:rsidR="00C91EF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по процедура </w:t>
      </w:r>
      <w:r w:rsidR="00AE4AA5" w:rsidRPr="00AE4AA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BG16RFPR002-1.003 „Устойчиво развитие на Центрове за върхови постижения и Центрове за компетентност, в т.ч. и на конкретни инфраструктури или техни обединения от НПКНИ“</w:t>
      </w:r>
      <w:r w:rsidR="00DF73E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. </w:t>
      </w:r>
      <w:r w:rsidR="000A19E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За да се осигури равно третиране на докторантите, които ще бъдат наети на трудов договор </w:t>
      </w:r>
      <w:r w:rsidR="0006551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при изпълнението на проекти, финансирани от ПНИИДИТ или ПО, при </w:t>
      </w:r>
      <w:r w:rsidR="00BB6B5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двете програми следва да се прилага</w:t>
      </w:r>
      <w:r w:rsidR="005D022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еднакъв подход за определяне на възнаграждението на докторантите, които </w:t>
      </w:r>
      <w:r w:rsidR="00DE147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са наети като изследователи </w:t>
      </w:r>
      <w:r w:rsidR="00DE147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 w:eastAsia="zh-CN"/>
        </w:rPr>
        <w:t>R1</w:t>
      </w:r>
      <w:r w:rsidR="00DE147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.</w:t>
      </w:r>
    </w:p>
    <w:p w14:paraId="738A73F8" w14:textId="0392C7F3" w:rsidR="001403C3" w:rsidRDefault="00CF3751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По</w:t>
      </w:r>
      <w:r w:rsidRPr="001403C3">
        <w:t xml:space="preserve"> </w:t>
      </w:r>
      <w:r w:rsidRPr="001403C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процедура BG16RFPR002-1.003 „Устойчиво развитие на Центрове за върхови постижения и Центрове за компетентност, в т.ч. и на конкретни инфраструктури или техни обединения от НПКНИ“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210AD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 обоснован и изчислен </w:t>
      </w:r>
      <w:r w:rsidR="001403C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единич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е</w:t>
      </w:r>
      <w:r w:rsidR="001403C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н разход за месечно възнаграждение на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докторантите в размер на </w:t>
      </w:r>
      <w:r w:rsidR="00210AD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2800 лв. при заетост от 8 часа на ден</w:t>
      </w:r>
      <w:r w:rsidR="00F67AE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като е разписан механизъм за периодично актуализиране на единичния разход въз основа на </w:t>
      </w:r>
      <w:r w:rsidR="005F35F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индекса на разходите за труд</w:t>
      </w:r>
      <w:r w:rsidR="00647E06" w:rsidRPr="00647E06">
        <w:t xml:space="preserve"> </w:t>
      </w:r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за България в област „Професионални дейности и научни изследвания“ съгласно номенклатурата, използвана от Н</w:t>
      </w:r>
      <w:r w:rsidR="0044490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ационалния статистически институт (Н</w:t>
      </w:r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СИ</w:t>
      </w:r>
      <w:r w:rsidR="0044490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)</w:t>
      </w:r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([M] Professional, </w:t>
      </w:r>
      <w:proofErr w:type="spellStart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scientific</w:t>
      </w:r>
      <w:proofErr w:type="spellEnd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and</w:t>
      </w:r>
      <w:proofErr w:type="spellEnd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technical</w:t>
      </w:r>
      <w:proofErr w:type="spellEnd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activities</w:t>
      </w:r>
      <w:proofErr w:type="spellEnd"/>
      <w:r w:rsidR="00647E06" w:rsidRPr="00647E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съгласно номенклатурата на Евростат)</w:t>
      </w:r>
      <w:r w:rsidR="0044490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 публикуван от НСИ или Евростат</w:t>
      </w:r>
      <w:r w:rsidR="0005341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като </w:t>
      </w:r>
      <w:r w:rsidR="006C5D0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се очаква </w:t>
      </w:r>
      <w:r w:rsidR="0005341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първото индексиране </w:t>
      </w:r>
      <w:r w:rsidR="006C5D0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да</w:t>
      </w:r>
      <w:r w:rsidR="0005341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бъде извършено през </w:t>
      </w:r>
      <w:r w:rsidR="006C5D0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месец април 2024 г.</w:t>
      </w:r>
    </w:p>
    <w:p w14:paraId="7D3A62AE" w14:textId="4082346C" w:rsidR="00067CC2" w:rsidRDefault="00067CC2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Тъй като процедура </w:t>
      </w:r>
      <w:r w:rsidRPr="00067CC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BG05SFPR001-3.004 „Подкрепа за развитие на проектна докторантура“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ще бъде обявена през 2024 г. и проектите реално ще започнат да се изпълняват през академичната 2024-</w:t>
      </w:r>
      <w:r w:rsidR="006E73E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20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25 г.</w:t>
      </w:r>
      <w:r w:rsidR="0066376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ще бъде извършена актуализация на единичния разход, прилаган по ПНИИДИТ, като се използват последните публикувани данни </w:t>
      </w:r>
      <w:r w:rsidR="006B59F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за индекса на разходите за труд през 2023 г.</w:t>
      </w:r>
    </w:p>
    <w:p w14:paraId="4C9B2C24" w14:textId="698710A5" w:rsidR="00732645" w:rsidRDefault="004C70DB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На</w:t>
      </w:r>
      <w:r w:rsidR="00EB4B8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сайта на Евростат са на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лични данни за първото</w:t>
      </w:r>
      <w:r w:rsidR="00CD47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второто </w:t>
      </w:r>
      <w:r w:rsidR="00CD479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и третото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тримесечие на 2023 г.</w:t>
      </w:r>
      <w:r w:rsidR="0014112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 както следва</w:t>
      </w:r>
      <w:r w:rsidR="008977FE">
        <w:rPr>
          <w:rStyle w:val="FootnoteReference"/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footnoteReference w:id="2"/>
      </w:r>
      <w:r w:rsidR="0014112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:</w:t>
      </w:r>
    </w:p>
    <w:p w14:paraId="07BB5D22" w14:textId="11AAFC50" w:rsidR="00141124" w:rsidRDefault="001C3A6A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1C3A6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Професионални дейности и научни изследвания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– 12,</w:t>
      </w:r>
      <w:r w:rsidR="0077482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2 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% (първо тримесечие)</w:t>
      </w:r>
      <w:r w:rsidR="0077482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1</w:t>
      </w:r>
      <w:r w:rsidR="000278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% (второ тримесечие)</w:t>
      </w:r>
      <w:r w:rsidR="000278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и 13,</w:t>
      </w:r>
      <w:r w:rsidR="00CD4FF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8</w:t>
      </w:r>
      <w:r w:rsidR="000278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% (трето три</w:t>
      </w:r>
      <w:r w:rsidR="005E286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м</w:t>
      </w:r>
      <w:r w:rsidR="000278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есечие)</w:t>
      </w:r>
      <w:r w:rsidR="0016191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.</w:t>
      </w:r>
      <w:r w:rsidR="0016191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val="en-US" w:eastAsia="zh-CN"/>
        </w:rPr>
        <w:t xml:space="preserve"> </w:t>
      </w:r>
      <w:r w:rsidR="0016191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Изчислява се среден индекс на разходите за труд за 2023 г.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в размер на 1</w:t>
      </w:r>
      <w:r w:rsidR="005A292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3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% (средно аритметично от 12,</w:t>
      </w:r>
      <w:r w:rsidR="005A292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2 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%</w:t>
      </w:r>
      <w:r w:rsidR="005A292F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</w:t>
      </w:r>
      <w:r w:rsidR="00E85E4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13 %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и 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lastRenderedPageBreak/>
        <w:t>1</w:t>
      </w:r>
      <w:r w:rsidR="00E85E4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3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</w:t>
      </w:r>
      <w:r w:rsidR="00E85E4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8</w:t>
      </w:r>
      <w:r w:rsidR="000242B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%).</w:t>
      </w:r>
      <w:r w:rsidR="0003033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Фактът, че не се отчитат данните за четвъртото тримесечие не нарушава коректността на изчислението</w:t>
      </w:r>
      <w:r w:rsidR="002D3B5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 тъй като обикновено разходите за труд в края на годината са по-високи</w:t>
      </w:r>
      <w:r w:rsidR="00A95DA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 поради изплащането на бонуси</w:t>
      </w:r>
      <w:r w:rsidR="00E626D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.</w:t>
      </w:r>
    </w:p>
    <w:p w14:paraId="7434425C" w14:textId="77777777" w:rsidR="009334A9" w:rsidRDefault="009334A9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</w:p>
    <w:tbl>
      <w:tblPr>
        <w:tblW w:w="6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0"/>
        <w:gridCol w:w="1380"/>
      </w:tblGrid>
      <w:tr w:rsidR="00633C8E" w:rsidRPr="00633C8E" w14:paraId="5676ABE9" w14:textId="77777777" w:rsidTr="00633C8E">
        <w:trPr>
          <w:trHeight w:val="300"/>
        </w:trPr>
        <w:tc>
          <w:tcPr>
            <w:tcW w:w="6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64EC209" w14:textId="77777777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Единичен разход за месечно възнаграждение на докторант</w:t>
            </w:r>
          </w:p>
        </w:tc>
      </w:tr>
      <w:tr w:rsidR="00633C8E" w:rsidRPr="00633C8E" w14:paraId="070B79E8" w14:textId="77777777" w:rsidTr="00633C8E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DEEA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 xml:space="preserve">Единичен разход за месечно възнаграждение на </w:t>
            </w: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изследовател R1 </w:t>
            </w: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(ПНИИДИТ) - 8 часа на ден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859C" w14:textId="77777777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2 800</w:t>
            </w:r>
          </w:p>
        </w:tc>
      </w:tr>
      <w:tr w:rsidR="00633C8E" w:rsidRPr="00633C8E" w14:paraId="1850AD83" w14:textId="77777777" w:rsidTr="00633C8E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5070A7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Среден индекс на разходите за труд - първо и второ тримесечие на 2023 г.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996C" w14:textId="3FB243CF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1</w:t>
            </w:r>
            <w:r w:rsidR="008877E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3</w:t>
            </w: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,</w:t>
            </w:r>
            <w:r w:rsidR="008877E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0</w:t>
            </w: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0%</w:t>
            </w:r>
          </w:p>
        </w:tc>
      </w:tr>
      <w:tr w:rsidR="00633C8E" w:rsidRPr="00633C8E" w14:paraId="2050B3BE" w14:textId="77777777" w:rsidTr="00633C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D35EE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Актуализиран единичен разход за 1 месец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E644" w14:textId="34E02807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3 1</w:t>
            </w:r>
            <w:r w:rsidR="008877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64</w:t>
            </w:r>
          </w:p>
        </w:tc>
      </w:tr>
      <w:tr w:rsidR="00633C8E" w:rsidRPr="00633C8E" w14:paraId="37405BB4" w14:textId="77777777" w:rsidTr="00633C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30C4F5F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Единичен разход за 1 месец - </w:t>
            </w:r>
            <w:r w:rsidRPr="00633C8E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заетост 6 часа на ден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1A4DD711" w14:textId="166C677E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2 3</w:t>
            </w:r>
            <w:r w:rsidR="0013602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7</w:t>
            </w: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3</w:t>
            </w:r>
          </w:p>
        </w:tc>
      </w:tr>
      <w:tr w:rsidR="00633C8E" w:rsidRPr="00633C8E" w14:paraId="6B12DBB3" w14:textId="77777777" w:rsidTr="00633C8E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AC888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 xml:space="preserve">Брой месеци, финансирани от проекта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CF77" w14:textId="77777777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36</w:t>
            </w:r>
          </w:p>
        </w:tc>
      </w:tr>
      <w:tr w:rsidR="00633C8E" w:rsidRPr="00633C8E" w14:paraId="42ABF496" w14:textId="77777777" w:rsidTr="00633C8E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34934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Общ разход за 36 месеца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2E60" w14:textId="57CB032C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 xml:space="preserve">85 </w:t>
            </w:r>
            <w:r w:rsidR="00136025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428</w:t>
            </w:r>
          </w:p>
        </w:tc>
      </w:tr>
      <w:tr w:rsidR="00633C8E" w:rsidRPr="00633C8E" w14:paraId="6C70C63E" w14:textId="77777777" w:rsidTr="00633C8E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9D304EB" w14:textId="77777777" w:rsidR="00633C8E" w:rsidRPr="00633C8E" w:rsidRDefault="00633C8E" w:rsidP="00633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Единичен разход за целия срок на проектната докторантура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F7090D4" w14:textId="77777777" w:rsidR="00633C8E" w:rsidRPr="00633C8E" w:rsidRDefault="00633C8E" w:rsidP="00633C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33C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85 000</w:t>
            </w:r>
          </w:p>
        </w:tc>
      </w:tr>
    </w:tbl>
    <w:p w14:paraId="0D90636A" w14:textId="77777777" w:rsidR="00BA2DDB" w:rsidRDefault="00BA2DDB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</w:p>
    <w:p w14:paraId="4B77779F" w14:textId="49555006" w:rsidR="005C34C8" w:rsidRDefault="005C34C8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Определя се единичен разход за възнаграждение на докторант</w:t>
      </w:r>
      <w:r w:rsidR="000F61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който се обучава по докторска програма </w:t>
      </w:r>
      <w:r w:rsidR="000F61C7" w:rsidRPr="000F61C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по чл. 21, ал. 7 от ЗВО</w:t>
      </w:r>
      <w:r w:rsidR="000A7E44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в размер на </w:t>
      </w:r>
      <w:r w:rsidR="000A7E44" w:rsidRPr="00EB4BB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85 000 лв. за целия срок на докторантурата.</w:t>
      </w:r>
      <w:r w:rsidR="000F61C7" w:rsidRPr="00EB4BBC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</w:p>
    <w:p w14:paraId="6C56AD86" w14:textId="5AB674C2" w:rsidR="00EB4BBC" w:rsidRDefault="008F4463" w:rsidP="00AE4AA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E258F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Обучаващата организация има задължението да </w:t>
      </w:r>
      <w:r w:rsidR="0019269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изплаща месечно възнаграждение на докторанта съгласно подписания трудов договор</w:t>
      </w:r>
      <w:r w:rsidR="001A08A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(</w:t>
      </w:r>
      <w:r w:rsidR="00C529C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минимална </w:t>
      </w:r>
      <w:r w:rsidR="001A08A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заетост от </w:t>
      </w:r>
      <w:r w:rsidR="00C529C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4 </w:t>
      </w:r>
      <w:r w:rsidR="001A08A1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часа на ден)</w:t>
      </w:r>
      <w:r w:rsidR="0075315C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като общият разход за възнаграждения на докторанта (вкл. и </w:t>
      </w:r>
      <w:r w:rsidR="007D4689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задължителните вноски за сметка на работодателя)</w:t>
      </w:r>
      <w:r w:rsidR="0019269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B06015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за целия период на докторантурата</w:t>
      </w:r>
      <w:r w:rsidR="000505B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не трябва да бъде по-нисък от определения </w:t>
      </w:r>
      <w:r w:rsidR="00206AB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общ </w:t>
      </w:r>
      <w:r w:rsidR="000505B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единичен разход в размер на 85 000 лв.</w:t>
      </w:r>
      <w:r w:rsidR="00840A0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(или друг </w:t>
      </w:r>
      <w:r w:rsidR="00206AB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актуализиран </w:t>
      </w:r>
      <w:r w:rsidR="00840A08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размер</w:t>
      </w:r>
      <w:r w:rsidR="00206AB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, определен от УО).</w:t>
      </w:r>
    </w:p>
    <w:p w14:paraId="604B939D" w14:textId="3F8F0DAA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ъзстановяването на </w:t>
      </w:r>
      <w:r w:rsidR="000A65CE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общия единичен разход за възнаграждения за една проекта докторантура ще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се осъществява на няколко етапа, които са обвързани с изпълнението на конкретни дейности (постигнати резултати) от висшето училище/научната организация и от докторанта, съобразно учебния му план, както следва:</w:t>
      </w:r>
    </w:p>
    <w:p w14:paraId="4E6AC8B3" w14:textId="77288A19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•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502717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Етап 1 – зачисляване на докторанта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– УО възстановява на ВУ/НО 30</w:t>
      </w:r>
      <w:r w:rsidR="00502717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% от </w:t>
      </w:r>
      <w:r w:rsidR="00895C06" w:rsidRPr="00895C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единичн</w:t>
      </w:r>
      <w:r w:rsidR="00895C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ия</w:t>
      </w:r>
      <w:r w:rsidR="00895C06" w:rsidRPr="00895C0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разход за </w:t>
      </w:r>
      <w:r w:rsidR="00300B0A" w:rsidRPr="00300B0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възнаграждение на докторант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;</w:t>
      </w:r>
    </w:p>
    <w:p w14:paraId="71A24C9F" w14:textId="77777777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950F96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>Доказателство за изпълнение на етап 1: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Заповед за зачисляване на докторанта съгласно чл. 11 от Правилника за прилагане на Закона за развитие на академичния състав (ЗРАС).</w:t>
      </w:r>
    </w:p>
    <w:p w14:paraId="7A62688B" w14:textId="61E7AEA0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•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950F96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Етап 2 – взети всички кредити от докторанта по учебна дейност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(без кредитите за научноизследователска дейност и преподавателска дейност) от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lastRenderedPageBreak/>
        <w:t>индивидуалния учебен план на докторанта – УО възстановява на ВУ/НО 25</w:t>
      </w:r>
      <w:r w:rsidR="00950F9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% от </w:t>
      </w:r>
      <w:r w:rsidR="00950F96" w:rsidRPr="00950F96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единичния разход за </w:t>
      </w:r>
      <w:bookmarkStart w:id="6" w:name="_Hlk153441465"/>
      <w:r w:rsidR="00300B0A" w:rsidRPr="00300B0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възнаграждение на докторант</w:t>
      </w:r>
      <w:bookmarkEnd w:id="6"/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;</w:t>
      </w:r>
    </w:p>
    <w:p w14:paraId="2C519535" w14:textId="77777777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950F96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>Доказателство за изпълнение на етап 2: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Предложение за атестация на докторанта след първата (или втората) академична година по реда на чл. 17 от Правилника за прилагане на ЗРАС, утвърдено от факултетния, съответно научния съвет.</w:t>
      </w:r>
    </w:p>
    <w:p w14:paraId="50D5DDB5" w14:textId="2AFF28C7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•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CE78A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Етап 3 – </w:t>
      </w:r>
      <w:r w:rsidR="00CE78A8" w:rsidRPr="00CE78A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докторант</w:t>
      </w:r>
      <w:r w:rsidR="00CE78A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ът</w:t>
      </w:r>
      <w:r w:rsidR="00CE78A8" w:rsidRPr="00CE78A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="000C6E13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е </w:t>
      </w:r>
      <w:r w:rsidR="00300B0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публикувал</w:t>
      </w:r>
      <w:r w:rsidRPr="00CE78A8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поне една научна публикация</w:t>
      </w:r>
      <w:r w:rsidR="00300B0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,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300B0A" w:rsidRPr="004D0776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 xml:space="preserve">съответстваща на </w:t>
      </w:r>
      <w:r w:rsidR="00300B0A" w:rsidRPr="00CE56D5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 xml:space="preserve">относим към докторантите показател от група от показатели Г, </w:t>
      </w:r>
      <w:r w:rsidR="00300B0A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 xml:space="preserve">който е </w:t>
      </w:r>
      <w:r w:rsidR="00300B0A" w:rsidRPr="00CE56D5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>посочен в таблица 2</w:t>
      </w:r>
      <w:r w:rsidR="00300B0A" w:rsidRPr="00F57C7C">
        <w:t xml:space="preserve"> </w:t>
      </w:r>
      <w:r w:rsidR="00300B0A" w:rsidRPr="00935359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>за съответн</w:t>
      </w:r>
      <w:r w:rsidR="00300B0A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>ото професионално направление</w:t>
      </w:r>
      <w:r w:rsidR="00300B0A" w:rsidRPr="00CE56D5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 xml:space="preserve"> на Приложение към чл. 1а, ал. 1 от Правилника за прилагане на Закона за развитието на академичния състав в Република България, както и </w:t>
      </w:r>
      <w:r w:rsidR="00300B0A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>на</w:t>
      </w:r>
      <w:r w:rsidR="00300B0A" w:rsidRPr="00CE56D5">
        <w:rPr>
          <w:rFonts w:ascii="Times New Roman" w:eastAsia="Calibri" w:hAnsi="Times New Roman" w:cs="Times New Roman"/>
          <w:sz w:val="24"/>
          <w:szCs w:val="20"/>
          <w:lang w:eastAsia="bg-BG" w:bidi="bg-BG"/>
        </w:rPr>
        <w:t xml:space="preserve"> индивидуалния учебен план на докторанта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 – УО възстановява на ВУ/НО 25</w:t>
      </w:r>
      <w:r w:rsidR="000C6E1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% от </w:t>
      </w:r>
      <w:r w:rsidR="000C6E13" w:rsidRPr="000C6E13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единичния разход за </w:t>
      </w:r>
      <w:r w:rsidR="00300B0A" w:rsidRPr="00300B0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възнаграждение на докторант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;</w:t>
      </w:r>
    </w:p>
    <w:p w14:paraId="49597123" w14:textId="30C6E067" w:rsidR="00F83F30" w:rsidRPr="00F83F30" w:rsidRDefault="00F83F30" w:rsidP="003419EB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0C6E13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>Доказателство за изпълнение на етап 3: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Поне една научна публикация</w:t>
      </w:r>
      <w:r w:rsidR="00300B0A" w:rsidRPr="00300B0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съответстваща на относим към докторантите показател от група от показатели Г, който е посочен в таблица 2 за съответното професионално направление на Приложение към чл. 1а, ал. 1 от Правилника за прилагане на Закона за развитието на академичния състав в Република България, както и на индивидуалния учебен план на докторанта.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</w:p>
    <w:p w14:paraId="07562F73" w14:textId="0AA870B9" w:rsidR="00F83F30" w:rsidRPr="00F83F3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•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ab/>
      </w:r>
      <w:r w:rsidRPr="00D81A0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Етап </w:t>
      </w:r>
      <w:r w:rsidR="003419E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4</w:t>
      </w:r>
      <w:r w:rsidR="003419EB" w:rsidRPr="00D81A0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 xml:space="preserve"> </w:t>
      </w:r>
      <w:r w:rsidRPr="00D81A02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zh-CN"/>
        </w:rPr>
        <w:t>– успешна защита на дисертационен труд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от докторанта – УО възстановява на ВУ/НО </w:t>
      </w:r>
      <w:r w:rsidR="003419E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2</w:t>
      </w:r>
      <w:r w:rsidR="003419EB"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0</w:t>
      </w:r>
      <w:r w:rsidR="003419EB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% от </w:t>
      </w:r>
      <w:r w:rsidR="00D81A02" w:rsidRPr="00D81A02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единичния разход за </w:t>
      </w:r>
      <w:r w:rsidR="003419EB" w:rsidRPr="00300B0A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възнаграждение на докторант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>.</w:t>
      </w:r>
    </w:p>
    <w:p w14:paraId="55CF1532" w14:textId="7AF931EB" w:rsidR="00F83F30" w:rsidRPr="00E258F0" w:rsidRDefault="00F83F30" w:rsidP="00F83F30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D81A02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Доказателство за изпълнение на етап </w:t>
      </w:r>
      <w:r w:rsidR="003419EB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>4</w:t>
      </w:r>
      <w:r w:rsidRPr="00D81A02">
        <w:rPr>
          <w:rFonts w:ascii="Times New Roman" w:eastAsia="SimSun" w:hAnsi="Times New Roman" w:cs="Times New Roman"/>
          <w:bCs/>
          <w:i/>
          <w:iCs/>
          <w:color w:val="000000" w:themeColor="text1"/>
          <w:sz w:val="24"/>
          <w:szCs w:val="24"/>
          <w:lang w:eastAsia="zh-CN"/>
        </w:rPr>
        <w:t>:</w:t>
      </w:r>
      <w:r w:rsidRPr="00F83F30">
        <w:rPr>
          <w:rFonts w:ascii="Times New Roman" w:eastAsia="SimSu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Копие от диплома за придобита образователна и научна степен "доктор".</w:t>
      </w:r>
    </w:p>
    <w:p w14:paraId="4934F119" w14:textId="77777777" w:rsidR="009E16D5" w:rsidRPr="009E16D5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F122673" w14:textId="77777777" w:rsidR="009E16D5" w:rsidRPr="009E16D5" w:rsidRDefault="009E16D5" w:rsidP="009E16D5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4659BF80" w14:textId="77777777" w:rsidR="009E16D5" w:rsidRPr="009E16D5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33AE627C" w14:textId="77777777" w:rsidR="00DE74ED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>При публикуването на нови данни от НСИ или Евростат (средна годишна промяна спрямо базовата година</w:t>
      </w:r>
      <w:r w:rsidR="007375AA">
        <w:rPr>
          <w:rFonts w:ascii="Times New Roman" w:hAnsi="Times New Roman"/>
          <w:iCs/>
          <w:sz w:val="24"/>
          <w:szCs w:val="24"/>
        </w:rPr>
        <w:t xml:space="preserve"> 2023</w:t>
      </w:r>
      <w:r w:rsidRPr="009E16D5">
        <w:rPr>
          <w:rFonts w:ascii="Times New Roman" w:hAnsi="Times New Roman"/>
          <w:iCs/>
          <w:sz w:val="24"/>
          <w:szCs w:val="24"/>
        </w:rPr>
        <w:t>) Управляващият орган може да извърши актуализация на горепосочените единични разходи като прилага формул</w:t>
      </w:r>
      <w:r w:rsidR="004C2036">
        <w:rPr>
          <w:rFonts w:ascii="Times New Roman" w:hAnsi="Times New Roman"/>
          <w:iCs/>
          <w:sz w:val="24"/>
          <w:szCs w:val="24"/>
        </w:rPr>
        <w:t>и</w:t>
      </w:r>
      <w:r w:rsidRPr="009E16D5">
        <w:rPr>
          <w:rFonts w:ascii="Times New Roman" w:hAnsi="Times New Roman"/>
          <w:iCs/>
          <w:sz w:val="24"/>
          <w:szCs w:val="24"/>
        </w:rPr>
        <w:t>т</w:t>
      </w:r>
      <w:r w:rsidR="004C2036">
        <w:rPr>
          <w:rFonts w:ascii="Times New Roman" w:hAnsi="Times New Roman"/>
          <w:iCs/>
          <w:sz w:val="24"/>
          <w:szCs w:val="24"/>
        </w:rPr>
        <w:t>е</w:t>
      </w:r>
      <w:r w:rsidRPr="009E16D5">
        <w:rPr>
          <w:rFonts w:ascii="Times New Roman" w:hAnsi="Times New Roman"/>
          <w:iCs/>
          <w:sz w:val="24"/>
          <w:szCs w:val="24"/>
        </w:rPr>
        <w:t xml:space="preserve"> от файла </w:t>
      </w:r>
      <w:r w:rsidRPr="009E16D5">
        <w:rPr>
          <w:rFonts w:ascii="Times New Roman" w:hAnsi="Times New Roman"/>
          <w:i/>
          <w:sz w:val="24"/>
          <w:szCs w:val="24"/>
        </w:rPr>
        <w:t>Актуализиране-</w:t>
      </w:r>
      <w:r>
        <w:rPr>
          <w:rFonts w:ascii="Times New Roman" w:hAnsi="Times New Roman"/>
          <w:i/>
          <w:sz w:val="24"/>
          <w:szCs w:val="24"/>
        </w:rPr>
        <w:t>ПД</w:t>
      </w:r>
      <w:r w:rsidRPr="009E16D5">
        <w:rPr>
          <w:rFonts w:ascii="Times New Roman" w:hAnsi="Times New Roman"/>
          <w:i/>
          <w:sz w:val="24"/>
          <w:szCs w:val="24"/>
        </w:rPr>
        <w:t>.xls</w:t>
      </w:r>
      <w:r w:rsidRPr="009E16D5">
        <w:rPr>
          <w:rFonts w:ascii="Times New Roman" w:hAnsi="Times New Roman"/>
          <w:iCs/>
          <w:sz w:val="24"/>
          <w:szCs w:val="24"/>
        </w:rPr>
        <w:t>.</w:t>
      </w:r>
    </w:p>
    <w:p w14:paraId="7C147467" w14:textId="374050BF" w:rsidR="009E16D5" w:rsidRPr="009E16D5" w:rsidRDefault="00A02108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Първо се актуализира разход</w:t>
      </w:r>
      <w:r w:rsidR="00922E4D">
        <w:rPr>
          <w:rFonts w:ascii="Times New Roman" w:hAnsi="Times New Roman"/>
          <w:iCs/>
          <w:sz w:val="24"/>
          <w:szCs w:val="24"/>
        </w:rPr>
        <w:t>ът</w:t>
      </w:r>
      <w:r>
        <w:rPr>
          <w:rFonts w:ascii="Times New Roman" w:hAnsi="Times New Roman"/>
          <w:iCs/>
          <w:sz w:val="24"/>
          <w:szCs w:val="24"/>
        </w:rPr>
        <w:t xml:space="preserve"> за месечно възнаграждение, а след това </w:t>
      </w:r>
      <w:r w:rsidR="00F20371">
        <w:rPr>
          <w:rFonts w:ascii="Times New Roman" w:hAnsi="Times New Roman"/>
          <w:iCs/>
          <w:sz w:val="24"/>
          <w:szCs w:val="24"/>
        </w:rPr>
        <w:t xml:space="preserve">чрез прилагането на актуализирания месечен разход </w:t>
      </w:r>
      <w:r>
        <w:rPr>
          <w:rFonts w:ascii="Times New Roman" w:hAnsi="Times New Roman"/>
          <w:iCs/>
          <w:sz w:val="24"/>
          <w:szCs w:val="24"/>
        </w:rPr>
        <w:t>се определ</w:t>
      </w:r>
      <w:r w:rsidR="00B570F6">
        <w:rPr>
          <w:rFonts w:ascii="Times New Roman" w:hAnsi="Times New Roman"/>
          <w:iCs/>
          <w:sz w:val="24"/>
          <w:szCs w:val="24"/>
        </w:rPr>
        <w:t>я и общият</w:t>
      </w:r>
      <w:r w:rsidR="00922E4D">
        <w:rPr>
          <w:rFonts w:ascii="Times New Roman" w:hAnsi="Times New Roman"/>
          <w:iCs/>
          <w:sz w:val="24"/>
          <w:szCs w:val="24"/>
        </w:rPr>
        <w:t xml:space="preserve"> единичен</w:t>
      </w:r>
      <w:r w:rsidR="00B570F6">
        <w:rPr>
          <w:rFonts w:ascii="Times New Roman" w:hAnsi="Times New Roman"/>
          <w:iCs/>
          <w:sz w:val="24"/>
          <w:szCs w:val="24"/>
        </w:rPr>
        <w:t xml:space="preserve"> разход за </w:t>
      </w:r>
      <w:r w:rsidR="00922E4D">
        <w:rPr>
          <w:rFonts w:ascii="Times New Roman" w:hAnsi="Times New Roman"/>
          <w:iCs/>
          <w:sz w:val="24"/>
          <w:szCs w:val="24"/>
        </w:rPr>
        <w:t>възнаграждение на докторант</w:t>
      </w:r>
      <w:r w:rsidR="00B570F6">
        <w:rPr>
          <w:rFonts w:ascii="Times New Roman" w:hAnsi="Times New Roman"/>
          <w:iCs/>
          <w:sz w:val="24"/>
          <w:szCs w:val="24"/>
        </w:rPr>
        <w:t xml:space="preserve">. </w:t>
      </w:r>
    </w:p>
    <w:p w14:paraId="37C28AA1" w14:textId="13144493" w:rsidR="009E16D5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</w:t>
      </w:r>
      <w:r w:rsidRPr="009E16D5">
        <w:rPr>
          <w:rFonts w:ascii="Times New Roman" w:hAnsi="Times New Roman"/>
          <w:sz w:val="24"/>
          <w:szCs w:val="24"/>
        </w:rPr>
        <w:lastRenderedPageBreak/>
        <w:t xml:space="preserve">Актуализираните единични разходи се прилагат за дейности, които са започнали след началото на новата </w:t>
      </w:r>
      <w:r>
        <w:rPr>
          <w:rFonts w:ascii="Times New Roman" w:hAnsi="Times New Roman"/>
          <w:sz w:val="24"/>
          <w:szCs w:val="24"/>
        </w:rPr>
        <w:t>академична</w:t>
      </w:r>
      <w:r w:rsidRPr="009E16D5">
        <w:rPr>
          <w:rFonts w:ascii="Times New Roman" w:hAnsi="Times New Roman"/>
          <w:sz w:val="24"/>
          <w:szCs w:val="24"/>
        </w:rPr>
        <w:t xml:space="preserve"> година (или втория </w:t>
      </w:r>
      <w:r w:rsidR="001D5945">
        <w:rPr>
          <w:rFonts w:ascii="Times New Roman" w:hAnsi="Times New Roman"/>
          <w:sz w:val="24"/>
          <w:szCs w:val="24"/>
        </w:rPr>
        <w:t>семестър</w:t>
      </w:r>
      <w:r w:rsidRPr="009E16D5">
        <w:rPr>
          <w:rFonts w:ascii="Times New Roman" w:hAnsi="Times New Roman"/>
          <w:sz w:val="24"/>
          <w:szCs w:val="24"/>
        </w:rPr>
        <w:t>).</w:t>
      </w:r>
    </w:p>
    <w:p w14:paraId="28A312B3" w14:textId="39668DF2" w:rsidR="006C09DB" w:rsidRPr="00834A80" w:rsidRDefault="006C09DB" w:rsidP="009E16D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За проектни докторантури, които са </w:t>
      </w:r>
      <w:r w:rsidR="001078C5">
        <w:rPr>
          <w:rFonts w:ascii="Times New Roman" w:hAnsi="Times New Roman"/>
          <w:sz w:val="24"/>
          <w:szCs w:val="24"/>
        </w:rPr>
        <w:t xml:space="preserve">започнали преди актуализирането на единичния разход, </w:t>
      </w:r>
      <w:r w:rsidR="00CF3C35">
        <w:rPr>
          <w:rFonts w:ascii="Times New Roman" w:hAnsi="Times New Roman"/>
          <w:sz w:val="24"/>
          <w:szCs w:val="24"/>
        </w:rPr>
        <w:t xml:space="preserve">актуализираният размер на </w:t>
      </w:r>
      <w:r w:rsidR="00922E4D">
        <w:rPr>
          <w:rFonts w:ascii="Times New Roman" w:hAnsi="Times New Roman"/>
          <w:sz w:val="24"/>
          <w:szCs w:val="24"/>
        </w:rPr>
        <w:t>единичния</w:t>
      </w:r>
      <w:r w:rsidR="00CF3C35">
        <w:rPr>
          <w:rFonts w:ascii="Times New Roman" w:hAnsi="Times New Roman"/>
          <w:sz w:val="24"/>
          <w:szCs w:val="24"/>
        </w:rPr>
        <w:t xml:space="preserve"> разход се използва за изчисляване на </w:t>
      </w:r>
      <w:r w:rsidR="002A4B01">
        <w:rPr>
          <w:rFonts w:ascii="Times New Roman" w:hAnsi="Times New Roman"/>
          <w:sz w:val="24"/>
          <w:szCs w:val="24"/>
        </w:rPr>
        <w:t>плащания</w:t>
      </w:r>
      <w:r w:rsidR="00F62A10">
        <w:rPr>
          <w:rFonts w:ascii="Times New Roman" w:hAnsi="Times New Roman"/>
          <w:sz w:val="24"/>
          <w:szCs w:val="24"/>
        </w:rPr>
        <w:t>та за следващите етапи (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 xml:space="preserve">например, за етап 1 и 2 </w:t>
      </w:r>
      <w:r w:rsidR="001232C2" w:rsidRPr="00834A80">
        <w:rPr>
          <w:rFonts w:ascii="Times New Roman" w:hAnsi="Times New Roman"/>
          <w:i/>
          <w:iCs/>
          <w:sz w:val="24"/>
          <w:szCs w:val="24"/>
        </w:rPr>
        <w:t>е приложен единичен разход от 85 000 лв., който след това е актуализиран</w:t>
      </w:r>
      <w:r w:rsidR="00C51CD2" w:rsidRPr="00834A80">
        <w:rPr>
          <w:rFonts w:ascii="Times New Roman" w:hAnsi="Times New Roman"/>
          <w:i/>
          <w:iCs/>
          <w:sz w:val="24"/>
          <w:szCs w:val="24"/>
        </w:rPr>
        <w:t xml:space="preserve">; съответно 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 xml:space="preserve">при достигане на етап 3 </w:t>
      </w:r>
      <w:r w:rsidR="005E3CEA" w:rsidRPr="00834A80">
        <w:rPr>
          <w:rFonts w:ascii="Times New Roman" w:hAnsi="Times New Roman"/>
          <w:i/>
          <w:iCs/>
          <w:sz w:val="24"/>
          <w:szCs w:val="24"/>
        </w:rPr>
        <w:t>ще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272C6">
        <w:rPr>
          <w:rFonts w:ascii="Times New Roman" w:hAnsi="Times New Roman"/>
          <w:i/>
          <w:iCs/>
          <w:sz w:val="24"/>
          <w:szCs w:val="24"/>
        </w:rPr>
        <w:t xml:space="preserve">се 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>изпла</w:t>
      </w:r>
      <w:r w:rsidR="005E3CEA" w:rsidRPr="00834A80">
        <w:rPr>
          <w:rFonts w:ascii="Times New Roman" w:hAnsi="Times New Roman"/>
          <w:i/>
          <w:iCs/>
          <w:sz w:val="24"/>
          <w:szCs w:val="24"/>
        </w:rPr>
        <w:t>ти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 xml:space="preserve"> 25 % </w:t>
      </w:r>
      <w:r w:rsidR="009272C6">
        <w:rPr>
          <w:rFonts w:ascii="Times New Roman" w:hAnsi="Times New Roman"/>
          <w:i/>
          <w:iCs/>
          <w:sz w:val="24"/>
          <w:szCs w:val="24"/>
        </w:rPr>
        <w:t xml:space="preserve">от 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>актуализирания</w:t>
      </w:r>
      <w:r w:rsidR="002A4B01" w:rsidRPr="00834A8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>единичния разход за една проект</w:t>
      </w:r>
      <w:r w:rsidR="009272C6">
        <w:rPr>
          <w:rFonts w:ascii="Times New Roman" w:hAnsi="Times New Roman"/>
          <w:i/>
          <w:iCs/>
          <w:sz w:val="24"/>
          <w:szCs w:val="24"/>
        </w:rPr>
        <w:t>н</w:t>
      </w:r>
      <w:r w:rsidR="00F62A10" w:rsidRPr="00834A80">
        <w:rPr>
          <w:rFonts w:ascii="Times New Roman" w:hAnsi="Times New Roman"/>
          <w:i/>
          <w:iCs/>
          <w:sz w:val="24"/>
          <w:szCs w:val="24"/>
        </w:rPr>
        <w:t>а докторантура</w:t>
      </w:r>
      <w:r w:rsidR="005E3CEA">
        <w:rPr>
          <w:rFonts w:ascii="Times New Roman" w:hAnsi="Times New Roman"/>
          <w:sz w:val="24"/>
          <w:szCs w:val="24"/>
        </w:rPr>
        <w:t>).</w:t>
      </w:r>
    </w:p>
    <w:p w14:paraId="1ADD54B7" w14:textId="3807A35C" w:rsidR="00703472" w:rsidRDefault="0070347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DA201C4" w14:textId="42402C86" w:rsidR="00703472" w:rsidRPr="000C3C1F" w:rsidRDefault="00E247D9" w:rsidP="00703472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51733525"/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0347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03472" w:rsidRPr="000C3C1F">
        <w:rPr>
          <w:rFonts w:ascii="Times New Roman" w:eastAsia="Times New Roman" w:hAnsi="Times New Roman" w:cs="Times New Roman"/>
          <w:b/>
          <w:sz w:val="24"/>
          <w:szCs w:val="24"/>
        </w:rPr>
        <w:t xml:space="preserve">Финансиране чрез единна ставка на други преки и непреки разходи при изпълнението на </w:t>
      </w:r>
      <w:r w:rsidR="00755383">
        <w:rPr>
          <w:rFonts w:ascii="Times New Roman" w:eastAsia="Times New Roman" w:hAnsi="Times New Roman" w:cs="Times New Roman"/>
          <w:b/>
          <w:sz w:val="24"/>
          <w:szCs w:val="24"/>
        </w:rPr>
        <w:t>проектите</w:t>
      </w:r>
    </w:p>
    <w:bookmarkEnd w:id="7"/>
    <w:p w14:paraId="1812C0B7" w14:textId="77777777" w:rsidR="00703472" w:rsidRPr="000C3C1F" w:rsidRDefault="0070347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1A39B16" w14:textId="09491F1A" w:rsidR="000C3C1F" w:rsidRPr="000C3C1F" w:rsidRDefault="000C3C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bg-BG"/>
        </w:rPr>
      </w:pP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Съгласно чл. 56, параграф 1 от Регламент (ЕС) 2021/1060 към разходите за възнаграждения на </w:t>
      </w:r>
      <w:bookmarkStart w:id="8" w:name="_Hlk13754829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зачислените докторанти</w:t>
      </w:r>
      <w:r w:rsidR="009567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End w:id="8"/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прилага единна ставка от 40 % и така се определят </w:t>
      </w:r>
      <w:r w:rsidRPr="000C3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другите допустими преки и непреки разходи</w:t>
      </w: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изпълнение на </w:t>
      </w:r>
      <w:r w:rsidR="00755383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проекта</w:t>
      </w: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567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>Покриват се всички разходи, за които не са определени единични разходи</w:t>
      </w:r>
      <w:r w:rsidR="00CC5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раздел </w:t>
      </w:r>
      <w:r w:rsidR="00E247D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C56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раздел </w:t>
      </w:r>
      <w:r w:rsidR="00E247D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0C3C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настоящия документ.</w:t>
      </w:r>
      <w:r w:rsidR="005707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3C1F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Покриват се </w:t>
      </w:r>
      <w:r w:rsidR="0057074E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и </w:t>
      </w:r>
      <w:r w:rsidRPr="000C3C1F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непреките разходи, възникнали при изпълнението на проекта. </w:t>
      </w:r>
    </w:p>
    <w:p w14:paraId="0494084F" w14:textId="77777777" w:rsidR="000C3C1F" w:rsidRDefault="000C3C1F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6B01BF" w14:textId="1301B5B7" w:rsidR="001E3BE4" w:rsidRPr="000C3C1F" w:rsidRDefault="008A4BDB" w:rsidP="001E3BE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151733695"/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E3BE4">
        <w:rPr>
          <w:rFonts w:ascii="Times New Roman" w:eastAsia="Times New Roman" w:hAnsi="Times New Roman" w:cs="Times New Roman"/>
          <w:b/>
          <w:sz w:val="24"/>
          <w:szCs w:val="24"/>
        </w:rPr>
        <w:t xml:space="preserve">. Единични разходи за мобилност 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на докторанти </w:t>
      </w:r>
      <w:r w:rsidR="00032D67">
        <w:rPr>
          <w:rFonts w:ascii="Times New Roman" w:eastAsia="Times New Roman" w:hAnsi="Times New Roman" w:cs="Times New Roman"/>
          <w:b/>
          <w:sz w:val="24"/>
          <w:szCs w:val="24"/>
        </w:rPr>
        <w:t>и академичен състав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9"/>
    <w:p w14:paraId="734846BF" w14:textId="77777777" w:rsidR="000C3C1F" w:rsidRPr="000C37A5" w:rsidRDefault="000C3C1F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7591452" w14:textId="5035E5D5" w:rsidR="00970D05" w:rsidRDefault="005E569E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69E">
        <w:rPr>
          <w:rFonts w:ascii="Times New Roman" w:hAnsi="Times New Roman" w:cs="Times New Roman"/>
          <w:color w:val="000000"/>
          <w:sz w:val="24"/>
          <w:szCs w:val="24"/>
        </w:rPr>
        <w:t xml:space="preserve">Дейност </w:t>
      </w:r>
      <w:r w:rsidR="00C37C52" w:rsidRPr="00763E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5E569E">
        <w:rPr>
          <w:rFonts w:ascii="Times New Roman" w:hAnsi="Times New Roman" w:cs="Times New Roman"/>
          <w:color w:val="000000"/>
          <w:sz w:val="24"/>
          <w:szCs w:val="24"/>
        </w:rPr>
        <w:t xml:space="preserve"> предвижда провеждането на мобилност</w:t>
      </w:r>
      <w:r w:rsidR="00C37C52" w:rsidRPr="00763E02">
        <w:rPr>
          <w:rFonts w:ascii="Times New Roman" w:hAnsi="Times New Roman" w:cs="Times New Roman"/>
          <w:color w:val="000000"/>
          <w:sz w:val="24"/>
          <w:szCs w:val="24"/>
        </w:rPr>
        <w:t xml:space="preserve"> на докторанти </w:t>
      </w:r>
      <w:r w:rsidR="001A76F3">
        <w:rPr>
          <w:rFonts w:ascii="Times New Roman" w:hAnsi="Times New Roman" w:cs="Times New Roman"/>
          <w:color w:val="000000"/>
          <w:sz w:val="24"/>
          <w:szCs w:val="24"/>
        </w:rPr>
        <w:t>в чуждестранни организации</w:t>
      </w:r>
      <w:r w:rsidRPr="005E569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CF7AAA">
        <w:rPr>
          <w:rFonts w:ascii="Times New Roman" w:hAnsi="Times New Roman" w:cs="Times New Roman"/>
          <w:color w:val="000000"/>
          <w:sz w:val="24"/>
          <w:szCs w:val="24"/>
        </w:rPr>
        <w:t xml:space="preserve">различна </w:t>
      </w:r>
      <w:r w:rsidRPr="005E569E">
        <w:rPr>
          <w:rFonts w:ascii="Times New Roman" w:hAnsi="Times New Roman" w:cs="Times New Roman"/>
          <w:color w:val="000000"/>
          <w:sz w:val="24"/>
          <w:szCs w:val="24"/>
        </w:rPr>
        <w:t>продължителност</w:t>
      </w:r>
      <w:r w:rsidR="00793D65" w:rsidRPr="00763E0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9B97B0" w14:textId="77777777" w:rsidR="007837D5" w:rsidRDefault="00970D05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SimSun" w:hAnsi="Times New Roman" w:cs="Times New Roman"/>
          <w:bCs/>
          <w:sz w:val="24"/>
          <w:szCs w:val="24"/>
          <w:lang w:eastAsia="bg-BG"/>
        </w:rPr>
      </w:pPr>
      <w:r w:rsidRPr="00A55E7D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Дейност</w:t>
      </w:r>
      <w:r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3</w:t>
      </w:r>
      <w:r w:rsidRPr="00A55E7D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 е насочена към провеждане на обучения в страната и </w:t>
      </w:r>
      <w:bookmarkStart w:id="10" w:name="_Hlk152586288"/>
      <w:r w:rsidRPr="00A55E7D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краткосрочна мобилност в чуждестранни ВУ/НО, които обучават докторанти, на представители на академичния състав </w:t>
      </w:r>
      <w:bookmarkEnd w:id="10"/>
      <w:r w:rsidRPr="00A55E7D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на висшите училища/научните организации с оглед подобряване на уменията им за преподаване, вкл. по хоризонтални въпроси като Индустрия 5.0 и/или зеления преход  и/или синия растеж и/или ИСИС, и повишаване качеството и приложимостта на предлаганите докторски програми и отварянето им за международно сътрудничество и участието в национални и международни образователни мрежи (вкл. „европейски университети“). </w:t>
      </w:r>
    </w:p>
    <w:p w14:paraId="3DCE6C82" w14:textId="2CB0FE5E" w:rsidR="005E569E" w:rsidRDefault="00EF0A06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изпълнението на ОПНОИР з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>а участниците в мобилности с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прилага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единичните разходи от програма Еразъм+</w:t>
      </w:r>
      <w:r>
        <w:rPr>
          <w:rFonts w:ascii="Times New Roman" w:hAnsi="Times New Roman" w:cs="Times New Roman"/>
          <w:color w:val="000000"/>
          <w:sz w:val="24"/>
          <w:szCs w:val="24"/>
        </w:rPr>
        <w:t>, както е посочено в приложение ТЕРЕС-ПО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(единични разходи </w:t>
      </w:r>
      <w:r w:rsidR="003A729D">
        <w:rPr>
          <w:rFonts w:ascii="Times New Roman" w:hAnsi="Times New Roman" w:cs="Times New Roman"/>
          <w:color w:val="000000"/>
          <w:sz w:val="24"/>
          <w:szCs w:val="24"/>
        </w:rPr>
        <w:t>1.66-1.69</w:t>
      </w:r>
      <w:r w:rsidR="00982CE9">
        <w:rPr>
          <w:rFonts w:ascii="Times New Roman" w:hAnsi="Times New Roman" w:cs="Times New Roman"/>
          <w:color w:val="000000"/>
          <w:sz w:val="24"/>
          <w:szCs w:val="24"/>
        </w:rPr>
        <w:t xml:space="preserve"> и 1.58-1.64)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 Същият подход ще бъде приложени и за определяне на единичните разходи за мобилност по процедура 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4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Подкрепа за развитие на проектна докторантура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“</w:t>
      </w:r>
      <w:r w:rsidR="0047084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B4BF2F" w14:textId="3EBF0C66" w:rsidR="009D61C9" w:rsidRDefault="00BC7314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Докторантите, които се обучават по </w:t>
      </w:r>
      <w:r w:rsidR="00FC1739" w:rsidRPr="00FC1739">
        <w:rPr>
          <w:rFonts w:ascii="Times New Roman" w:hAnsi="Times New Roman" w:cs="Times New Roman"/>
          <w:color w:val="000000"/>
          <w:sz w:val="24"/>
          <w:szCs w:val="24"/>
        </w:rPr>
        <w:t>реда на чл. 21, ал. 7 от</w:t>
      </w:r>
      <w:r w:rsidR="00FC1739">
        <w:rPr>
          <w:rFonts w:ascii="Times New Roman" w:hAnsi="Times New Roman" w:cs="Times New Roman"/>
          <w:color w:val="000000"/>
          <w:sz w:val="24"/>
          <w:szCs w:val="24"/>
        </w:rPr>
        <w:t xml:space="preserve"> ЗВО</w:t>
      </w:r>
      <w:r w:rsidR="0063275A">
        <w:rPr>
          <w:rFonts w:ascii="Times New Roman" w:hAnsi="Times New Roman" w:cs="Times New Roman"/>
          <w:color w:val="000000"/>
          <w:sz w:val="24"/>
          <w:szCs w:val="24"/>
        </w:rPr>
        <w:t xml:space="preserve">, имат сключен трудов договор с обучаващата организация и в съответствие с правилата на програма Еразъм+ </w:t>
      </w:r>
      <w:r w:rsidR="00870810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63275A">
        <w:rPr>
          <w:rFonts w:ascii="Times New Roman" w:hAnsi="Times New Roman" w:cs="Times New Roman"/>
          <w:color w:val="000000"/>
          <w:sz w:val="24"/>
          <w:szCs w:val="24"/>
        </w:rPr>
        <w:t>а тях с</w:t>
      </w:r>
      <w:r w:rsidR="0031484C">
        <w:rPr>
          <w:rFonts w:ascii="Times New Roman" w:hAnsi="Times New Roman" w:cs="Times New Roman"/>
          <w:color w:val="000000"/>
          <w:sz w:val="24"/>
          <w:szCs w:val="24"/>
        </w:rPr>
        <w:t xml:space="preserve">а приложими правилата, които се прилагат за персонала на </w:t>
      </w:r>
      <w:r w:rsidR="00870810">
        <w:rPr>
          <w:rFonts w:ascii="Times New Roman" w:hAnsi="Times New Roman" w:cs="Times New Roman"/>
          <w:color w:val="000000"/>
          <w:sz w:val="24"/>
          <w:szCs w:val="24"/>
        </w:rPr>
        <w:t xml:space="preserve">висшето училище. </w:t>
      </w:r>
      <w:r w:rsidR="00470848">
        <w:rPr>
          <w:rFonts w:ascii="Times New Roman" w:hAnsi="Times New Roman" w:cs="Times New Roman"/>
          <w:color w:val="000000"/>
          <w:sz w:val="24"/>
          <w:szCs w:val="24"/>
        </w:rPr>
        <w:t>Затова при краткосрочните мобилности на докторанти и представители на академичния състав ще се прилага едни и същи единични разходи.</w:t>
      </w:r>
    </w:p>
    <w:p w14:paraId="182C5B16" w14:textId="70C1EA05" w:rsidR="00B5138D" w:rsidRDefault="00E23EA7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изпълнението на проекта се п</w:t>
      </w:r>
      <w:r w:rsidRPr="000F212F">
        <w:rPr>
          <w:rFonts w:ascii="Times New Roman" w:hAnsi="Times New Roman" w:cs="Times New Roman"/>
          <w:sz w:val="24"/>
          <w:szCs w:val="24"/>
        </w:rPr>
        <w:t>рилагат единичните разходи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0F212F">
        <w:rPr>
          <w:rFonts w:ascii="Times New Roman" w:hAnsi="Times New Roman" w:cs="Times New Roman"/>
          <w:sz w:val="24"/>
          <w:szCs w:val="24"/>
        </w:rPr>
        <w:t xml:space="preserve"> програма Еразъм+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0F212F">
        <w:rPr>
          <w:rFonts w:ascii="Times New Roman" w:hAnsi="Times New Roman" w:cs="Times New Roman"/>
          <w:sz w:val="24"/>
          <w:szCs w:val="24"/>
        </w:rPr>
        <w:t>, както следва</w:t>
      </w:r>
      <w:r>
        <w:rPr>
          <w:rFonts w:ascii="Times New Roman" w:hAnsi="Times New Roman" w:cs="Times New Roman"/>
          <w:sz w:val="24"/>
          <w:szCs w:val="24"/>
        </w:rPr>
        <w:t xml:space="preserve"> (съгласно актуалната Версия 1</w:t>
      </w:r>
      <w:r w:rsidRPr="00D66516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4 г.</w:t>
      </w:r>
      <w:r w:rsidRPr="00D66516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28.11.</w:t>
      </w:r>
      <w:r w:rsidRPr="00D66516">
        <w:rPr>
          <w:rFonts w:ascii="Times New Roman" w:hAnsi="Times New Roman" w:cs="Times New Roman"/>
          <w:sz w:val="24"/>
          <w:szCs w:val="24"/>
        </w:rPr>
        <w:t>2023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)</w:t>
      </w:r>
      <w:r w:rsidRPr="000F212F">
        <w:rPr>
          <w:rFonts w:ascii="Times New Roman" w:hAnsi="Times New Roman" w:cs="Times New Roman"/>
          <w:sz w:val="24"/>
          <w:szCs w:val="24"/>
        </w:rPr>
        <w:t>:</w:t>
      </w:r>
    </w:p>
    <w:p w14:paraId="1D4B55B6" w14:textId="2205BE39" w:rsidR="009D61C9" w:rsidRDefault="003F0DC8" w:rsidP="007457E4">
      <w:pPr>
        <w:pStyle w:val="ListParagraph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пътуване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23F7BD" w14:textId="515F92DF" w:rsidR="009D61C9" w:rsidRDefault="003F0DC8" w:rsidP="007457E4">
      <w:pPr>
        <w:pStyle w:val="ListParagraph"/>
        <w:tabs>
          <w:tab w:val="left" w:pos="284"/>
        </w:tabs>
        <w:spacing w:before="120" w:after="12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ab/>
      </w:r>
      <w:r>
        <w:rPr>
          <w:rFonts w:ascii="Times New Roman" w:hAnsi="Times New Roman"/>
          <w:b/>
          <w:bCs/>
          <w:i/>
          <w:sz w:val="24"/>
          <w:szCs w:val="24"/>
        </w:rPr>
        <w:tab/>
      </w:r>
      <w:r w:rsidR="009D61C9"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стандартно пътуване</w:t>
      </w:r>
    </w:p>
    <w:p w14:paraId="74E3F894" w14:textId="4C582FA4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</w:t>
      </w:r>
      <w:r>
        <w:rPr>
          <w:rFonts w:ascii="Times New Roman" w:hAnsi="Times New Roman"/>
          <w:i/>
          <w:sz w:val="24"/>
          <w:szCs w:val="24"/>
        </w:rPr>
        <w:t>1</w:t>
      </w:r>
      <w:r w:rsidRPr="00D05727">
        <w:rPr>
          <w:rFonts w:ascii="Times New Roman" w:hAnsi="Times New Roman"/>
          <w:i/>
          <w:sz w:val="24"/>
          <w:szCs w:val="24"/>
        </w:rPr>
        <w:t xml:space="preserve">0 и 99 км: </w:t>
      </w:r>
      <w:r w:rsidR="001410D6" w:rsidRPr="00D05727">
        <w:rPr>
          <w:rFonts w:ascii="Times New Roman" w:hAnsi="Times New Roman"/>
          <w:i/>
          <w:sz w:val="24"/>
          <w:szCs w:val="24"/>
        </w:rPr>
        <w:t>2</w:t>
      </w:r>
      <w:r w:rsidR="001410D6">
        <w:rPr>
          <w:rFonts w:ascii="Times New Roman" w:hAnsi="Times New Roman"/>
          <w:i/>
          <w:sz w:val="24"/>
          <w:szCs w:val="24"/>
        </w:rPr>
        <w:t>8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1410D6">
        <w:rPr>
          <w:rFonts w:ascii="Times New Roman" w:hAnsi="Times New Roman"/>
          <w:i/>
          <w:sz w:val="24"/>
          <w:szCs w:val="24"/>
          <w:lang w:val="en-US"/>
        </w:rPr>
        <w:t>5</w:t>
      </w:r>
      <w:r w:rsidR="001410D6">
        <w:rPr>
          <w:rFonts w:ascii="Times New Roman" w:hAnsi="Times New Roman"/>
          <w:i/>
          <w:sz w:val="24"/>
          <w:szCs w:val="24"/>
        </w:rPr>
        <w:t>5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68C44DC2" w14:textId="61C17633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100 и 499 км: </w:t>
      </w:r>
      <w:r w:rsidR="00057537">
        <w:rPr>
          <w:rFonts w:ascii="Times New Roman" w:hAnsi="Times New Roman"/>
          <w:i/>
          <w:sz w:val="24"/>
          <w:szCs w:val="24"/>
        </w:rPr>
        <w:t>211</w:t>
      </w:r>
      <w:r w:rsidR="00057537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057537">
        <w:rPr>
          <w:rFonts w:ascii="Times New Roman" w:hAnsi="Times New Roman"/>
          <w:i/>
          <w:sz w:val="24"/>
          <w:szCs w:val="24"/>
          <w:lang w:val="en-US"/>
        </w:rPr>
        <w:t>413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4DE7FF64" w14:textId="788A1E2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>За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разстояния между 500 и 1999 км: </w:t>
      </w:r>
      <w:r w:rsidR="005B3638">
        <w:rPr>
          <w:rFonts w:ascii="Times New Roman" w:hAnsi="Times New Roman"/>
          <w:i/>
          <w:sz w:val="24"/>
          <w:szCs w:val="24"/>
        </w:rPr>
        <w:t>309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5B3638">
        <w:rPr>
          <w:rFonts w:ascii="Times New Roman" w:hAnsi="Times New Roman"/>
          <w:i/>
          <w:sz w:val="24"/>
          <w:szCs w:val="24"/>
          <w:lang w:val="en-US"/>
        </w:rPr>
        <w:t>604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83D7917" w14:textId="0855670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2000 и 2999 км: </w:t>
      </w:r>
      <w:r w:rsidR="000C3B4A">
        <w:rPr>
          <w:rFonts w:ascii="Times New Roman" w:hAnsi="Times New Roman"/>
          <w:i/>
          <w:sz w:val="24"/>
          <w:szCs w:val="24"/>
        </w:rPr>
        <w:t>395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EUR х 1,95583 = 7</w:t>
      </w:r>
      <w:r w:rsidR="000C3B4A">
        <w:rPr>
          <w:rFonts w:ascii="Times New Roman" w:hAnsi="Times New Roman"/>
          <w:i/>
          <w:sz w:val="24"/>
          <w:szCs w:val="24"/>
          <w:lang w:val="en-US"/>
        </w:rPr>
        <w:t>73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495B586C" w14:textId="1F1600CD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3000 и 3999 км: </w:t>
      </w:r>
      <w:r w:rsidR="00BD78C3" w:rsidRPr="00D05727">
        <w:rPr>
          <w:rFonts w:ascii="Times New Roman" w:hAnsi="Times New Roman"/>
          <w:i/>
          <w:sz w:val="24"/>
          <w:szCs w:val="24"/>
        </w:rPr>
        <w:t>5</w:t>
      </w:r>
      <w:r w:rsidR="00BD78C3">
        <w:rPr>
          <w:rFonts w:ascii="Times New Roman" w:hAnsi="Times New Roman"/>
          <w:i/>
          <w:sz w:val="24"/>
          <w:szCs w:val="24"/>
        </w:rPr>
        <w:t>8</w:t>
      </w:r>
      <w:r w:rsidR="00BD78C3" w:rsidRPr="00D05727">
        <w:rPr>
          <w:rFonts w:ascii="Times New Roman" w:hAnsi="Times New Roman"/>
          <w:i/>
          <w:sz w:val="24"/>
          <w:szCs w:val="24"/>
        </w:rPr>
        <w:t>0 EUR х 1,95583 = 1</w:t>
      </w:r>
      <w:r w:rsidR="00BD78C3">
        <w:rPr>
          <w:rFonts w:ascii="Times New Roman" w:hAnsi="Times New Roman"/>
          <w:i/>
          <w:sz w:val="24"/>
          <w:szCs w:val="24"/>
          <w:lang w:val="en-US"/>
        </w:rPr>
        <w:t xml:space="preserve">134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05C04BF" w14:textId="0F34872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2767DE">
        <w:rPr>
          <w:rFonts w:ascii="Times New Roman" w:hAnsi="Times New Roman"/>
          <w:i/>
          <w:sz w:val="24"/>
          <w:szCs w:val="24"/>
        </w:rPr>
        <w:t>1188</w:t>
      </w:r>
      <w:r w:rsidR="002767DE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1" w:name="_Hlk153442551"/>
      <w:r w:rsidR="002767DE">
        <w:rPr>
          <w:rFonts w:ascii="Times New Roman" w:hAnsi="Times New Roman"/>
          <w:i/>
          <w:sz w:val="24"/>
          <w:szCs w:val="24"/>
          <w:lang w:val="en-US"/>
        </w:rPr>
        <w:t>2324</w:t>
      </w:r>
      <w:bookmarkEnd w:id="11"/>
      <w:r w:rsidR="002767DE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752EE13C" w14:textId="3A56D75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CC4EFA" w:rsidRPr="00D05727">
        <w:rPr>
          <w:rFonts w:ascii="Times New Roman" w:hAnsi="Times New Roman"/>
          <w:i/>
          <w:sz w:val="24"/>
          <w:szCs w:val="24"/>
        </w:rPr>
        <w:t>1</w:t>
      </w:r>
      <w:r w:rsidR="00CC4EFA">
        <w:rPr>
          <w:rFonts w:ascii="Times New Roman" w:hAnsi="Times New Roman"/>
          <w:i/>
          <w:sz w:val="24"/>
          <w:szCs w:val="24"/>
        </w:rPr>
        <w:t>735</w:t>
      </w:r>
      <w:r w:rsidR="00CC4EFA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2" w:name="_Hlk153442591"/>
      <w:r w:rsidR="00CC4EFA">
        <w:rPr>
          <w:rFonts w:ascii="Times New Roman" w:hAnsi="Times New Roman"/>
          <w:i/>
          <w:sz w:val="24"/>
          <w:szCs w:val="24"/>
          <w:lang w:val="en-US"/>
        </w:rPr>
        <w:t>3393</w:t>
      </w:r>
      <w:bookmarkEnd w:id="12"/>
      <w:r w:rsidR="00CC4EF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5664018" w14:textId="77777777" w:rsidR="003E2EB6" w:rsidRDefault="003E2EB6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283B070" w14:textId="390A2626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екологично пътуване</w:t>
      </w:r>
      <w:r>
        <w:rPr>
          <w:rStyle w:val="FootnoteReference"/>
          <w:rFonts w:ascii="Times New Roman" w:hAnsi="Times New Roman"/>
          <w:b/>
          <w:bCs/>
          <w:i/>
          <w:sz w:val="24"/>
          <w:szCs w:val="24"/>
        </w:rPr>
        <w:footnoteReference w:id="5"/>
      </w:r>
    </w:p>
    <w:p w14:paraId="4D2318A9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 и 99 км: 56 EUR х 1,95583 = 110 лв.</w:t>
      </w:r>
    </w:p>
    <w:p w14:paraId="5675F498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100 и 499 км: 285 EUR х 1,95583 = 557 лв.</w:t>
      </w:r>
    </w:p>
    <w:p w14:paraId="063545F6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500 и 1999 км: 417 EUR х 1,95583 = 816 лв.</w:t>
      </w:r>
    </w:p>
    <w:p w14:paraId="44C9A092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2000 и 2999 км: 535 EUR х 1,95583 = 1046 лв.</w:t>
      </w:r>
    </w:p>
    <w:p w14:paraId="31A35C02" w14:textId="77777777" w:rsidR="00E3644C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3000 и 3999 км: 785 EUR х 1,95583 = 1535 лв.</w:t>
      </w:r>
    </w:p>
    <w:p w14:paraId="7F1AAF33" w14:textId="62BDA67A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FC1739">
        <w:rPr>
          <w:rFonts w:ascii="Times New Roman" w:hAnsi="Times New Roman"/>
          <w:i/>
          <w:sz w:val="24"/>
          <w:szCs w:val="24"/>
        </w:rPr>
        <w:t>1188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>
        <w:rPr>
          <w:rFonts w:ascii="Times New Roman" w:hAnsi="Times New Roman"/>
          <w:i/>
          <w:sz w:val="24"/>
          <w:szCs w:val="24"/>
          <w:lang w:val="en-US"/>
        </w:rPr>
        <w:t>2324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3DC03961" w14:textId="7C44DFA3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FC1739">
        <w:rPr>
          <w:rFonts w:ascii="Times New Roman" w:hAnsi="Times New Roman"/>
          <w:i/>
          <w:sz w:val="24"/>
          <w:szCs w:val="24"/>
        </w:rPr>
        <w:t>1735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 w:rsidRPr="00FC1739">
        <w:rPr>
          <w:rFonts w:ascii="Times New Roman" w:hAnsi="Times New Roman"/>
          <w:i/>
          <w:sz w:val="24"/>
          <w:szCs w:val="24"/>
        </w:rPr>
        <w:t>3393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5595C8CE" w14:textId="77777777" w:rsidR="009D61C9" w:rsidRDefault="009D61C9" w:rsidP="009D61C9">
      <w:pPr>
        <w:pStyle w:val="ListParagraph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14:paraId="6E45652B" w14:textId="66815E68" w:rsidR="009D61C9" w:rsidRDefault="001E36B0" w:rsidP="001E36B0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="009D61C9">
        <w:rPr>
          <w:rFonts w:ascii="Times New Roman" w:hAnsi="Times New Roman"/>
          <w:iCs/>
          <w:sz w:val="24"/>
          <w:szCs w:val="24"/>
        </w:rPr>
        <w:t>Единичният</w:t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 w:rsidR="009D61C9"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9D61C9" w:rsidRPr="00EA2AC9">
        <w:rPr>
          <w:rFonts w:ascii="Times New Roman" w:hAnsi="Times New Roman"/>
          <w:iCs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9D61C9">
        <w:rPr>
          <w:rStyle w:val="FootnoteReference"/>
          <w:rFonts w:ascii="Times New Roman" w:hAnsi="Times New Roman"/>
          <w:iCs/>
          <w:sz w:val="24"/>
          <w:szCs w:val="24"/>
        </w:rPr>
        <w:footnoteReference w:id="6"/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. </w:t>
      </w:r>
      <w:r w:rsidR="009D61C9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9D61C9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9D61C9">
        <w:rPr>
          <w:rFonts w:ascii="Times New Roman" w:hAnsi="Times New Roman"/>
          <w:iCs/>
          <w:sz w:val="24"/>
          <w:szCs w:val="24"/>
        </w:rPr>
        <w:t>.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9D61C9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9D61C9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9D61C9" w:rsidRPr="00D53FA6">
        <w:rPr>
          <w:rFonts w:ascii="Times New Roman" w:hAnsi="Times New Roman"/>
          <w:iCs/>
          <w:sz w:val="24"/>
          <w:szCs w:val="24"/>
        </w:rPr>
        <w:t>с</w:t>
      </w:r>
      <w:r w:rsidR="009D61C9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9D61C9"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="009D61C9" w:rsidRPr="00D53FA6">
        <w:rPr>
          <w:rFonts w:ascii="Times New Roman" w:hAnsi="Times New Roman"/>
          <w:iCs/>
          <w:sz w:val="24"/>
          <w:szCs w:val="24"/>
        </w:rPr>
        <w:t>.</w:t>
      </w:r>
      <w:r w:rsidR="00B82AD7" w:rsidRPr="00B82AD7">
        <w:rPr>
          <w:rFonts w:ascii="Times New Roman" w:hAnsi="Times New Roman"/>
          <w:iCs/>
          <w:sz w:val="24"/>
          <w:szCs w:val="24"/>
        </w:rPr>
        <w:t xml:space="preserve"> 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Общото правило е, че на разстояние под 500 </w:t>
      </w:r>
      <w:r w:rsidR="00B82AD7">
        <w:rPr>
          <w:rFonts w:ascii="Times New Roman" w:hAnsi="Times New Roman"/>
          <w:iCs/>
          <w:sz w:val="24"/>
          <w:szCs w:val="24"/>
        </w:rPr>
        <w:t>км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 участниците ще пътуват с транспортни средства с ниски емисии.</w:t>
      </w:r>
    </w:p>
    <w:p w14:paraId="774716C2" w14:textId="24E4C3E7" w:rsidR="009D61C9" w:rsidRDefault="009D61C9" w:rsidP="00423716">
      <w:pPr>
        <w:pStyle w:val="ListParagraph"/>
        <w:tabs>
          <w:tab w:val="left" w:pos="284"/>
        </w:tabs>
        <w:spacing w:before="120" w:after="12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bCs/>
          <w:sz w:val="24"/>
          <w:szCs w:val="24"/>
        </w:rPr>
        <w:t>престой:</w:t>
      </w:r>
    </w:p>
    <w:p w14:paraId="7D40FF4B" w14:textId="26902BAA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Индивидуална подкрепа за престой</w:t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 – определя се въз основа на продължителността на престоя на участника в съответната държава (брой дни, умножено по съответния единичен разход за ден). </w:t>
      </w:r>
    </w:p>
    <w:p w14:paraId="418ED2F6" w14:textId="5EBFED96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</w:p>
    <w:p w14:paraId="1F4004CE" w14:textId="270FBCB8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Членове на персонала</w:t>
      </w:r>
      <w:r w:rsidR="00423716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9D61C9" w:rsidRPr="00A62929">
        <w:rPr>
          <w:rFonts w:ascii="Times New Roman" w:hAnsi="Times New Roman" w:cs="Times New Roman"/>
          <w:sz w:val="24"/>
          <w:szCs w:val="24"/>
        </w:rPr>
        <w:t>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необходимо.</w:t>
      </w:r>
    </w:p>
    <w:p w14:paraId="760519B7" w14:textId="45406C89" w:rsidR="009D61C9" w:rsidRPr="00A62929" w:rsidRDefault="00A62929" w:rsidP="007947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Прилагат се следните единични суми </w:t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при престой до 14 дни:</w:t>
      </w:r>
    </w:p>
    <w:p w14:paraId="2AB00108" w14:textId="0B6FD91B" w:rsidR="00BB515B" w:rsidRDefault="00BB515B" w:rsidP="00423716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0 евро</w:t>
      </w:r>
      <w:r>
        <w:rPr>
          <w:rFonts w:ascii="Times New Roman" w:hAnsi="Times New Roman" w:cs="Times New Roman"/>
          <w:sz w:val="24"/>
          <w:szCs w:val="24"/>
        </w:rPr>
        <w:t xml:space="preserve"> на ден при престой в </w:t>
      </w:r>
      <w:r w:rsidRPr="008C6BC5">
        <w:rPr>
          <w:rFonts w:ascii="Times New Roman" w:hAnsi="Times New Roman" w:cs="Times New Roman"/>
          <w:sz w:val="24"/>
          <w:szCs w:val="24"/>
        </w:rPr>
        <w:t xml:space="preserve">Австрия, Белгия,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Дания,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Франция, Германия,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Финландия, Исландия, Ирландия,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Италия,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Лихтенщайн, Люксембург,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Нидерландия, </w:t>
      </w:r>
      <w:r w:rsidRPr="00530071">
        <w:rPr>
          <w:rFonts w:ascii="Times New Roman" w:hAnsi="Times New Roman" w:cs="Times New Roman"/>
          <w:sz w:val="24"/>
          <w:szCs w:val="24"/>
        </w:rPr>
        <w:t>Норвегия, Швеция, Фарьорски острови, Швейцария, Обединено кралство</w:t>
      </w:r>
      <w:r>
        <w:rPr>
          <w:rFonts w:ascii="Times New Roman" w:hAnsi="Times New Roman" w:cs="Times New Roman"/>
          <w:sz w:val="24"/>
          <w:szCs w:val="24"/>
        </w:rPr>
        <w:t xml:space="preserve">, Съединени американски щати, Канада, </w:t>
      </w:r>
      <w:r w:rsidRPr="008C6BC5">
        <w:rPr>
          <w:rFonts w:ascii="Times New Roman" w:hAnsi="Times New Roman" w:cs="Times New Roman"/>
          <w:sz w:val="24"/>
          <w:szCs w:val="24"/>
        </w:rPr>
        <w:t>Андора, Монако, Сан Марино, град държава Ватикан</w:t>
      </w:r>
      <w:r>
        <w:rPr>
          <w:rFonts w:ascii="Times New Roman" w:hAnsi="Times New Roman" w:cs="Times New Roman"/>
          <w:sz w:val="24"/>
          <w:szCs w:val="24"/>
        </w:rPr>
        <w:t xml:space="preserve"> и трети държави, които не са асоциирани към програмата, от региони 1-11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2DD90" w14:textId="36C2D21A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170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Кипър, Гърция, Малта, Португалия, Испания, Латвия, Словакия, Словения, Чехия, Естония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3ACD2F" w14:textId="6FAD39FF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148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България, Хърватия, Унгария, Литва, Северна Македония, Полша, Румъния, Сърбия, Турция.</w:t>
      </w:r>
    </w:p>
    <w:p w14:paraId="14F8F479" w14:textId="301066C9" w:rsidR="009D61C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15637B">
        <w:rPr>
          <w:rFonts w:ascii="Times New Roman" w:hAnsi="Times New Roman" w:cs="Times New Roman"/>
          <w:sz w:val="24"/>
          <w:szCs w:val="24"/>
        </w:rPr>
        <w:t>При престой повече от 14 дни, между 15-ия и 60-ия ден от изпълнението на дейността се прилага сума в размер на 70 % от горепосочените единични суми на ден.</w:t>
      </w:r>
      <w:r w:rsidR="009D61C9" w:rsidRPr="001563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8B167" w14:textId="2DC78E0A" w:rsidR="009D61C9" w:rsidRDefault="009D61C9" w:rsidP="0079478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Изчислената сума на индивидуалната подкрепа в евро се умножава по 1,95583 и получената сума в левове се</w:t>
      </w:r>
      <w:r w:rsidRPr="00DD741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закръглява до цяло число по общото аритметично правило.</w:t>
      </w:r>
    </w:p>
    <w:p w14:paraId="15507D9B" w14:textId="77777777" w:rsidR="00DC4D5F" w:rsidRPr="009E16D5" w:rsidRDefault="00DC4D5F" w:rsidP="0079478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4BEF6219" w14:textId="77777777" w:rsidR="00DC4D5F" w:rsidRPr="009E16D5" w:rsidRDefault="00DC4D5F" w:rsidP="00794785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36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79A5FF6" w14:textId="118087CD" w:rsidR="00DC4D5F" w:rsidRPr="009376AA" w:rsidRDefault="009376AA" w:rsidP="0079478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9376AA">
        <w:rPr>
          <w:rFonts w:ascii="Times New Roman" w:hAnsi="Times New Roman" w:cs="Times New Roman"/>
          <w:iCs/>
          <w:sz w:val="24"/>
          <w:szCs w:val="24"/>
        </w:rPr>
        <w:t>При публикуването на нов</w:t>
      </w:r>
      <w:r>
        <w:rPr>
          <w:rFonts w:ascii="Times New Roman" w:hAnsi="Times New Roman" w:cs="Times New Roman"/>
          <w:iCs/>
          <w:sz w:val="24"/>
          <w:szCs w:val="24"/>
        </w:rPr>
        <w:t xml:space="preserve">а версия </w:t>
      </w:r>
      <w:r w:rsidRPr="009376AA">
        <w:rPr>
          <w:rFonts w:ascii="Times New Roman" w:hAnsi="Times New Roman" w:cs="Times New Roman"/>
          <w:iCs/>
          <w:sz w:val="24"/>
          <w:szCs w:val="24"/>
        </w:rPr>
        <w:t>на Ръководството за програма Еразъм+ Управляващият орган може да извърши актуализация на горепосочените</w:t>
      </w:r>
      <w:r>
        <w:rPr>
          <w:rFonts w:ascii="Times New Roman" w:hAnsi="Times New Roman" w:cs="Times New Roman"/>
          <w:iCs/>
          <w:sz w:val="24"/>
          <w:szCs w:val="24"/>
        </w:rPr>
        <w:t xml:space="preserve"> е</w:t>
      </w:r>
      <w:r w:rsidR="000211C5" w:rsidRPr="009376AA">
        <w:rPr>
          <w:rFonts w:ascii="Times New Roman" w:hAnsi="Times New Roman" w:cs="Times New Roman"/>
          <w:iCs/>
          <w:sz w:val="24"/>
          <w:szCs w:val="24"/>
        </w:rPr>
        <w:t>динични разходи за мобилности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E502DFC" w14:textId="77777777" w:rsidR="001B3758" w:rsidRDefault="001B3758" w:rsidP="007947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1F4B1B" w14:textId="1A581B8B" w:rsidR="001E3BE4" w:rsidRPr="001E3BE4" w:rsidRDefault="008A4BDB" w:rsidP="0079478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36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Toc121409009"/>
      <w:bookmarkStart w:id="14" w:name="_Toc121493488"/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07F0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Одитна следа</w:t>
      </w:r>
      <w:bookmarkEnd w:id="13"/>
      <w:bookmarkEnd w:id="14"/>
    </w:p>
    <w:p w14:paraId="499117B0" w14:textId="77777777" w:rsidR="001E3BE4" w:rsidRPr="001E3BE4" w:rsidRDefault="001E3BE4" w:rsidP="0079478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46935A" w14:textId="77777777" w:rsidR="001E3BE4" w:rsidRPr="001E3BE4" w:rsidRDefault="001E3BE4" w:rsidP="0079478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p w14:paraId="6F506BF5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</w:rPr>
        <w:t xml:space="preserve">• </w:t>
      </w:r>
      <w:r w:rsidRPr="00B207E2">
        <w:rPr>
          <w:rFonts w:ascii="Times New Roman" w:hAnsi="Times New Roman"/>
          <w:sz w:val="24"/>
          <w:szCs w:val="24"/>
        </w:rPr>
        <w:t xml:space="preserve">използваната методика за определяне на стойността на даден единичен разход </w:t>
      </w:r>
      <w:r>
        <w:rPr>
          <w:rFonts w:ascii="Times New Roman" w:hAnsi="Times New Roman"/>
          <w:sz w:val="24"/>
          <w:szCs w:val="24"/>
        </w:rPr>
        <w:t xml:space="preserve">или еднократна сума </w:t>
      </w:r>
      <w:r w:rsidRPr="00B207E2">
        <w:rPr>
          <w:rFonts w:ascii="Times New Roman" w:hAnsi="Times New Roman"/>
          <w:sz w:val="24"/>
          <w:szCs w:val="24"/>
        </w:rPr>
        <w:t>трябва да бъде документирана и съхранявана,</w:t>
      </w:r>
    </w:p>
    <w:p w14:paraId="7B4A8006" w14:textId="0AE682F1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 xml:space="preserve">• в </w:t>
      </w:r>
      <w:r w:rsidR="00AC7F51">
        <w:rPr>
          <w:rFonts w:ascii="Times New Roman" w:hAnsi="Times New Roman"/>
          <w:sz w:val="24"/>
          <w:szCs w:val="24"/>
        </w:rPr>
        <w:t>насоките за кандидатстване</w:t>
      </w:r>
      <w:r w:rsidRPr="00B207E2">
        <w:rPr>
          <w:rFonts w:ascii="Times New Roman" w:hAnsi="Times New Roman"/>
          <w:sz w:val="24"/>
          <w:szCs w:val="24"/>
        </w:rPr>
        <w:t xml:space="preserve"> трябва да бъде ясно определена стандартната таблица за единичните разходи </w:t>
      </w:r>
      <w:r>
        <w:rPr>
          <w:rFonts w:ascii="Times New Roman" w:hAnsi="Times New Roman"/>
          <w:sz w:val="24"/>
          <w:szCs w:val="24"/>
        </w:rPr>
        <w:t xml:space="preserve">и еднократните суми </w:t>
      </w:r>
      <w:r w:rsidRPr="00B207E2">
        <w:rPr>
          <w:rFonts w:ascii="Times New Roman" w:hAnsi="Times New Roman"/>
          <w:sz w:val="24"/>
          <w:szCs w:val="24"/>
        </w:rPr>
        <w:t>и факторите, които трябва да бъдат изпълнени, за да бъде извършено плащането,</w:t>
      </w:r>
    </w:p>
    <w:p w14:paraId="741E6747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доказателство за успешно приключило обучение (сертификат/удостоверение)</w:t>
      </w:r>
      <w:r>
        <w:rPr>
          <w:rFonts w:ascii="Times New Roman" w:hAnsi="Times New Roman"/>
          <w:sz w:val="24"/>
          <w:szCs w:val="24"/>
        </w:rPr>
        <w:t>,</w:t>
      </w:r>
    </w:p>
    <w:p w14:paraId="4D6D0DCC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ако има изискване целевата група да отговаря на определен профил, трябва да се проверява допустимостта на участниците.</w:t>
      </w:r>
    </w:p>
    <w:p w14:paraId="6BB72073" w14:textId="77777777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6B64D7B5" w14:textId="77777777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>
        <w:rPr>
          <w:rFonts w:ascii="Times New Roman" w:hAnsi="Times New Roman"/>
          <w:b/>
          <w:sz w:val="24"/>
          <w:szCs w:val="24"/>
        </w:rPr>
        <w:t xml:space="preserve">другите преки и непреки </w:t>
      </w:r>
      <w:r w:rsidRPr="00B572B4">
        <w:rPr>
          <w:rFonts w:ascii="Times New Roman" w:hAnsi="Times New Roman"/>
          <w:b/>
          <w:sz w:val="24"/>
          <w:szCs w:val="24"/>
        </w:rPr>
        <w:t>разходи</w:t>
      </w:r>
    </w:p>
    <w:p w14:paraId="16B42561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>Общ принцип:</w:t>
      </w:r>
      <w:r w:rsidRPr="00B572B4">
        <w:rPr>
          <w:rFonts w:ascii="Times New Roman" w:hAnsi="Times New Roman"/>
          <w:sz w:val="24"/>
          <w:szCs w:val="24"/>
        </w:rPr>
        <w:t xml:space="preserve"> специфични категории допустими разходи, които предварително ясно са определени, се изчисляват чрез прилагането на предварително фиксиран процент към една или няколко други категории допустими разходи.</w:t>
      </w:r>
    </w:p>
    <w:p w14:paraId="6F747798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sz w:val="24"/>
          <w:szCs w:val="24"/>
        </w:rPr>
        <w:t>При съпоставянето на системи за финансиране с единни ставки винаги трябва да се сравняват всички елементи на метода, а не само ставките:</w:t>
      </w:r>
    </w:p>
    <w:p w14:paraId="621CF9E1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на чиято база следва да се прилага ставката за изчисляване на допустимите суми</w:t>
      </w:r>
    </w:p>
    <w:p w14:paraId="0CAB09BA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самата единна ставка,</w:t>
      </w:r>
    </w:p>
    <w:p w14:paraId="18A0E802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lastRenderedPageBreak/>
        <w:t>• категориите допустими разходи, изчислени с единната ставка,</w:t>
      </w:r>
    </w:p>
    <w:p w14:paraId="6FF15A7B" w14:textId="77777777" w:rsidR="00A4715B" w:rsidRPr="00B572B4" w:rsidRDefault="00A4715B" w:rsidP="00BC55E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ако е уместно, категориите допустими разходи, за които единната ставка не се прилага и които не се изчисляват с единна ставка.</w:t>
      </w:r>
    </w:p>
    <w:p w14:paraId="19292502" w14:textId="77777777" w:rsidR="00A4715B" w:rsidRPr="00B572B4" w:rsidRDefault="00A4715B" w:rsidP="00A4715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F75B15" w14:textId="77777777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12"/>
      </w:tblGrid>
      <w:tr w:rsidR="001E3BE4" w:rsidRPr="000C37A5" w14:paraId="2C672A13" w14:textId="77777777" w:rsidTr="008C56FB">
        <w:tc>
          <w:tcPr>
            <w:tcW w:w="4504" w:type="dxa"/>
            <w:shd w:val="clear" w:color="auto" w:fill="auto"/>
          </w:tcPr>
          <w:p w14:paraId="756E1E46" w14:textId="77777777" w:rsidR="001E3BE4" w:rsidRPr="001E3BE4" w:rsidRDefault="001E3BE4" w:rsidP="001E3BE4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 xml:space="preserve">Категория допустими разходи, на чиято база следва да се прилага ставката за изчисляване на допустимите суми </w:t>
            </w:r>
          </w:p>
          <w:p w14:paraId="1C8C67FB" w14:textId="77777777" w:rsidR="001E3BE4" w:rsidRPr="001E3BE4" w:rsidRDefault="001E3BE4" w:rsidP="001E3BE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2" w:type="dxa"/>
            <w:shd w:val="clear" w:color="auto" w:fill="auto"/>
          </w:tcPr>
          <w:p w14:paraId="517DC819" w14:textId="5B003FFD" w:rsidR="001E3BE4" w:rsidRPr="001E3BE4" w:rsidRDefault="00C21520" w:rsidP="001E3BE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Ед</w:t>
            </w:r>
            <w:r w:rsidR="001B4F0F">
              <w:rPr>
                <w:rFonts w:ascii="Times New Roman" w:eastAsia="Calibri" w:hAnsi="Times New Roman" w:cs="Times New Roman"/>
                <w:b/>
                <w:bCs/>
              </w:rPr>
              <w:t>иничен разход</w:t>
            </w:r>
            <w:r w:rsidR="001E3BE4" w:rsidRPr="001E3BE4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20FD6549" w14:textId="4FA617D7" w:rsidR="001E3BE4" w:rsidRDefault="001E3BE4" w:rsidP="00C21520">
            <w:pPr>
              <w:numPr>
                <w:ilvl w:val="0"/>
                <w:numId w:val="2"/>
              </w:numPr>
              <w:ind w:left="714" w:hanging="357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>Възнаграждени</w:t>
            </w:r>
            <w:r w:rsidR="00E211A4">
              <w:rPr>
                <w:rFonts w:ascii="Times New Roman" w:eastAsia="Calibri" w:hAnsi="Times New Roman" w:cs="Times New Roman"/>
              </w:rPr>
              <w:t>е</w:t>
            </w:r>
            <w:r w:rsidRPr="001E3BE4">
              <w:rPr>
                <w:rFonts w:ascii="Times New Roman" w:eastAsia="Calibri" w:hAnsi="Times New Roman" w:cs="Times New Roman"/>
              </w:rPr>
              <w:t xml:space="preserve"> </w:t>
            </w:r>
            <w:r w:rsidR="00AC7F51">
              <w:rPr>
                <w:rFonts w:ascii="Times New Roman" w:eastAsia="Calibri" w:hAnsi="Times New Roman" w:cs="Times New Roman"/>
              </w:rPr>
              <w:t xml:space="preserve">на докторант </w:t>
            </w:r>
            <w:r w:rsidRPr="001E3BE4">
              <w:rPr>
                <w:rFonts w:ascii="Times New Roman" w:eastAsia="Calibri" w:hAnsi="Times New Roman" w:cs="Times New Roman"/>
              </w:rPr>
              <w:t xml:space="preserve">за </w:t>
            </w:r>
            <w:r w:rsidR="00E211A4">
              <w:rPr>
                <w:rFonts w:ascii="Times New Roman" w:eastAsia="Calibri" w:hAnsi="Times New Roman" w:cs="Times New Roman"/>
              </w:rPr>
              <w:t>целия срок на проектната докторантура</w:t>
            </w:r>
          </w:p>
          <w:p w14:paraId="6404EF8F" w14:textId="34236EC6" w:rsidR="0068799D" w:rsidRPr="001E3BE4" w:rsidRDefault="0068799D" w:rsidP="0068799D">
            <w:pPr>
              <w:jc w:val="both"/>
              <w:rPr>
                <w:rFonts w:ascii="Times New Roman" w:eastAsia="Calibri" w:hAnsi="Times New Roman" w:cs="Times New Roman"/>
              </w:rPr>
            </w:pPr>
            <w:r w:rsidRPr="00BB1746">
              <w:rPr>
                <w:rFonts w:ascii="Times New Roman" w:hAnsi="Times New Roman"/>
              </w:rPr>
              <w:t xml:space="preserve">Трябва да се гарантира, че в тези разходи не се включват никакви разходи за </w:t>
            </w:r>
            <w:r w:rsidRPr="00F300F2">
              <w:rPr>
                <w:rFonts w:ascii="Times New Roman" w:hAnsi="Times New Roman"/>
              </w:rPr>
              <w:t>възнаграждения на екипа за управление на проекта (ръководител на проекта; счетоводител; координатор и т.н.)</w:t>
            </w:r>
            <w:r w:rsidRPr="00BB1746">
              <w:rPr>
                <w:rFonts w:ascii="Times New Roman" w:hAnsi="Times New Roman"/>
              </w:rPr>
              <w:t>. Няма двойно деклариране на една и съща позиция разход: като „базови“ разходи (изчислени въз основа на единични разходи) и като „изчислени“ разходи (включени в единната ставка)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1E3BE4" w:rsidRPr="001E3BE4" w14:paraId="4D6DEC2E" w14:textId="77777777" w:rsidTr="008C56FB">
        <w:tc>
          <w:tcPr>
            <w:tcW w:w="4504" w:type="dxa"/>
            <w:shd w:val="clear" w:color="auto" w:fill="auto"/>
          </w:tcPr>
          <w:p w14:paraId="0CC5EEAD" w14:textId="78C18849" w:rsidR="001E3BE4" w:rsidRPr="001E3BE4" w:rsidRDefault="001E3BE4" w:rsidP="001E3BE4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 xml:space="preserve">Единна ставка </w:t>
            </w:r>
            <w:r w:rsidR="00A93539">
              <w:rPr>
                <w:rFonts w:ascii="Times New Roman" w:eastAsia="Calibri" w:hAnsi="Times New Roman" w:cs="Times New Roman"/>
              </w:rPr>
              <w:t xml:space="preserve">от </w:t>
            </w:r>
            <w:r w:rsidRPr="001E3BE4">
              <w:rPr>
                <w:rFonts w:ascii="Times New Roman" w:eastAsia="Calibri" w:hAnsi="Times New Roman" w:cs="Times New Roman"/>
              </w:rPr>
              <w:t xml:space="preserve">40 %, приложена върху разходите за възнаграждения </w:t>
            </w:r>
            <w:r w:rsidR="00B11198">
              <w:rPr>
                <w:rFonts w:ascii="Times New Roman" w:eastAsia="Calibri" w:hAnsi="Times New Roman" w:cs="Times New Roman"/>
              </w:rPr>
              <w:t>на докторанти</w:t>
            </w:r>
            <w:r w:rsidR="00297DFF">
              <w:rPr>
                <w:rFonts w:ascii="Times New Roman" w:eastAsia="Calibri" w:hAnsi="Times New Roman" w:cs="Times New Roman"/>
              </w:rPr>
              <w:t>те</w:t>
            </w:r>
            <w:r w:rsidR="0009490D">
              <w:rPr>
                <w:rFonts w:ascii="Times New Roman" w:eastAsia="Calibri" w:hAnsi="Times New Roman" w:cs="Times New Roman"/>
              </w:rPr>
              <w:t>, които се обучават по проекта докторантура</w:t>
            </w:r>
          </w:p>
        </w:tc>
        <w:tc>
          <w:tcPr>
            <w:tcW w:w="4512" w:type="dxa"/>
            <w:shd w:val="clear" w:color="auto" w:fill="auto"/>
          </w:tcPr>
          <w:p w14:paraId="2062192C" w14:textId="77777777" w:rsidR="001E3BE4" w:rsidRPr="001E3BE4" w:rsidRDefault="001E3BE4" w:rsidP="001E3BE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E3BE4">
              <w:rPr>
                <w:rFonts w:ascii="Times New Roman" w:eastAsia="Calibri" w:hAnsi="Times New Roman" w:cs="Times New Roman"/>
                <w:b/>
                <w:bCs/>
              </w:rPr>
              <w:t>Други преки и непреки разходи</w:t>
            </w:r>
          </w:p>
          <w:p w14:paraId="3F26C55A" w14:textId="436A647F" w:rsidR="001E3BE4" w:rsidRPr="001E3BE4" w:rsidRDefault="00361881" w:rsidP="00B11198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47EBA">
              <w:rPr>
                <w:rFonts w:ascii="Times New Roman" w:hAnsi="Times New Roman"/>
              </w:rPr>
              <w:t xml:space="preserve">окриват </w:t>
            </w:r>
            <w:r>
              <w:rPr>
                <w:rFonts w:ascii="Times New Roman" w:hAnsi="Times New Roman"/>
              </w:rPr>
              <w:t>се преки</w:t>
            </w:r>
            <w:r w:rsidRPr="00747EBA">
              <w:rPr>
                <w:rFonts w:ascii="Times New Roman" w:hAnsi="Times New Roman"/>
              </w:rPr>
              <w:t xml:space="preserve"> разходи, възникнали при изпълнението на проекта, които не са разходи за възнаграждения или разходи за мобилност</w:t>
            </w:r>
            <w:r>
              <w:rPr>
                <w:rFonts w:ascii="Times New Roman" w:hAnsi="Times New Roman"/>
              </w:rPr>
              <w:t>, както и необходимите непреки разходи.</w:t>
            </w:r>
          </w:p>
        </w:tc>
      </w:tr>
      <w:tr w:rsidR="00B96AD1" w:rsidRPr="009F251A" w14:paraId="51D957BE" w14:textId="77777777" w:rsidTr="00B96AD1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CCD4" w14:textId="77777777" w:rsidR="00B96AD1" w:rsidRPr="00B96AD1" w:rsidRDefault="00B96AD1" w:rsidP="0075561C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B96AD1">
              <w:rPr>
                <w:rFonts w:ascii="Times New Roman" w:eastAsia="Calibri" w:hAnsi="Times New Roman" w:cs="Times New Roman"/>
              </w:rPr>
              <w:t>Категория допустими разходи, за които не се прилага единна ставка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CCFC" w14:textId="77777777" w:rsidR="00B96AD1" w:rsidRPr="00B96AD1" w:rsidRDefault="00B96AD1" w:rsidP="0075561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96AD1">
              <w:rPr>
                <w:rFonts w:ascii="Times New Roman" w:eastAsia="Calibri" w:hAnsi="Times New Roman" w:cs="Times New Roman"/>
                <w:b/>
                <w:bCs/>
              </w:rPr>
              <w:t>Единични разходи:</w:t>
            </w:r>
          </w:p>
          <w:p w14:paraId="235A14B6" w14:textId="63354A0A" w:rsidR="00B96AD1" w:rsidRPr="00B96AD1" w:rsidRDefault="00B96AD1" w:rsidP="00B96AD1">
            <w:pPr>
              <w:pStyle w:val="ListParagraph"/>
              <w:numPr>
                <w:ilvl w:val="0"/>
                <w:numId w:val="2"/>
              </w:numPr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B96AD1">
              <w:rPr>
                <w:rFonts w:ascii="Times New Roman" w:eastAsia="Calibri" w:hAnsi="Times New Roman" w:cs="Times New Roman"/>
              </w:rPr>
              <w:t xml:space="preserve">Разходи за мобилности в чужбина </w:t>
            </w:r>
            <w:r w:rsidR="00C674E3">
              <w:rPr>
                <w:rFonts w:ascii="Times New Roman" w:eastAsia="Calibri" w:hAnsi="Times New Roman" w:cs="Times New Roman"/>
              </w:rPr>
              <w:t>на докторанти и представители на академичния състав</w:t>
            </w:r>
          </w:p>
        </w:tc>
      </w:tr>
    </w:tbl>
    <w:p w14:paraId="7DF580DE" w14:textId="77777777" w:rsidR="001E3BE4" w:rsidRPr="001E3BE4" w:rsidRDefault="001E3BE4" w:rsidP="001E3BE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30496D" w14:textId="512D2FA1" w:rsidR="001E3BE4" w:rsidRPr="001E3BE4" w:rsidRDefault="008A4BDB" w:rsidP="001E3BE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121409010"/>
      <w:bookmarkStart w:id="16" w:name="_Toc121493489"/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A737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Приложени</w:t>
      </w:r>
      <w:r w:rsidR="001A737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bookmarkEnd w:id="15"/>
      <w:bookmarkEnd w:id="16"/>
    </w:p>
    <w:p w14:paraId="797D80F5" w14:textId="77777777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EC93734" w14:textId="7225B953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E3BE4">
        <w:rPr>
          <w:rFonts w:ascii="Times New Roman" w:eastAsia="Calibri" w:hAnsi="Times New Roman" w:cs="Times New Roman"/>
          <w:i/>
          <w:iCs/>
          <w:sz w:val="24"/>
          <w:szCs w:val="24"/>
        </w:rPr>
        <w:t>Таблици с изчислителни формули – файл Актуализиране-</w:t>
      </w:r>
      <w:r w:rsidR="001A7373">
        <w:rPr>
          <w:rFonts w:ascii="Times New Roman" w:eastAsia="Calibri" w:hAnsi="Times New Roman" w:cs="Times New Roman"/>
          <w:i/>
          <w:iCs/>
          <w:sz w:val="24"/>
          <w:szCs w:val="24"/>
        </w:rPr>
        <w:t>ПД</w:t>
      </w:r>
      <w:r w:rsidRPr="001E3BE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proofErr w:type="spellStart"/>
      <w:r w:rsidRPr="001E3BE4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xls</w:t>
      </w:r>
      <w:proofErr w:type="spellEnd"/>
    </w:p>
    <w:sectPr w:rsidR="001E3BE4" w:rsidRPr="001E3BE4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72AA" w14:textId="77777777" w:rsidR="00C66693" w:rsidRDefault="00C66693" w:rsidP="006263AB">
      <w:pPr>
        <w:spacing w:after="0" w:line="240" w:lineRule="auto"/>
      </w:pPr>
      <w:r>
        <w:separator/>
      </w:r>
    </w:p>
  </w:endnote>
  <w:endnote w:type="continuationSeparator" w:id="0">
    <w:p w14:paraId="4FAE95C7" w14:textId="77777777" w:rsidR="00C66693" w:rsidRDefault="00C66693" w:rsidP="0062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837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E10FE" w14:textId="13FABA33" w:rsidR="008C2A49" w:rsidRDefault="008C2A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A181D" w14:textId="77777777" w:rsidR="008C2A49" w:rsidRDefault="008C2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744B" w14:textId="77777777" w:rsidR="00C66693" w:rsidRDefault="00C66693" w:rsidP="006263AB">
      <w:pPr>
        <w:spacing w:after="0" w:line="240" w:lineRule="auto"/>
      </w:pPr>
      <w:r>
        <w:separator/>
      </w:r>
    </w:p>
  </w:footnote>
  <w:footnote w:type="continuationSeparator" w:id="0">
    <w:p w14:paraId="37AAF87D" w14:textId="77777777" w:rsidR="00C66693" w:rsidRDefault="00C66693" w:rsidP="006263AB">
      <w:pPr>
        <w:spacing w:after="0" w:line="240" w:lineRule="auto"/>
      </w:pPr>
      <w:r>
        <w:continuationSeparator/>
      </w:r>
    </w:p>
  </w:footnote>
  <w:footnote w:id="1">
    <w:p w14:paraId="1AD983D5" w14:textId="77777777" w:rsidR="002142B0" w:rsidRPr="006E73E2" w:rsidRDefault="002142B0" w:rsidP="00816BC5">
      <w:pPr>
        <w:pStyle w:val="FootnoteText"/>
      </w:pPr>
      <w:r w:rsidRPr="006E73E2">
        <w:rPr>
          <w:rStyle w:val="FootnoteReference"/>
        </w:rPr>
        <w:footnoteRef/>
      </w:r>
      <w:r w:rsidRPr="006E73E2">
        <w:t xml:space="preserve"> Комуникация на Европейската комисия (ЕК) „Към европейската рамка за кариерното развитие на научните изследователи“ от 21 юли 2011 г, </w:t>
      </w:r>
      <w:hyperlink r:id="rId1" w:history="1">
        <w:r w:rsidRPr="006E73E2">
          <w:rPr>
            <w:rStyle w:val="Hyperlink"/>
          </w:rPr>
          <w:t>https://euraxess.ec.europa.eu/sites/default/files/policy_library/towards_a_european_framework_for_research_careers_final.pdf</w:t>
        </w:r>
      </w:hyperlink>
      <w:r w:rsidRPr="006E73E2">
        <w:t xml:space="preserve">   </w:t>
      </w:r>
    </w:p>
  </w:footnote>
  <w:footnote w:id="2">
    <w:p w14:paraId="32858A9C" w14:textId="24AA1257" w:rsidR="008977FE" w:rsidRPr="00C5585C" w:rsidRDefault="008977FE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C5585C">
        <w:rPr>
          <w:sz w:val="16"/>
          <w:szCs w:val="16"/>
        </w:rPr>
        <w:t xml:space="preserve"> </w:t>
      </w:r>
      <w:hyperlink r:id="rId2" w:history="1">
        <w:r w:rsidR="009361E8" w:rsidRPr="00EE6216">
          <w:rPr>
            <w:rStyle w:val="Hyperlink"/>
            <w:sz w:val="16"/>
            <w:szCs w:val="16"/>
          </w:rPr>
          <w:t>https://ec.europa.eu/eurostat/databrowser/bookmark/7ddd45e7-7490-4d86-a232-e178c02a8ed3?lang=en</w:t>
        </w:r>
      </w:hyperlink>
      <w:r w:rsidR="009361E8">
        <w:rPr>
          <w:sz w:val="16"/>
          <w:szCs w:val="16"/>
        </w:rPr>
        <w:t xml:space="preserve"> </w:t>
      </w:r>
    </w:p>
  </w:footnote>
  <w:footnote w:id="3">
    <w:p w14:paraId="3466A92B" w14:textId="77777777" w:rsidR="00E23EA7" w:rsidRPr="001F729F" w:rsidRDefault="00E23EA7" w:rsidP="00E23EA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F729F">
        <w:rPr>
          <w:iCs/>
        </w:rPr>
        <w:t>Сумите се актуализират съгласно последната версия на Ръководството за програма Еразъм+.</w:t>
      </w:r>
    </w:p>
  </w:footnote>
  <w:footnote w:id="4">
    <w:p w14:paraId="6174964F" w14:textId="77777777" w:rsidR="00E23EA7" w:rsidRPr="001F729F" w:rsidRDefault="00E23EA7" w:rsidP="00E23EA7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</w:t>
      </w:r>
      <w:r w:rsidRPr="001F729F">
        <w:rPr>
          <w:iCs/>
        </w:rPr>
        <w:t>Еразъм+</w:t>
      </w:r>
      <w:r>
        <w:rPr>
          <w:iCs/>
        </w:rPr>
        <w:t xml:space="preserve">. </w:t>
      </w:r>
      <w:r w:rsidRPr="001F729F">
        <w:rPr>
          <w:iCs/>
        </w:rPr>
        <w:t>Ръководство за програма</w:t>
      </w:r>
      <w:r>
        <w:rPr>
          <w:iCs/>
        </w:rPr>
        <w:t>та.</w:t>
      </w:r>
      <w:r w:rsidRPr="001F729F">
        <w:rPr>
          <w:iCs/>
        </w:rPr>
        <w:t xml:space="preserve"> </w:t>
      </w:r>
      <w:r w:rsidRPr="00A57BFD">
        <w:rPr>
          <w:iCs/>
        </w:rPr>
        <w:t>Версия 1 (2024 г.): 28.11.2023,</w:t>
      </w:r>
      <w:r w:rsidRPr="001F729F">
        <w:t xml:space="preserve"> </w:t>
      </w:r>
      <w:r>
        <w:t xml:space="preserve">стр. </w:t>
      </w:r>
      <w:r w:rsidRPr="001F729F">
        <w:t>7</w:t>
      </w:r>
      <w:r>
        <w:t>8-89</w:t>
      </w:r>
      <w:r w:rsidRPr="001F729F">
        <w:t>.</w:t>
      </w:r>
      <w:r>
        <w:t xml:space="preserve"> </w:t>
      </w:r>
      <w:hyperlink r:id="rId3" w:history="1">
        <w:r w:rsidRPr="0086151E">
          <w:rPr>
            <w:rStyle w:val="Hyperlink"/>
          </w:rPr>
          <w:t>https://erasmus-plus.ec.europa.eu/sites/default/files/2023-11/2024-Erasmus%2BProgramme-Guide_BG.pdf</w:t>
        </w:r>
      </w:hyperlink>
      <w:r>
        <w:t xml:space="preserve"> </w:t>
      </w:r>
    </w:p>
  </w:footnote>
  <w:footnote w:id="5">
    <w:p w14:paraId="67687A87" w14:textId="77777777" w:rsidR="009D61C9" w:rsidRPr="001F729F" w:rsidRDefault="009D61C9" w:rsidP="009D61C9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Екологичното пътуване се определя като пътуване, през по-голямата част от което се използват транспортни средства с ниски емисии като автобус, влак или споделяне на автомобил</w:t>
      </w:r>
      <w:r w:rsidRPr="001F729F">
        <w:rPr>
          <w:lang w:val="en-US"/>
        </w:rPr>
        <w:t>. Erasmus</w:t>
      </w:r>
      <w:r w:rsidRPr="001F729F">
        <w:t xml:space="preserve">+ </w:t>
      </w:r>
      <w:r w:rsidRPr="001F729F">
        <w:rPr>
          <w:lang w:val="en-US"/>
        </w:rPr>
        <w:t>Programme Guide, p</w:t>
      </w:r>
      <w:r w:rsidRPr="001F729F">
        <w:t>.</w:t>
      </w:r>
      <w:r w:rsidRPr="001F729F">
        <w:rPr>
          <w:lang w:val="en-US"/>
        </w:rPr>
        <w:t xml:space="preserve"> 431</w:t>
      </w:r>
      <w:r w:rsidRPr="001F729F">
        <w:t>.</w:t>
      </w:r>
    </w:p>
  </w:footnote>
  <w:footnote w:id="6">
    <w:p w14:paraId="3A80C40A" w14:textId="3B2AE0FA" w:rsidR="009D61C9" w:rsidRPr="00423716" w:rsidRDefault="009D61C9" w:rsidP="00423716">
      <w:pPr>
        <w:pStyle w:val="FootnoteText"/>
        <w:jc w:val="both"/>
        <w:rPr>
          <w:i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B434B8">
          <w:rPr>
            <w:rStyle w:val="Hyperlink"/>
            <w:iCs/>
          </w:rPr>
          <w:t>https://ec.europa.eu/programmes/erasmus-plus/resources/distance-calculator_bg</w:t>
        </w:r>
      </w:hyperlink>
    </w:p>
  </w:footnote>
  <w:footnote w:id="7">
    <w:p w14:paraId="21C79D1D" w14:textId="2A285D69" w:rsidR="00423716" w:rsidRDefault="00423716" w:rsidP="004237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представители на академичния състав и докторанти, които се обучават по реда на чл.</w:t>
      </w:r>
      <w:r w:rsidRPr="00423716">
        <w:t xml:space="preserve"> 21, ал. 7 от ЗВО</w:t>
      </w:r>
      <w:r>
        <w:t>.</w:t>
      </w:r>
    </w:p>
  </w:footnote>
  <w:footnote w:id="8">
    <w:p w14:paraId="3D245105" w14:textId="77777777" w:rsidR="00BB515B" w:rsidRPr="00B434B8" w:rsidRDefault="00BB515B" w:rsidP="00423716">
      <w:pPr>
        <w:pStyle w:val="FootnoteText"/>
        <w:jc w:val="both"/>
      </w:pPr>
      <w:r w:rsidRPr="00B434B8">
        <w:rPr>
          <w:rStyle w:val="FootnoteReference"/>
        </w:rPr>
        <w:footnoteRef/>
      </w:r>
      <w:r w:rsidRPr="00B434B8">
        <w:t xml:space="preserve"> Списъкът на държавите по региони е посочен на стр. 4</w:t>
      </w:r>
      <w:r>
        <w:t>1</w:t>
      </w:r>
      <w:r w:rsidRPr="00B434B8">
        <w:t>-</w:t>
      </w:r>
      <w:r>
        <w:t>42</w:t>
      </w:r>
      <w:r w:rsidRPr="00B434B8">
        <w:t xml:space="preserve"> от Ръководството на програма Еразъм+.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6E8C" w14:textId="59130D8D" w:rsidR="00501A0F" w:rsidRDefault="00501A0F">
    <w:pPr>
      <w:pStyle w:val="Head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FBCB24" wp14:editId="38ACF3A7">
          <wp:extent cx="5567680" cy="53657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08" cy="550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AF13"/>
    <w:multiLevelType w:val="hybridMultilevel"/>
    <w:tmpl w:val="E5D4AE46"/>
    <w:lvl w:ilvl="0" w:tplc="1DD49F5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C466F8DE">
      <w:start w:val="1"/>
      <w:numFmt w:val="lowerLetter"/>
      <w:lvlText w:val="%2."/>
      <w:lvlJc w:val="left"/>
      <w:pPr>
        <w:ind w:left="1440" w:hanging="360"/>
      </w:pPr>
    </w:lvl>
    <w:lvl w:ilvl="2" w:tplc="038A3FD8">
      <w:start w:val="1"/>
      <w:numFmt w:val="lowerRoman"/>
      <w:lvlText w:val="%3."/>
      <w:lvlJc w:val="right"/>
      <w:pPr>
        <w:ind w:left="2160" w:hanging="180"/>
      </w:pPr>
    </w:lvl>
    <w:lvl w:ilvl="3" w:tplc="BAB8A0DC">
      <w:start w:val="1"/>
      <w:numFmt w:val="decimal"/>
      <w:lvlText w:val="%4."/>
      <w:lvlJc w:val="left"/>
      <w:pPr>
        <w:ind w:left="2880" w:hanging="360"/>
      </w:pPr>
    </w:lvl>
    <w:lvl w:ilvl="4" w:tplc="B3AEB1A8">
      <w:start w:val="1"/>
      <w:numFmt w:val="lowerLetter"/>
      <w:lvlText w:val="%5."/>
      <w:lvlJc w:val="left"/>
      <w:pPr>
        <w:ind w:left="3600" w:hanging="360"/>
      </w:pPr>
    </w:lvl>
    <w:lvl w:ilvl="5" w:tplc="EB5A5ED2">
      <w:start w:val="1"/>
      <w:numFmt w:val="lowerRoman"/>
      <w:lvlText w:val="%6."/>
      <w:lvlJc w:val="right"/>
      <w:pPr>
        <w:ind w:left="4320" w:hanging="180"/>
      </w:pPr>
    </w:lvl>
    <w:lvl w:ilvl="6" w:tplc="0152FAC0">
      <w:start w:val="1"/>
      <w:numFmt w:val="decimal"/>
      <w:lvlText w:val="%7."/>
      <w:lvlJc w:val="left"/>
      <w:pPr>
        <w:ind w:left="5040" w:hanging="360"/>
      </w:pPr>
    </w:lvl>
    <w:lvl w:ilvl="7" w:tplc="2D22E7EA">
      <w:start w:val="1"/>
      <w:numFmt w:val="lowerLetter"/>
      <w:lvlText w:val="%8."/>
      <w:lvlJc w:val="left"/>
      <w:pPr>
        <w:ind w:left="5760" w:hanging="360"/>
      </w:pPr>
    </w:lvl>
    <w:lvl w:ilvl="8" w:tplc="8FA4FB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35F4310"/>
    <w:multiLevelType w:val="hybridMultilevel"/>
    <w:tmpl w:val="D0DE83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42570"/>
    <w:multiLevelType w:val="hybridMultilevel"/>
    <w:tmpl w:val="F2D80536"/>
    <w:lvl w:ilvl="0" w:tplc="080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4F1B71"/>
    <w:multiLevelType w:val="hybridMultilevel"/>
    <w:tmpl w:val="F73ED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D056B"/>
    <w:multiLevelType w:val="hybridMultilevel"/>
    <w:tmpl w:val="7CDA4DA6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27C679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DF4CFD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1C1D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46309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58AFC7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DA61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24F5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DCCFB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0"/>
    <w:rsid w:val="00002762"/>
    <w:rsid w:val="0000421A"/>
    <w:rsid w:val="00007C60"/>
    <w:rsid w:val="00010D19"/>
    <w:rsid w:val="000204E2"/>
    <w:rsid w:val="000211C5"/>
    <w:rsid w:val="000242B5"/>
    <w:rsid w:val="000278C7"/>
    <w:rsid w:val="00030331"/>
    <w:rsid w:val="00030DBE"/>
    <w:rsid w:val="0003233D"/>
    <w:rsid w:val="00032D67"/>
    <w:rsid w:val="0003786D"/>
    <w:rsid w:val="000413E6"/>
    <w:rsid w:val="000505B8"/>
    <w:rsid w:val="0005280F"/>
    <w:rsid w:val="00053413"/>
    <w:rsid w:val="0005376A"/>
    <w:rsid w:val="0005514A"/>
    <w:rsid w:val="00057537"/>
    <w:rsid w:val="00060359"/>
    <w:rsid w:val="0006551A"/>
    <w:rsid w:val="000669DC"/>
    <w:rsid w:val="00067CC2"/>
    <w:rsid w:val="00074350"/>
    <w:rsid w:val="00077172"/>
    <w:rsid w:val="00086AB7"/>
    <w:rsid w:val="0009490D"/>
    <w:rsid w:val="00094E55"/>
    <w:rsid w:val="00095268"/>
    <w:rsid w:val="00095C12"/>
    <w:rsid w:val="000974A7"/>
    <w:rsid w:val="000A19E2"/>
    <w:rsid w:val="000A6462"/>
    <w:rsid w:val="000A65CE"/>
    <w:rsid w:val="000A7E44"/>
    <w:rsid w:val="000B1B34"/>
    <w:rsid w:val="000C00FC"/>
    <w:rsid w:val="000C37A5"/>
    <w:rsid w:val="000C3B4A"/>
    <w:rsid w:val="000C3C1F"/>
    <w:rsid w:val="000C6E13"/>
    <w:rsid w:val="000C796E"/>
    <w:rsid w:val="000F1EC7"/>
    <w:rsid w:val="000F593F"/>
    <w:rsid w:val="000F61C7"/>
    <w:rsid w:val="001007B1"/>
    <w:rsid w:val="001078C5"/>
    <w:rsid w:val="00110FCD"/>
    <w:rsid w:val="00121B0A"/>
    <w:rsid w:val="001232C2"/>
    <w:rsid w:val="00133CD4"/>
    <w:rsid w:val="00136025"/>
    <w:rsid w:val="001361C8"/>
    <w:rsid w:val="001403C3"/>
    <w:rsid w:val="001410D6"/>
    <w:rsid w:val="00141124"/>
    <w:rsid w:val="001414D0"/>
    <w:rsid w:val="00142A7D"/>
    <w:rsid w:val="00145728"/>
    <w:rsid w:val="00146BED"/>
    <w:rsid w:val="00153701"/>
    <w:rsid w:val="00154255"/>
    <w:rsid w:val="0015637B"/>
    <w:rsid w:val="00156763"/>
    <w:rsid w:val="0016191B"/>
    <w:rsid w:val="00163E76"/>
    <w:rsid w:val="00164CE4"/>
    <w:rsid w:val="001653E3"/>
    <w:rsid w:val="00173103"/>
    <w:rsid w:val="00174DE9"/>
    <w:rsid w:val="00176CCD"/>
    <w:rsid w:val="00180AC6"/>
    <w:rsid w:val="00190A76"/>
    <w:rsid w:val="00192690"/>
    <w:rsid w:val="001A08A1"/>
    <w:rsid w:val="001A5C96"/>
    <w:rsid w:val="001A7373"/>
    <w:rsid w:val="001A76F3"/>
    <w:rsid w:val="001B3758"/>
    <w:rsid w:val="001B38A2"/>
    <w:rsid w:val="001B4F0F"/>
    <w:rsid w:val="001B6A28"/>
    <w:rsid w:val="001B7C06"/>
    <w:rsid w:val="001C3310"/>
    <w:rsid w:val="001C3A6A"/>
    <w:rsid w:val="001C3D97"/>
    <w:rsid w:val="001D4561"/>
    <w:rsid w:val="001D5487"/>
    <w:rsid w:val="001D5945"/>
    <w:rsid w:val="001D77AA"/>
    <w:rsid w:val="001D7CA3"/>
    <w:rsid w:val="001E36B0"/>
    <w:rsid w:val="001E3BE4"/>
    <w:rsid w:val="001E6770"/>
    <w:rsid w:val="001F5AD8"/>
    <w:rsid w:val="002002D5"/>
    <w:rsid w:val="00202313"/>
    <w:rsid w:val="00203541"/>
    <w:rsid w:val="00206ABE"/>
    <w:rsid w:val="00210AD4"/>
    <w:rsid w:val="00212C68"/>
    <w:rsid w:val="002137B4"/>
    <w:rsid w:val="002142B0"/>
    <w:rsid w:val="00216D02"/>
    <w:rsid w:val="00217EA1"/>
    <w:rsid w:val="00231010"/>
    <w:rsid w:val="00233B5F"/>
    <w:rsid w:val="00241D99"/>
    <w:rsid w:val="00257118"/>
    <w:rsid w:val="00263AF7"/>
    <w:rsid w:val="00265ABF"/>
    <w:rsid w:val="00265DB7"/>
    <w:rsid w:val="00267984"/>
    <w:rsid w:val="00267EA2"/>
    <w:rsid w:val="00272CF8"/>
    <w:rsid w:val="0027356A"/>
    <w:rsid w:val="002739C8"/>
    <w:rsid w:val="0027516F"/>
    <w:rsid w:val="002767DE"/>
    <w:rsid w:val="00282082"/>
    <w:rsid w:val="00282D42"/>
    <w:rsid w:val="002857D0"/>
    <w:rsid w:val="00287FD2"/>
    <w:rsid w:val="00297DFF"/>
    <w:rsid w:val="002A4B01"/>
    <w:rsid w:val="002A689C"/>
    <w:rsid w:val="002A6925"/>
    <w:rsid w:val="002B3485"/>
    <w:rsid w:val="002D3B58"/>
    <w:rsid w:val="002D55B0"/>
    <w:rsid w:val="002E4184"/>
    <w:rsid w:val="00300B0A"/>
    <w:rsid w:val="00304563"/>
    <w:rsid w:val="0031484C"/>
    <w:rsid w:val="00331E96"/>
    <w:rsid w:val="00332967"/>
    <w:rsid w:val="003419EB"/>
    <w:rsid w:val="00361881"/>
    <w:rsid w:val="00365E51"/>
    <w:rsid w:val="00366D30"/>
    <w:rsid w:val="00370873"/>
    <w:rsid w:val="0037188E"/>
    <w:rsid w:val="003719DD"/>
    <w:rsid w:val="00372388"/>
    <w:rsid w:val="003724A9"/>
    <w:rsid w:val="0037430E"/>
    <w:rsid w:val="0037563A"/>
    <w:rsid w:val="00377119"/>
    <w:rsid w:val="0038735E"/>
    <w:rsid w:val="00390BA0"/>
    <w:rsid w:val="00394C06"/>
    <w:rsid w:val="003964C9"/>
    <w:rsid w:val="003A2604"/>
    <w:rsid w:val="003A729D"/>
    <w:rsid w:val="003B642E"/>
    <w:rsid w:val="003B65C4"/>
    <w:rsid w:val="003C4604"/>
    <w:rsid w:val="003D43F6"/>
    <w:rsid w:val="003E0E1B"/>
    <w:rsid w:val="003E1512"/>
    <w:rsid w:val="003E2EB6"/>
    <w:rsid w:val="003E4482"/>
    <w:rsid w:val="003E4CD8"/>
    <w:rsid w:val="003F0DC8"/>
    <w:rsid w:val="003F2394"/>
    <w:rsid w:val="003F2B76"/>
    <w:rsid w:val="004045A8"/>
    <w:rsid w:val="00406034"/>
    <w:rsid w:val="00422408"/>
    <w:rsid w:val="0042287D"/>
    <w:rsid w:val="00423716"/>
    <w:rsid w:val="0042684F"/>
    <w:rsid w:val="00436650"/>
    <w:rsid w:val="00443A30"/>
    <w:rsid w:val="00444903"/>
    <w:rsid w:val="0045301F"/>
    <w:rsid w:val="0045676B"/>
    <w:rsid w:val="004624C5"/>
    <w:rsid w:val="00463B95"/>
    <w:rsid w:val="0046681F"/>
    <w:rsid w:val="0046755D"/>
    <w:rsid w:val="00470848"/>
    <w:rsid w:val="00482538"/>
    <w:rsid w:val="00482BDF"/>
    <w:rsid w:val="0048637E"/>
    <w:rsid w:val="004938D0"/>
    <w:rsid w:val="00493DD1"/>
    <w:rsid w:val="004A59A5"/>
    <w:rsid w:val="004A7605"/>
    <w:rsid w:val="004C2036"/>
    <w:rsid w:val="004C2628"/>
    <w:rsid w:val="004C32E3"/>
    <w:rsid w:val="004C70DB"/>
    <w:rsid w:val="004D66DE"/>
    <w:rsid w:val="004E3982"/>
    <w:rsid w:val="004F5FC3"/>
    <w:rsid w:val="00501A0F"/>
    <w:rsid w:val="00502717"/>
    <w:rsid w:val="00502850"/>
    <w:rsid w:val="00502EF9"/>
    <w:rsid w:val="00507F0E"/>
    <w:rsid w:val="00515C7C"/>
    <w:rsid w:val="00520CE6"/>
    <w:rsid w:val="005300A6"/>
    <w:rsid w:val="00530406"/>
    <w:rsid w:val="0053253F"/>
    <w:rsid w:val="00533012"/>
    <w:rsid w:val="00540386"/>
    <w:rsid w:val="00542F55"/>
    <w:rsid w:val="00547A3D"/>
    <w:rsid w:val="00550774"/>
    <w:rsid w:val="005602C3"/>
    <w:rsid w:val="005625F7"/>
    <w:rsid w:val="0056290F"/>
    <w:rsid w:val="0057005A"/>
    <w:rsid w:val="0057074E"/>
    <w:rsid w:val="00575BBB"/>
    <w:rsid w:val="00580EB5"/>
    <w:rsid w:val="00581A96"/>
    <w:rsid w:val="00581AAF"/>
    <w:rsid w:val="00594B97"/>
    <w:rsid w:val="005A292F"/>
    <w:rsid w:val="005B3638"/>
    <w:rsid w:val="005B4807"/>
    <w:rsid w:val="005B581D"/>
    <w:rsid w:val="005B6C6A"/>
    <w:rsid w:val="005C34C8"/>
    <w:rsid w:val="005D022B"/>
    <w:rsid w:val="005D4845"/>
    <w:rsid w:val="005D7D76"/>
    <w:rsid w:val="005E1C78"/>
    <w:rsid w:val="005E2867"/>
    <w:rsid w:val="005E38CA"/>
    <w:rsid w:val="005E3CEA"/>
    <w:rsid w:val="005E569E"/>
    <w:rsid w:val="005F35F6"/>
    <w:rsid w:val="005F6C0B"/>
    <w:rsid w:val="005F7612"/>
    <w:rsid w:val="0060068A"/>
    <w:rsid w:val="00606A8D"/>
    <w:rsid w:val="0061351B"/>
    <w:rsid w:val="00613A7B"/>
    <w:rsid w:val="00617AD4"/>
    <w:rsid w:val="006263AB"/>
    <w:rsid w:val="00631BB3"/>
    <w:rsid w:val="0063275A"/>
    <w:rsid w:val="00633C8E"/>
    <w:rsid w:val="006412CE"/>
    <w:rsid w:val="006424EA"/>
    <w:rsid w:val="006476E7"/>
    <w:rsid w:val="00647E06"/>
    <w:rsid w:val="00656194"/>
    <w:rsid w:val="00663767"/>
    <w:rsid w:val="006678D5"/>
    <w:rsid w:val="00674843"/>
    <w:rsid w:val="006841A0"/>
    <w:rsid w:val="0068799D"/>
    <w:rsid w:val="0069412E"/>
    <w:rsid w:val="006941C9"/>
    <w:rsid w:val="00697068"/>
    <w:rsid w:val="006A755D"/>
    <w:rsid w:val="006B22D0"/>
    <w:rsid w:val="006B3DBF"/>
    <w:rsid w:val="006B59FA"/>
    <w:rsid w:val="006C09DB"/>
    <w:rsid w:val="006C5C10"/>
    <w:rsid w:val="006C5D0B"/>
    <w:rsid w:val="006D461F"/>
    <w:rsid w:val="006E45AD"/>
    <w:rsid w:val="006E5A73"/>
    <w:rsid w:val="006E73E2"/>
    <w:rsid w:val="006F386B"/>
    <w:rsid w:val="00703472"/>
    <w:rsid w:val="00711244"/>
    <w:rsid w:val="007321F2"/>
    <w:rsid w:val="00732645"/>
    <w:rsid w:val="007346EC"/>
    <w:rsid w:val="007375AA"/>
    <w:rsid w:val="007457E4"/>
    <w:rsid w:val="00746623"/>
    <w:rsid w:val="00746946"/>
    <w:rsid w:val="00750261"/>
    <w:rsid w:val="0075315C"/>
    <w:rsid w:val="00755383"/>
    <w:rsid w:val="0076060B"/>
    <w:rsid w:val="0076156A"/>
    <w:rsid w:val="007629A6"/>
    <w:rsid w:val="00763E02"/>
    <w:rsid w:val="00770E9A"/>
    <w:rsid w:val="00773304"/>
    <w:rsid w:val="00774828"/>
    <w:rsid w:val="0077646D"/>
    <w:rsid w:val="007837D5"/>
    <w:rsid w:val="007925BD"/>
    <w:rsid w:val="00793D65"/>
    <w:rsid w:val="00794785"/>
    <w:rsid w:val="00795903"/>
    <w:rsid w:val="007A030B"/>
    <w:rsid w:val="007A297B"/>
    <w:rsid w:val="007A5ACF"/>
    <w:rsid w:val="007B4D6D"/>
    <w:rsid w:val="007B4DF0"/>
    <w:rsid w:val="007B626E"/>
    <w:rsid w:val="007D41DA"/>
    <w:rsid w:val="007D4689"/>
    <w:rsid w:val="007E12A3"/>
    <w:rsid w:val="007E4599"/>
    <w:rsid w:val="007E4F07"/>
    <w:rsid w:val="0080547F"/>
    <w:rsid w:val="00816514"/>
    <w:rsid w:val="00816BC5"/>
    <w:rsid w:val="00827A2F"/>
    <w:rsid w:val="00830B9C"/>
    <w:rsid w:val="00832A7C"/>
    <w:rsid w:val="00834A80"/>
    <w:rsid w:val="00837A8B"/>
    <w:rsid w:val="00840A08"/>
    <w:rsid w:val="00843132"/>
    <w:rsid w:val="00844CB1"/>
    <w:rsid w:val="00851769"/>
    <w:rsid w:val="00852497"/>
    <w:rsid w:val="00856196"/>
    <w:rsid w:val="0085679F"/>
    <w:rsid w:val="00860196"/>
    <w:rsid w:val="00860F3C"/>
    <w:rsid w:val="008678EA"/>
    <w:rsid w:val="00870810"/>
    <w:rsid w:val="00874D5F"/>
    <w:rsid w:val="008877E8"/>
    <w:rsid w:val="00895C06"/>
    <w:rsid w:val="008977FE"/>
    <w:rsid w:val="008A4777"/>
    <w:rsid w:val="008A4BDB"/>
    <w:rsid w:val="008A7A04"/>
    <w:rsid w:val="008B16ED"/>
    <w:rsid w:val="008C2A49"/>
    <w:rsid w:val="008C56FB"/>
    <w:rsid w:val="008C7782"/>
    <w:rsid w:val="008D2ADA"/>
    <w:rsid w:val="008D7134"/>
    <w:rsid w:val="008E117B"/>
    <w:rsid w:val="008E5981"/>
    <w:rsid w:val="008E7A30"/>
    <w:rsid w:val="008F4463"/>
    <w:rsid w:val="008F6CA7"/>
    <w:rsid w:val="00901425"/>
    <w:rsid w:val="00913811"/>
    <w:rsid w:val="00917BEE"/>
    <w:rsid w:val="00917C4C"/>
    <w:rsid w:val="00920B4C"/>
    <w:rsid w:val="00922940"/>
    <w:rsid w:val="00922E4D"/>
    <w:rsid w:val="0092444D"/>
    <w:rsid w:val="009272C6"/>
    <w:rsid w:val="009334A9"/>
    <w:rsid w:val="009361E8"/>
    <w:rsid w:val="00936C8E"/>
    <w:rsid w:val="009376AA"/>
    <w:rsid w:val="0094057D"/>
    <w:rsid w:val="00950F96"/>
    <w:rsid w:val="009567EB"/>
    <w:rsid w:val="00961459"/>
    <w:rsid w:val="00964BAD"/>
    <w:rsid w:val="0096677A"/>
    <w:rsid w:val="00966E6A"/>
    <w:rsid w:val="00970D05"/>
    <w:rsid w:val="00974D0C"/>
    <w:rsid w:val="00982CE9"/>
    <w:rsid w:val="00983C90"/>
    <w:rsid w:val="009874ED"/>
    <w:rsid w:val="009A0956"/>
    <w:rsid w:val="009A24F5"/>
    <w:rsid w:val="009A5A3E"/>
    <w:rsid w:val="009A6657"/>
    <w:rsid w:val="009B3834"/>
    <w:rsid w:val="009B55D7"/>
    <w:rsid w:val="009C3851"/>
    <w:rsid w:val="009D61C9"/>
    <w:rsid w:val="009E16D5"/>
    <w:rsid w:val="009E2388"/>
    <w:rsid w:val="009E3CA4"/>
    <w:rsid w:val="009E55F3"/>
    <w:rsid w:val="009F10E5"/>
    <w:rsid w:val="00A020AC"/>
    <w:rsid w:val="00A02108"/>
    <w:rsid w:val="00A16549"/>
    <w:rsid w:val="00A32A28"/>
    <w:rsid w:val="00A34129"/>
    <w:rsid w:val="00A34C9D"/>
    <w:rsid w:val="00A37382"/>
    <w:rsid w:val="00A43D20"/>
    <w:rsid w:val="00A460E6"/>
    <w:rsid w:val="00A4715B"/>
    <w:rsid w:val="00A56AA4"/>
    <w:rsid w:val="00A62929"/>
    <w:rsid w:val="00A6489F"/>
    <w:rsid w:val="00A7257F"/>
    <w:rsid w:val="00A81127"/>
    <w:rsid w:val="00A8647A"/>
    <w:rsid w:val="00A87BC8"/>
    <w:rsid w:val="00A93539"/>
    <w:rsid w:val="00A94A93"/>
    <w:rsid w:val="00A95DA4"/>
    <w:rsid w:val="00AC6D52"/>
    <w:rsid w:val="00AC7AE0"/>
    <w:rsid w:val="00AC7F51"/>
    <w:rsid w:val="00AD0B58"/>
    <w:rsid w:val="00AD2602"/>
    <w:rsid w:val="00AD5BCD"/>
    <w:rsid w:val="00AE12C6"/>
    <w:rsid w:val="00AE4AA5"/>
    <w:rsid w:val="00B00209"/>
    <w:rsid w:val="00B022A2"/>
    <w:rsid w:val="00B06015"/>
    <w:rsid w:val="00B11198"/>
    <w:rsid w:val="00B11A6A"/>
    <w:rsid w:val="00B14393"/>
    <w:rsid w:val="00B150FC"/>
    <w:rsid w:val="00B15D69"/>
    <w:rsid w:val="00B2212F"/>
    <w:rsid w:val="00B225F8"/>
    <w:rsid w:val="00B239BA"/>
    <w:rsid w:val="00B336AE"/>
    <w:rsid w:val="00B3529C"/>
    <w:rsid w:val="00B43AA1"/>
    <w:rsid w:val="00B45C92"/>
    <w:rsid w:val="00B47BA8"/>
    <w:rsid w:val="00B5138D"/>
    <w:rsid w:val="00B570F6"/>
    <w:rsid w:val="00B67A25"/>
    <w:rsid w:val="00B82AD7"/>
    <w:rsid w:val="00B844E4"/>
    <w:rsid w:val="00B96AD1"/>
    <w:rsid w:val="00BA2DDB"/>
    <w:rsid w:val="00BA332A"/>
    <w:rsid w:val="00BB515B"/>
    <w:rsid w:val="00BB6B5C"/>
    <w:rsid w:val="00BC01F1"/>
    <w:rsid w:val="00BC3CFC"/>
    <w:rsid w:val="00BC55E5"/>
    <w:rsid w:val="00BC7314"/>
    <w:rsid w:val="00BD23C5"/>
    <w:rsid w:val="00BD764E"/>
    <w:rsid w:val="00BD78C3"/>
    <w:rsid w:val="00BE0CA0"/>
    <w:rsid w:val="00BF061B"/>
    <w:rsid w:val="00BF252A"/>
    <w:rsid w:val="00BF2D38"/>
    <w:rsid w:val="00BF7B4C"/>
    <w:rsid w:val="00C02EF6"/>
    <w:rsid w:val="00C03505"/>
    <w:rsid w:val="00C035B3"/>
    <w:rsid w:val="00C07154"/>
    <w:rsid w:val="00C20867"/>
    <w:rsid w:val="00C21520"/>
    <w:rsid w:val="00C26279"/>
    <w:rsid w:val="00C31974"/>
    <w:rsid w:val="00C37C52"/>
    <w:rsid w:val="00C51CD2"/>
    <w:rsid w:val="00C529CC"/>
    <w:rsid w:val="00C5585C"/>
    <w:rsid w:val="00C55883"/>
    <w:rsid w:val="00C569E3"/>
    <w:rsid w:val="00C66693"/>
    <w:rsid w:val="00C674E3"/>
    <w:rsid w:val="00C6755A"/>
    <w:rsid w:val="00C80DF3"/>
    <w:rsid w:val="00C850FC"/>
    <w:rsid w:val="00C9112F"/>
    <w:rsid w:val="00C91EF7"/>
    <w:rsid w:val="00C961C1"/>
    <w:rsid w:val="00C9670A"/>
    <w:rsid w:val="00CB4EEE"/>
    <w:rsid w:val="00CB67DB"/>
    <w:rsid w:val="00CC0480"/>
    <w:rsid w:val="00CC05B4"/>
    <w:rsid w:val="00CC0F33"/>
    <w:rsid w:val="00CC22EA"/>
    <w:rsid w:val="00CC268D"/>
    <w:rsid w:val="00CC4EFA"/>
    <w:rsid w:val="00CC562F"/>
    <w:rsid w:val="00CD2976"/>
    <w:rsid w:val="00CD4798"/>
    <w:rsid w:val="00CD4FF4"/>
    <w:rsid w:val="00CD6FB8"/>
    <w:rsid w:val="00CE14F6"/>
    <w:rsid w:val="00CE1578"/>
    <w:rsid w:val="00CE2763"/>
    <w:rsid w:val="00CE3E50"/>
    <w:rsid w:val="00CE476B"/>
    <w:rsid w:val="00CE78A8"/>
    <w:rsid w:val="00CF0722"/>
    <w:rsid w:val="00CF35EB"/>
    <w:rsid w:val="00CF3751"/>
    <w:rsid w:val="00CF3C35"/>
    <w:rsid w:val="00CF5AC2"/>
    <w:rsid w:val="00CF7AAA"/>
    <w:rsid w:val="00D078C7"/>
    <w:rsid w:val="00D1039B"/>
    <w:rsid w:val="00D11364"/>
    <w:rsid w:val="00D137CD"/>
    <w:rsid w:val="00D1437F"/>
    <w:rsid w:val="00D1699A"/>
    <w:rsid w:val="00D31DF2"/>
    <w:rsid w:val="00D47EDC"/>
    <w:rsid w:val="00D513BA"/>
    <w:rsid w:val="00D51664"/>
    <w:rsid w:val="00D5549F"/>
    <w:rsid w:val="00D56621"/>
    <w:rsid w:val="00D63EB2"/>
    <w:rsid w:val="00D64C45"/>
    <w:rsid w:val="00D701D3"/>
    <w:rsid w:val="00D76A20"/>
    <w:rsid w:val="00D81A02"/>
    <w:rsid w:val="00D82C9D"/>
    <w:rsid w:val="00D839B0"/>
    <w:rsid w:val="00D8552C"/>
    <w:rsid w:val="00D86C3C"/>
    <w:rsid w:val="00D978D6"/>
    <w:rsid w:val="00DA70CF"/>
    <w:rsid w:val="00DC4D5F"/>
    <w:rsid w:val="00DC6230"/>
    <w:rsid w:val="00DD48AC"/>
    <w:rsid w:val="00DD7EE4"/>
    <w:rsid w:val="00DE147A"/>
    <w:rsid w:val="00DE1CC6"/>
    <w:rsid w:val="00DE74ED"/>
    <w:rsid w:val="00DF1E9C"/>
    <w:rsid w:val="00DF3F83"/>
    <w:rsid w:val="00DF5D8A"/>
    <w:rsid w:val="00DF7204"/>
    <w:rsid w:val="00DF73E5"/>
    <w:rsid w:val="00E01FA5"/>
    <w:rsid w:val="00E1091F"/>
    <w:rsid w:val="00E14A7B"/>
    <w:rsid w:val="00E211A4"/>
    <w:rsid w:val="00E23EA7"/>
    <w:rsid w:val="00E247D9"/>
    <w:rsid w:val="00E258F0"/>
    <w:rsid w:val="00E2697E"/>
    <w:rsid w:val="00E30748"/>
    <w:rsid w:val="00E32387"/>
    <w:rsid w:val="00E33AD2"/>
    <w:rsid w:val="00E3496F"/>
    <w:rsid w:val="00E350D0"/>
    <w:rsid w:val="00E3644C"/>
    <w:rsid w:val="00E36750"/>
    <w:rsid w:val="00E36F38"/>
    <w:rsid w:val="00E40736"/>
    <w:rsid w:val="00E438B9"/>
    <w:rsid w:val="00E604F3"/>
    <w:rsid w:val="00E626DB"/>
    <w:rsid w:val="00E65855"/>
    <w:rsid w:val="00E667BC"/>
    <w:rsid w:val="00E727FA"/>
    <w:rsid w:val="00E76A73"/>
    <w:rsid w:val="00E83901"/>
    <w:rsid w:val="00E83C71"/>
    <w:rsid w:val="00E85E44"/>
    <w:rsid w:val="00E86B9A"/>
    <w:rsid w:val="00E9029F"/>
    <w:rsid w:val="00EA3764"/>
    <w:rsid w:val="00EB4B8A"/>
    <w:rsid w:val="00EB4BBC"/>
    <w:rsid w:val="00EB6317"/>
    <w:rsid w:val="00EC205F"/>
    <w:rsid w:val="00EC2FBA"/>
    <w:rsid w:val="00EC4C08"/>
    <w:rsid w:val="00EC6FF2"/>
    <w:rsid w:val="00ED301B"/>
    <w:rsid w:val="00ED4BDE"/>
    <w:rsid w:val="00ED4E65"/>
    <w:rsid w:val="00ED6467"/>
    <w:rsid w:val="00EF0A06"/>
    <w:rsid w:val="00EF2505"/>
    <w:rsid w:val="00F00EAA"/>
    <w:rsid w:val="00F072E2"/>
    <w:rsid w:val="00F07684"/>
    <w:rsid w:val="00F1113B"/>
    <w:rsid w:val="00F11277"/>
    <w:rsid w:val="00F125C5"/>
    <w:rsid w:val="00F20371"/>
    <w:rsid w:val="00F41B49"/>
    <w:rsid w:val="00F44A10"/>
    <w:rsid w:val="00F514FA"/>
    <w:rsid w:val="00F5295F"/>
    <w:rsid w:val="00F5353E"/>
    <w:rsid w:val="00F56E8E"/>
    <w:rsid w:val="00F62A10"/>
    <w:rsid w:val="00F639D2"/>
    <w:rsid w:val="00F67AEA"/>
    <w:rsid w:val="00F83F30"/>
    <w:rsid w:val="00FA433A"/>
    <w:rsid w:val="00FB1641"/>
    <w:rsid w:val="00FB166D"/>
    <w:rsid w:val="00FB262B"/>
    <w:rsid w:val="00FB3CCA"/>
    <w:rsid w:val="00FC1739"/>
    <w:rsid w:val="00FC2C06"/>
    <w:rsid w:val="00FC4384"/>
    <w:rsid w:val="00FD6927"/>
    <w:rsid w:val="00FE28CF"/>
    <w:rsid w:val="00FF2DBB"/>
    <w:rsid w:val="00FF54A9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EAA3"/>
  <w15:chartTrackingRefBased/>
  <w15:docId w15:val="{93310783-C323-4BFD-B2E4-47D57EFD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47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qFormat/>
    <w:rsid w:val="006263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6263AB"/>
    <w:rPr>
      <w:rFonts w:ascii="Times New Roman" w:eastAsia="SimSun" w:hAnsi="Times New Roman" w:cs="Times New Roman"/>
      <w:sz w:val="20"/>
      <w:szCs w:val="20"/>
      <w:lang w:val="bg-BG"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6263AB"/>
    <w:rPr>
      <w:vertAlign w:val="superscript"/>
    </w:rPr>
  </w:style>
  <w:style w:type="character" w:styleId="Hyperlink">
    <w:name w:val="Hyperlink"/>
    <w:uiPriority w:val="99"/>
    <w:unhideWhenUsed/>
    <w:rsid w:val="006263A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279"/>
    <w:rPr>
      <w:color w:val="605E5C"/>
      <w:shd w:val="clear" w:color="auto" w:fill="E1DFDD"/>
    </w:rPr>
  </w:style>
  <w:style w:type="paragraph" w:customStyle="1" w:styleId="Default">
    <w:name w:val="Default"/>
    <w:rsid w:val="008C7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A49"/>
  </w:style>
  <w:style w:type="paragraph" w:styleId="Footer">
    <w:name w:val="footer"/>
    <w:basedOn w:val="Normal"/>
    <w:link w:val="Foot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A49"/>
  </w:style>
  <w:style w:type="table" w:customStyle="1" w:styleId="TableGrid1">
    <w:name w:val="Table Grid1"/>
    <w:basedOn w:val="TableNormal"/>
    <w:next w:val="TableGrid"/>
    <w:uiPriority w:val="59"/>
    <w:rsid w:val="001E3B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204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4CD8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9D61C9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rasmus-plus.ec.europa.eu/sites/default/files/2023-11/2024-Erasmus%2BProgramme-Guide_BG.pdf" TargetMode="External"/><Relationship Id="rId2" Type="http://schemas.openxmlformats.org/officeDocument/2006/relationships/hyperlink" Target="https://ec.europa.eu/eurostat/databrowser/bookmark/7ddd45e7-7490-4d86-a232-e178c02a8ed3?lang=en" TargetMode="External"/><Relationship Id="rId1" Type="http://schemas.openxmlformats.org/officeDocument/2006/relationships/hyperlink" Target="https://euraxess.ec.europa.eu/sites/default/files/policy_library/towards_a_european_framework_for_research_careers_final.pdf" TargetMode="External"/><Relationship Id="rId4" Type="http://schemas.openxmlformats.org/officeDocument/2006/relationships/hyperlink" Target="https://ec.europa.eu/programmes/erasmus-plus/resources/distance-calculator_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15DE-D9D2-486D-B047-311E2632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3267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Georgieva</dc:creator>
  <cp:keywords/>
  <dc:description/>
  <cp:lastModifiedBy>Dinko Draganov</cp:lastModifiedBy>
  <cp:revision>18</cp:revision>
  <dcterms:created xsi:type="dcterms:W3CDTF">2024-01-16T14:36:00Z</dcterms:created>
  <dcterms:modified xsi:type="dcterms:W3CDTF">2024-01-18T09:25:00Z</dcterms:modified>
</cp:coreProperties>
</file>