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0258" w14:textId="07ED63A4" w:rsidR="0046219F" w:rsidRPr="00601A3A" w:rsidRDefault="0046219F" w:rsidP="007720F5">
      <w:pPr>
        <w:spacing w:line="360" w:lineRule="auto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167D54C" w14:textId="7DEABE30" w:rsidR="009F5AAD" w:rsidRPr="00CF719F" w:rsidRDefault="00CF719F" w:rsidP="007720F5">
      <w:pPr>
        <w:spacing w:line="360" w:lineRule="auto"/>
        <w:jc w:val="center"/>
        <w:rPr>
          <w:b/>
        </w:rPr>
      </w:pPr>
      <w:r w:rsidRPr="00CF719F">
        <w:rPr>
          <w:b/>
        </w:rPr>
        <w:t>Указания на У</w:t>
      </w:r>
      <w:r w:rsidR="007F3143">
        <w:rPr>
          <w:b/>
        </w:rPr>
        <w:t xml:space="preserve">правляващия орган </w:t>
      </w:r>
      <w:r w:rsidRPr="00CF719F">
        <w:rPr>
          <w:b/>
        </w:rPr>
        <w:t xml:space="preserve">на </w:t>
      </w:r>
      <w:r w:rsidR="00262848">
        <w:rPr>
          <w:b/>
        </w:rPr>
        <w:t>Програма „Образование“</w:t>
      </w:r>
      <w:r w:rsidRPr="00CF719F">
        <w:rPr>
          <w:b/>
        </w:rPr>
        <w:t xml:space="preserve"> </w:t>
      </w:r>
      <w:r w:rsidR="00262848">
        <w:rPr>
          <w:b/>
        </w:rPr>
        <w:t xml:space="preserve">2021-2027 </w:t>
      </w:r>
      <w:r w:rsidRPr="00CF719F">
        <w:rPr>
          <w:b/>
        </w:rPr>
        <w:t>за конкретни</w:t>
      </w:r>
      <w:r w:rsidR="00C52F6B">
        <w:rPr>
          <w:b/>
        </w:rPr>
        <w:t>я</w:t>
      </w:r>
      <w:r w:rsidRPr="00CF719F">
        <w:rPr>
          <w:b/>
        </w:rPr>
        <w:t xml:space="preserve"> бенефициент</w:t>
      </w:r>
      <w:r w:rsidR="00C52F6B">
        <w:rPr>
          <w:b/>
        </w:rPr>
        <w:t xml:space="preserve"> Министерство на образованието и науката </w:t>
      </w:r>
      <w:r w:rsidRPr="00CF719F">
        <w:rPr>
          <w:b/>
        </w:rPr>
        <w:t>относно изискванията за сформиране на екипите за организация и управление на проекти</w:t>
      </w:r>
      <w:r w:rsidR="00035534">
        <w:rPr>
          <w:b/>
        </w:rPr>
        <w:t xml:space="preserve"> </w:t>
      </w:r>
    </w:p>
    <w:p w14:paraId="176EAFAF" w14:textId="77777777" w:rsidR="009F5AAD" w:rsidRDefault="009F5AAD" w:rsidP="007720F5">
      <w:pPr>
        <w:spacing w:line="360" w:lineRule="auto"/>
        <w:rPr>
          <w:b/>
        </w:rPr>
      </w:pPr>
    </w:p>
    <w:p w14:paraId="24187D0D" w14:textId="77777777" w:rsidR="003B1D35" w:rsidRPr="007720F5" w:rsidRDefault="003B1D35" w:rsidP="007720F5">
      <w:pPr>
        <w:spacing w:line="360" w:lineRule="auto"/>
        <w:rPr>
          <w:b/>
        </w:rPr>
      </w:pPr>
    </w:p>
    <w:p w14:paraId="0C5695B5" w14:textId="40FFC273" w:rsidR="00580BC0" w:rsidRPr="00262848" w:rsidRDefault="007720F5" w:rsidP="003B1D35">
      <w:pPr>
        <w:spacing w:after="120" w:line="360" w:lineRule="auto"/>
        <w:ind w:firstLine="708"/>
        <w:jc w:val="both"/>
        <w:rPr>
          <w:bCs/>
        </w:rPr>
      </w:pPr>
      <w:r w:rsidRPr="007720F5">
        <w:t>Настоящи</w:t>
      </w:r>
      <w:r w:rsidR="00CF719F">
        <w:t xml:space="preserve">те указания са </w:t>
      </w:r>
      <w:r w:rsidRPr="007720F5">
        <w:t>разработен</w:t>
      </w:r>
      <w:r w:rsidR="00CF719F">
        <w:t>и</w:t>
      </w:r>
      <w:r w:rsidRPr="007720F5">
        <w:t xml:space="preserve"> </w:t>
      </w:r>
      <w:r w:rsidR="00262848">
        <w:t xml:space="preserve">първоначално </w:t>
      </w:r>
      <w:r w:rsidRPr="007720F5">
        <w:t xml:space="preserve">от Управляващия орган на Оперативна програма „Наука и образование за интелигентен </w:t>
      </w:r>
      <w:r w:rsidR="00CF719F">
        <w:t>растеж“ във връзка с констатация № 5</w:t>
      </w:r>
      <w:r w:rsidRPr="007720F5">
        <w:t xml:space="preserve"> от предварителен одитен доклад от одитна мисия № REGC214BG0033 </w:t>
      </w:r>
      <w:r w:rsidRPr="007720F5">
        <w:rPr>
          <w:rFonts w:eastAsiaTheme="minorHAnsi"/>
          <w:lang w:eastAsia="en-US"/>
        </w:rPr>
        <w:t xml:space="preserve">на ГД „Регионална и урбанистична политика“ и ГД „Трудова заетост, социални въпроси и приобщаване“ </w:t>
      </w:r>
      <w:r w:rsidRPr="007720F5">
        <w:t>по ОП НОИР (</w:t>
      </w:r>
      <w:proofErr w:type="spellStart"/>
      <w:r w:rsidRPr="007720F5">
        <w:t>Ares</w:t>
      </w:r>
      <w:proofErr w:type="spellEnd"/>
      <w:r w:rsidRPr="007720F5">
        <w:t>(2017)1904087-10/04/</w:t>
      </w:r>
      <w:r w:rsidR="00CF719F">
        <w:t xml:space="preserve">2017), а именно </w:t>
      </w:r>
      <w:r w:rsidR="00CF719F" w:rsidRPr="00CF719F">
        <w:rPr>
          <w:i/>
        </w:rPr>
        <w:t>„</w:t>
      </w:r>
      <w:r w:rsidR="00CF719F" w:rsidRPr="00CF719F">
        <w:rPr>
          <w:bCs/>
          <w:i/>
          <w:iCs/>
        </w:rPr>
        <w:t>Неподходящи процедури за подбор на вътрешни и външни експерти за извършване на дейности в екипите за изпълнение на проекти (ЗИП)“.</w:t>
      </w:r>
      <w:r w:rsidR="00262848">
        <w:rPr>
          <w:bCs/>
          <w:i/>
          <w:iCs/>
        </w:rPr>
        <w:t xml:space="preserve"> </w:t>
      </w:r>
      <w:r w:rsidR="00262848" w:rsidRPr="00262848">
        <w:rPr>
          <w:bCs/>
        </w:rPr>
        <w:t xml:space="preserve">След актуализиране Указанията се прилагат и </w:t>
      </w:r>
      <w:r w:rsidR="00262848">
        <w:rPr>
          <w:bCs/>
        </w:rPr>
        <w:t xml:space="preserve">за проектите, </w:t>
      </w:r>
      <w:r w:rsidR="00262848" w:rsidRPr="00262848">
        <w:rPr>
          <w:bCs/>
        </w:rPr>
        <w:t>финансирани по Програма „Образование“ 2021-2027</w:t>
      </w:r>
      <w:r w:rsidR="00262848">
        <w:rPr>
          <w:bCs/>
        </w:rPr>
        <w:t>.</w:t>
      </w:r>
    </w:p>
    <w:p w14:paraId="0D5FF20A" w14:textId="77777777" w:rsidR="00E74FBF" w:rsidRDefault="00EB65EB" w:rsidP="003B1D35">
      <w:pPr>
        <w:spacing w:after="120" w:line="360" w:lineRule="auto"/>
        <w:ind w:firstLine="708"/>
        <w:jc w:val="both"/>
      </w:pPr>
      <w:r>
        <w:t>Целта на настоящите Указания е да бъде подпомогнато Министерството на образованието и науката и не</w:t>
      </w:r>
      <w:r w:rsidR="00035534">
        <w:t>говите структури в качеството им</w:t>
      </w:r>
      <w:r>
        <w:t xml:space="preserve"> на конкретен бенефициент по </w:t>
      </w:r>
      <w:r w:rsidR="00262848">
        <w:rPr>
          <w:b/>
        </w:rPr>
        <w:t>Програма „</w:t>
      </w:r>
      <w:r w:rsidR="00262848" w:rsidRPr="00262848">
        <w:rPr>
          <w:b/>
        </w:rPr>
        <w:t>Образование“</w:t>
      </w:r>
      <w:r w:rsidRPr="00262848">
        <w:rPr>
          <w:b/>
        </w:rPr>
        <w:t xml:space="preserve"> </w:t>
      </w:r>
      <w:r w:rsidR="00262848" w:rsidRPr="00262848">
        <w:rPr>
          <w:b/>
        </w:rPr>
        <w:t>2021-2027</w:t>
      </w:r>
      <w:r w:rsidR="00262848">
        <w:t xml:space="preserve"> </w:t>
      </w:r>
      <w:r>
        <w:t xml:space="preserve">при прилагането на единни </w:t>
      </w:r>
      <w:r w:rsidR="006977B4">
        <w:t>критерии, изисквания и процедури</w:t>
      </w:r>
      <w:r>
        <w:t xml:space="preserve"> при избора на вътрешни и външни експерти в екипите за организация и управление на </w:t>
      </w:r>
      <w:r w:rsidR="00CC021F">
        <w:t>проекти</w:t>
      </w:r>
      <w:r w:rsidR="006977B4">
        <w:t>те</w:t>
      </w:r>
      <w:r w:rsidR="00CC021F">
        <w:t xml:space="preserve">, с които да се гарантира прозрачността </w:t>
      </w:r>
      <w:r w:rsidR="00035534">
        <w:t xml:space="preserve">и ефективността на този избор. </w:t>
      </w:r>
    </w:p>
    <w:p w14:paraId="70B9FF04" w14:textId="610951FC" w:rsidR="00EB65EB" w:rsidRDefault="001309C3" w:rsidP="003B1D35">
      <w:pPr>
        <w:spacing w:after="120" w:line="360" w:lineRule="auto"/>
        <w:ind w:firstLine="708"/>
        <w:jc w:val="both"/>
      </w:pPr>
      <w:r>
        <w:t>Освен това УО дава насоки, с прилагането на които се цели да се намали административната тежест за образователните институции, участващи в изпълнението на проектите с КБ-МОН</w:t>
      </w:r>
      <w:r w:rsidR="00CE74C6">
        <w:t xml:space="preserve"> </w:t>
      </w:r>
      <w:r w:rsidR="00E33CD1">
        <w:t xml:space="preserve">съгласно </w:t>
      </w:r>
      <w:r w:rsidR="00CE74C6">
        <w:t>§ 6 от Допълнителните разпоредби на ЗУСЕФСУ</w:t>
      </w:r>
      <w:r>
        <w:t>.</w:t>
      </w:r>
    </w:p>
    <w:p w14:paraId="07C56E9B" w14:textId="206D6CC9" w:rsidR="00BF6755" w:rsidRDefault="00262848" w:rsidP="003B1D35">
      <w:pPr>
        <w:spacing w:after="120" w:line="360" w:lineRule="auto"/>
        <w:ind w:firstLine="709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 xml:space="preserve">Указанията </w:t>
      </w:r>
      <w:r w:rsidR="00F5104A">
        <w:rPr>
          <w:rFonts w:eastAsiaTheme="minorHAnsi" w:cstheme="minorBidi"/>
          <w:lang w:eastAsia="en-US"/>
        </w:rPr>
        <w:t>отчитат факта</w:t>
      </w:r>
      <w:r>
        <w:rPr>
          <w:rFonts w:eastAsiaTheme="minorHAnsi" w:cstheme="minorBidi"/>
          <w:lang w:eastAsia="en-US"/>
        </w:rPr>
        <w:t>, че за всички проекти с КБ-МОН се прилага</w:t>
      </w:r>
      <w:r w:rsidR="00365DC9">
        <w:rPr>
          <w:rFonts w:eastAsiaTheme="minorHAnsi" w:cstheme="minorBidi"/>
          <w:lang w:eastAsia="en-US"/>
        </w:rPr>
        <w:t xml:space="preserve"> </w:t>
      </w:r>
      <w:r w:rsidR="00365DC9" w:rsidRPr="00435B87">
        <w:rPr>
          <w:rFonts w:eastAsiaTheme="minorHAnsi" w:cstheme="minorBidi"/>
          <w:b/>
          <w:lang w:eastAsia="en-US"/>
        </w:rPr>
        <w:t>финансиране с единна ставка на разходите за организация и управление</w:t>
      </w:r>
      <w:r w:rsidR="00365DC9">
        <w:rPr>
          <w:rFonts w:eastAsiaTheme="minorHAnsi" w:cstheme="minorBidi"/>
          <w:lang w:eastAsia="en-US"/>
        </w:rPr>
        <w:t xml:space="preserve"> </w:t>
      </w:r>
      <w:r w:rsidR="003C621B">
        <w:rPr>
          <w:rFonts w:eastAsiaTheme="minorHAnsi" w:cstheme="minorBidi"/>
          <w:lang w:eastAsia="en-US"/>
        </w:rPr>
        <w:t xml:space="preserve">(непреките разходи) </w:t>
      </w:r>
      <w:r>
        <w:rPr>
          <w:rFonts w:eastAsiaTheme="minorHAnsi" w:cstheme="minorBidi"/>
          <w:lang w:eastAsia="en-US"/>
        </w:rPr>
        <w:t xml:space="preserve">и </w:t>
      </w:r>
      <w:r w:rsidR="00365DC9">
        <w:rPr>
          <w:rFonts w:eastAsiaTheme="minorHAnsi" w:cstheme="minorBidi"/>
          <w:lang w:eastAsia="en-US"/>
        </w:rPr>
        <w:t>включват следните основни положения:</w:t>
      </w:r>
    </w:p>
    <w:p w14:paraId="1195DC13" w14:textId="7C7D58D7" w:rsidR="009A598F" w:rsidRDefault="009A598F">
      <w:pPr>
        <w:spacing w:after="160" w:line="259" w:lineRule="auto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br w:type="page"/>
      </w:r>
    </w:p>
    <w:p w14:paraId="311BEE64" w14:textId="25779D55" w:rsidR="00103D21" w:rsidRDefault="003C6427" w:rsidP="007F3143">
      <w:pPr>
        <w:shd w:val="clear" w:color="auto" w:fill="9CC2E5" w:themeFill="accent1" w:themeFillTint="99"/>
        <w:spacing w:before="360" w:after="360" w:line="276" w:lineRule="auto"/>
        <w:ind w:firstLine="709"/>
        <w:jc w:val="both"/>
        <w:rPr>
          <w:rFonts w:eastAsiaTheme="minorHAnsi" w:cstheme="minorBidi"/>
          <w:b/>
          <w:bCs/>
          <w:lang w:eastAsia="en-US"/>
        </w:rPr>
      </w:pPr>
      <w:r>
        <w:rPr>
          <w:rFonts w:eastAsiaTheme="minorHAnsi" w:cstheme="minorBidi"/>
          <w:b/>
          <w:bCs/>
          <w:lang w:eastAsia="en-US"/>
        </w:rPr>
        <w:lastRenderedPageBreak/>
        <w:t xml:space="preserve">А. </w:t>
      </w:r>
      <w:r w:rsidR="00103D21" w:rsidRPr="00103D21">
        <w:rPr>
          <w:rFonts w:eastAsiaTheme="minorHAnsi" w:cstheme="minorBidi"/>
          <w:b/>
          <w:bCs/>
          <w:lang w:eastAsia="en-US"/>
        </w:rPr>
        <w:t>Екип за организация и управление на ниво КБ</w:t>
      </w:r>
      <w:r w:rsidR="005B6A1D">
        <w:rPr>
          <w:rFonts w:eastAsiaTheme="minorHAnsi" w:cstheme="minorBidi"/>
          <w:b/>
          <w:bCs/>
          <w:lang w:eastAsia="en-US"/>
        </w:rPr>
        <w:t xml:space="preserve"> (МОН и РУО)</w:t>
      </w:r>
    </w:p>
    <w:p w14:paraId="255355FA" w14:textId="4D0FCD6E" w:rsidR="00BF3423" w:rsidRPr="005B6A1D" w:rsidRDefault="006D5135" w:rsidP="00BF3423">
      <w:pPr>
        <w:spacing w:after="120" w:line="360" w:lineRule="auto"/>
        <w:ind w:firstLine="709"/>
        <w:jc w:val="both"/>
      </w:pPr>
      <w:r>
        <w:t>Когато</w:t>
      </w:r>
      <w:r w:rsidR="003C6427">
        <w:t xml:space="preserve"> в изпълнението на проекта участват образователни институции съгласно §</w:t>
      </w:r>
      <w:r w:rsidR="006513D2">
        <w:t xml:space="preserve"> </w:t>
      </w:r>
      <w:r w:rsidR="003C6427">
        <w:t>6 от Допълнителните разпоредби на ЗУСЕФ</w:t>
      </w:r>
      <w:r w:rsidR="006513D2">
        <w:t>СУ</w:t>
      </w:r>
      <w:r w:rsidR="003C6427">
        <w:t xml:space="preserve"> и съответно </w:t>
      </w:r>
      <w:r w:rsidR="005B6A1D">
        <w:t xml:space="preserve">на ниво проект </w:t>
      </w:r>
      <w:r w:rsidR="003C6427">
        <w:t xml:space="preserve">се прилага ставка от 15 % за финансиране на </w:t>
      </w:r>
      <w:r w:rsidR="005B6A1D">
        <w:t xml:space="preserve">непреките </w:t>
      </w:r>
      <w:r w:rsidR="003C6427">
        <w:t>разходи</w:t>
      </w:r>
      <w:r w:rsidR="005B6A1D">
        <w:t xml:space="preserve">, </w:t>
      </w:r>
      <w:r w:rsidR="0088731A">
        <w:t>се препоръчва</w:t>
      </w:r>
      <w:r w:rsidR="00186D24">
        <w:rPr>
          <w:rStyle w:val="FootnoteReference"/>
        </w:rPr>
        <w:footnoteReference w:id="1"/>
      </w:r>
      <w:r w:rsidR="0088731A">
        <w:t xml:space="preserve"> </w:t>
      </w:r>
      <w:r w:rsidR="005B6A1D">
        <w:t xml:space="preserve">разходите за </w:t>
      </w:r>
      <w:r w:rsidR="00B12271">
        <w:t xml:space="preserve">възнаграждения на </w:t>
      </w:r>
      <w:r w:rsidR="005B6A1D">
        <w:t xml:space="preserve">екипите </w:t>
      </w:r>
      <w:r w:rsidR="005B6A1D" w:rsidRPr="6EB2B641">
        <w:rPr>
          <w:rFonts w:eastAsiaTheme="minorEastAsia" w:cstheme="minorBidi"/>
          <w:lang w:eastAsia="en-US"/>
        </w:rPr>
        <w:t xml:space="preserve">за организация и управление </w:t>
      </w:r>
      <w:r w:rsidR="005B6A1D">
        <w:t>на ниво КБ</w:t>
      </w:r>
      <w:r w:rsidR="00684183" w:rsidRPr="00601A3A">
        <w:t xml:space="preserve"> </w:t>
      </w:r>
      <w:r w:rsidR="0021675C">
        <w:t xml:space="preserve">(експерти от МОН и РУО) </w:t>
      </w:r>
      <w:r w:rsidR="005B6A1D">
        <w:t xml:space="preserve">да </w:t>
      </w:r>
      <w:r w:rsidR="00A86359">
        <w:t xml:space="preserve">не </w:t>
      </w:r>
      <w:r w:rsidR="005B6A1D">
        <w:t xml:space="preserve">надвишават </w:t>
      </w:r>
      <w:r w:rsidR="005B6A1D" w:rsidRPr="6EB2B641">
        <w:rPr>
          <w:b/>
          <w:bCs/>
        </w:rPr>
        <w:t xml:space="preserve">20 % от изчислената стойност на допустимите непреки разходи </w:t>
      </w:r>
      <w:r w:rsidR="007A141B" w:rsidRPr="6EB2B641">
        <w:rPr>
          <w:b/>
          <w:bCs/>
        </w:rPr>
        <w:t>за целия</w:t>
      </w:r>
      <w:r w:rsidR="005B6A1D" w:rsidRPr="6EB2B641">
        <w:rPr>
          <w:b/>
          <w:bCs/>
        </w:rPr>
        <w:t xml:space="preserve"> проект</w:t>
      </w:r>
      <w:r w:rsidR="005B6A1D">
        <w:t xml:space="preserve">.  </w:t>
      </w:r>
    </w:p>
    <w:p w14:paraId="3C30F5B1" w14:textId="15F56601" w:rsidR="00865638" w:rsidRDefault="00E07DEC" w:rsidP="00865638">
      <w:pPr>
        <w:spacing w:after="120" w:line="360" w:lineRule="auto"/>
        <w:ind w:firstLine="709"/>
        <w:jc w:val="both"/>
      </w:pPr>
      <w:r>
        <w:t>А</w:t>
      </w:r>
      <w:r w:rsidR="00883626">
        <w:t xml:space="preserve">1. </w:t>
      </w:r>
      <w:r w:rsidR="0092625D">
        <w:t>На етап кандидатстване в</w:t>
      </w:r>
      <w:r w:rsidR="00B81A9C" w:rsidRPr="007720F5">
        <w:t xml:space="preserve"> зависимост от </w:t>
      </w:r>
      <w:r w:rsidR="000C4350">
        <w:t>планирания</w:t>
      </w:r>
      <w:r w:rsidR="000C4350" w:rsidRPr="007720F5">
        <w:t xml:space="preserve"> </w:t>
      </w:r>
      <w:r w:rsidR="00B81A9C" w:rsidRPr="007720F5">
        <w:t xml:space="preserve">бюджет </w:t>
      </w:r>
      <w:r w:rsidR="0092625D">
        <w:t xml:space="preserve">и характера на предвидените основни дейности следва да бъдат представени </w:t>
      </w:r>
      <w:r w:rsidR="0092625D" w:rsidRPr="00C32298">
        <w:rPr>
          <w:b/>
        </w:rPr>
        <w:t>автобиографиите и описани минималните изисквания за заемане на длъжността</w:t>
      </w:r>
      <w:r w:rsidR="00C03FD4" w:rsidRPr="007720F5">
        <w:t xml:space="preserve">, </w:t>
      </w:r>
      <w:r w:rsidR="0092625D">
        <w:t>както следва:</w:t>
      </w:r>
    </w:p>
    <w:p w14:paraId="3B589045" w14:textId="51E0BFDB" w:rsidR="000C4350" w:rsidRDefault="000C4350" w:rsidP="00865638">
      <w:pPr>
        <w:spacing w:after="120" w:line="360" w:lineRule="auto"/>
        <w:ind w:firstLine="709"/>
        <w:jc w:val="both"/>
      </w:pPr>
      <w:r w:rsidRPr="0061480E">
        <w:rPr>
          <w:b/>
          <w:bCs/>
        </w:rPr>
        <w:t>1.1. За екип за организация и управление на проект без териториални екипи автобиографи</w:t>
      </w:r>
      <w:r w:rsidR="00D32677" w:rsidRPr="0061480E">
        <w:rPr>
          <w:b/>
          <w:bCs/>
        </w:rPr>
        <w:t>и</w:t>
      </w:r>
      <w:r w:rsidRPr="0061480E">
        <w:rPr>
          <w:b/>
          <w:bCs/>
        </w:rPr>
        <w:t xml:space="preserve"> и</w:t>
      </w:r>
      <w:r w:rsidR="00F12701" w:rsidRPr="00601A3A">
        <w:rPr>
          <w:b/>
          <w:bCs/>
        </w:rPr>
        <w:t xml:space="preserve"> </w:t>
      </w:r>
      <w:r w:rsidRPr="0061480E">
        <w:rPr>
          <w:b/>
          <w:bCs/>
        </w:rPr>
        <w:t xml:space="preserve">описание </w:t>
      </w:r>
      <w:r w:rsidR="0006113B" w:rsidRPr="0061480E">
        <w:rPr>
          <w:b/>
          <w:bCs/>
        </w:rPr>
        <w:t>н</w:t>
      </w:r>
      <w:r w:rsidRPr="0061480E">
        <w:rPr>
          <w:b/>
          <w:bCs/>
        </w:rPr>
        <w:t>а минимални изисквания най-малко за 3 позиции като</w:t>
      </w:r>
      <w:r>
        <w:t>:</w:t>
      </w:r>
    </w:p>
    <w:p w14:paraId="3D4E68C8" w14:textId="77777777" w:rsidR="00865638" w:rsidRDefault="00BF6755" w:rsidP="00865638">
      <w:pPr>
        <w:pStyle w:val="ListParagraph"/>
        <w:numPr>
          <w:ilvl w:val="1"/>
          <w:numId w:val="1"/>
        </w:numPr>
        <w:tabs>
          <w:tab w:val="left" w:pos="993"/>
        </w:tabs>
        <w:spacing w:after="120" w:line="360" w:lineRule="auto"/>
        <w:contextualSpacing w:val="0"/>
        <w:jc w:val="both"/>
      </w:pPr>
      <w:bookmarkStart w:id="0" w:name="_Hlk107387748"/>
      <w:r w:rsidRPr="00865638">
        <w:rPr>
          <w:b/>
        </w:rPr>
        <w:t>ръководител</w:t>
      </w:r>
      <w:r>
        <w:t xml:space="preserve"> на проекта;</w:t>
      </w:r>
    </w:p>
    <w:p w14:paraId="55AD35FC" w14:textId="77777777" w:rsidR="00865638" w:rsidRDefault="00BF6755" w:rsidP="00865638">
      <w:pPr>
        <w:pStyle w:val="ListParagraph"/>
        <w:numPr>
          <w:ilvl w:val="1"/>
          <w:numId w:val="1"/>
        </w:numPr>
        <w:tabs>
          <w:tab w:val="left" w:pos="993"/>
        </w:tabs>
        <w:spacing w:after="120" w:line="360" w:lineRule="auto"/>
        <w:contextualSpacing w:val="0"/>
        <w:jc w:val="both"/>
      </w:pPr>
      <w:r w:rsidRPr="00865638">
        <w:rPr>
          <w:b/>
        </w:rPr>
        <w:t>счетоводител</w:t>
      </w:r>
      <w:r>
        <w:t xml:space="preserve"> на проекта или финансов координатор; </w:t>
      </w:r>
    </w:p>
    <w:p w14:paraId="65ED2872" w14:textId="27DA96AC" w:rsidR="00865638" w:rsidRDefault="00865638" w:rsidP="00865638">
      <w:pPr>
        <w:pStyle w:val="ListParagraph"/>
        <w:numPr>
          <w:ilvl w:val="1"/>
          <w:numId w:val="1"/>
        </w:numPr>
        <w:tabs>
          <w:tab w:val="left" w:pos="993"/>
        </w:tabs>
        <w:spacing w:after="120" w:line="360" w:lineRule="auto"/>
        <w:contextualSpacing w:val="0"/>
        <w:jc w:val="both"/>
      </w:pPr>
      <w:r>
        <w:t xml:space="preserve">експерт или координатор </w:t>
      </w:r>
      <w:r w:rsidR="00DF5319">
        <w:rPr>
          <w:b/>
        </w:rPr>
        <w:t>видимост</w:t>
      </w:r>
      <w:r w:rsidR="00DF5319" w:rsidRPr="00865638">
        <w:rPr>
          <w:b/>
        </w:rPr>
        <w:t xml:space="preserve"> </w:t>
      </w:r>
      <w:r w:rsidRPr="00865638">
        <w:rPr>
          <w:b/>
        </w:rPr>
        <w:t>и комуникация</w:t>
      </w:r>
      <w:r w:rsidR="006513D2" w:rsidRPr="006513D2">
        <w:t xml:space="preserve"> – </w:t>
      </w:r>
      <w:r w:rsidR="00252D54">
        <w:t>задължителна позиция</w:t>
      </w:r>
      <w:r w:rsidR="00D32677">
        <w:t xml:space="preserve"> </w:t>
      </w:r>
      <w:bookmarkStart w:id="1" w:name="_Hlk107388617"/>
      <w:r w:rsidR="00D32677">
        <w:t>за операции от стратегическо значение в изпълнение на чл. 2</w:t>
      </w:r>
      <w:r w:rsidR="00252D54">
        <w:t xml:space="preserve">, </w:t>
      </w:r>
      <w:r w:rsidR="00D32677" w:rsidRPr="00D32677">
        <w:t>т.</w:t>
      </w:r>
      <w:r w:rsidR="006513D2">
        <w:t xml:space="preserve"> </w:t>
      </w:r>
      <w:r w:rsidR="00D32677" w:rsidRPr="00D32677">
        <w:t>5</w:t>
      </w:r>
      <w:r w:rsidR="00D32677">
        <w:t>, чл.</w:t>
      </w:r>
      <w:r w:rsidR="006513D2">
        <w:t xml:space="preserve"> </w:t>
      </w:r>
      <w:r w:rsidR="00D32677">
        <w:t>22, §</w:t>
      </w:r>
      <w:r w:rsidR="006513D2">
        <w:t xml:space="preserve"> </w:t>
      </w:r>
      <w:r w:rsidR="00D32677">
        <w:t>3</w:t>
      </w:r>
      <w:r w:rsidR="0006113B">
        <w:t xml:space="preserve"> и чл.</w:t>
      </w:r>
      <w:r w:rsidR="006513D2">
        <w:t xml:space="preserve"> </w:t>
      </w:r>
      <w:r w:rsidR="0006113B">
        <w:t>50</w:t>
      </w:r>
      <w:r w:rsidR="00D32677" w:rsidRPr="00D32677">
        <w:t xml:space="preserve"> от Р</w:t>
      </w:r>
      <w:r w:rsidR="006513D2">
        <w:t>егламент</w:t>
      </w:r>
      <w:r w:rsidR="00D32677" w:rsidRPr="00D32677">
        <w:t xml:space="preserve"> (ЕС) 2021/1060</w:t>
      </w:r>
      <w:r w:rsidR="0006113B">
        <w:t>.</w:t>
      </w:r>
      <w:bookmarkEnd w:id="1"/>
      <w:r w:rsidR="0006113B">
        <w:t xml:space="preserve"> </w:t>
      </w:r>
    </w:p>
    <w:p w14:paraId="275B57F7" w14:textId="07D31363" w:rsidR="0006113B" w:rsidRDefault="000C4350" w:rsidP="0006113B">
      <w:pPr>
        <w:pStyle w:val="ListParagraph"/>
        <w:numPr>
          <w:ilvl w:val="1"/>
          <w:numId w:val="1"/>
        </w:numPr>
        <w:tabs>
          <w:tab w:val="left" w:pos="993"/>
        </w:tabs>
        <w:spacing w:after="120" w:line="360" w:lineRule="auto"/>
        <w:contextualSpacing w:val="0"/>
        <w:jc w:val="both"/>
      </w:pPr>
      <w:bookmarkStart w:id="2" w:name="_Hlk107388674"/>
      <w:bookmarkEnd w:id="0"/>
      <w:r>
        <w:t>За други членове на екипа за организация и управление на проект без териториални екипи не се изискват автобиографии и описани</w:t>
      </w:r>
      <w:r w:rsidR="006513D2">
        <w:t>е</w:t>
      </w:r>
      <w:r>
        <w:t xml:space="preserve"> на изисквания за позициите. По преценка на КБ – МОН </w:t>
      </w:r>
      <w:r w:rsidR="006513D2">
        <w:t>такива позиции мо</w:t>
      </w:r>
      <w:r w:rsidR="00F749AC">
        <w:t>гат</w:t>
      </w:r>
      <w:r w:rsidR="006513D2">
        <w:t xml:space="preserve"> да бъдат посочени </w:t>
      </w:r>
      <w:r>
        <w:t xml:space="preserve">в проектното предложение в </w:t>
      </w:r>
      <w:r w:rsidR="006513D2">
        <w:t>секция</w:t>
      </w:r>
      <w:r>
        <w:t xml:space="preserve"> „Екип“ от Формуляра за кандидатстване</w:t>
      </w:r>
      <w:bookmarkEnd w:id="2"/>
      <w:r w:rsidR="006513D2">
        <w:t>.</w:t>
      </w:r>
      <w:r w:rsidR="0006113B">
        <w:t xml:space="preserve"> </w:t>
      </w:r>
    </w:p>
    <w:p w14:paraId="60C303D5" w14:textId="1FE7BB95" w:rsidR="000C4350" w:rsidRPr="006513D2" w:rsidRDefault="000C4350" w:rsidP="006513D2">
      <w:pPr>
        <w:spacing w:before="240" w:after="120" w:line="360" w:lineRule="auto"/>
        <w:ind w:firstLine="709"/>
        <w:jc w:val="both"/>
        <w:rPr>
          <w:b/>
          <w:bCs/>
        </w:rPr>
      </w:pPr>
      <w:r w:rsidRPr="00572312">
        <w:rPr>
          <w:b/>
          <w:bCs/>
        </w:rPr>
        <w:t xml:space="preserve">1.2. </w:t>
      </w:r>
      <w:r w:rsidR="0006113B" w:rsidRPr="00572312">
        <w:rPr>
          <w:b/>
          <w:bCs/>
        </w:rPr>
        <w:t>За е</w:t>
      </w:r>
      <w:r w:rsidRPr="00572312">
        <w:rPr>
          <w:b/>
          <w:bCs/>
        </w:rPr>
        <w:t xml:space="preserve">кип за организация и управление на проект с териториални екипи – най-малко 5 </w:t>
      </w:r>
      <w:r w:rsidR="0006113B">
        <w:rPr>
          <w:b/>
          <w:bCs/>
        </w:rPr>
        <w:t>позиции</w:t>
      </w:r>
      <w:r w:rsidRPr="006513D2">
        <w:rPr>
          <w:b/>
          <w:bCs/>
        </w:rPr>
        <w:t xml:space="preserve"> като:</w:t>
      </w:r>
    </w:p>
    <w:p w14:paraId="67FE6FDF" w14:textId="77777777" w:rsidR="00D32677" w:rsidRDefault="00D32677" w:rsidP="00D32677">
      <w:pPr>
        <w:pStyle w:val="ListParagraph"/>
        <w:numPr>
          <w:ilvl w:val="1"/>
          <w:numId w:val="1"/>
        </w:numPr>
        <w:tabs>
          <w:tab w:val="left" w:pos="993"/>
        </w:tabs>
        <w:spacing w:after="120" w:line="360" w:lineRule="auto"/>
        <w:contextualSpacing w:val="0"/>
        <w:jc w:val="both"/>
      </w:pPr>
      <w:r w:rsidRPr="00865638">
        <w:rPr>
          <w:b/>
        </w:rPr>
        <w:t>ръководител</w:t>
      </w:r>
      <w:r>
        <w:t xml:space="preserve"> на проекта;</w:t>
      </w:r>
    </w:p>
    <w:p w14:paraId="27169A8D" w14:textId="77777777" w:rsidR="00D32677" w:rsidRDefault="00D32677" w:rsidP="00D32677">
      <w:pPr>
        <w:pStyle w:val="ListParagraph"/>
        <w:numPr>
          <w:ilvl w:val="1"/>
          <w:numId w:val="1"/>
        </w:numPr>
        <w:tabs>
          <w:tab w:val="left" w:pos="993"/>
        </w:tabs>
        <w:spacing w:after="120" w:line="360" w:lineRule="auto"/>
        <w:contextualSpacing w:val="0"/>
        <w:jc w:val="both"/>
      </w:pPr>
      <w:r w:rsidRPr="00865638">
        <w:rPr>
          <w:b/>
        </w:rPr>
        <w:t>заместник-ръководител</w:t>
      </w:r>
      <w:r>
        <w:t xml:space="preserve"> на проекта или </w:t>
      </w:r>
      <w:r w:rsidRPr="00252D54">
        <w:rPr>
          <w:b/>
        </w:rPr>
        <w:t>водещ координатор</w:t>
      </w:r>
      <w:r>
        <w:t xml:space="preserve">, който отговаря </w:t>
      </w:r>
      <w:r>
        <w:tab/>
        <w:t>за една или повече от основните преки дейности (незадължителна позиция);</w:t>
      </w:r>
    </w:p>
    <w:p w14:paraId="443A9D1A" w14:textId="77777777" w:rsidR="00D32677" w:rsidRDefault="00D32677" w:rsidP="00D32677">
      <w:pPr>
        <w:pStyle w:val="ListParagraph"/>
        <w:numPr>
          <w:ilvl w:val="1"/>
          <w:numId w:val="1"/>
        </w:numPr>
        <w:tabs>
          <w:tab w:val="left" w:pos="993"/>
        </w:tabs>
        <w:spacing w:after="120" w:line="360" w:lineRule="auto"/>
        <w:contextualSpacing w:val="0"/>
        <w:jc w:val="both"/>
      </w:pPr>
      <w:r w:rsidRPr="00865638">
        <w:rPr>
          <w:b/>
        </w:rPr>
        <w:t>счетоводител</w:t>
      </w:r>
      <w:r>
        <w:t xml:space="preserve"> на проекта или финансов координатор; </w:t>
      </w:r>
    </w:p>
    <w:p w14:paraId="67BD46F5" w14:textId="70D23E9C" w:rsidR="00D32677" w:rsidRDefault="00D32677" w:rsidP="1A019DBF">
      <w:pPr>
        <w:pStyle w:val="ListParagraph"/>
        <w:numPr>
          <w:ilvl w:val="1"/>
          <w:numId w:val="1"/>
        </w:numPr>
        <w:tabs>
          <w:tab w:val="left" w:pos="993"/>
        </w:tabs>
        <w:spacing w:after="120" w:line="360" w:lineRule="auto"/>
        <w:jc w:val="both"/>
      </w:pPr>
      <w:r>
        <w:lastRenderedPageBreak/>
        <w:t xml:space="preserve">координатор на </w:t>
      </w:r>
      <w:r w:rsidRPr="1A019DBF">
        <w:rPr>
          <w:b/>
          <w:bCs/>
        </w:rPr>
        <w:t>териториалните екипи</w:t>
      </w:r>
      <w:r>
        <w:t xml:space="preserve"> (задължителна позиция, ако в </w:t>
      </w:r>
      <w:r>
        <w:tab/>
        <w:t>изпълнението на проекта участват образователни институции съгласно § 6 от Допълнителните разпоредби на ЗУСЕФ</w:t>
      </w:r>
      <w:r w:rsidR="006513D2">
        <w:t>СУ</w:t>
      </w:r>
      <w:r>
        <w:t>);</w:t>
      </w:r>
    </w:p>
    <w:p w14:paraId="63580A74" w14:textId="5408B6EC" w:rsidR="00D32677" w:rsidRDefault="00D32677" w:rsidP="00D32677">
      <w:pPr>
        <w:pStyle w:val="ListParagraph"/>
        <w:numPr>
          <w:ilvl w:val="1"/>
          <w:numId w:val="1"/>
        </w:numPr>
        <w:tabs>
          <w:tab w:val="left" w:pos="993"/>
        </w:tabs>
        <w:spacing w:after="120" w:line="360" w:lineRule="auto"/>
        <w:contextualSpacing w:val="0"/>
        <w:jc w:val="both"/>
      </w:pPr>
      <w:r>
        <w:t xml:space="preserve">експерт </w:t>
      </w:r>
      <w:r w:rsidR="00DF5319">
        <w:t xml:space="preserve">или координатор </w:t>
      </w:r>
      <w:r w:rsidR="00DF5319">
        <w:rPr>
          <w:b/>
        </w:rPr>
        <w:t>в</w:t>
      </w:r>
      <w:r w:rsidR="003E0B80">
        <w:rPr>
          <w:b/>
        </w:rPr>
        <w:t>и</w:t>
      </w:r>
      <w:r w:rsidR="00DF5319">
        <w:rPr>
          <w:b/>
        </w:rPr>
        <w:t>димост</w:t>
      </w:r>
      <w:r w:rsidRPr="00865638">
        <w:rPr>
          <w:b/>
        </w:rPr>
        <w:t xml:space="preserve"> и комуникация</w:t>
      </w:r>
      <w:r w:rsidRPr="006513D2">
        <w:t xml:space="preserve"> </w:t>
      </w:r>
      <w:r w:rsidR="006513D2" w:rsidRPr="006513D2">
        <w:t>–</w:t>
      </w:r>
      <w:r w:rsidR="0006113B" w:rsidRPr="006513D2">
        <w:t xml:space="preserve"> </w:t>
      </w:r>
      <w:r w:rsidR="006513D2">
        <w:t xml:space="preserve">задължителна позиция за операции от стратегическо значение в изпълнение на чл. 2, </w:t>
      </w:r>
      <w:r w:rsidR="006513D2" w:rsidRPr="00D32677">
        <w:t>т.</w:t>
      </w:r>
      <w:r w:rsidR="006513D2">
        <w:t xml:space="preserve"> </w:t>
      </w:r>
      <w:r w:rsidR="006513D2" w:rsidRPr="00D32677">
        <w:t>5</w:t>
      </w:r>
      <w:r w:rsidR="006513D2">
        <w:t>, чл. 22, § 3 и чл. 50</w:t>
      </w:r>
      <w:r w:rsidR="006513D2" w:rsidRPr="00D32677">
        <w:t xml:space="preserve"> от Р</w:t>
      </w:r>
      <w:r w:rsidR="006513D2">
        <w:t>егламент</w:t>
      </w:r>
      <w:r w:rsidR="006513D2" w:rsidRPr="00D32677">
        <w:t xml:space="preserve"> (ЕС) 2021/1060</w:t>
      </w:r>
      <w:r w:rsidR="0006113B" w:rsidRPr="0006113B">
        <w:t>.</w:t>
      </w:r>
      <w:r w:rsidR="0006113B">
        <w:t xml:space="preserve"> </w:t>
      </w:r>
    </w:p>
    <w:p w14:paraId="05A45893" w14:textId="2B60B7AC" w:rsidR="0006113B" w:rsidRDefault="0006113B" w:rsidP="0006113B">
      <w:pPr>
        <w:pStyle w:val="ListParagraph"/>
        <w:numPr>
          <w:ilvl w:val="1"/>
          <w:numId w:val="1"/>
        </w:numPr>
        <w:tabs>
          <w:tab w:val="left" w:pos="993"/>
        </w:tabs>
        <w:spacing w:after="120" w:line="360" w:lineRule="auto"/>
        <w:contextualSpacing w:val="0"/>
        <w:jc w:val="both"/>
      </w:pPr>
      <w:r>
        <w:t xml:space="preserve">За други членове на екипа за организация и управление на проект с териториални екипи не се изискват автобиографии и описание на изисквания за позициите. По преценка на КБ – МОН </w:t>
      </w:r>
      <w:bookmarkStart w:id="3" w:name="_Hlk107388727"/>
      <w:r w:rsidR="006513D2">
        <w:t>такива позиции мо</w:t>
      </w:r>
      <w:r w:rsidR="00F749AC">
        <w:t>гат</w:t>
      </w:r>
      <w:r w:rsidR="006513D2">
        <w:t xml:space="preserve"> да бъдат посочени</w:t>
      </w:r>
      <w:bookmarkEnd w:id="3"/>
      <w:r w:rsidR="006513D2">
        <w:t xml:space="preserve"> </w:t>
      </w:r>
      <w:r>
        <w:t xml:space="preserve">в проектното предложение в </w:t>
      </w:r>
      <w:r w:rsidR="006513D2">
        <w:t xml:space="preserve">секция </w:t>
      </w:r>
      <w:r>
        <w:t xml:space="preserve">„Екип“ от Формуляра за кандидатстване. </w:t>
      </w:r>
    </w:p>
    <w:p w14:paraId="78F1D612" w14:textId="35F40C26" w:rsidR="00D32677" w:rsidRDefault="00E07DEC" w:rsidP="00E07DEC">
      <w:pPr>
        <w:spacing w:before="240" w:after="120" w:line="360" w:lineRule="auto"/>
        <w:ind w:firstLine="709"/>
        <w:jc w:val="both"/>
      </w:pPr>
      <w:r>
        <w:t>А</w:t>
      </w:r>
      <w:r w:rsidR="00DF5319">
        <w:t xml:space="preserve">2. На етап кандидатстване КБ-МОН </w:t>
      </w:r>
      <w:r>
        <w:t xml:space="preserve">следва да опише </w:t>
      </w:r>
      <w:r w:rsidR="00DF5319">
        <w:t xml:space="preserve">в проектното предложение </w:t>
      </w:r>
      <w:r w:rsidR="00DF5319" w:rsidRPr="007F3143">
        <w:rPr>
          <w:b/>
          <w:bCs/>
        </w:rPr>
        <w:t>избора на експертите</w:t>
      </w:r>
      <w:r w:rsidR="00DF5319">
        <w:t xml:space="preserve"> по т.1.1 и т.1.2., за които представя автобиографии.</w:t>
      </w:r>
    </w:p>
    <w:p w14:paraId="563587A9" w14:textId="44894828" w:rsidR="00BF6755" w:rsidRDefault="00E07DEC" w:rsidP="00435B87">
      <w:pPr>
        <w:spacing w:before="240" w:after="120" w:line="360" w:lineRule="auto"/>
        <w:ind w:firstLine="709"/>
        <w:jc w:val="both"/>
      </w:pPr>
      <w:r>
        <w:t>А</w:t>
      </w:r>
      <w:r w:rsidR="00DF5319">
        <w:t>3</w:t>
      </w:r>
      <w:r w:rsidR="00C03FD4" w:rsidRPr="007720F5">
        <w:t xml:space="preserve">. </w:t>
      </w:r>
      <w:r w:rsidR="00FB5F96">
        <w:t xml:space="preserve">След подписване на административния договор за предоставяне на безвъзмездна финансова помощ Конкретният бенефициент </w:t>
      </w:r>
      <w:r w:rsidR="00020619">
        <w:t xml:space="preserve">определя числеността и персоналния състав на </w:t>
      </w:r>
      <w:r w:rsidR="00252D54">
        <w:t xml:space="preserve">екипа за организация и управление </w:t>
      </w:r>
      <w:r w:rsidR="00020619">
        <w:t xml:space="preserve">в съответствие </w:t>
      </w:r>
      <w:r w:rsidR="00AC025E">
        <w:t>със своите потребности и като се съобразяв</w:t>
      </w:r>
      <w:r w:rsidR="00AB36DE">
        <w:t>а с минималните изисквания за з</w:t>
      </w:r>
      <w:r w:rsidR="00AC025E">
        <w:t>аемане на длъжност</w:t>
      </w:r>
      <w:r w:rsidR="00AB36DE">
        <w:t>ите, посочени при кандидатстването</w:t>
      </w:r>
      <w:r w:rsidR="001F5BF9" w:rsidRPr="007720F5">
        <w:t xml:space="preserve">. </w:t>
      </w:r>
    </w:p>
    <w:p w14:paraId="61A20803" w14:textId="6D551B27" w:rsidR="00F93D52" w:rsidRDefault="00F93D52" w:rsidP="00435B87">
      <w:pPr>
        <w:spacing w:before="240" w:after="120" w:line="360" w:lineRule="auto"/>
        <w:ind w:firstLine="709"/>
        <w:jc w:val="both"/>
      </w:pPr>
      <w:r>
        <w:t xml:space="preserve">А4. При процедури за директно предоставяне с КБ – МОН, </w:t>
      </w:r>
      <w:r w:rsidR="00A828CE">
        <w:t xml:space="preserve">които се реализират в партньорство с други институции/организации, </w:t>
      </w:r>
      <w:r w:rsidR="0021675C">
        <w:t xml:space="preserve">посочените изисквания се прилагат и </w:t>
      </w:r>
      <w:r w:rsidR="00A828CE">
        <w:t>за партньора</w:t>
      </w:r>
      <w:r>
        <w:t>/</w:t>
      </w:r>
      <w:proofErr w:type="spellStart"/>
      <w:r>
        <w:t>и</w:t>
      </w:r>
      <w:r w:rsidR="00A828CE">
        <w:t>те</w:t>
      </w:r>
      <w:proofErr w:type="spellEnd"/>
      <w:r>
        <w:t xml:space="preserve">. В този случай, </w:t>
      </w:r>
      <w:r w:rsidR="0021675C">
        <w:t xml:space="preserve">в екипа за организация и управление на проекта </w:t>
      </w:r>
      <w:r>
        <w:t xml:space="preserve">следва да има координатор за дейностите на </w:t>
      </w:r>
      <w:r w:rsidR="0021675C">
        <w:t xml:space="preserve">всеки </w:t>
      </w:r>
      <w:r>
        <w:t>партньор.</w:t>
      </w:r>
    </w:p>
    <w:p w14:paraId="5EA24DF6" w14:textId="3E6CC176" w:rsidR="00834162" w:rsidRDefault="00E0759D" w:rsidP="00D771D0">
      <w:pPr>
        <w:spacing w:line="360" w:lineRule="auto"/>
        <w:ind w:firstLine="708"/>
        <w:jc w:val="both"/>
        <w:rPr>
          <w:rFonts w:eastAsiaTheme="minorHAnsi" w:cstheme="minorBidi"/>
          <w:lang w:eastAsia="en-US"/>
        </w:rPr>
      </w:pPr>
      <w:r>
        <w:rPr>
          <w:rFonts w:eastAsiaTheme="minorHAnsi" w:cstheme="minorBidi"/>
          <w:lang w:eastAsia="en-US"/>
        </w:rPr>
        <w:t>В съответс</w:t>
      </w:r>
      <w:r w:rsidR="00540979">
        <w:rPr>
          <w:rFonts w:eastAsiaTheme="minorHAnsi" w:cstheme="minorBidi"/>
          <w:lang w:eastAsia="en-US"/>
        </w:rPr>
        <w:t xml:space="preserve">твие с горепосочените критерии </w:t>
      </w:r>
      <w:r>
        <w:rPr>
          <w:rFonts w:eastAsiaTheme="minorHAnsi" w:cstheme="minorBidi"/>
          <w:lang w:eastAsia="en-US"/>
        </w:rPr>
        <w:t xml:space="preserve">и </w:t>
      </w:r>
      <w:r w:rsidRPr="00834162">
        <w:rPr>
          <w:rFonts w:eastAsiaTheme="minorHAnsi" w:cstheme="minorBidi"/>
          <w:b/>
          <w:lang w:eastAsia="en-US"/>
        </w:rPr>
        <w:t xml:space="preserve">изискванията </w:t>
      </w:r>
      <w:r w:rsidR="00540979" w:rsidRPr="00834162">
        <w:rPr>
          <w:rFonts w:eastAsiaTheme="minorHAnsi" w:cstheme="minorBidi"/>
          <w:b/>
          <w:lang w:eastAsia="en-US"/>
        </w:rPr>
        <w:t xml:space="preserve">за </w:t>
      </w:r>
      <w:r w:rsidR="00DF5319">
        <w:rPr>
          <w:rFonts w:eastAsiaTheme="minorHAnsi" w:cstheme="minorBidi"/>
          <w:b/>
          <w:lang w:eastAsia="en-US"/>
        </w:rPr>
        <w:t>видимост</w:t>
      </w:r>
      <w:r w:rsidR="00540979" w:rsidRPr="00834162">
        <w:rPr>
          <w:rFonts w:eastAsiaTheme="minorHAnsi" w:cstheme="minorBidi"/>
          <w:b/>
          <w:lang w:eastAsia="en-US"/>
        </w:rPr>
        <w:t>, прозрачност</w:t>
      </w:r>
      <w:r w:rsidR="00DF5319">
        <w:rPr>
          <w:rFonts w:eastAsiaTheme="minorHAnsi" w:cstheme="minorBidi"/>
          <w:b/>
          <w:lang w:eastAsia="en-US"/>
        </w:rPr>
        <w:t xml:space="preserve"> и комуникация</w:t>
      </w:r>
      <w:r w:rsidR="00540979" w:rsidRPr="00834162">
        <w:rPr>
          <w:rFonts w:eastAsiaTheme="minorHAnsi" w:cstheme="minorBidi"/>
          <w:b/>
          <w:lang w:eastAsia="en-US"/>
        </w:rPr>
        <w:t xml:space="preserve"> и недопускане на дискриминация</w:t>
      </w:r>
      <w:r w:rsidR="00540979">
        <w:rPr>
          <w:rFonts w:eastAsiaTheme="minorHAnsi" w:cstheme="minorBidi"/>
          <w:lang w:eastAsia="en-US"/>
        </w:rPr>
        <w:t xml:space="preserve">, </w:t>
      </w:r>
      <w:r w:rsidR="00834162">
        <w:rPr>
          <w:rFonts w:eastAsiaTheme="minorHAnsi" w:cstheme="minorBidi"/>
          <w:lang w:eastAsia="en-US"/>
        </w:rPr>
        <w:t>определянето на екипите за организация и управление</w:t>
      </w:r>
      <w:r w:rsidR="00E07DEC">
        <w:rPr>
          <w:rFonts w:eastAsiaTheme="minorHAnsi" w:cstheme="minorBidi"/>
          <w:lang w:eastAsia="en-US"/>
        </w:rPr>
        <w:t>, както на етап кандидатстване, така и в хода на изпълнението на проекта,</w:t>
      </w:r>
      <w:r w:rsidR="00834162">
        <w:rPr>
          <w:rFonts w:eastAsiaTheme="minorHAnsi" w:cstheme="minorBidi"/>
          <w:lang w:eastAsia="en-US"/>
        </w:rPr>
        <w:t xml:space="preserve"> следва да преминава през няколко етапа.</w:t>
      </w:r>
    </w:p>
    <w:p w14:paraId="733EF446" w14:textId="77777777" w:rsidR="00E0759D" w:rsidRPr="00E04144" w:rsidRDefault="00834162" w:rsidP="007F3143">
      <w:pPr>
        <w:pStyle w:val="ListParagraph"/>
        <w:numPr>
          <w:ilvl w:val="0"/>
          <w:numId w:val="11"/>
        </w:numPr>
        <w:spacing w:before="240" w:line="360" w:lineRule="auto"/>
        <w:ind w:left="1077" w:hanging="357"/>
        <w:jc w:val="both"/>
        <w:rPr>
          <w:b/>
        </w:rPr>
      </w:pPr>
      <w:r w:rsidRPr="00E04144">
        <w:rPr>
          <w:b/>
        </w:rPr>
        <w:t xml:space="preserve">Определяне на необходимите позиции </w:t>
      </w:r>
      <w:r w:rsidR="00083B3C" w:rsidRPr="00E04144">
        <w:rPr>
          <w:b/>
        </w:rPr>
        <w:t xml:space="preserve">(длъжности) </w:t>
      </w:r>
      <w:r w:rsidRPr="00E04144">
        <w:rPr>
          <w:b/>
        </w:rPr>
        <w:t>в екипа</w:t>
      </w:r>
    </w:p>
    <w:p w14:paraId="512E0F93" w14:textId="0B49A15A" w:rsidR="00834162" w:rsidRDefault="00E765E2" w:rsidP="009D625C">
      <w:pPr>
        <w:pStyle w:val="ListParagraph"/>
        <w:spacing w:after="240" w:line="360" w:lineRule="auto"/>
        <w:ind w:left="1077"/>
        <w:contextualSpacing w:val="0"/>
        <w:jc w:val="both"/>
      </w:pPr>
      <w:r>
        <w:t xml:space="preserve">Необходимо е да се направи ясно разграничение между координатори (служители с ръководни функции), експерти (служители, които отговарят за изпълнението на конкретни задачи) и сътрудници – технически функции на изпълнител. </w:t>
      </w:r>
      <w:r w:rsidR="009914BC">
        <w:t xml:space="preserve">При проекти, в чието изпълнение участват образователни </w:t>
      </w:r>
      <w:r w:rsidR="009914BC">
        <w:lastRenderedPageBreak/>
        <w:t xml:space="preserve">институции съгласно </w:t>
      </w:r>
      <w:r w:rsidR="009914BC" w:rsidRPr="007720F5">
        <w:t>§ 6 от Допълнителните разпоредби на ЗУСЕФ</w:t>
      </w:r>
      <w:r w:rsidR="00DF5319">
        <w:t>СУ</w:t>
      </w:r>
      <w:r w:rsidR="009914BC">
        <w:t xml:space="preserve">, задължително се </w:t>
      </w:r>
      <w:r w:rsidR="003472E0">
        <w:t xml:space="preserve">определят и позиции за </w:t>
      </w:r>
      <w:r w:rsidR="00CF30E7">
        <w:t>териториални</w:t>
      </w:r>
      <w:r w:rsidR="003472E0">
        <w:t xml:space="preserve"> екипи</w:t>
      </w:r>
      <w:r w:rsidR="00CF30E7">
        <w:t xml:space="preserve"> (</w:t>
      </w:r>
      <w:r w:rsidR="00684183">
        <w:t xml:space="preserve">от </w:t>
      </w:r>
      <w:r w:rsidR="00CF30E7">
        <w:t>РУО, , училище, детска градина</w:t>
      </w:r>
      <w:r w:rsidR="00684183">
        <w:t>, а когато е обоснована необходимост и образователни експерти от общини</w:t>
      </w:r>
      <w:r w:rsidR="00CF30E7">
        <w:t>)</w:t>
      </w:r>
      <w:r w:rsidR="003472E0">
        <w:t xml:space="preserve">. </w:t>
      </w:r>
      <w:r w:rsidR="00083B3C">
        <w:t>Общият б</w:t>
      </w:r>
      <w:r w:rsidR="009D625C">
        <w:t>р</w:t>
      </w:r>
      <w:r w:rsidR="00083B3C">
        <w:t>ой</w:t>
      </w:r>
      <w:r w:rsidR="009D625C">
        <w:t xml:space="preserve"> на </w:t>
      </w:r>
      <w:r w:rsidR="003472E0" w:rsidRPr="00656C7D">
        <w:t xml:space="preserve">всички </w:t>
      </w:r>
      <w:r w:rsidR="00083B3C" w:rsidRPr="00656C7D">
        <w:t xml:space="preserve">определени </w:t>
      </w:r>
      <w:r w:rsidR="009D625C" w:rsidRPr="00656C7D">
        <w:t>позиции</w:t>
      </w:r>
      <w:r w:rsidR="009D625C">
        <w:t xml:space="preserve"> </w:t>
      </w:r>
      <w:r w:rsidR="00083B3C">
        <w:t>(</w:t>
      </w:r>
      <w:r w:rsidR="009D625C">
        <w:t xml:space="preserve">с пълна еквивалентна заетост </w:t>
      </w:r>
      <w:r w:rsidR="00083B3C">
        <w:t xml:space="preserve">– </w:t>
      </w:r>
      <w:r w:rsidR="009D625C">
        <w:t xml:space="preserve">8 часа на ден) трябва да </w:t>
      </w:r>
      <w:r w:rsidR="00CF30E7">
        <w:t>бъде обоснован</w:t>
      </w:r>
      <w:r w:rsidR="00077E03">
        <w:t xml:space="preserve"> и да не нарушава </w:t>
      </w:r>
      <w:r w:rsidR="00077E03" w:rsidRPr="00656C7D">
        <w:rPr>
          <w:b/>
        </w:rPr>
        <w:t>принципа за добро финансово управление</w:t>
      </w:r>
      <w:r w:rsidR="00054F32" w:rsidRPr="00656C7D">
        <w:rPr>
          <w:b/>
        </w:rPr>
        <w:t>.</w:t>
      </w:r>
    </w:p>
    <w:p w14:paraId="6F1854D7" w14:textId="77777777" w:rsidR="00083B3C" w:rsidRPr="00E04144" w:rsidRDefault="00E765E2" w:rsidP="007F3143">
      <w:pPr>
        <w:pStyle w:val="ListParagraph"/>
        <w:numPr>
          <w:ilvl w:val="0"/>
          <w:numId w:val="11"/>
        </w:numPr>
        <w:spacing w:before="240" w:line="360" w:lineRule="auto"/>
        <w:ind w:left="1077" w:hanging="357"/>
        <w:contextualSpacing w:val="0"/>
        <w:jc w:val="both"/>
        <w:rPr>
          <w:b/>
        </w:rPr>
      </w:pPr>
      <w:r w:rsidRPr="00E04144">
        <w:rPr>
          <w:b/>
        </w:rPr>
        <w:t>Разработване на профил за всяка позиция</w:t>
      </w:r>
    </w:p>
    <w:p w14:paraId="137B9F2A" w14:textId="22BFBF4E" w:rsidR="00083B3C" w:rsidRPr="00083B3C" w:rsidRDefault="00036A39" w:rsidP="00083B3C">
      <w:pPr>
        <w:pStyle w:val="ListParagraph"/>
        <w:spacing w:line="360" w:lineRule="auto"/>
        <w:ind w:left="1077"/>
        <w:contextualSpacing w:val="0"/>
        <w:jc w:val="both"/>
        <w:rPr>
          <w:b/>
        </w:rPr>
      </w:pPr>
      <w:r>
        <w:t xml:space="preserve">В </w:t>
      </w:r>
      <w:r w:rsidR="00083B3C">
        <w:t>профил</w:t>
      </w:r>
      <w:r>
        <w:t>а за съответната позиция се посочват конкретните задължения на служителя, както и</w:t>
      </w:r>
      <w:r w:rsidR="00083B3C">
        <w:t xml:space="preserve"> </w:t>
      </w:r>
      <w:r>
        <w:t>изискванията за образование, професионален</w:t>
      </w:r>
      <w:r w:rsidR="00083B3C">
        <w:t xml:space="preserve"> опит и квалификация за заемането на </w:t>
      </w:r>
      <w:r>
        <w:t xml:space="preserve">длъжността </w:t>
      </w:r>
      <w:r w:rsidR="00083B3C">
        <w:t xml:space="preserve">(вж. Приложение </w:t>
      </w:r>
      <w:r w:rsidR="00684183">
        <w:t>КБ</w:t>
      </w:r>
      <w:r w:rsidR="003E0B80">
        <w:t>_</w:t>
      </w:r>
      <w:r w:rsidR="00684183">
        <w:t>ЕУП</w:t>
      </w:r>
      <w:r w:rsidR="00083B3C">
        <w:t>)</w:t>
      </w:r>
      <w:r w:rsidR="00083B3C">
        <w:rPr>
          <w:rStyle w:val="FootnoteReference"/>
        </w:rPr>
        <w:footnoteReference w:id="2"/>
      </w:r>
      <w:r w:rsidR="00083B3C">
        <w:t>.</w:t>
      </w:r>
      <w:r w:rsidRPr="00036A39">
        <w:t xml:space="preserve"> </w:t>
      </w:r>
      <w:r>
        <w:t xml:space="preserve">Изискванията за образование, опит и квалификация не трябва да са ограничаващи или да поставят в привилегировано положение определени служители. </w:t>
      </w:r>
      <w:r w:rsidR="007A5C54">
        <w:t>Пр</w:t>
      </w:r>
      <w:r w:rsidR="00260186">
        <w:t>и подаване на сигнал за нарушение (включително и при публикации в медиите) УО извършва проверка дали</w:t>
      </w:r>
      <w:r>
        <w:t xml:space="preserve"> са спазени принципите за равнопоставеност и недискриминация</w:t>
      </w:r>
      <w:r w:rsidR="007426DF">
        <w:t>.</w:t>
      </w:r>
    </w:p>
    <w:p w14:paraId="0895C6D5" w14:textId="77777777" w:rsidR="00E765E2" w:rsidRPr="00E04144" w:rsidRDefault="007426DF" w:rsidP="007F3143">
      <w:pPr>
        <w:pStyle w:val="ListParagraph"/>
        <w:numPr>
          <w:ilvl w:val="0"/>
          <w:numId w:val="11"/>
        </w:numPr>
        <w:spacing w:before="240" w:line="360" w:lineRule="auto"/>
        <w:ind w:left="1077" w:hanging="357"/>
        <w:contextualSpacing w:val="0"/>
        <w:jc w:val="both"/>
        <w:rPr>
          <w:b/>
        </w:rPr>
      </w:pPr>
      <w:r w:rsidRPr="00E04144">
        <w:rPr>
          <w:b/>
        </w:rPr>
        <w:t>Определяне на броя на членовете на екипа</w:t>
      </w:r>
    </w:p>
    <w:p w14:paraId="74F9922C" w14:textId="77777777" w:rsidR="007426DF" w:rsidRPr="00083B3C" w:rsidRDefault="007426DF" w:rsidP="007426DF">
      <w:pPr>
        <w:pStyle w:val="ListParagraph"/>
        <w:spacing w:line="360" w:lineRule="auto"/>
        <w:ind w:left="1080"/>
        <w:contextualSpacing w:val="0"/>
        <w:jc w:val="both"/>
        <w:rPr>
          <w:b/>
        </w:rPr>
      </w:pPr>
      <w:r>
        <w:t xml:space="preserve">За всяка позиция се изчислява необходимото работно време и съответно се определя броят на необходимите служители. </w:t>
      </w:r>
      <w:r w:rsidR="003A0F38">
        <w:t xml:space="preserve">Например, допустимо </w:t>
      </w:r>
      <w:r>
        <w:t>е двама служители да заемат една и съща позиция, като отработват по 4 часа на ден.</w:t>
      </w:r>
      <w:r w:rsidR="003A0F38">
        <w:t xml:space="preserve"> </w:t>
      </w:r>
      <w:r w:rsidR="0005501D">
        <w:t>В същото време н</w:t>
      </w:r>
      <w:r w:rsidR="003A0F38">
        <w:t xml:space="preserve">е трябва да се допуска прекомерно увеличаване на броя на членовете на екипа, </w:t>
      </w:r>
      <w:r w:rsidR="0005501D">
        <w:t>тъй като това може да намали ефективността на работата. Н</w:t>
      </w:r>
      <w:r w:rsidR="003A0F38">
        <w:t>аемането на служители с</w:t>
      </w:r>
      <w:r w:rsidR="00987931">
        <w:t xml:space="preserve"> ниска заетост </w:t>
      </w:r>
      <w:r w:rsidR="0005501D">
        <w:t xml:space="preserve">е допустимо, но </w:t>
      </w:r>
      <w:r w:rsidR="00987931">
        <w:t xml:space="preserve">трябва да бъде много добре обосновано. </w:t>
      </w:r>
    </w:p>
    <w:p w14:paraId="2569960D" w14:textId="77777777" w:rsidR="0005501D" w:rsidRPr="00E04144" w:rsidRDefault="00054F32" w:rsidP="007F3143">
      <w:pPr>
        <w:pStyle w:val="ListParagraph"/>
        <w:numPr>
          <w:ilvl w:val="0"/>
          <w:numId w:val="11"/>
        </w:numPr>
        <w:spacing w:before="240" w:line="360" w:lineRule="auto"/>
        <w:ind w:left="1077" w:hanging="357"/>
        <w:contextualSpacing w:val="0"/>
        <w:jc w:val="both"/>
        <w:rPr>
          <w:b/>
        </w:rPr>
      </w:pPr>
      <w:r w:rsidRPr="00E04144">
        <w:rPr>
          <w:b/>
        </w:rPr>
        <w:t xml:space="preserve">Подбор на вътрешните експерти </w:t>
      </w:r>
    </w:p>
    <w:p w14:paraId="5EAE3222" w14:textId="25E9D99A" w:rsidR="0005501D" w:rsidRPr="00083B3C" w:rsidRDefault="00054F32" w:rsidP="0005501D">
      <w:pPr>
        <w:pStyle w:val="ListParagraph"/>
        <w:spacing w:line="360" w:lineRule="auto"/>
        <w:ind w:left="1080"/>
        <w:contextualSpacing w:val="0"/>
        <w:jc w:val="both"/>
        <w:rPr>
          <w:b/>
        </w:rPr>
      </w:pPr>
      <w:r>
        <w:t xml:space="preserve">Процедурата за подбор сред служителите на КБ </w:t>
      </w:r>
      <w:r w:rsidR="00260186">
        <w:t xml:space="preserve">(вкл. образователните институции съгласно </w:t>
      </w:r>
      <w:r w:rsidR="00260186" w:rsidRPr="007720F5">
        <w:t>§ 6 от Допълнителните разпоредби на ЗУСЕФ</w:t>
      </w:r>
      <w:r w:rsidR="0006113B">
        <w:t>СУ</w:t>
      </w:r>
      <w:r w:rsidR="00260186">
        <w:t xml:space="preserve">) </w:t>
      </w:r>
      <w:r>
        <w:t>се извършва по публичен и прозрачен начин, като се осигурява възможност в нея да участват всички, отговарящи на съответните изисквания. Това може да стане чрез обява</w:t>
      </w:r>
      <w:r w:rsidR="00227CC9">
        <w:t>, съобщение по електронната поща</w:t>
      </w:r>
      <w:r>
        <w:t xml:space="preserve"> или друг документ, съдържащ необходимата информация за съответната позиция, както и за </w:t>
      </w:r>
      <w:r>
        <w:lastRenderedPageBreak/>
        <w:t>начина на кандидатстване, съответно необходимите документи, като се определи разумен срок за подаване на документи, но не по-кратък от 7 дни.</w:t>
      </w:r>
      <w:r w:rsidR="0005501D">
        <w:t xml:space="preserve"> </w:t>
      </w:r>
      <w:r w:rsidR="00227CC9">
        <w:t>Бенефициентът следва да разработи процедура за оценка на кандидатите, която задължително се основава на обективни критерии</w:t>
      </w:r>
      <w:r w:rsidR="00556C67">
        <w:t xml:space="preserve"> и осигурява еднакво третиране на всички потенциални кандидати</w:t>
      </w:r>
      <w:r w:rsidR="00227CC9">
        <w:t>.</w:t>
      </w:r>
    </w:p>
    <w:p w14:paraId="5BC63225" w14:textId="77777777" w:rsidR="00556C67" w:rsidRPr="00E04144" w:rsidRDefault="00556C67" w:rsidP="007F3143">
      <w:pPr>
        <w:pStyle w:val="ListParagraph"/>
        <w:numPr>
          <w:ilvl w:val="0"/>
          <w:numId w:val="11"/>
        </w:numPr>
        <w:spacing w:before="240" w:line="360" w:lineRule="auto"/>
        <w:ind w:left="1077" w:hanging="357"/>
        <w:contextualSpacing w:val="0"/>
        <w:jc w:val="both"/>
        <w:rPr>
          <w:b/>
        </w:rPr>
      </w:pPr>
      <w:r w:rsidRPr="00E04144">
        <w:rPr>
          <w:b/>
        </w:rPr>
        <w:t xml:space="preserve">Подбор на външните експерти </w:t>
      </w:r>
    </w:p>
    <w:p w14:paraId="5D7E8F94" w14:textId="77777777" w:rsidR="00556C67" w:rsidRDefault="00556C67" w:rsidP="00556C67">
      <w:pPr>
        <w:pStyle w:val="ListParagraph"/>
        <w:spacing w:line="360" w:lineRule="auto"/>
        <w:ind w:left="1080"/>
        <w:contextualSpacing w:val="0"/>
        <w:jc w:val="both"/>
      </w:pPr>
      <w:r>
        <w:t>За позициите, за които – в зависимост от спецификата на проектите – се установи, че е необходима експертиза, с каквато бенефициентът не разполага, се прилагат следните два варианта:</w:t>
      </w:r>
    </w:p>
    <w:p w14:paraId="5B570E4F" w14:textId="77777777" w:rsidR="006942EB" w:rsidRDefault="00556C67" w:rsidP="006942EB">
      <w:pPr>
        <w:pStyle w:val="ListParagraph"/>
        <w:numPr>
          <w:ilvl w:val="0"/>
          <w:numId w:val="12"/>
        </w:numPr>
        <w:spacing w:before="120" w:after="120" w:line="360" w:lineRule="auto"/>
        <w:ind w:left="1434" w:hanging="357"/>
        <w:contextualSpacing w:val="0"/>
        <w:jc w:val="both"/>
        <w:rPr>
          <w:color w:val="000000"/>
          <w:shd w:val="clear" w:color="auto" w:fill="FEFEFE"/>
        </w:rPr>
      </w:pPr>
      <w:r w:rsidRPr="00556C67">
        <w:rPr>
          <w:color w:val="000000"/>
          <w:shd w:val="clear" w:color="auto" w:fill="FEFEFE"/>
        </w:rPr>
        <w:t xml:space="preserve">Външните експерти </w:t>
      </w:r>
      <w:r>
        <w:rPr>
          <w:color w:val="000000"/>
          <w:shd w:val="clear" w:color="auto" w:fill="FEFEFE"/>
        </w:rPr>
        <w:t xml:space="preserve">се определят </w:t>
      </w:r>
      <w:r w:rsidRPr="006942EB">
        <w:rPr>
          <w:b/>
          <w:color w:val="000000"/>
          <w:shd w:val="clear" w:color="auto" w:fill="FEFEFE"/>
        </w:rPr>
        <w:t>преди под</w:t>
      </w:r>
      <w:r w:rsidR="0085729C" w:rsidRPr="006942EB">
        <w:rPr>
          <w:b/>
          <w:color w:val="000000"/>
          <w:shd w:val="clear" w:color="auto" w:fill="FEFEFE"/>
        </w:rPr>
        <w:t>аване на проектното предложение</w:t>
      </w:r>
      <w:r w:rsidR="0085729C">
        <w:rPr>
          <w:color w:val="000000"/>
          <w:shd w:val="clear" w:color="auto" w:fill="FEFEFE"/>
        </w:rPr>
        <w:t xml:space="preserve"> –</w:t>
      </w:r>
      <w:r>
        <w:rPr>
          <w:color w:val="000000"/>
          <w:shd w:val="clear" w:color="auto" w:fill="FEFEFE"/>
        </w:rPr>
        <w:t xml:space="preserve"> </w:t>
      </w:r>
      <w:r w:rsidR="0085729C">
        <w:rPr>
          <w:color w:val="000000"/>
          <w:shd w:val="clear" w:color="auto" w:fill="FEFEFE"/>
        </w:rPr>
        <w:t xml:space="preserve">КБ следва да разработи процедура за определяне на външни експерти като се спазват принципите за публичност, прозрачност и равно третиране. Избраните експерти </w:t>
      </w:r>
      <w:r>
        <w:rPr>
          <w:color w:val="000000"/>
          <w:shd w:val="clear" w:color="auto" w:fill="FEFEFE"/>
        </w:rPr>
        <w:t xml:space="preserve">са </w:t>
      </w:r>
      <w:r w:rsidRPr="00556C67">
        <w:rPr>
          <w:color w:val="000000"/>
          <w:shd w:val="clear" w:color="auto" w:fill="FEFEFE"/>
        </w:rPr>
        <w:t xml:space="preserve">обект на оценка </w:t>
      </w:r>
      <w:r>
        <w:rPr>
          <w:color w:val="000000"/>
          <w:shd w:val="clear" w:color="auto" w:fill="FEFEFE"/>
        </w:rPr>
        <w:t xml:space="preserve">и след </w:t>
      </w:r>
      <w:r w:rsidRPr="00556C67">
        <w:rPr>
          <w:color w:val="000000"/>
          <w:shd w:val="clear" w:color="auto" w:fill="FEFEFE"/>
        </w:rPr>
        <w:t>одобряването на проект</w:t>
      </w:r>
      <w:r>
        <w:rPr>
          <w:color w:val="000000"/>
          <w:shd w:val="clear" w:color="auto" w:fill="FEFEFE"/>
        </w:rPr>
        <w:t>ното предложение</w:t>
      </w:r>
      <w:r w:rsidRPr="00556C67">
        <w:rPr>
          <w:color w:val="000000"/>
          <w:shd w:val="clear" w:color="auto" w:fill="FEFEFE"/>
        </w:rPr>
        <w:t xml:space="preserve"> </w:t>
      </w:r>
      <w:r>
        <w:rPr>
          <w:color w:val="000000"/>
          <w:shd w:val="clear" w:color="auto" w:fill="FEFEFE"/>
        </w:rPr>
        <w:t xml:space="preserve">трябва да бъдат </w:t>
      </w:r>
      <w:r w:rsidRPr="00556C67">
        <w:rPr>
          <w:b/>
          <w:color w:val="000000"/>
          <w:shd w:val="clear" w:color="auto" w:fill="FEFEFE"/>
        </w:rPr>
        <w:t xml:space="preserve">наети на </w:t>
      </w:r>
      <w:r w:rsidR="00260186">
        <w:rPr>
          <w:b/>
          <w:color w:val="000000"/>
          <w:shd w:val="clear" w:color="auto" w:fill="FEFEFE"/>
        </w:rPr>
        <w:t xml:space="preserve">срочно </w:t>
      </w:r>
      <w:r w:rsidRPr="00556C67">
        <w:rPr>
          <w:b/>
          <w:color w:val="000000"/>
          <w:shd w:val="clear" w:color="auto" w:fill="FEFEFE"/>
        </w:rPr>
        <w:t>трудово правоотношение от бенефициента</w:t>
      </w:r>
      <w:r w:rsidRPr="00556C67">
        <w:rPr>
          <w:color w:val="000000"/>
          <w:shd w:val="clear" w:color="auto" w:fill="FEFEFE"/>
        </w:rPr>
        <w:t>.</w:t>
      </w:r>
      <w:r w:rsidR="00D97870" w:rsidRPr="00601A3A">
        <w:rPr>
          <w:color w:val="000000"/>
          <w:shd w:val="clear" w:color="auto" w:fill="FEFEFE"/>
        </w:rPr>
        <w:t xml:space="preserve"> </w:t>
      </w:r>
      <w:r w:rsidR="00D97870">
        <w:rPr>
          <w:color w:val="000000"/>
          <w:shd w:val="clear" w:color="auto" w:fill="FEFEFE"/>
        </w:rPr>
        <w:t>Ако по някаква причина с предварително определените ек</w:t>
      </w:r>
      <w:r w:rsidR="00260186">
        <w:rPr>
          <w:color w:val="000000"/>
          <w:shd w:val="clear" w:color="auto" w:fill="FEFEFE"/>
        </w:rPr>
        <w:t>сперти не бъде сключено трудово</w:t>
      </w:r>
      <w:r w:rsidR="00D97870">
        <w:rPr>
          <w:color w:val="000000"/>
          <w:shd w:val="clear" w:color="auto" w:fill="FEFEFE"/>
        </w:rPr>
        <w:t xml:space="preserve"> правоотношение, следва да се извърши подбор на нови външни (или вътрешни) експерти</w:t>
      </w:r>
      <w:r w:rsidR="006942EB">
        <w:rPr>
          <w:color w:val="000000"/>
          <w:shd w:val="clear" w:color="auto" w:fill="FEFEFE"/>
        </w:rPr>
        <w:t xml:space="preserve"> за съответната позиция.</w:t>
      </w:r>
    </w:p>
    <w:p w14:paraId="35CCDBF8" w14:textId="5BF33009" w:rsidR="006942EB" w:rsidRPr="006942EB" w:rsidRDefault="00556C67" w:rsidP="006942EB">
      <w:pPr>
        <w:pStyle w:val="ListParagraph"/>
        <w:numPr>
          <w:ilvl w:val="0"/>
          <w:numId w:val="12"/>
        </w:numPr>
        <w:spacing w:before="120" w:after="120" w:line="360" w:lineRule="auto"/>
        <w:ind w:left="1434" w:hanging="357"/>
        <w:contextualSpacing w:val="0"/>
        <w:jc w:val="both"/>
        <w:rPr>
          <w:color w:val="000000"/>
          <w:shd w:val="clear" w:color="auto" w:fill="FEFEFE"/>
        </w:rPr>
      </w:pPr>
      <w:r w:rsidRPr="006942EB">
        <w:rPr>
          <w:color w:val="000000"/>
          <w:shd w:val="clear" w:color="auto" w:fill="FEFEFE"/>
        </w:rPr>
        <w:t xml:space="preserve">Външните експерти се определят </w:t>
      </w:r>
      <w:r w:rsidR="0085729C" w:rsidRPr="006942EB">
        <w:rPr>
          <w:b/>
          <w:color w:val="000000"/>
          <w:shd w:val="clear" w:color="auto" w:fill="FEFEFE"/>
        </w:rPr>
        <w:t xml:space="preserve">след стартирането на </w:t>
      </w:r>
      <w:r w:rsidRPr="006942EB">
        <w:rPr>
          <w:b/>
          <w:color w:val="000000"/>
          <w:shd w:val="clear" w:color="auto" w:fill="FEFEFE"/>
        </w:rPr>
        <w:t>проект</w:t>
      </w:r>
      <w:r w:rsidR="0085729C" w:rsidRPr="006942EB">
        <w:rPr>
          <w:b/>
          <w:color w:val="000000"/>
          <w:shd w:val="clear" w:color="auto" w:fill="FEFEFE"/>
        </w:rPr>
        <w:t>а</w:t>
      </w:r>
      <w:r w:rsidRPr="006942EB">
        <w:rPr>
          <w:b/>
          <w:color w:val="000000"/>
          <w:shd w:val="clear" w:color="auto" w:fill="FEFEFE"/>
        </w:rPr>
        <w:t>.</w:t>
      </w:r>
      <w:r w:rsidRPr="006942EB">
        <w:rPr>
          <w:color w:val="000000"/>
          <w:shd w:val="clear" w:color="auto" w:fill="FEFEFE"/>
        </w:rPr>
        <w:t xml:space="preserve"> </w:t>
      </w:r>
      <w:r w:rsidR="00990A05" w:rsidRPr="006942EB">
        <w:rPr>
          <w:color w:val="000000"/>
          <w:shd w:val="clear" w:color="auto" w:fill="FEFEFE"/>
        </w:rPr>
        <w:t>В този случай т</w:t>
      </w:r>
      <w:r w:rsidRPr="006942EB">
        <w:rPr>
          <w:color w:val="000000"/>
          <w:shd w:val="clear" w:color="auto" w:fill="FEFEFE"/>
        </w:rPr>
        <w:t xml:space="preserve">е </w:t>
      </w:r>
      <w:r w:rsidR="0085729C" w:rsidRPr="006942EB">
        <w:rPr>
          <w:color w:val="000000"/>
          <w:shd w:val="clear" w:color="auto" w:fill="FEFEFE"/>
        </w:rPr>
        <w:t xml:space="preserve">следва да бъдат избрани </w:t>
      </w:r>
      <w:r w:rsidR="00E07DEC">
        <w:rPr>
          <w:color w:val="000000"/>
          <w:shd w:val="clear" w:color="auto" w:fill="FEFEFE"/>
        </w:rPr>
        <w:t xml:space="preserve">в съответствие с разпоредбите на </w:t>
      </w:r>
      <w:r w:rsidR="0085729C" w:rsidRPr="006942EB">
        <w:rPr>
          <w:color w:val="000000"/>
          <w:shd w:val="clear" w:color="auto" w:fill="FEFEFE"/>
        </w:rPr>
        <w:t>З</w:t>
      </w:r>
      <w:r w:rsidR="00E07DEC">
        <w:rPr>
          <w:color w:val="000000"/>
          <w:shd w:val="clear" w:color="auto" w:fill="FEFEFE"/>
        </w:rPr>
        <w:t>акона за обществените поръчки</w:t>
      </w:r>
      <w:r w:rsidR="0085729C" w:rsidRPr="006942EB">
        <w:rPr>
          <w:color w:val="000000"/>
          <w:shd w:val="clear" w:color="auto" w:fill="FEFEFE"/>
        </w:rPr>
        <w:t xml:space="preserve"> – </w:t>
      </w:r>
      <w:r w:rsidR="00990A05" w:rsidRPr="006942EB">
        <w:rPr>
          <w:color w:val="000000"/>
          <w:shd w:val="clear" w:color="auto" w:fill="FEFEFE"/>
        </w:rPr>
        <w:t>съответно трябва</w:t>
      </w:r>
      <w:r w:rsidR="0085729C" w:rsidRPr="006942EB">
        <w:rPr>
          <w:color w:val="000000"/>
          <w:shd w:val="clear" w:color="auto" w:fill="FEFEFE"/>
        </w:rPr>
        <w:t xml:space="preserve"> да бъдат анализирани не само разходите за външни експерти, но и разходите за аналогични или сходни дейности </w:t>
      </w:r>
      <w:r w:rsidR="00990A05" w:rsidRPr="006942EB">
        <w:rPr>
          <w:color w:val="000000"/>
          <w:shd w:val="clear" w:color="auto" w:fill="FEFEFE"/>
        </w:rPr>
        <w:t>като цяло н</w:t>
      </w:r>
      <w:r w:rsidR="0085729C" w:rsidRPr="006942EB">
        <w:rPr>
          <w:color w:val="000000"/>
          <w:shd w:val="clear" w:color="auto" w:fill="FEFEFE"/>
        </w:rPr>
        <w:t>а възложителя</w:t>
      </w:r>
      <w:r w:rsidRPr="006942EB">
        <w:rPr>
          <w:color w:val="000000"/>
          <w:shd w:val="clear" w:color="auto" w:fill="FEFEFE"/>
        </w:rPr>
        <w:t>.</w:t>
      </w:r>
      <w:r w:rsidR="006942EB" w:rsidRPr="006942EB">
        <w:rPr>
          <w:color w:val="000000"/>
          <w:shd w:val="clear" w:color="auto" w:fill="FEFEFE"/>
        </w:rPr>
        <w:t xml:space="preserve"> Във всички случаи конкретните експерти следва да бъдат определени при спазване на принципите за публичност, прозрачност, равнопоставеност и недопускане на дискриминация</w:t>
      </w:r>
      <w:r w:rsidR="006942EB">
        <w:rPr>
          <w:color w:val="000000"/>
          <w:shd w:val="clear" w:color="auto" w:fill="FEFEFE"/>
        </w:rPr>
        <w:t>.</w:t>
      </w:r>
      <w:r w:rsidR="006942EB" w:rsidRPr="006942EB">
        <w:rPr>
          <w:color w:val="000000"/>
          <w:shd w:val="clear" w:color="auto" w:fill="FEFEFE"/>
        </w:rPr>
        <w:t xml:space="preserve"> </w:t>
      </w:r>
    </w:p>
    <w:p w14:paraId="47D09DF4" w14:textId="7C4507A8" w:rsidR="00E22E14" w:rsidRDefault="00E22E14" w:rsidP="003F1B6F">
      <w:pPr>
        <w:spacing w:before="240" w:line="360" w:lineRule="auto"/>
        <w:ind w:firstLine="709"/>
        <w:jc w:val="both"/>
      </w:pPr>
      <w:r w:rsidRPr="003F1B6F">
        <w:rPr>
          <w:b/>
          <w:color w:val="000000"/>
          <w:shd w:val="clear" w:color="auto" w:fill="FEFEFE"/>
        </w:rPr>
        <w:t>КБ</w:t>
      </w:r>
      <w:r w:rsidR="00E07DEC">
        <w:rPr>
          <w:b/>
          <w:color w:val="000000"/>
          <w:shd w:val="clear" w:color="auto" w:fill="FEFEFE"/>
        </w:rPr>
        <w:t>-МОН</w:t>
      </w:r>
      <w:r w:rsidRPr="003F1B6F">
        <w:rPr>
          <w:b/>
          <w:color w:val="000000"/>
          <w:shd w:val="clear" w:color="auto" w:fill="FEFEFE"/>
        </w:rPr>
        <w:t xml:space="preserve"> извършва промени в екипа за организация и управление самостоятелно</w:t>
      </w:r>
      <w:r>
        <w:rPr>
          <w:color w:val="000000"/>
          <w:shd w:val="clear" w:color="auto" w:fill="FEFEFE"/>
        </w:rPr>
        <w:t xml:space="preserve">, без да е необходимо да съгласува промените с УО. </w:t>
      </w:r>
      <w:r w:rsidR="003F1B6F">
        <w:rPr>
          <w:color w:val="000000"/>
          <w:shd w:val="clear" w:color="auto" w:fill="FEFEFE"/>
        </w:rPr>
        <w:t>КБ</w:t>
      </w:r>
      <w:r w:rsidR="00E07DEC">
        <w:rPr>
          <w:color w:val="000000"/>
          <w:shd w:val="clear" w:color="auto" w:fill="FEFEFE"/>
        </w:rPr>
        <w:t>-МОН</w:t>
      </w:r>
      <w:r w:rsidR="003F1B6F">
        <w:rPr>
          <w:color w:val="000000"/>
          <w:shd w:val="clear" w:color="auto" w:fill="FEFEFE"/>
        </w:rPr>
        <w:t xml:space="preserve"> е длъжен да </w:t>
      </w:r>
      <w:r w:rsidR="005D51A6">
        <w:rPr>
          <w:color w:val="000000"/>
          <w:shd w:val="clear" w:color="auto" w:fill="FEFEFE"/>
        </w:rPr>
        <w:t>отрази промяната във формуляра, в случай че</w:t>
      </w:r>
      <w:r w:rsidR="003F1B6F">
        <w:rPr>
          <w:color w:val="000000"/>
          <w:shd w:val="clear" w:color="auto" w:fill="FEFEFE"/>
        </w:rPr>
        <w:t xml:space="preserve"> </w:t>
      </w:r>
      <w:r w:rsidR="005D51A6">
        <w:rPr>
          <w:color w:val="000000"/>
          <w:shd w:val="clear" w:color="auto" w:fill="FEFEFE"/>
        </w:rPr>
        <w:t>се отнася до</w:t>
      </w:r>
      <w:r>
        <w:rPr>
          <w:color w:val="000000"/>
          <w:shd w:val="clear" w:color="auto" w:fill="FEFEFE"/>
        </w:rPr>
        <w:t xml:space="preserve"> някое от лицата</w:t>
      </w:r>
      <w:r w:rsidR="00D34C57">
        <w:rPr>
          <w:color w:val="000000"/>
          <w:shd w:val="clear" w:color="auto" w:fill="FEFEFE"/>
        </w:rPr>
        <w:t>/позициите</w:t>
      </w:r>
      <w:r>
        <w:rPr>
          <w:color w:val="000000"/>
          <w:shd w:val="clear" w:color="auto" w:fill="FEFEFE"/>
        </w:rPr>
        <w:t xml:space="preserve">, </w:t>
      </w:r>
      <w:r w:rsidR="003F1B6F">
        <w:rPr>
          <w:color w:val="000000"/>
          <w:shd w:val="clear" w:color="auto" w:fill="FEFEFE"/>
        </w:rPr>
        <w:t xml:space="preserve">записани в секция </w:t>
      </w:r>
      <w:r w:rsidR="00E07DEC">
        <w:rPr>
          <w:color w:val="000000"/>
          <w:shd w:val="clear" w:color="auto" w:fill="FEFEFE"/>
        </w:rPr>
        <w:t>„</w:t>
      </w:r>
      <w:r w:rsidR="003F1B6F">
        <w:rPr>
          <w:color w:val="000000"/>
          <w:shd w:val="clear" w:color="auto" w:fill="FEFEFE"/>
        </w:rPr>
        <w:t>Екип на проектното предложение</w:t>
      </w:r>
      <w:r w:rsidR="00E07DEC">
        <w:rPr>
          <w:color w:val="000000"/>
          <w:shd w:val="clear" w:color="auto" w:fill="FEFEFE"/>
        </w:rPr>
        <w:t>“</w:t>
      </w:r>
      <w:r w:rsidR="003F1B6F">
        <w:rPr>
          <w:color w:val="000000"/>
          <w:shd w:val="clear" w:color="auto" w:fill="FEFEFE"/>
        </w:rPr>
        <w:t xml:space="preserve"> в ИСУН. </w:t>
      </w:r>
      <w:r w:rsidR="00D34C57">
        <w:rPr>
          <w:color w:val="000000"/>
          <w:shd w:val="clear" w:color="auto" w:fill="FEFEFE"/>
        </w:rPr>
        <w:t xml:space="preserve">След получаване на уведомлението </w:t>
      </w:r>
      <w:r>
        <w:rPr>
          <w:color w:val="000000"/>
          <w:shd w:val="clear" w:color="auto" w:fill="FEFEFE"/>
        </w:rPr>
        <w:t xml:space="preserve">УО </w:t>
      </w:r>
      <w:r w:rsidR="005D51A6">
        <w:rPr>
          <w:color w:val="000000"/>
          <w:shd w:val="clear" w:color="auto" w:fill="FEFEFE"/>
        </w:rPr>
        <w:t xml:space="preserve">потвърждава </w:t>
      </w:r>
      <w:r w:rsidR="00D34C57">
        <w:t>промените в ИСУН</w:t>
      </w:r>
      <w:r w:rsidR="00D40121">
        <w:t xml:space="preserve"> след извършването на съответните проверки</w:t>
      </w:r>
      <w:r>
        <w:t>.</w:t>
      </w:r>
    </w:p>
    <w:p w14:paraId="2948864A" w14:textId="59DC80BF" w:rsidR="00D34C57" w:rsidRDefault="00D34C57" w:rsidP="00480264">
      <w:pPr>
        <w:spacing w:before="120" w:line="360" w:lineRule="auto"/>
        <w:ind w:firstLine="709"/>
        <w:jc w:val="both"/>
      </w:pPr>
      <w:r>
        <w:lastRenderedPageBreak/>
        <w:t xml:space="preserve">При получаване на сигнал за нарушение във връзка с определянето на екипа за организация и управление (включително при публикации в медиите) УО извършва проверка дали са спазени настоящите Указания и приложимите нормативни документи. При установяване на нарушения с финансово отражение се стартира процедура за администриране на нередност и </w:t>
      </w:r>
      <w:r w:rsidR="00E07DEC">
        <w:t>определяне</w:t>
      </w:r>
      <w:r>
        <w:t xml:space="preserve"> на финансова корекция.</w:t>
      </w:r>
    </w:p>
    <w:p w14:paraId="708CF87D" w14:textId="50DFE22F" w:rsidR="00103D21" w:rsidRPr="007F3143" w:rsidRDefault="003C6427" w:rsidP="00E33CD1">
      <w:pPr>
        <w:shd w:val="clear" w:color="auto" w:fill="9CC2E5" w:themeFill="accent1" w:themeFillTint="99"/>
        <w:spacing w:before="480" w:after="360" w:line="276" w:lineRule="auto"/>
        <w:ind w:firstLine="709"/>
        <w:jc w:val="both"/>
        <w:rPr>
          <w:rFonts w:eastAsiaTheme="minorHAnsi" w:cstheme="minorBidi"/>
          <w:b/>
          <w:bCs/>
          <w:lang w:eastAsia="en-US"/>
        </w:rPr>
      </w:pPr>
      <w:r>
        <w:rPr>
          <w:rFonts w:eastAsiaTheme="minorHAnsi" w:cstheme="minorBidi"/>
          <w:b/>
          <w:bCs/>
          <w:lang w:eastAsia="en-US"/>
        </w:rPr>
        <w:t xml:space="preserve">Б. </w:t>
      </w:r>
      <w:r w:rsidRPr="003C6427">
        <w:rPr>
          <w:rFonts w:eastAsiaTheme="minorHAnsi" w:cstheme="minorBidi"/>
          <w:b/>
          <w:bCs/>
          <w:lang w:eastAsia="en-US"/>
        </w:rPr>
        <w:t>Екип</w:t>
      </w:r>
      <w:r>
        <w:rPr>
          <w:rFonts w:eastAsiaTheme="minorHAnsi" w:cstheme="minorBidi"/>
          <w:b/>
          <w:bCs/>
          <w:lang w:eastAsia="en-US"/>
        </w:rPr>
        <w:t>и</w:t>
      </w:r>
      <w:r w:rsidRPr="003C6427">
        <w:rPr>
          <w:rFonts w:eastAsiaTheme="minorHAnsi" w:cstheme="minorBidi"/>
          <w:b/>
          <w:bCs/>
          <w:lang w:eastAsia="en-US"/>
        </w:rPr>
        <w:t xml:space="preserve"> за организация и управление </w:t>
      </w:r>
      <w:r w:rsidR="00103D21" w:rsidRPr="007F3143">
        <w:rPr>
          <w:rFonts w:eastAsiaTheme="minorHAnsi" w:cstheme="minorBidi"/>
          <w:b/>
          <w:bCs/>
          <w:lang w:eastAsia="en-US"/>
        </w:rPr>
        <w:t>в образователните институции</w:t>
      </w:r>
    </w:p>
    <w:p w14:paraId="54027C15" w14:textId="6DBB3026" w:rsidR="00A57BEB" w:rsidRDefault="007F3143" w:rsidP="007F3143">
      <w:pPr>
        <w:spacing w:line="360" w:lineRule="auto"/>
        <w:ind w:firstLine="709"/>
        <w:jc w:val="both"/>
      </w:pPr>
      <w:r>
        <w:t>Б</w:t>
      </w:r>
      <w:r w:rsidR="007A141B">
        <w:t xml:space="preserve">1. Определяне на </w:t>
      </w:r>
      <w:r w:rsidR="007A141B" w:rsidRPr="009A14FE">
        <w:rPr>
          <w:b/>
          <w:bCs/>
        </w:rPr>
        <w:t>общата сума на непреките разходи</w:t>
      </w:r>
      <w:r w:rsidR="007A141B">
        <w:t xml:space="preserve"> за съответната </w:t>
      </w:r>
      <w:r>
        <w:t xml:space="preserve">образователна </w:t>
      </w:r>
      <w:r w:rsidR="007A141B">
        <w:t>институция</w:t>
      </w:r>
      <w:r w:rsidR="001309C3">
        <w:t xml:space="preserve">. </w:t>
      </w:r>
      <w:r w:rsidR="002C2751">
        <w:t xml:space="preserve">В общия случай непреките разходи на ниво образователна институция се изчисляват чрез прилагане на </w:t>
      </w:r>
      <w:r w:rsidR="002C2751" w:rsidRPr="003819B0">
        <w:rPr>
          <w:b/>
          <w:bCs/>
        </w:rPr>
        <w:t>12 % ставка върху допустимите преки разходи</w:t>
      </w:r>
      <w:r>
        <w:rPr>
          <w:b/>
          <w:bCs/>
        </w:rPr>
        <w:t xml:space="preserve"> за съответната образователна институция</w:t>
      </w:r>
      <w:r w:rsidR="002C2751">
        <w:t xml:space="preserve">. По преценка на КБ-МОН за отделни образователни институции </w:t>
      </w:r>
      <w:r w:rsidR="00A57BEB">
        <w:t>процентната ставка може да бъде по-висока.</w:t>
      </w:r>
    </w:p>
    <w:p w14:paraId="2E629B3E" w14:textId="7CA869EA" w:rsidR="002C2751" w:rsidRPr="00494ED8" w:rsidRDefault="00494ED8" w:rsidP="00A57BEB">
      <w:pPr>
        <w:spacing w:before="240" w:line="360" w:lineRule="auto"/>
        <w:ind w:firstLine="709"/>
        <w:jc w:val="both"/>
      </w:pPr>
      <w:r>
        <w:t>Б</w:t>
      </w:r>
      <w:r w:rsidR="00A57BEB">
        <w:t xml:space="preserve">2. </w:t>
      </w:r>
      <w:r w:rsidR="002C2751">
        <w:t xml:space="preserve"> </w:t>
      </w:r>
      <w:r w:rsidR="00A57BEB">
        <w:t xml:space="preserve">Определяне на </w:t>
      </w:r>
      <w:r w:rsidR="00A57BEB" w:rsidRPr="009A14FE">
        <w:rPr>
          <w:b/>
          <w:bCs/>
        </w:rPr>
        <w:t xml:space="preserve">разходите за </w:t>
      </w:r>
      <w:r w:rsidRPr="009A14FE">
        <w:rPr>
          <w:b/>
          <w:bCs/>
        </w:rPr>
        <w:t>ви</w:t>
      </w:r>
      <w:r>
        <w:rPr>
          <w:b/>
          <w:bCs/>
        </w:rPr>
        <w:t>димост,</w:t>
      </w:r>
      <w:r w:rsidRPr="009A14FE">
        <w:rPr>
          <w:b/>
          <w:bCs/>
        </w:rPr>
        <w:t xml:space="preserve"> </w:t>
      </w:r>
      <w:r w:rsidR="00A57BEB" w:rsidRPr="009A14FE">
        <w:rPr>
          <w:b/>
          <w:bCs/>
        </w:rPr>
        <w:t>п</w:t>
      </w:r>
      <w:r>
        <w:rPr>
          <w:b/>
          <w:bCs/>
        </w:rPr>
        <w:t>розрачност</w:t>
      </w:r>
      <w:r w:rsidR="00A57BEB" w:rsidRPr="009A14FE">
        <w:rPr>
          <w:b/>
          <w:bCs/>
        </w:rPr>
        <w:t xml:space="preserve"> и комуникация</w:t>
      </w:r>
      <w:r w:rsidR="00A57BEB">
        <w:t xml:space="preserve"> на ниво образователна институция</w:t>
      </w:r>
      <w:r w:rsidR="0065073B">
        <w:t xml:space="preserve">. Следва да се гарантира спазването на задължителните изисквания, посочени в </w:t>
      </w:r>
      <w:r w:rsidR="00754489" w:rsidRPr="00754489">
        <w:t>чл. 50 на Регламент (ЕС) 2021/1060</w:t>
      </w:r>
      <w:r w:rsidR="00754489">
        <w:t>.</w:t>
      </w:r>
    </w:p>
    <w:p w14:paraId="73C4BFF2" w14:textId="69A33840" w:rsidR="009A14FE" w:rsidRDefault="00494ED8" w:rsidP="00A57BEB">
      <w:pPr>
        <w:spacing w:before="240" w:line="360" w:lineRule="auto"/>
        <w:ind w:firstLine="709"/>
        <w:jc w:val="both"/>
      </w:pPr>
      <w:r>
        <w:t>Б</w:t>
      </w:r>
      <w:r w:rsidR="009A14FE">
        <w:t xml:space="preserve">3. Определяне на </w:t>
      </w:r>
      <w:r w:rsidR="009A14FE" w:rsidRPr="009A14FE">
        <w:rPr>
          <w:b/>
          <w:bCs/>
        </w:rPr>
        <w:t>общата сума за възнаграждения</w:t>
      </w:r>
      <w:r w:rsidR="009A14FE">
        <w:t xml:space="preserve"> на екипа за организация и управление на ниво образователна институция – от общата сума на непреките разходи се изваждат разходите за </w:t>
      </w:r>
      <w:r w:rsidRPr="00494ED8">
        <w:t xml:space="preserve">видимост, прозрачност и комуникация </w:t>
      </w:r>
      <w:r w:rsidR="009A14FE">
        <w:t xml:space="preserve">и евентуално разходите за консумативи, материали и др., необходими за администриране на проекта. </w:t>
      </w:r>
      <w:r w:rsidR="00664CAC">
        <w:t xml:space="preserve">Обикновено разходите за възнаграждения на екипа за организация и управление са </w:t>
      </w:r>
      <w:r w:rsidR="00DC179A" w:rsidRPr="00DC179A">
        <w:t>равни</w:t>
      </w:r>
      <w:r w:rsidR="00DC179A">
        <w:rPr>
          <w:b/>
          <w:bCs/>
        </w:rPr>
        <w:t xml:space="preserve"> </w:t>
      </w:r>
      <w:r w:rsidR="00DC179A" w:rsidRPr="00DC179A">
        <w:t>на</w:t>
      </w:r>
      <w:r w:rsidR="00664CAC" w:rsidRPr="001309C3">
        <w:rPr>
          <w:b/>
          <w:bCs/>
        </w:rPr>
        <w:t xml:space="preserve"> 10 </w:t>
      </w:r>
      <w:r w:rsidR="00DC179A">
        <w:rPr>
          <w:b/>
          <w:bCs/>
        </w:rPr>
        <w:t xml:space="preserve">% или 11 </w:t>
      </w:r>
      <w:r w:rsidR="00664CAC" w:rsidRPr="001309C3">
        <w:rPr>
          <w:b/>
          <w:bCs/>
        </w:rPr>
        <w:t>% от допустимите преки разходи</w:t>
      </w:r>
      <w:r w:rsidR="00754489">
        <w:rPr>
          <w:b/>
          <w:bCs/>
        </w:rPr>
        <w:t xml:space="preserve"> на съответната образователната институция по проекта</w:t>
      </w:r>
      <w:r w:rsidR="00664CAC">
        <w:t>.</w:t>
      </w:r>
    </w:p>
    <w:p w14:paraId="4F1962AA" w14:textId="37F15FD7" w:rsidR="00A57BEB" w:rsidRDefault="00494ED8" w:rsidP="00A57BEB">
      <w:pPr>
        <w:spacing w:before="240" w:line="360" w:lineRule="auto"/>
        <w:ind w:firstLine="709"/>
        <w:jc w:val="both"/>
      </w:pPr>
      <w:r>
        <w:t>Б</w:t>
      </w:r>
      <w:r w:rsidR="009A14FE">
        <w:t>4</w:t>
      </w:r>
      <w:r w:rsidR="00A57BEB">
        <w:t xml:space="preserve">. Определяне на </w:t>
      </w:r>
      <w:r w:rsidR="00A57BEB" w:rsidRPr="009A14FE">
        <w:rPr>
          <w:b/>
          <w:bCs/>
        </w:rPr>
        <w:t>необходимите позиции в екипа</w:t>
      </w:r>
      <w:r w:rsidR="00A57BEB">
        <w:t xml:space="preserve"> за организация и управление на ниво образователна институция </w:t>
      </w:r>
      <w:r w:rsidR="0065073B">
        <w:t>– позиция ръководител (обикновено се заема от директор или заместник-директор)</w:t>
      </w:r>
      <w:r w:rsidR="001F47A9">
        <w:t>; позиция счетоводител; позиция координатор на конкретна проектна дейност и други в зависимост от организацията на работа в съответната образователна институция.</w:t>
      </w:r>
    </w:p>
    <w:p w14:paraId="2D754231" w14:textId="41F6995E" w:rsidR="001309C3" w:rsidRDefault="00494ED8" w:rsidP="00A57BEB">
      <w:pPr>
        <w:spacing w:before="240" w:line="360" w:lineRule="auto"/>
        <w:ind w:firstLine="709"/>
        <w:jc w:val="both"/>
      </w:pPr>
      <w:r>
        <w:t>Б</w:t>
      </w:r>
      <w:r w:rsidR="009A14FE">
        <w:t>5</w:t>
      </w:r>
      <w:r w:rsidR="001F47A9">
        <w:t xml:space="preserve">. </w:t>
      </w:r>
      <w:r w:rsidR="003819B0" w:rsidRPr="003819B0">
        <w:rPr>
          <w:b/>
          <w:bCs/>
        </w:rPr>
        <w:t>Р</w:t>
      </w:r>
      <w:r w:rsidR="009A14FE" w:rsidRPr="003819B0">
        <w:rPr>
          <w:b/>
          <w:bCs/>
        </w:rPr>
        <w:t>азпределяне на общата сума за възнаграждения</w:t>
      </w:r>
      <w:r w:rsidR="009A14FE">
        <w:t xml:space="preserve"> между членовете на екипа за организация и управление</w:t>
      </w:r>
      <w:r w:rsidR="003819B0">
        <w:t xml:space="preserve"> по прозрачен</w:t>
      </w:r>
      <w:r w:rsidR="00DC179A">
        <w:t>, обоснован</w:t>
      </w:r>
      <w:r w:rsidR="003819B0">
        <w:t xml:space="preserve"> и недискриминационен начин – </w:t>
      </w:r>
      <w:r w:rsidR="003819B0">
        <w:lastRenderedPageBreak/>
        <w:t xml:space="preserve">например, ръководител – 40 % от общата сума; координатор – 30 % от общата сума; счетоводител – 30 % от общата сума. </w:t>
      </w:r>
    </w:p>
    <w:p w14:paraId="6F43D212" w14:textId="17AB4A1F" w:rsidR="001F47A9" w:rsidRDefault="003819B0" w:rsidP="001309C3">
      <w:pPr>
        <w:spacing w:line="360" w:lineRule="auto"/>
        <w:ind w:firstLine="709"/>
        <w:jc w:val="both"/>
      </w:pPr>
      <w:r w:rsidRPr="00494ED8">
        <w:rPr>
          <w:b/>
          <w:bCs/>
        </w:rPr>
        <w:t>Възлагане на задълженията</w:t>
      </w:r>
      <w:r>
        <w:t xml:space="preserve"> чрез сключване на допълнително споразумение по чл. 119 от К</w:t>
      </w:r>
      <w:r w:rsidR="001309C3">
        <w:t>одекса на труда</w:t>
      </w:r>
      <w:r>
        <w:t xml:space="preserve"> (или по друг законосъобразен начин) и посочване на условията, които трябва да са изпълнени, за да се изплати договореното </w:t>
      </w:r>
      <w:r w:rsidR="00DC179A">
        <w:t xml:space="preserve">трудово </w:t>
      </w:r>
      <w:r>
        <w:t>възнаграждение (</w:t>
      </w:r>
      <w:r w:rsidRPr="001309C3">
        <w:rPr>
          <w:i/>
          <w:iCs/>
        </w:rPr>
        <w:t>например</w:t>
      </w:r>
      <w:r w:rsidR="00DC179A">
        <w:rPr>
          <w:i/>
          <w:iCs/>
        </w:rPr>
        <w:t>:</w:t>
      </w:r>
      <w:r w:rsidRPr="001309C3">
        <w:rPr>
          <w:i/>
          <w:iCs/>
        </w:rPr>
        <w:t xml:space="preserve"> </w:t>
      </w:r>
      <w:r w:rsidR="00664CAC" w:rsidRPr="001309C3">
        <w:rPr>
          <w:i/>
          <w:iCs/>
        </w:rPr>
        <w:t xml:space="preserve">документите за </w:t>
      </w:r>
      <w:r w:rsidRPr="001309C3">
        <w:rPr>
          <w:i/>
          <w:iCs/>
        </w:rPr>
        <w:t xml:space="preserve">преките разходи, от които се изчисляват допустимите непреки разходи, следва да са </w:t>
      </w:r>
      <w:r w:rsidR="00664CAC" w:rsidRPr="001309C3">
        <w:rPr>
          <w:i/>
          <w:iCs/>
        </w:rPr>
        <w:t>подадени към КБ</w:t>
      </w:r>
      <w:r w:rsidR="00834CEC">
        <w:rPr>
          <w:i/>
          <w:iCs/>
        </w:rPr>
        <w:t>-МОН</w:t>
      </w:r>
      <w:r w:rsidR="00664CAC" w:rsidRPr="001309C3">
        <w:rPr>
          <w:i/>
          <w:iCs/>
        </w:rPr>
        <w:t xml:space="preserve"> и да са включени в пакет отчетни документи, подаден към УО</w:t>
      </w:r>
      <w:r w:rsidR="00664CAC">
        <w:t>)</w:t>
      </w:r>
      <w:r>
        <w:t>.</w:t>
      </w:r>
      <w:r w:rsidR="00664CAC">
        <w:t xml:space="preserve"> </w:t>
      </w:r>
      <w:r w:rsidR="00664CAC" w:rsidRPr="001309C3">
        <w:rPr>
          <w:b/>
          <w:bCs/>
        </w:rPr>
        <w:t>Не е необходимо да се отчитат отработени часове</w:t>
      </w:r>
      <w:r w:rsidR="00664CAC">
        <w:t xml:space="preserve"> или към КБ-МОН да се подават каквито и да е документи, свързани с</w:t>
      </w:r>
      <w:r w:rsidR="001309C3">
        <w:t xml:space="preserve"> възлагането на работа и плащането на възнагражденията на екипа за организация и управление на ниво образователна институция</w:t>
      </w:r>
      <w:r w:rsidR="001504CE">
        <w:t xml:space="preserve"> или за извършването на други разходи, свързани с администрирането на проекта</w:t>
      </w:r>
      <w:r w:rsidR="001309C3">
        <w:t>.</w:t>
      </w:r>
      <w:r w:rsidR="00DC179A">
        <w:t xml:space="preserve"> Контролът върху законосъобразността на </w:t>
      </w:r>
      <w:r w:rsidR="001504CE">
        <w:t xml:space="preserve">всички </w:t>
      </w:r>
      <w:r w:rsidR="00DC179A">
        <w:t>извършени разходи се осъществява по общия ред, прилаган в системата на предучилищното и училищното образование.</w:t>
      </w:r>
    </w:p>
    <w:p w14:paraId="21473D23" w14:textId="45013232" w:rsidR="00B970E1" w:rsidRDefault="00B970E1" w:rsidP="001309C3">
      <w:pPr>
        <w:spacing w:line="360" w:lineRule="auto"/>
        <w:ind w:firstLine="709"/>
        <w:jc w:val="both"/>
      </w:pPr>
    </w:p>
    <w:p w14:paraId="5D8F0192" w14:textId="77777777" w:rsidR="00732556" w:rsidRDefault="00B970E1" w:rsidP="00572312">
      <w:pPr>
        <w:spacing w:line="360" w:lineRule="auto"/>
        <w:ind w:left="707"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2507A4" w14:textId="77777777" w:rsidR="00732556" w:rsidRDefault="00732556">
      <w:pPr>
        <w:spacing w:after="160" w:line="259" w:lineRule="auto"/>
      </w:pPr>
      <w:r>
        <w:br w:type="page"/>
      </w:r>
    </w:p>
    <w:p w14:paraId="4E4A59A5" w14:textId="523C1601" w:rsidR="00B970E1" w:rsidRPr="00572312" w:rsidRDefault="00B970E1" w:rsidP="00572312">
      <w:pPr>
        <w:spacing w:line="360" w:lineRule="auto"/>
        <w:ind w:left="707" w:firstLine="709"/>
        <w:jc w:val="both"/>
        <w:rPr>
          <w:i/>
          <w:iCs/>
        </w:rPr>
      </w:pPr>
      <w:r w:rsidRPr="00572312">
        <w:rPr>
          <w:i/>
          <w:iCs/>
        </w:rPr>
        <w:lastRenderedPageBreak/>
        <w:t>Приложение КБ_ЕУП</w:t>
      </w:r>
    </w:p>
    <w:p w14:paraId="4FBAC6B0" w14:textId="4B653410" w:rsidR="00B970E1" w:rsidRDefault="00B970E1" w:rsidP="001309C3">
      <w:pPr>
        <w:spacing w:line="360" w:lineRule="auto"/>
        <w:ind w:firstLine="709"/>
        <w:jc w:val="both"/>
      </w:pPr>
    </w:p>
    <w:p w14:paraId="048B39C2" w14:textId="6C338930" w:rsidR="00B970E1" w:rsidRDefault="00B970E1" w:rsidP="001309C3">
      <w:pPr>
        <w:spacing w:line="360" w:lineRule="auto"/>
        <w:ind w:firstLine="709"/>
        <w:jc w:val="both"/>
      </w:pPr>
    </w:p>
    <w:p w14:paraId="2454D1AE" w14:textId="77777777" w:rsidR="00B970E1" w:rsidRPr="00B970E1" w:rsidRDefault="00B970E1" w:rsidP="00B970E1">
      <w:pPr>
        <w:spacing w:line="360" w:lineRule="auto"/>
        <w:jc w:val="center"/>
        <w:rPr>
          <w:rFonts w:eastAsiaTheme="minorHAnsi"/>
          <w:b/>
          <w:smallCaps/>
          <w:lang w:eastAsia="en-US"/>
        </w:rPr>
      </w:pPr>
      <w:r w:rsidRPr="00B970E1">
        <w:rPr>
          <w:rFonts w:eastAsiaTheme="minorHAnsi"/>
          <w:b/>
          <w:smallCaps/>
          <w:lang w:eastAsia="en-US"/>
        </w:rPr>
        <w:t>МИНИСТЕРСТВО НА ОБРАЗОВАНИЕТО И НАУКАТА</w:t>
      </w:r>
    </w:p>
    <w:p w14:paraId="64FCC8E4" w14:textId="77777777" w:rsidR="00B970E1" w:rsidRPr="00B970E1" w:rsidRDefault="00B970E1" w:rsidP="00B970E1">
      <w:pPr>
        <w:rPr>
          <w:rFonts w:eastAsiaTheme="minorHAnsi"/>
          <w:b/>
          <w:lang w:eastAsia="en-US"/>
        </w:rPr>
      </w:pPr>
    </w:p>
    <w:p w14:paraId="50B3B402" w14:textId="6FCE40BD" w:rsidR="00B970E1" w:rsidRPr="00B970E1" w:rsidRDefault="00B970E1" w:rsidP="00B970E1">
      <w:pPr>
        <w:spacing w:line="360" w:lineRule="auto"/>
        <w:rPr>
          <w:rFonts w:eastAsiaTheme="minorHAnsi"/>
          <w:b/>
          <w:lang w:eastAsia="en-US"/>
        </w:rPr>
      </w:pPr>
      <w:r w:rsidRPr="00B970E1">
        <w:rPr>
          <w:rFonts w:eastAsiaTheme="minorHAnsi"/>
          <w:b/>
          <w:lang w:eastAsia="en-US"/>
        </w:rPr>
        <w:t xml:space="preserve">Проект </w:t>
      </w:r>
      <w:r w:rsidRPr="00B970E1">
        <w:rPr>
          <w:rFonts w:eastAsiaTheme="minorHAnsi"/>
          <w:lang w:eastAsia="en-US"/>
        </w:rPr>
        <w:t>….………………………</w:t>
      </w:r>
      <w:r w:rsidRPr="00B970E1">
        <w:rPr>
          <w:rFonts w:eastAsiaTheme="minorHAnsi"/>
          <w:lang w:val="en-US" w:eastAsia="en-US"/>
        </w:rPr>
        <w:t>…………………………………………………………….</w:t>
      </w:r>
      <w:r w:rsidRPr="00B970E1">
        <w:rPr>
          <w:rFonts w:eastAsiaTheme="minorHAnsi"/>
          <w:lang w:eastAsia="en-US"/>
        </w:rPr>
        <w:t>.</w:t>
      </w:r>
    </w:p>
    <w:p w14:paraId="190DA11F" w14:textId="5310A8D1" w:rsidR="00B970E1" w:rsidRPr="00B970E1" w:rsidRDefault="00B970E1" w:rsidP="00B970E1">
      <w:pPr>
        <w:spacing w:line="360" w:lineRule="auto"/>
        <w:rPr>
          <w:rFonts w:eastAsiaTheme="minorHAnsi"/>
          <w:b/>
          <w:lang w:val="en-US" w:eastAsia="en-US"/>
        </w:rPr>
      </w:pPr>
      <w:r w:rsidRPr="00B970E1">
        <w:rPr>
          <w:rFonts w:eastAsiaTheme="minorHAnsi"/>
          <w:b/>
          <w:lang w:eastAsia="en-US"/>
        </w:rPr>
        <w:t xml:space="preserve">Наименование на позицията </w:t>
      </w:r>
      <w:r w:rsidRPr="00B970E1">
        <w:rPr>
          <w:rFonts w:eastAsiaTheme="minorHAnsi"/>
          <w:lang w:eastAsia="en-US"/>
        </w:rPr>
        <w:t>…</w:t>
      </w:r>
      <w:r w:rsidRPr="00B970E1">
        <w:rPr>
          <w:rFonts w:eastAsiaTheme="minorHAnsi"/>
          <w:lang w:val="en-US" w:eastAsia="en-US"/>
        </w:rPr>
        <w:t>…………………………………………………………….</w:t>
      </w:r>
    </w:p>
    <w:p w14:paraId="3AEAE76C" w14:textId="77777777" w:rsidR="00B970E1" w:rsidRPr="00B970E1" w:rsidRDefault="00B970E1" w:rsidP="00B970E1">
      <w:pPr>
        <w:spacing w:after="160" w:line="259" w:lineRule="auto"/>
        <w:ind w:left="720"/>
        <w:contextualSpacing/>
        <w:rPr>
          <w:rFonts w:eastAsiaTheme="minorHAnsi"/>
          <w:b/>
          <w:lang w:eastAsia="en-US"/>
        </w:rPr>
      </w:pPr>
    </w:p>
    <w:p w14:paraId="60BCE6CF" w14:textId="77777777" w:rsidR="00B970E1" w:rsidRPr="00B970E1" w:rsidRDefault="00B970E1" w:rsidP="00B970E1">
      <w:pPr>
        <w:numPr>
          <w:ilvl w:val="0"/>
          <w:numId w:val="14"/>
        </w:numPr>
        <w:spacing w:after="160" w:line="259" w:lineRule="auto"/>
        <w:contextualSpacing/>
        <w:rPr>
          <w:rFonts w:eastAsiaTheme="minorHAnsi"/>
          <w:b/>
          <w:lang w:eastAsia="en-US"/>
        </w:rPr>
      </w:pPr>
      <w:r w:rsidRPr="00B970E1">
        <w:rPr>
          <w:rFonts w:eastAsiaTheme="minorHAnsi"/>
          <w:b/>
          <w:lang w:eastAsia="en-US"/>
        </w:rPr>
        <w:t>Основна характеристика на позицията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147"/>
        <w:gridCol w:w="4915"/>
      </w:tblGrid>
      <w:tr w:rsidR="00B970E1" w:rsidRPr="00B970E1" w14:paraId="20726415" w14:textId="77777777" w:rsidTr="00652BBE">
        <w:trPr>
          <w:trHeight w:val="459"/>
        </w:trPr>
        <w:tc>
          <w:tcPr>
            <w:tcW w:w="4390" w:type="dxa"/>
          </w:tcPr>
          <w:p w14:paraId="49EF8577" w14:textId="77777777" w:rsidR="00B970E1" w:rsidRPr="00B970E1" w:rsidRDefault="00B970E1" w:rsidP="00B970E1">
            <w:pPr>
              <w:rPr>
                <w:rFonts w:eastAsiaTheme="minorHAnsi"/>
                <w:b/>
                <w:lang w:eastAsia="en-US"/>
              </w:rPr>
            </w:pPr>
            <w:r w:rsidRPr="00B970E1">
              <w:rPr>
                <w:rFonts w:eastAsiaTheme="minorHAnsi"/>
                <w:b/>
                <w:lang w:eastAsia="en-US"/>
              </w:rPr>
              <w:t>Основна цел на длъжността</w:t>
            </w:r>
          </w:p>
        </w:tc>
        <w:tc>
          <w:tcPr>
            <w:tcW w:w="5346" w:type="dxa"/>
          </w:tcPr>
          <w:p w14:paraId="04E00026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</w:tbl>
    <w:p w14:paraId="5F764EE5" w14:textId="77777777" w:rsidR="00B970E1" w:rsidRPr="00B970E1" w:rsidRDefault="00B970E1" w:rsidP="00B970E1">
      <w:pPr>
        <w:spacing w:after="160" w:line="259" w:lineRule="auto"/>
        <w:ind w:left="720"/>
        <w:contextualSpacing/>
        <w:rPr>
          <w:rFonts w:eastAsiaTheme="minorHAnsi"/>
          <w:b/>
          <w:lang w:eastAsia="en-US"/>
        </w:rPr>
      </w:pPr>
    </w:p>
    <w:p w14:paraId="58BD9C27" w14:textId="77777777" w:rsidR="00B970E1" w:rsidRPr="00B970E1" w:rsidRDefault="00B970E1" w:rsidP="00B970E1">
      <w:pPr>
        <w:numPr>
          <w:ilvl w:val="0"/>
          <w:numId w:val="14"/>
        </w:numPr>
        <w:spacing w:after="160" w:line="259" w:lineRule="auto"/>
        <w:contextualSpacing/>
        <w:rPr>
          <w:rFonts w:eastAsiaTheme="minorHAnsi"/>
          <w:b/>
          <w:lang w:eastAsia="en-US"/>
        </w:rPr>
      </w:pPr>
      <w:r w:rsidRPr="00B970E1">
        <w:rPr>
          <w:rFonts w:eastAsiaTheme="minorHAnsi"/>
          <w:b/>
          <w:lang w:eastAsia="en-US"/>
        </w:rPr>
        <w:t xml:space="preserve">Задължения </w:t>
      </w:r>
    </w:p>
    <w:tbl>
      <w:tblPr>
        <w:tblStyle w:val="TableGrid1"/>
        <w:tblW w:w="9776" w:type="dxa"/>
        <w:tblLook w:val="04A0" w:firstRow="1" w:lastRow="0" w:firstColumn="1" w:lastColumn="0" w:noHBand="0" w:noVBand="1"/>
      </w:tblPr>
      <w:tblGrid>
        <w:gridCol w:w="1752"/>
        <w:gridCol w:w="2638"/>
        <w:gridCol w:w="5386"/>
      </w:tblGrid>
      <w:tr w:rsidR="00B970E1" w:rsidRPr="00B970E1" w14:paraId="166849AE" w14:textId="77777777" w:rsidTr="00652BBE">
        <w:tc>
          <w:tcPr>
            <w:tcW w:w="1752" w:type="dxa"/>
          </w:tcPr>
          <w:p w14:paraId="7D1C72C2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970E1">
              <w:rPr>
                <w:rFonts w:eastAsiaTheme="minorHAnsi"/>
                <w:b/>
                <w:lang w:eastAsia="en-US"/>
              </w:rPr>
              <w:t>% времева ангажираност</w:t>
            </w:r>
          </w:p>
        </w:tc>
        <w:tc>
          <w:tcPr>
            <w:tcW w:w="2638" w:type="dxa"/>
          </w:tcPr>
          <w:p w14:paraId="476B8093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970E1">
              <w:rPr>
                <w:rFonts w:eastAsiaTheme="minorHAnsi"/>
                <w:b/>
                <w:lang w:eastAsia="en-US"/>
              </w:rPr>
              <w:t>Функции</w:t>
            </w:r>
          </w:p>
        </w:tc>
        <w:tc>
          <w:tcPr>
            <w:tcW w:w="5386" w:type="dxa"/>
          </w:tcPr>
          <w:p w14:paraId="02306A3D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970E1">
              <w:rPr>
                <w:rFonts w:eastAsiaTheme="minorHAnsi"/>
                <w:b/>
                <w:lang w:eastAsia="en-US"/>
              </w:rPr>
              <w:t>Дейности</w:t>
            </w:r>
          </w:p>
        </w:tc>
      </w:tr>
      <w:tr w:rsidR="00B970E1" w:rsidRPr="00B970E1" w14:paraId="45032816" w14:textId="77777777" w:rsidTr="00652BBE">
        <w:tc>
          <w:tcPr>
            <w:tcW w:w="1752" w:type="dxa"/>
          </w:tcPr>
          <w:p w14:paraId="39DF4F70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46F74125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638" w:type="dxa"/>
          </w:tcPr>
          <w:p w14:paraId="168B10E5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386" w:type="dxa"/>
          </w:tcPr>
          <w:p w14:paraId="7013DC9B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B970E1" w:rsidRPr="00B970E1" w14:paraId="71FC4D51" w14:textId="77777777" w:rsidTr="00652BBE">
        <w:tc>
          <w:tcPr>
            <w:tcW w:w="1752" w:type="dxa"/>
          </w:tcPr>
          <w:p w14:paraId="25259E8C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2F40306F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638" w:type="dxa"/>
          </w:tcPr>
          <w:p w14:paraId="4C8EE86B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386" w:type="dxa"/>
          </w:tcPr>
          <w:p w14:paraId="21771F66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B970E1" w:rsidRPr="00B970E1" w14:paraId="5759C6FE" w14:textId="77777777" w:rsidTr="00652BBE">
        <w:tc>
          <w:tcPr>
            <w:tcW w:w="1752" w:type="dxa"/>
          </w:tcPr>
          <w:p w14:paraId="772EFE47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60DDF2AF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638" w:type="dxa"/>
          </w:tcPr>
          <w:p w14:paraId="3DB41E62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386" w:type="dxa"/>
          </w:tcPr>
          <w:p w14:paraId="41FE6447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</w:tbl>
    <w:p w14:paraId="2A33D7E4" w14:textId="77777777" w:rsidR="00B970E1" w:rsidRPr="00B970E1" w:rsidRDefault="00B970E1" w:rsidP="00B970E1">
      <w:pPr>
        <w:spacing w:after="160" w:line="259" w:lineRule="auto"/>
        <w:ind w:left="720"/>
        <w:contextualSpacing/>
        <w:rPr>
          <w:rFonts w:eastAsiaTheme="minorHAnsi"/>
          <w:b/>
          <w:lang w:eastAsia="en-US"/>
        </w:rPr>
      </w:pPr>
    </w:p>
    <w:p w14:paraId="21EE0299" w14:textId="77777777" w:rsidR="00B970E1" w:rsidRPr="00B970E1" w:rsidRDefault="00B970E1" w:rsidP="00B970E1">
      <w:pPr>
        <w:numPr>
          <w:ilvl w:val="0"/>
          <w:numId w:val="14"/>
        </w:numPr>
        <w:spacing w:after="160" w:line="259" w:lineRule="auto"/>
        <w:contextualSpacing/>
        <w:rPr>
          <w:rFonts w:eastAsiaTheme="minorHAnsi"/>
          <w:b/>
          <w:lang w:eastAsia="en-US"/>
        </w:rPr>
      </w:pPr>
      <w:r w:rsidRPr="00B970E1">
        <w:rPr>
          <w:rFonts w:eastAsiaTheme="minorHAnsi"/>
          <w:b/>
          <w:lang w:eastAsia="en-US"/>
        </w:rPr>
        <w:t>Управленски функции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096"/>
        <w:gridCol w:w="4966"/>
      </w:tblGrid>
      <w:tr w:rsidR="00B970E1" w:rsidRPr="00B970E1" w14:paraId="26D8E345" w14:textId="77777777" w:rsidTr="00652BBE">
        <w:tc>
          <w:tcPr>
            <w:tcW w:w="4390" w:type="dxa"/>
          </w:tcPr>
          <w:p w14:paraId="42E666F9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970E1">
              <w:rPr>
                <w:rFonts w:eastAsiaTheme="minorHAnsi"/>
                <w:b/>
                <w:lang w:eastAsia="en-US"/>
              </w:rPr>
              <w:t xml:space="preserve">Функция </w:t>
            </w:r>
          </w:p>
        </w:tc>
        <w:tc>
          <w:tcPr>
            <w:tcW w:w="5346" w:type="dxa"/>
          </w:tcPr>
          <w:p w14:paraId="1C092B90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B970E1">
              <w:rPr>
                <w:rFonts w:eastAsiaTheme="minorHAnsi"/>
                <w:b/>
                <w:lang w:eastAsia="en-US"/>
              </w:rPr>
              <w:t>Дейности</w:t>
            </w:r>
          </w:p>
        </w:tc>
      </w:tr>
      <w:tr w:rsidR="00B970E1" w:rsidRPr="00B970E1" w14:paraId="7A2BAD68" w14:textId="77777777" w:rsidTr="00652BBE">
        <w:tc>
          <w:tcPr>
            <w:tcW w:w="4390" w:type="dxa"/>
          </w:tcPr>
          <w:p w14:paraId="69938B21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5C4D729D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2232D404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346" w:type="dxa"/>
          </w:tcPr>
          <w:p w14:paraId="12FC7546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</w:tbl>
    <w:p w14:paraId="78A86AB6" w14:textId="77777777" w:rsidR="00B970E1" w:rsidRPr="00B970E1" w:rsidRDefault="00B970E1" w:rsidP="00B970E1">
      <w:pPr>
        <w:spacing w:after="160" w:line="259" w:lineRule="auto"/>
        <w:ind w:left="720"/>
        <w:contextualSpacing/>
        <w:rPr>
          <w:rFonts w:eastAsiaTheme="minorHAnsi"/>
          <w:b/>
          <w:lang w:eastAsia="en-US"/>
        </w:rPr>
      </w:pPr>
    </w:p>
    <w:p w14:paraId="7012B2BD" w14:textId="77777777" w:rsidR="00B970E1" w:rsidRPr="00B970E1" w:rsidRDefault="00B970E1" w:rsidP="00B970E1">
      <w:pPr>
        <w:numPr>
          <w:ilvl w:val="0"/>
          <w:numId w:val="14"/>
        </w:numPr>
        <w:spacing w:after="160" w:line="259" w:lineRule="auto"/>
        <w:contextualSpacing/>
        <w:rPr>
          <w:rFonts w:eastAsiaTheme="minorHAnsi"/>
          <w:b/>
          <w:lang w:eastAsia="en-US"/>
        </w:rPr>
      </w:pPr>
      <w:r w:rsidRPr="00B970E1">
        <w:rPr>
          <w:rFonts w:eastAsiaTheme="minorHAnsi"/>
          <w:b/>
          <w:lang w:eastAsia="en-US"/>
        </w:rPr>
        <w:t>Изисквания за заемане на длъжността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175"/>
        <w:gridCol w:w="4887"/>
      </w:tblGrid>
      <w:tr w:rsidR="00B970E1" w:rsidRPr="00B970E1" w14:paraId="3306B72B" w14:textId="77777777" w:rsidTr="00652BBE">
        <w:tc>
          <w:tcPr>
            <w:tcW w:w="4390" w:type="dxa"/>
          </w:tcPr>
          <w:p w14:paraId="185FE8C9" w14:textId="77777777" w:rsidR="00B970E1" w:rsidRPr="00B970E1" w:rsidRDefault="00B970E1" w:rsidP="00B970E1">
            <w:pPr>
              <w:rPr>
                <w:rFonts w:eastAsiaTheme="minorHAnsi"/>
                <w:b/>
                <w:lang w:eastAsia="en-US"/>
              </w:rPr>
            </w:pPr>
            <w:r w:rsidRPr="00B970E1">
              <w:rPr>
                <w:rFonts w:eastAsiaTheme="minorHAnsi"/>
                <w:b/>
                <w:lang w:eastAsia="en-US"/>
              </w:rPr>
              <w:t>Минимални изисквания за заемане на длъжността (образователна степен, професионален опит…)</w:t>
            </w:r>
          </w:p>
        </w:tc>
        <w:tc>
          <w:tcPr>
            <w:tcW w:w="5346" w:type="dxa"/>
          </w:tcPr>
          <w:p w14:paraId="32721EB1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5F104491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0E234778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7A79836F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22B4260C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74246369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B970E1" w:rsidRPr="00B970E1" w14:paraId="729E4E3E" w14:textId="77777777" w:rsidTr="00652BBE">
        <w:tc>
          <w:tcPr>
            <w:tcW w:w="4390" w:type="dxa"/>
          </w:tcPr>
          <w:p w14:paraId="23ADC88F" w14:textId="77777777" w:rsidR="00B970E1" w:rsidRPr="00B970E1" w:rsidRDefault="00B970E1" w:rsidP="00B970E1">
            <w:pPr>
              <w:rPr>
                <w:rFonts w:eastAsiaTheme="minorHAnsi"/>
                <w:b/>
                <w:lang w:val="en-US" w:eastAsia="en-US"/>
              </w:rPr>
            </w:pPr>
            <w:r w:rsidRPr="00B970E1">
              <w:rPr>
                <w:rFonts w:eastAsiaTheme="minorHAnsi"/>
                <w:b/>
                <w:lang w:eastAsia="en-US"/>
              </w:rPr>
              <w:t>Специфични изисквания за длъжността</w:t>
            </w:r>
          </w:p>
        </w:tc>
        <w:tc>
          <w:tcPr>
            <w:tcW w:w="5346" w:type="dxa"/>
          </w:tcPr>
          <w:p w14:paraId="5CF3EAEB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14881277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43391195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7F645D5D" w14:textId="77777777" w:rsidR="00B970E1" w:rsidRPr="00B970E1" w:rsidRDefault="00B970E1" w:rsidP="00B970E1">
            <w:pPr>
              <w:rPr>
                <w:rFonts w:eastAsiaTheme="minorHAnsi"/>
                <w:b/>
                <w:lang w:eastAsia="en-US"/>
              </w:rPr>
            </w:pPr>
          </w:p>
          <w:p w14:paraId="485EA9A1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B970E1" w:rsidRPr="00B970E1" w14:paraId="702922F8" w14:textId="77777777" w:rsidTr="00652BBE">
        <w:tc>
          <w:tcPr>
            <w:tcW w:w="4390" w:type="dxa"/>
          </w:tcPr>
          <w:p w14:paraId="3E2C88AD" w14:textId="77777777" w:rsidR="00B970E1" w:rsidRPr="00B970E1" w:rsidRDefault="00B970E1" w:rsidP="00B970E1">
            <w:pPr>
              <w:rPr>
                <w:rFonts w:eastAsiaTheme="minorHAnsi"/>
                <w:b/>
                <w:lang w:eastAsia="en-US"/>
              </w:rPr>
            </w:pPr>
            <w:r w:rsidRPr="00B970E1">
              <w:rPr>
                <w:rFonts w:eastAsiaTheme="minorHAnsi"/>
                <w:b/>
                <w:lang w:eastAsia="en-US"/>
              </w:rPr>
              <w:t>Необходими компетентности</w:t>
            </w:r>
          </w:p>
        </w:tc>
        <w:tc>
          <w:tcPr>
            <w:tcW w:w="5346" w:type="dxa"/>
          </w:tcPr>
          <w:p w14:paraId="4D841AE8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600909C0" w14:textId="77777777" w:rsidR="00B970E1" w:rsidRPr="00B970E1" w:rsidRDefault="00B970E1" w:rsidP="00B970E1">
            <w:pPr>
              <w:rPr>
                <w:rFonts w:eastAsiaTheme="minorHAnsi"/>
                <w:b/>
                <w:lang w:eastAsia="en-US"/>
              </w:rPr>
            </w:pPr>
          </w:p>
          <w:p w14:paraId="55C7F1ED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7298EF81" w14:textId="77777777" w:rsidR="00B970E1" w:rsidRPr="00B970E1" w:rsidRDefault="00B970E1" w:rsidP="00B970E1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</w:tbl>
    <w:p w14:paraId="1022DBBE" w14:textId="77777777" w:rsidR="00B970E1" w:rsidRPr="002378DC" w:rsidRDefault="00B970E1" w:rsidP="006A2F91">
      <w:pPr>
        <w:spacing w:line="360" w:lineRule="auto"/>
        <w:jc w:val="both"/>
        <w:rPr>
          <w:lang w:val="en-US"/>
        </w:rPr>
      </w:pPr>
    </w:p>
    <w:sectPr w:rsidR="00B970E1" w:rsidRPr="002378DC" w:rsidSect="00664463">
      <w:headerReference w:type="default" r:id="rId8"/>
      <w:footerReference w:type="default" r:id="rId9"/>
      <w:pgSz w:w="11906" w:h="16838"/>
      <w:pgMar w:top="168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2F6C6" w14:textId="77777777" w:rsidR="00A73DF8" w:rsidRDefault="00A73DF8" w:rsidP="00E86008">
      <w:r>
        <w:separator/>
      </w:r>
    </w:p>
  </w:endnote>
  <w:endnote w:type="continuationSeparator" w:id="0">
    <w:p w14:paraId="376970E6" w14:textId="77777777" w:rsidR="00A73DF8" w:rsidRDefault="00A73DF8" w:rsidP="00E86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475790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0"/>
        <w:szCs w:val="20"/>
      </w:rPr>
    </w:sdtEndPr>
    <w:sdtContent>
      <w:p w14:paraId="25390E6A" w14:textId="7FC76DC7" w:rsidR="007F3143" w:rsidRPr="007F3143" w:rsidRDefault="007F3143">
        <w:pPr>
          <w:pStyle w:val="Footer"/>
          <w:jc w:val="right"/>
          <w:rPr>
            <w:rFonts w:asciiTheme="minorHAnsi" w:hAnsiTheme="minorHAnsi" w:cstheme="minorHAnsi"/>
            <w:sz w:val="20"/>
            <w:szCs w:val="20"/>
          </w:rPr>
        </w:pPr>
        <w:r w:rsidRPr="007F314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F3143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7F314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7F3143"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7F3143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</w:p>
    </w:sdtContent>
  </w:sdt>
  <w:p w14:paraId="2A0DC28E" w14:textId="77777777" w:rsidR="007F3143" w:rsidRDefault="007F31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A21A9" w14:textId="77777777" w:rsidR="00A73DF8" w:rsidRDefault="00A73DF8" w:rsidP="00E86008">
      <w:r>
        <w:separator/>
      </w:r>
    </w:p>
  </w:footnote>
  <w:footnote w:type="continuationSeparator" w:id="0">
    <w:p w14:paraId="1B538999" w14:textId="77777777" w:rsidR="00A73DF8" w:rsidRDefault="00A73DF8" w:rsidP="00E86008">
      <w:r>
        <w:continuationSeparator/>
      </w:r>
    </w:p>
  </w:footnote>
  <w:footnote w:id="1">
    <w:p w14:paraId="40ECB9FA" w14:textId="6EA99485" w:rsidR="00186D24" w:rsidRPr="00453239" w:rsidRDefault="00186D24" w:rsidP="00480264">
      <w:pPr>
        <w:pStyle w:val="FootnoteText"/>
        <w:ind w:firstLine="708"/>
        <w:jc w:val="both"/>
      </w:pPr>
      <w:r>
        <w:rPr>
          <w:rStyle w:val="FootnoteReference"/>
        </w:rPr>
        <w:footnoteRef/>
      </w:r>
      <w:r>
        <w:t xml:space="preserve"> </w:t>
      </w:r>
      <w:r w:rsidR="00453239">
        <w:t>В съответствие с методиката за изчисляване на единната ставка от 15 %</w:t>
      </w:r>
      <w:r w:rsidR="003E09CB">
        <w:t xml:space="preserve"> и практиката от изпълнението на проекти</w:t>
      </w:r>
      <w:r w:rsidR="00EC0529">
        <w:t xml:space="preserve"> с конкретен бенефициент МОН през предходния програмен период.</w:t>
      </w:r>
    </w:p>
  </w:footnote>
  <w:footnote w:id="2">
    <w:p w14:paraId="486C515E" w14:textId="77777777" w:rsidR="00083B3C" w:rsidRDefault="00083B3C" w:rsidP="00083B3C">
      <w:pPr>
        <w:pStyle w:val="FootnoteText"/>
      </w:pPr>
      <w:r>
        <w:rPr>
          <w:rStyle w:val="FootnoteReference"/>
        </w:rPr>
        <w:footnoteRef/>
      </w:r>
      <w:r>
        <w:t xml:space="preserve"> Приложеният образец е примерен. Конкретният бенефициент може да разработи свой вариант.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798F7" w14:textId="77777777" w:rsidR="00664463" w:rsidRDefault="00664463" w:rsidP="00664463">
    <w:pPr>
      <w:pStyle w:val="Header"/>
      <w:tabs>
        <w:tab w:val="right" w:pos="10170"/>
      </w:tabs>
      <w:jc w:val="center"/>
    </w:pPr>
    <w:bookmarkStart w:id="4" w:name="_Hlk112743089"/>
    <w:r>
      <w:rPr>
        <w:noProof/>
      </w:rPr>
      <w:drawing>
        <wp:anchor distT="0" distB="0" distL="114300" distR="114300" simplePos="0" relativeHeight="251659264" behindDoc="0" locked="0" layoutInCell="1" allowOverlap="1" wp14:anchorId="3F542AD9" wp14:editId="1AFCAEFC">
          <wp:simplePos x="0" y="0"/>
          <wp:positionH relativeFrom="column">
            <wp:posOffset>4571365</wp:posOffset>
          </wp:positionH>
          <wp:positionV relativeFrom="paragraph">
            <wp:posOffset>-94615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AD1BF74" wp14:editId="0BAAB10A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620" cy="4997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4"/>
  <w:p w14:paraId="3456B8A5" w14:textId="77777777" w:rsidR="0046219F" w:rsidRDefault="004621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26130"/>
    <w:multiLevelType w:val="hybridMultilevel"/>
    <w:tmpl w:val="62A260AC"/>
    <w:lvl w:ilvl="0" w:tplc="14C07314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96FCB"/>
    <w:multiLevelType w:val="hybridMultilevel"/>
    <w:tmpl w:val="5218C5E4"/>
    <w:lvl w:ilvl="0" w:tplc="B9CC66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33311A"/>
    <w:multiLevelType w:val="hybridMultilevel"/>
    <w:tmpl w:val="E89AFA60"/>
    <w:lvl w:ilvl="0" w:tplc="04020013">
      <w:start w:val="1"/>
      <w:numFmt w:val="upperRoman"/>
      <w:lvlText w:val="%1."/>
      <w:lvlJc w:val="right"/>
      <w:pPr>
        <w:ind w:left="1440" w:hanging="360"/>
      </w:pPr>
    </w:lvl>
    <w:lvl w:ilvl="1" w:tplc="F7BEC0D6">
      <w:numFmt w:val="bullet"/>
      <w:lvlText w:val="•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D571124"/>
    <w:multiLevelType w:val="hybridMultilevel"/>
    <w:tmpl w:val="A748ED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B50D1"/>
    <w:multiLevelType w:val="hybridMultilevel"/>
    <w:tmpl w:val="99FE274E"/>
    <w:lvl w:ilvl="0" w:tplc="DD0E149E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mic Sans MS" w:hAnsi="Comic Sans MS" w:cs="Comic Sans MS" w:hint="default"/>
      </w:rPr>
    </w:lvl>
    <w:lvl w:ilvl="1" w:tplc="8EB4FC0A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55CD7"/>
    <w:multiLevelType w:val="hybridMultilevel"/>
    <w:tmpl w:val="3A566854"/>
    <w:lvl w:ilvl="0" w:tplc="C54EBC56">
      <w:start w:val="1"/>
      <w:numFmt w:val="decimal"/>
      <w:lvlText w:val="%1.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A6AF7"/>
    <w:multiLevelType w:val="hybridMultilevel"/>
    <w:tmpl w:val="261697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97923"/>
    <w:multiLevelType w:val="hybridMultilevel"/>
    <w:tmpl w:val="00C8527A"/>
    <w:lvl w:ilvl="0" w:tplc="A126B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360"/>
        </w:tabs>
      </w:pPr>
      <w:rPr>
        <w:rFonts w:ascii="Wingdings" w:hAnsi="Wingdings" w:hint="default"/>
      </w:rPr>
    </w:lvl>
    <w:lvl w:ilvl="2" w:tplc="B178FF3A">
      <w:numFmt w:val="none"/>
      <w:lvlText w:val=""/>
      <w:lvlJc w:val="left"/>
      <w:pPr>
        <w:tabs>
          <w:tab w:val="num" w:pos="360"/>
        </w:tabs>
      </w:pPr>
    </w:lvl>
    <w:lvl w:ilvl="3" w:tplc="E0A85078">
      <w:numFmt w:val="none"/>
      <w:lvlText w:val=""/>
      <w:lvlJc w:val="left"/>
      <w:pPr>
        <w:tabs>
          <w:tab w:val="num" w:pos="360"/>
        </w:tabs>
      </w:pPr>
    </w:lvl>
    <w:lvl w:ilvl="4" w:tplc="6B24AFD6">
      <w:numFmt w:val="none"/>
      <w:lvlText w:val=""/>
      <w:lvlJc w:val="left"/>
      <w:pPr>
        <w:tabs>
          <w:tab w:val="num" w:pos="360"/>
        </w:tabs>
      </w:pPr>
    </w:lvl>
    <w:lvl w:ilvl="5" w:tplc="4DF65A22">
      <w:numFmt w:val="none"/>
      <w:lvlText w:val=""/>
      <w:lvlJc w:val="left"/>
      <w:pPr>
        <w:tabs>
          <w:tab w:val="num" w:pos="360"/>
        </w:tabs>
      </w:pPr>
    </w:lvl>
    <w:lvl w:ilvl="6" w:tplc="2C8C49D8">
      <w:numFmt w:val="none"/>
      <w:lvlText w:val=""/>
      <w:lvlJc w:val="left"/>
      <w:pPr>
        <w:tabs>
          <w:tab w:val="num" w:pos="360"/>
        </w:tabs>
      </w:pPr>
    </w:lvl>
    <w:lvl w:ilvl="7" w:tplc="3BC08E76">
      <w:numFmt w:val="none"/>
      <w:lvlText w:val=""/>
      <w:lvlJc w:val="left"/>
      <w:pPr>
        <w:tabs>
          <w:tab w:val="num" w:pos="360"/>
        </w:tabs>
      </w:pPr>
    </w:lvl>
    <w:lvl w:ilvl="8" w:tplc="E12AB94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5FA0FD7"/>
    <w:multiLevelType w:val="hybridMultilevel"/>
    <w:tmpl w:val="87BA79EE"/>
    <w:lvl w:ilvl="0" w:tplc="A126B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5606"/>
        </w:tabs>
      </w:pPr>
      <w:rPr>
        <w:rFonts w:ascii="Wingdings" w:hAnsi="Wingdings" w:hint="default"/>
      </w:rPr>
    </w:lvl>
    <w:lvl w:ilvl="2" w:tplc="0402000D">
      <w:start w:val="1"/>
      <w:numFmt w:val="bullet"/>
      <w:lvlText w:val=""/>
      <w:lvlJc w:val="left"/>
      <w:pPr>
        <w:tabs>
          <w:tab w:val="num" w:pos="360"/>
        </w:tabs>
      </w:pPr>
      <w:rPr>
        <w:rFonts w:ascii="Wingdings" w:hAnsi="Wingdings" w:hint="default"/>
      </w:rPr>
    </w:lvl>
    <w:lvl w:ilvl="3" w:tplc="E0A85078">
      <w:numFmt w:val="none"/>
      <w:lvlText w:val=""/>
      <w:lvlJc w:val="left"/>
      <w:pPr>
        <w:tabs>
          <w:tab w:val="num" w:pos="360"/>
        </w:tabs>
      </w:pPr>
    </w:lvl>
    <w:lvl w:ilvl="4" w:tplc="6B24AFD6">
      <w:numFmt w:val="none"/>
      <w:lvlText w:val=""/>
      <w:lvlJc w:val="left"/>
      <w:pPr>
        <w:tabs>
          <w:tab w:val="num" w:pos="360"/>
        </w:tabs>
      </w:pPr>
    </w:lvl>
    <w:lvl w:ilvl="5" w:tplc="4DF65A22">
      <w:numFmt w:val="none"/>
      <w:lvlText w:val=""/>
      <w:lvlJc w:val="left"/>
      <w:pPr>
        <w:tabs>
          <w:tab w:val="num" w:pos="360"/>
        </w:tabs>
      </w:pPr>
    </w:lvl>
    <w:lvl w:ilvl="6" w:tplc="2C8C49D8">
      <w:numFmt w:val="none"/>
      <w:lvlText w:val=""/>
      <w:lvlJc w:val="left"/>
      <w:pPr>
        <w:tabs>
          <w:tab w:val="num" w:pos="360"/>
        </w:tabs>
      </w:pPr>
    </w:lvl>
    <w:lvl w:ilvl="7" w:tplc="3BC08E76">
      <w:numFmt w:val="none"/>
      <w:lvlText w:val=""/>
      <w:lvlJc w:val="left"/>
      <w:pPr>
        <w:tabs>
          <w:tab w:val="num" w:pos="360"/>
        </w:tabs>
      </w:pPr>
    </w:lvl>
    <w:lvl w:ilvl="8" w:tplc="E12AB94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579D6BB5"/>
    <w:multiLevelType w:val="hybridMultilevel"/>
    <w:tmpl w:val="6F92AD4C"/>
    <w:lvl w:ilvl="0" w:tplc="08C4A870">
      <w:numFmt w:val="bullet"/>
      <w:lvlText w:val="-"/>
      <w:lvlJc w:val="left"/>
      <w:pPr>
        <w:ind w:left="1068" w:hanging="360"/>
      </w:pPr>
      <w:rPr>
        <w:rFonts w:ascii="Times New Roman" w:eastAsia="Batang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8C005D8"/>
    <w:multiLevelType w:val="multilevel"/>
    <w:tmpl w:val="5C6C20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 w15:restartNumberingAfterBreak="0">
    <w:nsid w:val="70E96C59"/>
    <w:multiLevelType w:val="hybridMultilevel"/>
    <w:tmpl w:val="A61ADDF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B181649"/>
    <w:multiLevelType w:val="hybridMultilevel"/>
    <w:tmpl w:val="D25241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56AED"/>
    <w:multiLevelType w:val="hybridMultilevel"/>
    <w:tmpl w:val="1E6A51EC"/>
    <w:lvl w:ilvl="0" w:tplc="732A8B80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8027" w:hanging="360"/>
      </w:pPr>
    </w:lvl>
    <w:lvl w:ilvl="2" w:tplc="0402001B" w:tentative="1">
      <w:start w:val="1"/>
      <w:numFmt w:val="lowerRoman"/>
      <w:lvlText w:val="%3."/>
      <w:lvlJc w:val="right"/>
      <w:pPr>
        <w:ind w:left="8747" w:hanging="180"/>
      </w:pPr>
    </w:lvl>
    <w:lvl w:ilvl="3" w:tplc="0402000F" w:tentative="1">
      <w:start w:val="1"/>
      <w:numFmt w:val="decimal"/>
      <w:lvlText w:val="%4."/>
      <w:lvlJc w:val="left"/>
      <w:pPr>
        <w:ind w:left="9467" w:hanging="360"/>
      </w:pPr>
    </w:lvl>
    <w:lvl w:ilvl="4" w:tplc="04020019" w:tentative="1">
      <w:start w:val="1"/>
      <w:numFmt w:val="lowerLetter"/>
      <w:lvlText w:val="%5."/>
      <w:lvlJc w:val="left"/>
      <w:pPr>
        <w:ind w:left="10187" w:hanging="360"/>
      </w:pPr>
    </w:lvl>
    <w:lvl w:ilvl="5" w:tplc="0402001B" w:tentative="1">
      <w:start w:val="1"/>
      <w:numFmt w:val="lowerRoman"/>
      <w:lvlText w:val="%6."/>
      <w:lvlJc w:val="right"/>
      <w:pPr>
        <w:ind w:left="10907" w:hanging="180"/>
      </w:pPr>
    </w:lvl>
    <w:lvl w:ilvl="6" w:tplc="0402000F" w:tentative="1">
      <w:start w:val="1"/>
      <w:numFmt w:val="decimal"/>
      <w:lvlText w:val="%7."/>
      <w:lvlJc w:val="left"/>
      <w:pPr>
        <w:ind w:left="11627" w:hanging="360"/>
      </w:pPr>
    </w:lvl>
    <w:lvl w:ilvl="7" w:tplc="04020019" w:tentative="1">
      <w:start w:val="1"/>
      <w:numFmt w:val="lowerLetter"/>
      <w:lvlText w:val="%8."/>
      <w:lvlJc w:val="left"/>
      <w:pPr>
        <w:ind w:left="12347" w:hanging="360"/>
      </w:pPr>
    </w:lvl>
    <w:lvl w:ilvl="8" w:tplc="0402001B" w:tentative="1">
      <w:start w:val="1"/>
      <w:numFmt w:val="lowerRoman"/>
      <w:lvlText w:val="%9."/>
      <w:lvlJc w:val="right"/>
      <w:pPr>
        <w:ind w:left="13067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5"/>
  </w:num>
  <w:num w:numId="10">
    <w:abstractNumId w:val="0"/>
  </w:num>
  <w:num w:numId="11">
    <w:abstractNumId w:val="13"/>
  </w:num>
  <w:num w:numId="12">
    <w:abstractNumId w:val="11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AAD"/>
    <w:rsid w:val="000039F6"/>
    <w:rsid w:val="00020619"/>
    <w:rsid w:val="000267F8"/>
    <w:rsid w:val="00035534"/>
    <w:rsid w:val="00036A39"/>
    <w:rsid w:val="00054F32"/>
    <w:rsid w:val="0005501D"/>
    <w:rsid w:val="0006113B"/>
    <w:rsid w:val="00077E03"/>
    <w:rsid w:val="00083B3C"/>
    <w:rsid w:val="000C4350"/>
    <w:rsid w:val="00103D21"/>
    <w:rsid w:val="00113E97"/>
    <w:rsid w:val="001309C3"/>
    <w:rsid w:val="00136211"/>
    <w:rsid w:val="001404EC"/>
    <w:rsid w:val="00142C2E"/>
    <w:rsid w:val="001504CE"/>
    <w:rsid w:val="00150844"/>
    <w:rsid w:val="00164567"/>
    <w:rsid w:val="00166E15"/>
    <w:rsid w:val="00185C3E"/>
    <w:rsid w:val="00186D24"/>
    <w:rsid w:val="001D2A75"/>
    <w:rsid w:val="001E4C32"/>
    <w:rsid w:val="001F47A9"/>
    <w:rsid w:val="001F5BF9"/>
    <w:rsid w:val="00210CB5"/>
    <w:rsid w:val="0021675C"/>
    <w:rsid w:val="00227CC9"/>
    <w:rsid w:val="002378DC"/>
    <w:rsid w:val="00252D54"/>
    <w:rsid w:val="00260186"/>
    <w:rsid w:val="00262848"/>
    <w:rsid w:val="00266407"/>
    <w:rsid w:val="00295AD8"/>
    <w:rsid w:val="002A52F3"/>
    <w:rsid w:val="002A5C3A"/>
    <w:rsid w:val="002C2751"/>
    <w:rsid w:val="002E4CF4"/>
    <w:rsid w:val="002E5904"/>
    <w:rsid w:val="00324B0C"/>
    <w:rsid w:val="003417C3"/>
    <w:rsid w:val="003472E0"/>
    <w:rsid w:val="00365DC9"/>
    <w:rsid w:val="003819B0"/>
    <w:rsid w:val="003A0F38"/>
    <w:rsid w:val="003B1D35"/>
    <w:rsid w:val="003C621B"/>
    <w:rsid w:val="003C6427"/>
    <w:rsid w:val="003E09CB"/>
    <w:rsid w:val="003E0B80"/>
    <w:rsid w:val="003F1B6F"/>
    <w:rsid w:val="004130D6"/>
    <w:rsid w:val="00435B87"/>
    <w:rsid w:val="00453239"/>
    <w:rsid w:val="0046219F"/>
    <w:rsid w:val="00467AF5"/>
    <w:rsid w:val="00480264"/>
    <w:rsid w:val="00494ED8"/>
    <w:rsid w:val="00496366"/>
    <w:rsid w:val="004A0A15"/>
    <w:rsid w:val="004B1821"/>
    <w:rsid w:val="004D7BDD"/>
    <w:rsid w:val="004E7E52"/>
    <w:rsid w:val="005075AD"/>
    <w:rsid w:val="00540979"/>
    <w:rsid w:val="00541DC9"/>
    <w:rsid w:val="005540E6"/>
    <w:rsid w:val="00556C67"/>
    <w:rsid w:val="005574A0"/>
    <w:rsid w:val="00572312"/>
    <w:rsid w:val="00580BC0"/>
    <w:rsid w:val="00592B1E"/>
    <w:rsid w:val="005B0CFF"/>
    <w:rsid w:val="005B6A1D"/>
    <w:rsid w:val="005D51A6"/>
    <w:rsid w:val="00601A3A"/>
    <w:rsid w:val="0061480E"/>
    <w:rsid w:val="006163A4"/>
    <w:rsid w:val="0065073B"/>
    <w:rsid w:val="006513D2"/>
    <w:rsid w:val="00656C7D"/>
    <w:rsid w:val="00664463"/>
    <w:rsid w:val="00664CAC"/>
    <w:rsid w:val="00676866"/>
    <w:rsid w:val="00684183"/>
    <w:rsid w:val="006864E8"/>
    <w:rsid w:val="006942EB"/>
    <w:rsid w:val="006977B4"/>
    <w:rsid w:val="006A2F91"/>
    <w:rsid w:val="006A5149"/>
    <w:rsid w:val="006B6DA3"/>
    <w:rsid w:val="006C2DCA"/>
    <w:rsid w:val="006D5135"/>
    <w:rsid w:val="00720A74"/>
    <w:rsid w:val="00732556"/>
    <w:rsid w:val="00735149"/>
    <w:rsid w:val="00736013"/>
    <w:rsid w:val="007426DF"/>
    <w:rsid w:val="00754489"/>
    <w:rsid w:val="007720F5"/>
    <w:rsid w:val="007809FA"/>
    <w:rsid w:val="007A141B"/>
    <w:rsid w:val="007A5C54"/>
    <w:rsid w:val="007C44AC"/>
    <w:rsid w:val="007D3050"/>
    <w:rsid w:val="007E3906"/>
    <w:rsid w:val="007F3143"/>
    <w:rsid w:val="007F6BBC"/>
    <w:rsid w:val="00816EA3"/>
    <w:rsid w:val="00834162"/>
    <w:rsid w:val="0083425E"/>
    <w:rsid w:val="00834CEC"/>
    <w:rsid w:val="0083654C"/>
    <w:rsid w:val="0083785B"/>
    <w:rsid w:val="0085729C"/>
    <w:rsid w:val="0086024F"/>
    <w:rsid w:val="00865638"/>
    <w:rsid w:val="00881B04"/>
    <w:rsid w:val="00882E44"/>
    <w:rsid w:val="00883626"/>
    <w:rsid w:val="00884514"/>
    <w:rsid w:val="0088731A"/>
    <w:rsid w:val="0089657E"/>
    <w:rsid w:val="008B68BE"/>
    <w:rsid w:val="008E4D1A"/>
    <w:rsid w:val="0092625D"/>
    <w:rsid w:val="00927EBD"/>
    <w:rsid w:val="00943B01"/>
    <w:rsid w:val="00987931"/>
    <w:rsid w:val="00990A05"/>
    <w:rsid w:val="009914BC"/>
    <w:rsid w:val="009A14FE"/>
    <w:rsid w:val="009A598F"/>
    <w:rsid w:val="009C4A0E"/>
    <w:rsid w:val="009D625C"/>
    <w:rsid w:val="009E1A7D"/>
    <w:rsid w:val="009F562C"/>
    <w:rsid w:val="009F5AAD"/>
    <w:rsid w:val="00A21F7F"/>
    <w:rsid w:val="00A57BEB"/>
    <w:rsid w:val="00A73DF8"/>
    <w:rsid w:val="00A828CE"/>
    <w:rsid w:val="00A86359"/>
    <w:rsid w:val="00A9008A"/>
    <w:rsid w:val="00A95969"/>
    <w:rsid w:val="00AB36DE"/>
    <w:rsid w:val="00AB63AA"/>
    <w:rsid w:val="00AC025E"/>
    <w:rsid w:val="00AD5323"/>
    <w:rsid w:val="00AE741D"/>
    <w:rsid w:val="00B12271"/>
    <w:rsid w:val="00B44F0B"/>
    <w:rsid w:val="00B61746"/>
    <w:rsid w:val="00B71862"/>
    <w:rsid w:val="00B81A9C"/>
    <w:rsid w:val="00B970E1"/>
    <w:rsid w:val="00BC062B"/>
    <w:rsid w:val="00BD09D7"/>
    <w:rsid w:val="00BF3423"/>
    <w:rsid w:val="00BF6755"/>
    <w:rsid w:val="00C029C8"/>
    <w:rsid w:val="00C03FD4"/>
    <w:rsid w:val="00C154A3"/>
    <w:rsid w:val="00C32298"/>
    <w:rsid w:val="00C52F6B"/>
    <w:rsid w:val="00C9740C"/>
    <w:rsid w:val="00CB5694"/>
    <w:rsid w:val="00CC021F"/>
    <w:rsid w:val="00CD3DA5"/>
    <w:rsid w:val="00CE74C6"/>
    <w:rsid w:val="00CF30E7"/>
    <w:rsid w:val="00CF719F"/>
    <w:rsid w:val="00D04BFB"/>
    <w:rsid w:val="00D32677"/>
    <w:rsid w:val="00D34C57"/>
    <w:rsid w:val="00D40121"/>
    <w:rsid w:val="00D531A6"/>
    <w:rsid w:val="00D771D0"/>
    <w:rsid w:val="00D94F67"/>
    <w:rsid w:val="00D97870"/>
    <w:rsid w:val="00DA4CB7"/>
    <w:rsid w:val="00DA63EB"/>
    <w:rsid w:val="00DC179A"/>
    <w:rsid w:val="00DC27A7"/>
    <w:rsid w:val="00DF5319"/>
    <w:rsid w:val="00E04144"/>
    <w:rsid w:val="00E0759D"/>
    <w:rsid w:val="00E07DEC"/>
    <w:rsid w:val="00E22E14"/>
    <w:rsid w:val="00E33CD1"/>
    <w:rsid w:val="00E35809"/>
    <w:rsid w:val="00E74FBF"/>
    <w:rsid w:val="00E765E2"/>
    <w:rsid w:val="00E8167F"/>
    <w:rsid w:val="00E86008"/>
    <w:rsid w:val="00E905B3"/>
    <w:rsid w:val="00EB65EB"/>
    <w:rsid w:val="00EC0529"/>
    <w:rsid w:val="00EC1E40"/>
    <w:rsid w:val="00EC530A"/>
    <w:rsid w:val="00ED26EE"/>
    <w:rsid w:val="00F03850"/>
    <w:rsid w:val="00F12701"/>
    <w:rsid w:val="00F408CF"/>
    <w:rsid w:val="00F5104A"/>
    <w:rsid w:val="00F57089"/>
    <w:rsid w:val="00F749AC"/>
    <w:rsid w:val="00F93D52"/>
    <w:rsid w:val="00F94BE3"/>
    <w:rsid w:val="00FB5F96"/>
    <w:rsid w:val="1A019DBF"/>
    <w:rsid w:val="60327E8F"/>
    <w:rsid w:val="6EB2B641"/>
    <w:rsid w:val="75FBF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672D7D"/>
  <w15:docId w15:val="{F3671195-C78F-4051-B4AB-A8625A97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AA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F5A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30D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860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6008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E86008"/>
    <w:rPr>
      <w:vertAlign w:val="superscript"/>
    </w:rPr>
  </w:style>
  <w:style w:type="paragraph" w:customStyle="1" w:styleId="Default">
    <w:name w:val="Default"/>
    <w:rsid w:val="006942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E39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39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3906"/>
    <w:rPr>
      <w:rFonts w:ascii="Times New Roman" w:eastAsia="Batang" w:hAnsi="Times New Roman" w:cs="Times New Roman"/>
      <w:sz w:val="20"/>
      <w:szCs w:val="20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3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3906"/>
    <w:rPr>
      <w:rFonts w:ascii="Times New Roman" w:eastAsia="Batang" w:hAnsi="Times New Roman" w:cs="Times New Roman"/>
      <w:b/>
      <w:bCs/>
      <w:sz w:val="20"/>
      <w:szCs w:val="20"/>
      <w:lang w:eastAsia="ko-KR"/>
    </w:rPr>
  </w:style>
  <w:style w:type="table" w:customStyle="1" w:styleId="TableGrid1">
    <w:name w:val="Table Grid1"/>
    <w:basedOn w:val="TableNormal"/>
    <w:next w:val="TableGrid"/>
    <w:uiPriority w:val="39"/>
    <w:rsid w:val="00B97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1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143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F31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143"/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28E4C-4AED-4DFC-9255-E4F424C5B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1938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Dinko Draganov</dc:creator>
  <cp:keywords/>
  <dc:description/>
  <cp:lastModifiedBy>user</cp:lastModifiedBy>
  <cp:revision>6</cp:revision>
  <dcterms:created xsi:type="dcterms:W3CDTF">2022-09-07T12:16:00Z</dcterms:created>
  <dcterms:modified xsi:type="dcterms:W3CDTF">2022-11-24T11:16:00Z</dcterms:modified>
</cp:coreProperties>
</file>