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74" w:rsidRPr="00101D59" w:rsidRDefault="00253074" w:rsidP="00253074">
      <w:pPr>
        <w:spacing w:before="120"/>
        <w:ind w:left="9923"/>
        <w:jc w:val="both"/>
        <w:rPr>
          <w:b/>
          <w:color w:val="FFFFFF" w:themeColor="background1"/>
          <w:sz w:val="20"/>
          <w:szCs w:val="20"/>
        </w:rPr>
      </w:pPr>
      <w:bookmarkStart w:id="0" w:name="_GoBack"/>
      <w:r w:rsidRPr="00101D59">
        <w:rPr>
          <w:b/>
          <w:color w:val="FFFFFF" w:themeColor="background1"/>
          <w:sz w:val="20"/>
          <w:szCs w:val="20"/>
        </w:rPr>
        <w:t>Утвърждавам:</w:t>
      </w:r>
    </w:p>
    <w:p w:rsidR="00253074" w:rsidRPr="00101D59" w:rsidRDefault="00253074" w:rsidP="00253074">
      <w:pPr>
        <w:ind w:left="9923"/>
        <w:jc w:val="both"/>
        <w:rPr>
          <w:b/>
          <w:color w:val="FFFFFF" w:themeColor="background1"/>
          <w:sz w:val="20"/>
          <w:szCs w:val="20"/>
        </w:rPr>
      </w:pPr>
    </w:p>
    <w:p w:rsidR="00253074" w:rsidRPr="00101D59" w:rsidRDefault="00253074" w:rsidP="00253074">
      <w:pPr>
        <w:ind w:left="9923"/>
        <w:jc w:val="both"/>
        <w:rPr>
          <w:b/>
          <w:color w:val="FFFFFF" w:themeColor="background1"/>
          <w:sz w:val="20"/>
          <w:szCs w:val="20"/>
        </w:rPr>
      </w:pPr>
      <w:r w:rsidRPr="00101D59">
        <w:rPr>
          <w:b/>
          <w:color w:val="FFFFFF" w:themeColor="background1"/>
          <w:sz w:val="20"/>
          <w:szCs w:val="20"/>
        </w:rPr>
        <w:t>Галина Василева</w:t>
      </w:r>
    </w:p>
    <w:p w:rsidR="00253074" w:rsidRPr="00101D59" w:rsidRDefault="00253074" w:rsidP="00253074">
      <w:pPr>
        <w:ind w:left="9923"/>
        <w:jc w:val="both"/>
        <w:rPr>
          <w:i/>
          <w:color w:val="FFFFFF" w:themeColor="background1"/>
          <w:sz w:val="20"/>
          <w:szCs w:val="20"/>
        </w:rPr>
      </w:pPr>
      <w:r w:rsidRPr="00101D59">
        <w:rPr>
          <w:i/>
          <w:color w:val="FFFFFF" w:themeColor="background1"/>
          <w:sz w:val="20"/>
          <w:szCs w:val="20"/>
        </w:rPr>
        <w:t>Ръководител на УО на ОПТТИ</w:t>
      </w:r>
    </w:p>
    <w:bookmarkEnd w:id="0"/>
    <w:p w:rsidR="00253074" w:rsidRDefault="00253074" w:rsidP="00E55109">
      <w:pPr>
        <w:jc w:val="center"/>
        <w:rPr>
          <w:b/>
          <w:sz w:val="22"/>
          <w:szCs w:val="22"/>
        </w:rPr>
      </w:pPr>
    </w:p>
    <w:p w:rsidR="00061620" w:rsidRPr="00A16506" w:rsidRDefault="000033E2" w:rsidP="00E55109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И</w:t>
      </w:r>
      <w:r w:rsidR="00DD6D53" w:rsidRPr="00D05705">
        <w:rPr>
          <w:b/>
          <w:sz w:val="22"/>
          <w:szCs w:val="22"/>
        </w:rPr>
        <w:t xml:space="preserve">ндикативна годишна работна програма </w:t>
      </w:r>
      <w:r w:rsidR="00263914">
        <w:rPr>
          <w:b/>
          <w:sz w:val="22"/>
          <w:szCs w:val="22"/>
        </w:rPr>
        <w:t>по</w:t>
      </w:r>
      <w:r w:rsidR="00DD6D53" w:rsidRPr="00D05705">
        <w:rPr>
          <w:b/>
          <w:sz w:val="22"/>
          <w:szCs w:val="22"/>
        </w:rPr>
        <w:t xml:space="preserve"> програми</w:t>
      </w:r>
      <w:r w:rsidR="000A252D" w:rsidRPr="00D05705">
        <w:rPr>
          <w:b/>
          <w:sz w:val="22"/>
          <w:szCs w:val="22"/>
        </w:rPr>
        <w:t>те</w:t>
      </w:r>
      <w:r w:rsidR="00DD6D53" w:rsidRPr="00D05705">
        <w:rPr>
          <w:b/>
          <w:sz w:val="22"/>
          <w:szCs w:val="22"/>
        </w:rPr>
        <w:t xml:space="preserve">, финансирани от </w:t>
      </w:r>
      <w:r w:rsidR="00A16506">
        <w:rPr>
          <w:b/>
          <w:sz w:val="22"/>
          <w:szCs w:val="22"/>
        </w:rPr>
        <w:t>Европейските структурни и инвестиционни фондове</w:t>
      </w:r>
      <w:r w:rsidR="00F44833">
        <w:rPr>
          <w:rStyle w:val="FootnoteReference"/>
          <w:b/>
          <w:sz w:val="22"/>
          <w:szCs w:val="22"/>
        </w:rPr>
        <w:footnoteReference w:id="1"/>
      </w:r>
    </w:p>
    <w:p w:rsidR="00487BB2" w:rsidRPr="00E55109" w:rsidRDefault="00487BB2" w:rsidP="00DD6D53">
      <w:pPr>
        <w:jc w:val="center"/>
        <w:rPr>
          <w:b/>
          <w:sz w:val="16"/>
          <w:szCs w:val="16"/>
        </w:rPr>
      </w:pPr>
      <w:r w:rsidRPr="00E55109">
        <w:rPr>
          <w:b/>
          <w:sz w:val="16"/>
          <w:szCs w:val="16"/>
        </w:rPr>
        <w:t xml:space="preserve">  </w:t>
      </w:r>
    </w:p>
    <w:p w:rsidR="007E5AA5" w:rsidRPr="003235CC" w:rsidRDefault="007E5AA5" w:rsidP="007E5AA5">
      <w:pPr>
        <w:jc w:val="center"/>
        <w:rPr>
          <w:b/>
          <w:sz w:val="22"/>
          <w:szCs w:val="22"/>
        </w:rPr>
      </w:pPr>
      <w:r w:rsidRPr="003235CC">
        <w:rPr>
          <w:b/>
          <w:sz w:val="22"/>
          <w:szCs w:val="22"/>
        </w:rPr>
        <w:t>ОПЕРАТИВНА ПРОГРАМА „ТРАНСПОРТ И ТРАНСПОРТНА ИНФРАСТРУКТУРА“ 2014 – 2020 г.</w:t>
      </w:r>
    </w:p>
    <w:p w:rsidR="000A252D" w:rsidRDefault="000A252D" w:rsidP="000033E2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20</w:t>
      </w:r>
      <w:r w:rsidR="008C101E">
        <w:rPr>
          <w:b/>
          <w:sz w:val="22"/>
          <w:szCs w:val="22"/>
        </w:rPr>
        <w:t>21</w:t>
      </w:r>
      <w:r w:rsidRPr="00D05705">
        <w:rPr>
          <w:b/>
          <w:sz w:val="22"/>
          <w:szCs w:val="22"/>
        </w:rPr>
        <w:t xml:space="preserve"> ГОДИНА</w:t>
      </w:r>
    </w:p>
    <w:p w:rsidR="00253074" w:rsidRPr="00753EC0" w:rsidRDefault="00253074" w:rsidP="000033E2">
      <w:pPr>
        <w:jc w:val="center"/>
        <w:rPr>
          <w:b/>
          <w:sz w:val="22"/>
          <w:szCs w:val="22"/>
          <w:lang w:val="en-US"/>
        </w:rPr>
      </w:pPr>
    </w:p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992"/>
        <w:gridCol w:w="422"/>
        <w:gridCol w:w="994"/>
        <w:gridCol w:w="140"/>
        <w:gridCol w:w="544"/>
        <w:gridCol w:w="306"/>
        <w:gridCol w:w="687"/>
        <w:gridCol w:w="71"/>
        <w:gridCol w:w="93"/>
        <w:gridCol w:w="1530"/>
        <w:gridCol w:w="12"/>
        <w:gridCol w:w="12"/>
        <w:gridCol w:w="837"/>
        <w:gridCol w:w="14"/>
        <w:gridCol w:w="1391"/>
        <w:gridCol w:w="174"/>
        <w:gridCol w:w="1518"/>
        <w:gridCol w:w="17"/>
        <w:gridCol w:w="21"/>
        <w:gridCol w:w="814"/>
        <w:gridCol w:w="22"/>
        <w:gridCol w:w="970"/>
        <w:gridCol w:w="24"/>
        <w:gridCol w:w="1006"/>
        <w:gridCol w:w="131"/>
        <w:gridCol w:w="578"/>
        <w:gridCol w:w="97"/>
        <w:gridCol w:w="39"/>
        <w:gridCol w:w="431"/>
        <w:gridCol w:w="142"/>
        <w:gridCol w:w="425"/>
        <w:gridCol w:w="144"/>
        <w:gridCol w:w="1277"/>
      </w:tblGrid>
      <w:tr w:rsidR="00E61729" w:rsidRPr="0029430C" w:rsidTr="0031576A">
        <w:trPr>
          <w:cantSplit/>
          <w:trHeight w:val="584"/>
        </w:trPr>
        <w:tc>
          <w:tcPr>
            <w:tcW w:w="286" w:type="dxa"/>
            <w:vMerge w:val="restart"/>
            <w:shd w:val="clear" w:color="auto" w:fill="auto"/>
          </w:tcPr>
          <w:p w:rsidR="00044A2D" w:rsidRPr="0029430C" w:rsidRDefault="00044A2D" w:rsidP="00A4628E">
            <w:pPr>
              <w:widowControl w:val="0"/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044A2D" w:rsidRPr="0029430C" w:rsidRDefault="00044A2D" w:rsidP="000A252D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Наименование на  процедурата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44A2D" w:rsidRPr="0029430C" w:rsidRDefault="00044A2D" w:rsidP="00290C40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Цели на </w:t>
            </w:r>
            <w:r w:rsidR="00AB064F" w:rsidRPr="0029430C">
              <w:rPr>
                <w:b/>
                <w:sz w:val="12"/>
                <w:szCs w:val="12"/>
              </w:rPr>
              <w:t>предоставяната БФП</w:t>
            </w:r>
            <w:r w:rsidR="00A16506" w:rsidRPr="0029430C">
              <w:rPr>
                <w:rStyle w:val="FootnoteReference"/>
                <w:b/>
                <w:sz w:val="12"/>
                <w:szCs w:val="12"/>
              </w:rPr>
              <w:footnoteReference w:id="2"/>
            </w:r>
            <w:r w:rsidR="00AB064F" w:rsidRPr="0029430C">
              <w:rPr>
                <w:b/>
                <w:sz w:val="12"/>
                <w:szCs w:val="12"/>
              </w:rPr>
              <w:t xml:space="preserve"> по </w:t>
            </w:r>
            <w:r w:rsidR="00A273C7" w:rsidRPr="0029430C">
              <w:rPr>
                <w:b/>
                <w:sz w:val="12"/>
                <w:szCs w:val="12"/>
              </w:rPr>
              <w:t xml:space="preserve"> процедурата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44A2D" w:rsidRPr="0029430C" w:rsidRDefault="00A16506" w:rsidP="00D24DD1">
            <w:pPr>
              <w:spacing w:before="120"/>
              <w:ind w:left="-109" w:right="-8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Начин на провеждане на </w:t>
            </w:r>
            <w:r w:rsidR="00044A2D" w:rsidRPr="0029430C">
              <w:rPr>
                <w:b/>
                <w:sz w:val="12"/>
                <w:szCs w:val="12"/>
              </w:rPr>
              <w:t>процедура</w:t>
            </w:r>
            <w:r w:rsidRPr="0029430C">
              <w:rPr>
                <w:b/>
                <w:sz w:val="12"/>
                <w:szCs w:val="12"/>
              </w:rPr>
              <w:t>та</w:t>
            </w:r>
            <w:r w:rsidR="00044A2D" w:rsidRPr="0029430C">
              <w:rPr>
                <w:b/>
                <w:sz w:val="12"/>
                <w:szCs w:val="12"/>
              </w:rPr>
              <w:t xml:space="preserve"> </w:t>
            </w:r>
            <w:r w:rsidR="00BC6870" w:rsidRPr="0029430C">
              <w:rPr>
                <w:b/>
                <w:sz w:val="12"/>
                <w:szCs w:val="12"/>
              </w:rPr>
              <w:t>съгласно</w:t>
            </w:r>
            <w:r w:rsidRPr="0029430C">
              <w:rPr>
                <w:b/>
                <w:sz w:val="12"/>
                <w:szCs w:val="12"/>
              </w:rPr>
              <w:t xml:space="preserve"> </w:t>
            </w:r>
            <w:r w:rsidR="00044A2D" w:rsidRPr="0029430C">
              <w:rPr>
                <w:b/>
                <w:sz w:val="12"/>
                <w:szCs w:val="12"/>
              </w:rPr>
              <w:t xml:space="preserve">чл. </w:t>
            </w:r>
            <w:r w:rsidRPr="0029430C">
              <w:rPr>
                <w:b/>
                <w:sz w:val="12"/>
                <w:szCs w:val="12"/>
              </w:rPr>
              <w:t>2</w:t>
            </w:r>
            <w:r w:rsidR="00044A2D" w:rsidRPr="0029430C">
              <w:rPr>
                <w:b/>
                <w:sz w:val="12"/>
                <w:szCs w:val="12"/>
              </w:rPr>
              <w:t xml:space="preserve"> от ПМС № </w:t>
            </w:r>
            <w:r w:rsidRPr="0029430C">
              <w:rPr>
                <w:b/>
                <w:sz w:val="12"/>
                <w:szCs w:val="12"/>
              </w:rPr>
              <w:t>162/2016</w:t>
            </w:r>
            <w:r w:rsidR="00044A2D" w:rsidRPr="0029430C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044A2D" w:rsidRPr="0029430C" w:rsidRDefault="00044A2D" w:rsidP="0029430C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Извършване на предварителен подбор на концеп</w:t>
            </w:r>
            <w:r w:rsidR="00E61729" w:rsidRPr="0029430C">
              <w:rPr>
                <w:b/>
                <w:sz w:val="12"/>
                <w:szCs w:val="12"/>
              </w:rPr>
              <w:t>ции за проектни пре</w:t>
            </w:r>
            <w:r w:rsidR="00FB057B" w:rsidRPr="0029430C">
              <w:rPr>
                <w:b/>
                <w:sz w:val="12"/>
                <w:szCs w:val="12"/>
              </w:rPr>
              <w:t>д</w:t>
            </w:r>
            <w:r w:rsidRPr="0029430C">
              <w:rPr>
                <w:b/>
                <w:sz w:val="12"/>
                <w:szCs w:val="12"/>
              </w:rPr>
              <w:t>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554" w:type="dxa"/>
            <w:gridSpan w:val="3"/>
            <w:vMerge w:val="restart"/>
            <w:shd w:val="clear" w:color="auto" w:fill="auto"/>
          </w:tcPr>
          <w:p w:rsidR="00044A2D" w:rsidRPr="0029430C" w:rsidRDefault="00044A2D" w:rsidP="00917758">
            <w:pPr>
              <w:spacing w:before="120"/>
              <w:ind w:left="-12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Общ размер на БФП  </w:t>
            </w:r>
            <w:r w:rsidR="00917758" w:rsidRPr="0029430C">
              <w:rPr>
                <w:b/>
                <w:sz w:val="12"/>
                <w:szCs w:val="12"/>
              </w:rPr>
              <w:t>по</w:t>
            </w:r>
            <w:r w:rsidRPr="0029430C">
              <w:rPr>
                <w:b/>
                <w:sz w:val="12"/>
                <w:szCs w:val="12"/>
              </w:rPr>
              <w:t xml:space="preserve"> процедурата /лв./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44A2D" w:rsidRPr="0029430C" w:rsidRDefault="00044A2D" w:rsidP="009F7647">
            <w:pPr>
              <w:spacing w:before="120"/>
              <w:ind w:left="-109" w:right="-111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Допустими кандидати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044A2D" w:rsidRPr="0029430C" w:rsidRDefault="00994346" w:rsidP="006904F3">
            <w:pPr>
              <w:spacing w:before="120"/>
              <w:ind w:left="-116" w:right="-123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Примерни</w:t>
            </w:r>
            <w:r w:rsidR="006904F3" w:rsidRPr="0029430C">
              <w:rPr>
                <w:b/>
                <w:sz w:val="12"/>
                <w:szCs w:val="12"/>
              </w:rPr>
              <w:t xml:space="preserve"> д</w:t>
            </w:r>
            <w:r w:rsidR="00044A2D" w:rsidRPr="0029430C">
              <w:rPr>
                <w:b/>
                <w:sz w:val="12"/>
                <w:szCs w:val="12"/>
              </w:rPr>
              <w:t>опустими дейности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</w:tcPr>
          <w:p w:rsidR="00044A2D" w:rsidRPr="0029430C" w:rsidRDefault="00032117" w:rsidP="001B5E09">
            <w:pPr>
              <w:spacing w:before="120"/>
              <w:ind w:left="-108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Категории д</w:t>
            </w:r>
            <w:r w:rsidR="00044A2D" w:rsidRPr="0029430C">
              <w:rPr>
                <w:b/>
                <w:sz w:val="12"/>
                <w:szCs w:val="12"/>
              </w:rPr>
              <w:t>опустими разходи</w:t>
            </w:r>
          </w:p>
        </w:tc>
        <w:tc>
          <w:tcPr>
            <w:tcW w:w="836" w:type="dxa"/>
            <w:gridSpan w:val="2"/>
            <w:vMerge w:val="restart"/>
            <w:shd w:val="clear" w:color="auto" w:fill="auto"/>
          </w:tcPr>
          <w:p w:rsidR="00044A2D" w:rsidRPr="0029430C" w:rsidRDefault="00044A2D" w:rsidP="001B5E09">
            <w:pPr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Максимален </w:t>
            </w:r>
          </w:p>
          <w:p w:rsidR="00044A2D" w:rsidRPr="0029430C" w:rsidRDefault="00044A2D" w:rsidP="00873BF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% на </w:t>
            </w:r>
            <w:proofErr w:type="spellStart"/>
            <w:r w:rsidRPr="0029430C">
              <w:rPr>
                <w:b/>
                <w:sz w:val="12"/>
                <w:szCs w:val="12"/>
              </w:rPr>
              <w:t>съ</w:t>
            </w:r>
            <w:proofErr w:type="spellEnd"/>
            <w:r w:rsidRPr="0029430C">
              <w:rPr>
                <w:b/>
                <w:sz w:val="12"/>
                <w:szCs w:val="12"/>
              </w:rPr>
              <w:t>-финансиране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044A2D" w:rsidRPr="0029430C" w:rsidRDefault="00994346" w:rsidP="001B5E0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044A2D" w:rsidRPr="0029430C">
              <w:rPr>
                <w:b/>
                <w:sz w:val="12"/>
                <w:szCs w:val="12"/>
              </w:rPr>
              <w:t>ата на обявяване на процедурата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29430C" w:rsidRDefault="00994346" w:rsidP="001B5E09">
            <w:pPr>
              <w:spacing w:before="120"/>
              <w:ind w:left="-107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</w:t>
            </w:r>
            <w:r w:rsidR="00044A2D" w:rsidRPr="0029430C">
              <w:rPr>
                <w:b/>
                <w:sz w:val="12"/>
                <w:szCs w:val="12"/>
              </w:rPr>
              <w:t>раен срок за подаване на проектни предложения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5"/>
            </w:r>
          </w:p>
        </w:tc>
        <w:tc>
          <w:tcPr>
            <w:tcW w:w="1276" w:type="dxa"/>
            <w:gridSpan w:val="5"/>
            <w:shd w:val="clear" w:color="auto" w:fill="auto"/>
          </w:tcPr>
          <w:p w:rsidR="00044A2D" w:rsidRPr="0029430C" w:rsidRDefault="00917758" w:rsidP="001B5E09">
            <w:pPr>
              <w:spacing w:before="120"/>
              <w:ind w:left="-102" w:right="-14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Представлява ли процедурата/</w:t>
            </w:r>
            <w:r w:rsidR="00044A2D" w:rsidRPr="0029430C">
              <w:rPr>
                <w:b/>
                <w:sz w:val="12"/>
                <w:szCs w:val="12"/>
              </w:rPr>
              <w:t>част от нея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6"/>
            </w:r>
            <w:r w:rsidR="00044A2D" w:rsidRPr="0029430C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988" w:type="dxa"/>
            <w:gridSpan w:val="4"/>
            <w:shd w:val="clear" w:color="auto" w:fill="auto"/>
          </w:tcPr>
          <w:p w:rsidR="00044A2D" w:rsidRPr="0029430C" w:rsidRDefault="00044A2D" w:rsidP="00044A2D">
            <w:pPr>
              <w:spacing w:before="120"/>
              <w:ind w:left="-10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Размер на БФП за проект /лв./</w:t>
            </w:r>
            <w:r w:rsidR="001B204C" w:rsidRPr="0029430C">
              <w:rPr>
                <w:rStyle w:val="FootnoteReference"/>
                <w:b/>
                <w:sz w:val="12"/>
                <w:szCs w:val="12"/>
              </w:rPr>
              <w:footnoteReference w:id="7"/>
            </w:r>
          </w:p>
        </w:tc>
      </w:tr>
      <w:tr w:rsidR="00E55109" w:rsidRPr="001B5E09" w:rsidTr="0031576A">
        <w:trPr>
          <w:cantSplit/>
          <w:trHeight w:val="419"/>
          <w:tblHeader/>
        </w:trPr>
        <w:tc>
          <w:tcPr>
            <w:tcW w:w="286" w:type="dxa"/>
            <w:vMerge/>
            <w:shd w:val="clear" w:color="auto" w:fill="auto"/>
          </w:tcPr>
          <w:p w:rsidR="00A4628E" w:rsidRPr="00475C20" w:rsidRDefault="00A4628E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4628E" w:rsidRPr="0029430C" w:rsidRDefault="001333C5" w:rsidP="001B5E09">
            <w:pPr>
              <w:ind w:left="-109" w:right="-5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A4628E" w:rsidRPr="0029430C">
              <w:rPr>
                <w:b/>
                <w:sz w:val="12"/>
                <w:szCs w:val="12"/>
              </w:rPr>
              <w:t>ържавна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8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9F7647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A4628E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A4628E" w:rsidRPr="0029430C">
              <w:rPr>
                <w:b/>
                <w:sz w:val="12"/>
                <w:szCs w:val="12"/>
              </w:rPr>
              <w:t>мална</w:t>
            </w:r>
            <w:proofErr w:type="spellEnd"/>
            <w:r w:rsidR="00A4628E" w:rsidRPr="0029430C">
              <w:rPr>
                <w:b/>
                <w:sz w:val="12"/>
                <w:szCs w:val="12"/>
              </w:rPr>
              <w:t xml:space="preserve"> 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9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628E" w:rsidRPr="0029430C" w:rsidRDefault="001333C5" w:rsidP="00044A2D">
            <w:pPr>
              <w:ind w:left="-110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044A2D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044A2D" w:rsidRPr="0029430C">
              <w:rPr>
                <w:b/>
                <w:sz w:val="12"/>
                <w:szCs w:val="12"/>
              </w:rPr>
              <w:t>мален</w:t>
            </w:r>
            <w:proofErr w:type="spellEnd"/>
          </w:p>
        </w:tc>
        <w:tc>
          <w:tcPr>
            <w:tcW w:w="1421" w:type="dxa"/>
            <w:gridSpan w:val="2"/>
            <w:shd w:val="clear" w:color="auto" w:fill="auto"/>
          </w:tcPr>
          <w:p w:rsidR="00A4628E" w:rsidRPr="0029430C" w:rsidRDefault="00044A2D" w:rsidP="00044A2D">
            <w:pPr>
              <w:ind w:left="-110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максимален</w:t>
            </w:r>
          </w:p>
        </w:tc>
      </w:tr>
      <w:tr w:rsidR="003931E6" w:rsidRPr="003931E6" w:rsidTr="0031576A">
        <w:trPr>
          <w:cantSplit/>
          <w:trHeight w:val="134"/>
          <w:tblHeader/>
        </w:trPr>
        <w:tc>
          <w:tcPr>
            <w:tcW w:w="286" w:type="dxa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д.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ж.</w:t>
            </w:r>
          </w:p>
        </w:tc>
        <w:tc>
          <w:tcPr>
            <w:tcW w:w="1391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з.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й.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к.</w:t>
            </w:r>
          </w:p>
        </w:tc>
        <w:tc>
          <w:tcPr>
            <w:tcW w:w="1006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55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44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п.</w:t>
            </w:r>
          </w:p>
        </w:tc>
      </w:tr>
      <w:tr w:rsidR="00AD0B96" w:rsidRPr="00CA59D0" w:rsidTr="00CA59D0">
        <w:trPr>
          <w:trHeight w:val="397"/>
        </w:trPr>
        <w:tc>
          <w:tcPr>
            <w:tcW w:w="16161" w:type="dxa"/>
            <w:gridSpan w:val="34"/>
            <w:shd w:val="clear" w:color="auto" w:fill="E7E6E6" w:themeFill="background2"/>
          </w:tcPr>
          <w:p w:rsidR="0041611F" w:rsidRPr="001B5E09" w:rsidRDefault="003C24DB" w:rsidP="00F81AB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 xml:space="preserve">Приоритетна ос 1 „Развитие на железопътната инфраструктура по „основната” </w:t>
            </w:r>
            <w:proofErr w:type="spellStart"/>
            <w:r w:rsidRPr="00CA59D0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E55109" w:rsidRPr="001B5E09" w:rsidTr="0031576A">
        <w:tc>
          <w:tcPr>
            <w:tcW w:w="286" w:type="dxa"/>
            <w:shd w:val="clear" w:color="auto" w:fill="auto"/>
          </w:tcPr>
          <w:p w:rsidR="003C24DB" w:rsidRPr="00CA59D0" w:rsidRDefault="001333C5" w:rsidP="001333C5">
            <w:pPr>
              <w:ind w:left="-108"/>
              <w:rPr>
                <w:b/>
                <w:sz w:val="16"/>
                <w:szCs w:val="16"/>
              </w:rPr>
            </w:pPr>
            <w:r w:rsidRPr="00CA59D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110" w:right="-109"/>
              <w:rPr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BG16М1OP001-1.001</w:t>
            </w:r>
            <w:r w:rsidRPr="00CA59D0">
              <w:rPr>
                <w:sz w:val="18"/>
                <w:szCs w:val="18"/>
              </w:rPr>
              <w:t xml:space="preserve"> „Развитие на железопътната инфраструктура по „основната” </w:t>
            </w:r>
            <w:proofErr w:type="spellStart"/>
            <w:r w:rsidRPr="00CA59D0">
              <w:rPr>
                <w:sz w:val="18"/>
                <w:szCs w:val="18"/>
              </w:rPr>
              <w:lastRenderedPageBreak/>
              <w:t>Трансевропейска</w:t>
            </w:r>
            <w:proofErr w:type="spellEnd"/>
            <w:r w:rsidRPr="00CA59D0">
              <w:rPr>
                <w:sz w:val="18"/>
                <w:szCs w:val="18"/>
              </w:rPr>
              <w:t xml:space="preserve"> транспортна мрежа –</w:t>
            </w:r>
            <w:proofErr w:type="spellStart"/>
            <w:r w:rsidRPr="00CA59D0">
              <w:rPr>
                <w:b/>
                <w:sz w:val="18"/>
                <w:szCs w:val="18"/>
              </w:rPr>
              <w:t>инфраструктур</w:t>
            </w:r>
            <w:proofErr w:type="spellEnd"/>
            <w:r w:rsidR="0050158D">
              <w:rPr>
                <w:b/>
                <w:sz w:val="18"/>
                <w:szCs w:val="18"/>
              </w:rPr>
              <w:t>-</w:t>
            </w:r>
            <w:r w:rsidRPr="00CA59D0">
              <w:rPr>
                <w:b/>
                <w:sz w:val="18"/>
                <w:szCs w:val="18"/>
              </w:rPr>
              <w:t>ни проекти</w:t>
            </w:r>
            <w:r w:rsidRPr="00CA59D0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107" w:right="-120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 xml:space="preserve">Привличане на пътнически и товарен трафик чрез подобряване </w:t>
            </w:r>
            <w:r w:rsidRPr="00CA59D0">
              <w:rPr>
                <w:sz w:val="18"/>
                <w:szCs w:val="18"/>
              </w:rPr>
              <w:lastRenderedPageBreak/>
              <w:t xml:space="preserve">на качеството на </w:t>
            </w:r>
            <w:proofErr w:type="spellStart"/>
            <w:r w:rsidRPr="00CA59D0">
              <w:rPr>
                <w:sz w:val="18"/>
                <w:szCs w:val="18"/>
              </w:rPr>
              <w:t>железо</w:t>
            </w:r>
            <w:proofErr w:type="spellEnd"/>
            <w:r w:rsidRPr="00CA59D0">
              <w:rPr>
                <w:sz w:val="18"/>
                <w:szCs w:val="18"/>
              </w:rPr>
              <w:t xml:space="preserve">-пътната </w:t>
            </w:r>
            <w:proofErr w:type="spellStart"/>
            <w:r w:rsidRPr="00CA59D0">
              <w:rPr>
                <w:sz w:val="18"/>
                <w:szCs w:val="18"/>
              </w:rPr>
              <w:t>инфраструк</w:t>
            </w:r>
            <w:proofErr w:type="spellEnd"/>
            <w:r w:rsidRPr="00CA59D0">
              <w:rPr>
                <w:sz w:val="18"/>
                <w:szCs w:val="18"/>
              </w:rPr>
              <w:t>-тура по Транс-европейската транспортна мрежа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24DB" w:rsidRPr="00CA59D0" w:rsidRDefault="0031647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ДП</w:t>
            </w:r>
            <w:r w:rsidRPr="00CA59D0">
              <w:rPr>
                <w:rStyle w:val="FootnoteReference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C24DB" w:rsidRPr="00CA59D0" w:rsidRDefault="00373835" w:rsidP="00CC1080">
            <w:pPr>
              <w:ind w:right="-11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0.00</w:t>
            </w:r>
            <w:r w:rsidR="00CC1080" w:rsidRPr="00CC1080">
              <w:rPr>
                <w:b/>
                <w:bCs/>
                <w:sz w:val="18"/>
                <w:szCs w:val="18"/>
              </w:rPr>
              <w:t xml:space="preserve"> </w:t>
            </w:r>
            <w:r w:rsidR="0029430C" w:rsidRPr="00CA59D0">
              <w:rPr>
                <w:rStyle w:val="FootnoteReference"/>
                <w:sz w:val="18"/>
                <w:szCs w:val="18"/>
              </w:rPr>
              <w:footnoteReference w:id="11"/>
            </w:r>
            <w:r w:rsidR="009C2975" w:rsidRPr="00CA5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96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НКЖИ</w:t>
            </w:r>
            <w:r w:rsidRPr="00CA59D0">
              <w:rPr>
                <w:rStyle w:val="FootnoteReference"/>
                <w:sz w:val="18"/>
                <w:szCs w:val="18"/>
              </w:rPr>
              <w:footnoteReference w:id="12"/>
            </w:r>
          </w:p>
        </w:tc>
        <w:tc>
          <w:tcPr>
            <w:tcW w:w="1391" w:type="dxa"/>
            <w:shd w:val="clear" w:color="auto" w:fill="auto"/>
          </w:tcPr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Изграждане, модернизация, рехабилитация, електрификация и</w:t>
            </w:r>
          </w:p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внедряване на сигнализация и телекомуникации на железопътни участъци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 xml:space="preserve"> Проектиране;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СМР;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 xml:space="preserve"> Доставка на оборудване и съоръжения;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Публичност;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съответствието и надзор по време на строителството;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оперативната съвместимост;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</w:t>
            </w:r>
            <w:proofErr w:type="spellStart"/>
            <w:r w:rsidRPr="00CA59D0">
              <w:rPr>
                <w:sz w:val="18"/>
                <w:szCs w:val="18"/>
              </w:rPr>
              <w:t>Отчуждителни</w:t>
            </w:r>
            <w:proofErr w:type="spellEnd"/>
            <w:r w:rsidRPr="00CA59D0">
              <w:rPr>
                <w:sz w:val="18"/>
                <w:szCs w:val="18"/>
              </w:rPr>
              <w:t xml:space="preserve"> процедури;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100 %</w:t>
            </w:r>
            <w:r w:rsidRPr="00CA59D0">
              <w:rPr>
                <w:rStyle w:val="FootnoteReference"/>
                <w:sz w:val="18"/>
                <w:szCs w:val="18"/>
              </w:rPr>
              <w:footnoteReference w:id="13"/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93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C24DB" w:rsidRPr="00CA59D0" w:rsidRDefault="003C24DB" w:rsidP="008C101E">
            <w:pPr>
              <w:ind w:left="-9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31.12.20</w:t>
            </w:r>
            <w:r w:rsidR="00F81AB8">
              <w:rPr>
                <w:sz w:val="18"/>
                <w:szCs w:val="18"/>
                <w:lang w:val="en-US"/>
              </w:rPr>
              <w:t>2</w:t>
            </w:r>
            <w:r w:rsidR="008C101E">
              <w:rPr>
                <w:sz w:val="18"/>
                <w:szCs w:val="18"/>
                <w:lang w:val="en-US"/>
              </w:rPr>
              <w:t>1</w:t>
            </w:r>
            <w:r w:rsidRPr="00CA59D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  <w:r w:rsidR="006163EC" w:rsidRPr="00CA59D0">
              <w:rPr>
                <w:rStyle w:val="FootnoteReference"/>
                <w:sz w:val="18"/>
                <w:szCs w:val="18"/>
              </w:rPr>
              <w:footnoteReference w:id="14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CC1080" w:rsidRPr="00373835" w:rsidRDefault="00373835" w:rsidP="00D77EEC">
            <w:pPr>
              <w:ind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0.00</w:t>
            </w:r>
          </w:p>
          <w:p w:rsidR="003C24DB" w:rsidRPr="001B5E09" w:rsidRDefault="003C24DB" w:rsidP="009C2975">
            <w:pPr>
              <w:ind w:left="-108" w:right="-108"/>
              <w:rPr>
                <w:b/>
                <w:sz w:val="18"/>
                <w:szCs w:val="18"/>
              </w:rPr>
            </w:pPr>
          </w:p>
        </w:tc>
      </w:tr>
      <w:tr w:rsidR="0031576A" w:rsidRPr="001B5E09" w:rsidTr="0031576A">
        <w:tc>
          <w:tcPr>
            <w:tcW w:w="286" w:type="dxa"/>
            <w:shd w:val="clear" w:color="auto" w:fill="auto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2.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BG16М1OP001-1.002</w:t>
            </w:r>
            <w:r w:rsidRPr="003235CC">
              <w:rPr>
                <w:sz w:val="18"/>
                <w:szCs w:val="18"/>
              </w:rPr>
              <w:t xml:space="preserve"> „Развитие на железопътната инфраструктура по „основната” </w:t>
            </w:r>
            <w:proofErr w:type="spellStart"/>
            <w:r w:rsidRPr="003235CC">
              <w:rPr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Техническа помощ за подготовката  на </w:t>
            </w:r>
            <w:proofErr w:type="spellStart"/>
            <w:r w:rsidRPr="003235CC">
              <w:rPr>
                <w:sz w:val="18"/>
                <w:szCs w:val="18"/>
              </w:rPr>
              <w:t>инвести-ционни</w:t>
            </w:r>
            <w:proofErr w:type="spellEnd"/>
            <w:r w:rsidRPr="003235CC">
              <w:rPr>
                <w:sz w:val="18"/>
                <w:szCs w:val="18"/>
              </w:rPr>
              <w:t xml:space="preserve"> проекти за развитие на железопътна-та </w:t>
            </w:r>
            <w:proofErr w:type="spellStart"/>
            <w:r w:rsidRPr="003235CC">
              <w:rPr>
                <w:sz w:val="18"/>
                <w:szCs w:val="18"/>
              </w:rPr>
              <w:t>инфра</w:t>
            </w:r>
            <w:proofErr w:type="spellEnd"/>
            <w:r w:rsidRPr="003235CC">
              <w:rPr>
                <w:sz w:val="18"/>
                <w:szCs w:val="18"/>
              </w:rPr>
              <w:t>-структура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8F47BD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1576A" w:rsidRPr="00D6505B" w:rsidRDefault="00BB25A3" w:rsidP="0031576A">
            <w:pPr>
              <w:ind w:right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34 857 841,90</w:t>
            </w:r>
            <w:r w:rsidR="0064741D">
              <w:rPr>
                <w:bCs/>
                <w:sz w:val="18"/>
                <w:szCs w:val="18"/>
              </w:rPr>
              <w:t xml:space="preserve"> </w:t>
            </w:r>
            <w:r w:rsidR="0031576A">
              <w:rPr>
                <w:rStyle w:val="FootnoteReference"/>
                <w:bCs/>
                <w:sz w:val="18"/>
                <w:szCs w:val="18"/>
              </w:rPr>
              <w:footnoteReference w:id="15"/>
            </w:r>
            <w:r w:rsidR="0031576A" w:rsidRPr="00D6505B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391" w:type="dxa"/>
            <w:shd w:val="clear" w:color="auto" w:fill="auto"/>
          </w:tcPr>
          <w:p w:rsidR="0031576A" w:rsidRDefault="0031576A" w:rsidP="0031576A">
            <w:pPr>
              <w:ind w:left="-104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инвестиционни проекти за развитие на железопътната инфраструктура, включени</w:t>
            </w:r>
            <w:r>
              <w:rPr>
                <w:sz w:val="18"/>
                <w:szCs w:val="18"/>
              </w:rPr>
              <w:t xml:space="preserve"> за финансиране 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 приоритетната ос, включително изготвяне или актуализация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Оценки на съответствието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ОВОС;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Изготвяне/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1576A" w:rsidRPr="003235CC" w:rsidRDefault="008C101E" w:rsidP="004F7533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  <w:r w:rsidR="0031576A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576A" w:rsidRPr="006163EC" w:rsidRDefault="0031576A" w:rsidP="00315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1576A" w:rsidRPr="00BB25A3" w:rsidRDefault="00BB25A3" w:rsidP="00FA66F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B25A3">
              <w:rPr>
                <w:bCs/>
                <w:sz w:val="18"/>
                <w:szCs w:val="18"/>
              </w:rPr>
              <w:t xml:space="preserve">34 857 841,90    </w:t>
            </w:r>
          </w:p>
        </w:tc>
      </w:tr>
      <w:tr w:rsidR="0031576A" w:rsidRPr="003235CC" w:rsidTr="0056308C">
        <w:tc>
          <w:tcPr>
            <w:tcW w:w="16161" w:type="dxa"/>
            <w:gridSpan w:val="34"/>
            <w:shd w:val="clear" w:color="auto" w:fill="EEECE1"/>
          </w:tcPr>
          <w:p w:rsidR="0031576A" w:rsidRPr="003235CC" w:rsidRDefault="0031576A" w:rsidP="0031576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lastRenderedPageBreak/>
              <w:t xml:space="preserve">Приоритетна ос 2 „Развитие на пътната инфраструктура по „основната” и „разширената” </w:t>
            </w:r>
            <w:proofErr w:type="spellStart"/>
            <w:r w:rsidRPr="003235CC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31576A" w:rsidRPr="003235CC" w:rsidTr="0031576A">
        <w:tc>
          <w:tcPr>
            <w:tcW w:w="286" w:type="dxa"/>
            <w:shd w:val="clear" w:color="auto" w:fill="auto"/>
            <w:vAlign w:val="center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31576A" w:rsidRPr="003235CC" w:rsidRDefault="0031576A" w:rsidP="0031576A">
            <w:pPr>
              <w:ind w:left="-87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BG16М1OP001-2.001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</w:t>
            </w:r>
            <w:proofErr w:type="spellStart"/>
            <w:r w:rsidRPr="003235CC">
              <w:rPr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инфраструктурни проекти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1576A" w:rsidRPr="003235CC" w:rsidRDefault="003368C3" w:rsidP="0031576A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376 869 945,69</w:t>
            </w:r>
            <w:r w:rsidR="00B36F5A">
              <w:rPr>
                <w:sz w:val="18"/>
                <w:szCs w:val="18"/>
              </w:rPr>
              <w:t xml:space="preserve"> </w:t>
            </w:r>
            <w:r w:rsidR="0031576A" w:rsidRPr="003235CC">
              <w:rPr>
                <w:rStyle w:val="FootnoteReference"/>
                <w:sz w:val="18"/>
                <w:szCs w:val="18"/>
              </w:rPr>
              <w:footnoteReference w:id="16"/>
            </w:r>
          </w:p>
          <w:p w:rsidR="0031576A" w:rsidRPr="003235CC" w:rsidRDefault="0031576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  <w:r w:rsidRPr="003235CC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Изграждане и модернизация на участъци от пътната инфраструктура по „основната“ и 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та“ Транс – европейска 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надзор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отчуждителни</w:t>
            </w:r>
            <w:proofErr w:type="spellEnd"/>
            <w:r w:rsidRPr="003235CC">
              <w:rPr>
                <w:sz w:val="18"/>
                <w:szCs w:val="18"/>
              </w:rPr>
              <w:t xml:space="preserve"> процедури; 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31576A" w:rsidRPr="003235CC" w:rsidRDefault="0031576A" w:rsidP="0031576A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1576A" w:rsidRPr="003235CC" w:rsidRDefault="0031576A" w:rsidP="0031576A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31576A" w:rsidRPr="003235CC" w:rsidRDefault="0031576A" w:rsidP="008C101E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B36F5A">
              <w:rPr>
                <w:sz w:val="18"/>
                <w:szCs w:val="18"/>
              </w:rPr>
              <w:t>2</w:t>
            </w:r>
            <w:r w:rsidR="008C101E">
              <w:rPr>
                <w:sz w:val="18"/>
                <w:szCs w:val="18"/>
                <w:lang w:val="en-US"/>
              </w:rPr>
              <w:t>1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31576A" w:rsidRPr="003235CC" w:rsidRDefault="003368C3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3368C3">
              <w:rPr>
                <w:sz w:val="18"/>
                <w:szCs w:val="18"/>
              </w:rPr>
              <w:t xml:space="preserve">376 869 945,69    </w:t>
            </w:r>
          </w:p>
        </w:tc>
      </w:tr>
      <w:tr w:rsidR="00713090" w:rsidRPr="003235CC" w:rsidTr="0031576A">
        <w:tc>
          <w:tcPr>
            <w:tcW w:w="286" w:type="dxa"/>
            <w:shd w:val="clear" w:color="auto" w:fill="auto"/>
          </w:tcPr>
          <w:p w:rsidR="00713090" w:rsidRPr="003235CC" w:rsidRDefault="00713090" w:rsidP="0071309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13090" w:rsidRPr="003235CC" w:rsidRDefault="00713090" w:rsidP="00713090">
            <w:pPr>
              <w:ind w:left="-98" w:right="-110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BG16М1OP001-2.002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 xml:space="preserve">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94" w:right="-22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713090" w:rsidRPr="003235CC" w:rsidRDefault="003368C3" w:rsidP="00D77EEC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21 568 876,90  </w:t>
            </w:r>
            <w:r w:rsidR="00713090">
              <w:rPr>
                <w:rStyle w:val="FootnoteReference"/>
                <w:sz w:val="18"/>
                <w:szCs w:val="18"/>
              </w:rPr>
              <w:footnoteReference w:id="18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инвестиционни проекти за развитие на пътната инфраструктура, включени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за финансиране по приоритетната ос, включително изготвяне или актуализация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околната среда, проектиране</w:t>
            </w:r>
          </w:p>
        </w:tc>
        <w:tc>
          <w:tcPr>
            <w:tcW w:w="1518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и проектиране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ОВОС;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Изготвяне/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713090" w:rsidRPr="00FE1BB7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FE1BB7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713090" w:rsidP="008C101E">
            <w:pPr>
              <w:ind w:left="-107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6A67FD">
              <w:rPr>
                <w:sz w:val="18"/>
                <w:szCs w:val="18"/>
              </w:rPr>
              <w:t>2</w:t>
            </w:r>
            <w:r w:rsidR="008C101E">
              <w:rPr>
                <w:sz w:val="18"/>
                <w:szCs w:val="18"/>
                <w:lang w:val="en-US"/>
              </w:rPr>
              <w:t>1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3235CC" w:rsidRDefault="003F659C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3F659C">
              <w:rPr>
                <w:bCs/>
                <w:sz w:val="18"/>
                <w:szCs w:val="18"/>
              </w:rPr>
              <w:t xml:space="preserve">   </w:t>
            </w:r>
            <w:r w:rsidR="003368C3" w:rsidRPr="003368C3">
              <w:rPr>
                <w:bCs/>
                <w:sz w:val="18"/>
                <w:szCs w:val="18"/>
              </w:rPr>
              <w:t xml:space="preserve">21 568 876,90    </w:t>
            </w:r>
          </w:p>
        </w:tc>
      </w:tr>
      <w:tr w:rsidR="00713090" w:rsidRPr="001C2B65" w:rsidTr="0056308C">
        <w:tc>
          <w:tcPr>
            <w:tcW w:w="16161" w:type="dxa"/>
            <w:gridSpan w:val="34"/>
            <w:shd w:val="clear" w:color="auto" w:fill="EEECE1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5 „Техническа помощ”</w:t>
            </w:r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BG16М1OP001-5.001</w:t>
            </w:r>
            <w:r w:rsidRPr="003235CC">
              <w:rPr>
                <w:sz w:val="18"/>
                <w:szCs w:val="18"/>
              </w:rPr>
              <w:t xml:space="preserve"> „Техническа помощ“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„Осигуряване на необходимите условия за успешно приключване на ОПТ 2007-2013 и изпълнение на ОПТТИ 2014-2020, повишаване на </w:t>
            </w:r>
            <w:proofErr w:type="spellStart"/>
            <w:r w:rsidRPr="003235CC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тивния</w:t>
            </w:r>
            <w:proofErr w:type="spellEnd"/>
            <w:r w:rsidRPr="003235CC">
              <w:rPr>
                <w:sz w:val="18"/>
                <w:szCs w:val="18"/>
              </w:rPr>
              <w:t xml:space="preserve">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8A61B7" w:rsidP="00CD5425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27 700 235,23 </w:t>
            </w:r>
            <w:r w:rsidR="00713090">
              <w:rPr>
                <w:rStyle w:val="FootnoteReference"/>
                <w:sz w:val="18"/>
                <w:szCs w:val="18"/>
              </w:rPr>
              <w:footnoteReference w:id="19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Метрополитен ЕАД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ИАМА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ИАППД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7B538B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успешното приключване на ОПТ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2007-2013 г.) и подготовка на следващия програмен период,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укрепване и повишаване на административния капацитет на</w:t>
            </w:r>
            <w:r>
              <w:rPr>
                <w:sz w:val="18"/>
                <w:szCs w:val="18"/>
              </w:rPr>
              <w:t xml:space="preserve"> бенефициентите по ОПТТИ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7B538B">
              <w:rPr>
                <w:sz w:val="18"/>
                <w:szCs w:val="18"/>
              </w:rPr>
              <w:t>Дейности, насочени към ефективна подготовка,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изпълнение, мониторинг, контрол, оценка и популяризиране на инвестициите в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транспорта, дейности, насочени към прилагане на Директива 2014/24 от 26.02.2014 г.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 xml:space="preserve">относно задължителното прилагане на електронни търгове, </w:t>
            </w:r>
          </w:p>
          <w:p w:rsidR="00713090" w:rsidRPr="00E833F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E833FC">
              <w:rPr>
                <w:sz w:val="18"/>
                <w:szCs w:val="18"/>
              </w:rPr>
              <w:lastRenderedPageBreak/>
              <w:t>Дейности, насочени към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подпомагане на МТИТС в областта на стратегическото управление на железопътния</w:t>
            </w:r>
          </w:p>
          <w:p w:rsidR="00713090" w:rsidRPr="003235CC" w:rsidRDefault="00713090" w:rsidP="00713090">
            <w:pPr>
              <w:tabs>
                <w:tab w:val="left" w:pos="59"/>
              </w:tabs>
              <w:ind w:left="59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сектор, включително за провеждането на реформи в същия.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8A61B7" w:rsidP="004F7533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31.12.2021</w:t>
            </w:r>
            <w:r w:rsidR="00713090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8A61B7" w:rsidP="00713090">
            <w:pPr>
              <w:ind w:left="-100" w:right="-112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 xml:space="preserve">27 700 235,23 </w:t>
            </w:r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BG16М1OP001-5.002</w:t>
            </w:r>
            <w:r w:rsidRPr="003235CC">
              <w:rPr>
                <w:sz w:val="18"/>
                <w:szCs w:val="18"/>
              </w:rPr>
              <w:t xml:space="preserve"> „Бюджетни линии“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„Осигуряване на необходимите условия за успешно приключване на ОПТ 2007-2013 и изпълнение на ОПТТИ 2014-2020, повишаване на </w:t>
            </w:r>
            <w:proofErr w:type="spellStart"/>
            <w:r w:rsidRPr="003235CC">
              <w:rPr>
                <w:sz w:val="18"/>
                <w:szCs w:val="18"/>
              </w:rPr>
              <w:t>административ</w:t>
            </w:r>
            <w:proofErr w:type="spellEnd"/>
            <w:r w:rsidR="00E04EE3">
              <w:rPr>
                <w:sz w:val="18"/>
                <w:szCs w:val="18"/>
              </w:rPr>
              <w:t xml:space="preserve">- </w:t>
            </w:r>
            <w:proofErr w:type="spellStart"/>
            <w:r w:rsidRPr="003235CC">
              <w:rPr>
                <w:sz w:val="18"/>
                <w:szCs w:val="18"/>
              </w:rPr>
              <w:t>ния</w:t>
            </w:r>
            <w:proofErr w:type="spellEnd"/>
            <w:r w:rsidRPr="003235CC">
              <w:rPr>
                <w:sz w:val="18"/>
                <w:szCs w:val="18"/>
              </w:rPr>
              <w:t xml:space="preserve">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8A61B7" w:rsidP="00CD5425">
            <w:pPr>
              <w:ind w:left="-112" w:right="-10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4 337 983,59 </w:t>
            </w:r>
            <w:r w:rsidR="00713090">
              <w:rPr>
                <w:rStyle w:val="FootnoteReference"/>
                <w:sz w:val="18"/>
                <w:szCs w:val="18"/>
              </w:rPr>
              <w:footnoteReference w:id="20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успешното приключване на ОПТ (програмен период 2007-2013 г.) и подготовка на следващия програмен период; </w:t>
            </w:r>
          </w:p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укрепване и повишаване на административния капацитет на УО на ОПТТИ;</w:t>
            </w:r>
          </w:p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подпомагане на УО на ОПТТИ, съвместно с МФ в областта на прилагането на правилата за държавните  помощи, в т.ч. обучения, обмяна на опит, разработване на процедури и други приложими </w:t>
            </w:r>
            <w:r w:rsidRPr="003235CC">
              <w:rPr>
                <w:sz w:val="18"/>
                <w:szCs w:val="18"/>
              </w:rPr>
              <w:lastRenderedPageBreak/>
              <w:t>дейности в сектора.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8A61B7" w:rsidP="00D83082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31.12.2021</w:t>
            </w:r>
            <w:r w:rsidR="004F7533">
              <w:rPr>
                <w:sz w:val="18"/>
                <w:szCs w:val="18"/>
              </w:rPr>
              <w:t xml:space="preserve"> </w:t>
            </w:r>
            <w:r w:rsidR="00713090" w:rsidRPr="003235CC">
              <w:rPr>
                <w:sz w:val="18"/>
                <w:szCs w:val="18"/>
              </w:rPr>
              <w:t>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8A61B7" w:rsidP="001A75FF">
            <w:pPr>
              <w:ind w:left="-100"/>
              <w:jc w:val="right"/>
              <w:rPr>
                <w:sz w:val="18"/>
                <w:szCs w:val="18"/>
                <w:highlight w:val="yellow"/>
              </w:rPr>
            </w:pPr>
            <w:r w:rsidRPr="008A61B7">
              <w:rPr>
                <w:bCs/>
                <w:sz w:val="18"/>
                <w:szCs w:val="18"/>
              </w:rPr>
              <w:t xml:space="preserve">4 337 983,59    </w:t>
            </w:r>
          </w:p>
        </w:tc>
      </w:tr>
    </w:tbl>
    <w:p w:rsidR="00487BB2" w:rsidRDefault="00487BB2" w:rsidP="00AF546B">
      <w:pPr>
        <w:rPr>
          <w:b/>
          <w:sz w:val="16"/>
          <w:szCs w:val="16"/>
        </w:rPr>
      </w:pPr>
    </w:p>
    <w:p w:rsidR="008A61B7" w:rsidRDefault="008A61B7" w:rsidP="00AF546B">
      <w:pPr>
        <w:rPr>
          <w:b/>
          <w:sz w:val="16"/>
          <w:szCs w:val="16"/>
        </w:rPr>
      </w:pPr>
    </w:p>
    <w:p w:rsidR="008A61B7" w:rsidRDefault="008A61B7" w:rsidP="00AF546B">
      <w:pPr>
        <w:rPr>
          <w:b/>
          <w:sz w:val="16"/>
          <w:szCs w:val="16"/>
        </w:rPr>
      </w:pPr>
    </w:p>
    <w:p w:rsidR="008A61B7" w:rsidRPr="00182256" w:rsidRDefault="008A61B7" w:rsidP="00AF546B">
      <w:pPr>
        <w:rPr>
          <w:b/>
          <w:sz w:val="16"/>
          <w:szCs w:val="16"/>
        </w:rPr>
      </w:pPr>
    </w:p>
    <w:tbl>
      <w:tblPr>
        <w:tblW w:w="16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18"/>
        <w:gridCol w:w="935"/>
        <w:gridCol w:w="1146"/>
        <w:gridCol w:w="1138"/>
        <w:gridCol w:w="965"/>
        <w:gridCol w:w="819"/>
        <w:gridCol w:w="1006"/>
        <w:gridCol w:w="898"/>
        <w:gridCol w:w="897"/>
        <w:gridCol w:w="898"/>
        <w:gridCol w:w="993"/>
        <w:gridCol w:w="1017"/>
        <w:gridCol w:w="1047"/>
        <w:gridCol w:w="760"/>
        <w:gridCol w:w="898"/>
        <w:gridCol w:w="744"/>
        <w:gridCol w:w="711"/>
      </w:tblGrid>
      <w:tr w:rsidR="00044A2D" w:rsidRPr="001B5E09" w:rsidTr="00182256">
        <w:trPr>
          <w:trHeight w:val="315"/>
        </w:trPr>
        <w:tc>
          <w:tcPr>
            <w:tcW w:w="16190" w:type="dxa"/>
            <w:gridSpan w:val="18"/>
            <w:shd w:val="clear" w:color="auto" w:fill="auto"/>
          </w:tcPr>
          <w:p w:rsidR="003E7FE6" w:rsidRPr="001B5E09" w:rsidRDefault="003E7FE6" w:rsidP="0068020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B5E09">
              <w:rPr>
                <w:b/>
                <w:sz w:val="20"/>
                <w:szCs w:val="20"/>
              </w:rPr>
              <w:t xml:space="preserve">Процедури, по които се предоставя </w:t>
            </w:r>
            <w:r w:rsidR="00680205" w:rsidRPr="001B5E09">
              <w:rPr>
                <w:b/>
                <w:sz w:val="20"/>
                <w:szCs w:val="20"/>
              </w:rPr>
              <w:t xml:space="preserve">БФП </w:t>
            </w:r>
            <w:r w:rsidRPr="001B5E09">
              <w:rPr>
                <w:b/>
                <w:sz w:val="20"/>
                <w:szCs w:val="20"/>
              </w:rPr>
              <w:t>за интегрирани проектни предложения</w:t>
            </w:r>
          </w:p>
        </w:tc>
      </w:tr>
      <w:tr w:rsidR="00044A2D" w:rsidRPr="001B5E09" w:rsidTr="00032117">
        <w:trPr>
          <w:trHeight w:val="711"/>
        </w:trPr>
        <w:tc>
          <w:tcPr>
            <w:tcW w:w="300" w:type="dxa"/>
            <w:vMerge w:val="restart"/>
            <w:shd w:val="clear" w:color="auto" w:fill="auto"/>
          </w:tcPr>
          <w:p w:rsidR="00044A2D" w:rsidRPr="00044A2D" w:rsidRDefault="00044A2D" w:rsidP="00A4628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044A2D" w:rsidRPr="00044A2D" w:rsidRDefault="00044A2D" w:rsidP="00044A2D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Наимено-вание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на  процедурата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044A2D" w:rsidRPr="00044A2D" w:rsidRDefault="00044A2D" w:rsidP="00680205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Цели на</w:t>
            </w:r>
            <w:r w:rsidR="00A273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273C7">
              <w:rPr>
                <w:b/>
                <w:sz w:val="16"/>
                <w:szCs w:val="16"/>
              </w:rPr>
              <w:t>предоста</w:t>
            </w:r>
            <w:proofErr w:type="spellEnd"/>
            <w:r w:rsidR="00A273C7">
              <w:rPr>
                <w:b/>
                <w:sz w:val="16"/>
                <w:szCs w:val="16"/>
              </w:rPr>
              <w:t>-вяната БФП по</w:t>
            </w:r>
            <w:r w:rsidRPr="00044A2D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44A2D" w:rsidRPr="00044A2D" w:rsidRDefault="00A16506" w:rsidP="00D24DD1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Начин на провеждане на </w:t>
            </w:r>
            <w:r w:rsidR="00044A2D" w:rsidRPr="00044A2D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>та</w:t>
            </w:r>
            <w:r w:rsidR="00044A2D" w:rsidRPr="00044A2D">
              <w:rPr>
                <w:b/>
                <w:sz w:val="16"/>
                <w:szCs w:val="16"/>
              </w:rPr>
              <w:t xml:space="preserve">  </w:t>
            </w:r>
            <w:r w:rsidR="00BC6870">
              <w:rPr>
                <w:b/>
                <w:sz w:val="16"/>
                <w:szCs w:val="16"/>
              </w:rPr>
              <w:t>съгласно</w:t>
            </w:r>
            <w:r w:rsidR="00044A2D" w:rsidRPr="00044A2D">
              <w:rPr>
                <w:b/>
                <w:sz w:val="16"/>
                <w:szCs w:val="16"/>
              </w:rPr>
              <w:t xml:space="preserve"> чл. </w:t>
            </w:r>
            <w:r>
              <w:rPr>
                <w:b/>
                <w:sz w:val="16"/>
                <w:szCs w:val="16"/>
              </w:rPr>
              <w:t>2</w:t>
            </w:r>
            <w:r w:rsidR="00044A2D" w:rsidRPr="00044A2D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162</w:t>
            </w:r>
            <w:r w:rsidR="00044A2D" w:rsidRPr="00044A2D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6</w:t>
            </w:r>
            <w:r w:rsidR="00044A2D" w:rsidRPr="00044A2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Извършване на </w:t>
            </w:r>
            <w:proofErr w:type="spellStart"/>
            <w:r w:rsidRPr="00044A2D">
              <w:rPr>
                <w:b/>
                <w:sz w:val="16"/>
                <w:szCs w:val="16"/>
              </w:rPr>
              <w:t>предва-рителен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подбор на концепции за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1"/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Водеща програма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22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044A2D" w:rsidRDefault="00044A2D" w:rsidP="00917758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Общ размер на БФП  </w:t>
            </w:r>
            <w:r w:rsidR="00917758">
              <w:rPr>
                <w:b/>
                <w:sz w:val="16"/>
                <w:szCs w:val="16"/>
              </w:rPr>
              <w:t>по</w:t>
            </w:r>
            <w:r w:rsidRPr="00044A2D">
              <w:rPr>
                <w:b/>
                <w:sz w:val="16"/>
                <w:szCs w:val="16"/>
              </w:rPr>
              <w:t xml:space="preserve"> процедурата /лв./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044A2D" w:rsidP="009F7647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044A2D" w:rsidRPr="00044A2D" w:rsidRDefault="00994346" w:rsidP="006904F3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</w:t>
            </w:r>
            <w:r w:rsidR="006904F3"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опустими дейности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1B204C" w:rsidP="001B5E0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="00044A2D" w:rsidRPr="00044A2D">
              <w:rPr>
                <w:b/>
                <w:sz w:val="16"/>
                <w:szCs w:val="16"/>
              </w:rPr>
              <w:t>опустими разходи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Максимален </w:t>
            </w:r>
          </w:p>
          <w:p w:rsidR="00044A2D" w:rsidRPr="00044A2D" w:rsidRDefault="00044A2D" w:rsidP="000A25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044A2D">
              <w:rPr>
                <w:b/>
                <w:sz w:val="16"/>
                <w:szCs w:val="16"/>
              </w:rPr>
              <w:t>съ</w:t>
            </w:r>
            <w:proofErr w:type="spellEnd"/>
            <w:r w:rsidRPr="00044A2D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ата на обявяване на процедурата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3"/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044A2D" w:rsidRPr="00044A2D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4"/>
            </w:r>
          </w:p>
        </w:tc>
        <w:tc>
          <w:tcPr>
            <w:tcW w:w="1658" w:type="dxa"/>
            <w:gridSpan w:val="2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5"/>
            </w:r>
            <w:r w:rsidRPr="00044A2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44A2D" w:rsidRPr="00044A2D" w:rsidRDefault="00044A2D" w:rsidP="00C969AF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Размер на БФП за интегриран проект </w:t>
            </w:r>
            <w:r w:rsidR="00032117">
              <w:rPr>
                <w:b/>
                <w:sz w:val="16"/>
                <w:szCs w:val="16"/>
              </w:rPr>
              <w:t>– общо и по програм</w:t>
            </w:r>
            <w:r w:rsidR="00C969AF">
              <w:rPr>
                <w:b/>
                <w:sz w:val="16"/>
                <w:szCs w:val="16"/>
              </w:rPr>
              <w:t>и</w:t>
            </w:r>
            <w:r w:rsidR="00032117">
              <w:rPr>
                <w:b/>
                <w:sz w:val="16"/>
                <w:szCs w:val="16"/>
              </w:rPr>
              <w:t xml:space="preserve"> </w:t>
            </w:r>
            <w:r w:rsidRPr="00044A2D">
              <w:rPr>
                <w:b/>
                <w:sz w:val="16"/>
                <w:szCs w:val="16"/>
              </w:rPr>
              <w:t>/лв./</w:t>
            </w:r>
            <w:r w:rsidR="001B204C">
              <w:rPr>
                <w:rStyle w:val="FootnoteReference"/>
                <w:b/>
                <w:sz w:val="16"/>
                <w:szCs w:val="16"/>
              </w:rPr>
              <w:footnoteReference w:id="26"/>
            </w:r>
          </w:p>
        </w:tc>
      </w:tr>
      <w:tr w:rsidR="00044A2D" w:rsidRPr="001B5E09" w:rsidTr="00032117">
        <w:trPr>
          <w:trHeight w:val="537"/>
        </w:trPr>
        <w:tc>
          <w:tcPr>
            <w:tcW w:w="300" w:type="dxa"/>
            <w:vMerge/>
            <w:shd w:val="clear" w:color="auto" w:fill="auto"/>
          </w:tcPr>
          <w:p w:rsidR="00A4628E" w:rsidRPr="00044A2D" w:rsidRDefault="00A4628E" w:rsidP="001B5E0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4628E" w:rsidRPr="00044A2D" w:rsidRDefault="00A4628E" w:rsidP="00A4628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държавна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27"/>
            </w:r>
          </w:p>
        </w:tc>
        <w:tc>
          <w:tcPr>
            <w:tcW w:w="898" w:type="dxa"/>
            <w:shd w:val="clear" w:color="auto" w:fill="auto"/>
          </w:tcPr>
          <w:p w:rsidR="00A4628E" w:rsidRPr="00044A2D" w:rsidRDefault="00A4628E" w:rsidP="001B5E0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минимална 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28"/>
            </w:r>
          </w:p>
        </w:tc>
        <w:tc>
          <w:tcPr>
            <w:tcW w:w="744" w:type="dxa"/>
            <w:shd w:val="clear" w:color="auto" w:fill="auto"/>
          </w:tcPr>
          <w:p w:rsidR="00A4628E" w:rsidRPr="00044A2D" w:rsidRDefault="00044A2D" w:rsidP="00044A2D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711" w:type="dxa"/>
            <w:shd w:val="clear" w:color="auto" w:fill="auto"/>
          </w:tcPr>
          <w:p w:rsidR="00A4628E" w:rsidRPr="00044A2D" w:rsidRDefault="00044A2D" w:rsidP="00044A2D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макс</w:t>
            </w:r>
            <w:proofErr w:type="spellEnd"/>
            <w:r w:rsidRPr="00044A2D">
              <w:rPr>
                <w:b/>
                <w:sz w:val="16"/>
                <w:szCs w:val="16"/>
              </w:rPr>
              <w:t>.</w:t>
            </w:r>
          </w:p>
        </w:tc>
      </w:tr>
      <w:tr w:rsidR="00182256" w:rsidRPr="001B5E09" w:rsidTr="00032117">
        <w:tc>
          <w:tcPr>
            <w:tcW w:w="30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0289C" w:rsidRPr="0060289C" w:rsidRDefault="0060289C" w:rsidP="005930A6">
      <w:pPr>
        <w:rPr>
          <w:sz w:val="16"/>
          <w:szCs w:val="16"/>
        </w:rPr>
      </w:pPr>
    </w:p>
    <w:sectPr w:rsidR="0060289C" w:rsidRPr="0060289C" w:rsidSect="00965ACF">
      <w:headerReference w:type="default" r:id="rId8"/>
      <w:footerReference w:type="default" r:id="rId9"/>
      <w:pgSz w:w="16838" w:h="11906" w:orient="landscape"/>
      <w:pgMar w:top="40" w:right="641" w:bottom="567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6D" w:rsidRDefault="00B0176D">
      <w:r>
        <w:separator/>
      </w:r>
    </w:p>
  </w:endnote>
  <w:endnote w:type="continuationSeparator" w:id="0">
    <w:p w:rsidR="00B0176D" w:rsidRDefault="00B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Default="00F81AB8" w:rsidP="008C101E">
    <w:pPr>
      <w:pStyle w:val="Footer"/>
      <w:jc w:val="center"/>
      <w:rPr>
        <w:sz w:val="16"/>
        <w:szCs w:val="16"/>
      </w:rPr>
    </w:pPr>
    <w:r w:rsidRPr="008F47BD">
      <w:rPr>
        <w:sz w:val="16"/>
        <w:szCs w:val="16"/>
      </w:rPr>
      <w:t>ИГРП за 20</w:t>
    </w:r>
    <w:r w:rsidR="008C101E">
      <w:rPr>
        <w:sz w:val="16"/>
        <w:szCs w:val="16"/>
      </w:rPr>
      <w:t>21</w:t>
    </w:r>
    <w:r>
      <w:rPr>
        <w:sz w:val="16"/>
        <w:szCs w:val="16"/>
      </w:rPr>
      <w:t xml:space="preserve"> </w:t>
    </w:r>
    <w:r w:rsidRPr="008F47BD">
      <w:rPr>
        <w:sz w:val="16"/>
        <w:szCs w:val="16"/>
      </w:rPr>
      <w:t>г. на ОПТТИ</w:t>
    </w:r>
    <w:r>
      <w:rPr>
        <w:sz w:val="16"/>
        <w:szCs w:val="16"/>
      </w:rPr>
      <w:t xml:space="preserve">   </w:t>
    </w:r>
  </w:p>
  <w:p w:rsidR="00F81AB8" w:rsidRPr="008F47BD" w:rsidRDefault="00F81AB8" w:rsidP="00D77EE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Pr="008F47BD">
      <w:rPr>
        <w:sz w:val="16"/>
        <w:szCs w:val="16"/>
      </w:rPr>
      <w:t xml:space="preserve">стр. </w:t>
    </w:r>
    <w:r w:rsidRPr="008F47BD">
      <w:rPr>
        <w:sz w:val="16"/>
        <w:szCs w:val="16"/>
      </w:rPr>
      <w:fldChar w:fldCharType="begin"/>
    </w:r>
    <w:r w:rsidRPr="008F47BD">
      <w:rPr>
        <w:sz w:val="16"/>
        <w:szCs w:val="16"/>
      </w:rPr>
      <w:instrText xml:space="preserve"> PAGE   \* MERGEFORMAT </w:instrText>
    </w:r>
    <w:r w:rsidRPr="008F47BD">
      <w:rPr>
        <w:sz w:val="16"/>
        <w:szCs w:val="16"/>
      </w:rPr>
      <w:fldChar w:fldCharType="separate"/>
    </w:r>
    <w:r w:rsidR="00101D59">
      <w:rPr>
        <w:noProof/>
        <w:sz w:val="16"/>
        <w:szCs w:val="16"/>
      </w:rPr>
      <w:t>3</w:t>
    </w:r>
    <w:r w:rsidRPr="008F47BD">
      <w:rPr>
        <w:noProof/>
        <w:sz w:val="16"/>
        <w:szCs w:val="16"/>
      </w:rPr>
      <w:fldChar w:fldCharType="end"/>
    </w:r>
  </w:p>
  <w:p w:rsidR="00F81AB8" w:rsidRDefault="00F81AB8">
    <w:pPr>
      <w:pStyle w:val="Footer"/>
    </w:pPr>
  </w:p>
  <w:p w:rsidR="00F81AB8" w:rsidRDefault="00F81A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6D" w:rsidRDefault="00B0176D">
      <w:r>
        <w:separator/>
      </w:r>
    </w:p>
  </w:footnote>
  <w:footnote w:type="continuationSeparator" w:id="0">
    <w:p w:rsidR="00B0176D" w:rsidRDefault="00B0176D">
      <w:r>
        <w:continuationSeparator/>
      </w:r>
    </w:p>
  </w:footnote>
  <w:footnote w:id="1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Индикативната годишна работна програма се изготвя в съответствие с чл. 26, ал. 1 от Постановление №162 на Министерския съвет от 2016 г. (ПМС № 162/2016 на МС)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</w:t>
      </w:r>
      <w:r>
        <w:rPr>
          <w:sz w:val="16"/>
          <w:szCs w:val="16"/>
        </w:rPr>
        <w:t>;</w:t>
      </w:r>
      <w:r w:rsidRPr="0029430C">
        <w:rPr>
          <w:sz w:val="16"/>
          <w:szCs w:val="16"/>
        </w:rPr>
        <w:t xml:space="preserve">  </w:t>
      </w:r>
    </w:p>
  </w:footnote>
  <w:footnote w:id="2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Безвъзмездна финансова помощ;</w:t>
      </w:r>
    </w:p>
  </w:footnote>
  <w:footnote w:id="3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Отбелязва се „да“ или „не“;</w:t>
      </w:r>
    </w:p>
  </w:footnote>
  <w:footnote w:id="4">
    <w:p w:rsidR="00F81AB8" w:rsidRPr="0029430C" w:rsidRDefault="00F81AB8" w:rsidP="00B120A6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</w:t>
      </w:r>
      <w:r>
        <w:rPr>
          <w:sz w:val="16"/>
          <w:szCs w:val="16"/>
        </w:rPr>
        <w:t>;</w:t>
      </w:r>
    </w:p>
  </w:footnote>
  <w:footnote w:id="5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В случай че се предвижда извършване на предварителен подбор на концепции за проектни предложения, се посочва и крайният срок за подаване на концепциите</w:t>
      </w:r>
      <w:r>
        <w:rPr>
          <w:sz w:val="16"/>
          <w:szCs w:val="16"/>
        </w:rPr>
        <w:t>;</w:t>
      </w:r>
    </w:p>
  </w:footnote>
  <w:footnote w:id="6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Отбелязва се „да“, „не“ или „предстои да бъде уточнено“</w:t>
      </w:r>
      <w:r>
        <w:rPr>
          <w:sz w:val="16"/>
          <w:szCs w:val="16"/>
        </w:rPr>
        <w:t>;</w:t>
      </w:r>
    </w:p>
  </w:footnote>
  <w:footnote w:id="7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Ако е приложимо</w:t>
      </w:r>
      <w:r>
        <w:rPr>
          <w:sz w:val="16"/>
          <w:szCs w:val="16"/>
        </w:rPr>
        <w:t>;</w:t>
      </w:r>
    </w:p>
  </w:footnote>
  <w:footnote w:id="8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По смисъла на чл. 107 от Договора за функционирането на Европейския съюз</w:t>
      </w:r>
      <w:r>
        <w:rPr>
          <w:sz w:val="16"/>
          <w:szCs w:val="16"/>
        </w:rPr>
        <w:t>;</w:t>
      </w:r>
    </w:p>
  </w:footnote>
  <w:footnote w:id="9">
    <w:p w:rsidR="00F81AB8" w:rsidRPr="0029430C" w:rsidRDefault="00F81AB8" w:rsidP="00290C40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 xml:space="preserve">По смисъла на Регламент (ЕС) № 1407/2013 на </w:t>
      </w:r>
      <w:r>
        <w:rPr>
          <w:sz w:val="16"/>
          <w:szCs w:val="16"/>
        </w:rPr>
        <w:t>ЕК</w:t>
      </w:r>
      <w:r w:rsidRPr="0029430C">
        <w:rPr>
          <w:sz w:val="16"/>
          <w:szCs w:val="16"/>
        </w:rPr>
        <w:t xml:space="preserve"> от 18.12.2013 г. относно прилагането на членове 107 и 108 от Договора за функционирането на Европейския съюз към помощта </w:t>
      </w:r>
      <w:r w:rsidRPr="0029430C">
        <w:rPr>
          <w:sz w:val="16"/>
          <w:szCs w:val="16"/>
          <w:lang w:val="en-US"/>
        </w:rPr>
        <w:t>de</w:t>
      </w:r>
      <w:r w:rsidRPr="0029430C">
        <w:rPr>
          <w:sz w:val="16"/>
          <w:szCs w:val="16"/>
        </w:rPr>
        <w:t xml:space="preserve"> </w:t>
      </w:r>
      <w:proofErr w:type="spellStart"/>
      <w:r w:rsidRPr="0029430C">
        <w:rPr>
          <w:sz w:val="16"/>
          <w:szCs w:val="16"/>
          <w:lang w:val="en-US"/>
        </w:rPr>
        <w:t>minimis</w:t>
      </w:r>
      <w:proofErr w:type="spellEnd"/>
      <w:r w:rsidRPr="0029430C">
        <w:rPr>
          <w:sz w:val="16"/>
          <w:szCs w:val="16"/>
          <w:lang w:val="en-US"/>
        </w:rPr>
        <w:t xml:space="preserve"> </w:t>
      </w:r>
      <w:r w:rsidRPr="0029430C">
        <w:rPr>
          <w:sz w:val="16"/>
          <w:szCs w:val="16"/>
        </w:rPr>
        <w:t xml:space="preserve">(ОВ, </w:t>
      </w:r>
      <w:r w:rsidRPr="0029430C">
        <w:rPr>
          <w:sz w:val="16"/>
          <w:szCs w:val="16"/>
          <w:lang w:val="en-US"/>
        </w:rPr>
        <w:t>L</w:t>
      </w:r>
      <w:r w:rsidRPr="0029430C">
        <w:rPr>
          <w:sz w:val="16"/>
          <w:szCs w:val="16"/>
        </w:rPr>
        <w:t xml:space="preserve"> 352 от 24.12.2013 г.)</w:t>
      </w:r>
      <w:r>
        <w:rPr>
          <w:sz w:val="16"/>
          <w:szCs w:val="16"/>
        </w:rPr>
        <w:t>;</w:t>
      </w:r>
    </w:p>
  </w:footnote>
  <w:footnote w:id="10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Директно предоставяне на конкретен бенефициент, съгласно чл. 2, т. 2 от ПМС № 162/2016 на МС</w:t>
      </w:r>
      <w:r>
        <w:rPr>
          <w:sz w:val="16"/>
          <w:szCs w:val="16"/>
        </w:rPr>
        <w:t>;</w:t>
      </w:r>
    </w:p>
  </w:footnote>
  <w:footnote w:id="11">
    <w:p w:rsidR="00F81AB8" w:rsidRPr="00CE537D" w:rsidRDefault="00F81AB8">
      <w:pPr>
        <w:pStyle w:val="FootnoteText"/>
        <w:rPr>
          <w:sz w:val="16"/>
          <w:szCs w:val="16"/>
        </w:rPr>
      </w:pPr>
      <w:r w:rsidRPr="0029430C">
        <w:rPr>
          <w:sz w:val="16"/>
          <w:szCs w:val="16"/>
          <w:vertAlign w:val="superscript"/>
        </w:rPr>
        <w:footnoteRef/>
      </w:r>
      <w:r w:rsidRPr="0029430C">
        <w:rPr>
          <w:sz w:val="16"/>
          <w:szCs w:val="16"/>
        </w:rPr>
        <w:t xml:space="preserve"> </w:t>
      </w:r>
      <w:r w:rsidR="00373835">
        <w:rPr>
          <w:sz w:val="16"/>
          <w:szCs w:val="16"/>
        </w:rPr>
        <w:t xml:space="preserve">Към </w:t>
      </w:r>
      <w:r>
        <w:rPr>
          <w:sz w:val="16"/>
          <w:szCs w:val="16"/>
        </w:rPr>
        <w:t xml:space="preserve">м. </w:t>
      </w:r>
      <w:r w:rsidR="008C101E">
        <w:rPr>
          <w:sz w:val="16"/>
          <w:szCs w:val="16"/>
        </w:rPr>
        <w:t xml:space="preserve">септември 2020 </w:t>
      </w:r>
      <w:r>
        <w:rPr>
          <w:sz w:val="16"/>
          <w:szCs w:val="16"/>
        </w:rPr>
        <w:t xml:space="preserve"> г. са</w:t>
      </w:r>
      <w:r w:rsidR="008F6CF0">
        <w:rPr>
          <w:sz w:val="16"/>
          <w:szCs w:val="16"/>
        </w:rPr>
        <w:t xml:space="preserve"> сключени 4 договора за БФП и договорените средства общо за четирите проекта са 1 254 088 334,29 лв.</w:t>
      </w:r>
      <w:r>
        <w:rPr>
          <w:sz w:val="16"/>
          <w:szCs w:val="16"/>
        </w:rPr>
        <w:t xml:space="preserve"> </w:t>
      </w:r>
      <w:r w:rsidR="008F6CF0">
        <w:rPr>
          <w:sz w:val="16"/>
          <w:szCs w:val="16"/>
        </w:rPr>
        <w:t xml:space="preserve">В </w:t>
      </w:r>
      <w:r>
        <w:rPr>
          <w:sz w:val="16"/>
          <w:szCs w:val="16"/>
        </w:rPr>
        <w:t>процес изпълнение</w:t>
      </w:r>
      <w:r w:rsidR="008F6CF0">
        <w:rPr>
          <w:sz w:val="16"/>
          <w:szCs w:val="16"/>
        </w:rPr>
        <w:t xml:space="preserve"> са</w:t>
      </w:r>
      <w:r>
        <w:rPr>
          <w:sz w:val="16"/>
          <w:szCs w:val="16"/>
        </w:rPr>
        <w:t xml:space="preserve"> проект „</w:t>
      </w:r>
      <w:r w:rsidRPr="008F6CF0">
        <w:rPr>
          <w:i/>
          <w:sz w:val="16"/>
          <w:szCs w:val="16"/>
        </w:rPr>
        <w:t>Рехабилитация на железопътната линия Пловдив – Бургас, Фаза 2</w:t>
      </w:r>
      <w:r>
        <w:rPr>
          <w:sz w:val="16"/>
          <w:szCs w:val="16"/>
        </w:rPr>
        <w:t xml:space="preserve">“ и проект </w:t>
      </w:r>
      <w:r w:rsidRPr="00CE537D">
        <w:rPr>
          <w:sz w:val="16"/>
          <w:szCs w:val="16"/>
        </w:rPr>
        <w:t>„</w:t>
      </w:r>
      <w:r w:rsidRPr="008F6CF0">
        <w:rPr>
          <w:i/>
          <w:sz w:val="16"/>
          <w:szCs w:val="16"/>
        </w:rPr>
        <w:t>Модернизация на железопътната линия София – Пловдив: жп участък Елин Пелин - Костенец</w:t>
      </w:r>
      <w:r w:rsidRPr="00CE537D">
        <w:rPr>
          <w:sz w:val="16"/>
          <w:szCs w:val="16"/>
        </w:rPr>
        <w:t>”</w:t>
      </w:r>
      <w:r w:rsidR="00373835">
        <w:rPr>
          <w:sz w:val="16"/>
          <w:szCs w:val="16"/>
        </w:rPr>
        <w:t xml:space="preserve"> и са приключили проект „</w:t>
      </w:r>
      <w:r w:rsidR="00373835" w:rsidRPr="008F6CF0">
        <w:rPr>
          <w:i/>
          <w:sz w:val="16"/>
          <w:szCs w:val="16"/>
        </w:rPr>
        <w:t xml:space="preserve">Рехабилитация на железопътната инфраструктура по участъците на железопътната линия Пловдив – Бургас – възстановяване, ремонт и модернизация на </w:t>
      </w:r>
      <w:proofErr w:type="spellStart"/>
      <w:r w:rsidR="00373835" w:rsidRPr="008F6CF0">
        <w:rPr>
          <w:i/>
          <w:sz w:val="16"/>
          <w:szCs w:val="16"/>
        </w:rPr>
        <w:t>тягови</w:t>
      </w:r>
      <w:proofErr w:type="spellEnd"/>
      <w:r w:rsidR="00373835" w:rsidRPr="008F6CF0">
        <w:rPr>
          <w:i/>
          <w:sz w:val="16"/>
          <w:szCs w:val="16"/>
        </w:rPr>
        <w:t xml:space="preserve"> подстанции Бургас, Карнобат и Ямбол</w:t>
      </w:r>
      <w:r w:rsidR="00373835">
        <w:rPr>
          <w:sz w:val="16"/>
          <w:szCs w:val="16"/>
        </w:rPr>
        <w:t>“ и проект „</w:t>
      </w:r>
      <w:r w:rsidR="00373835" w:rsidRPr="008F6CF0">
        <w:rPr>
          <w:i/>
          <w:sz w:val="16"/>
          <w:szCs w:val="16"/>
        </w:rPr>
        <w:t>Модернизация на железопътния участък Септември – Пловдив: част от Транс – европейската железопътна мрежа – изграждане на четири броя пътни надлези“</w:t>
      </w:r>
      <w:r w:rsidRPr="008F6CF0">
        <w:rPr>
          <w:i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373835" w:rsidRPr="0029430C">
        <w:rPr>
          <w:sz w:val="16"/>
          <w:szCs w:val="16"/>
        </w:rPr>
        <w:t>Стойността</w:t>
      </w:r>
      <w:r w:rsidR="008A61B7">
        <w:rPr>
          <w:sz w:val="16"/>
          <w:szCs w:val="16"/>
        </w:rPr>
        <w:t xml:space="preserve"> </w:t>
      </w:r>
      <w:r w:rsidR="008F6CF0">
        <w:rPr>
          <w:sz w:val="16"/>
          <w:szCs w:val="16"/>
        </w:rPr>
        <w:t xml:space="preserve">0,00 лв. </w:t>
      </w:r>
      <w:r w:rsidR="008A61B7">
        <w:rPr>
          <w:sz w:val="16"/>
          <w:szCs w:val="16"/>
        </w:rPr>
        <w:t xml:space="preserve">представлява </w:t>
      </w:r>
      <w:r w:rsidR="00373835" w:rsidRPr="0029430C">
        <w:rPr>
          <w:sz w:val="16"/>
          <w:szCs w:val="16"/>
        </w:rPr>
        <w:t>свободния финансов ресурс по процедурата към</w:t>
      </w:r>
      <w:r w:rsidR="00373835">
        <w:rPr>
          <w:sz w:val="16"/>
          <w:szCs w:val="16"/>
        </w:rPr>
        <w:t xml:space="preserve"> м. септември 2020 г</w:t>
      </w:r>
      <w:r w:rsidR="00373835" w:rsidRPr="0029430C">
        <w:rPr>
          <w:sz w:val="16"/>
          <w:szCs w:val="16"/>
        </w:rPr>
        <w:t xml:space="preserve">. </w:t>
      </w:r>
      <w:r w:rsidR="00373835">
        <w:rPr>
          <w:sz w:val="16"/>
          <w:szCs w:val="16"/>
        </w:rPr>
        <w:t xml:space="preserve">и се изменя </w:t>
      </w:r>
      <w:r w:rsidR="008A61B7">
        <w:rPr>
          <w:sz w:val="16"/>
          <w:szCs w:val="16"/>
        </w:rPr>
        <w:t>при</w:t>
      </w:r>
      <w:r w:rsidR="00373835">
        <w:rPr>
          <w:sz w:val="16"/>
          <w:szCs w:val="16"/>
        </w:rPr>
        <w:t xml:space="preserve"> </w:t>
      </w:r>
      <w:r w:rsidR="008A61B7">
        <w:rPr>
          <w:sz w:val="16"/>
          <w:szCs w:val="16"/>
        </w:rPr>
        <w:t>промяна</w:t>
      </w:r>
      <w:r w:rsidR="00373835">
        <w:rPr>
          <w:sz w:val="16"/>
          <w:szCs w:val="16"/>
        </w:rPr>
        <w:t xml:space="preserve"> на вече сключени договори</w:t>
      </w:r>
      <w:r w:rsidR="008A61B7">
        <w:rPr>
          <w:sz w:val="16"/>
          <w:szCs w:val="16"/>
        </w:rPr>
        <w:t xml:space="preserve"> по процедурата</w:t>
      </w:r>
      <w:r w:rsidR="00373835">
        <w:rPr>
          <w:sz w:val="16"/>
          <w:szCs w:val="16"/>
        </w:rPr>
        <w:t xml:space="preserve">. </w:t>
      </w:r>
      <w:r w:rsidR="00E92BD9">
        <w:rPr>
          <w:sz w:val="16"/>
          <w:szCs w:val="16"/>
        </w:rPr>
        <w:t xml:space="preserve">Бюджета в оста е </w:t>
      </w:r>
      <w:proofErr w:type="spellStart"/>
      <w:r w:rsidR="00E92BD9">
        <w:rPr>
          <w:sz w:val="16"/>
          <w:szCs w:val="16"/>
        </w:rPr>
        <w:t>наддоговорен</w:t>
      </w:r>
      <w:proofErr w:type="spellEnd"/>
      <w:r w:rsidR="00E92BD9">
        <w:rPr>
          <w:sz w:val="16"/>
          <w:szCs w:val="16"/>
        </w:rPr>
        <w:t xml:space="preserve"> с около 3 %, съобразно финансовото разпределение във версия 5.0 на ОПТТИ.</w:t>
      </w:r>
      <w:r w:rsidR="00E92BD9" w:rsidRPr="00373835">
        <w:rPr>
          <w:sz w:val="16"/>
          <w:szCs w:val="16"/>
        </w:rPr>
        <w:t xml:space="preserve"> </w:t>
      </w:r>
      <w:r w:rsidR="00E92BD9">
        <w:rPr>
          <w:sz w:val="16"/>
          <w:szCs w:val="16"/>
        </w:rPr>
        <w:t xml:space="preserve">В процес на подготовка е следващо изменение на ОПТТИ, което предвижда прехвърляне на 80 млн. евро от ПО 2 (от процедура BG16М1OP001-2.001) към ПО 1 (към процедура </w:t>
      </w:r>
      <w:r w:rsidR="00E92BD9" w:rsidRPr="008F6CF0">
        <w:rPr>
          <w:sz w:val="16"/>
          <w:szCs w:val="16"/>
        </w:rPr>
        <w:t>BG16М1OP001-1.001</w:t>
      </w:r>
      <w:r w:rsidR="00E92BD9">
        <w:rPr>
          <w:sz w:val="16"/>
          <w:szCs w:val="16"/>
        </w:rPr>
        <w:t xml:space="preserve">). </w:t>
      </w:r>
      <w:r w:rsidR="00373835">
        <w:rPr>
          <w:sz w:val="16"/>
          <w:szCs w:val="16"/>
        </w:rPr>
        <w:t>При наличие на средства, в резултат на</w:t>
      </w:r>
      <w:r w:rsidR="001D08E8">
        <w:rPr>
          <w:sz w:val="16"/>
          <w:szCs w:val="16"/>
        </w:rPr>
        <w:t xml:space="preserve"> </w:t>
      </w:r>
      <w:r w:rsidR="00373835">
        <w:rPr>
          <w:sz w:val="16"/>
          <w:szCs w:val="16"/>
        </w:rPr>
        <w:t xml:space="preserve">освобождаване на финансов ресурс по вече подписани договори за БФП или увеличение на </w:t>
      </w:r>
      <w:r w:rsidR="00373835" w:rsidRPr="00EC3EA8">
        <w:rPr>
          <w:sz w:val="16"/>
          <w:szCs w:val="16"/>
        </w:rPr>
        <w:t>бюджета по</w:t>
      </w:r>
      <w:r w:rsidR="00373835">
        <w:rPr>
          <w:sz w:val="16"/>
          <w:szCs w:val="16"/>
        </w:rPr>
        <w:t xml:space="preserve"> процедурата</w:t>
      </w:r>
      <w:r w:rsidR="001D08E8" w:rsidRPr="001D08E8">
        <w:rPr>
          <w:sz w:val="16"/>
          <w:szCs w:val="16"/>
        </w:rPr>
        <w:t xml:space="preserve"> </w:t>
      </w:r>
      <w:r w:rsidR="001D08E8">
        <w:rPr>
          <w:sz w:val="16"/>
          <w:szCs w:val="16"/>
        </w:rPr>
        <w:t xml:space="preserve">при прехвърляне на средства от друга приоритетна ос </w:t>
      </w:r>
      <w:r w:rsidR="00373835">
        <w:rPr>
          <w:sz w:val="16"/>
          <w:szCs w:val="16"/>
        </w:rPr>
        <w:t>същия ще мо</w:t>
      </w:r>
      <w:r w:rsidR="008A61B7">
        <w:rPr>
          <w:sz w:val="16"/>
          <w:szCs w:val="16"/>
        </w:rPr>
        <w:t>же да се използва за целите й</w:t>
      </w:r>
      <w:r w:rsidR="00E92BD9">
        <w:rPr>
          <w:sz w:val="16"/>
          <w:szCs w:val="16"/>
        </w:rPr>
        <w:t xml:space="preserve">. </w:t>
      </w:r>
      <w:r w:rsidR="00B91CC4">
        <w:rPr>
          <w:sz w:val="16"/>
          <w:szCs w:val="16"/>
        </w:rPr>
        <w:t>При наличен ресурс в оста се о</w:t>
      </w:r>
      <w:r w:rsidR="00E92BD9">
        <w:rPr>
          <w:sz w:val="16"/>
          <w:szCs w:val="16"/>
        </w:rPr>
        <w:t xml:space="preserve">чаква конкретния бенефициент НКЖИ да подаде по процедурата допълнителни проекти </w:t>
      </w:r>
      <w:r w:rsidR="00B91CC4">
        <w:rPr>
          <w:sz w:val="16"/>
          <w:szCs w:val="16"/>
        </w:rPr>
        <w:t xml:space="preserve">за финансиране - </w:t>
      </w:r>
      <w:r w:rsidR="00E92BD9">
        <w:rPr>
          <w:sz w:val="16"/>
          <w:szCs w:val="16"/>
        </w:rPr>
        <w:t>проект „</w:t>
      </w:r>
      <w:r w:rsidR="00E92BD9" w:rsidRPr="00E92BD9">
        <w:rPr>
          <w:i/>
          <w:sz w:val="16"/>
          <w:szCs w:val="16"/>
        </w:rPr>
        <w:t xml:space="preserve">Възстановяване, ремонт и модернизация на ТПС - Варна и Разград , изграждане на ТПС Русе и въвеждане на система за телеуправление и </w:t>
      </w:r>
      <w:proofErr w:type="spellStart"/>
      <w:r w:rsidR="00E92BD9" w:rsidRPr="00E92BD9">
        <w:rPr>
          <w:i/>
          <w:sz w:val="16"/>
          <w:szCs w:val="16"/>
        </w:rPr>
        <w:t>телесигнализация</w:t>
      </w:r>
      <w:proofErr w:type="spellEnd"/>
      <w:r w:rsidR="00E92BD9" w:rsidRPr="00E92BD9">
        <w:rPr>
          <w:i/>
          <w:sz w:val="16"/>
          <w:szCs w:val="16"/>
        </w:rPr>
        <w:t xml:space="preserve"> -  SCADА</w:t>
      </w:r>
      <w:r w:rsidR="00E92BD9" w:rsidRPr="00E92BD9">
        <w:rPr>
          <w:sz w:val="16"/>
          <w:szCs w:val="16"/>
        </w:rPr>
        <w:t>"</w:t>
      </w:r>
      <w:r w:rsidR="00360A46">
        <w:rPr>
          <w:sz w:val="16"/>
          <w:szCs w:val="16"/>
        </w:rPr>
        <w:t xml:space="preserve"> и</w:t>
      </w:r>
      <w:r w:rsidR="00E92BD9">
        <w:rPr>
          <w:sz w:val="16"/>
          <w:szCs w:val="16"/>
        </w:rPr>
        <w:t xml:space="preserve"> проект „</w:t>
      </w:r>
      <w:r w:rsidR="00B91CC4" w:rsidRPr="00B91CC4">
        <w:rPr>
          <w:i/>
          <w:sz w:val="16"/>
          <w:szCs w:val="16"/>
        </w:rPr>
        <w:t>жп участък Волуяк – Драгоман</w:t>
      </w:r>
      <w:r w:rsidR="00E92BD9">
        <w:rPr>
          <w:sz w:val="16"/>
          <w:szCs w:val="16"/>
        </w:rPr>
        <w:t>“</w:t>
      </w:r>
      <w:r w:rsidR="00B91CC4">
        <w:rPr>
          <w:sz w:val="16"/>
          <w:szCs w:val="16"/>
        </w:rPr>
        <w:t>;</w:t>
      </w:r>
    </w:p>
  </w:footnote>
  <w:footnote w:id="12">
    <w:p w:rsidR="00F81AB8" w:rsidRPr="0029430C" w:rsidRDefault="00F81AB8" w:rsidP="003C24DB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Национална компания „Железопътна инфраструктура“</w:t>
      </w:r>
      <w:r>
        <w:rPr>
          <w:sz w:val="16"/>
          <w:szCs w:val="16"/>
        </w:rPr>
        <w:t>;</w:t>
      </w:r>
    </w:p>
  </w:footnote>
  <w:footnote w:id="13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БФП се разпределя процентно - 85  % от Европейските фондове (ЕФРР или КФ) и 15 % национално съфинансиране, като в зависимост от проекта се отчитат допустимите разходи, изчислени в Анализ „Разходи-Ползи“ и се анализира приложимостта на законодателството за държавните помощи</w:t>
      </w:r>
      <w:r>
        <w:rPr>
          <w:sz w:val="16"/>
          <w:szCs w:val="16"/>
        </w:rPr>
        <w:t>;</w:t>
      </w:r>
    </w:p>
  </w:footnote>
  <w:footnote w:id="14">
    <w:p w:rsidR="00F81AB8" w:rsidRPr="00C67AB3" w:rsidRDefault="00F81AB8">
      <w:pPr>
        <w:pStyle w:val="FootnoteText"/>
        <w:rPr>
          <w:sz w:val="16"/>
          <w:szCs w:val="16"/>
        </w:rPr>
      </w:pPr>
      <w:r w:rsidRPr="006163EC">
        <w:rPr>
          <w:rStyle w:val="FootnoteReference"/>
          <w:sz w:val="16"/>
          <w:szCs w:val="16"/>
        </w:rPr>
        <w:footnoteRef/>
      </w:r>
      <w:r>
        <w:t xml:space="preserve"> </w:t>
      </w:r>
      <w:r w:rsidRPr="006163EC">
        <w:rPr>
          <w:sz w:val="16"/>
          <w:szCs w:val="16"/>
        </w:rPr>
        <w:t>предстои да бъде уточнено в процеса на съгласуване с МФ по реда на Наредба № 4 от 22.07.2016 г.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и при оценката на проектните предложения, подадени за финансиране по процедурата;</w:t>
      </w:r>
    </w:p>
  </w:footnote>
  <w:footnote w:id="15">
    <w:p w:rsidR="00F81AB8" w:rsidRPr="00360A46" w:rsidRDefault="00F81AB8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8C101E">
        <w:rPr>
          <w:sz w:val="16"/>
          <w:szCs w:val="16"/>
        </w:rPr>
        <w:t xml:space="preserve">септември 2020 </w:t>
      </w:r>
      <w:r w:rsidR="00B36F5A">
        <w:rPr>
          <w:sz w:val="16"/>
          <w:szCs w:val="16"/>
        </w:rPr>
        <w:t xml:space="preserve"> г.</w:t>
      </w:r>
      <w:r w:rsidR="00093E49">
        <w:rPr>
          <w:sz w:val="16"/>
          <w:szCs w:val="16"/>
        </w:rPr>
        <w:t>, но</w:t>
      </w:r>
      <w:r w:rsidR="00093E49" w:rsidRPr="00093E49">
        <w:rPr>
          <w:sz w:val="16"/>
          <w:szCs w:val="16"/>
        </w:rPr>
        <w:t xml:space="preserve"> </w:t>
      </w:r>
      <w:r w:rsidR="00093E49">
        <w:rPr>
          <w:sz w:val="16"/>
          <w:szCs w:val="16"/>
        </w:rPr>
        <w:t xml:space="preserve">бюджета в оста е </w:t>
      </w:r>
      <w:proofErr w:type="spellStart"/>
      <w:r w:rsidR="00093E49">
        <w:rPr>
          <w:sz w:val="16"/>
          <w:szCs w:val="16"/>
        </w:rPr>
        <w:t>наддоговорен</w:t>
      </w:r>
      <w:proofErr w:type="spellEnd"/>
      <w:r w:rsidR="00093E49">
        <w:rPr>
          <w:sz w:val="16"/>
          <w:szCs w:val="16"/>
        </w:rPr>
        <w:t xml:space="preserve"> с около 3 % (версия 5.0 на ОПТТИ). </w:t>
      </w:r>
      <w:r w:rsidR="001D08E8">
        <w:rPr>
          <w:sz w:val="16"/>
          <w:szCs w:val="16"/>
        </w:rPr>
        <w:t>Стойността</w:t>
      </w:r>
      <w:r>
        <w:rPr>
          <w:sz w:val="16"/>
          <w:szCs w:val="16"/>
        </w:rPr>
        <w:t xml:space="preserve">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</w:t>
      </w:r>
      <w:r w:rsidRPr="0050158D">
        <w:rPr>
          <w:sz w:val="16"/>
          <w:szCs w:val="16"/>
        </w:rPr>
        <w:t>на 57 524 412,34 лв.</w:t>
      </w:r>
    </w:p>
  </w:footnote>
  <w:footnote w:id="16">
    <w:p w:rsidR="00F81AB8" w:rsidRPr="00D44769" w:rsidRDefault="00F81AB8" w:rsidP="006628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0088">
        <w:rPr>
          <w:sz w:val="16"/>
          <w:szCs w:val="16"/>
        </w:rPr>
        <w:t>Стойността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</w:t>
      </w:r>
      <w:r w:rsidR="008C101E">
        <w:rPr>
          <w:sz w:val="16"/>
          <w:szCs w:val="16"/>
        </w:rPr>
        <w:t>септември 2020</w:t>
      </w:r>
      <w:r>
        <w:rPr>
          <w:sz w:val="16"/>
          <w:szCs w:val="16"/>
        </w:rPr>
        <w:t xml:space="preserve"> г. и се изменя в зависимост от сключените договори за БФП по процедурата или изменение на вече сключени такива договори</w:t>
      </w:r>
      <w:r w:rsidRPr="00030088">
        <w:rPr>
          <w:sz w:val="16"/>
          <w:szCs w:val="16"/>
        </w:rPr>
        <w:t xml:space="preserve">. Общия бюджет по процедурата е в размер на </w:t>
      </w:r>
      <w:r w:rsidR="00864F05">
        <w:rPr>
          <w:sz w:val="16"/>
          <w:szCs w:val="16"/>
        </w:rPr>
        <w:t xml:space="preserve">1 229 044 311,30 </w:t>
      </w:r>
      <w:r w:rsidRPr="00030088">
        <w:rPr>
          <w:sz w:val="16"/>
          <w:szCs w:val="16"/>
        </w:rPr>
        <w:t>лв.</w:t>
      </w:r>
      <w:r w:rsidR="00864F05">
        <w:rPr>
          <w:sz w:val="16"/>
          <w:szCs w:val="16"/>
          <w:lang w:val="en-US"/>
        </w:rPr>
        <w:t xml:space="preserve"> </w:t>
      </w:r>
      <w:r w:rsidR="00864F05">
        <w:rPr>
          <w:sz w:val="16"/>
          <w:szCs w:val="16"/>
        </w:rPr>
        <w:t>(версия 5.0 на ОПТТИ)</w:t>
      </w:r>
      <w:r w:rsidR="001D08E8">
        <w:rPr>
          <w:sz w:val="16"/>
          <w:szCs w:val="16"/>
        </w:rPr>
        <w:t xml:space="preserve">. В процес на подготовка е следващо изменение на ОПТТИ, което предвижда прехвърляне на 80 млн. евро от ПО 2 (от процедура BG16М1OP001-2.001) към ПО 1 (към процедура </w:t>
      </w:r>
      <w:r w:rsidR="001D08E8" w:rsidRPr="008F6CF0">
        <w:rPr>
          <w:sz w:val="16"/>
          <w:szCs w:val="16"/>
        </w:rPr>
        <w:t>BG16М1OP001-1.001</w:t>
      </w:r>
      <w:r w:rsidR="001D08E8">
        <w:rPr>
          <w:sz w:val="16"/>
          <w:szCs w:val="16"/>
        </w:rPr>
        <w:t>)</w:t>
      </w:r>
      <w:r w:rsidR="00B91CC4">
        <w:rPr>
          <w:sz w:val="16"/>
          <w:szCs w:val="16"/>
        </w:rPr>
        <w:t xml:space="preserve">. По процедурата се очаква конкретния бенефициент  АПИ да подаде за финансиране проект </w:t>
      </w:r>
      <w:r w:rsidR="00C904F0">
        <w:rPr>
          <w:sz w:val="16"/>
          <w:szCs w:val="16"/>
        </w:rPr>
        <w:t>„</w:t>
      </w:r>
      <w:r w:rsidR="00B91CC4" w:rsidRPr="00C904F0">
        <w:rPr>
          <w:i/>
          <w:sz w:val="16"/>
          <w:szCs w:val="16"/>
        </w:rPr>
        <w:t>Смекчаващи мерки за Лот 3.2 на АМ Струма</w:t>
      </w:r>
      <w:r w:rsidR="00C904F0">
        <w:rPr>
          <w:sz w:val="16"/>
          <w:szCs w:val="16"/>
        </w:rPr>
        <w:t xml:space="preserve">“, </w:t>
      </w:r>
      <w:r w:rsidR="00C904F0" w:rsidRPr="00C904F0">
        <w:rPr>
          <w:sz w:val="16"/>
          <w:szCs w:val="16"/>
        </w:rPr>
        <w:t xml:space="preserve">допълнителен </w:t>
      </w:r>
      <w:r w:rsidR="00C904F0">
        <w:rPr>
          <w:sz w:val="16"/>
          <w:szCs w:val="16"/>
        </w:rPr>
        <w:t>проект „</w:t>
      </w:r>
      <w:r w:rsidR="00F36D84">
        <w:rPr>
          <w:i/>
          <w:sz w:val="16"/>
          <w:szCs w:val="16"/>
        </w:rPr>
        <w:t>АМ Европа 15+500</w:t>
      </w:r>
      <w:r w:rsidR="00C904F0" w:rsidRPr="00C904F0">
        <w:rPr>
          <w:i/>
          <w:sz w:val="16"/>
          <w:szCs w:val="16"/>
        </w:rPr>
        <w:t xml:space="preserve"> до 48+903</w:t>
      </w:r>
      <w:r w:rsidR="00C904F0">
        <w:rPr>
          <w:sz w:val="16"/>
          <w:szCs w:val="16"/>
        </w:rPr>
        <w:t>“</w:t>
      </w:r>
      <w:r>
        <w:rPr>
          <w:sz w:val="16"/>
          <w:szCs w:val="16"/>
        </w:rPr>
        <w:t>;</w:t>
      </w:r>
    </w:p>
  </w:footnote>
  <w:footnote w:id="17">
    <w:p w:rsidR="00F81AB8" w:rsidRPr="00D44769" w:rsidRDefault="00F81AB8" w:rsidP="006628B6">
      <w:pPr>
        <w:pStyle w:val="FootnoteText"/>
        <w:rPr>
          <w:sz w:val="16"/>
          <w:szCs w:val="16"/>
        </w:rPr>
      </w:pPr>
      <w:r w:rsidRPr="00D44769">
        <w:rPr>
          <w:rStyle w:val="FootnoteReference"/>
          <w:sz w:val="16"/>
          <w:szCs w:val="16"/>
        </w:rPr>
        <w:footnoteRef/>
      </w:r>
      <w:r w:rsidRPr="00D44769">
        <w:rPr>
          <w:sz w:val="16"/>
          <w:szCs w:val="16"/>
        </w:rPr>
        <w:t xml:space="preserve"> </w:t>
      </w:r>
      <w:r w:rsidRPr="00D44769">
        <w:rPr>
          <w:sz w:val="16"/>
          <w:szCs w:val="16"/>
        </w:rPr>
        <w:t>Агенция „Пътна инфраструктура“</w:t>
      </w:r>
      <w:r>
        <w:rPr>
          <w:sz w:val="16"/>
          <w:szCs w:val="16"/>
        </w:rPr>
        <w:t>;</w:t>
      </w:r>
    </w:p>
  </w:footnote>
  <w:footnote w:id="18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8C101E">
        <w:rPr>
          <w:sz w:val="16"/>
          <w:szCs w:val="16"/>
        </w:rPr>
        <w:t xml:space="preserve">септември 2020 </w:t>
      </w:r>
      <w:r>
        <w:rPr>
          <w:sz w:val="16"/>
          <w:szCs w:val="16"/>
        </w:rPr>
        <w:t>г. 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на </w:t>
      </w:r>
      <w:r>
        <w:rPr>
          <w:sz w:val="16"/>
          <w:szCs w:val="16"/>
        </w:rPr>
        <w:t xml:space="preserve">23 009 764,94 </w:t>
      </w:r>
      <w:r w:rsidRPr="0029430C">
        <w:rPr>
          <w:sz w:val="16"/>
          <w:szCs w:val="16"/>
        </w:rPr>
        <w:t>лв.</w:t>
      </w:r>
      <w:r>
        <w:rPr>
          <w:sz w:val="16"/>
          <w:szCs w:val="16"/>
        </w:rPr>
        <w:t>;</w:t>
      </w:r>
    </w:p>
  </w:footnote>
  <w:footnote w:id="19">
    <w:p w:rsidR="00F81AB8" w:rsidRDefault="00F81AB8" w:rsidP="002D59F8">
      <w:pPr>
        <w:pStyle w:val="FootnoteText"/>
        <w:jc w:val="both"/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</w:t>
      </w:r>
      <w:r w:rsidR="008C101E">
        <w:rPr>
          <w:sz w:val="16"/>
          <w:szCs w:val="16"/>
        </w:rPr>
        <w:t>септември 2020</w:t>
      </w:r>
      <w:r>
        <w:rPr>
          <w:sz w:val="16"/>
          <w:szCs w:val="16"/>
        </w:rPr>
        <w:t xml:space="preserve"> г. </w:t>
      </w:r>
      <w:r w:rsidRPr="00EC3EA8">
        <w:rPr>
          <w:sz w:val="16"/>
          <w:szCs w:val="16"/>
        </w:rPr>
        <w:t xml:space="preserve">съгласно разпределението на бюджета </w:t>
      </w:r>
      <w:r>
        <w:rPr>
          <w:sz w:val="16"/>
          <w:szCs w:val="16"/>
        </w:rPr>
        <w:t xml:space="preserve">по </w:t>
      </w:r>
      <w:r w:rsidRPr="00E61A12">
        <w:rPr>
          <w:sz w:val="16"/>
          <w:szCs w:val="16"/>
        </w:rPr>
        <w:t xml:space="preserve">процедурата (70 219 626,63 лв.)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  <w:r w:rsidRPr="00E61A12">
        <w:rPr>
          <w:bCs/>
          <w:sz w:val="16"/>
          <w:szCs w:val="16"/>
        </w:rPr>
        <w:t xml:space="preserve">Общият размер на безвъзмездната финансова помощ по </w:t>
      </w:r>
      <w:r w:rsidRPr="00E61A12">
        <w:rPr>
          <w:sz w:val="16"/>
          <w:szCs w:val="16"/>
        </w:rPr>
        <w:t xml:space="preserve">Приоритетна ос  5 на ОПТТИ </w:t>
      </w:r>
      <w:r w:rsidRPr="00E61A12">
        <w:rPr>
          <w:bCs/>
          <w:sz w:val="16"/>
          <w:szCs w:val="16"/>
        </w:rPr>
        <w:t>на стойност 93 229 391,57 лева</w:t>
      </w:r>
      <w:r>
        <w:rPr>
          <w:bCs/>
          <w:sz w:val="16"/>
          <w:szCs w:val="16"/>
        </w:rPr>
        <w:t>;</w:t>
      </w:r>
    </w:p>
  </w:footnote>
  <w:footnote w:id="20">
    <w:p w:rsidR="00F81AB8" w:rsidRPr="00E61A12" w:rsidRDefault="00F81AB8" w:rsidP="002D59F8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</w:t>
      </w:r>
      <w:r w:rsidR="008C101E">
        <w:rPr>
          <w:sz w:val="16"/>
          <w:szCs w:val="16"/>
        </w:rPr>
        <w:t xml:space="preserve">септември 2020 </w:t>
      </w:r>
      <w:r>
        <w:rPr>
          <w:sz w:val="16"/>
          <w:szCs w:val="16"/>
        </w:rPr>
        <w:t xml:space="preserve">г. </w:t>
      </w:r>
      <w:r w:rsidRPr="00EC3EA8">
        <w:rPr>
          <w:sz w:val="16"/>
          <w:szCs w:val="16"/>
        </w:rPr>
        <w:t>съгласно разпределението на бюджета</w:t>
      </w:r>
      <w:r w:rsidRPr="00E61A12">
        <w:rPr>
          <w:sz w:val="16"/>
          <w:szCs w:val="16"/>
        </w:rPr>
        <w:t xml:space="preserve"> за процедурата (23 009 764,94 лв.)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  <w:r w:rsidRPr="00E61A12">
        <w:rPr>
          <w:bCs/>
          <w:sz w:val="16"/>
          <w:szCs w:val="16"/>
        </w:rPr>
        <w:t xml:space="preserve">Общият размер на безвъзмездната финансова помощ по </w:t>
      </w:r>
      <w:r w:rsidRPr="00E61A12">
        <w:rPr>
          <w:sz w:val="16"/>
          <w:szCs w:val="16"/>
        </w:rPr>
        <w:t xml:space="preserve">Приоритетна ос  5 на ОПТТИ </w:t>
      </w:r>
      <w:r w:rsidRPr="00E61A12">
        <w:rPr>
          <w:bCs/>
          <w:sz w:val="16"/>
          <w:szCs w:val="16"/>
        </w:rPr>
        <w:t>на стойност 93 229 391,57 лева.</w:t>
      </w:r>
    </w:p>
  </w:footnote>
  <w:footnote w:id="21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2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</w:t>
      </w:r>
      <w:r w:rsidRPr="000A252D">
        <w:rPr>
          <w:sz w:val="18"/>
          <w:szCs w:val="18"/>
        </w:rPr>
        <w:t>По смисъла на § 1, т. 2 от Допълнителните разпоредби на Постановление № 1</w:t>
      </w:r>
      <w:r>
        <w:rPr>
          <w:sz w:val="18"/>
          <w:szCs w:val="18"/>
        </w:rPr>
        <w:t>62</w:t>
      </w:r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>на Министерския съвет от 201</w:t>
      </w:r>
      <w:r>
        <w:rPr>
          <w:sz w:val="18"/>
          <w:szCs w:val="18"/>
        </w:rPr>
        <w:t>6</w:t>
      </w:r>
      <w:r w:rsidRPr="000A252D">
        <w:rPr>
          <w:sz w:val="18"/>
          <w:szCs w:val="18"/>
        </w:rPr>
        <w:t xml:space="preserve"> г.</w:t>
      </w:r>
    </w:p>
  </w:footnote>
  <w:footnote w:id="23">
    <w:p w:rsidR="00F81AB8" w:rsidRDefault="00F81AB8" w:rsidP="00B120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24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</w:t>
      </w:r>
      <w:r>
        <w:rPr>
          <w:sz w:val="18"/>
          <w:szCs w:val="18"/>
        </w:rPr>
        <w:t xml:space="preserve"> крайният срок за подаване на концепциите.</w:t>
      </w:r>
    </w:p>
  </w:footnote>
  <w:footnote w:id="25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6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0C40">
        <w:rPr>
          <w:sz w:val="18"/>
          <w:szCs w:val="18"/>
        </w:rPr>
        <w:t>Ако е приложимо.</w:t>
      </w:r>
    </w:p>
  </w:footnote>
  <w:footnote w:id="27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</w:t>
      </w:r>
      <w:r w:rsidRPr="000A252D">
        <w:rPr>
          <w:sz w:val="18"/>
          <w:szCs w:val="18"/>
        </w:rPr>
        <w:t>По смисъла на чл. 107 от Договора за функционирането на Европейския съюз</w:t>
      </w:r>
    </w:p>
  </w:footnote>
  <w:footnote w:id="28">
    <w:p w:rsidR="00F81AB8" w:rsidRDefault="00F81AB8" w:rsidP="00290C40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</w:t>
      </w:r>
      <w:r w:rsidRPr="000A252D">
        <w:rPr>
          <w:sz w:val="18"/>
          <w:szCs w:val="18"/>
        </w:rPr>
        <w:t xml:space="preserve">По смисъла на Регламент (ЕС) № 1407/2013 на Комисията от 18.12.2013 г. относно прилагането на членове 107 и 108 от Договора за функционирането ма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minimis</w:t>
      </w:r>
      <w:proofErr w:type="spellEnd"/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 xml:space="preserve">(ОВ, </w:t>
      </w:r>
      <w:r w:rsidRPr="000A252D">
        <w:rPr>
          <w:sz w:val="18"/>
          <w:szCs w:val="18"/>
          <w:lang w:val="en-US"/>
        </w:rPr>
        <w:t>L</w:t>
      </w:r>
      <w:r w:rsidRPr="000A252D">
        <w:rPr>
          <w:sz w:val="18"/>
          <w:szCs w:val="18"/>
        </w:rPr>
        <w:t xml:space="preserve"> 352 от 24.12.2013 г.)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Pr="00F71789" w:rsidRDefault="00F81AB8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286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F0951">
      <w:rPr>
        <w:noProof/>
      </w:rPr>
      <w:drawing>
        <wp:inline distT="0" distB="0" distL="0" distR="0">
          <wp:extent cx="1162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AB8" w:rsidRPr="00CB47EC" w:rsidRDefault="00F81AB8" w:rsidP="00290C40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2"/>
        <w:szCs w:val="12"/>
        <w:lang w:eastAsia="en-US"/>
      </w:rPr>
    </w:pPr>
    <w:r>
      <w:rPr>
        <w:rFonts w:ascii="Calibri" w:eastAsia="Calibri" w:hAnsi="Calibri"/>
        <w:b/>
        <w:sz w:val="12"/>
        <w:szCs w:val="12"/>
        <w:lang w:val="en-US" w:eastAsia="en-US"/>
      </w:rPr>
      <w:t xml:space="preserve">         </w:t>
    </w:r>
    <w:r w:rsidRPr="00CB47EC">
      <w:rPr>
        <w:rFonts w:ascii="Calibri" w:eastAsia="Calibri" w:hAnsi="Calibri"/>
        <w:b/>
        <w:sz w:val="12"/>
        <w:szCs w:val="12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AAA"/>
    <w:multiLevelType w:val="hybridMultilevel"/>
    <w:tmpl w:val="7576D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CDD"/>
    <w:multiLevelType w:val="hybridMultilevel"/>
    <w:tmpl w:val="1E6EE45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118E3"/>
    <w:rsid w:val="00020055"/>
    <w:rsid w:val="00020A4C"/>
    <w:rsid w:val="00021CDE"/>
    <w:rsid w:val="00023440"/>
    <w:rsid w:val="00027427"/>
    <w:rsid w:val="00030088"/>
    <w:rsid w:val="0003090B"/>
    <w:rsid w:val="00032117"/>
    <w:rsid w:val="00044A2D"/>
    <w:rsid w:val="00052BC7"/>
    <w:rsid w:val="00060819"/>
    <w:rsid w:val="00061620"/>
    <w:rsid w:val="00081B13"/>
    <w:rsid w:val="0009018D"/>
    <w:rsid w:val="00093E49"/>
    <w:rsid w:val="00097ECF"/>
    <w:rsid w:val="000A252D"/>
    <w:rsid w:val="000A7638"/>
    <w:rsid w:val="000C27B2"/>
    <w:rsid w:val="000F5B1E"/>
    <w:rsid w:val="00101D59"/>
    <w:rsid w:val="00131CF3"/>
    <w:rsid w:val="001333C5"/>
    <w:rsid w:val="00136FA6"/>
    <w:rsid w:val="00137809"/>
    <w:rsid w:val="001645A3"/>
    <w:rsid w:val="0017202C"/>
    <w:rsid w:val="00182256"/>
    <w:rsid w:val="00197543"/>
    <w:rsid w:val="001975F6"/>
    <w:rsid w:val="001A75FF"/>
    <w:rsid w:val="001B204C"/>
    <w:rsid w:val="001B5E09"/>
    <w:rsid w:val="001C2B65"/>
    <w:rsid w:val="001C44D3"/>
    <w:rsid w:val="001C4F19"/>
    <w:rsid w:val="001D08E8"/>
    <w:rsid w:val="001E1C57"/>
    <w:rsid w:val="001F01EC"/>
    <w:rsid w:val="001F3523"/>
    <w:rsid w:val="001F4813"/>
    <w:rsid w:val="00207E64"/>
    <w:rsid w:val="002372FE"/>
    <w:rsid w:val="00253074"/>
    <w:rsid w:val="00263914"/>
    <w:rsid w:val="002662E0"/>
    <w:rsid w:val="00266BB2"/>
    <w:rsid w:val="00286285"/>
    <w:rsid w:val="0028765D"/>
    <w:rsid w:val="0029041D"/>
    <w:rsid w:val="00290C40"/>
    <w:rsid w:val="00293DDF"/>
    <w:rsid w:val="0029430C"/>
    <w:rsid w:val="002952EC"/>
    <w:rsid w:val="002A0775"/>
    <w:rsid w:val="002A454B"/>
    <w:rsid w:val="002A64D5"/>
    <w:rsid w:val="002B18A6"/>
    <w:rsid w:val="002D06E2"/>
    <w:rsid w:val="002D257D"/>
    <w:rsid w:val="002D59F8"/>
    <w:rsid w:val="002D70E3"/>
    <w:rsid w:val="002E33AB"/>
    <w:rsid w:val="002E4612"/>
    <w:rsid w:val="002F6584"/>
    <w:rsid w:val="002F6E09"/>
    <w:rsid w:val="0031576A"/>
    <w:rsid w:val="0031647B"/>
    <w:rsid w:val="003368C3"/>
    <w:rsid w:val="00337457"/>
    <w:rsid w:val="003413AD"/>
    <w:rsid w:val="003415B2"/>
    <w:rsid w:val="003569C0"/>
    <w:rsid w:val="00360A46"/>
    <w:rsid w:val="003727F7"/>
    <w:rsid w:val="00373835"/>
    <w:rsid w:val="003917A1"/>
    <w:rsid w:val="003931E6"/>
    <w:rsid w:val="003B1142"/>
    <w:rsid w:val="003B4F31"/>
    <w:rsid w:val="003C0ECF"/>
    <w:rsid w:val="003C24DB"/>
    <w:rsid w:val="003D413B"/>
    <w:rsid w:val="003E36DC"/>
    <w:rsid w:val="003E7FE6"/>
    <w:rsid w:val="003F659C"/>
    <w:rsid w:val="00403068"/>
    <w:rsid w:val="00412491"/>
    <w:rsid w:val="004156C0"/>
    <w:rsid w:val="0041611F"/>
    <w:rsid w:val="00475C20"/>
    <w:rsid w:val="00484FF1"/>
    <w:rsid w:val="00486A34"/>
    <w:rsid w:val="00487BB2"/>
    <w:rsid w:val="004F7533"/>
    <w:rsid w:val="0050158D"/>
    <w:rsid w:val="005221D5"/>
    <w:rsid w:val="0053230A"/>
    <w:rsid w:val="00544C1A"/>
    <w:rsid w:val="00556945"/>
    <w:rsid w:val="0056308C"/>
    <w:rsid w:val="005633F0"/>
    <w:rsid w:val="00572BA5"/>
    <w:rsid w:val="00572FB4"/>
    <w:rsid w:val="005930A6"/>
    <w:rsid w:val="005A7C75"/>
    <w:rsid w:val="005C1C4A"/>
    <w:rsid w:val="005C45F7"/>
    <w:rsid w:val="005C7C45"/>
    <w:rsid w:val="005D3BFF"/>
    <w:rsid w:val="005E43FB"/>
    <w:rsid w:val="005F24AE"/>
    <w:rsid w:val="0060220B"/>
    <w:rsid w:val="0060289C"/>
    <w:rsid w:val="00613CD8"/>
    <w:rsid w:val="006163EC"/>
    <w:rsid w:val="00626722"/>
    <w:rsid w:val="00634329"/>
    <w:rsid w:val="006437DC"/>
    <w:rsid w:val="0064741D"/>
    <w:rsid w:val="006508A7"/>
    <w:rsid w:val="006521C7"/>
    <w:rsid w:val="00653B60"/>
    <w:rsid w:val="006628B6"/>
    <w:rsid w:val="00680205"/>
    <w:rsid w:val="006904F3"/>
    <w:rsid w:val="006979CF"/>
    <w:rsid w:val="006A0555"/>
    <w:rsid w:val="006A4529"/>
    <w:rsid w:val="006A5E78"/>
    <w:rsid w:val="006A67FD"/>
    <w:rsid w:val="006C7712"/>
    <w:rsid w:val="006E2120"/>
    <w:rsid w:val="006E2BA4"/>
    <w:rsid w:val="00704135"/>
    <w:rsid w:val="0071093C"/>
    <w:rsid w:val="00713090"/>
    <w:rsid w:val="00735185"/>
    <w:rsid w:val="00753EC0"/>
    <w:rsid w:val="00760ED6"/>
    <w:rsid w:val="0076292E"/>
    <w:rsid w:val="007659FF"/>
    <w:rsid w:val="00782693"/>
    <w:rsid w:val="007B6F73"/>
    <w:rsid w:val="007E5AA5"/>
    <w:rsid w:val="008107A5"/>
    <w:rsid w:val="00826DE6"/>
    <w:rsid w:val="008536BE"/>
    <w:rsid w:val="00861B43"/>
    <w:rsid w:val="00864F05"/>
    <w:rsid w:val="00866119"/>
    <w:rsid w:val="00873BF0"/>
    <w:rsid w:val="00876C0A"/>
    <w:rsid w:val="00887481"/>
    <w:rsid w:val="008A2175"/>
    <w:rsid w:val="008A61B7"/>
    <w:rsid w:val="008B32AD"/>
    <w:rsid w:val="008C101E"/>
    <w:rsid w:val="008F46A5"/>
    <w:rsid w:val="008F47BD"/>
    <w:rsid w:val="008F6CF0"/>
    <w:rsid w:val="008F7E9A"/>
    <w:rsid w:val="00917758"/>
    <w:rsid w:val="009232D6"/>
    <w:rsid w:val="0092593C"/>
    <w:rsid w:val="0094654D"/>
    <w:rsid w:val="009628A8"/>
    <w:rsid w:val="00965ACF"/>
    <w:rsid w:val="00994346"/>
    <w:rsid w:val="009A0480"/>
    <w:rsid w:val="009A72BA"/>
    <w:rsid w:val="009B4002"/>
    <w:rsid w:val="009C2975"/>
    <w:rsid w:val="009D4E94"/>
    <w:rsid w:val="009E3572"/>
    <w:rsid w:val="009F4468"/>
    <w:rsid w:val="009F7647"/>
    <w:rsid w:val="00A06EC5"/>
    <w:rsid w:val="00A11D71"/>
    <w:rsid w:val="00A16506"/>
    <w:rsid w:val="00A2171A"/>
    <w:rsid w:val="00A2461F"/>
    <w:rsid w:val="00A2489C"/>
    <w:rsid w:val="00A273C7"/>
    <w:rsid w:val="00A3582F"/>
    <w:rsid w:val="00A4628E"/>
    <w:rsid w:val="00A601B9"/>
    <w:rsid w:val="00A733DC"/>
    <w:rsid w:val="00A85E50"/>
    <w:rsid w:val="00AB064F"/>
    <w:rsid w:val="00AC02A9"/>
    <w:rsid w:val="00AC07B0"/>
    <w:rsid w:val="00AC6511"/>
    <w:rsid w:val="00AC7DF9"/>
    <w:rsid w:val="00AD0B96"/>
    <w:rsid w:val="00AE0ED1"/>
    <w:rsid w:val="00AF546B"/>
    <w:rsid w:val="00B00A4A"/>
    <w:rsid w:val="00B0176D"/>
    <w:rsid w:val="00B03641"/>
    <w:rsid w:val="00B07A9A"/>
    <w:rsid w:val="00B120A6"/>
    <w:rsid w:val="00B25E57"/>
    <w:rsid w:val="00B36F5A"/>
    <w:rsid w:val="00B44F12"/>
    <w:rsid w:val="00B518F4"/>
    <w:rsid w:val="00B614AD"/>
    <w:rsid w:val="00B6795F"/>
    <w:rsid w:val="00B80A46"/>
    <w:rsid w:val="00B80BEF"/>
    <w:rsid w:val="00B91CC4"/>
    <w:rsid w:val="00BB06E7"/>
    <w:rsid w:val="00BB25A3"/>
    <w:rsid w:val="00BC6870"/>
    <w:rsid w:val="00BD3A80"/>
    <w:rsid w:val="00BD616E"/>
    <w:rsid w:val="00BE7B16"/>
    <w:rsid w:val="00BF528A"/>
    <w:rsid w:val="00BF6FB0"/>
    <w:rsid w:val="00C30639"/>
    <w:rsid w:val="00C53DCB"/>
    <w:rsid w:val="00C67AB3"/>
    <w:rsid w:val="00C84ED8"/>
    <w:rsid w:val="00C904F0"/>
    <w:rsid w:val="00C969AF"/>
    <w:rsid w:val="00CA0A92"/>
    <w:rsid w:val="00CA58AD"/>
    <w:rsid w:val="00CA59D0"/>
    <w:rsid w:val="00CB47EC"/>
    <w:rsid w:val="00CC1080"/>
    <w:rsid w:val="00CD3E4D"/>
    <w:rsid w:val="00CD5425"/>
    <w:rsid w:val="00CE537D"/>
    <w:rsid w:val="00CF6EBF"/>
    <w:rsid w:val="00D01490"/>
    <w:rsid w:val="00D02222"/>
    <w:rsid w:val="00D02BC7"/>
    <w:rsid w:val="00D05705"/>
    <w:rsid w:val="00D24DD1"/>
    <w:rsid w:val="00D252EA"/>
    <w:rsid w:val="00D44769"/>
    <w:rsid w:val="00D51FBB"/>
    <w:rsid w:val="00D56BF9"/>
    <w:rsid w:val="00D6505B"/>
    <w:rsid w:val="00D77821"/>
    <w:rsid w:val="00D77EEC"/>
    <w:rsid w:val="00D83082"/>
    <w:rsid w:val="00D8334D"/>
    <w:rsid w:val="00DA2980"/>
    <w:rsid w:val="00DB2749"/>
    <w:rsid w:val="00DD6D53"/>
    <w:rsid w:val="00E04EE3"/>
    <w:rsid w:val="00E0551A"/>
    <w:rsid w:val="00E153BE"/>
    <w:rsid w:val="00E32397"/>
    <w:rsid w:val="00E37746"/>
    <w:rsid w:val="00E55109"/>
    <w:rsid w:val="00E61729"/>
    <w:rsid w:val="00E61A12"/>
    <w:rsid w:val="00E61B7E"/>
    <w:rsid w:val="00E64B4E"/>
    <w:rsid w:val="00E92BD9"/>
    <w:rsid w:val="00E94D9C"/>
    <w:rsid w:val="00E97500"/>
    <w:rsid w:val="00EA464E"/>
    <w:rsid w:val="00EB5518"/>
    <w:rsid w:val="00EC3CDD"/>
    <w:rsid w:val="00EC3EA8"/>
    <w:rsid w:val="00EE736F"/>
    <w:rsid w:val="00F01ED8"/>
    <w:rsid w:val="00F02816"/>
    <w:rsid w:val="00F07B3B"/>
    <w:rsid w:val="00F228EA"/>
    <w:rsid w:val="00F36D84"/>
    <w:rsid w:val="00F44833"/>
    <w:rsid w:val="00F63FA4"/>
    <w:rsid w:val="00F66813"/>
    <w:rsid w:val="00F71789"/>
    <w:rsid w:val="00F81AB8"/>
    <w:rsid w:val="00FA3A88"/>
    <w:rsid w:val="00FA66FB"/>
    <w:rsid w:val="00FA717C"/>
    <w:rsid w:val="00FB04EF"/>
    <w:rsid w:val="00FB057B"/>
    <w:rsid w:val="00FB2DAA"/>
    <w:rsid w:val="00FC0D95"/>
    <w:rsid w:val="00FC4F8E"/>
    <w:rsid w:val="00FC51DC"/>
    <w:rsid w:val="00FD644B"/>
    <w:rsid w:val="00FE1BB7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55A4A"/>
  <w15:chartTrackingRefBased/>
  <w15:docId w15:val="{9E87680D-11E3-4DFF-9C51-71BC378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link w:val="ListParagraphChar"/>
    <w:uiPriority w:val="34"/>
    <w:qFormat/>
    <w:rsid w:val="0029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952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basedOn w:val="Normal"/>
    <w:link w:val="Text1Char"/>
    <w:rsid w:val="002A0775"/>
    <w:pPr>
      <w:spacing w:before="60" w:after="60"/>
      <w:ind w:left="850"/>
    </w:pPr>
    <w:rPr>
      <w:lang w:val="en-GB" w:eastAsia="en-US"/>
    </w:rPr>
  </w:style>
  <w:style w:type="character" w:customStyle="1" w:styleId="Text1Char">
    <w:name w:val="Text 1 Char"/>
    <w:link w:val="Text1"/>
    <w:locked/>
    <w:rsid w:val="002A077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79CE-1992-4187-B748-E927D142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pfilipova</dc:creator>
  <cp:keywords/>
  <dc:description/>
  <cp:lastModifiedBy>Daniela Kalaydzhiyska-Ivanova</cp:lastModifiedBy>
  <cp:revision>4</cp:revision>
  <cp:lastPrinted>2020-09-29T11:21:00Z</cp:lastPrinted>
  <dcterms:created xsi:type="dcterms:W3CDTF">2020-10-21T11:59:00Z</dcterms:created>
  <dcterms:modified xsi:type="dcterms:W3CDTF">2020-10-21T12:24:00Z</dcterms:modified>
</cp:coreProperties>
</file>