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r>
        <w:rPr>
          <w:b/>
          <w:spacing w:val="10"/>
          <w:sz w:val="24"/>
          <w:szCs w:val="24"/>
          <w:lang w:val="bg-BG"/>
        </w:rPr>
        <w:t xml:space="preserve">Приложение № </w:t>
      </w:r>
      <w:r w:rsidR="00F5292C" w:rsidRPr="00F5292C">
        <w:rPr>
          <w:b/>
          <w:spacing w:val="10"/>
          <w:sz w:val="24"/>
          <w:szCs w:val="24"/>
          <w:lang w:val="bg-BG"/>
        </w:rPr>
        <w:t>9</w:t>
      </w:r>
    </w:p>
    <w:p w:rsidR="003B7B0A" w:rsidRPr="00E90086" w:rsidRDefault="001C4A9C" w:rsidP="00E90086">
      <w:pPr>
        <w:spacing w:before="120"/>
        <w:jc w:val="center"/>
        <w:rPr>
          <w:b/>
          <w:sz w:val="24"/>
          <w:szCs w:val="24"/>
          <w:lang w:val="bg-BG"/>
        </w:rPr>
      </w:pPr>
      <w:r w:rsidRPr="00E90086">
        <w:rPr>
          <w:b/>
          <w:sz w:val="24"/>
          <w:szCs w:val="24"/>
        </w:rPr>
        <w:t>Условия за изпълнение на одобрени проект</w:t>
      </w:r>
      <w:r w:rsidR="00FA043C" w:rsidRPr="00E90086">
        <w:rPr>
          <w:b/>
          <w:sz w:val="24"/>
          <w:szCs w:val="24"/>
        </w:rPr>
        <w:t xml:space="preserve">и </w:t>
      </w:r>
      <w:r w:rsidRPr="00E90086">
        <w:rPr>
          <w:b/>
          <w:sz w:val="24"/>
          <w:szCs w:val="24"/>
        </w:rPr>
        <w:t>по ОПТТИ</w:t>
      </w:r>
    </w:p>
    <w:p w:rsidR="001C4A9C" w:rsidRDefault="001C4A9C" w:rsidP="001C4A9C">
      <w:pPr>
        <w:spacing w:after="120"/>
        <w:jc w:val="center"/>
        <w:rPr>
          <w:b/>
          <w:sz w:val="52"/>
          <w:szCs w:val="52"/>
          <w:lang w:val="bg-BG"/>
        </w:rPr>
      </w:pPr>
    </w:p>
    <w:p w:rsidR="00377B73" w:rsidRPr="00377B73" w:rsidRDefault="00377B73" w:rsidP="00E90086">
      <w:pPr>
        <w:ind w:left="851"/>
        <w:rPr>
          <w:b/>
          <w:color w:val="000000"/>
          <w:spacing w:val="10"/>
          <w:sz w:val="24"/>
          <w:szCs w:val="24"/>
          <w:lang w:val="bg-BG"/>
        </w:rPr>
      </w:pPr>
      <w:r w:rsidRPr="00377B73">
        <w:rPr>
          <w:b/>
          <w:color w:val="000000"/>
          <w:spacing w:val="10"/>
          <w:sz w:val="24"/>
          <w:szCs w:val="24"/>
          <w:lang w:val="bg-BG"/>
        </w:rPr>
        <w:t>УВОД</w:t>
      </w:r>
    </w:p>
    <w:p w:rsidR="009C1BDA" w:rsidRPr="009C1BDA" w:rsidRDefault="00BD6574" w:rsidP="009C1BDA">
      <w:pPr>
        <w:ind w:firstLine="851"/>
        <w:jc w:val="both"/>
        <w:rPr>
          <w:b/>
          <w:iCs/>
          <w:sz w:val="24"/>
          <w:szCs w:val="24"/>
          <w:lang w:val="bg-BG"/>
        </w:rPr>
      </w:pPr>
      <w:r>
        <w:rPr>
          <w:sz w:val="24"/>
          <w:szCs w:val="24"/>
          <w:lang w:val="bg-BG"/>
        </w:rPr>
        <w:t xml:space="preserve">На основание чл. 26, ал. 1 от Закона за управление на средствата от Европейските структурни инвестиционни фондове и във връзка с необходимостта от определяне на </w:t>
      </w:r>
      <w:r w:rsidR="00261B7A">
        <w:rPr>
          <w:sz w:val="24"/>
          <w:szCs w:val="24"/>
          <w:lang w:val="bg-BG"/>
        </w:rPr>
        <w:t xml:space="preserve">Условия </w:t>
      </w:r>
      <w:r>
        <w:rPr>
          <w:sz w:val="24"/>
          <w:szCs w:val="24"/>
          <w:lang w:val="bg-BG"/>
        </w:rPr>
        <w:t xml:space="preserve">за изпълнение </w:t>
      </w:r>
      <w:r w:rsidR="00261B7A">
        <w:rPr>
          <w:sz w:val="24"/>
          <w:szCs w:val="24"/>
          <w:lang w:val="bg-BG"/>
        </w:rPr>
        <w:t xml:space="preserve">на одобрени проекти </w:t>
      </w:r>
      <w:r>
        <w:rPr>
          <w:sz w:val="24"/>
          <w:szCs w:val="24"/>
          <w:lang w:val="bg-BG"/>
        </w:rPr>
        <w:t xml:space="preserve">по </w:t>
      </w:r>
      <w:r w:rsidRPr="009C1BDA">
        <w:rPr>
          <w:sz w:val="24"/>
          <w:szCs w:val="24"/>
          <w:lang w:val="bg-BG"/>
        </w:rPr>
        <w:t xml:space="preserve">Оперативна програма „Транспорт и транспортна инфраструктура“ 20014-2020  </w:t>
      </w:r>
      <w:r>
        <w:rPr>
          <w:sz w:val="24"/>
          <w:szCs w:val="24"/>
          <w:lang w:val="bg-BG"/>
        </w:rPr>
        <w:t>г. (ОПТТИ)</w:t>
      </w:r>
      <w:r w:rsidR="00261B7A">
        <w:rPr>
          <w:sz w:val="24"/>
          <w:szCs w:val="24"/>
          <w:lang w:val="bg-BG"/>
        </w:rPr>
        <w:t>, наричани по нататък накратко „Условия за изпълнение“</w:t>
      </w:r>
      <w:r w:rsidR="00050CA6">
        <w:rPr>
          <w:sz w:val="24"/>
          <w:szCs w:val="24"/>
          <w:lang w:val="bg-BG"/>
        </w:rPr>
        <w:t>.</w:t>
      </w:r>
      <w:r>
        <w:rPr>
          <w:sz w:val="24"/>
          <w:szCs w:val="24"/>
          <w:lang w:val="bg-BG"/>
        </w:rPr>
        <w:t xml:space="preserve"> </w:t>
      </w:r>
      <w:r w:rsidR="009C1BDA" w:rsidRPr="009C1BDA">
        <w:rPr>
          <w:sz w:val="24"/>
          <w:szCs w:val="24"/>
          <w:lang w:val="bg-BG"/>
        </w:rPr>
        <w:t xml:space="preserve">Управляващия орган на </w:t>
      </w:r>
      <w:r w:rsidR="009C1BDA">
        <w:rPr>
          <w:sz w:val="24"/>
          <w:szCs w:val="24"/>
          <w:lang w:val="bg-BG"/>
        </w:rPr>
        <w:t>ОПТТИ</w:t>
      </w:r>
      <w:r>
        <w:rPr>
          <w:sz w:val="24"/>
          <w:szCs w:val="24"/>
          <w:lang w:val="bg-BG"/>
        </w:rPr>
        <w:t xml:space="preserve"> изготви настоящия документ </w:t>
      </w:r>
      <w:r w:rsidR="00710B1D">
        <w:rPr>
          <w:sz w:val="24"/>
          <w:szCs w:val="24"/>
          <w:lang w:val="bg-BG"/>
        </w:rPr>
        <w:t>във връзка с</w:t>
      </w:r>
      <w:r>
        <w:rPr>
          <w:sz w:val="24"/>
          <w:szCs w:val="24"/>
          <w:lang w:val="bg-BG"/>
        </w:rPr>
        <w:t xml:space="preserve"> одобрените Насоки за кандидатстване по ОПТТИ</w:t>
      </w:r>
      <w:r w:rsidR="003A1A34">
        <w:rPr>
          <w:sz w:val="24"/>
          <w:szCs w:val="24"/>
          <w:lang w:val="bg-BG"/>
        </w:rPr>
        <w:t xml:space="preserve"> и с цел избягване на административната тежест на бенефициентите е предвидено да настоящите Условия за изпълнение да заместят сключването на предвидените оперативни споразумения с всеки конкретен бенефициент по програмата</w:t>
      </w:r>
      <w:r>
        <w:rPr>
          <w:sz w:val="24"/>
          <w:szCs w:val="24"/>
          <w:lang w:val="bg-BG"/>
        </w:rPr>
        <w:t xml:space="preserve">. </w:t>
      </w:r>
      <w:r w:rsidR="009C1BDA">
        <w:rPr>
          <w:sz w:val="24"/>
          <w:szCs w:val="24"/>
          <w:lang w:val="bg-BG"/>
        </w:rPr>
        <w:t xml:space="preserve"> </w:t>
      </w:r>
      <w:r w:rsidRPr="009C1BDA">
        <w:rPr>
          <w:sz w:val="24"/>
          <w:szCs w:val="24"/>
          <w:lang w:val="bg-BG"/>
        </w:rPr>
        <w:t xml:space="preserve">Управляващия орган на </w:t>
      </w:r>
      <w:r>
        <w:rPr>
          <w:sz w:val="24"/>
          <w:szCs w:val="24"/>
          <w:lang w:val="bg-BG"/>
        </w:rPr>
        <w:t xml:space="preserve">ОПТТИ </w:t>
      </w:r>
      <w:r w:rsidR="009C1BDA">
        <w:rPr>
          <w:sz w:val="24"/>
          <w:szCs w:val="24"/>
          <w:lang w:val="bg-BG"/>
        </w:rPr>
        <w:t xml:space="preserve">и </w:t>
      </w:r>
      <w:r>
        <w:rPr>
          <w:sz w:val="24"/>
          <w:szCs w:val="24"/>
          <w:lang w:val="bg-BG"/>
        </w:rPr>
        <w:t>конкретните бенефициенти</w:t>
      </w:r>
      <w:r w:rsidR="009C1BDA">
        <w:rPr>
          <w:sz w:val="24"/>
          <w:szCs w:val="24"/>
          <w:lang w:val="bg-BG"/>
        </w:rPr>
        <w:t xml:space="preserve"> по ОПТТИ </w:t>
      </w:r>
      <w:r w:rsidR="009C1BDA" w:rsidRPr="009C1BDA">
        <w:rPr>
          <w:sz w:val="24"/>
          <w:szCs w:val="24"/>
          <w:lang w:val="bg-BG"/>
        </w:rPr>
        <w:t xml:space="preserve">носят общата отговорност за изпълнението на </w:t>
      </w:r>
      <w:r w:rsidR="009C1BDA">
        <w:rPr>
          <w:sz w:val="24"/>
          <w:szCs w:val="24"/>
          <w:lang w:val="bg-BG"/>
        </w:rPr>
        <w:t>одобрение проекти</w:t>
      </w:r>
      <w:r w:rsidR="009C1BDA" w:rsidRPr="009C1BDA">
        <w:rPr>
          <w:sz w:val="24"/>
          <w:szCs w:val="24"/>
          <w:lang w:val="bg-BG"/>
        </w:rPr>
        <w:t xml:space="preserve">/операции, финансирани от ОПТТИ, поради </w:t>
      </w:r>
      <w:r w:rsidR="009C1BDA">
        <w:rPr>
          <w:sz w:val="24"/>
          <w:szCs w:val="24"/>
          <w:lang w:val="bg-BG"/>
        </w:rPr>
        <w:t xml:space="preserve">което </w:t>
      </w:r>
      <w:r w:rsidR="009C1BDA" w:rsidRPr="009C1BDA">
        <w:rPr>
          <w:sz w:val="24"/>
          <w:szCs w:val="24"/>
          <w:lang w:val="bg-BG"/>
        </w:rPr>
        <w:t xml:space="preserve">се определят </w:t>
      </w:r>
      <w:r w:rsidR="009C1BDA">
        <w:rPr>
          <w:sz w:val="24"/>
          <w:szCs w:val="24"/>
          <w:lang w:val="bg-BG"/>
        </w:rPr>
        <w:t>настоящите условия за изпълне</w:t>
      </w:r>
      <w:r w:rsidR="003B7B0A">
        <w:rPr>
          <w:sz w:val="24"/>
          <w:szCs w:val="24"/>
          <w:lang w:val="bg-BG"/>
        </w:rPr>
        <w:t>ние на одобрените проекти по ОП</w:t>
      </w:r>
      <w:r w:rsidR="009C1BDA">
        <w:rPr>
          <w:sz w:val="24"/>
          <w:szCs w:val="24"/>
          <w:lang w:val="bg-BG"/>
        </w:rPr>
        <w:t xml:space="preserve">ТТИ, съдържащи </w:t>
      </w:r>
      <w:r w:rsidR="009C1BDA" w:rsidRPr="009C1BDA">
        <w:rPr>
          <w:sz w:val="24"/>
          <w:szCs w:val="24"/>
          <w:lang w:val="bg-BG"/>
        </w:rPr>
        <w:t xml:space="preserve">конкретни права и задължения за подготовка, избор, </w:t>
      </w:r>
      <w:r w:rsidR="009C1BDA" w:rsidRPr="009C1BDA">
        <w:rPr>
          <w:spacing w:val="10"/>
          <w:sz w:val="24"/>
          <w:szCs w:val="24"/>
          <w:lang w:val="bg-BG"/>
        </w:rPr>
        <w:t>управление</w:t>
      </w:r>
      <w:r w:rsidR="009C1BDA" w:rsidRPr="009C1BDA">
        <w:rPr>
          <w:sz w:val="24"/>
          <w:szCs w:val="24"/>
          <w:lang w:val="bg-BG"/>
        </w:rPr>
        <w:t>, изпълнение, наблюдение и контрол на проектите/операциите, финансирани от ОПТТИ</w:t>
      </w:r>
      <w:r w:rsidR="009C1BDA">
        <w:rPr>
          <w:sz w:val="24"/>
          <w:szCs w:val="24"/>
          <w:lang w:val="bg-BG"/>
        </w:rPr>
        <w:t xml:space="preserve">. </w:t>
      </w:r>
      <w:r w:rsidR="00261B7A">
        <w:rPr>
          <w:sz w:val="24"/>
          <w:szCs w:val="24"/>
          <w:lang w:val="bg-BG"/>
        </w:rPr>
        <w:t>Условията</w:t>
      </w:r>
      <w:r w:rsidR="009C1BDA">
        <w:rPr>
          <w:sz w:val="24"/>
          <w:szCs w:val="24"/>
          <w:lang w:val="bg-BG"/>
        </w:rPr>
        <w:t xml:space="preserve"> са задължител</w:t>
      </w:r>
      <w:r w:rsidR="003B7B0A">
        <w:rPr>
          <w:sz w:val="24"/>
          <w:szCs w:val="24"/>
          <w:lang w:val="bg-BG"/>
        </w:rPr>
        <w:t>ни за всички бенефициенти по ОПТ</w:t>
      </w:r>
      <w:r w:rsidR="009C1BDA">
        <w:rPr>
          <w:sz w:val="24"/>
          <w:szCs w:val="24"/>
          <w:lang w:val="bg-BG"/>
        </w:rPr>
        <w:t xml:space="preserve">ТИ и се прилагат към договорите/ административните договори/ </w:t>
      </w:r>
      <w:r w:rsidR="009C1BDA" w:rsidRPr="001C4A9C">
        <w:rPr>
          <w:sz w:val="24"/>
          <w:szCs w:val="24"/>
          <w:lang w:val="bg-BG"/>
        </w:rPr>
        <w:t>заповеди за предоставяне на безвъзмездна финансова помощ БФП към всички одобрени</w:t>
      </w:r>
      <w:r w:rsidR="009C1BDA">
        <w:rPr>
          <w:sz w:val="24"/>
          <w:szCs w:val="24"/>
          <w:lang w:val="bg-BG"/>
        </w:rPr>
        <w:t xml:space="preserve"> проекти по ОП</w:t>
      </w:r>
      <w:r w:rsidR="003B7B0A">
        <w:rPr>
          <w:sz w:val="24"/>
          <w:szCs w:val="24"/>
          <w:lang w:val="bg-BG"/>
        </w:rPr>
        <w:t>Т</w:t>
      </w:r>
      <w:r w:rsidR="009C1BDA">
        <w:rPr>
          <w:sz w:val="24"/>
          <w:szCs w:val="24"/>
          <w:lang w:val="bg-BG"/>
        </w:rPr>
        <w:t>ТИ.</w:t>
      </w:r>
    </w:p>
    <w:p w:rsidR="00220669" w:rsidRDefault="00220669">
      <w:pPr>
        <w:rPr>
          <w:b/>
          <w:color w:val="000000"/>
          <w:sz w:val="24"/>
          <w:szCs w:val="24"/>
          <w:lang w:val="bg-BG"/>
        </w:rPr>
      </w:pPr>
      <w:r>
        <w:rPr>
          <w:szCs w:val="24"/>
          <w:lang w:val="bg-BG"/>
        </w:rPr>
        <w:br w:type="page"/>
      </w:r>
    </w:p>
    <w:p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rsidR="003B34FA" w:rsidRPr="00D35B18" w:rsidRDefault="00792325" w:rsidP="00A26EE1">
      <w:pPr>
        <w:pStyle w:val="ListParagraph"/>
        <w:numPr>
          <w:ilvl w:val="1"/>
          <w:numId w:val="28"/>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ОПТТИ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Оперативна програма „Транспорт и транспортна</w:t>
      </w:r>
      <w:r w:rsidRPr="00D35B18">
        <w:rPr>
          <w:sz w:val="24"/>
          <w:szCs w:val="24"/>
          <w:lang w:val="bg-BG"/>
        </w:rPr>
        <w:t xml:space="preserve"> инфраструктура“ 2014-2020 г.“.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1303/2013,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ЗУСЕСИФ </w:t>
      </w:r>
      <w:r w:rsidR="009C1BDA" w:rsidRPr="00D35B18">
        <w:rPr>
          <w:sz w:val="24"/>
          <w:szCs w:val="24"/>
          <w:lang w:val="bg-BG"/>
        </w:rPr>
        <w:t xml:space="preserve">ръководителят на УО на ОПТТИ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 xml:space="preserve">Решение за предоставяне на безвъзмездна финансова помощ или в случай на „голям проект“ </w:t>
      </w:r>
      <w:r w:rsidR="00327BB4" w:rsidRPr="00D35B18">
        <w:rPr>
          <w:sz w:val="24"/>
          <w:szCs w:val="24"/>
          <w:lang w:val="bg-BG"/>
        </w:rPr>
        <w:t xml:space="preserve">на основание чл. 45, ал. 1, т. 4 от ЗУСЕСИФ </w:t>
      </w:r>
      <w:r w:rsidR="009C1BDA" w:rsidRPr="00D35B18">
        <w:rPr>
          <w:sz w:val="24"/>
          <w:szCs w:val="24"/>
          <w:lang w:val="bg-BG"/>
        </w:rPr>
        <w:t>изготвя становище, с което одобрява проект по смисъла на чл.</w:t>
      </w:r>
      <w:r w:rsidR="009C1BDA" w:rsidRPr="00D35B18">
        <w:rPr>
          <w:color w:val="000000"/>
          <w:sz w:val="24"/>
          <w:szCs w:val="24"/>
          <w:lang w:val="bg-BG"/>
        </w:rPr>
        <w:t xml:space="preserve"> 100 от Регламент (ЕС) № 1303/2013 за и</w:t>
      </w:r>
      <w:r w:rsidR="00D35B18">
        <w:rPr>
          <w:color w:val="000000"/>
          <w:sz w:val="24"/>
          <w:szCs w:val="24"/>
          <w:lang w:val="bg-BG"/>
        </w:rPr>
        <w:t>зпращане в Европейската комисия. Одобрените проекти се изпълняват в съответствие с Решението на УО/ЕК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proofErr w:type="spellStart"/>
      <w:r w:rsidRPr="00A26EE1">
        <w:rPr>
          <w:sz w:val="24"/>
          <w:szCs w:val="24"/>
          <w:lang w:val="bg-BG"/>
        </w:rPr>
        <w:t>прединвестиционни</w:t>
      </w:r>
      <w:proofErr w:type="spellEnd"/>
      <w:r w:rsidRPr="00A26EE1">
        <w:rPr>
          <w:sz w:val="24"/>
          <w:szCs w:val="24"/>
          <w:lang w:val="bg-BG"/>
        </w:rPr>
        <w:t xml:space="preserve">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proofErr w:type="spellStart"/>
      <w:r w:rsidR="003A724D" w:rsidRPr="003A724D">
        <w:rPr>
          <w:bCs/>
          <w:sz w:val="24"/>
          <w:szCs w:val="24"/>
          <w:lang w:val="bg-BG"/>
        </w:rPr>
        <w:t>отчуждителни</w:t>
      </w:r>
      <w:proofErr w:type="spellEnd"/>
      <w:r w:rsidR="003A724D" w:rsidRPr="003A724D">
        <w:rPr>
          <w:bCs/>
          <w:sz w:val="24"/>
          <w:szCs w:val="24"/>
          <w:lang w:val="bg-BG"/>
        </w:rPr>
        <w:t xml:space="preserve">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договорът</w:t>
      </w:r>
      <w:r w:rsidR="001C4A9C" w:rsidRPr="00A26EE1">
        <w:rPr>
          <w:sz w:val="24"/>
          <w:szCs w:val="24"/>
          <w:lang w:val="bg-BG"/>
        </w:rPr>
        <w:t>/ административния договор/ заповедта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lastRenderedPageBreak/>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FC4C92" w:rsidRPr="007A3CA5"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FC4C92">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5C6FDB">
      <w:pPr>
        <w:numPr>
          <w:ilvl w:val="0"/>
          <w:numId w:val="17"/>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proofErr w:type="spellStart"/>
      <w:r>
        <w:rPr>
          <w:sz w:val="24"/>
          <w:szCs w:val="24"/>
          <w:lang w:val="bg-BG"/>
        </w:rPr>
        <w:t>еня</w:t>
      </w:r>
      <w:proofErr w:type="spellEnd"/>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lastRenderedPageBreak/>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изготвя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 и след като бъде одобрена от ръководителя на бенефициента </w:t>
      </w:r>
      <w:r w:rsidRPr="00A26EE1">
        <w:rPr>
          <w:sz w:val="24"/>
          <w:szCs w:val="24"/>
          <w:lang w:val="bg-BG"/>
        </w:rPr>
        <w:t>първата</w:t>
      </w:r>
      <w:r w:rsidRPr="009C1BDA">
        <w:rPr>
          <w:bCs/>
          <w:sz w:val="24"/>
          <w:szCs w:val="24"/>
          <w:lang w:val="bg-BG"/>
        </w:rPr>
        <w:t xml:space="preserve"> версия се </w:t>
      </w:r>
      <w:r w:rsidRPr="002F31D3">
        <w:rPr>
          <w:sz w:val="24"/>
          <w:szCs w:val="24"/>
          <w:lang w:val="bg-BG"/>
        </w:rPr>
        <w:t>изпраща на Управляващия орган, за утвърждаване от страна на неговия ръководител.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ЗУСЕСИФ)</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w:t>
      </w:r>
      <w:r w:rsidRPr="00184CFB">
        <w:rPr>
          <w:sz w:val="24"/>
          <w:szCs w:val="24"/>
          <w:lang w:val="bg-BG"/>
        </w:rPr>
        <w:lastRenderedPageBreak/>
        <w:t xml:space="preserve">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ОПТТИ;</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w:t>
      </w:r>
      <w:r w:rsidR="00DB01A4" w:rsidRPr="00D42694">
        <w:rPr>
          <w:sz w:val="24"/>
          <w:szCs w:val="24"/>
          <w:lang w:val="bg-BG"/>
        </w:rPr>
        <w:lastRenderedPageBreak/>
        <w:t xml:space="preserve">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w:t>
      </w:r>
      <w:proofErr w:type="spellStart"/>
      <w:r w:rsidRPr="00A869B6">
        <w:rPr>
          <w:szCs w:val="24"/>
          <w:lang w:val="bg-BG"/>
        </w:rPr>
        <w:t>ите</w:t>
      </w:r>
      <w:proofErr w:type="spellEnd"/>
      <w:r w:rsidRPr="00A869B6">
        <w:rPr>
          <w:szCs w:val="24"/>
          <w:lang w:val="bg-BG"/>
        </w:rPr>
        <w:t xml:space="preserve">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ОПТТИ</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ОПТТИ</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ЗУСЕСИФ.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ЗУСЕСИФ.</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0"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0"/>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lastRenderedPageBreak/>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информационните технологии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lastRenderedPageBreak/>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xml:space="preserve">, финансиран от ОПТТИ, стане обект на разследване, плащането на БФП може да бъде преустановено, докато се предприемат необходимите </w:t>
      </w:r>
      <w:proofErr w:type="spellStart"/>
      <w:r w:rsidRPr="007150F7">
        <w:rPr>
          <w:sz w:val="24"/>
          <w:szCs w:val="24"/>
          <w:lang w:val="bg-BG"/>
        </w:rPr>
        <w:t>корективни</w:t>
      </w:r>
      <w:proofErr w:type="spellEnd"/>
      <w:r w:rsidRPr="007150F7">
        <w:rPr>
          <w:sz w:val="24"/>
          <w:szCs w:val="24"/>
          <w:lang w:val="bg-BG"/>
        </w:rPr>
        <w:t xml:space="preserve">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ОПТТИ,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w:t>
      </w:r>
      <w:proofErr w:type="spellStart"/>
      <w:r w:rsidR="00A41864">
        <w:rPr>
          <w:sz w:val="24"/>
          <w:szCs w:val="24"/>
          <w:lang w:val="bg-BG" w:eastAsia="fr-FR"/>
        </w:rPr>
        <w:t>Евратом</w:t>
      </w:r>
      <w:proofErr w:type="spellEnd"/>
      <w:r w:rsidR="00A41864">
        <w:rPr>
          <w:sz w:val="24"/>
          <w:szCs w:val="24"/>
          <w:lang w:val="bg-BG" w:eastAsia="fr-FR"/>
        </w:rPr>
        <w:t>)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Pr="009C1BDA" w:rsidRDefault="005234CC" w:rsidP="00AC73CC">
      <w:pPr>
        <w:pStyle w:val="ListParagraph"/>
        <w:numPr>
          <w:ilvl w:val="1"/>
          <w:numId w:val="30"/>
        </w:numPr>
        <w:tabs>
          <w:tab w:val="left" w:pos="993"/>
        </w:tabs>
        <w:spacing w:after="120"/>
        <w:ind w:left="0" w:firstLine="567"/>
        <w:jc w:val="both"/>
        <w:rPr>
          <w:sz w:val="24"/>
          <w:szCs w:val="24"/>
          <w:lang w:val="bg-BG"/>
        </w:rPr>
      </w:pPr>
      <w:r w:rsidRPr="00794DF0">
        <w:rPr>
          <w:rFonts w:eastAsia="Calibri"/>
          <w:sz w:val="24"/>
          <w:szCs w:val="24"/>
          <w:lang w:val="bg-BG" w:eastAsia="en-US"/>
        </w:rPr>
        <w:t xml:space="preserve">Бенефициентът като възложител на обществената поръчка е </w:t>
      </w:r>
      <w:r w:rsidRPr="00794DF0">
        <w:rPr>
          <w:sz w:val="24"/>
          <w:szCs w:val="24"/>
          <w:lang w:val="bg-BG"/>
        </w:rPr>
        <w:t>отговорен за</w:t>
      </w:r>
      <w:r w:rsidR="00B33745"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lastRenderedPageBreak/>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9C1BDA" w:rsidRDefault="009C1BDA" w:rsidP="00277B75">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sidR="00277B75">
        <w:rPr>
          <w:sz w:val="24"/>
          <w:szCs w:val="24"/>
          <w:lang w:val="bg-BG"/>
        </w:rPr>
        <w:t xml:space="preserve"> цялата</w:t>
      </w:r>
      <w:r w:rsidRPr="00B475D5">
        <w:rPr>
          <w:sz w:val="24"/>
          <w:szCs w:val="24"/>
          <w:lang w:val="bg-BG"/>
        </w:rPr>
        <w:t xml:space="preserve"> документация от проведената процедура в тридесет (30) дневен срок преди първото искане за верификация на средства по сключения договор, </w:t>
      </w:r>
      <w:r w:rsidR="00277B75">
        <w:rPr>
          <w:sz w:val="24"/>
          <w:szCs w:val="24"/>
          <w:lang w:val="bg-BG"/>
        </w:rPr>
        <w:t>включително о</w:t>
      </w:r>
      <w:r w:rsidR="00277B75" w:rsidRPr="003174B1">
        <w:rPr>
          <w:sz w:val="24"/>
          <w:szCs w:val="24"/>
          <w:lang w:val="bg-BG"/>
        </w:rPr>
        <w:t>фертата на спечелилия участник и офертите на отстранените участници</w:t>
      </w:r>
      <w:r w:rsidRPr="009C1BDA">
        <w:rPr>
          <w:sz w:val="24"/>
          <w:szCs w:val="24"/>
          <w:lang w:val="bg-BG"/>
        </w:rPr>
        <w:t>.</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ЗУСЕСИФ 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актове по чл. 7, ал. 4,  т. 4 от ЗУСЕСИФ</w:t>
      </w:r>
      <w:r w:rsidR="00424501" w:rsidRPr="00B311C9">
        <w:rPr>
          <w:sz w:val="24"/>
          <w:szCs w:val="24"/>
          <w:lang w:val="bg-BG"/>
        </w:rPr>
        <w:t xml:space="preserve"> (</w:t>
      </w:r>
      <w:r w:rsidR="00787801">
        <w:rPr>
          <w:sz w:val="24"/>
          <w:szCs w:val="24"/>
          <w:lang w:val="bg-BG"/>
        </w:rPr>
        <w:t xml:space="preserve">Наредба </w:t>
      </w:r>
      <w:r w:rsidR="0038142F">
        <w:rPr>
          <w:sz w:val="24"/>
          <w:szCs w:val="24"/>
          <w:lang w:val="bg-BG"/>
        </w:rPr>
        <w:t xml:space="preserve">№ </w:t>
      </w:r>
      <w:r w:rsidR="00787801">
        <w:rPr>
          <w:sz w:val="24"/>
          <w:szCs w:val="24"/>
          <w:lang w:val="bg-BG"/>
        </w:rPr>
        <w:t>Н-3/</w:t>
      </w:r>
      <w:r w:rsidR="0038142F">
        <w:rPr>
          <w:sz w:val="24"/>
          <w:szCs w:val="24"/>
          <w:lang w:val="bg-BG"/>
        </w:rPr>
        <w:t>22</w:t>
      </w:r>
      <w:r w:rsidR="00787801">
        <w:rPr>
          <w:sz w:val="24"/>
          <w:szCs w:val="24"/>
          <w:lang w:val="bg-BG"/>
        </w:rPr>
        <w:t>.0</w:t>
      </w:r>
      <w:r w:rsidR="0038142F">
        <w:rPr>
          <w:sz w:val="24"/>
          <w:szCs w:val="24"/>
          <w:lang w:val="bg-BG"/>
        </w:rPr>
        <w:t>5</w:t>
      </w:r>
      <w:r w:rsidR="00787801">
        <w:rPr>
          <w:sz w:val="24"/>
          <w:szCs w:val="24"/>
          <w:lang w:val="bg-BG"/>
        </w:rPr>
        <w:t>.201</w:t>
      </w:r>
      <w:r w:rsidR="0038142F">
        <w:rPr>
          <w:sz w:val="24"/>
          <w:szCs w:val="24"/>
          <w:lang w:val="bg-BG"/>
        </w:rPr>
        <w:t>8</w:t>
      </w:r>
      <w:r w:rsidR="00787801">
        <w:rPr>
          <w:sz w:val="24"/>
          <w:szCs w:val="24"/>
          <w:lang w:val="bg-BG"/>
        </w:rPr>
        <w:t xml:space="preserve">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издадена от министъра на финансите</w:t>
      </w:r>
      <w:r w:rsidR="00F4753E">
        <w:rPr>
          <w:sz w:val="24"/>
          <w:szCs w:val="24"/>
          <w:lang w:val="bg-BG"/>
        </w:rPr>
        <w:t>, последващи изменения</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lastRenderedPageBreak/>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w:t>
      </w:r>
      <w:proofErr w:type="spellStart"/>
      <w:r w:rsidRPr="000C39E5">
        <w:rPr>
          <w:sz w:val="24"/>
          <w:szCs w:val="24"/>
          <w:lang w:val="bg-BG"/>
        </w:rPr>
        <w:t>подмодул</w:t>
      </w:r>
      <w:proofErr w:type="spellEnd"/>
      <w:r w:rsidRPr="000C39E5">
        <w:rPr>
          <w:sz w:val="24"/>
          <w:szCs w:val="24"/>
          <w:lang w:val="bg-BG"/>
        </w:rPr>
        <w:t xml:space="preserve"> „Мониторинг на пакет отчетни 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w:t>
      </w:r>
      <w:r w:rsidRPr="00A607F7">
        <w:rPr>
          <w:sz w:val="24"/>
          <w:szCs w:val="24"/>
          <w:lang w:val="bg-BG"/>
        </w:rPr>
        <w:lastRenderedPageBreak/>
        <w:t xml:space="preserve">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C92B7D">
        <w:rPr>
          <w:sz w:val="24"/>
          <w:szCs w:val="24"/>
          <w:lang w:val="bg-BG"/>
        </w:rPr>
        <w:t xml:space="preserve">Всички </w:t>
      </w:r>
      <w:proofErr w:type="spellStart"/>
      <w:r w:rsidRPr="00C92B7D">
        <w:rPr>
          <w:sz w:val="24"/>
          <w:szCs w:val="24"/>
          <w:lang w:val="bg-BG"/>
        </w:rPr>
        <w:t>разходооправдателни</w:t>
      </w:r>
      <w:proofErr w:type="spellEnd"/>
      <w:r w:rsidRPr="00C92B7D">
        <w:rPr>
          <w:sz w:val="24"/>
          <w:szCs w:val="24"/>
          <w:lang w:val="bg-BG"/>
        </w:rPr>
        <w:t xml:space="preserve">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следната подредба и вид на документите качени подробно описани в Процедурния наръчник за управление и изпълнение на ОПТТИ.</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информационните технологии и съобщенията (МТИТС), при които има съвместно възлагане на  обществени поръчки с МТИТС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С цел избягване на двойно финансиране е задължително в реквизитите на </w:t>
      </w:r>
      <w:proofErr w:type="spellStart"/>
      <w:r w:rsidRPr="009C1BDA">
        <w:rPr>
          <w:sz w:val="24"/>
          <w:szCs w:val="24"/>
          <w:lang w:val="bg-BG"/>
        </w:rPr>
        <w:t>разходооправдателните</w:t>
      </w:r>
      <w:proofErr w:type="spellEnd"/>
      <w:r w:rsidRPr="009C1BDA">
        <w:rPr>
          <w:sz w:val="24"/>
          <w:szCs w:val="24"/>
          <w:lang w:val="bg-BG"/>
        </w:rPr>
        <w:t xml:space="preserve">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w:t>
      </w:r>
      <w:proofErr w:type="spellStart"/>
      <w:r w:rsidR="00B853C3" w:rsidRPr="00A02AD7">
        <w:rPr>
          <w:sz w:val="24"/>
          <w:szCs w:val="24"/>
          <w:lang w:val="bg-BG"/>
        </w:rPr>
        <w:t>подмодул</w:t>
      </w:r>
      <w:proofErr w:type="spellEnd"/>
      <w:r w:rsidR="00B853C3" w:rsidRPr="00A02AD7">
        <w:rPr>
          <w:sz w:val="24"/>
          <w:szCs w:val="24"/>
          <w:lang w:val="bg-BG"/>
        </w:rPr>
        <w:t xml:space="preserve"> „Кореспонденция“ в ИСУН 2020</w:t>
      </w:r>
      <w:r w:rsidR="00B853C3">
        <w:rPr>
          <w:sz w:val="24"/>
          <w:szCs w:val="24"/>
          <w:lang w:val="bg-BG"/>
        </w:rPr>
        <w:t xml:space="preserve"> в </w:t>
      </w:r>
      <w:r w:rsidR="008E6DB3">
        <w:rPr>
          <w:color w:val="000000"/>
          <w:sz w:val="24"/>
          <w:szCs w:val="24"/>
          <w:lang w:val="bg-BG"/>
        </w:rPr>
        <w:t>сроковете, определени в ПНУИ на ОПТТИ</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може да докладва повторно </w:t>
      </w:r>
      <w:proofErr w:type="spellStart"/>
      <w:r w:rsidRPr="009C1BDA">
        <w:rPr>
          <w:sz w:val="24"/>
          <w:szCs w:val="24"/>
          <w:lang w:val="bg-BG"/>
        </w:rPr>
        <w:t>неверифицирани</w:t>
      </w:r>
      <w:proofErr w:type="spellEnd"/>
      <w:r w:rsidRPr="009C1BDA">
        <w:rPr>
          <w:sz w:val="24"/>
          <w:szCs w:val="24"/>
          <w:lang w:val="bg-BG"/>
        </w:rPr>
        <w:t xml:space="preserve"> от страна на Управляващия орган разходи в следващи искания за плащане след отстраняване на установените пропуски.</w:t>
      </w:r>
    </w:p>
    <w:p w:rsidR="00B853C3" w:rsidRPr="00C16A7E"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w:t>
      </w:r>
      <w:r w:rsidRPr="009C1BDA">
        <w:rPr>
          <w:sz w:val="24"/>
          <w:szCs w:val="24"/>
          <w:lang w:val="bg-BG"/>
        </w:rPr>
        <w:lastRenderedPageBreak/>
        <w:t>оригинала”. При всяка промяна бенефициентът е длъжен да уведоми Управляващия орган в срок до 5 работни дни от датата на настъпване на промяната.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eastAsia="fr-FR"/>
        </w:rPr>
        <w:t xml:space="preserve">Всеки проект, който е бил одобрен за финансиране по </w:t>
      </w:r>
      <w:r w:rsidR="00385A93">
        <w:rPr>
          <w:sz w:val="24"/>
          <w:szCs w:val="24"/>
          <w:lang w:val="bg-BG" w:eastAsia="fr-FR"/>
        </w:rPr>
        <w:t xml:space="preserve">ОПТТИ </w:t>
      </w:r>
      <w:r w:rsidRPr="009C1BDA">
        <w:rPr>
          <w:sz w:val="24"/>
          <w:szCs w:val="24"/>
          <w:lang w:val="bg-BG" w:eastAsia="fr-FR"/>
        </w:rPr>
        <w:t xml:space="preserve">и за който е сключен </w:t>
      </w:r>
      <w:r w:rsidR="00C7420C">
        <w:rPr>
          <w:sz w:val="24"/>
          <w:szCs w:val="24"/>
          <w:lang w:val="bg-BG" w:eastAsia="fr-FR"/>
        </w:rPr>
        <w:t>адм</w:t>
      </w:r>
      <w:r w:rsidR="00D9239D">
        <w:rPr>
          <w:sz w:val="24"/>
          <w:szCs w:val="24"/>
          <w:lang w:val="bg-BG" w:eastAsia="fr-FR"/>
        </w:rPr>
        <w:t xml:space="preserve">инистративен </w:t>
      </w:r>
      <w:r w:rsidR="00C7420C">
        <w:rPr>
          <w:sz w:val="24"/>
          <w:szCs w:val="24"/>
          <w:lang w:val="bg-BG"/>
        </w:rPr>
        <w:t>договор/заповед</w:t>
      </w:r>
      <w:r w:rsidRPr="009C1BDA">
        <w:rPr>
          <w:sz w:val="24"/>
          <w:szCs w:val="24"/>
          <w:lang w:val="bg-BG"/>
        </w:rPr>
        <w:t xml:space="preserve"> за </w:t>
      </w:r>
      <w:r w:rsidR="00C7420C">
        <w:rPr>
          <w:sz w:val="24"/>
          <w:szCs w:val="24"/>
          <w:lang w:val="bg-BG"/>
        </w:rPr>
        <w:t>предоставян</w:t>
      </w:r>
      <w:r w:rsidR="0045314F">
        <w:rPr>
          <w:sz w:val="24"/>
          <w:szCs w:val="24"/>
          <w:lang w:val="bg-BG"/>
        </w:rPr>
        <w:t>е</w:t>
      </w:r>
      <w:r w:rsidRPr="009C1BDA">
        <w:rPr>
          <w:sz w:val="24"/>
          <w:szCs w:val="24"/>
          <w:lang w:val="bg-BG"/>
        </w:rPr>
        <w:t xml:space="preserve"> на безвъзмездна финансова помощ, задължително приключва с подаване на искане за окончателно плащане, независимо от това, дали по проекта са извършени разходи. Тази процедура се прилага и за проекти, за които бенефициентът е взел доброволно решение за оттеглянето им от финансиране по оперативната програма.</w:t>
      </w:r>
    </w:p>
    <w:p w:rsidR="009C1BDA" w:rsidRPr="00C20340" w:rsidRDefault="009C1BDA"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45314F">
        <w:rPr>
          <w:sz w:val="24"/>
          <w:szCs w:val="24"/>
          <w:lang w:val="bg-BG"/>
        </w:rPr>
        <w:t>90 календарни</w:t>
      </w:r>
      <w:r w:rsidRPr="009C1BDA">
        <w:rPr>
          <w:sz w:val="24"/>
          <w:szCs w:val="24"/>
          <w:lang w:val="bg-BG"/>
        </w:rPr>
        <w:t xml:space="preserve"> дни, считано от датата на</w:t>
      </w:r>
      <w:r w:rsidR="00B853C3" w:rsidRPr="00C20340">
        <w:rPr>
          <w:sz w:val="24"/>
          <w:szCs w:val="24"/>
          <w:lang w:val="x-none"/>
        </w:rPr>
        <w:t xml:space="preserve"> изпращането на съответния </w:t>
      </w:r>
      <w:r w:rsidR="00B853C3" w:rsidRPr="00C20340">
        <w:rPr>
          <w:sz w:val="24"/>
          <w:szCs w:val="24"/>
        </w:rPr>
        <w:t xml:space="preserve">пакет </w:t>
      </w:r>
      <w:r w:rsidR="00B853C3" w:rsidRPr="00C20340">
        <w:rPr>
          <w:sz w:val="24"/>
          <w:szCs w:val="24"/>
          <w:lang w:val="x-none"/>
        </w:rPr>
        <w:t>документ</w:t>
      </w:r>
      <w:r w:rsidR="00B853C3" w:rsidRPr="00C20340">
        <w:rPr>
          <w:sz w:val="24"/>
          <w:szCs w:val="24"/>
        </w:rPr>
        <w:t>и</w:t>
      </w:r>
      <w:r w:rsidR="00B853C3" w:rsidRPr="00C20340">
        <w:rPr>
          <w:sz w:val="24"/>
          <w:szCs w:val="24"/>
          <w:lang w:val="x-none"/>
        </w:rPr>
        <w:t xml:space="preserve"> от бенефициента в ИСУН</w:t>
      </w:r>
      <w:r w:rsidR="00B853C3" w:rsidRPr="00C20340">
        <w:rPr>
          <w:sz w:val="24"/>
          <w:szCs w:val="24"/>
        </w:rPr>
        <w:t xml:space="preserve"> </w:t>
      </w:r>
      <w:r w:rsidR="00B853C3" w:rsidRPr="00C20340">
        <w:rPr>
          <w:sz w:val="24"/>
          <w:szCs w:val="24"/>
          <w:lang w:val="bg-BG"/>
        </w:rPr>
        <w:t>2020.</w:t>
      </w:r>
      <w:r w:rsidRPr="00C20340">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 xml:space="preserve">размера на верифицираните и </w:t>
      </w:r>
      <w:proofErr w:type="spellStart"/>
      <w:r w:rsidR="0045314F">
        <w:rPr>
          <w:sz w:val="24"/>
          <w:szCs w:val="24"/>
          <w:lang w:val="bg-BG"/>
        </w:rPr>
        <w:t>неверифицирани</w:t>
      </w:r>
      <w:proofErr w:type="spellEnd"/>
      <w:r w:rsidR="0045314F">
        <w:rPr>
          <w:sz w:val="24"/>
          <w:szCs w:val="24"/>
          <w:lang w:val="bg-BG"/>
        </w:rPr>
        <w:t xml:space="preserve"> разходи, одобрената и </w:t>
      </w:r>
      <w:proofErr w:type="spellStart"/>
      <w:r w:rsidR="0045314F">
        <w:rPr>
          <w:sz w:val="24"/>
          <w:szCs w:val="24"/>
          <w:lang w:val="bg-BG"/>
        </w:rPr>
        <w:t>неодобрена</w:t>
      </w:r>
      <w:proofErr w:type="spellEnd"/>
      <w:r w:rsidR="0045314F">
        <w:rPr>
          <w:sz w:val="24"/>
          <w:szCs w:val="24"/>
          <w:lang w:val="bg-BG"/>
        </w:rPr>
        <w:t xml:space="preserve">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w:t>
      </w:r>
      <w:proofErr w:type="spellStart"/>
      <w:r w:rsidRPr="009C1BDA">
        <w:rPr>
          <w:sz w:val="24"/>
          <w:szCs w:val="24"/>
          <w:lang w:val="bg-BG"/>
        </w:rPr>
        <w:t>десетразряден</w:t>
      </w:r>
      <w:proofErr w:type="spellEnd"/>
      <w:r w:rsidRPr="009C1BDA">
        <w:rPr>
          <w:sz w:val="24"/>
          <w:szCs w:val="24"/>
          <w:lang w:val="bg-BG"/>
        </w:rPr>
        <w:t xml:space="preserve">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r w:rsidR="00A324A9">
        <w:rPr>
          <w:sz w:val="24"/>
          <w:szCs w:val="24"/>
          <w:lang w:val="bg-BG" w:eastAsia="fr-FR"/>
        </w:rPr>
        <w:t xml:space="preserve"> (</w:t>
      </w:r>
      <w:r w:rsidR="0022151E">
        <w:rPr>
          <w:sz w:val="24"/>
          <w:szCs w:val="24"/>
          <w:lang w:val="bg-BG"/>
        </w:rPr>
        <w:t xml:space="preserve">Наредба </w:t>
      </w:r>
      <w:r w:rsidR="00CE1086">
        <w:rPr>
          <w:sz w:val="24"/>
          <w:szCs w:val="24"/>
          <w:lang w:val="bg-BG"/>
        </w:rPr>
        <w:t xml:space="preserve">№ </w:t>
      </w:r>
      <w:r w:rsidR="0022151E">
        <w:rPr>
          <w:sz w:val="24"/>
          <w:szCs w:val="24"/>
          <w:lang w:val="bg-BG"/>
        </w:rPr>
        <w:t>Н-3/</w:t>
      </w:r>
      <w:r w:rsidR="00CE1086" w:rsidRPr="000C39E5">
        <w:rPr>
          <w:sz w:val="24"/>
          <w:szCs w:val="24"/>
          <w:lang w:val="bg-BG"/>
        </w:rPr>
        <w:t>22</w:t>
      </w:r>
      <w:r w:rsidR="00CE1086" w:rsidRPr="001947D5">
        <w:rPr>
          <w:sz w:val="24"/>
          <w:szCs w:val="24"/>
          <w:lang w:val="bg-BG" w:eastAsia="fr-FR"/>
        </w:rPr>
        <w:t>.0</w:t>
      </w:r>
      <w:r w:rsidR="00CE1086" w:rsidRPr="000C39E5">
        <w:rPr>
          <w:sz w:val="24"/>
          <w:szCs w:val="24"/>
          <w:lang w:val="bg-BG" w:eastAsia="fr-FR"/>
        </w:rPr>
        <w:t>5</w:t>
      </w:r>
      <w:r w:rsidR="00CE1086" w:rsidRPr="001947D5">
        <w:rPr>
          <w:sz w:val="24"/>
          <w:szCs w:val="24"/>
          <w:lang w:val="bg-BG"/>
        </w:rPr>
        <w:t>.201</w:t>
      </w:r>
      <w:r w:rsidR="00CE1086" w:rsidRPr="000C39E5">
        <w:rPr>
          <w:sz w:val="24"/>
          <w:szCs w:val="24"/>
          <w:lang w:val="bg-BG"/>
        </w:rPr>
        <w:t>8</w:t>
      </w:r>
      <w:r w:rsidR="00CE1086" w:rsidRPr="001947D5">
        <w:rPr>
          <w:sz w:val="24"/>
          <w:szCs w:val="24"/>
          <w:lang w:val="bg-BG" w:eastAsia="fr-FR"/>
        </w:rPr>
        <w:t xml:space="preserve"> </w:t>
      </w:r>
      <w:r w:rsidRPr="00A324A9">
        <w:rPr>
          <w:sz w:val="24"/>
          <w:szCs w:val="24"/>
          <w:lang w:val="bg-BG" w:eastAsia="fr-FR"/>
        </w:rPr>
        <w:t>г</w:t>
      </w:r>
      <w:r w:rsidR="0022151E">
        <w:rPr>
          <w:sz w:val="24"/>
          <w:szCs w:val="24"/>
          <w:lang w:val="bg-BG"/>
        </w:rPr>
        <w:t>.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w:t>
      </w:r>
      <w:r w:rsidRPr="007A3CA5">
        <w:rPr>
          <w:sz w:val="24"/>
          <w:szCs w:val="24"/>
          <w:lang w:val="bg-BG"/>
        </w:rPr>
        <w:lastRenderedPageBreak/>
        <w:t xml:space="preserve">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нормативните актове по чл. 7, ал. 4, т. 3 и т. 4 от ЗУСЕСИФ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 xml:space="preserve">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w:t>
      </w:r>
      <w:r w:rsidRPr="00CE45DC">
        <w:rPr>
          <w:sz w:val="24"/>
          <w:szCs w:val="24"/>
          <w:lang w:val="bg-BG"/>
        </w:rPr>
        <w:lastRenderedPageBreak/>
        <w:t>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ЗУСЕСИФ.</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D47A97">
        <w:rPr>
          <w:sz w:val="24"/>
          <w:szCs w:val="24"/>
          <w:lang w:val="bg-BG"/>
        </w:rPr>
        <w:t xml:space="preserve">ЗУСЕСИФ и подзаконовите нормативни актове, </w:t>
      </w:r>
      <w:r w:rsidRPr="007A3CA5">
        <w:rPr>
          <w:sz w:val="24"/>
          <w:szCs w:val="24"/>
          <w:lang w:val="bg-BG"/>
        </w:rPr>
        <w:t>, 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lastRenderedPageBreak/>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са посочени в нормативния акт по чл. 7, ал. 4, т. 3 и т. 4 от ЗУСЕСИФ (</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lastRenderedPageBreak/>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 xml:space="preserve">възстановени чрез намаляване на разпределения лимит по </w:t>
      </w:r>
      <w:proofErr w:type="spellStart"/>
      <w:r w:rsidR="00CE1086">
        <w:rPr>
          <w:sz w:val="24"/>
          <w:szCs w:val="24"/>
          <w:lang w:val="bg-BG"/>
        </w:rPr>
        <w:t>десетразрядния</w:t>
      </w:r>
      <w:proofErr w:type="spellEnd"/>
      <w:r w:rsidR="00CE1086">
        <w:rPr>
          <w:sz w:val="24"/>
          <w:szCs w:val="24"/>
          <w:lang w:val="bg-BG"/>
        </w:rPr>
        <w:t xml:space="preserve"> му код в СЕБРА.</w:t>
      </w:r>
    </w:p>
    <w:p w:rsidR="00CE1086"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E1086">
        <w:rPr>
          <w:sz w:val="24"/>
          <w:szCs w:val="24"/>
          <w:lang w:val="bg-BG"/>
        </w:rPr>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w:t>
      </w:r>
      <w:proofErr w:type="spellStart"/>
      <w:r w:rsidRPr="00C20340">
        <w:rPr>
          <w:sz w:val="24"/>
          <w:szCs w:val="24"/>
          <w:lang w:val="bg-BG"/>
        </w:rPr>
        <w:t>корективни</w:t>
      </w:r>
      <w:proofErr w:type="spellEnd"/>
      <w:r w:rsidRPr="00C20340">
        <w:rPr>
          <w:sz w:val="24"/>
          <w:szCs w:val="24"/>
          <w:lang w:val="bg-BG"/>
        </w:rPr>
        <w:t xml:space="preserve">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r w:rsidR="000C1E95">
        <w:fldChar w:fldCharType="begin"/>
      </w:r>
      <w:r w:rsidR="000C1E95">
        <w:instrText xml:space="preserve"> HYPERLINK "apis://Base=NARH&amp;DocCode=2023&amp;Type=201/" </w:instrText>
      </w:r>
      <w:r w:rsidR="000C1E95">
        <w:fldChar w:fldCharType="separate"/>
      </w:r>
      <w:r w:rsidRPr="005C49C6">
        <w:rPr>
          <w:sz w:val="24"/>
          <w:szCs w:val="22"/>
          <w:lang w:eastAsia="en-US"/>
        </w:rPr>
        <w:t>Данъчно-осигурителния процесуален кодекс</w:t>
      </w:r>
      <w:r w:rsidR="000C1E95">
        <w:rPr>
          <w:sz w:val="24"/>
          <w:szCs w:val="22"/>
          <w:lang w:eastAsia="en-US"/>
        </w:rPr>
        <w:fldChar w:fldCharType="end"/>
      </w:r>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r>
      <w:r w:rsidRPr="00216713">
        <w:rPr>
          <w:color w:val="auto"/>
          <w:szCs w:val="24"/>
          <w:lang w:val="bg-BG"/>
        </w:rPr>
        <w:lastRenderedPageBreak/>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880FB8">
      <w:pPr>
        <w:pStyle w:val="ListParagraph"/>
        <w:numPr>
          <w:ilvl w:val="1"/>
          <w:numId w:val="33"/>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а всеки одобрен от УО проект и сключен договор/издадена заповед за предоставяне на безвъзмездна финансова помощ по ОПТТИ,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880FB8">
      <w:pPr>
        <w:pStyle w:val="ListParagraph"/>
        <w:numPr>
          <w:ilvl w:val="1"/>
          <w:numId w:val="33"/>
        </w:numPr>
        <w:tabs>
          <w:tab w:val="left" w:pos="1134"/>
        </w:tabs>
        <w:spacing w:after="240"/>
        <w:ind w:left="0" w:firstLine="567"/>
        <w:jc w:val="both"/>
        <w:rPr>
          <w:bCs/>
          <w:sz w:val="24"/>
          <w:szCs w:val="24"/>
          <w:lang w:val="bg-BG"/>
        </w:rPr>
      </w:pPr>
      <w:r w:rsidRPr="00611861">
        <w:rPr>
          <w:bCs/>
          <w:sz w:val="24"/>
          <w:szCs w:val="24"/>
          <w:lang w:val="bg-BG"/>
        </w:rPr>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ОПТТИ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1" w:name="_Toc479775761"/>
      <w:r w:rsidRPr="00611861">
        <w:rPr>
          <w:bCs/>
          <w:sz w:val="24"/>
          <w:szCs w:val="24"/>
          <w:lang w:val="bg-BG"/>
        </w:rPr>
        <w:t>„Изготвяне на Технически отчет в ИСУН 2020 от Бенефициенти по ОПТТИ</w:t>
      </w:r>
      <w:bookmarkEnd w:id="1"/>
      <w:r w:rsidRPr="00611861">
        <w:rPr>
          <w:bCs/>
          <w:sz w:val="24"/>
          <w:szCs w:val="24"/>
          <w:lang w:val="bg-BG"/>
        </w:rPr>
        <w:t xml:space="preserve">“ от </w:t>
      </w:r>
      <w:r w:rsidRPr="00611861">
        <w:rPr>
          <w:sz w:val="24"/>
          <w:szCs w:val="24"/>
          <w:lang w:val="bg-BG"/>
        </w:rPr>
        <w:t xml:space="preserve">ПНУИ на ОПТТИ. </w:t>
      </w:r>
      <w:r w:rsidRPr="00611861">
        <w:rPr>
          <w:bCs/>
          <w:sz w:val="24"/>
          <w:szCs w:val="24"/>
          <w:lang w:val="bg-BG"/>
        </w:rPr>
        <w:t xml:space="preserve"> </w:t>
      </w:r>
    </w:p>
    <w:p w:rsidR="00880FB8" w:rsidRPr="00193F30" w:rsidRDefault="00880FB8" w:rsidP="00880FB8">
      <w:pPr>
        <w:pStyle w:val="ListParagraph"/>
        <w:numPr>
          <w:ilvl w:val="1"/>
          <w:numId w:val="33"/>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ПНУИ на ОПТТИ</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ПНУИ на ОПТТИ</w:t>
      </w:r>
      <w:r>
        <w:rPr>
          <w:sz w:val="24"/>
          <w:szCs w:val="24"/>
          <w:lang w:val="bg-BG"/>
        </w:rPr>
        <w:t xml:space="preserve">. </w:t>
      </w:r>
      <w:r w:rsidRPr="00193F30">
        <w:rPr>
          <w:bCs/>
          <w:sz w:val="24"/>
          <w:szCs w:val="24"/>
          <w:lang w:val="bg-BG"/>
        </w:rPr>
        <w:t>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модул „Кореспонденция“ в ИСУН 2020</w:t>
      </w:r>
      <w:r>
        <w:rPr>
          <w:bCs/>
          <w:sz w:val="24"/>
          <w:szCs w:val="24"/>
          <w:lang w:val="bg-BG"/>
        </w:rPr>
        <w:t xml:space="preserve">, съгласно указания в </w:t>
      </w:r>
      <w:r w:rsidRPr="00785E24">
        <w:rPr>
          <w:sz w:val="24"/>
          <w:szCs w:val="24"/>
          <w:lang w:val="bg-BG"/>
        </w:rPr>
        <w:t>ПНУИ на ОПТТИ</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8"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ПНУИ на ОПТТИ</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w:t>
      </w:r>
      <w:proofErr w:type="spellStart"/>
      <w:r w:rsidRPr="00193F30">
        <w:rPr>
          <w:bCs/>
          <w:sz w:val="24"/>
          <w:szCs w:val="24"/>
          <w:lang w:val="bg-BG"/>
        </w:rPr>
        <w:t>т.н</w:t>
      </w:r>
      <w:proofErr w:type="spellEnd"/>
      <w:r w:rsidRPr="00193F30">
        <w:rPr>
          <w:bCs/>
          <w:sz w:val="24"/>
          <w:szCs w:val="24"/>
          <w:lang w:val="bg-BG"/>
        </w:rPr>
        <w:t xml:space="preserve">)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9"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ПНУИ на ОПТТИ</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bookmarkStart w:id="2" w:name="_Toc412032342"/>
      <w:bookmarkStart w:id="3" w:name="_Toc479775763"/>
      <w:r w:rsidRPr="00193F30">
        <w:rPr>
          <w:bCs/>
          <w:sz w:val="24"/>
          <w:szCs w:val="24"/>
          <w:lang w:val="bg-BG"/>
        </w:rPr>
        <w:t>Годишният доклад за дълготрайност</w:t>
      </w:r>
      <w:bookmarkEnd w:id="2"/>
      <w:r w:rsidRPr="00193F30">
        <w:rPr>
          <w:bCs/>
          <w:sz w:val="24"/>
          <w:szCs w:val="24"/>
          <w:lang w:val="bg-BG"/>
        </w:rPr>
        <w:t xml:space="preserve"> на операция</w:t>
      </w:r>
      <w:bookmarkEnd w:id="3"/>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 xml:space="preserve">се представя на УО чрез пакета отчетни документи „Технически отчет“ на ИСУН </w:t>
      </w:r>
      <w:r w:rsidRPr="00193F30">
        <w:rPr>
          <w:bCs/>
          <w:sz w:val="24"/>
          <w:szCs w:val="24"/>
          <w:lang w:val="bg-BG"/>
        </w:rPr>
        <w:lastRenderedPageBreak/>
        <w:t>2020</w:t>
      </w:r>
      <w:r>
        <w:rPr>
          <w:bCs/>
          <w:sz w:val="24"/>
          <w:szCs w:val="24"/>
          <w:lang w:val="bg-BG"/>
        </w:rPr>
        <w:t xml:space="preserve"> в указания от </w:t>
      </w:r>
      <w:r w:rsidRPr="00A5379F">
        <w:rPr>
          <w:sz w:val="24"/>
          <w:szCs w:val="24"/>
          <w:lang w:val="bg-BG"/>
        </w:rPr>
        <w:t>ПНУИ на ОПТТИ</w:t>
      </w:r>
      <w:r>
        <w:rPr>
          <w:sz w:val="24"/>
          <w:szCs w:val="24"/>
          <w:lang w:val="bg-BG"/>
        </w:rPr>
        <w:t xml:space="preserve">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0"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193F30">
        <w:rPr>
          <w:sz w:val="24"/>
          <w:szCs w:val="24"/>
          <w:lang w:val="bg-BG"/>
        </w:rPr>
        <w:t xml:space="preserve"> на ОПТТИ</w:t>
      </w:r>
      <w:r>
        <w:rPr>
          <w:sz w:val="24"/>
          <w:szCs w:val="24"/>
          <w:lang w:val="bg-BG"/>
        </w:rPr>
        <w:t>.</w:t>
      </w:r>
      <w:r w:rsidRPr="00193F30">
        <w:rPr>
          <w:sz w:val="24"/>
          <w:szCs w:val="24"/>
          <w:lang w:val="bg-BG"/>
        </w:rPr>
        <w:t xml:space="preserve">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по чл. 71 „Дълготрайност на операциите“, точка 1, букви а), б) и в) от Регламент (ЕС) 1303/2013</w:t>
      </w:r>
      <w:r>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867042">
        <w:t xml:space="preserve"> </w:t>
      </w:r>
    </w:p>
    <w:p w:rsidR="00880FB8" w:rsidRPr="00193F30" w:rsidRDefault="00880FB8" w:rsidP="00880FB8">
      <w:pPr>
        <w:pStyle w:val="ListParagraph"/>
        <w:numPr>
          <w:ilvl w:val="1"/>
          <w:numId w:val="33"/>
        </w:numPr>
        <w:tabs>
          <w:tab w:val="left" w:pos="1134"/>
        </w:tabs>
        <w:spacing w:after="240"/>
        <w:ind w:left="0" w:firstLine="567"/>
        <w:jc w:val="both"/>
        <w:rPr>
          <w:bCs/>
          <w:sz w:val="24"/>
          <w:szCs w:val="24"/>
          <w:lang w:val="bg-BG"/>
        </w:rPr>
      </w:pPr>
      <w:r w:rsidRPr="00193F30">
        <w:rPr>
          <w:bCs/>
          <w:sz w:val="24"/>
          <w:szCs w:val="24"/>
          <w:lang w:val="bg-BG"/>
        </w:rPr>
        <w:t>Други доклади за напредъка по  ОПТТИ</w:t>
      </w:r>
      <w:r>
        <w:rPr>
          <w:bCs/>
          <w:sz w:val="24"/>
          <w:szCs w:val="24"/>
          <w:lang w:val="bg-BG"/>
        </w:rPr>
        <w:t xml:space="preserve"> - </w:t>
      </w:r>
      <w:r w:rsidRPr="00193F30">
        <w:rPr>
          <w:bCs/>
          <w:sz w:val="24"/>
          <w:szCs w:val="24"/>
          <w:lang w:val="bg-BG"/>
        </w:rPr>
        <w:t>УО на ОПТТИ може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периодични срещи за отчитане на напредъка по проектите изпълнявани по ОПТТИ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2020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880FB8" w:rsidRPr="006A6B40" w:rsidRDefault="00880FB8" w:rsidP="00880FB8">
      <w:pPr>
        <w:rPr>
          <w:lang w:val="bg-BG"/>
        </w:rPr>
      </w:pPr>
    </w:p>
    <w:p w:rsidR="00880FB8" w:rsidRPr="009C1BDA"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880FB8"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28.2 „Периодична Среща за отчитане на напредъка по проектите изпълняване по ОПТТИ“</w:t>
      </w:r>
      <w:r w:rsidRPr="00D946EF">
        <w:rPr>
          <w:bCs/>
          <w:sz w:val="24"/>
          <w:szCs w:val="24"/>
          <w:lang w:val="bg-BG"/>
        </w:rPr>
        <w:t xml:space="preserve">.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 xml:space="preserve">Използва </w:t>
      </w:r>
      <w:r w:rsidRPr="009C1BDA">
        <w:rPr>
          <w:bCs/>
          <w:sz w:val="24"/>
          <w:szCs w:val="24"/>
          <w:lang w:val="bg-BG"/>
        </w:rPr>
        <w:lastRenderedPageBreak/>
        <w:t>се като основен инструмент в процеса на верификация на извършените от бенефициента разходи по ОПТТИ.</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За удосто</w:t>
      </w:r>
      <w:r>
        <w:rPr>
          <w:bCs/>
          <w:sz w:val="24"/>
          <w:szCs w:val="24"/>
          <w:lang w:val="bg-BG"/>
        </w:rPr>
        <w:t xml:space="preserve">веряване на изпълнението на чл. </w:t>
      </w:r>
      <w:r w:rsidRPr="009C1BDA">
        <w:rPr>
          <w:bCs/>
          <w:sz w:val="24"/>
          <w:szCs w:val="24"/>
          <w:lang w:val="bg-BG"/>
        </w:rPr>
        <w:t>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УО на ОПТТИ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ОПТТИ.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ОПТТИ.</w:t>
      </w:r>
    </w:p>
    <w:p w:rsidR="00880FB8" w:rsidRPr="00193F30"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71 „Дълготрайност на операциите“, точка 1, букви а), б) и в) от Регламент (ЕС) 1303/2013). Проверките на място могат да бъдат планирани и </w:t>
      </w:r>
      <w:proofErr w:type="spellStart"/>
      <w:r w:rsidRPr="00193F30">
        <w:rPr>
          <w:bCs/>
          <w:sz w:val="24"/>
          <w:szCs w:val="24"/>
          <w:lang w:val="bg-BG"/>
        </w:rPr>
        <w:t>непланирани</w:t>
      </w:r>
      <w:proofErr w:type="spellEnd"/>
      <w:r w:rsidRPr="00193F30">
        <w:rPr>
          <w:bCs/>
          <w:sz w:val="24"/>
          <w:szCs w:val="24"/>
          <w:lang w:val="bg-BG"/>
        </w:rPr>
        <w:t>.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проверки на място“</w:t>
      </w:r>
      <w:r>
        <w:rPr>
          <w:bCs/>
          <w:sz w:val="24"/>
          <w:szCs w:val="24"/>
          <w:lang w:val="en-US"/>
        </w:rPr>
        <w:t xml:space="preserve"> </w:t>
      </w:r>
      <w:r>
        <w:rPr>
          <w:bCs/>
          <w:sz w:val="24"/>
          <w:szCs w:val="24"/>
          <w:lang w:val="bg-BG"/>
        </w:rPr>
        <w:t>от ПНУИ на ОПТТИ</w:t>
      </w:r>
      <w:r w:rsidRPr="00193F30">
        <w:rPr>
          <w:bCs/>
          <w:sz w:val="24"/>
          <w:szCs w:val="24"/>
          <w:lang w:val="bg-BG"/>
        </w:rPr>
        <w:t>.</w:t>
      </w:r>
      <w:r>
        <w:rPr>
          <w:bCs/>
          <w:sz w:val="24"/>
          <w:szCs w:val="24"/>
          <w:lang w:val="en-US"/>
        </w:rPr>
        <w:t xml:space="preserve"> </w:t>
      </w:r>
      <w:r w:rsidRPr="00193F30">
        <w:rPr>
          <w:bCs/>
          <w:sz w:val="24"/>
          <w:szCs w:val="24"/>
          <w:lang w:val="bg-BG"/>
        </w:rPr>
        <w:t xml:space="preserve">Управляващият орган на ОПТТИ по своя преценка може да извърши </w:t>
      </w:r>
      <w:proofErr w:type="spellStart"/>
      <w:r w:rsidRPr="00193F30">
        <w:rPr>
          <w:bCs/>
          <w:sz w:val="24"/>
          <w:szCs w:val="24"/>
          <w:lang w:val="bg-BG"/>
        </w:rPr>
        <w:t>непланирани</w:t>
      </w:r>
      <w:proofErr w:type="spellEnd"/>
      <w:r w:rsidRPr="00193F30">
        <w:rPr>
          <w:bCs/>
          <w:sz w:val="24"/>
          <w:szCs w:val="24"/>
          <w:lang w:val="bg-BG"/>
        </w:rPr>
        <w:t xml:space="preserve">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за ОПТТИ разходи)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 поне веднъж.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Съгласно чл. 125, т. 5, буква б) от Регламент (ЕС) № 1303/2013,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lastRenderedPageBreak/>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план. Промяната се отразява в т.н. „Годишен план - Изменение № 1 за извършване на проверки на място от УО на ОПТТИ”</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ОПТТИ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w:t>
      </w:r>
      <w:r>
        <w:rPr>
          <w:sz w:val="24"/>
          <w:szCs w:val="24"/>
          <w:lang w:val="bg-BG"/>
        </w:rPr>
        <w:t>,</w:t>
      </w:r>
      <w:r w:rsidRPr="00193F30">
        <w:rPr>
          <w:sz w:val="24"/>
          <w:szCs w:val="24"/>
        </w:rPr>
        <w:t xml:space="preserve"> съгласно указаните с ПНУИ на ОПТТИ правила, процедури и срокове.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880FB8">
      <w:pPr>
        <w:pStyle w:val="ListParagraph"/>
        <w:numPr>
          <w:ilvl w:val="1"/>
          <w:numId w:val="33"/>
        </w:numPr>
        <w:tabs>
          <w:tab w:val="left" w:pos="1134"/>
          <w:tab w:val="left" w:pos="1701"/>
        </w:tabs>
        <w:spacing w:before="120"/>
        <w:ind w:left="0" w:firstLine="567"/>
        <w:jc w:val="both"/>
        <w:rPr>
          <w:sz w:val="24"/>
          <w:szCs w:val="24"/>
        </w:rPr>
      </w:pPr>
      <w:r w:rsidRPr="008456F9">
        <w:rPr>
          <w:sz w:val="24"/>
          <w:szCs w:val="24"/>
        </w:rPr>
        <w:t>Непланиран</w:t>
      </w:r>
      <w:proofErr w:type="spellStart"/>
      <w:r>
        <w:rPr>
          <w:sz w:val="24"/>
          <w:szCs w:val="24"/>
          <w:lang w:val="bg-BG"/>
        </w:rPr>
        <w:t>ите</w:t>
      </w:r>
      <w:proofErr w:type="spellEnd"/>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ОПТТИ, проверката най-често е </w:t>
      </w:r>
      <w:proofErr w:type="spellStart"/>
      <w:r w:rsidRPr="0025082A">
        <w:rPr>
          <w:sz w:val="24"/>
          <w:szCs w:val="24"/>
          <w:lang w:val="bg-BG"/>
        </w:rPr>
        <w:t>непланиран</w:t>
      </w:r>
      <w:r>
        <w:rPr>
          <w:sz w:val="24"/>
          <w:szCs w:val="24"/>
          <w:lang w:val="bg-BG"/>
        </w:rPr>
        <w:t>а</w:t>
      </w:r>
      <w:proofErr w:type="spellEnd"/>
      <w:r>
        <w:rPr>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ОПТТИ</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ОПТТИ</w:t>
      </w:r>
      <w:r>
        <w:rPr>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 xml:space="preserve">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w:t>
      </w:r>
      <w:r w:rsidRPr="00193F30">
        <w:rPr>
          <w:color w:val="000000"/>
          <w:sz w:val="24"/>
          <w:szCs w:val="24"/>
          <w:lang w:val="bg-BG"/>
        </w:rPr>
        <w:lastRenderedPageBreak/>
        <w:t>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Pr>
          <w:color w:val="000000"/>
          <w:sz w:val="24"/>
          <w:szCs w:val="24"/>
          <w:lang w:val="bg-BG"/>
        </w:rPr>
        <w:t>и</w:t>
      </w:r>
      <w:r w:rsidRPr="00193F30">
        <w:rPr>
          <w:color w:val="000000"/>
          <w:sz w:val="24"/>
          <w:szCs w:val="24"/>
        </w:rPr>
        <w:t>ма под внимание в процеса на верификация.</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 xml:space="preserve">друга информация и документи, свързани с подготовката и реализацията на проекта (в т.ч. </w:t>
      </w:r>
      <w:proofErr w:type="spellStart"/>
      <w:r w:rsidRPr="009C1BDA">
        <w:rPr>
          <w:sz w:val="24"/>
          <w:szCs w:val="24"/>
          <w:lang w:val="bg-BG"/>
        </w:rPr>
        <w:t>предпроектно</w:t>
      </w:r>
      <w:proofErr w:type="spellEnd"/>
      <w:r w:rsidRPr="009C1BDA">
        <w:rPr>
          <w:sz w:val="24"/>
          <w:szCs w:val="24"/>
          <w:lang w:val="bg-BG"/>
        </w:rPr>
        <w:t xml:space="preserve">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w:t>
      </w:r>
      <w:r>
        <w:rPr>
          <w:sz w:val="24"/>
          <w:szCs w:val="24"/>
          <w:lang w:val="bg-BG"/>
        </w:rPr>
        <w:lastRenderedPageBreak/>
        <w:t xml:space="preserve">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информационните технологии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lastRenderedPageBreak/>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lastRenderedPageBreak/>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proofErr w:type="spellStart"/>
      <w:r w:rsidRPr="004425C7">
        <w:rPr>
          <w:bCs/>
          <w:sz w:val="24"/>
          <w:szCs w:val="24"/>
          <w:lang w:val="bg-BG"/>
        </w:rPr>
        <w:t>ите</w:t>
      </w:r>
      <w:proofErr w:type="spellEnd"/>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0C1E95">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r w:rsidR="00391CE5">
        <w:rPr>
          <w:sz w:val="24"/>
          <w:szCs w:val="24"/>
          <w:lang w:val="bg-BG"/>
        </w:rPr>
        <w:t>интернет страницата на програмата</w:t>
      </w:r>
      <w:r w:rsidR="000C1E95">
        <w:rPr>
          <w:sz w:val="24"/>
          <w:szCs w:val="24"/>
          <w:lang w:val="en-US"/>
        </w:rPr>
        <w:t xml:space="preserve"> </w:t>
      </w:r>
      <w:hyperlink r:id="rId11" w:history="1">
        <w:r w:rsidR="000C1E95" w:rsidRPr="001C20BF">
          <w:rPr>
            <w:rStyle w:val="Hyperlink"/>
            <w:sz w:val="24"/>
            <w:szCs w:val="24"/>
            <w:lang w:val="en-US"/>
          </w:rPr>
          <w:t>www.eufunds.bg/bg/optti/</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проекта се планират в съответствие с изискванията на „Насоки за кандидатстване по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r w:rsidR="00CC01B0" w:rsidRPr="00CC01B0">
        <w:rPr>
          <w:sz w:val="24"/>
          <w:szCs w:val="24"/>
          <w:lang w:val="bg-BG"/>
        </w:rPr>
        <w:t>интернет</w:t>
      </w:r>
      <w:r w:rsidR="00CC01B0">
        <w:rPr>
          <w:sz w:val="24"/>
          <w:szCs w:val="24"/>
          <w:lang w:val="bg-BG"/>
        </w:rPr>
        <w:t xml:space="preserve"> страницата на програмата</w:t>
      </w:r>
      <w:r w:rsidR="000C1E95">
        <w:rPr>
          <w:sz w:val="24"/>
          <w:szCs w:val="24"/>
          <w:lang w:val="en-US"/>
        </w:rPr>
        <w:t xml:space="preserve"> </w:t>
      </w:r>
      <w:hyperlink r:id="rId12"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r w:rsidR="00FF3F32" w:rsidRPr="00CC01B0">
        <w:rPr>
          <w:sz w:val="24"/>
          <w:szCs w:val="24"/>
          <w:lang w:val="bg-BG"/>
        </w:rPr>
        <w:t>интернет</w:t>
      </w:r>
      <w:r w:rsidR="00FF3F32">
        <w:rPr>
          <w:sz w:val="24"/>
          <w:szCs w:val="24"/>
          <w:lang w:val="bg-BG"/>
        </w:rPr>
        <w:t xml:space="preserve"> страницата на програмата</w:t>
      </w:r>
      <w:r w:rsidR="000C1E95">
        <w:rPr>
          <w:sz w:val="24"/>
          <w:szCs w:val="24"/>
          <w:lang w:val="en-US"/>
        </w:rPr>
        <w:t xml:space="preserve"> </w:t>
      </w:r>
      <w:hyperlink r:id="rId13"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w:t>
      </w:r>
      <w:r w:rsidRPr="009C1BDA">
        <w:rPr>
          <w:sz w:val="24"/>
          <w:szCs w:val="24"/>
          <w:lang w:val="bg-BG"/>
        </w:rPr>
        <w:lastRenderedPageBreak/>
        <w:t xml:space="preserve">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w:t>
      </w:r>
      <w:proofErr w:type="spellStart"/>
      <w:r w:rsidRPr="009C1BDA">
        <w:rPr>
          <w:sz w:val="24"/>
          <w:szCs w:val="24"/>
          <w:lang w:val="bg-BG"/>
        </w:rPr>
        <w:t>непланирана</w:t>
      </w:r>
      <w:proofErr w:type="spellEnd"/>
      <w:r w:rsidRPr="009C1BDA">
        <w:rPr>
          <w:sz w:val="24"/>
          <w:szCs w:val="24"/>
          <w:lang w:val="bg-BG"/>
        </w:rPr>
        <w:t xml:space="preserve">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на проектите по ОПТТИ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Условията са приложими и са задължителни за Бенефициента, както за проектите за които са сключени договори за предоставяне на БФП, преди влизането на ЗУСЕСИФ, така и за административните договори/ заповеди, когато бенефициент е УО на ОПТТИ.</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 на одобрени проекти по ОПТТИ</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bookmarkStart w:id="4" w:name="_GoBack"/>
      <w:bookmarkEnd w:id="4"/>
    </w:p>
    <w:sectPr w:rsidR="009C1BDA" w:rsidRPr="009C1BDA" w:rsidSect="00A16ACF">
      <w:footerReference w:type="default" r:id="rId14"/>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54" w:rsidRDefault="00DE2154">
      <w:r>
        <w:separator/>
      </w:r>
    </w:p>
  </w:endnote>
  <w:endnote w:type="continuationSeparator" w:id="0">
    <w:p w:rsidR="00DE2154" w:rsidRDefault="00DE2154">
      <w:r>
        <w:continuationSeparator/>
      </w:r>
    </w:p>
  </w:endnote>
  <w:endnote w:type="continuationNotice" w:id="1">
    <w:p w:rsidR="00DE2154" w:rsidRDefault="00DE2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на одобрени проекти </w:t>
    </w:r>
    <w:r w:rsidRPr="00DC7438">
      <w:rPr>
        <w:rFonts w:eastAsiaTheme="majorEastAsia"/>
      </w:rPr>
      <w:t>по ОПТТИ</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E91855" w:rsidRPr="00E91855">
      <w:rPr>
        <w:rFonts w:eastAsiaTheme="majorEastAsia"/>
        <w:noProof/>
      </w:rPr>
      <w:t>26</w:t>
    </w:r>
    <w:r w:rsidRPr="00DC7438">
      <w:rPr>
        <w:rFonts w:eastAsiaTheme="majorEastAsia"/>
        <w:noProof/>
      </w:rPr>
      <w:fldChar w:fldCharType="end"/>
    </w:r>
  </w:p>
  <w:p w:rsidR="00DE2154" w:rsidRDefault="00DE2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54" w:rsidRDefault="00DE2154">
      <w:r>
        <w:separator/>
      </w:r>
    </w:p>
  </w:footnote>
  <w:footnote w:type="continuationSeparator" w:id="0">
    <w:p w:rsidR="00DE2154" w:rsidRDefault="00DE2154">
      <w:r>
        <w:continuationSeparator/>
      </w:r>
    </w:p>
  </w:footnote>
  <w:footnote w:type="continuationNotice" w:id="1">
    <w:p w:rsidR="00DE2154" w:rsidRDefault="00DE2154"/>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44" w15:restartNumberingAfterBreak="0">
    <w:nsid w:val="764920E0"/>
    <w:multiLevelType w:val="hybridMultilevel"/>
    <w:tmpl w:val="D38A1384"/>
    <w:lvl w:ilvl="0" w:tplc="0EF2E132">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6DC2C96"/>
    <w:multiLevelType w:val="hybridMultilevel"/>
    <w:tmpl w:val="227091B8"/>
    <w:lvl w:ilvl="0" w:tplc="893093F2">
      <w:start w:val="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7"/>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6"/>
  </w:num>
  <w:num w:numId="45">
    <w:abstractNumId w:val="45"/>
  </w:num>
  <w:num w:numId="46">
    <w:abstractNumId w:val="43"/>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B46C6"/>
    <w:rsid w:val="000B5790"/>
    <w:rsid w:val="000C1E95"/>
    <w:rsid w:val="000D2447"/>
    <w:rsid w:val="000D6A8E"/>
    <w:rsid w:val="000E31D6"/>
    <w:rsid w:val="000F46A5"/>
    <w:rsid w:val="000F482F"/>
    <w:rsid w:val="00100AAB"/>
    <w:rsid w:val="0010371E"/>
    <w:rsid w:val="00107B5B"/>
    <w:rsid w:val="0011182E"/>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0D6F"/>
    <w:rsid w:val="001D7BB2"/>
    <w:rsid w:val="001E0188"/>
    <w:rsid w:val="001F1893"/>
    <w:rsid w:val="001F2C8B"/>
    <w:rsid w:val="00216713"/>
    <w:rsid w:val="00220669"/>
    <w:rsid w:val="0022151E"/>
    <w:rsid w:val="00221856"/>
    <w:rsid w:val="00225304"/>
    <w:rsid w:val="00232957"/>
    <w:rsid w:val="0023494D"/>
    <w:rsid w:val="00234E89"/>
    <w:rsid w:val="00245958"/>
    <w:rsid w:val="00251163"/>
    <w:rsid w:val="002569D1"/>
    <w:rsid w:val="00261B7A"/>
    <w:rsid w:val="00261CEF"/>
    <w:rsid w:val="00271B1D"/>
    <w:rsid w:val="00277B75"/>
    <w:rsid w:val="002805E5"/>
    <w:rsid w:val="002808E6"/>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314F"/>
    <w:rsid w:val="00455277"/>
    <w:rsid w:val="00457149"/>
    <w:rsid w:val="00472A35"/>
    <w:rsid w:val="00477F71"/>
    <w:rsid w:val="004873C0"/>
    <w:rsid w:val="00491136"/>
    <w:rsid w:val="004930B6"/>
    <w:rsid w:val="004A2F2E"/>
    <w:rsid w:val="004A54A0"/>
    <w:rsid w:val="004A5750"/>
    <w:rsid w:val="004B5A99"/>
    <w:rsid w:val="004C4436"/>
    <w:rsid w:val="004D2964"/>
    <w:rsid w:val="004D40DE"/>
    <w:rsid w:val="004E404B"/>
    <w:rsid w:val="004E64D0"/>
    <w:rsid w:val="004F0AF1"/>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D7457"/>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87801"/>
    <w:rsid w:val="007918F8"/>
    <w:rsid w:val="00792325"/>
    <w:rsid w:val="00793038"/>
    <w:rsid w:val="00796E15"/>
    <w:rsid w:val="007A133B"/>
    <w:rsid w:val="007A2443"/>
    <w:rsid w:val="007A3517"/>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80FB8"/>
    <w:rsid w:val="00892B3F"/>
    <w:rsid w:val="00894978"/>
    <w:rsid w:val="008A15C5"/>
    <w:rsid w:val="008A3E90"/>
    <w:rsid w:val="008A4E00"/>
    <w:rsid w:val="008B4915"/>
    <w:rsid w:val="008B7648"/>
    <w:rsid w:val="008C094A"/>
    <w:rsid w:val="008C182D"/>
    <w:rsid w:val="008D3E17"/>
    <w:rsid w:val="008D491F"/>
    <w:rsid w:val="008E6DB3"/>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A01036"/>
    <w:rsid w:val="00A11E98"/>
    <w:rsid w:val="00A11EB2"/>
    <w:rsid w:val="00A12A95"/>
    <w:rsid w:val="00A165EB"/>
    <w:rsid w:val="00A16ACF"/>
    <w:rsid w:val="00A16E4F"/>
    <w:rsid w:val="00A26EE1"/>
    <w:rsid w:val="00A27AF3"/>
    <w:rsid w:val="00A324A9"/>
    <w:rsid w:val="00A32ACE"/>
    <w:rsid w:val="00A35C2A"/>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0340"/>
    <w:rsid w:val="00C22337"/>
    <w:rsid w:val="00C25098"/>
    <w:rsid w:val="00C3344C"/>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01B0"/>
    <w:rsid w:val="00CC5FA7"/>
    <w:rsid w:val="00CD5378"/>
    <w:rsid w:val="00CD55C2"/>
    <w:rsid w:val="00CE0842"/>
    <w:rsid w:val="00CE1086"/>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34A30"/>
    <w:rsid w:val="00E3694C"/>
    <w:rsid w:val="00E4346A"/>
    <w:rsid w:val="00E545FE"/>
    <w:rsid w:val="00E56E30"/>
    <w:rsid w:val="00E61FC8"/>
    <w:rsid w:val="00E706DB"/>
    <w:rsid w:val="00E75B27"/>
    <w:rsid w:val="00E7760D"/>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8001F5"/>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13" Type="http://schemas.openxmlformats.org/officeDocument/2006/relationships/hyperlink" Target="http://www.eufunds.bg/bg/opt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bg/opt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bg/optt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4" Type="http://schemas.openxmlformats.org/officeDocument/2006/relationships/settings" Target="settings.xml"/><Relationship Id="rId9"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720F-3AE7-4221-AB79-A20D0122B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10819</Words>
  <Characters>64410</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3</cp:revision>
  <cp:lastPrinted>2020-01-22T13:09:00Z</cp:lastPrinted>
  <dcterms:created xsi:type="dcterms:W3CDTF">2021-02-08T09:49:00Z</dcterms:created>
  <dcterms:modified xsi:type="dcterms:W3CDTF">2021-02-08T09:50:00Z</dcterms:modified>
</cp:coreProperties>
</file>