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xlsx" ContentType="application/vnd.openxmlformats-officedocument.spreadsheetml.shee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3.xml" ContentType="application/vnd.openxmlformats-officedocument.themeOverrid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4.xml" ContentType="application/vnd.openxmlformats-officedocument.themeOverrid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5.xml" ContentType="application/vnd.openxmlformats-officedocument.themeOverrid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6.xml" ContentType="application/vnd.openxmlformats-officedocument.themeOverrid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7.xml" ContentType="application/vnd.openxmlformats-officedocument.themeOverrid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theme/themeOverride8.xml" ContentType="application/vnd.openxmlformats-officedocument.themeOverrid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theme/themeOverride9.xml" ContentType="application/vnd.openxmlformats-officedocument.themeOverrid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theme/themeOverride10.xml" ContentType="application/vnd.openxmlformats-officedocument.themeOverrid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62657B9" w14:textId="753BAFBC" w:rsidR="00493CC1" w:rsidRPr="002B1D0C" w:rsidRDefault="00493CC1" w:rsidP="006E2FC7">
      <w:pPr>
        <w:spacing w:before="120" w:after="120" w:line="240" w:lineRule="auto"/>
        <w:jc w:val="both"/>
        <w:rPr>
          <w:rFonts w:ascii="Verdana" w:eastAsia="Calibri" w:hAnsi="Verdana"/>
          <w:b/>
          <w:i/>
          <w:sz w:val="24"/>
          <w:szCs w:val="24"/>
          <w:lang w:val="bg-BG"/>
        </w:rPr>
      </w:pPr>
    </w:p>
    <w:p w14:paraId="0372FEEA" w14:textId="77777777" w:rsidR="00493CC1" w:rsidRPr="002B1D0C" w:rsidRDefault="00493CC1" w:rsidP="006E2FC7">
      <w:pPr>
        <w:spacing w:before="120" w:after="120" w:line="240" w:lineRule="auto"/>
        <w:jc w:val="both"/>
        <w:rPr>
          <w:rFonts w:ascii="Verdana" w:eastAsia="Calibri" w:hAnsi="Verdana"/>
          <w:b/>
          <w:i/>
          <w:sz w:val="24"/>
          <w:szCs w:val="24"/>
          <w:lang w:val="bg-BG"/>
        </w:rPr>
      </w:pPr>
    </w:p>
    <w:p w14:paraId="2F8FC83E" w14:textId="77777777" w:rsidR="00493CC1" w:rsidRPr="002B1D0C" w:rsidRDefault="00493CC1" w:rsidP="006E2FC7">
      <w:pPr>
        <w:spacing w:before="120" w:after="120" w:line="240" w:lineRule="auto"/>
        <w:jc w:val="both"/>
        <w:rPr>
          <w:rFonts w:ascii="Verdana" w:eastAsia="Calibri" w:hAnsi="Verdana"/>
          <w:b/>
          <w:i/>
          <w:sz w:val="24"/>
          <w:szCs w:val="24"/>
          <w:lang w:val="bg-BG"/>
        </w:rPr>
      </w:pPr>
    </w:p>
    <w:p w14:paraId="702CB2EC" w14:textId="77777777" w:rsidR="00493CC1" w:rsidRPr="002B1D0C" w:rsidRDefault="00493CC1" w:rsidP="006E2FC7">
      <w:pPr>
        <w:spacing w:before="120" w:after="120" w:line="240" w:lineRule="auto"/>
        <w:jc w:val="both"/>
        <w:rPr>
          <w:rFonts w:ascii="Verdana" w:eastAsia="Calibri" w:hAnsi="Verdana"/>
          <w:b/>
          <w:i/>
          <w:sz w:val="24"/>
          <w:szCs w:val="24"/>
          <w:lang w:val="bg-BG"/>
        </w:rPr>
      </w:pPr>
    </w:p>
    <w:p w14:paraId="0909DFD6" w14:textId="77777777" w:rsidR="00493CC1" w:rsidRPr="00F50700" w:rsidRDefault="00493CC1" w:rsidP="006E2FC7">
      <w:pPr>
        <w:spacing w:before="120" w:after="120" w:line="240" w:lineRule="auto"/>
        <w:jc w:val="both"/>
        <w:rPr>
          <w:rFonts w:ascii="Verdana" w:eastAsia="Calibri" w:hAnsi="Verdana"/>
          <w:b/>
          <w:i/>
          <w:sz w:val="24"/>
          <w:szCs w:val="24"/>
          <w:lang w:val="bg-BG"/>
        </w:rPr>
      </w:pPr>
    </w:p>
    <w:p w14:paraId="3A307F77" w14:textId="2893E683" w:rsidR="002743CE" w:rsidRPr="00F50700" w:rsidRDefault="002743CE" w:rsidP="002743CE">
      <w:pPr>
        <w:jc w:val="center"/>
        <w:rPr>
          <w:rFonts w:ascii="Verdana" w:eastAsiaTheme="majorEastAsia" w:hAnsi="Verdana" w:cstheme="majorBidi"/>
          <w:b/>
          <w:bCs/>
          <w:caps/>
          <w:color w:val="374E81"/>
          <w:sz w:val="44"/>
          <w:szCs w:val="44"/>
          <w:lang w:val="bg-BG"/>
        </w:rPr>
      </w:pPr>
      <w:bookmarkStart w:id="0" w:name="_Hlk55291456"/>
      <w:r w:rsidRPr="00F50700">
        <w:rPr>
          <w:rFonts w:ascii="Verdana" w:hAnsi="Verdana"/>
          <w:b/>
          <w:bCs/>
          <w:caps/>
          <w:color w:val="374E81"/>
          <w:sz w:val="44"/>
          <w:szCs w:val="44"/>
          <w:lang w:val="en"/>
        </w:rPr>
        <w:t>evaluation report on:</w:t>
      </w:r>
    </w:p>
    <w:p w14:paraId="2F89D6CA" w14:textId="77777777" w:rsidR="00BF3499" w:rsidRPr="00F50700" w:rsidRDefault="00BF3499" w:rsidP="00BF3499">
      <w:pPr>
        <w:spacing w:before="120" w:after="120" w:line="240" w:lineRule="auto"/>
        <w:jc w:val="center"/>
        <w:rPr>
          <w:rFonts w:ascii="Verdana" w:hAnsi="Verdana"/>
          <w:b/>
          <w:bCs/>
          <w:color w:val="253356" w:themeColor="accent1" w:themeShade="80"/>
          <w:sz w:val="44"/>
          <w:szCs w:val="44"/>
          <w:lang w:val="bg-BG"/>
        </w:rPr>
      </w:pPr>
    </w:p>
    <w:bookmarkEnd w:id="0"/>
    <w:p w14:paraId="070B587A" w14:textId="77777777" w:rsidR="00EB3A92" w:rsidRPr="00EB3A92" w:rsidRDefault="00EB3A92" w:rsidP="00EB3A92">
      <w:pPr>
        <w:jc w:val="center"/>
        <w:rPr>
          <w:rFonts w:ascii="Verdana" w:hAnsi="Verdana"/>
          <w:b/>
          <w:bCs/>
          <w:caps/>
          <w:color w:val="374E81"/>
          <w:sz w:val="44"/>
          <w:szCs w:val="44"/>
        </w:rPr>
      </w:pPr>
      <w:r w:rsidRPr="00EB3A92">
        <w:rPr>
          <w:rFonts w:ascii="Verdana" w:hAnsi="Verdana"/>
          <w:b/>
          <w:bCs/>
          <w:caps/>
          <w:color w:val="374E81"/>
          <w:sz w:val="44"/>
          <w:szCs w:val="44"/>
        </w:rPr>
        <w:t xml:space="preserve">evaluation of impact and effects of implementation of </w:t>
      </w:r>
    </w:p>
    <w:p w14:paraId="594DEAE1" w14:textId="77777777" w:rsidR="00EB3A92" w:rsidRPr="00EB3A92" w:rsidRDefault="00EB3A92" w:rsidP="00EB3A92">
      <w:pPr>
        <w:jc w:val="center"/>
        <w:rPr>
          <w:rFonts w:ascii="Verdana" w:hAnsi="Verdana"/>
          <w:b/>
          <w:bCs/>
          <w:caps/>
          <w:color w:val="374E81"/>
          <w:sz w:val="44"/>
          <w:szCs w:val="44"/>
        </w:rPr>
      </w:pPr>
      <w:r w:rsidRPr="00EB3A92">
        <w:rPr>
          <w:rFonts w:ascii="Verdana" w:hAnsi="Verdana"/>
          <w:b/>
          <w:bCs/>
          <w:caps/>
          <w:color w:val="374E81"/>
          <w:sz w:val="44"/>
          <w:szCs w:val="44"/>
        </w:rPr>
        <w:t>Operational Programme on Transport 2007-2013</w:t>
      </w:r>
    </w:p>
    <w:p w14:paraId="596E855F" w14:textId="2ED940CC" w:rsidR="00935A4E" w:rsidRPr="002B1D0C" w:rsidRDefault="00935A4E" w:rsidP="006E2FC7">
      <w:pPr>
        <w:spacing w:before="120" w:after="120" w:line="240" w:lineRule="auto"/>
        <w:jc w:val="both"/>
        <w:rPr>
          <w:rFonts w:ascii="Verdana" w:eastAsia="Calibri" w:hAnsi="Verdana"/>
          <w:b/>
          <w:i/>
          <w:color w:val="7A0000"/>
          <w:sz w:val="24"/>
          <w:szCs w:val="24"/>
          <w:lang w:val="bg-BG"/>
        </w:rPr>
      </w:pPr>
    </w:p>
    <w:p w14:paraId="5F97A919" w14:textId="583F1FDD" w:rsidR="00493CC1" w:rsidRPr="002B1D0C" w:rsidRDefault="00493CC1" w:rsidP="006E2FC7">
      <w:pPr>
        <w:spacing w:before="120" w:after="120" w:line="240" w:lineRule="auto"/>
        <w:jc w:val="both"/>
        <w:rPr>
          <w:rFonts w:ascii="Verdana" w:eastAsia="Calibri" w:hAnsi="Verdana"/>
          <w:b/>
          <w:i/>
          <w:color w:val="7A0000"/>
          <w:sz w:val="24"/>
          <w:szCs w:val="24"/>
          <w:lang w:val="bg-BG"/>
        </w:rPr>
      </w:pPr>
    </w:p>
    <w:p w14:paraId="4E94B6BB" w14:textId="77777777" w:rsidR="00BE1040" w:rsidRPr="00BE1040" w:rsidRDefault="00BE1040" w:rsidP="00BE1040">
      <w:pPr>
        <w:shd w:val="clear" w:color="auto" w:fill="374E81"/>
        <w:jc w:val="both"/>
        <w:rPr>
          <w:rFonts w:ascii="Verdana" w:hAnsi="Verdana"/>
          <w:b/>
          <w:i/>
          <w:color w:val="FFFFFF" w:themeColor="background1"/>
          <w:sz w:val="20"/>
          <w:lang w:val="bg-BG"/>
        </w:rPr>
      </w:pPr>
      <w:r w:rsidRPr="00BE1040">
        <w:rPr>
          <w:rFonts w:ascii="Verdana" w:hAnsi="Verdana"/>
          <w:b/>
          <w:i/>
          <w:color w:val="FFFFFF" w:themeColor="background1"/>
          <w:sz w:val="20"/>
          <w:szCs w:val="20"/>
          <w:lang w:val="en"/>
        </w:rPr>
        <w:t xml:space="preserve">Contract NoD-4/06.02.2020 </w:t>
      </w:r>
      <w:r w:rsidRPr="00BE1040">
        <w:rPr>
          <w:rFonts w:ascii="Verdana" w:hAnsi="Verdana"/>
          <w:b/>
          <w:i/>
          <w:color w:val="FFFFFF" w:themeColor="background1"/>
          <w:sz w:val="20"/>
          <w:szCs w:val="20"/>
          <w:lang w:val="bg-BG"/>
        </w:rPr>
        <w:t>„</w:t>
      </w:r>
      <w:r w:rsidRPr="00BE1040">
        <w:rPr>
          <w:rFonts w:ascii="Verdana" w:eastAsia="Calibri" w:hAnsi="Verdana"/>
          <w:b/>
          <w:i/>
          <w:color w:val="FFFFFF" w:themeColor="background1"/>
          <w:sz w:val="20"/>
          <w:szCs w:val="20"/>
          <w:lang w:val="en-US"/>
        </w:rPr>
        <w:t>Evaluation of the impact and effects of the implementation of Operational Programme “Transport” 2007-2013 and evaluation of the progress under Operational Programme “Transport and transport infrastructure” 2014-2020 and contribution to the EU Strategy”</w:t>
      </w:r>
    </w:p>
    <w:p w14:paraId="7182BD1B" w14:textId="3F9D9A43" w:rsidR="00493CC1" w:rsidRPr="002B1D0C" w:rsidRDefault="00493CC1" w:rsidP="006E2FC7">
      <w:pPr>
        <w:spacing w:before="120" w:after="120" w:line="240" w:lineRule="auto"/>
        <w:jc w:val="both"/>
        <w:rPr>
          <w:rFonts w:ascii="Verdana" w:eastAsia="Calibri" w:hAnsi="Verdana"/>
          <w:b/>
          <w:i/>
          <w:color w:val="7A0000"/>
          <w:sz w:val="24"/>
          <w:szCs w:val="24"/>
          <w:lang w:val="bg-BG"/>
        </w:rPr>
      </w:pPr>
    </w:p>
    <w:p w14:paraId="1786A106" w14:textId="7C17EBAF" w:rsidR="00493CC1" w:rsidRPr="002B1D0C" w:rsidRDefault="00903FE4" w:rsidP="006E2FC7">
      <w:pPr>
        <w:spacing w:before="120" w:after="120" w:line="240" w:lineRule="auto"/>
        <w:jc w:val="both"/>
        <w:rPr>
          <w:rFonts w:ascii="Verdana" w:eastAsia="Calibri" w:hAnsi="Verdana"/>
          <w:b/>
          <w:i/>
          <w:color w:val="7A0000"/>
          <w:sz w:val="24"/>
          <w:szCs w:val="24"/>
          <w:lang w:val="bg-BG"/>
        </w:rPr>
      </w:pPr>
      <w:r w:rsidRPr="002B1D0C">
        <w:rPr>
          <w:rFonts w:ascii="Verdana" w:eastAsia="Calibri" w:hAnsi="Verdana"/>
          <w:b/>
          <w:i/>
          <w:color w:val="7A0000"/>
          <w:sz w:val="24"/>
          <w:szCs w:val="24"/>
          <w:lang w:val="bg-BG"/>
        </w:rPr>
        <w:tab/>
      </w:r>
    </w:p>
    <w:p w14:paraId="7179EF3E" w14:textId="78FC6734" w:rsidR="00493CC1" w:rsidRPr="002B1D0C" w:rsidRDefault="00493CC1" w:rsidP="006E2FC7">
      <w:pPr>
        <w:spacing w:before="120" w:after="120" w:line="240" w:lineRule="auto"/>
        <w:jc w:val="both"/>
        <w:rPr>
          <w:rFonts w:ascii="Verdana" w:eastAsia="Calibri" w:hAnsi="Verdana"/>
          <w:b/>
          <w:i/>
          <w:color w:val="7A0000"/>
          <w:sz w:val="24"/>
          <w:szCs w:val="24"/>
          <w:lang w:val="bg-BG"/>
        </w:rPr>
      </w:pPr>
    </w:p>
    <w:p w14:paraId="06102550" w14:textId="4CFEF9C5" w:rsidR="001E24B4" w:rsidRPr="002B1D0C" w:rsidRDefault="001E24B4" w:rsidP="006E2FC7">
      <w:pPr>
        <w:spacing w:before="120" w:after="120" w:line="240" w:lineRule="auto"/>
        <w:jc w:val="both"/>
        <w:rPr>
          <w:rFonts w:ascii="Verdana" w:eastAsia="Calibri" w:hAnsi="Verdana"/>
          <w:b/>
          <w:i/>
          <w:color w:val="7A0000"/>
          <w:sz w:val="24"/>
          <w:szCs w:val="24"/>
          <w:lang w:val="bg-BG"/>
        </w:rPr>
      </w:pPr>
    </w:p>
    <w:p w14:paraId="2BABD865" w14:textId="7A9973B4" w:rsidR="004A4209" w:rsidRPr="002B1D0C" w:rsidRDefault="004A4209" w:rsidP="006E2FC7">
      <w:pPr>
        <w:spacing w:before="120" w:after="120" w:line="240" w:lineRule="auto"/>
        <w:jc w:val="both"/>
        <w:rPr>
          <w:rFonts w:ascii="Verdana" w:eastAsia="Calibri" w:hAnsi="Verdana"/>
          <w:b/>
          <w:i/>
          <w:color w:val="7A0000"/>
          <w:sz w:val="24"/>
          <w:szCs w:val="24"/>
          <w:lang w:val="bg-BG"/>
        </w:rPr>
      </w:pPr>
    </w:p>
    <w:p w14:paraId="6BF8B880" w14:textId="3FCAE6EF" w:rsidR="004A4209" w:rsidRPr="002B1D0C" w:rsidRDefault="004A4209" w:rsidP="006E2FC7">
      <w:pPr>
        <w:spacing w:before="120" w:after="120" w:line="240" w:lineRule="auto"/>
        <w:jc w:val="both"/>
        <w:rPr>
          <w:rFonts w:ascii="Verdana" w:eastAsia="Calibri" w:hAnsi="Verdana"/>
          <w:b/>
          <w:i/>
          <w:color w:val="7A0000"/>
          <w:sz w:val="24"/>
          <w:szCs w:val="24"/>
          <w:lang w:val="bg-BG"/>
        </w:rPr>
      </w:pPr>
    </w:p>
    <w:p w14:paraId="660A2FF8" w14:textId="2FDF326F" w:rsidR="004A4209" w:rsidRPr="002B1D0C" w:rsidRDefault="004A4209" w:rsidP="006E2FC7">
      <w:pPr>
        <w:spacing w:before="120" w:after="120" w:line="240" w:lineRule="auto"/>
        <w:jc w:val="both"/>
        <w:rPr>
          <w:rFonts w:ascii="Verdana" w:eastAsia="Calibri" w:hAnsi="Verdana"/>
          <w:b/>
          <w:i/>
          <w:color w:val="7A0000"/>
          <w:sz w:val="24"/>
          <w:szCs w:val="24"/>
          <w:lang w:val="bg-BG"/>
        </w:rPr>
      </w:pPr>
    </w:p>
    <w:p w14:paraId="209E9109" w14:textId="77777777" w:rsidR="004A4209" w:rsidRPr="002B1D0C" w:rsidRDefault="004A4209" w:rsidP="006E2FC7">
      <w:pPr>
        <w:spacing w:before="120" w:after="120" w:line="240" w:lineRule="auto"/>
        <w:jc w:val="both"/>
        <w:rPr>
          <w:rFonts w:ascii="Verdana" w:eastAsia="Calibri" w:hAnsi="Verdana"/>
          <w:b/>
          <w:i/>
          <w:color w:val="7A0000"/>
          <w:sz w:val="24"/>
          <w:szCs w:val="24"/>
          <w:lang w:val="bg-BG"/>
        </w:rPr>
      </w:pPr>
    </w:p>
    <w:p w14:paraId="312DD1BA" w14:textId="7EED0E8A" w:rsidR="00493CC1" w:rsidRDefault="00046BF9" w:rsidP="006E2FC7">
      <w:pPr>
        <w:spacing w:before="120" w:after="120" w:line="240" w:lineRule="auto"/>
        <w:jc w:val="center"/>
        <w:rPr>
          <w:rFonts w:ascii="Verdana" w:hAnsi="Verdana"/>
          <w:b/>
          <w:bCs/>
          <w:color w:val="374E81"/>
          <w:sz w:val="20"/>
          <w:szCs w:val="20"/>
          <w:lang w:val="en"/>
        </w:rPr>
      </w:pPr>
      <w:r w:rsidRPr="00F50700">
        <w:rPr>
          <w:rFonts w:ascii="Verdana" w:hAnsi="Verdana"/>
          <w:b/>
          <w:bCs/>
          <w:color w:val="374E81"/>
          <w:sz w:val="20"/>
          <w:szCs w:val="20"/>
          <w:lang w:val="en"/>
        </w:rPr>
        <w:t>December, 2020</w:t>
      </w:r>
    </w:p>
    <w:p w14:paraId="6753CD06" w14:textId="70814510" w:rsidR="00BE1040" w:rsidRPr="00BE1040" w:rsidRDefault="00BE1040" w:rsidP="006E2FC7">
      <w:pPr>
        <w:spacing w:before="120" w:after="120" w:line="240" w:lineRule="auto"/>
        <w:jc w:val="center"/>
        <w:rPr>
          <w:rFonts w:ascii="Verdana" w:eastAsiaTheme="minorHAnsi" w:hAnsi="Verdana"/>
          <w:b/>
          <w:bCs/>
          <w:color w:val="374E81"/>
          <w:sz w:val="20"/>
          <w:szCs w:val="20"/>
        </w:rPr>
      </w:pPr>
      <w:r>
        <w:rPr>
          <w:rFonts w:ascii="Verdana" w:hAnsi="Verdana"/>
          <w:b/>
          <w:bCs/>
          <w:color w:val="374E81"/>
          <w:sz w:val="20"/>
          <w:szCs w:val="20"/>
        </w:rPr>
        <w:t>Sofia</w:t>
      </w:r>
    </w:p>
    <w:p w14:paraId="6489D178" w14:textId="326BDF64" w:rsidR="00FE0E3B" w:rsidRPr="00F50700" w:rsidRDefault="00FE0E3B">
      <w:pPr>
        <w:rPr>
          <w:rFonts w:ascii="Verdana" w:eastAsia="Calibri" w:hAnsi="Verdana"/>
          <w:b/>
          <w:i/>
          <w:color w:val="7A0000"/>
          <w:sz w:val="24"/>
          <w:szCs w:val="24"/>
          <w:lang w:val="bg-BG"/>
        </w:rPr>
      </w:pPr>
      <w:r w:rsidRPr="00F50700">
        <w:rPr>
          <w:rFonts w:ascii="Verdana" w:eastAsia="Calibri" w:hAnsi="Verdana"/>
          <w:b/>
          <w:i/>
          <w:color w:val="7A0000"/>
          <w:sz w:val="24"/>
          <w:szCs w:val="24"/>
          <w:lang w:val="bg-BG"/>
        </w:rPr>
        <w:br w:type="page"/>
      </w:r>
    </w:p>
    <w:p w14:paraId="6F65C921" w14:textId="77777777" w:rsidR="00493CC1" w:rsidRPr="00F50700" w:rsidRDefault="00493CC1" w:rsidP="006E2FC7">
      <w:pPr>
        <w:spacing w:before="120" w:after="120" w:line="240" w:lineRule="auto"/>
        <w:jc w:val="both"/>
        <w:rPr>
          <w:rFonts w:ascii="Verdana" w:eastAsia="Calibri" w:hAnsi="Verdana"/>
          <w:b/>
          <w:i/>
          <w:color w:val="7A0000"/>
          <w:sz w:val="24"/>
          <w:szCs w:val="24"/>
          <w:lang w:val="bg-BG"/>
        </w:rPr>
      </w:pPr>
    </w:p>
    <w:p w14:paraId="224484FC" w14:textId="6D81732C" w:rsidR="00493CC1" w:rsidRPr="001535AD" w:rsidRDefault="001535AD" w:rsidP="006E2FC7">
      <w:pPr>
        <w:spacing w:before="120" w:after="120" w:line="240" w:lineRule="auto"/>
        <w:jc w:val="center"/>
        <w:rPr>
          <w:rFonts w:ascii="Verdana" w:eastAsia="Calibri" w:hAnsi="Verdana"/>
          <w:b/>
          <w:iCs/>
          <w:smallCaps/>
          <w:color w:val="253356" w:themeColor="accent1" w:themeShade="80"/>
          <w:lang w:val="bg-BG"/>
        </w:rPr>
      </w:pPr>
      <w:r w:rsidRPr="001535AD">
        <w:rPr>
          <w:rFonts w:ascii="Verdana" w:hAnsi="Verdana"/>
          <w:b/>
          <w:iCs/>
          <w:smallCaps/>
          <w:color w:val="253356" w:themeColor="accent1" w:themeShade="80"/>
          <w:lang w:val="en"/>
        </w:rPr>
        <w:t>CONTENT</w:t>
      </w:r>
    </w:p>
    <w:p w14:paraId="506F61A8" w14:textId="77777777" w:rsidR="00493CC1" w:rsidRPr="0054654A" w:rsidRDefault="00493CC1" w:rsidP="00E62698">
      <w:pPr>
        <w:spacing w:before="120" w:after="120" w:line="240" w:lineRule="auto"/>
        <w:jc w:val="both"/>
        <w:rPr>
          <w:rFonts w:ascii="Verdana" w:eastAsia="Calibri" w:hAnsi="Verdana"/>
          <w:b/>
          <w:iCs/>
          <w:color w:val="253356" w:themeColor="accent1" w:themeShade="80"/>
          <w:sz w:val="20"/>
          <w:szCs w:val="20"/>
          <w:highlight w:val="yellow"/>
          <w:lang w:val="bg-BG"/>
        </w:rPr>
      </w:pPr>
    </w:p>
    <w:p w14:paraId="386D0179" w14:textId="534AE913" w:rsidR="001535AD" w:rsidRDefault="001F1BE6" w:rsidP="00424BA0">
      <w:pPr>
        <w:pStyle w:val="TOC1"/>
        <w:spacing w:after="0"/>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pPr>
      <w:r w:rsidRPr="0054654A">
        <w:rPr>
          <w:b/>
          <w:noProof w:val="0"/>
          <w:highlight w:val="yellow"/>
          <w:lang w:val="en"/>
        </w:rPr>
        <w:fldChar w:fldCharType="begin"/>
      </w:r>
      <w:r w:rsidRPr="0054654A">
        <w:rPr>
          <w:b/>
          <w:noProof w:val="0"/>
          <w:highlight w:val="yellow"/>
          <w:lang w:val="en"/>
        </w:rPr>
        <w:instrText xml:space="preserve"> TOC \o "1-2" \h \z \u </w:instrText>
      </w:r>
      <w:r w:rsidRPr="0054654A">
        <w:rPr>
          <w:b/>
          <w:noProof w:val="0"/>
          <w:highlight w:val="yellow"/>
          <w:lang w:val="en"/>
        </w:rPr>
        <w:fldChar w:fldCharType="separate"/>
      </w:r>
    </w:p>
    <w:p w14:paraId="48DE519A" w14:textId="4169DAC7" w:rsidR="001535AD" w:rsidRPr="001535AD" w:rsidRDefault="00333A1A" w:rsidP="00424BA0">
      <w:pPr>
        <w:pStyle w:val="TOC1"/>
        <w:spacing w:after="0"/>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pPr>
      <w:hyperlink w:anchor="_Toc62724387" w:history="1">
        <w:r w:rsidR="00ED2FA5">
          <w:rPr>
            <w:rStyle w:val="Hyperlink"/>
            <w:b/>
            <w:bCs/>
            <w:lang w:val="en"/>
          </w:rPr>
          <w:t>LIST OF ACRONYMS</w:t>
        </w:r>
        <w:r w:rsidR="001535AD" w:rsidRPr="001535AD">
          <w:rPr>
            <w:webHidden/>
          </w:rPr>
          <w:tab/>
        </w:r>
        <w:r w:rsidR="001535AD" w:rsidRPr="001535AD">
          <w:rPr>
            <w:webHidden/>
          </w:rPr>
          <w:fldChar w:fldCharType="begin"/>
        </w:r>
        <w:r w:rsidR="001535AD" w:rsidRPr="001535AD">
          <w:rPr>
            <w:webHidden/>
          </w:rPr>
          <w:instrText xml:space="preserve"> PAGEREF _Toc62724387 \h </w:instrText>
        </w:r>
        <w:r w:rsidR="001535AD" w:rsidRPr="001535AD">
          <w:rPr>
            <w:webHidden/>
          </w:rPr>
        </w:r>
        <w:r w:rsidR="001535AD" w:rsidRPr="001535AD">
          <w:rPr>
            <w:webHidden/>
          </w:rPr>
          <w:fldChar w:fldCharType="separate"/>
        </w:r>
        <w:r w:rsidR="009C2279">
          <w:rPr>
            <w:webHidden/>
          </w:rPr>
          <w:t>3</w:t>
        </w:r>
        <w:r w:rsidR="001535AD" w:rsidRPr="001535AD">
          <w:rPr>
            <w:webHidden/>
          </w:rPr>
          <w:fldChar w:fldCharType="end"/>
        </w:r>
      </w:hyperlink>
    </w:p>
    <w:p w14:paraId="13ED6833" w14:textId="653357CB" w:rsidR="001535AD" w:rsidRPr="001535AD" w:rsidRDefault="00333A1A" w:rsidP="00424BA0">
      <w:pPr>
        <w:pStyle w:val="TOC1"/>
        <w:spacing w:after="0"/>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pPr>
      <w:hyperlink w:anchor="_Toc62724388" w:history="1">
        <w:r w:rsidR="001535AD" w:rsidRPr="001535AD">
          <w:rPr>
            <w:rStyle w:val="Hyperlink"/>
            <w:b/>
            <w:bCs/>
            <w:lang w:val="en"/>
          </w:rPr>
          <w:t>LIST OF TABLES</w:t>
        </w:r>
        <w:r w:rsidR="001535AD" w:rsidRPr="001535AD">
          <w:rPr>
            <w:webHidden/>
          </w:rPr>
          <w:tab/>
        </w:r>
        <w:r w:rsidR="001535AD" w:rsidRPr="001535AD">
          <w:rPr>
            <w:webHidden/>
          </w:rPr>
          <w:fldChar w:fldCharType="begin"/>
        </w:r>
        <w:r w:rsidR="001535AD" w:rsidRPr="001535AD">
          <w:rPr>
            <w:webHidden/>
          </w:rPr>
          <w:instrText xml:space="preserve"> PAGEREF _Toc62724388 \h </w:instrText>
        </w:r>
        <w:r w:rsidR="001535AD" w:rsidRPr="001535AD">
          <w:rPr>
            <w:webHidden/>
          </w:rPr>
        </w:r>
        <w:r w:rsidR="001535AD" w:rsidRPr="001535AD">
          <w:rPr>
            <w:webHidden/>
          </w:rPr>
          <w:fldChar w:fldCharType="separate"/>
        </w:r>
        <w:r w:rsidR="009C2279">
          <w:rPr>
            <w:webHidden/>
          </w:rPr>
          <w:t>6</w:t>
        </w:r>
        <w:r w:rsidR="001535AD" w:rsidRPr="001535AD">
          <w:rPr>
            <w:webHidden/>
          </w:rPr>
          <w:fldChar w:fldCharType="end"/>
        </w:r>
      </w:hyperlink>
    </w:p>
    <w:p w14:paraId="15C32B8C" w14:textId="385D0A81" w:rsidR="001535AD" w:rsidRDefault="00333A1A" w:rsidP="00424BA0">
      <w:pPr>
        <w:pStyle w:val="TOC1"/>
        <w:spacing w:after="0"/>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pPr>
      <w:hyperlink w:anchor="_Toc62724389" w:history="1">
        <w:r w:rsidR="001535AD" w:rsidRPr="001535AD">
          <w:rPr>
            <w:rStyle w:val="Hyperlink"/>
            <w:b/>
            <w:bCs/>
            <w:lang w:val="en"/>
          </w:rPr>
          <w:t>LIST OF FIGURES</w:t>
        </w:r>
        <w:r w:rsidR="001535AD" w:rsidRPr="001535AD">
          <w:rPr>
            <w:webHidden/>
          </w:rPr>
          <w:tab/>
        </w:r>
        <w:r w:rsidR="001535AD" w:rsidRPr="001535AD">
          <w:rPr>
            <w:webHidden/>
          </w:rPr>
          <w:fldChar w:fldCharType="begin"/>
        </w:r>
        <w:r w:rsidR="001535AD" w:rsidRPr="001535AD">
          <w:rPr>
            <w:webHidden/>
          </w:rPr>
          <w:instrText xml:space="preserve"> PAGEREF _Toc62724389 \h </w:instrText>
        </w:r>
        <w:r w:rsidR="001535AD" w:rsidRPr="001535AD">
          <w:rPr>
            <w:webHidden/>
          </w:rPr>
        </w:r>
        <w:r w:rsidR="001535AD" w:rsidRPr="001535AD">
          <w:rPr>
            <w:webHidden/>
          </w:rPr>
          <w:fldChar w:fldCharType="separate"/>
        </w:r>
        <w:r w:rsidR="009C2279">
          <w:rPr>
            <w:webHidden/>
          </w:rPr>
          <w:t>6</w:t>
        </w:r>
        <w:r w:rsidR="001535AD" w:rsidRPr="001535AD">
          <w:rPr>
            <w:webHidden/>
          </w:rPr>
          <w:fldChar w:fldCharType="end"/>
        </w:r>
      </w:hyperlink>
    </w:p>
    <w:p w14:paraId="7B6A441E" w14:textId="34A299D1" w:rsidR="001535AD" w:rsidRDefault="00333A1A" w:rsidP="00424BA0">
      <w:pPr>
        <w:pStyle w:val="TOC1"/>
        <w:spacing w:after="0"/>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pPr>
      <w:hyperlink w:anchor="_Toc62724390" w:history="1">
        <w:r w:rsidR="001535AD" w:rsidRPr="004B25EA">
          <w:rPr>
            <w:rStyle w:val="Hyperlink"/>
            <w:b/>
            <w:bCs/>
          </w:rPr>
          <w:t>I.</w:t>
        </w:r>
        <w:r w:rsidR="001535AD">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tab/>
        </w:r>
        <w:r w:rsidR="001535AD" w:rsidRPr="004B25EA">
          <w:rPr>
            <w:rStyle w:val="Hyperlink"/>
            <w:b/>
            <w:bCs/>
          </w:rPr>
          <w:t>INTRODUCTION</w:t>
        </w:r>
        <w:r w:rsidR="001535AD">
          <w:rPr>
            <w:webHidden/>
          </w:rPr>
          <w:tab/>
        </w:r>
        <w:r w:rsidR="001535AD">
          <w:rPr>
            <w:webHidden/>
          </w:rPr>
          <w:fldChar w:fldCharType="begin"/>
        </w:r>
        <w:r w:rsidR="001535AD">
          <w:rPr>
            <w:webHidden/>
          </w:rPr>
          <w:instrText xml:space="preserve"> PAGEREF _Toc62724390 \h </w:instrText>
        </w:r>
        <w:r w:rsidR="001535AD">
          <w:rPr>
            <w:webHidden/>
          </w:rPr>
        </w:r>
        <w:r w:rsidR="001535AD">
          <w:rPr>
            <w:webHidden/>
          </w:rPr>
          <w:fldChar w:fldCharType="separate"/>
        </w:r>
        <w:r w:rsidR="009C2279">
          <w:rPr>
            <w:webHidden/>
          </w:rPr>
          <w:t>9</w:t>
        </w:r>
        <w:r w:rsidR="001535AD">
          <w:rPr>
            <w:webHidden/>
          </w:rPr>
          <w:fldChar w:fldCharType="end"/>
        </w:r>
      </w:hyperlink>
    </w:p>
    <w:p w14:paraId="36C41DD2" w14:textId="37F42FC2" w:rsidR="001535AD" w:rsidRDefault="00333A1A" w:rsidP="00424BA0">
      <w:pPr>
        <w:pStyle w:val="TOC1"/>
        <w:spacing w:after="0"/>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pPr>
      <w:hyperlink w:anchor="_Toc62724391" w:history="1">
        <w:r w:rsidR="001535AD" w:rsidRPr="004B25EA">
          <w:rPr>
            <w:rStyle w:val="Hyperlink"/>
            <w:b/>
            <w:bCs/>
          </w:rPr>
          <w:t>II.</w:t>
        </w:r>
        <w:r w:rsidR="001535AD">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tab/>
        </w:r>
        <w:r w:rsidR="001535AD" w:rsidRPr="004B25EA">
          <w:rPr>
            <w:rStyle w:val="Hyperlink"/>
            <w:b/>
            <w:bCs/>
            <w:lang w:val="en"/>
          </w:rPr>
          <w:t>METHODOLOGICAL APPROACH</w:t>
        </w:r>
        <w:r w:rsidR="001535AD">
          <w:rPr>
            <w:webHidden/>
          </w:rPr>
          <w:tab/>
        </w:r>
        <w:r w:rsidR="001535AD">
          <w:rPr>
            <w:webHidden/>
          </w:rPr>
          <w:fldChar w:fldCharType="begin"/>
        </w:r>
        <w:r w:rsidR="001535AD">
          <w:rPr>
            <w:webHidden/>
          </w:rPr>
          <w:instrText xml:space="preserve"> PAGEREF _Toc62724391 \h </w:instrText>
        </w:r>
        <w:r w:rsidR="001535AD">
          <w:rPr>
            <w:webHidden/>
          </w:rPr>
        </w:r>
        <w:r w:rsidR="001535AD">
          <w:rPr>
            <w:webHidden/>
          </w:rPr>
          <w:fldChar w:fldCharType="separate"/>
        </w:r>
        <w:r w:rsidR="009C2279">
          <w:rPr>
            <w:webHidden/>
          </w:rPr>
          <w:t>16</w:t>
        </w:r>
        <w:r w:rsidR="001535AD">
          <w:rPr>
            <w:webHidden/>
          </w:rPr>
          <w:fldChar w:fldCharType="end"/>
        </w:r>
      </w:hyperlink>
    </w:p>
    <w:p w14:paraId="1CB8E2EC" w14:textId="691B2C6B" w:rsidR="001535AD" w:rsidRDefault="00333A1A" w:rsidP="00424BA0">
      <w:pPr>
        <w:pStyle w:val="TOC1"/>
        <w:spacing w:after="0"/>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pPr>
      <w:hyperlink w:anchor="_Toc62724392" w:history="1">
        <w:r w:rsidR="001535AD" w:rsidRPr="004B25EA">
          <w:rPr>
            <w:rStyle w:val="Hyperlink"/>
            <w:b/>
            <w:bCs/>
            <w:lang w:val="en"/>
          </w:rPr>
          <w:t>III.</w:t>
        </w:r>
        <w:r w:rsidR="001535AD">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tab/>
        </w:r>
        <w:r w:rsidR="001535AD" w:rsidRPr="004B25EA">
          <w:rPr>
            <w:rStyle w:val="Hyperlink"/>
            <w:b/>
            <w:bCs/>
            <w:lang w:val="en"/>
          </w:rPr>
          <w:t>PROGRAMME OVERVIEW</w:t>
        </w:r>
        <w:r w:rsidR="001535AD">
          <w:rPr>
            <w:webHidden/>
          </w:rPr>
          <w:tab/>
        </w:r>
        <w:r w:rsidR="001535AD">
          <w:rPr>
            <w:webHidden/>
          </w:rPr>
          <w:fldChar w:fldCharType="begin"/>
        </w:r>
        <w:r w:rsidR="001535AD">
          <w:rPr>
            <w:webHidden/>
          </w:rPr>
          <w:instrText xml:space="preserve"> PAGEREF _Toc62724392 \h </w:instrText>
        </w:r>
        <w:r w:rsidR="001535AD">
          <w:rPr>
            <w:webHidden/>
          </w:rPr>
        </w:r>
        <w:r w:rsidR="001535AD">
          <w:rPr>
            <w:webHidden/>
          </w:rPr>
          <w:fldChar w:fldCharType="separate"/>
        </w:r>
        <w:r w:rsidR="009C2279">
          <w:rPr>
            <w:webHidden/>
          </w:rPr>
          <w:t>20</w:t>
        </w:r>
        <w:r w:rsidR="001535AD">
          <w:rPr>
            <w:webHidden/>
          </w:rPr>
          <w:fldChar w:fldCharType="end"/>
        </w:r>
      </w:hyperlink>
    </w:p>
    <w:p w14:paraId="7BE64535" w14:textId="6500DA49" w:rsidR="001535AD" w:rsidRDefault="00333A1A" w:rsidP="00424BA0">
      <w:pPr>
        <w:pStyle w:val="TOC1"/>
        <w:spacing w:after="0"/>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pPr>
      <w:hyperlink w:anchor="_Toc62724393" w:history="1">
        <w:r w:rsidR="001535AD" w:rsidRPr="004B25EA">
          <w:rPr>
            <w:rStyle w:val="Hyperlink"/>
            <w:b/>
            <w:bCs/>
            <w:lang w:val="en"/>
          </w:rPr>
          <w:t>IV.</w:t>
        </w:r>
        <w:r w:rsidR="001535AD">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tab/>
        </w:r>
        <w:r w:rsidR="001535AD" w:rsidRPr="004B25EA">
          <w:rPr>
            <w:rStyle w:val="Hyperlink"/>
            <w:b/>
            <w:bCs/>
            <w:lang w:val="en"/>
          </w:rPr>
          <w:t>EVALUATION RESULTS</w:t>
        </w:r>
        <w:r w:rsidR="001535AD">
          <w:rPr>
            <w:webHidden/>
          </w:rPr>
          <w:tab/>
        </w:r>
        <w:r w:rsidR="001535AD">
          <w:rPr>
            <w:webHidden/>
          </w:rPr>
          <w:fldChar w:fldCharType="begin"/>
        </w:r>
        <w:r w:rsidR="001535AD">
          <w:rPr>
            <w:webHidden/>
          </w:rPr>
          <w:instrText xml:space="preserve"> PAGEREF _Toc62724393 \h </w:instrText>
        </w:r>
        <w:r w:rsidR="001535AD">
          <w:rPr>
            <w:webHidden/>
          </w:rPr>
        </w:r>
        <w:r w:rsidR="001535AD">
          <w:rPr>
            <w:webHidden/>
          </w:rPr>
          <w:fldChar w:fldCharType="separate"/>
        </w:r>
        <w:r w:rsidR="009C2279">
          <w:rPr>
            <w:webHidden/>
          </w:rPr>
          <w:t>24</w:t>
        </w:r>
        <w:r w:rsidR="001535AD">
          <w:rPr>
            <w:webHidden/>
          </w:rPr>
          <w:fldChar w:fldCharType="end"/>
        </w:r>
      </w:hyperlink>
    </w:p>
    <w:p w14:paraId="4BF9FB6A" w14:textId="54DF84A6" w:rsidR="001535AD" w:rsidRPr="001535AD" w:rsidRDefault="00333A1A" w:rsidP="00424BA0">
      <w:pPr>
        <w:pStyle w:val="TOC1"/>
        <w:spacing w:after="0"/>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pPr>
      <w:hyperlink w:anchor="_Toc62724394" w:history="1">
        <w:r w:rsidR="001535AD" w:rsidRPr="001535AD">
          <w:rPr>
            <w:rStyle w:val="Hyperlink"/>
          </w:rPr>
          <w:t>IV.1.</w:t>
        </w:r>
        <w:r w:rsidR="001535AD" w:rsidRPr="001535AD">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tab/>
        </w:r>
        <w:r w:rsidR="001535AD" w:rsidRPr="001535AD">
          <w:rPr>
            <w:rStyle w:val="Hyperlink"/>
            <w:lang w:val="en"/>
          </w:rPr>
          <w:t>Is there a difference with the intervention? How have investments led to change?</w:t>
        </w:r>
        <w:r w:rsidR="001535AD" w:rsidRPr="001535AD">
          <w:rPr>
            <w:webHidden/>
          </w:rPr>
          <w:tab/>
        </w:r>
        <w:r w:rsidR="001535AD" w:rsidRPr="001535AD">
          <w:rPr>
            <w:webHidden/>
          </w:rPr>
          <w:fldChar w:fldCharType="begin"/>
        </w:r>
        <w:r w:rsidR="001535AD" w:rsidRPr="001535AD">
          <w:rPr>
            <w:webHidden/>
          </w:rPr>
          <w:instrText xml:space="preserve"> PAGEREF _Toc62724394 \h </w:instrText>
        </w:r>
        <w:r w:rsidR="001535AD" w:rsidRPr="001535AD">
          <w:rPr>
            <w:webHidden/>
          </w:rPr>
        </w:r>
        <w:r w:rsidR="001535AD" w:rsidRPr="001535AD">
          <w:rPr>
            <w:webHidden/>
          </w:rPr>
          <w:fldChar w:fldCharType="separate"/>
        </w:r>
        <w:r w:rsidR="009C2279">
          <w:rPr>
            <w:webHidden/>
          </w:rPr>
          <w:t>24</w:t>
        </w:r>
        <w:r w:rsidR="001535AD" w:rsidRPr="001535AD">
          <w:rPr>
            <w:webHidden/>
          </w:rPr>
          <w:fldChar w:fldCharType="end"/>
        </w:r>
      </w:hyperlink>
    </w:p>
    <w:p w14:paraId="502EE068" w14:textId="286B20FD" w:rsidR="001535AD" w:rsidRPr="001535AD" w:rsidRDefault="00333A1A" w:rsidP="00424BA0">
      <w:pPr>
        <w:pStyle w:val="TOC1"/>
        <w:spacing w:after="0"/>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pPr>
      <w:hyperlink w:anchor="_Toc62724395" w:history="1">
        <w:r w:rsidR="001535AD" w:rsidRPr="001535AD">
          <w:rPr>
            <w:rStyle w:val="Hyperlink"/>
          </w:rPr>
          <w:t>IV.2.</w:t>
        </w:r>
        <w:r w:rsidR="001535AD" w:rsidRPr="001535AD">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tab/>
        </w:r>
        <w:r w:rsidR="001535AD" w:rsidRPr="001535AD">
          <w:rPr>
            <w:rStyle w:val="Hyperlink"/>
            <w:lang w:val="en"/>
          </w:rPr>
          <w:t>What/how much is the contribution of the intervention? Is there added value of the intervention?</w:t>
        </w:r>
        <w:r w:rsidR="001535AD" w:rsidRPr="001535AD">
          <w:rPr>
            <w:webHidden/>
          </w:rPr>
          <w:tab/>
        </w:r>
        <w:r w:rsidR="001535AD" w:rsidRPr="001535AD">
          <w:rPr>
            <w:webHidden/>
          </w:rPr>
          <w:fldChar w:fldCharType="begin"/>
        </w:r>
        <w:r w:rsidR="001535AD" w:rsidRPr="001535AD">
          <w:rPr>
            <w:webHidden/>
          </w:rPr>
          <w:instrText xml:space="preserve"> PAGEREF _Toc62724395 \h </w:instrText>
        </w:r>
        <w:r w:rsidR="001535AD" w:rsidRPr="001535AD">
          <w:rPr>
            <w:webHidden/>
          </w:rPr>
        </w:r>
        <w:r w:rsidR="001535AD" w:rsidRPr="001535AD">
          <w:rPr>
            <w:webHidden/>
          </w:rPr>
          <w:fldChar w:fldCharType="separate"/>
        </w:r>
        <w:r w:rsidR="009C2279">
          <w:rPr>
            <w:webHidden/>
          </w:rPr>
          <w:t>30</w:t>
        </w:r>
        <w:r w:rsidR="001535AD" w:rsidRPr="001535AD">
          <w:rPr>
            <w:webHidden/>
          </w:rPr>
          <w:fldChar w:fldCharType="end"/>
        </w:r>
      </w:hyperlink>
    </w:p>
    <w:p w14:paraId="3163D9E3" w14:textId="39D309CB" w:rsidR="001535AD" w:rsidRPr="001535AD" w:rsidRDefault="00333A1A" w:rsidP="00424BA0">
      <w:pPr>
        <w:pStyle w:val="TOC1"/>
        <w:spacing w:after="0"/>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pPr>
      <w:hyperlink w:anchor="_Toc62724396" w:history="1">
        <w:r w:rsidR="001535AD" w:rsidRPr="001535AD">
          <w:rPr>
            <w:rStyle w:val="Hyperlink"/>
            <w:lang w:val="en"/>
          </w:rPr>
          <w:t>IV.3.</w:t>
        </w:r>
        <w:r w:rsidR="001535AD" w:rsidRPr="001535AD">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tab/>
        </w:r>
        <w:r w:rsidR="001535AD" w:rsidRPr="001535AD">
          <w:rPr>
            <w:rStyle w:val="Hyperlink"/>
            <w:lang w:val="en"/>
          </w:rPr>
          <w:t>In view of the amendments to THE 2007-2013 OPT- to answer whether the programme was working in the new context and if so, why?</w:t>
        </w:r>
        <w:r w:rsidR="001535AD" w:rsidRPr="001535AD">
          <w:rPr>
            <w:webHidden/>
          </w:rPr>
          <w:tab/>
        </w:r>
        <w:r w:rsidR="001535AD" w:rsidRPr="001535AD">
          <w:rPr>
            <w:webHidden/>
          </w:rPr>
          <w:fldChar w:fldCharType="begin"/>
        </w:r>
        <w:r w:rsidR="001535AD" w:rsidRPr="001535AD">
          <w:rPr>
            <w:webHidden/>
          </w:rPr>
          <w:instrText xml:space="preserve"> PAGEREF _Toc62724396 \h </w:instrText>
        </w:r>
        <w:r w:rsidR="001535AD" w:rsidRPr="001535AD">
          <w:rPr>
            <w:webHidden/>
          </w:rPr>
        </w:r>
        <w:r w:rsidR="001535AD" w:rsidRPr="001535AD">
          <w:rPr>
            <w:webHidden/>
          </w:rPr>
          <w:fldChar w:fldCharType="separate"/>
        </w:r>
        <w:r w:rsidR="009C2279">
          <w:rPr>
            <w:webHidden/>
          </w:rPr>
          <w:t>38</w:t>
        </w:r>
        <w:r w:rsidR="001535AD" w:rsidRPr="001535AD">
          <w:rPr>
            <w:webHidden/>
          </w:rPr>
          <w:fldChar w:fldCharType="end"/>
        </w:r>
      </w:hyperlink>
    </w:p>
    <w:p w14:paraId="5EAAA6B7" w14:textId="611FFD9D" w:rsidR="001535AD" w:rsidRPr="001535AD" w:rsidRDefault="00333A1A" w:rsidP="00424BA0">
      <w:pPr>
        <w:pStyle w:val="TOC1"/>
        <w:spacing w:after="0"/>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pPr>
      <w:hyperlink w:anchor="_Toc62724397" w:history="1">
        <w:r w:rsidR="001535AD" w:rsidRPr="001535AD">
          <w:rPr>
            <w:rStyle w:val="Hyperlink"/>
          </w:rPr>
          <w:t>IV.4.</w:t>
        </w:r>
        <w:r w:rsidR="001535AD" w:rsidRPr="001535AD">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tab/>
        </w:r>
        <w:r w:rsidR="001535AD" w:rsidRPr="001535AD">
          <w:rPr>
            <w:rStyle w:val="Hyperlink"/>
            <w:lang w:val="en"/>
          </w:rPr>
          <w:t>What degree of integration into the European transport network has been achieved by the national transport system?</w:t>
        </w:r>
        <w:r w:rsidR="001535AD" w:rsidRPr="001535AD">
          <w:rPr>
            <w:webHidden/>
          </w:rPr>
          <w:tab/>
        </w:r>
        <w:r w:rsidR="001535AD" w:rsidRPr="001535AD">
          <w:rPr>
            <w:webHidden/>
          </w:rPr>
          <w:fldChar w:fldCharType="begin"/>
        </w:r>
        <w:r w:rsidR="001535AD" w:rsidRPr="001535AD">
          <w:rPr>
            <w:webHidden/>
          </w:rPr>
          <w:instrText xml:space="preserve"> PAGEREF _Toc62724397 \h </w:instrText>
        </w:r>
        <w:r w:rsidR="001535AD" w:rsidRPr="001535AD">
          <w:rPr>
            <w:webHidden/>
          </w:rPr>
        </w:r>
        <w:r w:rsidR="001535AD" w:rsidRPr="001535AD">
          <w:rPr>
            <w:webHidden/>
          </w:rPr>
          <w:fldChar w:fldCharType="separate"/>
        </w:r>
        <w:r w:rsidR="009C2279">
          <w:rPr>
            <w:webHidden/>
          </w:rPr>
          <w:t>42</w:t>
        </w:r>
        <w:r w:rsidR="001535AD" w:rsidRPr="001535AD">
          <w:rPr>
            <w:webHidden/>
          </w:rPr>
          <w:fldChar w:fldCharType="end"/>
        </w:r>
      </w:hyperlink>
    </w:p>
    <w:p w14:paraId="53CA9EBC" w14:textId="5CA8B6FE" w:rsidR="001535AD" w:rsidRPr="001535AD" w:rsidRDefault="00333A1A" w:rsidP="00424BA0">
      <w:pPr>
        <w:pStyle w:val="TOC1"/>
        <w:spacing w:after="0"/>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pPr>
      <w:hyperlink w:anchor="_Toc62724398" w:history="1">
        <w:r w:rsidR="001535AD" w:rsidRPr="001535AD">
          <w:rPr>
            <w:rStyle w:val="Hyperlink"/>
          </w:rPr>
          <w:t>IV.5.</w:t>
        </w:r>
        <w:r w:rsidR="001535AD" w:rsidRPr="001535AD">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tab/>
        </w:r>
        <w:r w:rsidR="001535AD" w:rsidRPr="001535AD">
          <w:rPr>
            <w:rStyle w:val="Hyperlink"/>
            <w:lang w:val="en"/>
          </w:rPr>
          <w:t>How has accessibility to settlements improved as a result of the projects implemented?</w:t>
        </w:r>
        <w:r w:rsidR="001535AD" w:rsidRPr="001535AD">
          <w:rPr>
            <w:webHidden/>
          </w:rPr>
          <w:tab/>
        </w:r>
        <w:r w:rsidR="001535AD" w:rsidRPr="001535AD">
          <w:rPr>
            <w:webHidden/>
          </w:rPr>
          <w:fldChar w:fldCharType="begin"/>
        </w:r>
        <w:r w:rsidR="001535AD" w:rsidRPr="001535AD">
          <w:rPr>
            <w:webHidden/>
          </w:rPr>
          <w:instrText xml:space="preserve"> PAGEREF _Toc62724398 \h </w:instrText>
        </w:r>
        <w:r w:rsidR="001535AD" w:rsidRPr="001535AD">
          <w:rPr>
            <w:webHidden/>
          </w:rPr>
        </w:r>
        <w:r w:rsidR="001535AD" w:rsidRPr="001535AD">
          <w:rPr>
            <w:webHidden/>
          </w:rPr>
          <w:fldChar w:fldCharType="separate"/>
        </w:r>
        <w:r w:rsidR="009C2279">
          <w:rPr>
            <w:webHidden/>
          </w:rPr>
          <w:t>49</w:t>
        </w:r>
        <w:r w:rsidR="001535AD" w:rsidRPr="001535AD">
          <w:rPr>
            <w:webHidden/>
          </w:rPr>
          <w:fldChar w:fldCharType="end"/>
        </w:r>
      </w:hyperlink>
    </w:p>
    <w:p w14:paraId="1F386D7D" w14:textId="392C95C6" w:rsidR="001535AD" w:rsidRPr="001535AD" w:rsidRDefault="00333A1A" w:rsidP="00424BA0">
      <w:pPr>
        <w:pStyle w:val="TOC1"/>
        <w:spacing w:after="0"/>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pPr>
      <w:hyperlink w:anchor="_Toc62724399" w:history="1">
        <w:r w:rsidR="001535AD" w:rsidRPr="001535AD">
          <w:rPr>
            <w:rStyle w:val="Hyperlink"/>
          </w:rPr>
          <w:t>IV.6.</w:t>
        </w:r>
        <w:r w:rsidR="001535AD" w:rsidRPr="001535AD">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tab/>
        </w:r>
        <w:r w:rsidR="001535AD" w:rsidRPr="001535AD">
          <w:rPr>
            <w:rStyle w:val="Hyperlink"/>
            <w:lang w:val="en"/>
          </w:rPr>
          <w:t>Is transport infrastructure less busy and a balance between different modes of transport achieved?</w:t>
        </w:r>
        <w:r w:rsidR="001535AD" w:rsidRPr="001535AD">
          <w:rPr>
            <w:webHidden/>
          </w:rPr>
          <w:tab/>
        </w:r>
        <w:r w:rsidR="001535AD" w:rsidRPr="001535AD">
          <w:rPr>
            <w:webHidden/>
          </w:rPr>
          <w:fldChar w:fldCharType="begin"/>
        </w:r>
        <w:r w:rsidR="001535AD" w:rsidRPr="001535AD">
          <w:rPr>
            <w:webHidden/>
          </w:rPr>
          <w:instrText xml:space="preserve"> PAGEREF _Toc62724399 \h </w:instrText>
        </w:r>
        <w:r w:rsidR="001535AD" w:rsidRPr="001535AD">
          <w:rPr>
            <w:webHidden/>
          </w:rPr>
        </w:r>
        <w:r w:rsidR="001535AD" w:rsidRPr="001535AD">
          <w:rPr>
            <w:webHidden/>
          </w:rPr>
          <w:fldChar w:fldCharType="separate"/>
        </w:r>
        <w:r w:rsidR="009C2279">
          <w:rPr>
            <w:webHidden/>
          </w:rPr>
          <w:t>55</w:t>
        </w:r>
        <w:r w:rsidR="001535AD" w:rsidRPr="001535AD">
          <w:rPr>
            <w:webHidden/>
          </w:rPr>
          <w:fldChar w:fldCharType="end"/>
        </w:r>
      </w:hyperlink>
    </w:p>
    <w:p w14:paraId="52CD0A0F" w14:textId="10CF4F35" w:rsidR="001535AD" w:rsidRPr="001535AD" w:rsidRDefault="00333A1A" w:rsidP="00424BA0">
      <w:pPr>
        <w:pStyle w:val="TOC1"/>
        <w:spacing w:after="0"/>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pPr>
      <w:hyperlink w:anchor="_Toc62724400" w:history="1">
        <w:r w:rsidR="001535AD" w:rsidRPr="001535AD">
          <w:rPr>
            <w:rStyle w:val="Hyperlink"/>
          </w:rPr>
          <w:t>IV.7.</w:t>
        </w:r>
        <w:r w:rsidR="001535AD" w:rsidRPr="001535AD">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tab/>
        </w:r>
        <w:r w:rsidR="001535AD" w:rsidRPr="001535AD">
          <w:rPr>
            <w:rStyle w:val="Hyperlink"/>
            <w:lang w:val="en"/>
          </w:rPr>
          <w:t>What are the economic and environmental benefits and effects for the transport sector?</w:t>
        </w:r>
        <w:r w:rsidR="001535AD" w:rsidRPr="001535AD">
          <w:rPr>
            <w:webHidden/>
          </w:rPr>
          <w:tab/>
        </w:r>
        <w:r w:rsidR="001535AD" w:rsidRPr="001535AD">
          <w:rPr>
            <w:webHidden/>
          </w:rPr>
          <w:fldChar w:fldCharType="begin"/>
        </w:r>
        <w:r w:rsidR="001535AD" w:rsidRPr="001535AD">
          <w:rPr>
            <w:webHidden/>
          </w:rPr>
          <w:instrText xml:space="preserve"> PAGEREF _Toc62724400 \h </w:instrText>
        </w:r>
        <w:r w:rsidR="001535AD" w:rsidRPr="001535AD">
          <w:rPr>
            <w:webHidden/>
          </w:rPr>
        </w:r>
        <w:r w:rsidR="001535AD" w:rsidRPr="001535AD">
          <w:rPr>
            <w:webHidden/>
          </w:rPr>
          <w:fldChar w:fldCharType="separate"/>
        </w:r>
        <w:r w:rsidR="009C2279">
          <w:rPr>
            <w:webHidden/>
          </w:rPr>
          <w:t>60</w:t>
        </w:r>
        <w:r w:rsidR="001535AD" w:rsidRPr="001535AD">
          <w:rPr>
            <w:webHidden/>
          </w:rPr>
          <w:fldChar w:fldCharType="end"/>
        </w:r>
      </w:hyperlink>
    </w:p>
    <w:p w14:paraId="1F07BD63" w14:textId="16C4BB73" w:rsidR="001535AD" w:rsidRPr="001535AD" w:rsidRDefault="00333A1A" w:rsidP="00424BA0">
      <w:pPr>
        <w:pStyle w:val="TOC1"/>
        <w:spacing w:after="0"/>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pPr>
      <w:hyperlink w:anchor="_Toc62724401" w:history="1">
        <w:r w:rsidR="001535AD" w:rsidRPr="001535AD">
          <w:rPr>
            <w:rStyle w:val="Hyperlink"/>
          </w:rPr>
          <w:t>IV.8.</w:t>
        </w:r>
        <w:r w:rsidR="001535AD" w:rsidRPr="001535AD">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tab/>
        </w:r>
        <w:r w:rsidR="001535AD" w:rsidRPr="001535AD">
          <w:rPr>
            <w:rStyle w:val="Hyperlink"/>
            <w:lang w:val="en"/>
          </w:rPr>
          <w:t>What is the contribution of OPT to sustainable development policy?</w:t>
        </w:r>
        <w:r w:rsidR="001535AD" w:rsidRPr="001535AD">
          <w:rPr>
            <w:webHidden/>
          </w:rPr>
          <w:tab/>
        </w:r>
        <w:r w:rsidR="001535AD" w:rsidRPr="001535AD">
          <w:rPr>
            <w:webHidden/>
          </w:rPr>
          <w:fldChar w:fldCharType="begin"/>
        </w:r>
        <w:r w:rsidR="001535AD" w:rsidRPr="001535AD">
          <w:rPr>
            <w:webHidden/>
          </w:rPr>
          <w:instrText xml:space="preserve"> PAGEREF _Toc62724401 \h </w:instrText>
        </w:r>
        <w:r w:rsidR="001535AD" w:rsidRPr="001535AD">
          <w:rPr>
            <w:webHidden/>
          </w:rPr>
        </w:r>
        <w:r w:rsidR="001535AD" w:rsidRPr="001535AD">
          <w:rPr>
            <w:webHidden/>
          </w:rPr>
          <w:fldChar w:fldCharType="separate"/>
        </w:r>
        <w:r w:rsidR="009C2279">
          <w:rPr>
            <w:webHidden/>
          </w:rPr>
          <w:t>66</w:t>
        </w:r>
        <w:r w:rsidR="001535AD" w:rsidRPr="001535AD">
          <w:rPr>
            <w:webHidden/>
          </w:rPr>
          <w:fldChar w:fldCharType="end"/>
        </w:r>
      </w:hyperlink>
    </w:p>
    <w:p w14:paraId="06F953F0" w14:textId="06799A0D" w:rsidR="001535AD" w:rsidRPr="001535AD" w:rsidRDefault="00333A1A" w:rsidP="00424BA0">
      <w:pPr>
        <w:pStyle w:val="TOC1"/>
        <w:spacing w:after="0"/>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pPr>
      <w:hyperlink w:anchor="_Toc62724402" w:history="1">
        <w:r w:rsidR="001535AD" w:rsidRPr="001535AD">
          <w:rPr>
            <w:rStyle w:val="Hyperlink"/>
          </w:rPr>
          <w:t>IV.9.</w:t>
        </w:r>
        <w:r w:rsidR="001535AD" w:rsidRPr="001535AD">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tab/>
        </w:r>
        <w:r w:rsidR="001535AD" w:rsidRPr="001535AD">
          <w:rPr>
            <w:rStyle w:val="Hyperlink"/>
            <w:lang w:val="en"/>
          </w:rPr>
          <w:t>What are the main problems encountered in the process of preparing and implementing projects?</w:t>
        </w:r>
        <w:r w:rsidR="001535AD" w:rsidRPr="001535AD">
          <w:rPr>
            <w:webHidden/>
          </w:rPr>
          <w:tab/>
        </w:r>
        <w:r w:rsidR="001535AD" w:rsidRPr="001535AD">
          <w:rPr>
            <w:webHidden/>
          </w:rPr>
          <w:fldChar w:fldCharType="begin"/>
        </w:r>
        <w:r w:rsidR="001535AD" w:rsidRPr="001535AD">
          <w:rPr>
            <w:webHidden/>
          </w:rPr>
          <w:instrText xml:space="preserve"> PAGEREF _Toc62724402 \h </w:instrText>
        </w:r>
        <w:r w:rsidR="001535AD" w:rsidRPr="001535AD">
          <w:rPr>
            <w:webHidden/>
          </w:rPr>
        </w:r>
        <w:r w:rsidR="001535AD" w:rsidRPr="001535AD">
          <w:rPr>
            <w:webHidden/>
          </w:rPr>
          <w:fldChar w:fldCharType="separate"/>
        </w:r>
        <w:r w:rsidR="009C2279">
          <w:rPr>
            <w:webHidden/>
          </w:rPr>
          <w:t>70</w:t>
        </w:r>
        <w:r w:rsidR="001535AD" w:rsidRPr="001535AD">
          <w:rPr>
            <w:webHidden/>
          </w:rPr>
          <w:fldChar w:fldCharType="end"/>
        </w:r>
      </w:hyperlink>
    </w:p>
    <w:p w14:paraId="2615D0EA" w14:textId="00542A96" w:rsidR="001535AD" w:rsidRDefault="00333A1A" w:rsidP="00424BA0">
      <w:pPr>
        <w:pStyle w:val="TOC1"/>
        <w:spacing w:after="0"/>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pPr>
      <w:hyperlink w:anchor="_Toc62724403" w:history="1">
        <w:r w:rsidR="001535AD" w:rsidRPr="004B25EA">
          <w:rPr>
            <w:rStyle w:val="Hyperlink"/>
            <w:b/>
            <w:bCs/>
          </w:rPr>
          <w:t>V.</w:t>
        </w:r>
        <w:r w:rsidR="001535AD">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tab/>
        </w:r>
        <w:r w:rsidR="001535AD" w:rsidRPr="004B25EA">
          <w:rPr>
            <w:rStyle w:val="Hyperlink"/>
            <w:b/>
            <w:bCs/>
          </w:rPr>
          <w:t>CASE</w:t>
        </w:r>
        <w:r w:rsidR="001535AD" w:rsidRPr="004B25EA">
          <w:rPr>
            <w:rStyle w:val="Hyperlink"/>
            <w:b/>
            <w:bCs/>
            <w:lang w:val="en"/>
          </w:rPr>
          <w:t xml:space="preserve"> STUDIES</w:t>
        </w:r>
        <w:r w:rsidR="001535AD">
          <w:rPr>
            <w:webHidden/>
          </w:rPr>
          <w:tab/>
        </w:r>
        <w:r w:rsidR="001535AD">
          <w:rPr>
            <w:webHidden/>
          </w:rPr>
          <w:fldChar w:fldCharType="begin"/>
        </w:r>
        <w:r w:rsidR="001535AD">
          <w:rPr>
            <w:webHidden/>
          </w:rPr>
          <w:instrText xml:space="preserve"> PAGEREF _Toc62724403 \h </w:instrText>
        </w:r>
        <w:r w:rsidR="001535AD">
          <w:rPr>
            <w:webHidden/>
          </w:rPr>
        </w:r>
        <w:r w:rsidR="001535AD">
          <w:rPr>
            <w:webHidden/>
          </w:rPr>
          <w:fldChar w:fldCharType="separate"/>
        </w:r>
        <w:r w:rsidR="009C2279">
          <w:rPr>
            <w:webHidden/>
          </w:rPr>
          <w:t>71</w:t>
        </w:r>
        <w:r w:rsidR="001535AD">
          <w:rPr>
            <w:webHidden/>
          </w:rPr>
          <w:fldChar w:fldCharType="end"/>
        </w:r>
      </w:hyperlink>
    </w:p>
    <w:p w14:paraId="2DFC79B9" w14:textId="45D03DA0" w:rsidR="001535AD" w:rsidRDefault="00333A1A" w:rsidP="00424BA0">
      <w:pPr>
        <w:pStyle w:val="TOC1"/>
        <w:spacing w:after="0"/>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pPr>
      <w:hyperlink w:anchor="_Toc62724404" w:history="1">
        <w:r w:rsidR="001535AD" w:rsidRPr="004B25EA">
          <w:rPr>
            <w:rStyle w:val="Hyperlink"/>
            <w:b/>
            <w:bCs/>
          </w:rPr>
          <w:t>VI.</w:t>
        </w:r>
        <w:r w:rsidR="001535AD">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tab/>
        </w:r>
        <w:r w:rsidR="001535AD" w:rsidRPr="004B25EA">
          <w:rPr>
            <w:rStyle w:val="Hyperlink"/>
            <w:b/>
            <w:bCs/>
            <w:lang w:val="en"/>
          </w:rPr>
          <w:t>CONCLUSIONS AND RECOMMENDATIONS OF THE IMPACT ASSESSMENT</w:t>
        </w:r>
        <w:r w:rsidR="001535AD">
          <w:rPr>
            <w:webHidden/>
          </w:rPr>
          <w:tab/>
        </w:r>
        <w:r w:rsidR="001535AD">
          <w:rPr>
            <w:webHidden/>
          </w:rPr>
          <w:fldChar w:fldCharType="begin"/>
        </w:r>
        <w:r w:rsidR="001535AD">
          <w:rPr>
            <w:webHidden/>
          </w:rPr>
          <w:instrText xml:space="preserve"> PAGEREF _Toc62724404 \h </w:instrText>
        </w:r>
        <w:r w:rsidR="001535AD">
          <w:rPr>
            <w:webHidden/>
          </w:rPr>
        </w:r>
        <w:r w:rsidR="001535AD">
          <w:rPr>
            <w:webHidden/>
          </w:rPr>
          <w:fldChar w:fldCharType="separate"/>
        </w:r>
        <w:r w:rsidR="009C2279">
          <w:rPr>
            <w:webHidden/>
          </w:rPr>
          <w:t>73</w:t>
        </w:r>
        <w:r w:rsidR="001535AD">
          <w:rPr>
            <w:webHidden/>
          </w:rPr>
          <w:fldChar w:fldCharType="end"/>
        </w:r>
      </w:hyperlink>
    </w:p>
    <w:p w14:paraId="49D68A72" w14:textId="262B6B0B" w:rsidR="001535AD" w:rsidRDefault="00333A1A" w:rsidP="00424BA0">
      <w:pPr>
        <w:pStyle w:val="TOC1"/>
        <w:spacing w:after="0"/>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pPr>
      <w:hyperlink w:anchor="_Toc62724405" w:history="1">
        <w:r w:rsidR="001535AD" w:rsidRPr="004B25EA">
          <w:rPr>
            <w:rStyle w:val="Hyperlink"/>
            <w:rFonts w:eastAsia="Helvetica" w:cs="Helvetica"/>
            <w:b/>
            <w:bCs/>
          </w:rPr>
          <w:t>VII.</w:t>
        </w:r>
        <w:r w:rsidR="001535AD">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tab/>
        </w:r>
        <w:r w:rsidR="001535AD" w:rsidRPr="004B25EA">
          <w:rPr>
            <w:rStyle w:val="Hyperlink"/>
            <w:b/>
            <w:bCs/>
            <w:lang w:val="en"/>
          </w:rPr>
          <w:t>EVALUATOR’S TEAM</w:t>
        </w:r>
        <w:r w:rsidR="001535AD">
          <w:rPr>
            <w:webHidden/>
          </w:rPr>
          <w:tab/>
        </w:r>
        <w:r w:rsidR="001535AD">
          <w:rPr>
            <w:webHidden/>
          </w:rPr>
          <w:fldChar w:fldCharType="begin"/>
        </w:r>
        <w:r w:rsidR="001535AD">
          <w:rPr>
            <w:webHidden/>
          </w:rPr>
          <w:instrText xml:space="preserve"> PAGEREF _Toc62724405 \h </w:instrText>
        </w:r>
        <w:r w:rsidR="001535AD">
          <w:rPr>
            <w:webHidden/>
          </w:rPr>
        </w:r>
        <w:r w:rsidR="001535AD">
          <w:rPr>
            <w:webHidden/>
          </w:rPr>
          <w:fldChar w:fldCharType="separate"/>
        </w:r>
        <w:r w:rsidR="009C2279">
          <w:rPr>
            <w:webHidden/>
          </w:rPr>
          <w:t>79</w:t>
        </w:r>
        <w:r w:rsidR="001535AD">
          <w:rPr>
            <w:webHidden/>
          </w:rPr>
          <w:fldChar w:fldCharType="end"/>
        </w:r>
      </w:hyperlink>
    </w:p>
    <w:p w14:paraId="468A01E5" w14:textId="01B15E06" w:rsidR="001535AD" w:rsidRDefault="00333A1A" w:rsidP="00424BA0">
      <w:pPr>
        <w:pStyle w:val="TOC1"/>
        <w:spacing w:after="0"/>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pPr>
      <w:hyperlink w:anchor="_Toc62724406" w:history="1">
        <w:r w:rsidR="001535AD" w:rsidRPr="004B25EA">
          <w:rPr>
            <w:rStyle w:val="Hyperlink"/>
            <w:b/>
            <w:bCs/>
          </w:rPr>
          <w:t>VIII.</w:t>
        </w:r>
        <w:r w:rsidR="001535AD">
          <w:rPr>
            <w:rFonts w:asciiTheme="minorHAnsi" w:eastAsiaTheme="minorEastAsia" w:hAnsiTheme="minorHAnsi" w:cstheme="minorBidi"/>
            <w:i w:val="0"/>
            <w:iCs w:val="0"/>
            <w:sz w:val="22"/>
            <w:szCs w:val="22"/>
            <w:lang w:eastAsia="bg-BG"/>
            <w14:shadow w14:blurRad="0" w14:dist="0" w14:dir="0" w14:sx="0" w14:sy="0" w14:kx="0" w14:ky="0" w14:algn="none">
              <w14:srgbClr w14:val="000000"/>
            </w14:shadow>
            <w14:textOutline w14:w="0" w14:cap="rnd" w14:cmpd="sng" w14:algn="ctr">
              <w14:noFill/>
              <w14:prstDash w14:val="solid"/>
              <w14:bevel/>
            </w14:textOutline>
          </w:rPr>
          <w:tab/>
        </w:r>
        <w:r w:rsidR="001535AD" w:rsidRPr="004B25EA">
          <w:rPr>
            <w:rStyle w:val="Hyperlink"/>
            <w:b/>
            <w:bCs/>
            <w:lang w:val="en"/>
          </w:rPr>
          <w:t>ANNEXES</w:t>
        </w:r>
        <w:r w:rsidR="001535AD">
          <w:rPr>
            <w:webHidden/>
          </w:rPr>
          <w:tab/>
        </w:r>
        <w:r w:rsidR="001535AD">
          <w:rPr>
            <w:webHidden/>
          </w:rPr>
          <w:fldChar w:fldCharType="begin"/>
        </w:r>
        <w:r w:rsidR="001535AD">
          <w:rPr>
            <w:webHidden/>
          </w:rPr>
          <w:instrText xml:space="preserve"> PAGEREF _Toc62724406 \h </w:instrText>
        </w:r>
        <w:r w:rsidR="001535AD">
          <w:rPr>
            <w:webHidden/>
          </w:rPr>
        </w:r>
        <w:r w:rsidR="001535AD">
          <w:rPr>
            <w:webHidden/>
          </w:rPr>
          <w:fldChar w:fldCharType="separate"/>
        </w:r>
        <w:r w:rsidR="009C2279">
          <w:rPr>
            <w:webHidden/>
          </w:rPr>
          <w:t>79</w:t>
        </w:r>
        <w:r w:rsidR="001535AD">
          <w:rPr>
            <w:webHidden/>
          </w:rPr>
          <w:fldChar w:fldCharType="end"/>
        </w:r>
      </w:hyperlink>
    </w:p>
    <w:p w14:paraId="624EEECF" w14:textId="377776CC" w:rsidR="00445986" w:rsidRPr="0054654A" w:rsidRDefault="001F1BE6" w:rsidP="00424BA0">
      <w:pPr>
        <w:spacing w:before="120" w:after="0" w:line="240" w:lineRule="auto"/>
        <w:jc w:val="both"/>
        <w:rPr>
          <w:rFonts w:ascii="Verdana" w:eastAsia="Calibri" w:hAnsi="Verdana"/>
          <w:b/>
          <w:iCs/>
          <w:color w:val="253356" w:themeColor="accent1" w:themeShade="80"/>
          <w:sz w:val="20"/>
          <w:szCs w:val="20"/>
          <w:highlight w:val="yellow"/>
          <w:lang w:val="bg-BG"/>
        </w:rPr>
      </w:pPr>
      <w:r w:rsidRPr="0054654A">
        <w:rPr>
          <w:rFonts w:ascii="Verdana" w:eastAsia="Calibri" w:hAnsi="Verdana"/>
          <w:b/>
          <w:iCs/>
          <w:color w:val="253356" w:themeColor="accent1" w:themeShade="80"/>
          <w:sz w:val="20"/>
          <w:szCs w:val="20"/>
          <w:highlight w:val="yellow"/>
          <w:lang w:val="bg-BG"/>
        </w:rPr>
        <w:fldChar w:fldCharType="end"/>
      </w:r>
    </w:p>
    <w:p w14:paraId="0F33A4CF" w14:textId="763307E8" w:rsidR="00A4780C" w:rsidRPr="00B36E4C" w:rsidRDefault="0031154D" w:rsidP="00B36E4C">
      <w:pPr>
        <w:pStyle w:val="Heading1"/>
        <w:rPr>
          <w:rFonts w:ascii="Verdana" w:hAnsi="Verdana"/>
          <w:b/>
          <w:bCs/>
          <w:sz w:val="20"/>
          <w:szCs w:val="20"/>
          <w:lang w:val="en"/>
        </w:rPr>
      </w:pPr>
      <w:bookmarkStart w:id="1" w:name="_Ref50123507"/>
      <w:r>
        <w:rPr>
          <w:rFonts w:ascii="Verdana" w:hAnsi="Verdana"/>
          <w:b/>
          <w:bCs/>
          <w:sz w:val="20"/>
          <w:szCs w:val="20"/>
          <w:lang w:val="en"/>
        </w:rPr>
        <w:t>LIST OF ACRONYMS</w:t>
      </w:r>
    </w:p>
    <w:p w14:paraId="1263646E" w14:textId="77777777" w:rsidR="00B36E4C" w:rsidRPr="00B36E4C" w:rsidRDefault="00B36E4C" w:rsidP="00B36E4C">
      <w:pPr>
        <w:rPr>
          <w:highlight w:val="yellow"/>
          <w:lang w:val="en"/>
        </w:rPr>
      </w:pPr>
    </w:p>
    <w:p w14:paraId="2B7322F0" w14:textId="6ED32DFF" w:rsidR="00B36E4C" w:rsidRPr="00B36E4C" w:rsidRDefault="00B36E4C" w:rsidP="00B36E4C">
      <w:pPr>
        <w:spacing w:after="0" w:line="240" w:lineRule="auto"/>
        <w:jc w:val="both"/>
        <w:rPr>
          <w:rFonts w:ascii="Verdana" w:hAnsi="Verdana"/>
          <w:sz w:val="20"/>
          <w:szCs w:val="20"/>
          <w:lang w:eastAsia="bg-BG"/>
        </w:rPr>
      </w:pPr>
      <w:r>
        <w:rPr>
          <w:rFonts w:ascii="Verdana" w:hAnsi="Verdana"/>
          <w:sz w:val="20"/>
          <w:szCs w:val="20"/>
          <w:lang w:eastAsia="bg-BG"/>
        </w:rPr>
        <w:t>AF</w:t>
      </w:r>
      <w:r>
        <w:rPr>
          <w:rFonts w:ascii="Verdana" w:hAnsi="Verdana"/>
          <w:sz w:val="20"/>
          <w:szCs w:val="20"/>
          <w:lang w:eastAsia="bg-BG"/>
        </w:rPr>
        <w:tab/>
      </w:r>
      <w:r>
        <w:rPr>
          <w:rFonts w:ascii="Verdana" w:hAnsi="Verdana"/>
          <w:sz w:val="20"/>
          <w:szCs w:val="20"/>
          <w:lang w:eastAsia="bg-BG"/>
        </w:rPr>
        <w:tab/>
      </w:r>
      <w:r w:rsidRPr="00B36E4C">
        <w:rPr>
          <w:rFonts w:ascii="Verdana" w:hAnsi="Verdana"/>
          <w:sz w:val="20"/>
          <w:szCs w:val="20"/>
          <w:lang w:eastAsia="bg-BG"/>
        </w:rPr>
        <w:t>Application Form</w:t>
      </w:r>
    </w:p>
    <w:p w14:paraId="7B10113F" w14:textId="77777777" w:rsidR="00B36E4C" w:rsidRPr="00B36E4C" w:rsidRDefault="00B36E4C" w:rsidP="00B36E4C">
      <w:pPr>
        <w:spacing w:after="0" w:line="240" w:lineRule="auto"/>
        <w:ind w:left="1410" w:hanging="1410"/>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lastRenderedPageBreak/>
        <w:t xml:space="preserve">AGTC </w:t>
      </w:r>
      <w:r w:rsidRPr="00B36E4C">
        <w:rPr>
          <w:rFonts w:ascii="Verdana" w:eastAsia="Times New Roman" w:hAnsi="Verdana" w:cs="Times New Roman"/>
          <w:color w:val="000000"/>
          <w:sz w:val="20"/>
          <w:szCs w:val="20"/>
          <w:lang w:eastAsia="bg-BG"/>
        </w:rPr>
        <w:tab/>
        <w:t>European Agreement of Important International Combined Transport Lines and Related installations</w:t>
      </w:r>
    </w:p>
    <w:p w14:paraId="3272A9B4"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BDZ EAD</w:t>
      </w:r>
      <w:r w:rsidRPr="00B36E4C">
        <w:rPr>
          <w:rFonts w:ascii="Verdana" w:eastAsia="Times New Roman" w:hAnsi="Verdana" w:cs="Times New Roman"/>
          <w:color w:val="000000"/>
          <w:sz w:val="20"/>
          <w:szCs w:val="20"/>
          <w:lang w:eastAsia="bg-BG"/>
        </w:rPr>
        <w:tab/>
        <w:t xml:space="preserve">Bulgarian State Railways  </w:t>
      </w:r>
      <w:r w:rsidRPr="00B36E4C">
        <w:rPr>
          <w:rFonts w:ascii="Verdana" w:hAnsi="Verdana"/>
          <w:sz w:val="20"/>
          <w:szCs w:val="20"/>
          <w:lang w:eastAsia="bg-BG"/>
        </w:rPr>
        <w:tab/>
      </w:r>
    </w:p>
    <w:p w14:paraId="73E53621" w14:textId="77777777" w:rsidR="00B36E4C" w:rsidRPr="00B36E4C" w:rsidRDefault="00B36E4C" w:rsidP="00B36E4C">
      <w:pPr>
        <w:spacing w:after="0" w:line="240" w:lineRule="auto"/>
        <w:rPr>
          <w:rFonts w:ascii="Verdana" w:eastAsia="Times New Roman" w:hAnsi="Verdana" w:cs="Times New Roman"/>
          <w:sz w:val="20"/>
          <w:szCs w:val="20"/>
          <w:lang w:val="bg-BG" w:eastAsia="bg-BG"/>
        </w:rPr>
      </w:pPr>
      <w:r w:rsidRPr="00B36E4C">
        <w:rPr>
          <w:rFonts w:ascii="Verdana" w:eastAsia="Times New Roman" w:hAnsi="Verdana" w:cs="Times New Roman"/>
          <w:sz w:val="20"/>
          <w:szCs w:val="20"/>
          <w:lang w:val="bg-BG" w:eastAsia="bg-BG"/>
        </w:rPr>
        <w:t>BPA</w:t>
      </w:r>
      <w:r w:rsidRPr="00B36E4C">
        <w:rPr>
          <w:rFonts w:ascii="Verdana" w:eastAsia="Times New Roman" w:hAnsi="Verdana" w:cs="Times New Roman"/>
          <w:sz w:val="20"/>
          <w:szCs w:val="20"/>
          <w:lang w:val="bg-BG" w:eastAsia="bg-BG"/>
        </w:rPr>
        <w:tab/>
      </w:r>
      <w:r w:rsidRPr="00B36E4C">
        <w:rPr>
          <w:rFonts w:ascii="Verdana" w:eastAsia="Times New Roman" w:hAnsi="Verdana" w:cs="Times New Roman"/>
          <w:sz w:val="20"/>
          <w:szCs w:val="20"/>
          <w:lang w:val="bg-BG" w:eastAsia="bg-BG"/>
        </w:rPr>
        <w:tab/>
      </w:r>
      <w:proofErr w:type="spellStart"/>
      <w:r w:rsidRPr="00B36E4C">
        <w:rPr>
          <w:rFonts w:ascii="Verdana" w:eastAsia="Times New Roman" w:hAnsi="Verdana" w:cs="Times New Roman"/>
          <w:sz w:val="20"/>
          <w:szCs w:val="20"/>
          <w:lang w:val="bg-BG" w:eastAsia="bg-BG"/>
        </w:rPr>
        <w:t>Biodiversity</w:t>
      </w:r>
      <w:proofErr w:type="spellEnd"/>
      <w:r w:rsidRPr="00B36E4C">
        <w:rPr>
          <w:rFonts w:ascii="Verdana" w:eastAsia="Times New Roman" w:hAnsi="Verdana" w:cs="Times New Roman"/>
          <w:sz w:val="20"/>
          <w:szCs w:val="20"/>
          <w:lang w:val="bg-BG" w:eastAsia="bg-BG"/>
        </w:rPr>
        <w:t xml:space="preserve"> </w:t>
      </w:r>
      <w:proofErr w:type="spellStart"/>
      <w:r w:rsidRPr="00B36E4C">
        <w:rPr>
          <w:rFonts w:ascii="Verdana" w:eastAsia="Times New Roman" w:hAnsi="Verdana" w:cs="Times New Roman"/>
          <w:sz w:val="20"/>
          <w:szCs w:val="20"/>
          <w:lang w:val="bg-BG" w:eastAsia="bg-BG"/>
        </w:rPr>
        <w:t>Protection</w:t>
      </w:r>
      <w:proofErr w:type="spellEnd"/>
      <w:r w:rsidRPr="00B36E4C">
        <w:rPr>
          <w:rFonts w:ascii="Verdana" w:eastAsia="Times New Roman" w:hAnsi="Verdana" w:cs="Times New Roman"/>
          <w:sz w:val="20"/>
          <w:szCs w:val="20"/>
          <w:lang w:val="bg-BG" w:eastAsia="bg-BG"/>
        </w:rPr>
        <w:t xml:space="preserve"> </w:t>
      </w:r>
      <w:proofErr w:type="spellStart"/>
      <w:r w:rsidRPr="00B36E4C">
        <w:rPr>
          <w:rFonts w:ascii="Verdana" w:eastAsia="Times New Roman" w:hAnsi="Verdana" w:cs="Times New Roman"/>
          <w:sz w:val="20"/>
          <w:szCs w:val="20"/>
          <w:lang w:val="bg-BG" w:eastAsia="bg-BG"/>
        </w:rPr>
        <w:t>Act</w:t>
      </w:r>
      <w:proofErr w:type="spellEnd"/>
    </w:p>
    <w:p w14:paraId="3B5A84BA" w14:textId="77777777" w:rsidR="00B36E4C" w:rsidRPr="00B36E4C" w:rsidRDefault="00B36E4C" w:rsidP="00B36E4C">
      <w:pPr>
        <w:spacing w:after="0" w:line="240" w:lineRule="auto"/>
        <w:rPr>
          <w:rFonts w:ascii="Verdana" w:hAnsi="Verdana"/>
          <w:sz w:val="20"/>
          <w:szCs w:val="20"/>
          <w:lang w:val="en" w:eastAsia="bg-BG"/>
        </w:rPr>
      </w:pPr>
      <w:bookmarkStart w:id="2" w:name="_Hlk61351858"/>
      <w:r w:rsidRPr="00B36E4C">
        <w:rPr>
          <w:rFonts w:ascii="Verdana" w:hAnsi="Verdana"/>
          <w:sz w:val="20"/>
          <w:szCs w:val="20"/>
          <w:lang w:eastAsia="bg-BG"/>
        </w:rPr>
        <w:t>BPIC</w:t>
      </w:r>
      <w:bookmarkEnd w:id="2"/>
      <w:r w:rsidRPr="00B36E4C">
        <w:rPr>
          <w:rFonts w:ascii="Verdana" w:hAnsi="Verdana"/>
          <w:sz w:val="20"/>
          <w:szCs w:val="20"/>
          <w:lang w:val="en" w:eastAsia="bg-BG"/>
        </w:rPr>
        <w:tab/>
      </w:r>
      <w:r w:rsidRPr="00B36E4C">
        <w:rPr>
          <w:rFonts w:ascii="Verdana" w:hAnsi="Verdana"/>
          <w:sz w:val="20"/>
          <w:szCs w:val="20"/>
          <w:lang w:val="en" w:eastAsia="bg-BG"/>
        </w:rPr>
        <w:tab/>
      </w:r>
      <w:bookmarkStart w:id="3" w:name="_Hlk61344151"/>
      <w:r w:rsidRPr="00B36E4C">
        <w:rPr>
          <w:rFonts w:ascii="Verdana" w:hAnsi="Verdana"/>
          <w:sz w:val="20"/>
          <w:szCs w:val="20"/>
          <w:lang w:val="en" w:eastAsia="bg-BG"/>
        </w:rPr>
        <w:t>Bulgarian Ports Infrastructure Company </w:t>
      </w:r>
    </w:p>
    <w:bookmarkEnd w:id="3"/>
    <w:p w14:paraId="1AA2AD69" w14:textId="77777777" w:rsidR="00B36E4C" w:rsidRPr="00B36E4C" w:rsidRDefault="00B36E4C" w:rsidP="00B36E4C">
      <w:pPr>
        <w:spacing w:after="0" w:line="240" w:lineRule="auto"/>
        <w:jc w:val="both"/>
        <w:rPr>
          <w:rFonts w:ascii="Verdana" w:hAnsi="Verdana"/>
          <w:sz w:val="20"/>
          <w:szCs w:val="20"/>
          <w:lang w:val="en" w:eastAsia="bg-BG"/>
        </w:rPr>
      </w:pPr>
      <w:r w:rsidRPr="00B36E4C">
        <w:rPr>
          <w:rFonts w:ascii="Verdana" w:hAnsi="Verdana"/>
          <w:sz w:val="20"/>
          <w:szCs w:val="20"/>
          <w:lang w:val="en" w:eastAsia="bg-BG"/>
        </w:rPr>
        <w:t>BULRIS</w:t>
      </w:r>
      <w:r w:rsidRPr="00B36E4C">
        <w:rPr>
          <w:rFonts w:ascii="Verdana" w:hAnsi="Verdana"/>
          <w:sz w:val="20"/>
          <w:szCs w:val="20"/>
          <w:lang w:val="en" w:eastAsia="bg-BG"/>
        </w:rPr>
        <w:tab/>
        <w:t>Bulgarian River Information System</w:t>
      </w:r>
    </w:p>
    <w:p w14:paraId="6DE366D0" w14:textId="77777777" w:rsidR="00B36E4C" w:rsidRPr="00B36E4C" w:rsidRDefault="00B36E4C" w:rsidP="00B36E4C">
      <w:pPr>
        <w:spacing w:after="0" w:line="240" w:lineRule="auto"/>
        <w:jc w:val="both"/>
        <w:rPr>
          <w:rFonts w:ascii="Verdana" w:hAnsi="Verdana"/>
          <w:sz w:val="20"/>
          <w:szCs w:val="20"/>
          <w:lang w:val="en" w:eastAsia="bg-BG"/>
        </w:rPr>
      </w:pPr>
      <w:r w:rsidRPr="00B36E4C">
        <w:rPr>
          <w:rFonts w:ascii="Verdana" w:hAnsi="Verdana"/>
          <w:sz w:val="20"/>
          <w:szCs w:val="20"/>
          <w:lang w:eastAsia="bg-BG"/>
        </w:rPr>
        <w:t>CBA</w:t>
      </w:r>
      <w:r w:rsidRPr="00B36E4C">
        <w:rPr>
          <w:rFonts w:ascii="Verdana" w:hAnsi="Verdana"/>
          <w:sz w:val="20"/>
          <w:szCs w:val="20"/>
          <w:lang w:eastAsia="bg-BG"/>
        </w:rPr>
        <w:tab/>
      </w:r>
      <w:r w:rsidRPr="00B36E4C">
        <w:rPr>
          <w:rFonts w:ascii="Verdana" w:hAnsi="Verdana"/>
          <w:sz w:val="20"/>
          <w:szCs w:val="20"/>
          <w:lang w:eastAsia="bg-BG"/>
        </w:rPr>
        <w:tab/>
      </w:r>
      <w:r w:rsidRPr="00B36E4C">
        <w:rPr>
          <w:rFonts w:ascii="Verdana" w:hAnsi="Verdana"/>
          <w:sz w:val="20"/>
          <w:szCs w:val="20"/>
          <w:lang w:val="en" w:eastAsia="bg-BG"/>
        </w:rPr>
        <w:t>Cost-Benefit Analysis</w:t>
      </w:r>
      <w:r w:rsidRPr="00B36E4C">
        <w:rPr>
          <w:rFonts w:ascii="Verdana" w:hAnsi="Verdana"/>
          <w:sz w:val="20"/>
          <w:szCs w:val="20"/>
          <w:lang w:val="en" w:eastAsia="bg-BG"/>
        </w:rPr>
        <w:tab/>
      </w:r>
    </w:p>
    <w:p w14:paraId="47EC3951"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eastAsia="Times New Roman" w:hAnsi="Verdana" w:cs="Times New Roman"/>
          <w:sz w:val="20"/>
          <w:szCs w:val="20"/>
          <w:lang w:val="bg-BG" w:eastAsia="bg-BG"/>
        </w:rPr>
        <w:t xml:space="preserve">CCU </w:t>
      </w:r>
      <w:r w:rsidRPr="00B36E4C">
        <w:rPr>
          <w:rFonts w:ascii="Verdana" w:eastAsia="Times New Roman" w:hAnsi="Verdana" w:cs="Times New Roman"/>
          <w:sz w:val="20"/>
          <w:szCs w:val="20"/>
          <w:lang w:val="bg-BG" w:eastAsia="bg-BG"/>
        </w:rPr>
        <w:tab/>
      </w:r>
      <w:r w:rsidRPr="00B36E4C">
        <w:rPr>
          <w:rFonts w:ascii="Verdana" w:eastAsia="Times New Roman" w:hAnsi="Verdana" w:cs="Times New Roman"/>
          <w:sz w:val="20"/>
          <w:szCs w:val="20"/>
          <w:lang w:val="bg-BG" w:eastAsia="bg-BG"/>
        </w:rPr>
        <w:tab/>
        <w:t xml:space="preserve">Central </w:t>
      </w:r>
      <w:proofErr w:type="spellStart"/>
      <w:r w:rsidRPr="00B36E4C">
        <w:rPr>
          <w:rFonts w:ascii="Verdana" w:eastAsia="Times New Roman" w:hAnsi="Verdana" w:cs="Times New Roman"/>
          <w:sz w:val="20"/>
          <w:szCs w:val="20"/>
          <w:lang w:val="bg-BG" w:eastAsia="bg-BG"/>
        </w:rPr>
        <w:t>Coordination</w:t>
      </w:r>
      <w:proofErr w:type="spellEnd"/>
      <w:r w:rsidRPr="00B36E4C">
        <w:rPr>
          <w:rFonts w:ascii="Verdana" w:eastAsia="Times New Roman" w:hAnsi="Verdana" w:cs="Times New Roman"/>
          <w:sz w:val="20"/>
          <w:szCs w:val="20"/>
          <w:lang w:val="bg-BG" w:eastAsia="bg-BG"/>
        </w:rPr>
        <w:t xml:space="preserve"> </w:t>
      </w:r>
      <w:proofErr w:type="spellStart"/>
      <w:r w:rsidRPr="00B36E4C">
        <w:rPr>
          <w:rFonts w:ascii="Verdana" w:eastAsia="Times New Roman" w:hAnsi="Verdana" w:cs="Times New Roman"/>
          <w:sz w:val="20"/>
          <w:szCs w:val="20"/>
          <w:lang w:val="bg-BG" w:eastAsia="bg-BG"/>
        </w:rPr>
        <w:t>Unit</w:t>
      </w:r>
      <w:proofErr w:type="spellEnd"/>
    </w:p>
    <w:p w14:paraId="4C5FA6BA" w14:textId="77777777" w:rsidR="00B36E4C" w:rsidRPr="00B36E4C" w:rsidRDefault="00B36E4C" w:rsidP="00B36E4C">
      <w:pPr>
        <w:spacing w:after="0" w:line="240" w:lineRule="auto"/>
        <w:jc w:val="both"/>
        <w:rPr>
          <w:rFonts w:ascii="Verdana" w:eastAsia="Times New Roman" w:hAnsi="Verdana" w:cs="Times New Roman"/>
          <w:sz w:val="20"/>
          <w:szCs w:val="20"/>
          <w:lang w:val="en-US" w:eastAsia="bg-BG"/>
        </w:rPr>
      </w:pPr>
      <w:r w:rsidRPr="00B36E4C">
        <w:rPr>
          <w:rFonts w:ascii="Verdana" w:eastAsia="Times New Roman" w:hAnsi="Verdana" w:cs="Times New Roman"/>
          <w:sz w:val="20"/>
          <w:szCs w:val="20"/>
          <w:lang w:val="en-US" w:eastAsia="bg-BG"/>
        </w:rPr>
        <w:t>CEACEF</w:t>
      </w:r>
      <w:r w:rsidRPr="00B36E4C">
        <w:rPr>
          <w:rFonts w:ascii="Verdana" w:eastAsia="Times New Roman" w:hAnsi="Verdana" w:cs="Times New Roman"/>
          <w:sz w:val="20"/>
          <w:szCs w:val="20"/>
          <w:lang w:val="en-US" w:eastAsia="bg-BG"/>
        </w:rPr>
        <w:tab/>
        <w:t xml:space="preserve">Commission on European affairs and control over EU funds </w:t>
      </w:r>
    </w:p>
    <w:p w14:paraId="0C8C004B" w14:textId="77777777" w:rsidR="00B36E4C" w:rsidRPr="00B36E4C" w:rsidRDefault="00B36E4C" w:rsidP="00B36E4C">
      <w:pPr>
        <w:spacing w:after="0" w:line="240" w:lineRule="auto"/>
        <w:jc w:val="both"/>
        <w:rPr>
          <w:rFonts w:ascii="Verdana" w:hAnsi="Verdana"/>
          <w:sz w:val="20"/>
          <w:szCs w:val="20"/>
          <w:lang w:val="en" w:eastAsia="bg-BG"/>
        </w:rPr>
      </w:pPr>
      <w:r w:rsidRPr="00B36E4C">
        <w:rPr>
          <w:rFonts w:ascii="Verdana" w:hAnsi="Verdana"/>
          <w:sz w:val="20"/>
          <w:szCs w:val="20"/>
          <w:lang w:val="en" w:eastAsia="bg-BG"/>
        </w:rPr>
        <w:t>CF</w:t>
      </w:r>
      <w:r w:rsidRPr="00B36E4C">
        <w:rPr>
          <w:rFonts w:ascii="Verdana" w:hAnsi="Verdana"/>
          <w:sz w:val="20"/>
          <w:szCs w:val="20"/>
          <w:lang w:val="en" w:eastAsia="bg-BG"/>
        </w:rPr>
        <w:tab/>
      </w:r>
      <w:r w:rsidRPr="00B36E4C">
        <w:rPr>
          <w:rFonts w:ascii="Verdana" w:hAnsi="Verdana"/>
          <w:sz w:val="20"/>
          <w:szCs w:val="20"/>
          <w:lang w:val="en" w:eastAsia="bg-BG"/>
        </w:rPr>
        <w:tab/>
        <w:t>Cohesion Fund</w:t>
      </w:r>
      <w:r w:rsidRPr="00B36E4C">
        <w:rPr>
          <w:rFonts w:ascii="Verdana" w:hAnsi="Verdana"/>
          <w:sz w:val="20"/>
          <w:szCs w:val="20"/>
          <w:lang w:val="en" w:eastAsia="bg-BG"/>
        </w:rPr>
        <w:tab/>
      </w:r>
    </w:p>
    <w:p w14:paraId="71F40519"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eastAsia="Times New Roman" w:hAnsi="Verdana" w:cs="Times New Roman"/>
          <w:sz w:val="20"/>
          <w:szCs w:val="20"/>
          <w:lang w:val="bg-BG" w:eastAsia="bg-BG"/>
        </w:rPr>
        <w:t xml:space="preserve">CP </w:t>
      </w:r>
      <w:r w:rsidRPr="00B36E4C">
        <w:rPr>
          <w:rFonts w:ascii="Verdana" w:eastAsia="Times New Roman" w:hAnsi="Verdana" w:cs="Times New Roman"/>
          <w:sz w:val="20"/>
          <w:szCs w:val="20"/>
          <w:lang w:val="bg-BG" w:eastAsia="bg-BG"/>
        </w:rPr>
        <w:tab/>
      </w:r>
      <w:r w:rsidRPr="00B36E4C">
        <w:rPr>
          <w:rFonts w:ascii="Verdana" w:eastAsia="Times New Roman" w:hAnsi="Verdana" w:cs="Times New Roman"/>
          <w:sz w:val="20"/>
          <w:szCs w:val="20"/>
          <w:lang w:val="bg-BG" w:eastAsia="bg-BG"/>
        </w:rPr>
        <w:tab/>
      </w:r>
      <w:proofErr w:type="spellStart"/>
      <w:r w:rsidRPr="00B36E4C">
        <w:rPr>
          <w:rFonts w:ascii="Verdana" w:eastAsia="Times New Roman" w:hAnsi="Verdana" w:cs="Times New Roman"/>
          <w:sz w:val="20"/>
          <w:szCs w:val="20"/>
          <w:lang w:val="bg-BG" w:eastAsia="bg-BG"/>
        </w:rPr>
        <w:t>Communication</w:t>
      </w:r>
      <w:proofErr w:type="spellEnd"/>
      <w:r w:rsidRPr="00B36E4C">
        <w:rPr>
          <w:rFonts w:ascii="Verdana" w:eastAsia="Times New Roman" w:hAnsi="Verdana" w:cs="Times New Roman"/>
          <w:sz w:val="20"/>
          <w:szCs w:val="20"/>
          <w:lang w:val="bg-BG" w:eastAsia="bg-BG"/>
        </w:rPr>
        <w:t xml:space="preserve"> </w:t>
      </w:r>
      <w:proofErr w:type="spellStart"/>
      <w:r w:rsidRPr="00B36E4C">
        <w:rPr>
          <w:rFonts w:ascii="Verdana" w:eastAsia="Times New Roman" w:hAnsi="Verdana" w:cs="Times New Roman"/>
          <w:sz w:val="20"/>
          <w:szCs w:val="20"/>
          <w:lang w:val="bg-BG" w:eastAsia="bg-BG"/>
        </w:rPr>
        <w:t>Plan</w:t>
      </w:r>
      <w:proofErr w:type="spellEnd"/>
    </w:p>
    <w:p w14:paraId="397497B4" w14:textId="77777777" w:rsidR="00B36E4C" w:rsidRPr="00B36E4C" w:rsidRDefault="00B36E4C" w:rsidP="00B36E4C">
      <w:pPr>
        <w:spacing w:after="0" w:line="240" w:lineRule="auto"/>
        <w:jc w:val="both"/>
        <w:rPr>
          <w:rFonts w:ascii="Verdana" w:hAnsi="Verdana"/>
          <w:sz w:val="20"/>
          <w:szCs w:val="20"/>
          <w:lang w:val="en" w:eastAsia="bg-BG"/>
        </w:rPr>
      </w:pPr>
      <w:r w:rsidRPr="00B36E4C">
        <w:rPr>
          <w:rFonts w:ascii="Verdana" w:hAnsi="Verdana"/>
          <w:sz w:val="20"/>
          <w:szCs w:val="20"/>
          <w:lang w:val="en" w:eastAsia="bg-BG"/>
        </w:rPr>
        <w:t>CR</w:t>
      </w:r>
      <w:r w:rsidRPr="00B36E4C">
        <w:rPr>
          <w:rFonts w:ascii="Verdana" w:hAnsi="Verdana"/>
          <w:sz w:val="20"/>
          <w:szCs w:val="20"/>
          <w:lang w:val="en" w:eastAsia="bg-BG"/>
        </w:rPr>
        <w:tab/>
      </w:r>
      <w:r w:rsidRPr="00B36E4C">
        <w:rPr>
          <w:rFonts w:ascii="Verdana" w:hAnsi="Verdana"/>
          <w:sz w:val="20"/>
          <w:szCs w:val="20"/>
          <w:lang w:val="en" w:eastAsia="bg-BG"/>
        </w:rPr>
        <w:tab/>
        <w:t>Council Regulation</w:t>
      </w:r>
      <w:r w:rsidRPr="00B36E4C">
        <w:rPr>
          <w:rFonts w:ascii="Verdana" w:hAnsi="Verdana"/>
          <w:sz w:val="20"/>
          <w:szCs w:val="20"/>
          <w:lang w:val="en" w:eastAsia="bg-BG"/>
        </w:rPr>
        <w:tab/>
      </w:r>
    </w:p>
    <w:p w14:paraId="48ECA58A"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 xml:space="preserve">CT </w:t>
      </w:r>
      <w:r w:rsidRPr="00B36E4C">
        <w:rPr>
          <w:rFonts w:ascii="Verdana" w:eastAsia="Times New Roman" w:hAnsi="Verdana" w:cs="Times New Roman"/>
          <w:color w:val="000000"/>
          <w:sz w:val="20"/>
          <w:szCs w:val="20"/>
          <w:lang w:eastAsia="bg-BG"/>
        </w:rPr>
        <w:tab/>
      </w:r>
      <w:r w:rsidRPr="00B36E4C">
        <w:rPr>
          <w:rFonts w:ascii="Verdana" w:eastAsia="Times New Roman" w:hAnsi="Verdana" w:cs="Times New Roman"/>
          <w:color w:val="000000"/>
          <w:sz w:val="20"/>
          <w:szCs w:val="20"/>
          <w:lang w:eastAsia="bg-BG"/>
        </w:rPr>
        <w:tab/>
        <w:t xml:space="preserve">Combined transport  </w:t>
      </w:r>
    </w:p>
    <w:p w14:paraId="39976E1C"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eastAsia="Times New Roman" w:hAnsi="Verdana" w:cs="Times New Roman"/>
          <w:sz w:val="20"/>
          <w:szCs w:val="20"/>
          <w:lang w:val="bg-BG" w:eastAsia="bg-BG"/>
        </w:rPr>
        <w:t xml:space="preserve">DG </w:t>
      </w:r>
      <w:r w:rsidRPr="00B36E4C">
        <w:rPr>
          <w:rFonts w:ascii="Verdana" w:eastAsia="Times New Roman" w:hAnsi="Verdana" w:cs="Times New Roman"/>
          <w:sz w:val="20"/>
          <w:szCs w:val="20"/>
          <w:lang w:val="bg-BG" w:eastAsia="bg-BG"/>
        </w:rPr>
        <w:tab/>
      </w:r>
      <w:r w:rsidRPr="00B36E4C">
        <w:rPr>
          <w:rFonts w:ascii="Verdana" w:eastAsia="Times New Roman" w:hAnsi="Verdana" w:cs="Times New Roman"/>
          <w:sz w:val="20"/>
          <w:szCs w:val="20"/>
          <w:lang w:val="bg-BG" w:eastAsia="bg-BG"/>
        </w:rPr>
        <w:tab/>
      </w:r>
      <w:proofErr w:type="spellStart"/>
      <w:r w:rsidRPr="00B36E4C">
        <w:rPr>
          <w:rFonts w:ascii="Verdana" w:eastAsia="Times New Roman" w:hAnsi="Verdana" w:cs="Times New Roman"/>
          <w:sz w:val="20"/>
          <w:szCs w:val="20"/>
          <w:lang w:val="bg-BG" w:eastAsia="bg-BG"/>
        </w:rPr>
        <w:t>Directorate</w:t>
      </w:r>
      <w:proofErr w:type="spellEnd"/>
      <w:r w:rsidRPr="00B36E4C">
        <w:rPr>
          <w:rFonts w:ascii="Verdana" w:eastAsia="Times New Roman" w:hAnsi="Verdana" w:cs="Times New Roman"/>
          <w:sz w:val="20"/>
          <w:szCs w:val="20"/>
          <w:lang w:val="bg-BG" w:eastAsia="bg-BG"/>
        </w:rPr>
        <w:t xml:space="preserve"> General</w:t>
      </w:r>
    </w:p>
    <w:p w14:paraId="0167ECE3" w14:textId="77777777" w:rsidR="00B36E4C" w:rsidRPr="00B36E4C" w:rsidRDefault="00B36E4C" w:rsidP="00B36E4C">
      <w:pPr>
        <w:tabs>
          <w:tab w:val="left" w:pos="720"/>
          <w:tab w:val="left" w:pos="1440"/>
          <w:tab w:val="left" w:pos="2160"/>
          <w:tab w:val="left" w:pos="2880"/>
          <w:tab w:val="center" w:pos="4536"/>
        </w:tabs>
        <w:spacing w:after="0" w:line="240" w:lineRule="auto"/>
        <w:jc w:val="both"/>
        <w:rPr>
          <w:rFonts w:ascii="Verdana" w:hAnsi="Verdana"/>
          <w:sz w:val="20"/>
          <w:szCs w:val="20"/>
          <w:lang w:val="en" w:eastAsia="bg-BG"/>
        </w:rPr>
      </w:pPr>
      <w:r w:rsidRPr="00B36E4C">
        <w:rPr>
          <w:rFonts w:ascii="Verdana" w:hAnsi="Verdana"/>
          <w:sz w:val="20"/>
          <w:szCs w:val="20"/>
          <w:lang w:val="en" w:eastAsia="bg-BG"/>
        </w:rPr>
        <w:t>EA</w:t>
      </w:r>
      <w:r w:rsidRPr="00B36E4C">
        <w:rPr>
          <w:rFonts w:ascii="Verdana" w:hAnsi="Verdana"/>
          <w:sz w:val="20"/>
          <w:szCs w:val="20"/>
          <w:lang w:val="en" w:eastAsia="bg-BG"/>
        </w:rPr>
        <w:tab/>
      </w:r>
      <w:r w:rsidRPr="00B36E4C">
        <w:rPr>
          <w:rFonts w:ascii="Verdana" w:hAnsi="Verdana"/>
          <w:sz w:val="20"/>
          <w:szCs w:val="20"/>
          <w:lang w:val="en" w:eastAsia="bg-BG"/>
        </w:rPr>
        <w:tab/>
        <w:t>Executive Agency</w:t>
      </w:r>
    </w:p>
    <w:p w14:paraId="0AF7633C"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hAnsi="Verdana"/>
          <w:sz w:val="20"/>
          <w:szCs w:val="20"/>
          <w:lang w:val="en" w:eastAsia="bg-BG"/>
        </w:rPr>
        <w:t>EAEMDR</w:t>
      </w:r>
      <w:r w:rsidRPr="00B36E4C">
        <w:rPr>
          <w:rFonts w:ascii="Verdana" w:eastAsia="Times New Roman" w:hAnsi="Verdana" w:cs="Times New Roman"/>
          <w:color w:val="000000"/>
          <w:sz w:val="20"/>
          <w:szCs w:val="20"/>
          <w:lang w:eastAsia="bg-BG"/>
        </w:rPr>
        <w:t xml:space="preserve"> </w:t>
      </w:r>
      <w:r w:rsidRPr="00B36E4C">
        <w:rPr>
          <w:rFonts w:ascii="Verdana" w:eastAsia="Times New Roman" w:hAnsi="Verdana" w:cs="Times New Roman"/>
          <w:color w:val="000000"/>
          <w:sz w:val="20"/>
          <w:szCs w:val="20"/>
          <w:lang w:eastAsia="bg-BG"/>
        </w:rPr>
        <w:tab/>
        <w:t>Executive Agency for Exploration and Maintenance of the Danube River</w:t>
      </w:r>
    </w:p>
    <w:p w14:paraId="4FA6B310"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hAnsi="Verdana"/>
          <w:sz w:val="20"/>
          <w:szCs w:val="20"/>
          <w:lang w:val="en" w:eastAsia="bg-BG"/>
        </w:rPr>
        <w:t>EBRD</w:t>
      </w:r>
      <w:r w:rsidRPr="00B36E4C">
        <w:rPr>
          <w:rFonts w:ascii="Verdana" w:hAnsi="Verdana"/>
          <w:sz w:val="20"/>
          <w:szCs w:val="20"/>
          <w:lang w:val="en" w:eastAsia="bg-BG"/>
        </w:rPr>
        <w:tab/>
      </w:r>
      <w:r w:rsidRPr="00B36E4C">
        <w:rPr>
          <w:rFonts w:ascii="Verdana" w:hAnsi="Verdana"/>
          <w:sz w:val="20"/>
          <w:szCs w:val="20"/>
          <w:lang w:val="en" w:eastAsia="bg-BG"/>
        </w:rPr>
        <w:tab/>
        <w:t>European Bank for Reconstruction and Development</w:t>
      </w:r>
      <w:r w:rsidRPr="00B36E4C">
        <w:rPr>
          <w:rFonts w:ascii="Verdana" w:hAnsi="Verdana"/>
          <w:sz w:val="20"/>
          <w:szCs w:val="20"/>
          <w:lang w:val="en" w:eastAsia="bg-BG"/>
        </w:rPr>
        <w:tab/>
      </w:r>
    </w:p>
    <w:p w14:paraId="49304FFB" w14:textId="77777777" w:rsidR="00B36E4C" w:rsidRPr="00B36E4C" w:rsidRDefault="00B36E4C" w:rsidP="00B36E4C">
      <w:pPr>
        <w:spacing w:after="0" w:line="240" w:lineRule="auto"/>
        <w:jc w:val="both"/>
        <w:rPr>
          <w:rFonts w:ascii="Verdana" w:hAnsi="Verdana"/>
          <w:sz w:val="20"/>
          <w:szCs w:val="20"/>
          <w:lang w:val="en" w:eastAsia="bg-BG"/>
        </w:rPr>
      </w:pPr>
      <w:r w:rsidRPr="00B36E4C">
        <w:rPr>
          <w:rFonts w:ascii="Verdana" w:hAnsi="Verdana"/>
          <w:sz w:val="20"/>
          <w:szCs w:val="20"/>
          <w:lang w:val="en" w:eastAsia="bg-BG"/>
        </w:rPr>
        <w:t>EC</w:t>
      </w:r>
      <w:r w:rsidRPr="00B36E4C">
        <w:rPr>
          <w:rFonts w:ascii="Verdana" w:hAnsi="Verdana"/>
          <w:sz w:val="20"/>
          <w:szCs w:val="20"/>
          <w:lang w:val="en" w:eastAsia="bg-BG"/>
        </w:rPr>
        <w:tab/>
      </w:r>
      <w:r w:rsidRPr="00B36E4C">
        <w:rPr>
          <w:rFonts w:ascii="Verdana" w:hAnsi="Verdana"/>
          <w:sz w:val="20"/>
          <w:szCs w:val="20"/>
          <w:lang w:val="en" w:eastAsia="bg-BG"/>
        </w:rPr>
        <w:tab/>
        <w:t>European Commission</w:t>
      </w:r>
      <w:r w:rsidRPr="00B36E4C">
        <w:rPr>
          <w:rFonts w:ascii="Verdana" w:hAnsi="Verdana"/>
          <w:sz w:val="20"/>
          <w:szCs w:val="20"/>
          <w:lang w:val="en" w:eastAsia="bg-BG"/>
        </w:rPr>
        <w:tab/>
      </w:r>
    </w:p>
    <w:p w14:paraId="5D792633"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ECE/UN</w:t>
      </w:r>
      <w:r w:rsidRPr="00B36E4C">
        <w:rPr>
          <w:rFonts w:ascii="Verdana" w:eastAsia="Times New Roman" w:hAnsi="Verdana" w:cs="Times New Roman"/>
          <w:color w:val="000000"/>
          <w:sz w:val="20"/>
          <w:szCs w:val="20"/>
          <w:lang w:eastAsia="bg-BG"/>
        </w:rPr>
        <w:tab/>
        <w:t>Economical Commission of the United Nations for Europe</w:t>
      </w:r>
    </w:p>
    <w:p w14:paraId="0BBB6073" w14:textId="77777777" w:rsidR="00B36E4C" w:rsidRPr="00B36E4C" w:rsidRDefault="00B36E4C" w:rsidP="00B36E4C">
      <w:pPr>
        <w:spacing w:after="0" w:line="240" w:lineRule="auto"/>
        <w:jc w:val="both"/>
        <w:rPr>
          <w:rFonts w:ascii="Verdana" w:hAnsi="Verdana"/>
          <w:sz w:val="20"/>
          <w:szCs w:val="20"/>
          <w:lang w:val="en"/>
        </w:rPr>
      </w:pPr>
      <w:r w:rsidRPr="00B36E4C">
        <w:rPr>
          <w:rFonts w:ascii="Verdana" w:hAnsi="Verdana"/>
          <w:sz w:val="20"/>
          <w:szCs w:val="20"/>
          <w:lang w:val="en"/>
        </w:rPr>
        <w:t>ECMT            European Conference of Transport Ministers</w:t>
      </w:r>
    </w:p>
    <w:p w14:paraId="2E6FE12A" w14:textId="77777777" w:rsidR="00B36E4C" w:rsidRPr="00B36E4C" w:rsidRDefault="00B36E4C" w:rsidP="00B36E4C">
      <w:pPr>
        <w:spacing w:after="0" w:line="240" w:lineRule="auto"/>
        <w:jc w:val="both"/>
        <w:rPr>
          <w:rFonts w:ascii="Verdana" w:hAnsi="Verdana"/>
          <w:sz w:val="20"/>
          <w:szCs w:val="20"/>
          <w:lang w:val="en" w:eastAsia="bg-BG"/>
        </w:rPr>
      </w:pPr>
      <w:r w:rsidRPr="00B36E4C">
        <w:rPr>
          <w:rFonts w:ascii="Verdana" w:hAnsi="Verdana"/>
          <w:sz w:val="20"/>
          <w:szCs w:val="20"/>
          <w:lang w:val="en" w:eastAsia="bg-BG"/>
        </w:rPr>
        <w:t xml:space="preserve">EIA </w:t>
      </w:r>
      <w:r w:rsidRPr="00B36E4C">
        <w:rPr>
          <w:rFonts w:ascii="Verdana" w:hAnsi="Verdana"/>
          <w:sz w:val="20"/>
          <w:szCs w:val="20"/>
          <w:lang w:val="en" w:eastAsia="bg-BG"/>
        </w:rPr>
        <w:tab/>
      </w:r>
      <w:r w:rsidRPr="00B36E4C">
        <w:rPr>
          <w:rFonts w:ascii="Verdana" w:hAnsi="Verdana"/>
          <w:sz w:val="20"/>
          <w:szCs w:val="20"/>
          <w:lang w:val="en" w:eastAsia="bg-BG"/>
        </w:rPr>
        <w:tab/>
        <w:t>Environmental Impact Assessment</w:t>
      </w:r>
    </w:p>
    <w:p w14:paraId="151DC361"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hAnsi="Verdana"/>
          <w:sz w:val="20"/>
          <w:szCs w:val="20"/>
          <w:lang w:val="en" w:eastAsia="bg-BG"/>
        </w:rPr>
        <w:t>EIB</w:t>
      </w:r>
      <w:r w:rsidRPr="00B36E4C">
        <w:rPr>
          <w:rFonts w:ascii="Verdana" w:hAnsi="Verdana"/>
          <w:sz w:val="20"/>
          <w:szCs w:val="20"/>
          <w:lang w:val="en" w:eastAsia="bg-BG"/>
        </w:rPr>
        <w:tab/>
      </w:r>
      <w:r w:rsidRPr="00B36E4C">
        <w:rPr>
          <w:rFonts w:ascii="Verdana" w:hAnsi="Verdana"/>
          <w:sz w:val="20"/>
          <w:szCs w:val="20"/>
          <w:lang w:val="en" w:eastAsia="bg-BG"/>
        </w:rPr>
        <w:tab/>
        <w:t>European Investment Bank</w:t>
      </w:r>
      <w:r w:rsidRPr="00B36E4C">
        <w:rPr>
          <w:rFonts w:ascii="Verdana" w:hAnsi="Verdana"/>
          <w:sz w:val="20"/>
          <w:szCs w:val="20"/>
          <w:lang w:val="en" w:eastAsia="bg-BG"/>
        </w:rPr>
        <w:tab/>
      </w:r>
    </w:p>
    <w:p w14:paraId="31DD1FC7" w14:textId="77777777" w:rsidR="00B36E4C" w:rsidRPr="00B36E4C" w:rsidRDefault="00B36E4C" w:rsidP="00B36E4C">
      <w:pPr>
        <w:spacing w:after="0" w:line="240" w:lineRule="auto"/>
        <w:jc w:val="both"/>
        <w:rPr>
          <w:rFonts w:ascii="Verdana" w:hAnsi="Verdana"/>
          <w:sz w:val="20"/>
          <w:szCs w:val="20"/>
          <w:lang w:val="en" w:eastAsia="bg-BG"/>
        </w:rPr>
      </w:pPr>
      <w:r w:rsidRPr="00B36E4C">
        <w:rPr>
          <w:rFonts w:ascii="Verdana" w:hAnsi="Verdana"/>
          <w:sz w:val="20"/>
          <w:szCs w:val="20"/>
          <w:lang w:val="en" w:eastAsia="bg-BG"/>
        </w:rPr>
        <w:t>EPA</w:t>
      </w:r>
      <w:r w:rsidRPr="00B36E4C">
        <w:rPr>
          <w:rFonts w:ascii="Verdana" w:hAnsi="Verdana"/>
          <w:sz w:val="20"/>
          <w:szCs w:val="20"/>
          <w:lang w:val="en" w:eastAsia="bg-BG"/>
        </w:rPr>
        <w:tab/>
      </w:r>
      <w:r w:rsidRPr="00B36E4C">
        <w:rPr>
          <w:rFonts w:ascii="Verdana" w:hAnsi="Verdana"/>
          <w:sz w:val="20"/>
          <w:szCs w:val="20"/>
          <w:lang w:val="en" w:eastAsia="bg-BG"/>
        </w:rPr>
        <w:tab/>
        <w:t>Environmental Protection Act</w:t>
      </w:r>
      <w:r w:rsidRPr="00B36E4C">
        <w:rPr>
          <w:rFonts w:ascii="Verdana" w:hAnsi="Verdana"/>
          <w:sz w:val="20"/>
          <w:szCs w:val="20"/>
          <w:lang w:val="en" w:eastAsia="bg-BG"/>
        </w:rPr>
        <w:tab/>
      </w:r>
    </w:p>
    <w:p w14:paraId="0B18F056" w14:textId="77777777" w:rsidR="00B36E4C" w:rsidRPr="00B36E4C" w:rsidRDefault="00B36E4C" w:rsidP="00B36E4C">
      <w:pPr>
        <w:tabs>
          <w:tab w:val="left" w:pos="720"/>
          <w:tab w:val="left" w:pos="1440"/>
          <w:tab w:val="left" w:pos="2160"/>
          <w:tab w:val="left" w:pos="2880"/>
          <w:tab w:val="center" w:pos="4536"/>
        </w:tabs>
        <w:spacing w:after="0" w:line="240" w:lineRule="auto"/>
        <w:jc w:val="both"/>
        <w:rPr>
          <w:rFonts w:ascii="Verdana" w:hAnsi="Verdana"/>
          <w:sz w:val="20"/>
          <w:szCs w:val="20"/>
          <w:lang w:val="en" w:eastAsia="bg-BG"/>
        </w:rPr>
      </w:pPr>
      <w:r w:rsidRPr="00B36E4C">
        <w:rPr>
          <w:rFonts w:ascii="Verdana" w:hAnsi="Verdana"/>
          <w:sz w:val="20"/>
          <w:szCs w:val="20"/>
          <w:lang w:val="en" w:eastAsia="bg-BG"/>
        </w:rPr>
        <w:t>EQ</w:t>
      </w:r>
      <w:r w:rsidRPr="00B36E4C">
        <w:rPr>
          <w:rFonts w:ascii="Verdana" w:hAnsi="Verdana"/>
          <w:sz w:val="20"/>
          <w:szCs w:val="20"/>
          <w:lang w:val="en" w:eastAsia="bg-BG"/>
        </w:rPr>
        <w:tab/>
      </w:r>
      <w:r w:rsidRPr="00B36E4C">
        <w:rPr>
          <w:rFonts w:ascii="Verdana" w:hAnsi="Verdana"/>
          <w:sz w:val="20"/>
          <w:szCs w:val="20"/>
          <w:lang w:val="en" w:eastAsia="bg-BG"/>
        </w:rPr>
        <w:tab/>
        <w:t>Evaluation question/s</w:t>
      </w:r>
    </w:p>
    <w:p w14:paraId="56C8BAF4"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hAnsi="Verdana"/>
          <w:sz w:val="20"/>
          <w:szCs w:val="20"/>
          <w:lang w:val="en" w:eastAsia="bg-BG"/>
        </w:rPr>
        <w:t>ERDF</w:t>
      </w:r>
      <w:r w:rsidRPr="00B36E4C">
        <w:rPr>
          <w:rFonts w:ascii="Verdana" w:hAnsi="Verdana"/>
          <w:sz w:val="20"/>
          <w:szCs w:val="20"/>
          <w:lang w:val="en" w:eastAsia="bg-BG"/>
        </w:rPr>
        <w:tab/>
      </w:r>
      <w:r w:rsidRPr="00B36E4C">
        <w:rPr>
          <w:rFonts w:ascii="Verdana" w:hAnsi="Verdana"/>
          <w:sz w:val="20"/>
          <w:szCs w:val="20"/>
          <w:lang w:val="en" w:eastAsia="bg-BG"/>
        </w:rPr>
        <w:tab/>
        <w:t>European Regional Development Fund</w:t>
      </w:r>
      <w:r w:rsidRPr="00B36E4C">
        <w:rPr>
          <w:rFonts w:ascii="Verdana" w:hAnsi="Verdana"/>
          <w:sz w:val="20"/>
          <w:szCs w:val="20"/>
          <w:lang w:val="en" w:eastAsia="bg-BG"/>
        </w:rPr>
        <w:tab/>
      </w:r>
    </w:p>
    <w:p w14:paraId="6DB906D1"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eastAsia="Times New Roman" w:hAnsi="Verdana" w:cs="Times New Roman"/>
          <w:sz w:val="20"/>
          <w:szCs w:val="20"/>
          <w:lang w:val="bg-BG" w:eastAsia="bg-BG"/>
        </w:rPr>
        <w:t xml:space="preserve">ERTMS </w:t>
      </w:r>
      <w:r w:rsidRPr="00B36E4C">
        <w:rPr>
          <w:rFonts w:ascii="Verdana" w:eastAsia="Times New Roman" w:hAnsi="Verdana" w:cs="Times New Roman"/>
          <w:sz w:val="20"/>
          <w:szCs w:val="20"/>
          <w:lang w:val="bg-BG" w:eastAsia="bg-BG"/>
        </w:rPr>
        <w:tab/>
      </w:r>
      <w:proofErr w:type="spellStart"/>
      <w:r w:rsidRPr="00B36E4C">
        <w:rPr>
          <w:rFonts w:ascii="Verdana" w:eastAsia="Times New Roman" w:hAnsi="Verdana" w:cs="Times New Roman"/>
          <w:sz w:val="20"/>
          <w:szCs w:val="20"/>
          <w:lang w:val="bg-BG" w:eastAsia="bg-BG"/>
        </w:rPr>
        <w:t>European</w:t>
      </w:r>
      <w:proofErr w:type="spellEnd"/>
      <w:r w:rsidRPr="00B36E4C">
        <w:rPr>
          <w:rFonts w:ascii="Verdana" w:eastAsia="Times New Roman" w:hAnsi="Verdana" w:cs="Times New Roman"/>
          <w:sz w:val="20"/>
          <w:szCs w:val="20"/>
          <w:lang w:val="bg-BG" w:eastAsia="bg-BG"/>
        </w:rPr>
        <w:t xml:space="preserve"> </w:t>
      </w:r>
      <w:proofErr w:type="spellStart"/>
      <w:r w:rsidRPr="00B36E4C">
        <w:rPr>
          <w:rFonts w:ascii="Verdana" w:eastAsia="Times New Roman" w:hAnsi="Verdana" w:cs="Times New Roman"/>
          <w:sz w:val="20"/>
          <w:szCs w:val="20"/>
          <w:lang w:val="bg-BG" w:eastAsia="bg-BG"/>
        </w:rPr>
        <w:t>Railway</w:t>
      </w:r>
      <w:proofErr w:type="spellEnd"/>
      <w:r w:rsidRPr="00B36E4C">
        <w:rPr>
          <w:rFonts w:ascii="Verdana" w:eastAsia="Times New Roman" w:hAnsi="Verdana" w:cs="Times New Roman"/>
          <w:sz w:val="20"/>
          <w:szCs w:val="20"/>
          <w:lang w:val="bg-BG" w:eastAsia="bg-BG"/>
        </w:rPr>
        <w:t xml:space="preserve"> </w:t>
      </w:r>
      <w:proofErr w:type="spellStart"/>
      <w:r w:rsidRPr="00B36E4C">
        <w:rPr>
          <w:rFonts w:ascii="Verdana" w:eastAsia="Times New Roman" w:hAnsi="Verdana" w:cs="Times New Roman"/>
          <w:sz w:val="20"/>
          <w:szCs w:val="20"/>
          <w:lang w:val="bg-BG" w:eastAsia="bg-BG"/>
        </w:rPr>
        <w:t>Traffic</w:t>
      </w:r>
      <w:proofErr w:type="spellEnd"/>
      <w:r w:rsidRPr="00B36E4C">
        <w:rPr>
          <w:rFonts w:ascii="Verdana" w:eastAsia="Times New Roman" w:hAnsi="Verdana" w:cs="Times New Roman"/>
          <w:sz w:val="20"/>
          <w:szCs w:val="20"/>
          <w:lang w:val="bg-BG" w:eastAsia="bg-BG"/>
        </w:rPr>
        <w:t xml:space="preserve"> </w:t>
      </w:r>
      <w:proofErr w:type="spellStart"/>
      <w:r w:rsidRPr="00B36E4C">
        <w:rPr>
          <w:rFonts w:ascii="Verdana" w:eastAsia="Times New Roman" w:hAnsi="Verdana" w:cs="Times New Roman"/>
          <w:sz w:val="20"/>
          <w:szCs w:val="20"/>
          <w:lang w:val="bg-BG" w:eastAsia="bg-BG"/>
        </w:rPr>
        <w:t>Management</w:t>
      </w:r>
      <w:proofErr w:type="spellEnd"/>
      <w:r w:rsidRPr="00B36E4C">
        <w:rPr>
          <w:rFonts w:ascii="Verdana" w:eastAsia="Times New Roman" w:hAnsi="Verdana" w:cs="Times New Roman"/>
          <w:sz w:val="20"/>
          <w:szCs w:val="20"/>
          <w:lang w:val="bg-BG" w:eastAsia="bg-BG"/>
        </w:rPr>
        <w:t xml:space="preserve"> </w:t>
      </w:r>
      <w:proofErr w:type="spellStart"/>
      <w:r w:rsidRPr="00B36E4C">
        <w:rPr>
          <w:rFonts w:ascii="Verdana" w:eastAsia="Times New Roman" w:hAnsi="Verdana" w:cs="Times New Roman"/>
          <w:sz w:val="20"/>
          <w:szCs w:val="20"/>
          <w:lang w:val="bg-BG" w:eastAsia="bg-BG"/>
        </w:rPr>
        <w:t>System</w:t>
      </w:r>
      <w:proofErr w:type="spellEnd"/>
    </w:p>
    <w:p w14:paraId="6E477A82"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 xml:space="preserve">ESARRs </w:t>
      </w:r>
      <w:r w:rsidRPr="00B36E4C">
        <w:rPr>
          <w:rFonts w:ascii="Verdana" w:eastAsia="Times New Roman" w:hAnsi="Verdana" w:cs="Times New Roman"/>
          <w:color w:val="000000"/>
          <w:sz w:val="20"/>
          <w:szCs w:val="20"/>
          <w:lang w:eastAsia="bg-BG"/>
        </w:rPr>
        <w:tab/>
        <w:t xml:space="preserve">European Standards and Recommended Rules   </w:t>
      </w:r>
    </w:p>
    <w:p w14:paraId="4733AD5C"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ESF</w:t>
      </w:r>
      <w:r w:rsidRPr="00B36E4C">
        <w:rPr>
          <w:rFonts w:ascii="Verdana" w:eastAsia="Times New Roman" w:hAnsi="Verdana" w:cs="Times New Roman"/>
          <w:color w:val="000000"/>
          <w:sz w:val="20"/>
          <w:szCs w:val="20"/>
          <w:lang w:eastAsia="bg-BG"/>
        </w:rPr>
        <w:tab/>
      </w:r>
      <w:r w:rsidRPr="00B36E4C">
        <w:rPr>
          <w:rFonts w:ascii="Verdana" w:eastAsia="Times New Roman" w:hAnsi="Verdana" w:cs="Times New Roman"/>
          <w:color w:val="000000"/>
          <w:sz w:val="20"/>
          <w:szCs w:val="20"/>
          <w:lang w:eastAsia="bg-BG"/>
        </w:rPr>
        <w:tab/>
        <w:t xml:space="preserve">European Social Fund </w:t>
      </w:r>
    </w:p>
    <w:p w14:paraId="248E7E10" w14:textId="77777777" w:rsidR="00B36E4C" w:rsidRPr="00B36E4C" w:rsidRDefault="00B36E4C" w:rsidP="00B36E4C">
      <w:pPr>
        <w:spacing w:after="0" w:line="240" w:lineRule="auto"/>
        <w:jc w:val="both"/>
        <w:rPr>
          <w:rFonts w:ascii="Verdana" w:hAnsi="Verdana"/>
          <w:sz w:val="20"/>
          <w:szCs w:val="20"/>
          <w:lang w:val="bg-BG" w:eastAsia="bg-BG"/>
        </w:rPr>
      </w:pPr>
      <w:r w:rsidRPr="00B36E4C">
        <w:rPr>
          <w:rFonts w:ascii="Verdana" w:hAnsi="Verdana"/>
          <w:sz w:val="20"/>
          <w:szCs w:val="20"/>
          <w:lang w:val="en" w:eastAsia="bg-BG"/>
        </w:rPr>
        <w:t>EU</w:t>
      </w:r>
      <w:r w:rsidRPr="00B36E4C">
        <w:rPr>
          <w:rFonts w:ascii="Verdana" w:hAnsi="Verdana"/>
          <w:sz w:val="20"/>
          <w:szCs w:val="20"/>
          <w:lang w:val="en" w:eastAsia="bg-BG"/>
        </w:rPr>
        <w:tab/>
      </w:r>
      <w:r w:rsidRPr="00B36E4C">
        <w:rPr>
          <w:rFonts w:ascii="Verdana" w:hAnsi="Verdana"/>
          <w:sz w:val="20"/>
          <w:szCs w:val="20"/>
          <w:lang w:val="en" w:eastAsia="bg-BG"/>
        </w:rPr>
        <w:tab/>
        <w:t>European Union</w:t>
      </w:r>
    </w:p>
    <w:p w14:paraId="0986E4E9" w14:textId="77777777" w:rsidR="00B36E4C" w:rsidRPr="00B36E4C" w:rsidRDefault="00B36E4C" w:rsidP="00B36E4C">
      <w:pPr>
        <w:spacing w:after="0" w:line="240" w:lineRule="auto"/>
        <w:ind w:left="1440" w:hanging="1440"/>
        <w:jc w:val="both"/>
        <w:rPr>
          <w:rFonts w:ascii="Verdana" w:eastAsia="Times New Roman" w:hAnsi="Verdana" w:cs="Times New Roman"/>
          <w:color w:val="000000"/>
          <w:sz w:val="20"/>
          <w:szCs w:val="20"/>
          <w:lang w:val="bg-BG"/>
        </w:rPr>
      </w:pPr>
      <w:bookmarkStart w:id="4" w:name="_Hlk55510871"/>
      <w:r w:rsidRPr="00B36E4C">
        <w:rPr>
          <w:rFonts w:ascii="Verdana" w:hAnsi="Verdana"/>
          <w:color w:val="000000"/>
          <w:sz w:val="20"/>
          <w:szCs w:val="20"/>
          <w:lang w:val="en"/>
        </w:rPr>
        <w:t xml:space="preserve">EVALSED </w:t>
      </w:r>
      <w:r w:rsidRPr="00B36E4C">
        <w:rPr>
          <w:rFonts w:ascii="Verdana" w:hAnsi="Verdana"/>
          <w:color w:val="000000"/>
          <w:sz w:val="20"/>
          <w:szCs w:val="20"/>
          <w:lang w:val="en"/>
        </w:rPr>
        <w:tab/>
        <w:t>EC G</w:t>
      </w:r>
      <w:proofErr w:type="spellStart"/>
      <w:r w:rsidRPr="00B36E4C">
        <w:rPr>
          <w:rFonts w:ascii="Verdana" w:hAnsi="Verdana"/>
          <w:sz w:val="20"/>
          <w:szCs w:val="20"/>
        </w:rPr>
        <w:t>uidance</w:t>
      </w:r>
      <w:proofErr w:type="spellEnd"/>
      <w:r w:rsidRPr="00B36E4C">
        <w:rPr>
          <w:rFonts w:ascii="Verdana" w:hAnsi="Verdana"/>
          <w:sz w:val="20"/>
          <w:szCs w:val="20"/>
        </w:rPr>
        <w:t xml:space="preserve"> on the evaluation of socio-economic development</w:t>
      </w:r>
      <w:bookmarkEnd w:id="4"/>
    </w:p>
    <w:p w14:paraId="170881DC" w14:textId="77777777" w:rsidR="00B36E4C" w:rsidRPr="00B36E4C" w:rsidRDefault="00B36E4C" w:rsidP="00B36E4C">
      <w:pPr>
        <w:spacing w:after="0" w:line="240" w:lineRule="auto"/>
        <w:jc w:val="both"/>
        <w:rPr>
          <w:rFonts w:ascii="Verdana" w:hAnsi="Verdana"/>
          <w:sz w:val="20"/>
          <w:szCs w:val="20"/>
          <w:lang w:val="bg-BG" w:eastAsia="bg-BG"/>
        </w:rPr>
      </w:pPr>
      <w:r w:rsidRPr="00B36E4C">
        <w:rPr>
          <w:rFonts w:ascii="Verdana" w:hAnsi="Verdana"/>
          <w:sz w:val="20"/>
          <w:szCs w:val="20"/>
          <w:lang w:val="en"/>
        </w:rPr>
        <w:t xml:space="preserve">FIDIC </w:t>
      </w:r>
      <w:r w:rsidRPr="00B36E4C">
        <w:rPr>
          <w:rFonts w:ascii="Verdana" w:hAnsi="Verdana"/>
          <w:sz w:val="20"/>
          <w:szCs w:val="20"/>
          <w:lang w:val="en" w:eastAsia="bg-BG"/>
        </w:rPr>
        <w:tab/>
      </w:r>
      <w:r w:rsidRPr="00B36E4C">
        <w:rPr>
          <w:rFonts w:ascii="Verdana" w:hAnsi="Verdana"/>
          <w:sz w:val="20"/>
          <w:szCs w:val="20"/>
          <w:lang w:val="bg-BG" w:eastAsia="bg-BG"/>
        </w:rPr>
        <w:tab/>
        <w:t xml:space="preserve">International </w:t>
      </w:r>
      <w:proofErr w:type="spellStart"/>
      <w:r w:rsidRPr="00B36E4C">
        <w:rPr>
          <w:rFonts w:ascii="Verdana" w:hAnsi="Verdana"/>
          <w:sz w:val="20"/>
          <w:szCs w:val="20"/>
          <w:lang w:val="bg-BG" w:eastAsia="bg-BG"/>
        </w:rPr>
        <w:t>Federation</w:t>
      </w:r>
      <w:proofErr w:type="spellEnd"/>
      <w:r w:rsidRPr="00B36E4C">
        <w:rPr>
          <w:rFonts w:ascii="Verdana" w:hAnsi="Verdana"/>
          <w:sz w:val="20"/>
          <w:szCs w:val="20"/>
          <w:lang w:val="bg-BG" w:eastAsia="bg-BG"/>
        </w:rPr>
        <w:t xml:space="preserve"> </w:t>
      </w:r>
      <w:proofErr w:type="spellStart"/>
      <w:r w:rsidRPr="00B36E4C">
        <w:rPr>
          <w:rFonts w:ascii="Verdana" w:hAnsi="Verdana"/>
          <w:sz w:val="20"/>
          <w:szCs w:val="20"/>
          <w:lang w:val="bg-BG" w:eastAsia="bg-BG"/>
        </w:rPr>
        <w:t>of</w:t>
      </w:r>
      <w:proofErr w:type="spellEnd"/>
      <w:r w:rsidRPr="00B36E4C">
        <w:rPr>
          <w:rFonts w:ascii="Verdana" w:hAnsi="Verdana"/>
          <w:sz w:val="20"/>
          <w:szCs w:val="20"/>
          <w:lang w:val="bg-BG" w:eastAsia="bg-BG"/>
        </w:rPr>
        <w:t xml:space="preserve"> Consulting </w:t>
      </w:r>
      <w:proofErr w:type="spellStart"/>
      <w:r w:rsidRPr="00B36E4C">
        <w:rPr>
          <w:rFonts w:ascii="Verdana" w:hAnsi="Verdana"/>
          <w:sz w:val="20"/>
          <w:szCs w:val="20"/>
          <w:lang w:val="bg-BG" w:eastAsia="bg-BG"/>
        </w:rPr>
        <w:t>Engineers</w:t>
      </w:r>
      <w:proofErr w:type="spellEnd"/>
    </w:p>
    <w:p w14:paraId="3C6A85C7"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hAnsi="Verdana"/>
          <w:sz w:val="20"/>
          <w:szCs w:val="20"/>
          <w:lang w:eastAsia="bg-BG"/>
        </w:rPr>
        <w:t>GA</w:t>
      </w:r>
      <w:r w:rsidRPr="00B36E4C">
        <w:rPr>
          <w:rFonts w:ascii="Verdana" w:hAnsi="Verdana"/>
          <w:sz w:val="20"/>
          <w:szCs w:val="20"/>
          <w:lang w:eastAsia="bg-BG"/>
        </w:rPr>
        <w:tab/>
      </w:r>
      <w:r w:rsidRPr="00B36E4C">
        <w:rPr>
          <w:rFonts w:ascii="Verdana" w:hAnsi="Verdana"/>
          <w:sz w:val="20"/>
          <w:szCs w:val="20"/>
          <w:lang w:eastAsia="bg-BG"/>
        </w:rPr>
        <w:tab/>
        <w:t>Grant Agreement</w:t>
      </w:r>
    </w:p>
    <w:p w14:paraId="5D9AE740" w14:textId="77777777" w:rsidR="00B36E4C" w:rsidRPr="00B36E4C" w:rsidRDefault="00B36E4C" w:rsidP="00B36E4C">
      <w:pPr>
        <w:spacing w:after="0" w:line="240" w:lineRule="auto"/>
        <w:jc w:val="both"/>
        <w:rPr>
          <w:rFonts w:ascii="Verdana" w:hAnsi="Verdana"/>
          <w:sz w:val="20"/>
          <w:szCs w:val="20"/>
          <w:lang w:eastAsia="bg-BG"/>
        </w:rPr>
      </w:pPr>
      <w:r w:rsidRPr="00B36E4C">
        <w:rPr>
          <w:rFonts w:ascii="Verdana" w:hAnsi="Verdana"/>
          <w:sz w:val="20"/>
          <w:szCs w:val="20"/>
          <w:lang w:eastAsia="bg-BG"/>
        </w:rPr>
        <w:t>GC</w:t>
      </w:r>
      <w:r w:rsidRPr="00B36E4C">
        <w:rPr>
          <w:rFonts w:ascii="Verdana" w:hAnsi="Verdana"/>
          <w:sz w:val="20"/>
          <w:szCs w:val="20"/>
          <w:lang w:eastAsia="bg-BG"/>
        </w:rPr>
        <w:tab/>
      </w:r>
      <w:r w:rsidRPr="00B36E4C">
        <w:rPr>
          <w:rFonts w:ascii="Verdana" w:hAnsi="Verdana"/>
          <w:sz w:val="20"/>
          <w:szCs w:val="20"/>
          <w:lang w:eastAsia="bg-BG"/>
        </w:rPr>
        <w:tab/>
        <w:t>Grant Contract</w:t>
      </w:r>
    </w:p>
    <w:p w14:paraId="1AA678CA" w14:textId="77777777" w:rsidR="00B36E4C" w:rsidRPr="00B36E4C" w:rsidRDefault="00B36E4C" w:rsidP="00B36E4C">
      <w:pPr>
        <w:spacing w:after="0" w:line="240" w:lineRule="auto"/>
        <w:jc w:val="both"/>
        <w:rPr>
          <w:rFonts w:ascii="Verdana" w:hAnsi="Verdana"/>
          <w:sz w:val="20"/>
          <w:szCs w:val="20"/>
          <w:lang w:val="en" w:eastAsia="bg-BG"/>
        </w:rPr>
      </w:pPr>
      <w:r w:rsidRPr="00B36E4C">
        <w:rPr>
          <w:rFonts w:ascii="Verdana" w:hAnsi="Verdana"/>
          <w:sz w:val="20"/>
          <w:szCs w:val="20"/>
          <w:lang w:val="en" w:eastAsia="bg-BG"/>
        </w:rPr>
        <w:t>GD</w:t>
      </w:r>
      <w:r w:rsidRPr="00B36E4C">
        <w:rPr>
          <w:rFonts w:ascii="Verdana" w:hAnsi="Verdana"/>
          <w:sz w:val="20"/>
          <w:szCs w:val="20"/>
          <w:lang w:val="en" w:eastAsia="bg-BG"/>
        </w:rPr>
        <w:tab/>
      </w:r>
      <w:r w:rsidRPr="00B36E4C">
        <w:rPr>
          <w:rFonts w:ascii="Verdana" w:hAnsi="Verdana"/>
          <w:sz w:val="20"/>
          <w:szCs w:val="20"/>
          <w:lang w:val="en" w:eastAsia="bg-BG"/>
        </w:rPr>
        <w:tab/>
        <w:t>General Directorate</w:t>
      </w:r>
    </w:p>
    <w:p w14:paraId="7F749E7E"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eastAsia="Times New Roman" w:hAnsi="Verdana" w:cs="Times New Roman"/>
          <w:sz w:val="20"/>
          <w:szCs w:val="20"/>
          <w:lang w:val="bg-BG" w:eastAsia="bg-BG"/>
        </w:rPr>
        <w:t xml:space="preserve">GDP </w:t>
      </w:r>
      <w:r w:rsidRPr="00B36E4C">
        <w:rPr>
          <w:rFonts w:ascii="Verdana" w:eastAsia="Times New Roman" w:hAnsi="Verdana" w:cs="Times New Roman"/>
          <w:sz w:val="20"/>
          <w:szCs w:val="20"/>
          <w:lang w:val="en-US" w:eastAsia="bg-BG"/>
        </w:rPr>
        <w:t xml:space="preserve">             </w:t>
      </w:r>
      <w:proofErr w:type="spellStart"/>
      <w:r w:rsidRPr="00B36E4C">
        <w:rPr>
          <w:rFonts w:ascii="Verdana" w:eastAsia="Times New Roman" w:hAnsi="Verdana" w:cs="Times New Roman"/>
          <w:sz w:val="20"/>
          <w:szCs w:val="20"/>
          <w:lang w:val="bg-BG" w:eastAsia="bg-BG"/>
        </w:rPr>
        <w:t>Gross</w:t>
      </w:r>
      <w:proofErr w:type="spellEnd"/>
      <w:r w:rsidRPr="00B36E4C">
        <w:rPr>
          <w:rFonts w:ascii="Verdana" w:eastAsia="Times New Roman" w:hAnsi="Verdana" w:cs="Times New Roman"/>
          <w:sz w:val="20"/>
          <w:szCs w:val="20"/>
          <w:lang w:val="bg-BG" w:eastAsia="bg-BG"/>
        </w:rPr>
        <w:t xml:space="preserve"> </w:t>
      </w:r>
      <w:proofErr w:type="spellStart"/>
      <w:r w:rsidRPr="00B36E4C">
        <w:rPr>
          <w:rFonts w:ascii="Verdana" w:eastAsia="Times New Roman" w:hAnsi="Verdana" w:cs="Times New Roman"/>
          <w:sz w:val="20"/>
          <w:szCs w:val="20"/>
          <w:lang w:val="bg-BG" w:eastAsia="bg-BG"/>
        </w:rPr>
        <w:t>Domestic</w:t>
      </w:r>
      <w:proofErr w:type="spellEnd"/>
      <w:r w:rsidRPr="00B36E4C">
        <w:rPr>
          <w:rFonts w:ascii="Verdana" w:eastAsia="Times New Roman" w:hAnsi="Verdana" w:cs="Times New Roman"/>
          <w:sz w:val="20"/>
          <w:szCs w:val="20"/>
          <w:lang w:val="bg-BG" w:eastAsia="bg-BG"/>
        </w:rPr>
        <w:t xml:space="preserve"> </w:t>
      </w:r>
      <w:proofErr w:type="spellStart"/>
      <w:r w:rsidRPr="00B36E4C">
        <w:rPr>
          <w:rFonts w:ascii="Verdana" w:eastAsia="Times New Roman" w:hAnsi="Verdana" w:cs="Times New Roman"/>
          <w:sz w:val="20"/>
          <w:szCs w:val="20"/>
          <w:lang w:val="bg-BG" w:eastAsia="bg-BG"/>
        </w:rPr>
        <w:t>Product</w:t>
      </w:r>
      <w:proofErr w:type="spellEnd"/>
    </w:p>
    <w:p w14:paraId="37F1420F" w14:textId="77777777" w:rsidR="00B36E4C" w:rsidRPr="00B36E4C" w:rsidRDefault="00B36E4C" w:rsidP="00B36E4C">
      <w:pPr>
        <w:spacing w:after="0" w:line="240" w:lineRule="auto"/>
        <w:jc w:val="both"/>
        <w:rPr>
          <w:rFonts w:ascii="Verdana" w:hAnsi="Verdana"/>
          <w:sz w:val="20"/>
          <w:szCs w:val="20"/>
          <w:lang w:val="en" w:eastAsia="bg-BG"/>
        </w:rPr>
      </w:pPr>
      <w:r w:rsidRPr="00B36E4C">
        <w:rPr>
          <w:rFonts w:ascii="Verdana" w:hAnsi="Verdana"/>
          <w:sz w:val="20"/>
          <w:szCs w:val="20"/>
          <w:lang w:val="en" w:eastAsia="bg-BG"/>
        </w:rPr>
        <w:t>GEMP</w:t>
      </w:r>
      <w:r w:rsidRPr="00B36E4C">
        <w:rPr>
          <w:rFonts w:ascii="Verdana" w:hAnsi="Verdana"/>
          <w:sz w:val="20"/>
          <w:szCs w:val="20"/>
          <w:lang w:val="en" w:eastAsia="bg-BG"/>
        </w:rPr>
        <w:tab/>
      </w:r>
      <w:r w:rsidRPr="00B36E4C">
        <w:rPr>
          <w:rFonts w:ascii="Verdana" w:hAnsi="Verdana"/>
          <w:sz w:val="20"/>
          <w:szCs w:val="20"/>
          <w:lang w:val="en" w:eastAsia="bg-BG"/>
        </w:rPr>
        <w:tab/>
        <w:t xml:space="preserve">General Environment Monitoring Plan </w:t>
      </w:r>
    </w:p>
    <w:p w14:paraId="3D7FFDB6"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hAnsi="Verdana"/>
          <w:sz w:val="20"/>
          <w:szCs w:val="20"/>
          <w:lang w:val="en" w:eastAsia="bg-BG"/>
        </w:rPr>
        <w:t>GIS</w:t>
      </w:r>
      <w:r w:rsidRPr="00B36E4C">
        <w:rPr>
          <w:rFonts w:ascii="Verdana" w:hAnsi="Verdana"/>
          <w:sz w:val="20"/>
          <w:szCs w:val="20"/>
          <w:lang w:val="en" w:eastAsia="bg-BG"/>
        </w:rPr>
        <w:tab/>
      </w:r>
      <w:r w:rsidRPr="00B36E4C">
        <w:rPr>
          <w:rFonts w:ascii="Verdana" w:hAnsi="Verdana"/>
          <w:sz w:val="20"/>
          <w:szCs w:val="20"/>
          <w:lang w:val="en" w:eastAsia="bg-BG"/>
        </w:rPr>
        <w:tab/>
        <w:t>Geographical Information System</w:t>
      </w:r>
      <w:r w:rsidRPr="00B36E4C">
        <w:rPr>
          <w:rFonts w:ascii="Verdana" w:hAnsi="Verdana"/>
          <w:sz w:val="20"/>
          <w:szCs w:val="20"/>
          <w:lang w:val="en" w:eastAsia="bg-BG"/>
        </w:rPr>
        <w:tab/>
      </w:r>
    </w:p>
    <w:p w14:paraId="7234F4CC"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 xml:space="preserve">GT </w:t>
      </w:r>
      <w:r w:rsidRPr="00B36E4C">
        <w:rPr>
          <w:rFonts w:ascii="Verdana" w:eastAsia="Times New Roman" w:hAnsi="Verdana" w:cs="Times New Roman"/>
          <w:color w:val="000000"/>
          <w:sz w:val="20"/>
          <w:szCs w:val="20"/>
          <w:lang w:eastAsia="bg-BG"/>
        </w:rPr>
        <w:tab/>
      </w:r>
      <w:r w:rsidRPr="00B36E4C">
        <w:rPr>
          <w:rFonts w:ascii="Verdana" w:eastAsia="Times New Roman" w:hAnsi="Verdana" w:cs="Times New Roman"/>
          <w:color w:val="000000"/>
          <w:sz w:val="20"/>
          <w:szCs w:val="20"/>
          <w:lang w:eastAsia="bg-BG"/>
        </w:rPr>
        <w:tab/>
        <w:t>Gross tonnage</w:t>
      </w:r>
    </w:p>
    <w:p w14:paraId="74A03376" w14:textId="77777777" w:rsidR="00B36E4C" w:rsidRPr="00B36E4C" w:rsidRDefault="00B36E4C" w:rsidP="00B36E4C">
      <w:pPr>
        <w:spacing w:after="0" w:line="240" w:lineRule="auto"/>
        <w:jc w:val="both"/>
        <w:rPr>
          <w:rFonts w:ascii="Verdana" w:hAnsi="Verdana"/>
          <w:sz w:val="20"/>
          <w:szCs w:val="20"/>
          <w:lang w:val="en" w:eastAsia="bg-BG"/>
        </w:rPr>
      </w:pPr>
      <w:r w:rsidRPr="00B36E4C">
        <w:rPr>
          <w:rFonts w:ascii="Verdana" w:hAnsi="Verdana"/>
          <w:sz w:val="20"/>
          <w:szCs w:val="20"/>
          <w:lang w:val="en" w:eastAsia="bg-BG"/>
        </w:rPr>
        <w:t>GTMP</w:t>
      </w:r>
      <w:r w:rsidRPr="00B36E4C">
        <w:rPr>
          <w:rFonts w:ascii="Verdana" w:hAnsi="Verdana"/>
          <w:sz w:val="20"/>
          <w:szCs w:val="20"/>
          <w:lang w:val="en" w:eastAsia="bg-BG"/>
        </w:rPr>
        <w:tab/>
      </w:r>
      <w:r w:rsidRPr="00B36E4C">
        <w:rPr>
          <w:rFonts w:ascii="Verdana" w:hAnsi="Verdana"/>
          <w:sz w:val="20"/>
          <w:szCs w:val="20"/>
          <w:lang w:val="en" w:eastAsia="bg-BG"/>
        </w:rPr>
        <w:tab/>
        <w:t>General Transport Master Plan</w:t>
      </w:r>
    </w:p>
    <w:p w14:paraId="40E331B9"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IA</w:t>
      </w:r>
      <w:r w:rsidRPr="00B36E4C">
        <w:rPr>
          <w:rFonts w:ascii="Verdana" w:eastAsia="Times New Roman" w:hAnsi="Verdana" w:cs="Times New Roman"/>
          <w:color w:val="000000"/>
          <w:sz w:val="20"/>
          <w:szCs w:val="20"/>
          <w:lang w:eastAsia="bg-BG"/>
        </w:rPr>
        <w:tab/>
      </w:r>
      <w:r w:rsidRPr="00B36E4C">
        <w:rPr>
          <w:rFonts w:ascii="Verdana" w:eastAsia="Times New Roman" w:hAnsi="Verdana" w:cs="Times New Roman"/>
          <w:color w:val="000000"/>
          <w:sz w:val="20"/>
          <w:szCs w:val="20"/>
          <w:lang w:eastAsia="bg-BG"/>
        </w:rPr>
        <w:tab/>
        <w:t>Implementing Agency</w:t>
      </w:r>
    </w:p>
    <w:p w14:paraId="66F769C9" w14:textId="77777777" w:rsidR="00B36E4C" w:rsidRPr="00B36E4C" w:rsidRDefault="00B36E4C" w:rsidP="00B36E4C">
      <w:pPr>
        <w:spacing w:after="0" w:line="240" w:lineRule="auto"/>
        <w:jc w:val="both"/>
        <w:rPr>
          <w:rFonts w:ascii="Verdana" w:hAnsi="Verdana"/>
          <w:sz w:val="20"/>
          <w:szCs w:val="20"/>
          <w:lang w:val="en"/>
        </w:rPr>
      </w:pPr>
      <w:bookmarkStart w:id="5" w:name="_Hlk61354583"/>
      <w:r w:rsidRPr="00B36E4C">
        <w:rPr>
          <w:rFonts w:ascii="Verdana" w:hAnsi="Verdana"/>
          <w:sz w:val="20"/>
          <w:szCs w:val="20"/>
          <w:lang w:val="en"/>
        </w:rPr>
        <w:t>IAWP</w:t>
      </w:r>
      <w:r w:rsidRPr="00B36E4C">
        <w:rPr>
          <w:rFonts w:ascii="Verdana" w:hAnsi="Verdana"/>
          <w:sz w:val="20"/>
          <w:szCs w:val="20"/>
          <w:lang w:val="en"/>
        </w:rPr>
        <w:tab/>
      </w:r>
      <w:r w:rsidRPr="00B36E4C">
        <w:rPr>
          <w:rFonts w:ascii="Verdana" w:hAnsi="Verdana"/>
          <w:sz w:val="20"/>
          <w:szCs w:val="20"/>
          <w:lang w:val="en"/>
        </w:rPr>
        <w:tab/>
        <w:t>Indicative Annual Working Programme</w:t>
      </w:r>
    </w:p>
    <w:bookmarkEnd w:id="5"/>
    <w:p w14:paraId="3CA22D38"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eastAsia="Times New Roman" w:hAnsi="Verdana" w:cs="Times New Roman"/>
          <w:sz w:val="20"/>
          <w:szCs w:val="20"/>
          <w:lang w:val="bg-BG" w:eastAsia="bg-BG"/>
        </w:rPr>
        <w:t xml:space="preserve">IMT </w:t>
      </w:r>
      <w:r w:rsidRPr="00B36E4C">
        <w:rPr>
          <w:rFonts w:ascii="Verdana" w:eastAsia="Times New Roman" w:hAnsi="Verdana" w:cs="Times New Roman"/>
          <w:sz w:val="20"/>
          <w:szCs w:val="20"/>
          <w:lang w:val="bg-BG" w:eastAsia="bg-BG"/>
        </w:rPr>
        <w:tab/>
      </w:r>
      <w:r w:rsidRPr="00B36E4C">
        <w:rPr>
          <w:rFonts w:ascii="Verdana" w:eastAsia="Times New Roman" w:hAnsi="Verdana" w:cs="Times New Roman"/>
          <w:sz w:val="20"/>
          <w:szCs w:val="20"/>
          <w:lang w:val="bg-BG" w:eastAsia="bg-BG"/>
        </w:rPr>
        <w:tab/>
      </w:r>
      <w:proofErr w:type="spellStart"/>
      <w:r w:rsidRPr="00B36E4C">
        <w:rPr>
          <w:rFonts w:ascii="Verdana" w:eastAsia="Times New Roman" w:hAnsi="Verdana" w:cs="Times New Roman"/>
          <w:sz w:val="20"/>
          <w:szCs w:val="20"/>
          <w:lang w:val="bg-BG" w:eastAsia="bg-BG"/>
        </w:rPr>
        <w:t>Intermodal</w:t>
      </w:r>
      <w:proofErr w:type="spellEnd"/>
      <w:r w:rsidRPr="00B36E4C">
        <w:rPr>
          <w:rFonts w:ascii="Verdana" w:eastAsia="Times New Roman" w:hAnsi="Verdana" w:cs="Times New Roman"/>
          <w:sz w:val="20"/>
          <w:szCs w:val="20"/>
          <w:lang w:val="bg-BG" w:eastAsia="bg-BG"/>
        </w:rPr>
        <w:t xml:space="preserve"> Terminal</w:t>
      </w:r>
    </w:p>
    <w:p w14:paraId="34AD9815" w14:textId="4D19D20D" w:rsidR="00B36E4C" w:rsidRPr="00B36E4C" w:rsidRDefault="00B36E4C" w:rsidP="00B36E4C">
      <w:pPr>
        <w:spacing w:after="0" w:line="240" w:lineRule="auto"/>
        <w:jc w:val="both"/>
        <w:rPr>
          <w:rFonts w:ascii="Verdana" w:hAnsi="Verdana"/>
          <w:sz w:val="20"/>
          <w:szCs w:val="20"/>
          <w:lang w:val="en" w:eastAsia="bg-BG"/>
        </w:rPr>
      </w:pPr>
      <w:bookmarkStart w:id="6" w:name="_Hlk61351792"/>
      <w:r w:rsidRPr="00B36E4C">
        <w:rPr>
          <w:rFonts w:ascii="Verdana" w:hAnsi="Verdana"/>
          <w:sz w:val="20"/>
          <w:szCs w:val="20"/>
          <w:lang w:val="en" w:eastAsia="bg-BG"/>
        </w:rPr>
        <w:t>ISMM</w:t>
      </w:r>
      <w:bookmarkEnd w:id="6"/>
      <w:r w:rsidRPr="00B36E4C">
        <w:rPr>
          <w:rFonts w:ascii="Verdana" w:hAnsi="Verdana"/>
          <w:sz w:val="20"/>
          <w:szCs w:val="20"/>
          <w:lang w:val="en" w:eastAsia="bg-BG"/>
        </w:rPr>
        <w:tab/>
      </w:r>
      <w:r w:rsidRPr="00B36E4C">
        <w:rPr>
          <w:rFonts w:ascii="Verdana" w:hAnsi="Verdana"/>
          <w:sz w:val="20"/>
          <w:szCs w:val="20"/>
          <w:lang w:val="en" w:eastAsia="bg-BG"/>
        </w:rPr>
        <w:tab/>
        <w:t xml:space="preserve">Information </w:t>
      </w:r>
      <w:r w:rsidRPr="00B36E4C">
        <w:rPr>
          <w:rFonts w:ascii="Verdana" w:hAnsi="Verdana"/>
          <w:sz w:val="20"/>
          <w:szCs w:val="20"/>
          <w:lang w:eastAsia="bg-BG"/>
        </w:rPr>
        <w:t>S</w:t>
      </w:r>
      <w:proofErr w:type="spellStart"/>
      <w:r w:rsidRPr="00B36E4C">
        <w:rPr>
          <w:rFonts w:ascii="Verdana" w:hAnsi="Verdana"/>
          <w:sz w:val="20"/>
          <w:szCs w:val="20"/>
          <w:lang w:val="en" w:eastAsia="bg-BG"/>
        </w:rPr>
        <w:t>ystem</w:t>
      </w:r>
      <w:proofErr w:type="spellEnd"/>
      <w:r w:rsidRPr="00B36E4C">
        <w:rPr>
          <w:rFonts w:ascii="Verdana" w:hAnsi="Verdana"/>
          <w:sz w:val="20"/>
          <w:szCs w:val="20"/>
          <w:lang w:val="en" w:eastAsia="bg-BG"/>
        </w:rPr>
        <w:t xml:space="preserve"> for Management and Monitoring of EU funds in Bulgaria</w:t>
      </w:r>
    </w:p>
    <w:p w14:paraId="02B03633" w14:textId="77777777" w:rsidR="00B36E4C" w:rsidRPr="00B36E4C" w:rsidRDefault="00B36E4C" w:rsidP="00B36E4C">
      <w:pPr>
        <w:tabs>
          <w:tab w:val="left" w:pos="720"/>
          <w:tab w:val="left" w:pos="1440"/>
          <w:tab w:val="left" w:pos="2160"/>
          <w:tab w:val="left" w:pos="2880"/>
          <w:tab w:val="left" w:pos="3600"/>
          <w:tab w:val="left" w:pos="4320"/>
          <w:tab w:val="left" w:pos="5040"/>
          <w:tab w:val="left" w:pos="5760"/>
          <w:tab w:val="left" w:pos="6480"/>
          <w:tab w:val="left" w:pos="7200"/>
          <w:tab w:val="left" w:pos="7776"/>
        </w:tabs>
        <w:spacing w:after="0" w:line="240" w:lineRule="auto"/>
        <w:jc w:val="both"/>
        <w:rPr>
          <w:rFonts w:ascii="Verdana" w:eastAsia="Times New Roman" w:hAnsi="Verdana" w:cs="Times New Roman"/>
          <w:sz w:val="20"/>
          <w:szCs w:val="20"/>
          <w:lang w:val="bg-BG" w:eastAsia="bg-BG"/>
        </w:rPr>
      </w:pPr>
      <w:r w:rsidRPr="00B36E4C">
        <w:rPr>
          <w:rFonts w:ascii="Verdana" w:hAnsi="Verdana"/>
          <w:sz w:val="20"/>
          <w:szCs w:val="20"/>
          <w:lang w:val="en" w:eastAsia="bg-BG"/>
        </w:rPr>
        <w:t>ISPA</w:t>
      </w:r>
      <w:r w:rsidRPr="00B36E4C">
        <w:rPr>
          <w:rFonts w:ascii="Verdana" w:hAnsi="Verdana"/>
          <w:sz w:val="20"/>
          <w:szCs w:val="20"/>
          <w:lang w:val="en" w:eastAsia="bg-BG"/>
        </w:rPr>
        <w:tab/>
      </w:r>
      <w:r w:rsidRPr="00B36E4C">
        <w:rPr>
          <w:rFonts w:ascii="Verdana" w:hAnsi="Verdana"/>
          <w:sz w:val="20"/>
          <w:szCs w:val="20"/>
          <w:lang w:val="en" w:eastAsia="bg-BG"/>
        </w:rPr>
        <w:tab/>
        <w:t>Instrument for Structural Accession Policies</w:t>
      </w:r>
      <w:r w:rsidRPr="00B36E4C">
        <w:rPr>
          <w:rFonts w:ascii="Verdana" w:hAnsi="Verdana"/>
          <w:sz w:val="20"/>
          <w:szCs w:val="20"/>
          <w:lang w:val="en" w:eastAsia="bg-BG"/>
        </w:rPr>
        <w:tab/>
      </w:r>
    </w:p>
    <w:p w14:paraId="3D1BEA77" w14:textId="77777777" w:rsidR="00B36E4C" w:rsidRPr="00B36E4C" w:rsidRDefault="00B36E4C" w:rsidP="00B36E4C">
      <w:pPr>
        <w:spacing w:after="0" w:line="240" w:lineRule="auto"/>
        <w:jc w:val="both"/>
        <w:rPr>
          <w:rFonts w:ascii="Verdana" w:hAnsi="Verdana"/>
          <w:sz w:val="20"/>
          <w:szCs w:val="20"/>
          <w:lang w:val="en" w:eastAsia="bg-BG"/>
        </w:rPr>
      </w:pPr>
      <w:r w:rsidRPr="00B36E4C">
        <w:rPr>
          <w:rFonts w:ascii="Verdana" w:hAnsi="Verdana"/>
          <w:sz w:val="20"/>
          <w:szCs w:val="20"/>
          <w:lang w:val="en" w:eastAsia="bg-BG"/>
        </w:rPr>
        <w:t>ITU</w:t>
      </w:r>
      <w:r w:rsidRPr="00B36E4C">
        <w:rPr>
          <w:rFonts w:ascii="Verdana" w:hAnsi="Verdana"/>
          <w:sz w:val="20"/>
          <w:szCs w:val="20"/>
          <w:lang w:val="en" w:eastAsia="bg-BG"/>
        </w:rPr>
        <w:tab/>
      </w:r>
      <w:r w:rsidRPr="00B36E4C">
        <w:rPr>
          <w:rFonts w:ascii="Verdana" w:hAnsi="Verdana"/>
          <w:sz w:val="20"/>
          <w:szCs w:val="20"/>
          <w:lang w:val="en" w:eastAsia="bg-BG"/>
        </w:rPr>
        <w:tab/>
        <w:t>Intermodal Transport Unit</w:t>
      </w:r>
    </w:p>
    <w:p w14:paraId="72FEA9F3" w14:textId="77777777" w:rsidR="00B36E4C" w:rsidRPr="00B36E4C" w:rsidRDefault="00B36E4C" w:rsidP="00B36E4C">
      <w:pPr>
        <w:spacing w:after="0" w:line="240" w:lineRule="auto"/>
        <w:ind w:left="1410" w:hanging="1410"/>
        <w:jc w:val="both"/>
        <w:rPr>
          <w:rFonts w:ascii="Verdana" w:eastAsia="Times New Roman" w:hAnsi="Verdana" w:cs="Times New Roman"/>
          <w:sz w:val="20"/>
          <w:szCs w:val="20"/>
          <w:lang w:val="bg-BG" w:eastAsia="bg-BG"/>
        </w:rPr>
      </w:pPr>
      <w:r w:rsidRPr="00B36E4C">
        <w:rPr>
          <w:rFonts w:ascii="Verdana" w:hAnsi="Verdana"/>
          <w:sz w:val="20"/>
          <w:szCs w:val="20"/>
          <w:lang w:val="en" w:eastAsia="bg-BG"/>
        </w:rPr>
        <w:t>JASPERS</w:t>
      </w:r>
      <w:r w:rsidRPr="00B36E4C">
        <w:rPr>
          <w:rFonts w:ascii="Verdana" w:hAnsi="Verdana"/>
          <w:sz w:val="20"/>
          <w:szCs w:val="20"/>
          <w:lang w:val="en" w:eastAsia="bg-BG"/>
        </w:rPr>
        <w:tab/>
        <w:t xml:space="preserve">A joint initiative of the EC, EIB and EBRD for provision of technical assistance in the preparation of major infrastructure projects </w:t>
      </w:r>
    </w:p>
    <w:p w14:paraId="2ECAD480"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eastAsia="Times New Roman" w:hAnsi="Verdana" w:cs="Times New Roman"/>
          <w:sz w:val="20"/>
          <w:szCs w:val="20"/>
          <w:lang w:val="bg-BG" w:eastAsia="bg-BG"/>
        </w:rPr>
        <w:t xml:space="preserve">KR </w:t>
      </w:r>
      <w:r w:rsidRPr="00B36E4C">
        <w:rPr>
          <w:rFonts w:ascii="Verdana" w:eastAsia="Times New Roman" w:hAnsi="Verdana" w:cs="Times New Roman"/>
          <w:sz w:val="20"/>
          <w:szCs w:val="20"/>
          <w:lang w:val="bg-BG" w:eastAsia="bg-BG"/>
        </w:rPr>
        <w:tab/>
      </w:r>
      <w:r w:rsidRPr="00B36E4C">
        <w:rPr>
          <w:rFonts w:ascii="Verdana" w:eastAsia="Times New Roman" w:hAnsi="Verdana" w:cs="Times New Roman"/>
          <w:sz w:val="20"/>
          <w:szCs w:val="20"/>
          <w:lang w:val="bg-BG" w:eastAsia="bg-BG"/>
        </w:rPr>
        <w:tab/>
        <w:t xml:space="preserve">Key </w:t>
      </w:r>
      <w:proofErr w:type="spellStart"/>
      <w:r w:rsidRPr="00B36E4C">
        <w:rPr>
          <w:rFonts w:ascii="Verdana" w:eastAsia="Times New Roman" w:hAnsi="Verdana" w:cs="Times New Roman"/>
          <w:sz w:val="20"/>
          <w:szCs w:val="20"/>
          <w:lang w:val="bg-BG" w:eastAsia="bg-BG"/>
        </w:rPr>
        <w:t>Requirement</w:t>
      </w:r>
      <w:proofErr w:type="spellEnd"/>
    </w:p>
    <w:p w14:paraId="36470AD7"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hAnsi="Verdana"/>
          <w:sz w:val="20"/>
          <w:szCs w:val="20"/>
          <w:lang w:val="en" w:eastAsia="bg-BG"/>
        </w:rPr>
        <w:t xml:space="preserve">L </w:t>
      </w:r>
      <w:r w:rsidRPr="00B36E4C">
        <w:rPr>
          <w:rFonts w:ascii="Verdana" w:hAnsi="Verdana"/>
          <w:sz w:val="20"/>
          <w:szCs w:val="20"/>
          <w:lang w:val="en" w:eastAsia="bg-BG"/>
        </w:rPr>
        <w:tab/>
      </w:r>
      <w:r w:rsidRPr="00B36E4C">
        <w:rPr>
          <w:rFonts w:ascii="Verdana" w:hAnsi="Verdana"/>
          <w:sz w:val="20"/>
          <w:szCs w:val="20"/>
          <w:lang w:val="en" w:eastAsia="bg-BG"/>
        </w:rPr>
        <w:tab/>
        <w:t>Length</w:t>
      </w:r>
      <w:r w:rsidRPr="00B36E4C">
        <w:rPr>
          <w:rFonts w:ascii="Verdana" w:hAnsi="Verdana"/>
          <w:sz w:val="20"/>
          <w:szCs w:val="20"/>
          <w:lang w:val="en" w:eastAsia="bg-BG"/>
        </w:rPr>
        <w:tab/>
      </w:r>
    </w:p>
    <w:p w14:paraId="5E77B9DD"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hAnsi="Verdana"/>
          <w:sz w:val="20"/>
          <w:szCs w:val="20"/>
          <w:lang w:val="en" w:eastAsia="bg-BG"/>
        </w:rPr>
        <w:t>MA</w:t>
      </w:r>
      <w:r w:rsidRPr="00B36E4C">
        <w:rPr>
          <w:rFonts w:ascii="Verdana" w:hAnsi="Verdana"/>
          <w:sz w:val="20"/>
          <w:szCs w:val="20"/>
          <w:lang w:val="en" w:eastAsia="bg-BG"/>
        </w:rPr>
        <w:tab/>
      </w:r>
      <w:r w:rsidRPr="00B36E4C">
        <w:rPr>
          <w:rFonts w:ascii="Verdana" w:hAnsi="Verdana"/>
          <w:sz w:val="20"/>
          <w:szCs w:val="20"/>
          <w:lang w:val="en" w:eastAsia="bg-BG"/>
        </w:rPr>
        <w:tab/>
        <w:t>Managing Authority</w:t>
      </w:r>
      <w:r w:rsidRPr="00B36E4C">
        <w:rPr>
          <w:rFonts w:ascii="Verdana" w:hAnsi="Verdana"/>
          <w:sz w:val="20"/>
          <w:szCs w:val="20"/>
          <w:lang w:val="en" w:eastAsia="bg-BG"/>
        </w:rPr>
        <w:tab/>
      </w:r>
    </w:p>
    <w:p w14:paraId="3222325F"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 xml:space="preserve">MAEA </w:t>
      </w:r>
      <w:r w:rsidRPr="00B36E4C">
        <w:rPr>
          <w:rFonts w:ascii="Verdana" w:hAnsi="Verdana"/>
          <w:sz w:val="20"/>
          <w:szCs w:val="20"/>
        </w:rPr>
        <w:t xml:space="preserve"> </w:t>
      </w:r>
      <w:r w:rsidRPr="00B36E4C">
        <w:rPr>
          <w:rFonts w:ascii="Verdana" w:hAnsi="Verdana"/>
          <w:sz w:val="20"/>
          <w:szCs w:val="20"/>
        </w:rPr>
        <w:tab/>
      </w:r>
      <w:r w:rsidRPr="00B36E4C">
        <w:rPr>
          <w:rFonts w:ascii="Verdana" w:hAnsi="Verdana"/>
          <w:sz w:val="20"/>
          <w:szCs w:val="20"/>
        </w:rPr>
        <w:tab/>
      </w:r>
      <w:r w:rsidRPr="00B36E4C">
        <w:rPr>
          <w:rFonts w:ascii="Verdana" w:eastAsia="Times New Roman" w:hAnsi="Verdana" w:cs="Times New Roman"/>
          <w:color w:val="000000"/>
          <w:sz w:val="20"/>
          <w:szCs w:val="20"/>
          <w:lang w:eastAsia="bg-BG"/>
        </w:rPr>
        <w:t>Maritime Administration Executive Agency</w:t>
      </w:r>
    </w:p>
    <w:p w14:paraId="64F32D3E"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hAnsi="Verdana"/>
          <w:sz w:val="20"/>
          <w:szCs w:val="20"/>
          <w:lang w:val="en" w:eastAsia="bg-BG"/>
        </w:rPr>
        <w:t>MC</w:t>
      </w:r>
      <w:r w:rsidRPr="00B36E4C">
        <w:rPr>
          <w:rFonts w:ascii="Verdana" w:hAnsi="Verdana"/>
          <w:sz w:val="20"/>
          <w:szCs w:val="20"/>
          <w:lang w:val="en" w:eastAsia="bg-BG"/>
        </w:rPr>
        <w:tab/>
      </w:r>
      <w:r w:rsidRPr="00B36E4C">
        <w:rPr>
          <w:rFonts w:ascii="Verdana" w:hAnsi="Verdana"/>
          <w:sz w:val="20"/>
          <w:szCs w:val="20"/>
          <w:lang w:val="en" w:eastAsia="bg-BG"/>
        </w:rPr>
        <w:tab/>
        <w:t>Monitoring Committee</w:t>
      </w:r>
      <w:r w:rsidRPr="00B36E4C">
        <w:rPr>
          <w:rFonts w:ascii="Verdana" w:hAnsi="Verdana"/>
          <w:sz w:val="20"/>
          <w:szCs w:val="20"/>
          <w:lang w:val="en" w:eastAsia="bg-BG"/>
        </w:rPr>
        <w:tab/>
      </w:r>
    </w:p>
    <w:p w14:paraId="601B8F58"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 xml:space="preserve">MD  </w:t>
      </w:r>
      <w:r w:rsidRPr="00B36E4C">
        <w:rPr>
          <w:rFonts w:ascii="Verdana" w:eastAsia="Times New Roman" w:hAnsi="Verdana" w:cs="Times New Roman"/>
          <w:color w:val="000000"/>
          <w:sz w:val="20"/>
          <w:szCs w:val="20"/>
          <w:lang w:eastAsia="bg-BG"/>
        </w:rPr>
        <w:tab/>
      </w:r>
      <w:r w:rsidRPr="00B36E4C">
        <w:rPr>
          <w:rFonts w:ascii="Verdana" w:eastAsia="Times New Roman" w:hAnsi="Verdana" w:cs="Times New Roman"/>
          <w:color w:val="000000"/>
          <w:sz w:val="20"/>
          <w:szCs w:val="20"/>
          <w:lang w:eastAsia="bg-BG"/>
        </w:rPr>
        <w:tab/>
        <w:t>Ministry of Defence</w:t>
      </w:r>
    </w:p>
    <w:p w14:paraId="1C570B6C" w14:textId="77777777" w:rsidR="00B36E4C" w:rsidRPr="00B36E4C" w:rsidRDefault="00B36E4C" w:rsidP="00B36E4C">
      <w:pPr>
        <w:spacing w:after="0" w:line="240" w:lineRule="auto"/>
        <w:jc w:val="both"/>
        <w:rPr>
          <w:rFonts w:ascii="Verdana" w:hAnsi="Verdana"/>
          <w:sz w:val="20"/>
          <w:szCs w:val="20"/>
          <w:lang w:val="en" w:eastAsia="bg-BG"/>
        </w:rPr>
      </w:pPr>
      <w:r w:rsidRPr="00B36E4C">
        <w:rPr>
          <w:rFonts w:ascii="Verdana" w:hAnsi="Verdana"/>
          <w:sz w:val="20"/>
          <w:szCs w:val="20"/>
          <w:lang w:val="en" w:eastAsia="bg-BG"/>
        </w:rPr>
        <w:t>MF</w:t>
      </w:r>
      <w:r w:rsidRPr="00B36E4C">
        <w:rPr>
          <w:rFonts w:ascii="Verdana" w:hAnsi="Verdana"/>
          <w:sz w:val="20"/>
          <w:szCs w:val="20"/>
          <w:lang w:val="en" w:eastAsia="bg-BG"/>
        </w:rPr>
        <w:tab/>
      </w:r>
      <w:r w:rsidRPr="00B36E4C">
        <w:rPr>
          <w:rFonts w:ascii="Verdana" w:hAnsi="Verdana"/>
          <w:sz w:val="20"/>
          <w:szCs w:val="20"/>
          <w:lang w:val="en" w:eastAsia="bg-BG"/>
        </w:rPr>
        <w:tab/>
        <w:t>Ministry of Finance</w:t>
      </w:r>
      <w:r w:rsidRPr="00B36E4C">
        <w:rPr>
          <w:rFonts w:ascii="Verdana" w:hAnsi="Verdana"/>
          <w:sz w:val="20"/>
          <w:szCs w:val="20"/>
          <w:lang w:val="en" w:eastAsia="bg-BG"/>
        </w:rPr>
        <w:tab/>
      </w:r>
    </w:p>
    <w:p w14:paraId="38F409B9" w14:textId="77777777" w:rsidR="00B36E4C" w:rsidRPr="00B36E4C" w:rsidRDefault="00B36E4C" w:rsidP="00B36E4C">
      <w:pPr>
        <w:spacing w:after="0" w:line="240" w:lineRule="auto"/>
        <w:jc w:val="both"/>
        <w:rPr>
          <w:rFonts w:ascii="Verdana" w:hAnsi="Verdana"/>
          <w:sz w:val="20"/>
          <w:szCs w:val="20"/>
          <w:lang w:val="en" w:eastAsia="bg-BG"/>
        </w:rPr>
      </w:pPr>
      <w:r w:rsidRPr="00B36E4C">
        <w:rPr>
          <w:rFonts w:ascii="Verdana" w:hAnsi="Verdana"/>
          <w:sz w:val="20"/>
          <w:szCs w:val="20"/>
          <w:lang w:val="en" w:eastAsia="bg-BG"/>
        </w:rPr>
        <w:t>MM</w:t>
      </w:r>
      <w:r w:rsidRPr="00B36E4C">
        <w:rPr>
          <w:rFonts w:ascii="Verdana" w:hAnsi="Verdana"/>
          <w:sz w:val="20"/>
          <w:szCs w:val="20"/>
          <w:lang w:val="en" w:eastAsia="bg-BG"/>
        </w:rPr>
        <w:tab/>
      </w:r>
      <w:r w:rsidRPr="00B36E4C">
        <w:rPr>
          <w:rFonts w:ascii="Verdana" w:hAnsi="Verdana"/>
          <w:sz w:val="20"/>
          <w:szCs w:val="20"/>
          <w:lang w:val="en" w:eastAsia="bg-BG"/>
        </w:rPr>
        <w:tab/>
        <w:t>Model for Monitoring Indicators of OPT</w:t>
      </w:r>
    </w:p>
    <w:p w14:paraId="0525DB59" w14:textId="77777777" w:rsidR="00B36E4C" w:rsidRPr="00B36E4C" w:rsidRDefault="00B36E4C" w:rsidP="00B36E4C">
      <w:pPr>
        <w:spacing w:after="0" w:line="240" w:lineRule="auto"/>
        <w:jc w:val="both"/>
        <w:rPr>
          <w:rFonts w:ascii="Verdana" w:hAnsi="Verdana"/>
          <w:sz w:val="20"/>
          <w:szCs w:val="20"/>
          <w:lang w:val="en" w:eastAsia="bg-BG"/>
        </w:rPr>
      </w:pPr>
      <w:r w:rsidRPr="00B36E4C">
        <w:rPr>
          <w:rFonts w:ascii="Verdana" w:hAnsi="Verdana"/>
          <w:sz w:val="20"/>
          <w:szCs w:val="20"/>
          <w:lang w:val="en" w:eastAsia="bg-BG"/>
        </w:rPr>
        <w:t>MOEW</w:t>
      </w:r>
      <w:r w:rsidRPr="00B36E4C">
        <w:rPr>
          <w:rFonts w:ascii="Verdana" w:hAnsi="Verdana"/>
          <w:sz w:val="20"/>
          <w:szCs w:val="20"/>
          <w:lang w:val="en" w:eastAsia="bg-BG"/>
        </w:rPr>
        <w:tab/>
      </w:r>
      <w:r w:rsidRPr="00B36E4C">
        <w:rPr>
          <w:rFonts w:ascii="Verdana" w:hAnsi="Verdana"/>
          <w:sz w:val="20"/>
          <w:szCs w:val="20"/>
          <w:lang w:val="en" w:eastAsia="bg-BG"/>
        </w:rPr>
        <w:tab/>
        <w:t>Ministry of Environment and Water</w:t>
      </w:r>
    </w:p>
    <w:p w14:paraId="321A3D7C"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eastAsia="Times New Roman" w:hAnsi="Verdana" w:cs="Times New Roman"/>
          <w:sz w:val="20"/>
          <w:szCs w:val="20"/>
          <w:lang w:val="bg-BG" w:eastAsia="bg-BG"/>
        </w:rPr>
        <w:lastRenderedPageBreak/>
        <w:t xml:space="preserve">MRDPW </w:t>
      </w:r>
      <w:r w:rsidRPr="00B36E4C">
        <w:rPr>
          <w:rFonts w:ascii="Verdana" w:eastAsia="Times New Roman" w:hAnsi="Verdana" w:cs="Times New Roman"/>
          <w:sz w:val="20"/>
          <w:szCs w:val="20"/>
          <w:lang w:val="bg-BG" w:eastAsia="bg-BG"/>
        </w:rPr>
        <w:tab/>
      </w:r>
      <w:proofErr w:type="spellStart"/>
      <w:r w:rsidRPr="00B36E4C">
        <w:rPr>
          <w:rFonts w:ascii="Verdana" w:eastAsia="Times New Roman" w:hAnsi="Verdana" w:cs="Times New Roman"/>
          <w:sz w:val="20"/>
          <w:szCs w:val="20"/>
          <w:lang w:val="bg-BG" w:eastAsia="bg-BG"/>
        </w:rPr>
        <w:t>Ministry</w:t>
      </w:r>
      <w:proofErr w:type="spellEnd"/>
      <w:r w:rsidRPr="00B36E4C">
        <w:rPr>
          <w:rFonts w:ascii="Verdana" w:eastAsia="Times New Roman" w:hAnsi="Verdana" w:cs="Times New Roman"/>
          <w:sz w:val="20"/>
          <w:szCs w:val="20"/>
          <w:lang w:val="bg-BG" w:eastAsia="bg-BG"/>
        </w:rPr>
        <w:t xml:space="preserve"> </w:t>
      </w:r>
      <w:proofErr w:type="spellStart"/>
      <w:r w:rsidRPr="00B36E4C">
        <w:rPr>
          <w:rFonts w:ascii="Verdana" w:eastAsia="Times New Roman" w:hAnsi="Verdana" w:cs="Times New Roman"/>
          <w:sz w:val="20"/>
          <w:szCs w:val="20"/>
          <w:lang w:val="bg-BG" w:eastAsia="bg-BG"/>
        </w:rPr>
        <w:t>of</w:t>
      </w:r>
      <w:proofErr w:type="spellEnd"/>
      <w:r w:rsidRPr="00B36E4C">
        <w:rPr>
          <w:rFonts w:ascii="Verdana" w:eastAsia="Times New Roman" w:hAnsi="Verdana" w:cs="Times New Roman"/>
          <w:sz w:val="20"/>
          <w:szCs w:val="20"/>
          <w:lang w:val="bg-BG" w:eastAsia="bg-BG"/>
        </w:rPr>
        <w:t xml:space="preserve"> Regional </w:t>
      </w:r>
      <w:proofErr w:type="spellStart"/>
      <w:r w:rsidRPr="00B36E4C">
        <w:rPr>
          <w:rFonts w:ascii="Verdana" w:eastAsia="Times New Roman" w:hAnsi="Verdana" w:cs="Times New Roman"/>
          <w:sz w:val="20"/>
          <w:szCs w:val="20"/>
          <w:lang w:val="bg-BG" w:eastAsia="bg-BG"/>
        </w:rPr>
        <w:t>Development</w:t>
      </w:r>
      <w:proofErr w:type="spellEnd"/>
      <w:r w:rsidRPr="00B36E4C">
        <w:rPr>
          <w:rFonts w:ascii="Verdana" w:eastAsia="Times New Roman" w:hAnsi="Verdana" w:cs="Times New Roman"/>
          <w:sz w:val="20"/>
          <w:szCs w:val="20"/>
          <w:lang w:val="bg-BG" w:eastAsia="bg-BG"/>
        </w:rPr>
        <w:t xml:space="preserve"> </w:t>
      </w:r>
      <w:proofErr w:type="spellStart"/>
      <w:r w:rsidRPr="00B36E4C">
        <w:rPr>
          <w:rFonts w:ascii="Verdana" w:eastAsia="Times New Roman" w:hAnsi="Verdana" w:cs="Times New Roman"/>
          <w:sz w:val="20"/>
          <w:szCs w:val="20"/>
          <w:lang w:val="bg-BG" w:eastAsia="bg-BG"/>
        </w:rPr>
        <w:t>and</w:t>
      </w:r>
      <w:proofErr w:type="spellEnd"/>
      <w:r w:rsidRPr="00B36E4C">
        <w:rPr>
          <w:rFonts w:ascii="Verdana" w:eastAsia="Times New Roman" w:hAnsi="Verdana" w:cs="Times New Roman"/>
          <w:sz w:val="20"/>
          <w:szCs w:val="20"/>
          <w:lang w:val="bg-BG" w:eastAsia="bg-BG"/>
        </w:rPr>
        <w:t xml:space="preserve"> </w:t>
      </w:r>
      <w:proofErr w:type="spellStart"/>
      <w:r w:rsidRPr="00B36E4C">
        <w:rPr>
          <w:rFonts w:ascii="Verdana" w:eastAsia="Times New Roman" w:hAnsi="Verdana" w:cs="Times New Roman"/>
          <w:sz w:val="20"/>
          <w:szCs w:val="20"/>
          <w:lang w:val="bg-BG" w:eastAsia="bg-BG"/>
        </w:rPr>
        <w:t>Public</w:t>
      </w:r>
      <w:proofErr w:type="spellEnd"/>
      <w:r w:rsidRPr="00B36E4C">
        <w:rPr>
          <w:rFonts w:ascii="Verdana" w:eastAsia="Times New Roman" w:hAnsi="Verdana" w:cs="Times New Roman"/>
          <w:sz w:val="20"/>
          <w:szCs w:val="20"/>
          <w:lang w:val="bg-BG" w:eastAsia="bg-BG"/>
        </w:rPr>
        <w:t xml:space="preserve"> Works</w:t>
      </w:r>
    </w:p>
    <w:p w14:paraId="33B59CC2" w14:textId="77777777" w:rsidR="00B36E4C" w:rsidRPr="00B36E4C" w:rsidRDefault="00B36E4C" w:rsidP="00B36E4C">
      <w:pPr>
        <w:spacing w:after="0" w:line="240" w:lineRule="auto"/>
        <w:jc w:val="both"/>
        <w:rPr>
          <w:rFonts w:ascii="Verdana" w:hAnsi="Verdana"/>
          <w:sz w:val="20"/>
          <w:szCs w:val="20"/>
          <w:lang w:val="en" w:eastAsia="bg-BG"/>
        </w:rPr>
      </w:pPr>
      <w:r w:rsidRPr="00B36E4C">
        <w:rPr>
          <w:rFonts w:ascii="Verdana" w:hAnsi="Verdana"/>
          <w:sz w:val="20"/>
          <w:szCs w:val="20"/>
          <w:lang w:val="en" w:eastAsia="bg-BG"/>
        </w:rPr>
        <w:t>MS</w:t>
      </w:r>
      <w:r w:rsidRPr="00B36E4C">
        <w:rPr>
          <w:rFonts w:ascii="Verdana" w:hAnsi="Verdana"/>
          <w:sz w:val="20"/>
          <w:szCs w:val="20"/>
          <w:lang w:val="en" w:eastAsia="bg-BG"/>
        </w:rPr>
        <w:tab/>
      </w:r>
      <w:r w:rsidRPr="00B36E4C">
        <w:rPr>
          <w:rFonts w:ascii="Verdana" w:hAnsi="Verdana"/>
          <w:sz w:val="20"/>
          <w:szCs w:val="20"/>
          <w:lang w:val="en" w:eastAsia="bg-BG"/>
        </w:rPr>
        <w:tab/>
        <w:t>Metro Station</w:t>
      </w:r>
      <w:r w:rsidRPr="00B36E4C">
        <w:rPr>
          <w:rFonts w:ascii="Verdana" w:hAnsi="Verdana"/>
          <w:sz w:val="20"/>
          <w:szCs w:val="20"/>
          <w:lang w:val="en" w:eastAsia="bg-BG"/>
        </w:rPr>
        <w:tab/>
      </w:r>
    </w:p>
    <w:p w14:paraId="594B88BB"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 xml:space="preserve">MSC  </w:t>
      </w:r>
      <w:r w:rsidRPr="00B36E4C">
        <w:rPr>
          <w:rFonts w:ascii="Verdana" w:eastAsia="Times New Roman" w:hAnsi="Verdana" w:cs="Times New Roman"/>
          <w:color w:val="000000"/>
          <w:sz w:val="20"/>
          <w:szCs w:val="20"/>
          <w:lang w:eastAsia="bg-BG"/>
        </w:rPr>
        <w:tab/>
      </w:r>
      <w:r w:rsidRPr="00B36E4C">
        <w:rPr>
          <w:rFonts w:ascii="Verdana" w:eastAsia="Times New Roman" w:hAnsi="Verdana" w:cs="Times New Roman"/>
          <w:color w:val="000000"/>
          <w:sz w:val="20"/>
          <w:szCs w:val="20"/>
          <w:lang w:eastAsia="bg-BG"/>
        </w:rPr>
        <w:tab/>
        <w:t>Mediterranean Shipping Co</w:t>
      </w:r>
    </w:p>
    <w:p w14:paraId="41C947FF" w14:textId="77777777" w:rsidR="00B36E4C" w:rsidRPr="00B36E4C" w:rsidRDefault="00B36E4C" w:rsidP="00B36E4C">
      <w:pPr>
        <w:spacing w:after="0" w:line="240" w:lineRule="auto"/>
        <w:ind w:left="1440" w:hanging="1440"/>
        <w:jc w:val="both"/>
        <w:rPr>
          <w:rFonts w:ascii="Verdana" w:eastAsia="Times New Roman" w:hAnsi="Verdana" w:cs="Times New Roman"/>
          <w:sz w:val="20"/>
          <w:szCs w:val="20"/>
          <w:lang w:val="bg-BG" w:eastAsia="bg-BG"/>
        </w:rPr>
      </w:pPr>
      <w:r w:rsidRPr="00B36E4C">
        <w:rPr>
          <w:rFonts w:ascii="Verdana" w:hAnsi="Verdana"/>
          <w:sz w:val="20"/>
          <w:szCs w:val="20"/>
          <w:lang w:val="en" w:eastAsia="bg-BG"/>
        </w:rPr>
        <w:t>MTITC</w:t>
      </w:r>
      <w:r w:rsidRPr="00B36E4C">
        <w:rPr>
          <w:rFonts w:ascii="Verdana" w:hAnsi="Verdana"/>
          <w:sz w:val="20"/>
          <w:szCs w:val="20"/>
          <w:lang w:val="en" w:eastAsia="bg-BG"/>
        </w:rPr>
        <w:tab/>
        <w:t>Ministry of Transport, Information Technology and Communications</w:t>
      </w:r>
    </w:p>
    <w:p w14:paraId="61DBE836"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 xml:space="preserve">MV </w:t>
      </w:r>
      <w:r w:rsidRPr="00B36E4C">
        <w:rPr>
          <w:rFonts w:ascii="Verdana" w:eastAsia="Times New Roman" w:hAnsi="Verdana" w:cs="Times New Roman"/>
          <w:color w:val="000000"/>
          <w:sz w:val="20"/>
          <w:szCs w:val="20"/>
          <w:lang w:eastAsia="bg-BG"/>
        </w:rPr>
        <w:tab/>
      </w:r>
      <w:r w:rsidRPr="00B36E4C">
        <w:rPr>
          <w:rFonts w:ascii="Verdana" w:eastAsia="Times New Roman" w:hAnsi="Verdana" w:cs="Times New Roman"/>
          <w:color w:val="000000"/>
          <w:sz w:val="20"/>
          <w:szCs w:val="20"/>
          <w:lang w:eastAsia="bg-BG"/>
        </w:rPr>
        <w:tab/>
        <w:t xml:space="preserve">Motor Vehicles </w:t>
      </w:r>
    </w:p>
    <w:p w14:paraId="4C685302"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 xml:space="preserve">MVOI </w:t>
      </w:r>
      <w:r w:rsidRPr="00B36E4C">
        <w:rPr>
          <w:rFonts w:ascii="Verdana" w:eastAsia="Times New Roman" w:hAnsi="Verdana" w:cs="Times New Roman"/>
          <w:color w:val="000000"/>
          <w:sz w:val="20"/>
          <w:szCs w:val="20"/>
          <w:lang w:eastAsia="bg-BG"/>
        </w:rPr>
        <w:tab/>
      </w:r>
      <w:r w:rsidRPr="00B36E4C">
        <w:rPr>
          <w:rFonts w:ascii="Verdana" w:eastAsia="Times New Roman" w:hAnsi="Verdana" w:cs="Times New Roman"/>
          <w:color w:val="000000"/>
          <w:sz w:val="20"/>
          <w:szCs w:val="20"/>
          <w:lang w:eastAsia="bg-BG"/>
        </w:rPr>
        <w:tab/>
        <w:t>Motor Vehicles Out of Implementation</w:t>
      </w:r>
    </w:p>
    <w:p w14:paraId="59454313"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hAnsi="Verdana"/>
          <w:sz w:val="20"/>
          <w:szCs w:val="20"/>
          <w:lang w:val="en" w:eastAsia="bg-BG"/>
        </w:rPr>
        <w:t>MW</w:t>
      </w:r>
      <w:r w:rsidRPr="00B36E4C">
        <w:rPr>
          <w:rFonts w:ascii="Verdana" w:hAnsi="Verdana"/>
          <w:sz w:val="20"/>
          <w:szCs w:val="20"/>
          <w:lang w:val="en" w:eastAsia="bg-BG"/>
        </w:rPr>
        <w:tab/>
      </w:r>
      <w:r w:rsidRPr="00B36E4C">
        <w:rPr>
          <w:rFonts w:ascii="Verdana" w:hAnsi="Verdana"/>
          <w:sz w:val="20"/>
          <w:szCs w:val="20"/>
          <w:lang w:val="en" w:eastAsia="bg-BG"/>
        </w:rPr>
        <w:tab/>
        <w:t>Motorway</w:t>
      </w:r>
    </w:p>
    <w:p w14:paraId="512B1774"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 xml:space="preserve">NA </w:t>
      </w:r>
      <w:r w:rsidRPr="00B36E4C">
        <w:rPr>
          <w:rFonts w:ascii="Verdana" w:eastAsia="Times New Roman" w:hAnsi="Verdana" w:cs="Times New Roman"/>
          <w:color w:val="000000"/>
          <w:sz w:val="20"/>
          <w:szCs w:val="20"/>
          <w:lang w:eastAsia="bg-BG"/>
        </w:rPr>
        <w:tab/>
      </w:r>
      <w:r w:rsidRPr="00B36E4C">
        <w:rPr>
          <w:rFonts w:ascii="Verdana" w:eastAsia="Times New Roman" w:hAnsi="Verdana" w:cs="Times New Roman"/>
          <w:color w:val="000000"/>
          <w:sz w:val="20"/>
          <w:szCs w:val="20"/>
          <w:lang w:eastAsia="bg-BG"/>
        </w:rPr>
        <w:tab/>
        <w:t>National Assembly</w:t>
      </w:r>
    </w:p>
    <w:p w14:paraId="7D2F9806" w14:textId="77777777" w:rsidR="00B36E4C" w:rsidRPr="00B36E4C" w:rsidRDefault="00B36E4C" w:rsidP="00B36E4C">
      <w:pPr>
        <w:spacing w:after="0" w:line="240" w:lineRule="auto"/>
        <w:ind w:left="1440" w:hanging="1440"/>
        <w:jc w:val="both"/>
        <w:rPr>
          <w:rFonts w:ascii="Verdana" w:eastAsia="Times New Roman" w:hAnsi="Verdana" w:cs="Times New Roman"/>
          <w:sz w:val="20"/>
          <w:szCs w:val="20"/>
          <w:lang w:val="bg-BG" w:eastAsia="bg-BG"/>
        </w:rPr>
      </w:pPr>
      <w:r w:rsidRPr="00B36E4C">
        <w:rPr>
          <w:rFonts w:ascii="Verdana" w:hAnsi="Verdana"/>
          <w:sz w:val="20"/>
          <w:szCs w:val="20"/>
          <w:lang w:val="en" w:eastAsia="bg-BG"/>
        </w:rPr>
        <w:t>NCR</w:t>
      </w:r>
      <w:r w:rsidRPr="00B36E4C">
        <w:rPr>
          <w:rFonts w:ascii="Verdana" w:hAnsi="Verdana"/>
          <w:sz w:val="20"/>
          <w:szCs w:val="20"/>
          <w:lang w:val="en" w:eastAsia="bg-BG"/>
        </w:rPr>
        <w:tab/>
        <w:t>North Central Region</w:t>
      </w:r>
    </w:p>
    <w:p w14:paraId="25E82B0C" w14:textId="77777777" w:rsidR="00B36E4C" w:rsidRPr="00B36E4C" w:rsidRDefault="00B36E4C" w:rsidP="00B36E4C">
      <w:pPr>
        <w:spacing w:after="0" w:line="276" w:lineRule="auto"/>
        <w:jc w:val="both"/>
        <w:rPr>
          <w:rFonts w:ascii="Verdana" w:eastAsia="Times New Roman" w:hAnsi="Verdana" w:cs="Times New Roman"/>
          <w:sz w:val="20"/>
          <w:szCs w:val="20"/>
          <w:lang w:val="en-US" w:eastAsia="bg-BG"/>
        </w:rPr>
      </w:pPr>
      <w:r w:rsidRPr="00B36E4C">
        <w:rPr>
          <w:rFonts w:ascii="Verdana" w:eastAsia="Times New Roman" w:hAnsi="Verdana" w:cs="Times New Roman"/>
          <w:sz w:val="20"/>
          <w:szCs w:val="20"/>
          <w:lang w:val="en-US" w:eastAsia="bg-BG"/>
        </w:rPr>
        <w:t>NCSIP</w:t>
      </w:r>
      <w:r w:rsidRPr="00B36E4C">
        <w:rPr>
          <w:rFonts w:ascii="Verdana" w:eastAsia="Times New Roman" w:hAnsi="Verdana" w:cs="Times New Roman"/>
          <w:sz w:val="20"/>
          <w:szCs w:val="20"/>
          <w:lang w:val="en-US" w:eastAsia="bg-BG"/>
        </w:rPr>
        <w:tab/>
      </w:r>
      <w:r w:rsidRPr="00B36E4C">
        <w:rPr>
          <w:rFonts w:ascii="Verdana" w:eastAsia="Times New Roman" w:hAnsi="Verdana" w:cs="Times New Roman"/>
          <w:sz w:val="20"/>
          <w:szCs w:val="20"/>
          <w:lang w:val="en-US" w:eastAsia="bg-BG"/>
        </w:rPr>
        <w:tab/>
        <w:t>National Company Strategic Infrastructure Projects</w:t>
      </w:r>
    </w:p>
    <w:p w14:paraId="56C8316B"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 xml:space="preserve">NE Bulgaria </w:t>
      </w:r>
      <w:r w:rsidRPr="00B36E4C">
        <w:rPr>
          <w:rFonts w:ascii="Verdana" w:eastAsia="Times New Roman" w:hAnsi="Verdana" w:cs="Times New Roman"/>
          <w:color w:val="000000"/>
          <w:sz w:val="20"/>
          <w:szCs w:val="20"/>
          <w:lang w:eastAsia="bg-BG"/>
        </w:rPr>
        <w:tab/>
        <w:t>North East Bulgaria</w:t>
      </w:r>
    </w:p>
    <w:p w14:paraId="591CA957" w14:textId="77777777" w:rsidR="00B36E4C" w:rsidRPr="00B36E4C" w:rsidRDefault="00B36E4C" w:rsidP="00B36E4C">
      <w:pPr>
        <w:spacing w:after="0" w:line="240" w:lineRule="auto"/>
        <w:ind w:left="1440" w:hanging="1440"/>
        <w:jc w:val="both"/>
        <w:rPr>
          <w:rFonts w:ascii="Verdana" w:eastAsia="Times New Roman" w:hAnsi="Verdana" w:cs="Times New Roman"/>
          <w:sz w:val="20"/>
          <w:szCs w:val="20"/>
          <w:lang w:val="bg-BG" w:eastAsia="bg-BG"/>
        </w:rPr>
      </w:pPr>
      <w:r w:rsidRPr="00B36E4C">
        <w:rPr>
          <w:rFonts w:ascii="Verdana" w:hAnsi="Verdana"/>
          <w:sz w:val="20"/>
          <w:szCs w:val="20"/>
          <w:lang w:val="en" w:eastAsia="bg-BG"/>
        </w:rPr>
        <w:t>NER</w:t>
      </w:r>
      <w:r w:rsidRPr="00B36E4C">
        <w:rPr>
          <w:rFonts w:ascii="Verdana" w:hAnsi="Verdana"/>
          <w:sz w:val="20"/>
          <w:szCs w:val="20"/>
          <w:lang w:val="en" w:eastAsia="bg-BG"/>
        </w:rPr>
        <w:tab/>
        <w:t>North-Eastern Region</w:t>
      </w:r>
    </w:p>
    <w:p w14:paraId="3B9955C8" w14:textId="77777777" w:rsidR="00B36E4C" w:rsidRPr="00B36E4C" w:rsidRDefault="00B36E4C" w:rsidP="00B36E4C">
      <w:pPr>
        <w:tabs>
          <w:tab w:val="left" w:pos="720"/>
          <w:tab w:val="left" w:pos="1440"/>
          <w:tab w:val="left" w:pos="2160"/>
          <w:tab w:val="left" w:pos="2880"/>
          <w:tab w:val="center" w:pos="4536"/>
        </w:tabs>
        <w:spacing w:after="0" w:line="240" w:lineRule="auto"/>
        <w:jc w:val="both"/>
        <w:rPr>
          <w:rFonts w:ascii="Verdana" w:eastAsia="Times New Roman" w:hAnsi="Verdana" w:cs="Times New Roman"/>
          <w:sz w:val="20"/>
          <w:szCs w:val="20"/>
          <w:lang w:val="bg-BG" w:eastAsia="bg-BG"/>
        </w:rPr>
      </w:pPr>
      <w:r w:rsidRPr="00B36E4C">
        <w:rPr>
          <w:rFonts w:ascii="Verdana" w:hAnsi="Verdana"/>
          <w:sz w:val="20"/>
          <w:szCs w:val="20"/>
          <w:lang w:val="en" w:eastAsia="bg-BG"/>
        </w:rPr>
        <w:t>NF</w:t>
      </w:r>
      <w:r w:rsidRPr="00B36E4C">
        <w:rPr>
          <w:rFonts w:ascii="Verdana" w:hAnsi="Verdana"/>
          <w:sz w:val="20"/>
          <w:szCs w:val="20"/>
          <w:lang w:val="en" w:eastAsia="bg-BG"/>
        </w:rPr>
        <w:tab/>
      </w:r>
      <w:r w:rsidRPr="00B36E4C">
        <w:rPr>
          <w:rFonts w:ascii="Verdana" w:hAnsi="Verdana"/>
          <w:sz w:val="20"/>
          <w:szCs w:val="20"/>
          <w:lang w:val="en" w:eastAsia="bg-BG"/>
        </w:rPr>
        <w:tab/>
        <w:t>National Fund</w:t>
      </w:r>
      <w:r w:rsidRPr="00B36E4C">
        <w:rPr>
          <w:rFonts w:ascii="Verdana" w:hAnsi="Verdana"/>
          <w:sz w:val="20"/>
          <w:szCs w:val="20"/>
          <w:lang w:val="en" w:eastAsia="bg-BG"/>
        </w:rPr>
        <w:tab/>
      </w:r>
    </w:p>
    <w:p w14:paraId="047CB812"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hAnsi="Verdana" w:cs="Arial"/>
          <w:color w:val="000000"/>
          <w:sz w:val="20"/>
          <w:szCs w:val="20"/>
          <w:shd w:val="clear" w:color="auto" w:fill="FFFFFF"/>
        </w:rPr>
        <w:t>NRIC</w:t>
      </w:r>
      <w:r w:rsidRPr="00B36E4C">
        <w:rPr>
          <w:rFonts w:ascii="Verdana" w:hAnsi="Verdana" w:cs="Arial"/>
          <w:color w:val="000000"/>
          <w:sz w:val="20"/>
          <w:szCs w:val="20"/>
          <w:shd w:val="clear" w:color="auto" w:fill="FFFFFF"/>
        </w:rPr>
        <w:tab/>
      </w:r>
      <w:r w:rsidRPr="00B36E4C">
        <w:rPr>
          <w:rFonts w:ascii="Verdana" w:hAnsi="Verdana" w:cs="Arial"/>
          <w:color w:val="000000"/>
          <w:sz w:val="20"/>
          <w:szCs w:val="20"/>
          <w:shd w:val="clear" w:color="auto" w:fill="FFFFFF"/>
        </w:rPr>
        <w:tab/>
      </w:r>
      <w:bookmarkStart w:id="7" w:name="_Hlk61344097"/>
      <w:r w:rsidRPr="00B36E4C">
        <w:rPr>
          <w:rFonts w:ascii="Verdana" w:hAnsi="Verdana" w:cs="Arial"/>
          <w:color w:val="000000"/>
          <w:sz w:val="20"/>
          <w:szCs w:val="20"/>
          <w:shd w:val="clear" w:color="auto" w:fill="FFFFFF"/>
        </w:rPr>
        <w:t>National Railway Infrastructure Company</w:t>
      </w:r>
      <w:bookmarkEnd w:id="7"/>
    </w:p>
    <w:p w14:paraId="3FAE38EC" w14:textId="77777777" w:rsidR="00B36E4C" w:rsidRPr="00B36E4C" w:rsidRDefault="00B36E4C" w:rsidP="00B36E4C">
      <w:pPr>
        <w:tabs>
          <w:tab w:val="left" w:pos="720"/>
          <w:tab w:val="left" w:pos="1440"/>
          <w:tab w:val="left" w:pos="2160"/>
          <w:tab w:val="left" w:pos="2880"/>
          <w:tab w:val="center" w:pos="4536"/>
        </w:tabs>
        <w:spacing w:after="0" w:line="240" w:lineRule="auto"/>
        <w:jc w:val="both"/>
        <w:rPr>
          <w:rFonts w:ascii="Verdana" w:hAnsi="Verdana"/>
          <w:sz w:val="20"/>
          <w:szCs w:val="20"/>
          <w:lang w:val="en" w:eastAsia="bg-BG"/>
        </w:rPr>
      </w:pPr>
      <w:r w:rsidRPr="00B36E4C">
        <w:rPr>
          <w:rFonts w:ascii="Verdana" w:hAnsi="Verdana"/>
          <w:sz w:val="20"/>
          <w:szCs w:val="20"/>
          <w:lang w:val="en" w:eastAsia="bg-BG"/>
        </w:rPr>
        <w:t xml:space="preserve">NSI </w:t>
      </w:r>
      <w:r w:rsidRPr="00B36E4C">
        <w:rPr>
          <w:rFonts w:ascii="Verdana" w:hAnsi="Verdana"/>
          <w:sz w:val="20"/>
          <w:szCs w:val="20"/>
          <w:lang w:val="en" w:eastAsia="bg-BG"/>
        </w:rPr>
        <w:tab/>
      </w:r>
      <w:r w:rsidRPr="00B36E4C">
        <w:rPr>
          <w:rFonts w:ascii="Verdana" w:hAnsi="Verdana"/>
          <w:sz w:val="20"/>
          <w:szCs w:val="20"/>
          <w:lang w:val="en" w:eastAsia="bg-BG"/>
        </w:rPr>
        <w:tab/>
        <w:t>National Statistical Institute</w:t>
      </w:r>
      <w:r w:rsidRPr="00B36E4C">
        <w:rPr>
          <w:rFonts w:ascii="Verdana" w:hAnsi="Verdana"/>
          <w:sz w:val="20"/>
          <w:szCs w:val="20"/>
          <w:lang w:val="en" w:eastAsia="bg-BG"/>
        </w:rPr>
        <w:tab/>
      </w:r>
    </w:p>
    <w:p w14:paraId="19CA79EC" w14:textId="77777777" w:rsidR="00B36E4C" w:rsidRPr="00B36E4C" w:rsidRDefault="00B36E4C" w:rsidP="00B36E4C">
      <w:pPr>
        <w:spacing w:after="0" w:line="240" w:lineRule="auto"/>
        <w:ind w:left="1440" w:hanging="1440"/>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NSIIDRB</w:t>
      </w:r>
      <w:r w:rsidRPr="00B36E4C">
        <w:rPr>
          <w:rFonts w:ascii="Verdana" w:eastAsia="Times New Roman" w:hAnsi="Verdana" w:cs="Times New Roman"/>
          <w:color w:val="000000"/>
          <w:sz w:val="20"/>
          <w:szCs w:val="20"/>
          <w:lang w:eastAsia="bg-BG"/>
        </w:rPr>
        <w:tab/>
        <w:t>National Strategy for Integrated Infrastructure Development of the Republic of Bulgaria</w:t>
      </w:r>
    </w:p>
    <w:p w14:paraId="07B41174"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 xml:space="preserve">NSRF </w:t>
      </w:r>
      <w:r w:rsidRPr="00B36E4C">
        <w:rPr>
          <w:rFonts w:ascii="Verdana" w:eastAsia="Times New Roman" w:hAnsi="Verdana" w:cs="Times New Roman"/>
          <w:color w:val="000000"/>
          <w:sz w:val="20"/>
          <w:szCs w:val="20"/>
          <w:lang w:eastAsia="bg-BG"/>
        </w:rPr>
        <w:tab/>
      </w:r>
      <w:r w:rsidRPr="00B36E4C">
        <w:rPr>
          <w:rFonts w:ascii="Verdana" w:eastAsia="Times New Roman" w:hAnsi="Verdana" w:cs="Times New Roman"/>
          <w:color w:val="000000"/>
          <w:sz w:val="20"/>
          <w:szCs w:val="20"/>
          <w:lang w:eastAsia="bg-BG"/>
        </w:rPr>
        <w:tab/>
        <w:t>National Strategic Reference Framework</w:t>
      </w:r>
    </w:p>
    <w:p w14:paraId="220E43E4" w14:textId="77777777" w:rsidR="00B36E4C" w:rsidRPr="00B36E4C" w:rsidRDefault="00B36E4C" w:rsidP="00B36E4C">
      <w:pPr>
        <w:spacing w:after="0" w:line="240" w:lineRule="auto"/>
        <w:jc w:val="both"/>
        <w:rPr>
          <w:rFonts w:ascii="Verdana" w:hAnsi="Verdana"/>
          <w:sz w:val="20"/>
          <w:szCs w:val="20"/>
          <w:lang w:val="en" w:eastAsia="bg-BG"/>
        </w:rPr>
      </w:pPr>
      <w:r w:rsidRPr="00B36E4C">
        <w:rPr>
          <w:rFonts w:ascii="Verdana" w:hAnsi="Verdana"/>
          <w:sz w:val="20"/>
          <w:szCs w:val="20"/>
          <w:lang w:val="en" w:eastAsia="bg-BG"/>
        </w:rPr>
        <w:t>NWR</w:t>
      </w:r>
      <w:r w:rsidRPr="00B36E4C">
        <w:rPr>
          <w:rFonts w:ascii="Verdana" w:hAnsi="Verdana"/>
          <w:sz w:val="20"/>
          <w:szCs w:val="20"/>
          <w:lang w:val="en" w:eastAsia="bg-BG"/>
        </w:rPr>
        <w:tab/>
      </w:r>
      <w:r w:rsidRPr="00B36E4C">
        <w:rPr>
          <w:rFonts w:ascii="Verdana" w:hAnsi="Verdana"/>
          <w:sz w:val="20"/>
          <w:szCs w:val="20"/>
          <w:lang w:val="en" w:eastAsia="bg-BG"/>
        </w:rPr>
        <w:tab/>
        <w:t>Northwest Region</w:t>
      </w:r>
    </w:p>
    <w:p w14:paraId="184F56E0" w14:textId="77777777" w:rsidR="00B36E4C" w:rsidRPr="00B36E4C" w:rsidRDefault="00B36E4C" w:rsidP="00B36E4C">
      <w:pPr>
        <w:spacing w:after="0" w:line="240" w:lineRule="auto"/>
        <w:ind w:left="1410" w:hanging="1410"/>
        <w:jc w:val="both"/>
        <w:rPr>
          <w:rFonts w:ascii="Verdana" w:eastAsia="Times New Roman" w:hAnsi="Verdana" w:cs="Times New Roman"/>
          <w:sz w:val="20"/>
          <w:szCs w:val="20"/>
          <w:lang w:val="bg-BG" w:eastAsia="bg-BG"/>
        </w:rPr>
      </w:pPr>
      <w:r w:rsidRPr="00B36E4C">
        <w:rPr>
          <w:rFonts w:ascii="Verdana" w:hAnsi="Verdana"/>
          <w:sz w:val="20"/>
          <w:szCs w:val="20"/>
          <w:lang w:val="en" w:eastAsia="bg-BG"/>
        </w:rPr>
        <w:t xml:space="preserve">OA </w:t>
      </w:r>
      <w:r w:rsidRPr="00B36E4C">
        <w:rPr>
          <w:rFonts w:ascii="Verdana" w:hAnsi="Verdana"/>
          <w:sz w:val="20"/>
          <w:szCs w:val="20"/>
          <w:lang w:val="en" w:eastAsia="bg-BG"/>
        </w:rPr>
        <w:tab/>
        <w:t>Operational Agreement</w:t>
      </w:r>
    </w:p>
    <w:p w14:paraId="36C48912" w14:textId="77777777" w:rsidR="00B36E4C" w:rsidRPr="00B36E4C" w:rsidRDefault="00B36E4C" w:rsidP="00B36E4C">
      <w:pPr>
        <w:spacing w:after="0" w:line="240" w:lineRule="auto"/>
        <w:ind w:left="1440" w:hanging="1440"/>
        <w:jc w:val="both"/>
        <w:rPr>
          <w:rFonts w:ascii="Verdana" w:hAnsi="Verdana"/>
          <w:sz w:val="20"/>
          <w:szCs w:val="20"/>
          <w:shd w:val="clear" w:color="auto" w:fill="FFFFFF"/>
        </w:rPr>
      </w:pPr>
      <w:r w:rsidRPr="00B36E4C">
        <w:rPr>
          <w:rFonts w:ascii="Verdana" w:hAnsi="Verdana"/>
          <w:sz w:val="20"/>
          <w:szCs w:val="20"/>
          <w:lang w:val="en" w:eastAsia="bg-BG"/>
        </w:rPr>
        <w:t>OEM</w:t>
      </w:r>
      <w:r w:rsidRPr="00B36E4C">
        <w:rPr>
          <w:rFonts w:ascii="Verdana" w:hAnsi="Verdana"/>
          <w:sz w:val="20"/>
          <w:szCs w:val="20"/>
          <w:lang w:val="en" w:eastAsia="bg-BG"/>
        </w:rPr>
        <w:tab/>
      </w:r>
      <w:r w:rsidRPr="00B36E4C">
        <w:rPr>
          <w:rFonts w:ascii="Verdana" w:hAnsi="Verdana"/>
          <w:sz w:val="20"/>
          <w:szCs w:val="20"/>
        </w:rPr>
        <w:t>Orient/East-Med Core Network Corridor (</w:t>
      </w:r>
      <w:r w:rsidRPr="00B36E4C">
        <w:rPr>
          <w:rFonts w:ascii="Verdana" w:hAnsi="Verdana"/>
          <w:sz w:val="20"/>
          <w:szCs w:val="20"/>
          <w:lang w:val="en" w:eastAsia="bg-BG"/>
        </w:rPr>
        <w:t>Orient/Eastern Mediterranean Corridor)</w:t>
      </w:r>
    </w:p>
    <w:p w14:paraId="2CCB4C22"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eastAsia="Times New Roman" w:hAnsi="Verdana" w:cs="Times New Roman"/>
          <w:sz w:val="20"/>
          <w:szCs w:val="20"/>
          <w:lang w:val="bg-BG" w:eastAsia="bg-BG"/>
        </w:rPr>
        <w:t xml:space="preserve">OP </w:t>
      </w:r>
      <w:r w:rsidRPr="00B36E4C">
        <w:rPr>
          <w:rFonts w:ascii="Verdana" w:eastAsia="Times New Roman" w:hAnsi="Verdana" w:cs="Times New Roman"/>
          <w:sz w:val="20"/>
          <w:szCs w:val="20"/>
          <w:lang w:val="bg-BG" w:eastAsia="bg-BG"/>
        </w:rPr>
        <w:tab/>
      </w:r>
      <w:r w:rsidRPr="00B36E4C">
        <w:rPr>
          <w:rFonts w:ascii="Verdana" w:eastAsia="Times New Roman" w:hAnsi="Verdana" w:cs="Times New Roman"/>
          <w:sz w:val="20"/>
          <w:szCs w:val="20"/>
          <w:lang w:val="bg-BG" w:eastAsia="bg-BG"/>
        </w:rPr>
        <w:tab/>
      </w:r>
      <w:proofErr w:type="spellStart"/>
      <w:r w:rsidRPr="00B36E4C">
        <w:rPr>
          <w:rFonts w:ascii="Verdana" w:eastAsia="Times New Roman" w:hAnsi="Verdana" w:cs="Times New Roman"/>
          <w:sz w:val="20"/>
          <w:szCs w:val="20"/>
          <w:lang w:val="bg-BG" w:eastAsia="bg-BG"/>
        </w:rPr>
        <w:t>Operational</w:t>
      </w:r>
      <w:proofErr w:type="spellEnd"/>
      <w:r w:rsidRPr="00B36E4C">
        <w:rPr>
          <w:rFonts w:ascii="Verdana" w:eastAsia="Times New Roman" w:hAnsi="Verdana" w:cs="Times New Roman"/>
          <w:sz w:val="20"/>
          <w:szCs w:val="20"/>
          <w:lang w:val="bg-BG" w:eastAsia="bg-BG"/>
        </w:rPr>
        <w:t xml:space="preserve"> </w:t>
      </w:r>
      <w:proofErr w:type="spellStart"/>
      <w:r w:rsidRPr="00B36E4C">
        <w:rPr>
          <w:rFonts w:ascii="Verdana" w:eastAsia="Times New Roman" w:hAnsi="Verdana" w:cs="Times New Roman"/>
          <w:sz w:val="20"/>
          <w:szCs w:val="20"/>
          <w:lang w:val="bg-BG" w:eastAsia="bg-BG"/>
        </w:rPr>
        <w:t>Programme</w:t>
      </w:r>
      <w:proofErr w:type="spellEnd"/>
    </w:p>
    <w:p w14:paraId="0E3490F7" w14:textId="77777777" w:rsidR="00B36E4C" w:rsidRPr="00B36E4C" w:rsidRDefault="00B36E4C" w:rsidP="00B36E4C">
      <w:pPr>
        <w:spacing w:after="0" w:line="240" w:lineRule="auto"/>
        <w:jc w:val="both"/>
        <w:rPr>
          <w:rFonts w:ascii="Verdana" w:hAnsi="Verdana"/>
          <w:color w:val="000000"/>
          <w:sz w:val="20"/>
          <w:szCs w:val="20"/>
          <w:lang w:val="en" w:eastAsia="ar-SA"/>
        </w:rPr>
      </w:pPr>
      <w:r w:rsidRPr="00B36E4C">
        <w:rPr>
          <w:rFonts w:ascii="Verdana" w:hAnsi="Verdana"/>
          <w:color w:val="000000"/>
          <w:sz w:val="20"/>
          <w:szCs w:val="20"/>
          <w:lang w:val="en" w:eastAsia="ar-SA"/>
        </w:rPr>
        <w:t>OPRD</w:t>
      </w:r>
      <w:r w:rsidRPr="00B36E4C">
        <w:rPr>
          <w:rFonts w:ascii="Verdana" w:hAnsi="Verdana"/>
          <w:color w:val="000000"/>
          <w:sz w:val="20"/>
          <w:szCs w:val="20"/>
          <w:lang w:val="en" w:eastAsia="ar-SA"/>
        </w:rPr>
        <w:tab/>
      </w:r>
      <w:r w:rsidRPr="00B36E4C">
        <w:rPr>
          <w:rFonts w:ascii="Verdana" w:hAnsi="Verdana"/>
          <w:color w:val="000000"/>
          <w:sz w:val="20"/>
          <w:szCs w:val="20"/>
          <w:lang w:val="en" w:eastAsia="ar-SA"/>
        </w:rPr>
        <w:tab/>
        <w:t>Operational programme on Regional Development 2007-2013</w:t>
      </w:r>
    </w:p>
    <w:p w14:paraId="11AA1AB1"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hAnsi="Verdana"/>
          <w:sz w:val="20"/>
          <w:szCs w:val="20"/>
          <w:lang w:val="en" w:eastAsia="bg-BG"/>
        </w:rPr>
        <w:t>OPT</w:t>
      </w:r>
      <w:r w:rsidRPr="00B36E4C">
        <w:rPr>
          <w:rFonts w:ascii="Verdana" w:hAnsi="Verdana"/>
          <w:sz w:val="20"/>
          <w:szCs w:val="20"/>
          <w:lang w:val="en" w:eastAsia="bg-BG"/>
        </w:rPr>
        <w:tab/>
      </w:r>
      <w:r w:rsidRPr="00B36E4C">
        <w:rPr>
          <w:rFonts w:ascii="Verdana" w:hAnsi="Verdana"/>
          <w:sz w:val="20"/>
          <w:szCs w:val="20"/>
          <w:lang w:val="en" w:eastAsia="bg-BG"/>
        </w:rPr>
        <w:tab/>
        <w:t xml:space="preserve">Operational Programme on Transport 2007 – 2013 </w:t>
      </w:r>
      <w:r w:rsidRPr="00B36E4C">
        <w:rPr>
          <w:rFonts w:ascii="Verdana" w:hAnsi="Verdana"/>
          <w:sz w:val="20"/>
          <w:szCs w:val="20"/>
          <w:lang w:val="en" w:eastAsia="bg-BG"/>
        </w:rPr>
        <w:tab/>
      </w:r>
    </w:p>
    <w:p w14:paraId="45CEAC4D"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val="bg-BG" w:eastAsia="bg-BG"/>
        </w:rPr>
      </w:pPr>
      <w:r w:rsidRPr="00B36E4C">
        <w:rPr>
          <w:rFonts w:ascii="Verdana" w:eastAsia="Times New Roman" w:hAnsi="Verdana" w:cs="Times New Roman"/>
          <w:color w:val="000000"/>
          <w:sz w:val="20"/>
          <w:szCs w:val="20"/>
          <w:lang w:val="bg-BG" w:eastAsia="bg-BG"/>
        </w:rPr>
        <w:t xml:space="preserve">PA EA </w:t>
      </w:r>
      <w:r w:rsidRPr="00B36E4C">
        <w:rPr>
          <w:rFonts w:ascii="Verdana" w:eastAsia="Times New Roman" w:hAnsi="Verdana" w:cs="Times New Roman"/>
          <w:color w:val="000000"/>
          <w:sz w:val="20"/>
          <w:szCs w:val="20"/>
          <w:lang w:val="bg-BG" w:eastAsia="bg-BG"/>
        </w:rPr>
        <w:tab/>
      </w:r>
      <w:r w:rsidRPr="00B36E4C">
        <w:rPr>
          <w:rFonts w:ascii="Verdana" w:eastAsia="Times New Roman" w:hAnsi="Verdana" w:cs="Times New Roman"/>
          <w:color w:val="000000"/>
          <w:sz w:val="20"/>
          <w:szCs w:val="20"/>
          <w:lang w:val="bg-BG" w:eastAsia="bg-BG"/>
        </w:rPr>
        <w:tab/>
      </w:r>
      <w:proofErr w:type="spellStart"/>
      <w:r w:rsidRPr="00B36E4C">
        <w:rPr>
          <w:rFonts w:ascii="Verdana" w:eastAsia="Times New Roman" w:hAnsi="Verdana" w:cs="Times New Roman"/>
          <w:color w:val="000000"/>
          <w:sz w:val="20"/>
          <w:szCs w:val="20"/>
          <w:lang w:val="bg-BG" w:eastAsia="bg-BG"/>
        </w:rPr>
        <w:t>Port</w:t>
      </w:r>
      <w:proofErr w:type="spellEnd"/>
      <w:r w:rsidRPr="00B36E4C">
        <w:rPr>
          <w:rFonts w:ascii="Verdana" w:eastAsia="Times New Roman" w:hAnsi="Verdana" w:cs="Times New Roman"/>
          <w:color w:val="000000"/>
          <w:sz w:val="20"/>
          <w:szCs w:val="20"/>
          <w:lang w:val="bg-BG" w:eastAsia="bg-BG"/>
        </w:rPr>
        <w:t xml:space="preserve"> </w:t>
      </w:r>
      <w:proofErr w:type="spellStart"/>
      <w:r w:rsidRPr="00B36E4C">
        <w:rPr>
          <w:rFonts w:ascii="Verdana" w:eastAsia="Times New Roman" w:hAnsi="Verdana" w:cs="Times New Roman"/>
          <w:color w:val="000000"/>
          <w:sz w:val="20"/>
          <w:szCs w:val="20"/>
          <w:lang w:val="bg-BG" w:eastAsia="bg-BG"/>
        </w:rPr>
        <w:t>Administration</w:t>
      </w:r>
      <w:proofErr w:type="spellEnd"/>
      <w:r w:rsidRPr="00B36E4C">
        <w:rPr>
          <w:rFonts w:ascii="Verdana" w:eastAsia="Times New Roman" w:hAnsi="Verdana" w:cs="Times New Roman"/>
          <w:color w:val="000000"/>
          <w:sz w:val="20"/>
          <w:szCs w:val="20"/>
          <w:lang w:val="bg-BG" w:eastAsia="bg-BG"/>
        </w:rPr>
        <w:t xml:space="preserve"> </w:t>
      </w:r>
      <w:proofErr w:type="spellStart"/>
      <w:r w:rsidRPr="00B36E4C">
        <w:rPr>
          <w:rFonts w:ascii="Verdana" w:eastAsia="Times New Roman" w:hAnsi="Verdana" w:cs="Times New Roman"/>
          <w:color w:val="000000"/>
          <w:sz w:val="20"/>
          <w:szCs w:val="20"/>
          <w:lang w:val="bg-BG" w:eastAsia="bg-BG"/>
        </w:rPr>
        <w:t>Executive</w:t>
      </w:r>
      <w:proofErr w:type="spellEnd"/>
      <w:r w:rsidRPr="00B36E4C">
        <w:rPr>
          <w:rFonts w:ascii="Verdana" w:eastAsia="Times New Roman" w:hAnsi="Verdana" w:cs="Times New Roman"/>
          <w:color w:val="000000"/>
          <w:sz w:val="20"/>
          <w:szCs w:val="20"/>
          <w:lang w:val="bg-BG" w:eastAsia="bg-BG"/>
        </w:rPr>
        <w:t xml:space="preserve"> </w:t>
      </w:r>
      <w:proofErr w:type="spellStart"/>
      <w:r w:rsidRPr="00B36E4C">
        <w:rPr>
          <w:rFonts w:ascii="Verdana" w:eastAsia="Times New Roman" w:hAnsi="Verdana" w:cs="Times New Roman"/>
          <w:color w:val="000000"/>
          <w:sz w:val="20"/>
          <w:szCs w:val="20"/>
          <w:lang w:val="bg-BG" w:eastAsia="bg-BG"/>
        </w:rPr>
        <w:t>Agency</w:t>
      </w:r>
      <w:proofErr w:type="spellEnd"/>
    </w:p>
    <w:p w14:paraId="24B4E210" w14:textId="77777777" w:rsidR="00B36E4C" w:rsidRPr="00B36E4C" w:rsidRDefault="00B36E4C" w:rsidP="00B36E4C">
      <w:pPr>
        <w:spacing w:after="0" w:line="240" w:lineRule="auto"/>
        <w:jc w:val="both"/>
        <w:rPr>
          <w:rFonts w:ascii="Verdana" w:eastAsia="Calibri" w:hAnsi="Verdana" w:cs="Calibri"/>
          <w:sz w:val="20"/>
          <w:szCs w:val="20"/>
          <w:lang w:val="bg-BG"/>
        </w:rPr>
      </w:pPr>
      <w:r w:rsidRPr="00B36E4C">
        <w:rPr>
          <w:rFonts w:ascii="Verdana" w:hAnsi="Verdana"/>
          <w:sz w:val="20"/>
          <w:szCs w:val="20"/>
          <w:lang w:val="en"/>
        </w:rPr>
        <w:t>PA</w:t>
      </w:r>
      <w:r w:rsidRPr="00B36E4C">
        <w:rPr>
          <w:rFonts w:ascii="Verdana" w:hAnsi="Verdana"/>
          <w:sz w:val="20"/>
          <w:szCs w:val="20"/>
          <w:lang w:val="en"/>
        </w:rPr>
        <w:tab/>
      </w:r>
      <w:r w:rsidRPr="00B36E4C">
        <w:rPr>
          <w:rFonts w:ascii="Verdana" w:hAnsi="Verdana"/>
          <w:sz w:val="20"/>
          <w:szCs w:val="20"/>
          <w:lang w:val="en"/>
        </w:rPr>
        <w:tab/>
        <w:t xml:space="preserve">Priority Axis / </w:t>
      </w:r>
      <w:proofErr w:type="spellStart"/>
      <w:r w:rsidRPr="00B36E4C">
        <w:rPr>
          <w:rFonts w:ascii="Verdana" w:hAnsi="Verdana"/>
          <w:sz w:val="20"/>
          <w:szCs w:val="20"/>
          <w:lang w:val="en"/>
        </w:rPr>
        <w:t>Prio</w:t>
      </w:r>
      <w:r w:rsidRPr="00B36E4C">
        <w:rPr>
          <w:rFonts w:ascii="Verdana" w:hAnsi="Verdana"/>
          <w:sz w:val="20"/>
          <w:szCs w:val="20"/>
        </w:rPr>
        <w:t>rity</w:t>
      </w:r>
      <w:proofErr w:type="spellEnd"/>
      <w:r w:rsidRPr="00B36E4C">
        <w:rPr>
          <w:rFonts w:ascii="Verdana" w:hAnsi="Verdana"/>
          <w:sz w:val="20"/>
          <w:szCs w:val="20"/>
        </w:rPr>
        <w:t xml:space="preserve"> Axes</w:t>
      </w:r>
      <w:r w:rsidRPr="00B36E4C">
        <w:rPr>
          <w:rFonts w:ascii="Verdana" w:hAnsi="Verdana"/>
          <w:sz w:val="20"/>
          <w:szCs w:val="20"/>
          <w:lang w:val="en"/>
        </w:rPr>
        <w:tab/>
      </w:r>
    </w:p>
    <w:p w14:paraId="4A513C5B" w14:textId="77777777" w:rsidR="00B36E4C" w:rsidRPr="00B36E4C" w:rsidRDefault="00B36E4C" w:rsidP="00B36E4C">
      <w:pPr>
        <w:spacing w:after="0" w:line="240" w:lineRule="auto"/>
        <w:jc w:val="both"/>
        <w:rPr>
          <w:rFonts w:ascii="Verdana" w:hAnsi="Verdana"/>
          <w:sz w:val="20"/>
          <w:szCs w:val="20"/>
          <w:lang w:val="en"/>
        </w:rPr>
      </w:pPr>
      <w:r w:rsidRPr="00B36E4C">
        <w:rPr>
          <w:rFonts w:ascii="Verdana" w:hAnsi="Verdana"/>
          <w:sz w:val="20"/>
          <w:szCs w:val="20"/>
          <w:lang w:val="en"/>
        </w:rPr>
        <w:t>PKM</w:t>
      </w:r>
      <w:r w:rsidRPr="00B36E4C">
        <w:rPr>
          <w:rFonts w:ascii="Verdana" w:hAnsi="Verdana"/>
          <w:sz w:val="20"/>
          <w:szCs w:val="20"/>
          <w:lang w:val="en"/>
        </w:rPr>
        <w:tab/>
      </w:r>
      <w:r w:rsidRPr="00B36E4C">
        <w:rPr>
          <w:rFonts w:ascii="Verdana" w:hAnsi="Verdana"/>
          <w:sz w:val="20"/>
          <w:szCs w:val="20"/>
          <w:lang w:val="en"/>
        </w:rPr>
        <w:tab/>
        <w:t>Passenger Kilometers</w:t>
      </w:r>
      <w:r w:rsidRPr="00B36E4C">
        <w:rPr>
          <w:rFonts w:ascii="Verdana" w:hAnsi="Verdana"/>
          <w:sz w:val="20"/>
          <w:szCs w:val="20"/>
          <w:lang w:val="en"/>
        </w:rPr>
        <w:tab/>
      </w:r>
    </w:p>
    <w:p w14:paraId="29853FE8"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hAnsi="Verdana"/>
          <w:sz w:val="20"/>
          <w:szCs w:val="20"/>
          <w:lang w:val="en" w:eastAsia="bg-BG"/>
        </w:rPr>
        <w:t xml:space="preserve">PPA </w:t>
      </w:r>
      <w:r w:rsidRPr="00B36E4C">
        <w:rPr>
          <w:rFonts w:ascii="Verdana" w:hAnsi="Verdana"/>
          <w:sz w:val="20"/>
          <w:szCs w:val="20"/>
          <w:lang w:val="en" w:eastAsia="bg-BG"/>
        </w:rPr>
        <w:tab/>
      </w:r>
      <w:r w:rsidRPr="00B36E4C">
        <w:rPr>
          <w:rFonts w:ascii="Verdana" w:hAnsi="Verdana"/>
          <w:sz w:val="20"/>
          <w:szCs w:val="20"/>
          <w:lang w:val="en" w:eastAsia="bg-BG"/>
        </w:rPr>
        <w:tab/>
        <w:t>Public Procurement Act</w:t>
      </w:r>
      <w:r w:rsidRPr="00B36E4C">
        <w:rPr>
          <w:rFonts w:ascii="Verdana" w:hAnsi="Verdana"/>
          <w:sz w:val="20"/>
          <w:szCs w:val="20"/>
          <w:lang w:val="en" w:eastAsia="bg-BG"/>
        </w:rPr>
        <w:tab/>
      </w:r>
    </w:p>
    <w:p w14:paraId="77F180BE" w14:textId="77777777" w:rsidR="00B36E4C" w:rsidRPr="00B36E4C" w:rsidRDefault="00B36E4C" w:rsidP="00B36E4C">
      <w:pPr>
        <w:spacing w:after="0" w:line="240" w:lineRule="auto"/>
        <w:jc w:val="both"/>
        <w:rPr>
          <w:rFonts w:ascii="Verdana" w:eastAsia="Calibri" w:hAnsi="Verdana" w:cs="Calibri"/>
          <w:sz w:val="20"/>
          <w:szCs w:val="20"/>
          <w:lang w:val="bg-BG"/>
        </w:rPr>
      </w:pPr>
      <w:r w:rsidRPr="00B36E4C">
        <w:rPr>
          <w:rFonts w:ascii="Verdana" w:hAnsi="Verdana"/>
          <w:sz w:val="20"/>
          <w:szCs w:val="20"/>
          <w:lang w:val="en"/>
        </w:rPr>
        <w:t>PRPG</w:t>
      </w:r>
      <w:r w:rsidRPr="00B36E4C">
        <w:rPr>
          <w:rFonts w:ascii="Verdana" w:hAnsi="Verdana"/>
          <w:sz w:val="20"/>
          <w:szCs w:val="20"/>
          <w:lang w:val="en"/>
        </w:rPr>
        <w:tab/>
      </w:r>
      <w:r w:rsidRPr="00B36E4C">
        <w:rPr>
          <w:rFonts w:ascii="Verdana" w:hAnsi="Verdana"/>
          <w:sz w:val="20"/>
          <w:szCs w:val="20"/>
          <w:lang w:val="en"/>
        </w:rPr>
        <w:tab/>
        <w:t>Programme Rules and Procedures Guidance of OPT</w:t>
      </w:r>
    </w:p>
    <w:p w14:paraId="06E4F496"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 xml:space="preserve">RAEA </w:t>
      </w:r>
      <w:r w:rsidRPr="00B36E4C">
        <w:rPr>
          <w:rFonts w:ascii="Verdana" w:eastAsia="Times New Roman" w:hAnsi="Verdana" w:cs="Times New Roman"/>
          <w:color w:val="000000"/>
          <w:sz w:val="20"/>
          <w:szCs w:val="20"/>
          <w:lang w:eastAsia="bg-BG"/>
        </w:rPr>
        <w:tab/>
      </w:r>
      <w:r w:rsidRPr="00B36E4C">
        <w:rPr>
          <w:rFonts w:ascii="Verdana" w:eastAsia="Times New Roman" w:hAnsi="Verdana" w:cs="Times New Roman"/>
          <w:color w:val="000000"/>
          <w:sz w:val="20"/>
          <w:szCs w:val="20"/>
          <w:lang w:eastAsia="bg-BG"/>
        </w:rPr>
        <w:tab/>
        <w:t>Railway administration Executive Agency</w:t>
      </w:r>
    </w:p>
    <w:p w14:paraId="1887BFD7" w14:textId="77777777" w:rsidR="00B36E4C" w:rsidRPr="00B36E4C" w:rsidRDefault="00B36E4C" w:rsidP="00B36E4C">
      <w:pPr>
        <w:spacing w:after="0" w:line="240" w:lineRule="auto"/>
        <w:jc w:val="both"/>
        <w:rPr>
          <w:rFonts w:ascii="Verdana" w:hAnsi="Verdana"/>
          <w:sz w:val="20"/>
          <w:szCs w:val="20"/>
          <w:lang w:eastAsia="bg-BG"/>
        </w:rPr>
      </w:pPr>
      <w:r w:rsidRPr="00B36E4C">
        <w:rPr>
          <w:rFonts w:ascii="Verdana" w:hAnsi="Verdana"/>
          <w:sz w:val="20"/>
          <w:szCs w:val="20"/>
          <w:lang w:eastAsia="bg-BG"/>
        </w:rPr>
        <w:t>RIA</w:t>
      </w:r>
      <w:r w:rsidRPr="00B36E4C">
        <w:rPr>
          <w:rFonts w:ascii="Verdana" w:hAnsi="Verdana"/>
          <w:sz w:val="20"/>
          <w:szCs w:val="20"/>
          <w:lang w:eastAsia="bg-BG"/>
        </w:rPr>
        <w:tab/>
      </w:r>
      <w:r w:rsidRPr="00B36E4C">
        <w:rPr>
          <w:rFonts w:ascii="Verdana" w:hAnsi="Verdana"/>
          <w:sz w:val="20"/>
          <w:szCs w:val="20"/>
          <w:lang w:eastAsia="bg-BG"/>
        </w:rPr>
        <w:tab/>
        <w:t xml:space="preserve">Road Infrastructure Agency </w:t>
      </w:r>
    </w:p>
    <w:p w14:paraId="2AD74810" w14:textId="77777777" w:rsidR="00B36E4C" w:rsidRPr="00B36E4C" w:rsidRDefault="00B36E4C" w:rsidP="00B36E4C">
      <w:pPr>
        <w:spacing w:after="0" w:line="240" w:lineRule="auto"/>
        <w:jc w:val="both"/>
        <w:rPr>
          <w:rFonts w:ascii="Verdana" w:eastAsia="Calibri" w:hAnsi="Verdana" w:cs="Calibri"/>
          <w:sz w:val="20"/>
          <w:szCs w:val="20"/>
          <w:lang w:val="bg-BG"/>
        </w:rPr>
      </w:pPr>
      <w:r w:rsidRPr="00B36E4C">
        <w:rPr>
          <w:rFonts w:ascii="Verdana" w:eastAsia="Calibri" w:hAnsi="Verdana" w:cs="Calibri"/>
          <w:sz w:val="20"/>
          <w:szCs w:val="20"/>
          <w:lang w:val="bg-BG"/>
        </w:rPr>
        <w:t>RIS</w:t>
      </w:r>
      <w:r w:rsidRPr="00B36E4C">
        <w:rPr>
          <w:rFonts w:ascii="Verdana" w:eastAsia="Calibri" w:hAnsi="Verdana" w:cs="Calibri"/>
          <w:sz w:val="20"/>
          <w:szCs w:val="20"/>
          <w:lang w:val="bg-BG"/>
        </w:rPr>
        <w:tab/>
      </w:r>
      <w:r w:rsidRPr="00B36E4C">
        <w:rPr>
          <w:rFonts w:ascii="Verdana" w:eastAsia="Calibri" w:hAnsi="Verdana" w:cs="Calibri"/>
          <w:sz w:val="20"/>
          <w:szCs w:val="20"/>
          <w:lang w:val="bg-BG"/>
        </w:rPr>
        <w:tab/>
      </w:r>
      <w:proofErr w:type="spellStart"/>
      <w:r w:rsidRPr="00B36E4C">
        <w:rPr>
          <w:rFonts w:ascii="Verdana" w:eastAsia="Calibri" w:hAnsi="Verdana" w:cs="Calibri"/>
          <w:sz w:val="20"/>
          <w:szCs w:val="20"/>
          <w:lang w:val="bg-BG"/>
        </w:rPr>
        <w:t>River</w:t>
      </w:r>
      <w:proofErr w:type="spellEnd"/>
      <w:r w:rsidRPr="00B36E4C">
        <w:rPr>
          <w:rFonts w:ascii="Verdana" w:eastAsia="Calibri" w:hAnsi="Verdana" w:cs="Calibri"/>
          <w:sz w:val="20"/>
          <w:szCs w:val="20"/>
          <w:lang w:val="bg-BG"/>
        </w:rPr>
        <w:t xml:space="preserve"> </w:t>
      </w:r>
      <w:proofErr w:type="spellStart"/>
      <w:r w:rsidRPr="00B36E4C">
        <w:rPr>
          <w:rFonts w:ascii="Verdana" w:eastAsia="Calibri" w:hAnsi="Verdana" w:cs="Calibri"/>
          <w:sz w:val="20"/>
          <w:szCs w:val="20"/>
          <w:lang w:val="bg-BG"/>
        </w:rPr>
        <w:t>Information</w:t>
      </w:r>
      <w:proofErr w:type="spellEnd"/>
      <w:r w:rsidRPr="00B36E4C">
        <w:rPr>
          <w:rFonts w:ascii="Verdana" w:eastAsia="Calibri" w:hAnsi="Verdana" w:cs="Calibri"/>
          <w:sz w:val="20"/>
          <w:szCs w:val="20"/>
          <w:lang w:val="bg-BG"/>
        </w:rPr>
        <w:t xml:space="preserve"> </w:t>
      </w:r>
      <w:proofErr w:type="spellStart"/>
      <w:r w:rsidRPr="00B36E4C">
        <w:rPr>
          <w:rFonts w:ascii="Verdana" w:eastAsia="Calibri" w:hAnsi="Verdana" w:cs="Calibri"/>
          <w:sz w:val="20"/>
          <w:szCs w:val="20"/>
          <w:lang w:val="bg-BG"/>
        </w:rPr>
        <w:t>System</w:t>
      </w:r>
      <w:proofErr w:type="spellEnd"/>
    </w:p>
    <w:p w14:paraId="1FF4670E"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hAnsi="Verdana"/>
          <w:sz w:val="20"/>
          <w:szCs w:val="20"/>
          <w:lang w:val="en" w:eastAsia="bg-BG"/>
        </w:rPr>
        <w:t xml:space="preserve">RRM </w:t>
      </w:r>
      <w:r w:rsidRPr="00B36E4C">
        <w:rPr>
          <w:rFonts w:ascii="Verdana" w:hAnsi="Verdana"/>
          <w:sz w:val="20"/>
          <w:szCs w:val="20"/>
          <w:lang w:val="en" w:eastAsia="bg-BG"/>
        </w:rPr>
        <w:tab/>
      </w:r>
      <w:r w:rsidRPr="00B36E4C">
        <w:rPr>
          <w:rFonts w:ascii="Verdana" w:hAnsi="Verdana"/>
          <w:sz w:val="20"/>
          <w:szCs w:val="20"/>
          <w:lang w:val="en" w:eastAsia="bg-BG"/>
        </w:rPr>
        <w:tab/>
        <w:t>Republican Road Network</w:t>
      </w:r>
      <w:r w:rsidRPr="00B36E4C">
        <w:rPr>
          <w:rFonts w:ascii="Verdana" w:hAnsi="Verdana"/>
          <w:sz w:val="20"/>
          <w:szCs w:val="20"/>
          <w:lang w:val="en" w:eastAsia="bg-BG"/>
        </w:rPr>
        <w:tab/>
      </w:r>
      <w:r w:rsidRPr="00B36E4C">
        <w:rPr>
          <w:rFonts w:ascii="Verdana" w:hAnsi="Verdana"/>
          <w:sz w:val="20"/>
          <w:szCs w:val="20"/>
          <w:lang w:val="en" w:eastAsia="bg-BG"/>
        </w:rPr>
        <w:tab/>
      </w:r>
    </w:p>
    <w:p w14:paraId="7E22445F"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 xml:space="preserve">RTA </w:t>
      </w:r>
      <w:r w:rsidRPr="00B36E4C">
        <w:rPr>
          <w:rFonts w:ascii="Verdana" w:eastAsia="Times New Roman" w:hAnsi="Verdana" w:cs="Times New Roman"/>
          <w:color w:val="000000"/>
          <w:sz w:val="20"/>
          <w:szCs w:val="20"/>
          <w:lang w:eastAsia="bg-BG"/>
        </w:rPr>
        <w:tab/>
      </w:r>
      <w:r w:rsidRPr="00B36E4C">
        <w:rPr>
          <w:rFonts w:ascii="Verdana" w:eastAsia="Times New Roman" w:hAnsi="Verdana" w:cs="Times New Roman"/>
          <w:color w:val="000000"/>
          <w:sz w:val="20"/>
          <w:szCs w:val="20"/>
          <w:lang w:eastAsia="bg-BG"/>
        </w:rPr>
        <w:tab/>
        <w:t xml:space="preserve">Road Transport Accidents    </w:t>
      </w:r>
    </w:p>
    <w:p w14:paraId="03A5EAE0"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 xml:space="preserve">RTL </w:t>
      </w:r>
      <w:r w:rsidRPr="00B36E4C">
        <w:rPr>
          <w:rFonts w:ascii="Verdana" w:eastAsia="Times New Roman" w:hAnsi="Verdana" w:cs="Times New Roman"/>
          <w:color w:val="000000"/>
          <w:sz w:val="20"/>
          <w:szCs w:val="20"/>
          <w:lang w:eastAsia="bg-BG"/>
        </w:rPr>
        <w:tab/>
      </w:r>
      <w:r w:rsidRPr="00B36E4C">
        <w:rPr>
          <w:rFonts w:ascii="Verdana" w:eastAsia="Times New Roman" w:hAnsi="Verdana" w:cs="Times New Roman"/>
          <w:color w:val="000000"/>
          <w:sz w:val="20"/>
          <w:szCs w:val="20"/>
          <w:lang w:eastAsia="bg-BG"/>
        </w:rPr>
        <w:tab/>
        <w:t>Railway Transport Law</w:t>
      </w:r>
    </w:p>
    <w:p w14:paraId="0F303851" w14:textId="77777777" w:rsidR="00B36E4C" w:rsidRPr="00B36E4C" w:rsidRDefault="00B36E4C" w:rsidP="00B36E4C">
      <w:pPr>
        <w:spacing w:after="0" w:line="240" w:lineRule="auto"/>
        <w:jc w:val="both"/>
        <w:rPr>
          <w:rFonts w:ascii="Verdana" w:hAnsi="Verdana"/>
          <w:sz w:val="20"/>
          <w:szCs w:val="20"/>
          <w:lang w:val="en" w:eastAsia="bg-BG"/>
        </w:rPr>
      </w:pPr>
      <w:r w:rsidRPr="00B36E4C">
        <w:rPr>
          <w:rFonts w:ascii="Verdana" w:hAnsi="Verdana"/>
          <w:sz w:val="20"/>
          <w:szCs w:val="20"/>
          <w:lang w:val="en" w:eastAsia="bg-BG"/>
        </w:rPr>
        <w:t>SA</w:t>
      </w:r>
      <w:r w:rsidRPr="00B36E4C">
        <w:rPr>
          <w:rFonts w:ascii="Verdana" w:hAnsi="Verdana"/>
          <w:sz w:val="20"/>
          <w:szCs w:val="20"/>
          <w:lang w:val="en" w:eastAsia="bg-BG"/>
        </w:rPr>
        <w:tab/>
      </w:r>
      <w:r w:rsidRPr="00B36E4C">
        <w:rPr>
          <w:rFonts w:ascii="Verdana" w:hAnsi="Verdana"/>
          <w:sz w:val="20"/>
          <w:szCs w:val="20"/>
          <w:lang w:val="en" w:eastAsia="bg-BG"/>
        </w:rPr>
        <w:tab/>
        <w:t xml:space="preserve">State Enterprise </w:t>
      </w:r>
      <w:r w:rsidRPr="00B36E4C">
        <w:rPr>
          <w:rFonts w:ascii="Verdana" w:hAnsi="Verdana"/>
          <w:sz w:val="20"/>
          <w:szCs w:val="20"/>
          <w:lang w:val="en" w:eastAsia="bg-BG"/>
        </w:rPr>
        <w:tab/>
      </w:r>
    </w:p>
    <w:p w14:paraId="47ED43F5" w14:textId="77777777" w:rsidR="00B36E4C" w:rsidRPr="00B36E4C" w:rsidRDefault="00B36E4C" w:rsidP="00B36E4C">
      <w:pPr>
        <w:spacing w:after="0" w:line="240" w:lineRule="auto"/>
        <w:jc w:val="both"/>
        <w:rPr>
          <w:rFonts w:ascii="Verdana" w:hAnsi="Verdana"/>
          <w:sz w:val="20"/>
          <w:szCs w:val="20"/>
          <w:lang w:val="en" w:eastAsia="bg-BG"/>
        </w:rPr>
      </w:pPr>
      <w:r w:rsidRPr="00B36E4C">
        <w:rPr>
          <w:rFonts w:ascii="Verdana" w:hAnsi="Verdana"/>
          <w:sz w:val="20"/>
          <w:szCs w:val="20"/>
          <w:lang w:eastAsia="bg-BG"/>
        </w:rPr>
        <w:t>SARS</w:t>
      </w:r>
      <w:r w:rsidRPr="00B36E4C">
        <w:rPr>
          <w:rFonts w:ascii="Verdana" w:hAnsi="Verdana"/>
          <w:sz w:val="20"/>
          <w:szCs w:val="20"/>
          <w:lang w:eastAsia="bg-BG"/>
        </w:rPr>
        <w:tab/>
      </w:r>
      <w:r w:rsidRPr="00B36E4C">
        <w:rPr>
          <w:rFonts w:ascii="Verdana" w:hAnsi="Verdana"/>
          <w:sz w:val="20"/>
          <w:szCs w:val="20"/>
          <w:lang w:val="en" w:eastAsia="bg-BG"/>
        </w:rPr>
        <w:tab/>
        <w:t>State Agency</w:t>
      </w:r>
      <w:r w:rsidRPr="00B36E4C">
        <w:rPr>
          <w:rFonts w:ascii="Verdana" w:hAnsi="Verdana"/>
          <w:sz w:val="20"/>
          <w:szCs w:val="20"/>
          <w:lang w:val="en" w:eastAsia="bg-BG"/>
        </w:rPr>
        <w:tab/>
        <w:t xml:space="preserve">Road Safety </w:t>
      </w:r>
    </w:p>
    <w:p w14:paraId="7454E13F" w14:textId="77777777" w:rsidR="00B36E4C" w:rsidRPr="00B36E4C" w:rsidRDefault="00B36E4C" w:rsidP="00B36E4C">
      <w:pPr>
        <w:spacing w:after="0" w:line="240" w:lineRule="auto"/>
        <w:jc w:val="both"/>
        <w:rPr>
          <w:rFonts w:ascii="Verdana" w:hAnsi="Verdana"/>
          <w:sz w:val="20"/>
          <w:szCs w:val="20"/>
          <w:lang w:val="en" w:eastAsia="bg-BG"/>
        </w:rPr>
      </w:pPr>
      <w:r w:rsidRPr="00B36E4C">
        <w:rPr>
          <w:rFonts w:ascii="Verdana" w:hAnsi="Verdana"/>
          <w:sz w:val="20"/>
          <w:szCs w:val="20"/>
          <w:lang w:val="en" w:eastAsia="bg-BG"/>
        </w:rPr>
        <w:t>SCF</w:t>
      </w:r>
      <w:r w:rsidRPr="00B36E4C">
        <w:rPr>
          <w:rFonts w:ascii="Verdana" w:hAnsi="Verdana"/>
          <w:sz w:val="20"/>
          <w:szCs w:val="20"/>
          <w:lang w:val="en" w:eastAsia="bg-BG"/>
        </w:rPr>
        <w:tab/>
      </w:r>
      <w:r w:rsidRPr="00B36E4C">
        <w:rPr>
          <w:rFonts w:ascii="Verdana" w:hAnsi="Verdana"/>
          <w:sz w:val="20"/>
          <w:szCs w:val="20"/>
          <w:lang w:val="en" w:eastAsia="bg-BG"/>
        </w:rPr>
        <w:tab/>
        <w:t>Structural Funds and Cohesion Fund</w:t>
      </w:r>
      <w:r w:rsidRPr="00B36E4C">
        <w:rPr>
          <w:rFonts w:ascii="Verdana" w:hAnsi="Verdana"/>
          <w:sz w:val="20"/>
          <w:szCs w:val="20"/>
          <w:lang w:val="en" w:eastAsia="bg-BG"/>
        </w:rPr>
        <w:tab/>
      </w:r>
    </w:p>
    <w:p w14:paraId="77522685"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hAnsi="Verdana"/>
          <w:sz w:val="20"/>
          <w:szCs w:val="20"/>
          <w:lang w:val="en" w:eastAsia="bg-BG"/>
        </w:rPr>
        <w:t>SCR</w:t>
      </w:r>
      <w:r w:rsidRPr="00B36E4C">
        <w:rPr>
          <w:rFonts w:ascii="Verdana" w:hAnsi="Verdana"/>
          <w:sz w:val="20"/>
          <w:szCs w:val="20"/>
          <w:lang w:val="en" w:eastAsia="bg-BG"/>
        </w:rPr>
        <w:tab/>
      </w:r>
      <w:r w:rsidRPr="00B36E4C">
        <w:rPr>
          <w:rFonts w:ascii="Verdana" w:hAnsi="Verdana"/>
          <w:sz w:val="20"/>
          <w:szCs w:val="20"/>
          <w:lang w:val="en" w:eastAsia="bg-BG"/>
        </w:rPr>
        <w:tab/>
        <w:t>South Central District</w:t>
      </w:r>
      <w:r w:rsidRPr="00B36E4C">
        <w:rPr>
          <w:rFonts w:ascii="Verdana" w:hAnsi="Verdana"/>
          <w:sz w:val="20"/>
          <w:szCs w:val="20"/>
          <w:lang w:val="en" w:eastAsia="bg-BG"/>
        </w:rPr>
        <w:tab/>
      </w:r>
    </w:p>
    <w:p w14:paraId="259CA73E" w14:textId="36434418" w:rsidR="00B36E4C" w:rsidRPr="00B36E4C" w:rsidRDefault="00B36E4C" w:rsidP="00B36E4C">
      <w:pPr>
        <w:spacing w:after="0" w:line="240" w:lineRule="auto"/>
        <w:jc w:val="both"/>
        <w:rPr>
          <w:rFonts w:ascii="Verdana" w:hAnsi="Verdana"/>
          <w:sz w:val="20"/>
          <w:szCs w:val="20"/>
          <w:lang w:val="en" w:eastAsia="bg-BG"/>
        </w:rPr>
      </w:pPr>
      <w:r w:rsidRPr="00B36E4C">
        <w:rPr>
          <w:rFonts w:ascii="Verdana" w:hAnsi="Verdana"/>
          <w:sz w:val="20"/>
          <w:szCs w:val="20"/>
          <w:lang w:val="en" w:eastAsia="bg-BG"/>
        </w:rPr>
        <w:t>SDA</w:t>
      </w:r>
      <w:r w:rsidRPr="00B36E4C">
        <w:rPr>
          <w:rFonts w:ascii="Verdana" w:hAnsi="Verdana"/>
          <w:sz w:val="20"/>
          <w:szCs w:val="20"/>
          <w:lang w:val="en" w:eastAsia="bg-BG"/>
        </w:rPr>
        <w:tab/>
      </w:r>
      <w:r w:rsidRPr="00B36E4C">
        <w:rPr>
          <w:rFonts w:ascii="Verdana" w:hAnsi="Verdana"/>
          <w:sz w:val="20"/>
          <w:szCs w:val="20"/>
          <w:lang w:val="en" w:eastAsia="bg-BG"/>
        </w:rPr>
        <w:tab/>
        <w:t>Sp</w:t>
      </w:r>
      <w:r>
        <w:rPr>
          <w:rFonts w:ascii="Verdana" w:hAnsi="Verdana"/>
          <w:sz w:val="20"/>
          <w:szCs w:val="20"/>
          <w:lang w:val="en" w:eastAsia="bg-BG"/>
        </w:rPr>
        <w:t>e</w:t>
      </w:r>
      <w:r w:rsidRPr="00B36E4C">
        <w:rPr>
          <w:rFonts w:ascii="Verdana" w:hAnsi="Verdana"/>
          <w:sz w:val="20"/>
          <w:szCs w:val="20"/>
          <w:lang w:val="en" w:eastAsia="bg-BG"/>
        </w:rPr>
        <w:t xml:space="preserve">cial Development Act </w:t>
      </w:r>
      <w:r w:rsidRPr="00B36E4C">
        <w:rPr>
          <w:rFonts w:ascii="Verdana" w:hAnsi="Verdana"/>
          <w:sz w:val="20"/>
          <w:szCs w:val="20"/>
          <w:lang w:val="en" w:eastAsia="bg-BG"/>
        </w:rPr>
        <w:tab/>
      </w:r>
    </w:p>
    <w:p w14:paraId="05C8B0CC" w14:textId="77777777" w:rsidR="00B36E4C" w:rsidRPr="00B36E4C" w:rsidRDefault="00B36E4C" w:rsidP="00B36E4C">
      <w:pPr>
        <w:spacing w:after="0" w:line="240" w:lineRule="auto"/>
        <w:ind w:left="1440" w:hanging="1440"/>
        <w:jc w:val="both"/>
        <w:rPr>
          <w:rFonts w:ascii="Verdana" w:eastAsia="Times New Roman" w:hAnsi="Verdana" w:cs="Times New Roman"/>
          <w:sz w:val="20"/>
          <w:szCs w:val="20"/>
          <w:lang w:val="bg-BG" w:eastAsia="bg-BG"/>
        </w:rPr>
      </w:pPr>
      <w:r w:rsidRPr="00B36E4C">
        <w:rPr>
          <w:rFonts w:ascii="Verdana" w:hAnsi="Verdana"/>
          <w:sz w:val="20"/>
          <w:szCs w:val="20"/>
          <w:lang w:val="en" w:eastAsia="bg-BG"/>
        </w:rPr>
        <w:t>SDTIRB</w:t>
      </w:r>
      <w:r w:rsidRPr="00B36E4C">
        <w:rPr>
          <w:rFonts w:ascii="Verdana" w:hAnsi="Verdana"/>
          <w:sz w:val="20"/>
          <w:szCs w:val="20"/>
          <w:lang w:val="en" w:eastAsia="bg-BG"/>
        </w:rPr>
        <w:tab/>
        <w:t>Strategy for development of transport infrastructure of the Republic of Bulgaria by 2015</w:t>
      </w:r>
    </w:p>
    <w:p w14:paraId="7F332938"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 xml:space="preserve">SER </w:t>
      </w:r>
      <w:r w:rsidRPr="00B36E4C">
        <w:rPr>
          <w:rFonts w:ascii="Verdana" w:eastAsia="Times New Roman" w:hAnsi="Verdana" w:cs="Times New Roman"/>
          <w:color w:val="000000"/>
          <w:sz w:val="20"/>
          <w:szCs w:val="20"/>
          <w:lang w:eastAsia="bg-BG"/>
        </w:rPr>
        <w:tab/>
      </w:r>
      <w:r w:rsidRPr="00B36E4C">
        <w:rPr>
          <w:rFonts w:ascii="Verdana" w:eastAsia="Times New Roman" w:hAnsi="Verdana" w:cs="Times New Roman"/>
          <w:color w:val="000000"/>
          <w:sz w:val="20"/>
          <w:szCs w:val="20"/>
          <w:lang w:eastAsia="bg-BG"/>
        </w:rPr>
        <w:tab/>
        <w:t xml:space="preserve">South East Region </w:t>
      </w:r>
    </w:p>
    <w:p w14:paraId="68C14280" w14:textId="77777777" w:rsidR="00B36E4C" w:rsidRPr="00B36E4C" w:rsidRDefault="00B36E4C" w:rsidP="00B36E4C">
      <w:pPr>
        <w:spacing w:after="0" w:line="240" w:lineRule="auto"/>
        <w:ind w:left="1440" w:hanging="1440"/>
        <w:jc w:val="both"/>
        <w:rPr>
          <w:rFonts w:ascii="Verdana" w:hAnsi="Verdana"/>
          <w:sz w:val="20"/>
          <w:szCs w:val="20"/>
          <w:lang w:val="en" w:eastAsia="bg-BG"/>
        </w:rPr>
      </w:pPr>
      <w:r w:rsidRPr="00B36E4C">
        <w:rPr>
          <w:rFonts w:ascii="Verdana" w:hAnsi="Verdana"/>
          <w:sz w:val="20"/>
          <w:szCs w:val="20"/>
          <w:lang w:val="en" w:eastAsia="bg-BG"/>
        </w:rPr>
        <w:t xml:space="preserve">SIBILA </w:t>
      </w:r>
      <w:r w:rsidRPr="00B36E4C">
        <w:rPr>
          <w:rFonts w:ascii="Verdana" w:hAnsi="Verdana"/>
          <w:sz w:val="20"/>
          <w:szCs w:val="20"/>
          <w:lang w:val="en" w:eastAsia="bg-BG"/>
        </w:rPr>
        <w:tab/>
        <w:t>Model for evaluation of the net effects of the operational programmes to the Bulgarian economy</w:t>
      </w:r>
    </w:p>
    <w:p w14:paraId="667FA5F1" w14:textId="77777777" w:rsidR="00B36E4C" w:rsidRPr="00B36E4C" w:rsidRDefault="00B36E4C" w:rsidP="00B36E4C">
      <w:pPr>
        <w:spacing w:after="0" w:line="276" w:lineRule="auto"/>
        <w:jc w:val="both"/>
        <w:rPr>
          <w:rFonts w:ascii="Verdana" w:eastAsia="Times New Roman" w:hAnsi="Verdana" w:cs="Times New Roman"/>
          <w:sz w:val="20"/>
          <w:szCs w:val="20"/>
          <w:lang w:val="en-US" w:eastAsia="bg-BG"/>
        </w:rPr>
      </w:pPr>
      <w:r w:rsidRPr="00B36E4C">
        <w:rPr>
          <w:rFonts w:ascii="Verdana" w:eastAsia="Times New Roman" w:hAnsi="Verdana" w:cs="Times New Roman"/>
          <w:sz w:val="20"/>
          <w:szCs w:val="20"/>
          <w:lang w:val="en-US" w:eastAsia="bg-BG"/>
        </w:rPr>
        <w:t>SRR</w:t>
      </w:r>
      <w:r w:rsidRPr="00B36E4C">
        <w:rPr>
          <w:rFonts w:ascii="Verdana" w:eastAsia="Times New Roman" w:hAnsi="Verdana" w:cs="Times New Roman"/>
          <w:sz w:val="20"/>
          <w:szCs w:val="20"/>
          <w:lang w:val="en-US" w:eastAsia="bg-BG"/>
        </w:rPr>
        <w:tab/>
      </w:r>
      <w:r w:rsidRPr="00B36E4C">
        <w:rPr>
          <w:rFonts w:ascii="Verdana" w:eastAsia="Times New Roman" w:hAnsi="Verdana" w:cs="Times New Roman"/>
          <w:sz w:val="20"/>
          <w:szCs w:val="20"/>
          <w:lang w:val="en-US" w:eastAsia="bg-BG"/>
        </w:rPr>
        <w:tab/>
        <w:t>Sofia Ring Road</w:t>
      </w:r>
      <w:r w:rsidRPr="00B36E4C">
        <w:rPr>
          <w:rFonts w:ascii="Verdana" w:hAnsi="Verdana"/>
          <w:sz w:val="20"/>
          <w:szCs w:val="20"/>
          <w:lang w:val="en" w:eastAsia="bg-BG"/>
        </w:rPr>
        <w:tab/>
      </w:r>
    </w:p>
    <w:p w14:paraId="4A0E022A" w14:textId="06EE3202" w:rsidR="00B36E4C" w:rsidRPr="00DD5FF6"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eastAsia="Times New Roman" w:hAnsi="Verdana" w:cs="Times New Roman"/>
          <w:sz w:val="20"/>
          <w:szCs w:val="20"/>
          <w:lang w:val="bg-BG" w:eastAsia="bg-BG"/>
        </w:rPr>
        <w:t xml:space="preserve">TCP </w:t>
      </w:r>
      <w:r w:rsidRPr="00B36E4C">
        <w:rPr>
          <w:rFonts w:ascii="Verdana" w:eastAsia="Times New Roman" w:hAnsi="Verdana" w:cs="Times New Roman"/>
          <w:sz w:val="20"/>
          <w:szCs w:val="20"/>
          <w:lang w:val="bg-BG" w:eastAsia="bg-BG"/>
        </w:rPr>
        <w:tab/>
      </w:r>
      <w:r w:rsidRPr="00B36E4C">
        <w:rPr>
          <w:rFonts w:ascii="Verdana" w:eastAsia="Times New Roman" w:hAnsi="Verdana" w:cs="Times New Roman"/>
          <w:sz w:val="20"/>
          <w:szCs w:val="20"/>
          <w:lang w:val="bg-BG" w:eastAsia="bg-BG"/>
        </w:rPr>
        <w:tab/>
      </w:r>
      <w:proofErr w:type="spellStart"/>
      <w:r w:rsidRPr="00B36E4C">
        <w:rPr>
          <w:rFonts w:ascii="Verdana" w:eastAsia="Times New Roman" w:hAnsi="Verdana" w:cs="Times New Roman"/>
          <w:sz w:val="20"/>
          <w:szCs w:val="20"/>
          <w:lang w:val="bg-BG" w:eastAsia="bg-BG"/>
        </w:rPr>
        <w:t>Technological</w:t>
      </w:r>
      <w:proofErr w:type="spellEnd"/>
      <w:r w:rsidRPr="00B36E4C">
        <w:rPr>
          <w:rFonts w:ascii="Verdana" w:eastAsia="Times New Roman" w:hAnsi="Verdana" w:cs="Times New Roman"/>
          <w:sz w:val="20"/>
          <w:szCs w:val="20"/>
          <w:lang w:val="bg-BG" w:eastAsia="bg-BG"/>
        </w:rPr>
        <w:t xml:space="preserve"> </w:t>
      </w:r>
      <w:proofErr w:type="spellStart"/>
      <w:r w:rsidRPr="00B36E4C">
        <w:rPr>
          <w:rFonts w:ascii="Verdana" w:eastAsia="Times New Roman" w:hAnsi="Verdana" w:cs="Times New Roman"/>
          <w:sz w:val="20"/>
          <w:szCs w:val="20"/>
          <w:lang w:val="bg-BG" w:eastAsia="bg-BG"/>
        </w:rPr>
        <w:t>and</w:t>
      </w:r>
      <w:proofErr w:type="spellEnd"/>
      <w:r w:rsidRPr="00B36E4C">
        <w:rPr>
          <w:rFonts w:ascii="Verdana" w:eastAsia="Times New Roman" w:hAnsi="Verdana" w:cs="Times New Roman"/>
          <w:sz w:val="20"/>
          <w:szCs w:val="20"/>
          <w:lang w:val="bg-BG" w:eastAsia="bg-BG"/>
        </w:rPr>
        <w:t xml:space="preserve"> Construction </w:t>
      </w:r>
      <w:proofErr w:type="spellStart"/>
      <w:r w:rsidRPr="00B36E4C">
        <w:rPr>
          <w:rFonts w:ascii="Verdana" w:eastAsia="Times New Roman" w:hAnsi="Verdana" w:cs="Times New Roman"/>
          <w:sz w:val="20"/>
          <w:szCs w:val="20"/>
          <w:lang w:val="bg-BG" w:eastAsia="bg-BG"/>
        </w:rPr>
        <w:t>Program</w:t>
      </w:r>
      <w:proofErr w:type="spellEnd"/>
      <w:r w:rsidR="00293FF7">
        <w:rPr>
          <w:rFonts w:ascii="Verdana" w:eastAsia="Times New Roman" w:hAnsi="Verdana" w:cs="Times New Roman"/>
          <w:sz w:val="20"/>
          <w:szCs w:val="20"/>
          <w:lang w:eastAsia="bg-BG"/>
        </w:rPr>
        <w:t>me</w:t>
      </w:r>
    </w:p>
    <w:p w14:paraId="1675E984"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hAnsi="Verdana"/>
          <w:sz w:val="20"/>
          <w:szCs w:val="20"/>
          <w:lang w:val="en" w:eastAsia="bg-BG"/>
        </w:rPr>
        <w:t xml:space="preserve">TEN-T </w:t>
      </w:r>
      <w:r w:rsidRPr="00B36E4C">
        <w:rPr>
          <w:rFonts w:ascii="Verdana" w:hAnsi="Verdana"/>
          <w:sz w:val="20"/>
          <w:szCs w:val="20"/>
          <w:lang w:val="en" w:eastAsia="bg-BG"/>
        </w:rPr>
        <w:tab/>
      </w:r>
      <w:r w:rsidRPr="00B36E4C">
        <w:rPr>
          <w:rFonts w:ascii="Verdana" w:hAnsi="Verdana"/>
          <w:sz w:val="20"/>
          <w:szCs w:val="20"/>
          <w:lang w:val="en" w:eastAsia="bg-BG"/>
        </w:rPr>
        <w:tab/>
        <w:t>Trans-European Transport Network</w:t>
      </w:r>
      <w:r w:rsidRPr="00B36E4C">
        <w:rPr>
          <w:rFonts w:ascii="Verdana" w:hAnsi="Verdana"/>
          <w:sz w:val="20"/>
          <w:szCs w:val="20"/>
          <w:lang w:val="en" w:eastAsia="bg-BG"/>
        </w:rPr>
        <w:tab/>
      </w:r>
    </w:p>
    <w:p w14:paraId="448C21C7"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 xml:space="preserve">TEU </w:t>
      </w:r>
      <w:r w:rsidRPr="00B36E4C">
        <w:rPr>
          <w:rFonts w:ascii="Verdana" w:eastAsia="Times New Roman" w:hAnsi="Verdana" w:cs="Times New Roman"/>
          <w:color w:val="000000"/>
          <w:sz w:val="20"/>
          <w:szCs w:val="20"/>
          <w:lang w:eastAsia="bg-BG"/>
        </w:rPr>
        <w:tab/>
      </w:r>
      <w:r w:rsidRPr="00B36E4C">
        <w:rPr>
          <w:rFonts w:ascii="Verdana" w:eastAsia="Times New Roman" w:hAnsi="Verdana" w:cs="Times New Roman"/>
          <w:color w:val="000000"/>
          <w:sz w:val="20"/>
          <w:szCs w:val="20"/>
          <w:lang w:eastAsia="bg-BG"/>
        </w:rPr>
        <w:tab/>
        <w:t xml:space="preserve">Twenty – foot equivalent Unit </w:t>
      </w:r>
    </w:p>
    <w:p w14:paraId="4EF8AB4E"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 xml:space="preserve">TINA </w:t>
      </w:r>
      <w:r w:rsidRPr="00B36E4C">
        <w:rPr>
          <w:rFonts w:ascii="Verdana" w:eastAsia="Times New Roman" w:hAnsi="Verdana" w:cs="Times New Roman"/>
          <w:color w:val="000000"/>
          <w:sz w:val="20"/>
          <w:szCs w:val="20"/>
          <w:lang w:eastAsia="bg-BG"/>
        </w:rPr>
        <w:tab/>
      </w:r>
      <w:r w:rsidRPr="00B36E4C">
        <w:rPr>
          <w:rFonts w:ascii="Verdana" w:eastAsia="Times New Roman" w:hAnsi="Verdana" w:cs="Times New Roman"/>
          <w:color w:val="000000"/>
          <w:sz w:val="20"/>
          <w:szCs w:val="20"/>
          <w:lang w:eastAsia="bg-BG"/>
        </w:rPr>
        <w:tab/>
        <w:t>Transport Infrastructure Needs Assessment</w:t>
      </w:r>
    </w:p>
    <w:p w14:paraId="34D0AB46"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 xml:space="preserve">TPS </w:t>
      </w:r>
      <w:r w:rsidRPr="00B36E4C">
        <w:rPr>
          <w:rFonts w:ascii="Verdana" w:eastAsia="Times New Roman" w:hAnsi="Verdana" w:cs="Times New Roman"/>
          <w:color w:val="000000"/>
          <w:sz w:val="20"/>
          <w:szCs w:val="20"/>
          <w:lang w:eastAsia="bg-BG"/>
        </w:rPr>
        <w:tab/>
      </w:r>
      <w:r w:rsidRPr="00B36E4C">
        <w:rPr>
          <w:rFonts w:ascii="Verdana" w:eastAsia="Times New Roman" w:hAnsi="Verdana" w:cs="Times New Roman"/>
          <w:color w:val="000000"/>
          <w:sz w:val="20"/>
          <w:szCs w:val="20"/>
          <w:lang w:eastAsia="bg-BG"/>
        </w:rPr>
        <w:tab/>
        <w:t xml:space="preserve">Thermal Power Station </w:t>
      </w:r>
    </w:p>
    <w:p w14:paraId="44477166"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 xml:space="preserve">TRACEKA </w:t>
      </w:r>
      <w:r w:rsidRPr="00B36E4C">
        <w:rPr>
          <w:rFonts w:ascii="Verdana" w:eastAsia="Times New Roman" w:hAnsi="Verdana" w:cs="Times New Roman"/>
          <w:color w:val="000000"/>
          <w:sz w:val="20"/>
          <w:szCs w:val="20"/>
          <w:lang w:eastAsia="bg-BG"/>
        </w:rPr>
        <w:tab/>
        <w:t>Transport Corridor Europe-Caucasus-Asia</w:t>
      </w:r>
    </w:p>
    <w:p w14:paraId="03D62F26" w14:textId="77777777" w:rsidR="00B36E4C" w:rsidRPr="00B36E4C" w:rsidRDefault="00B36E4C" w:rsidP="00B36E4C">
      <w:pPr>
        <w:spacing w:after="0" w:line="240" w:lineRule="auto"/>
        <w:jc w:val="both"/>
        <w:rPr>
          <w:rFonts w:ascii="Verdana" w:eastAsia="Times New Roman" w:hAnsi="Verdana" w:cs="Times New Roman"/>
          <w:sz w:val="20"/>
          <w:szCs w:val="20"/>
          <w:lang w:val="bg-BG" w:eastAsia="bg-BG"/>
        </w:rPr>
      </w:pPr>
      <w:r w:rsidRPr="00B36E4C">
        <w:rPr>
          <w:rFonts w:ascii="Verdana" w:hAnsi="Verdana"/>
          <w:sz w:val="20"/>
          <w:szCs w:val="20"/>
          <w:lang w:val="en" w:eastAsia="bg-BG"/>
        </w:rPr>
        <w:t>TS</w:t>
      </w:r>
      <w:r w:rsidRPr="00B36E4C">
        <w:rPr>
          <w:rFonts w:ascii="Verdana" w:hAnsi="Verdana"/>
          <w:sz w:val="20"/>
          <w:szCs w:val="20"/>
          <w:lang w:val="en" w:eastAsia="bg-BG"/>
        </w:rPr>
        <w:tab/>
      </w:r>
      <w:r w:rsidRPr="00B36E4C">
        <w:rPr>
          <w:rFonts w:ascii="Verdana" w:hAnsi="Verdana"/>
          <w:sz w:val="20"/>
          <w:szCs w:val="20"/>
          <w:lang w:val="en" w:eastAsia="bg-BG"/>
        </w:rPr>
        <w:tab/>
        <w:t>Technical specifications</w:t>
      </w:r>
      <w:r w:rsidRPr="00B36E4C">
        <w:rPr>
          <w:rFonts w:ascii="Verdana" w:hAnsi="Verdana"/>
          <w:sz w:val="20"/>
          <w:szCs w:val="20"/>
          <w:lang w:val="en" w:eastAsia="bg-BG"/>
        </w:rPr>
        <w:tab/>
      </w:r>
    </w:p>
    <w:p w14:paraId="4ADB7728" w14:textId="77777777" w:rsidR="00B36E4C" w:rsidRPr="00B36E4C" w:rsidRDefault="00B36E4C" w:rsidP="00B36E4C">
      <w:pPr>
        <w:spacing w:after="0" w:line="240" w:lineRule="auto"/>
        <w:jc w:val="both"/>
        <w:rPr>
          <w:rFonts w:ascii="Verdana" w:eastAsia="Times New Roman" w:hAnsi="Verdana" w:cs="Times New Roman"/>
          <w:color w:val="000000"/>
          <w:sz w:val="20"/>
          <w:szCs w:val="20"/>
          <w:lang w:eastAsia="bg-BG"/>
        </w:rPr>
      </w:pPr>
      <w:r w:rsidRPr="00B36E4C">
        <w:rPr>
          <w:rFonts w:ascii="Verdana" w:eastAsia="Times New Roman" w:hAnsi="Verdana" w:cs="Times New Roman"/>
          <w:color w:val="000000"/>
          <w:sz w:val="20"/>
          <w:szCs w:val="20"/>
          <w:lang w:eastAsia="bg-BG"/>
        </w:rPr>
        <w:t xml:space="preserve">TW </w:t>
      </w:r>
      <w:r w:rsidRPr="00B36E4C">
        <w:rPr>
          <w:rFonts w:ascii="Verdana" w:eastAsia="Times New Roman" w:hAnsi="Verdana" w:cs="Times New Roman"/>
          <w:color w:val="000000"/>
          <w:sz w:val="20"/>
          <w:szCs w:val="20"/>
          <w:lang w:eastAsia="bg-BG"/>
        </w:rPr>
        <w:tab/>
      </w:r>
      <w:r w:rsidRPr="00B36E4C">
        <w:rPr>
          <w:rFonts w:ascii="Verdana" w:eastAsia="Times New Roman" w:hAnsi="Verdana" w:cs="Times New Roman"/>
          <w:color w:val="000000"/>
          <w:sz w:val="20"/>
          <w:szCs w:val="20"/>
          <w:lang w:eastAsia="bg-BG"/>
        </w:rPr>
        <w:tab/>
        <w:t>Taxiway</w:t>
      </w:r>
    </w:p>
    <w:p w14:paraId="607715C4" w14:textId="77777777" w:rsidR="00B36E4C" w:rsidRPr="00B36E4C" w:rsidRDefault="00B36E4C" w:rsidP="00B36E4C">
      <w:pPr>
        <w:spacing w:after="0" w:line="240" w:lineRule="auto"/>
        <w:jc w:val="both"/>
        <w:rPr>
          <w:rFonts w:ascii="Verdana" w:hAnsi="Verdana"/>
          <w:sz w:val="20"/>
          <w:szCs w:val="20"/>
          <w:lang w:val="en" w:eastAsia="bg-BG"/>
        </w:rPr>
      </w:pPr>
      <w:r w:rsidRPr="00B36E4C">
        <w:rPr>
          <w:rFonts w:ascii="Verdana" w:hAnsi="Verdana"/>
          <w:sz w:val="20"/>
          <w:szCs w:val="20"/>
          <w:lang w:val="en" w:eastAsia="bg-BG"/>
        </w:rPr>
        <w:lastRenderedPageBreak/>
        <w:t>VAT</w:t>
      </w:r>
      <w:r w:rsidRPr="00B36E4C">
        <w:rPr>
          <w:rFonts w:ascii="Verdana" w:hAnsi="Verdana"/>
          <w:sz w:val="20"/>
          <w:szCs w:val="20"/>
          <w:lang w:val="en" w:eastAsia="bg-BG"/>
        </w:rPr>
        <w:tab/>
      </w:r>
      <w:r w:rsidRPr="00B36E4C">
        <w:rPr>
          <w:rFonts w:ascii="Verdana" w:hAnsi="Verdana"/>
          <w:sz w:val="20"/>
          <w:szCs w:val="20"/>
          <w:lang w:val="en" w:eastAsia="bg-BG"/>
        </w:rPr>
        <w:tab/>
        <w:t>Value Added Tax</w:t>
      </w:r>
      <w:r w:rsidRPr="00B36E4C">
        <w:rPr>
          <w:rFonts w:ascii="Verdana" w:hAnsi="Verdana"/>
          <w:sz w:val="20"/>
          <w:szCs w:val="20"/>
          <w:lang w:val="en" w:eastAsia="bg-BG"/>
        </w:rPr>
        <w:tab/>
      </w:r>
    </w:p>
    <w:p w14:paraId="538AF10B" w14:textId="77777777" w:rsidR="00B36E4C" w:rsidRPr="00B36E4C" w:rsidRDefault="00B36E4C" w:rsidP="00B36E4C">
      <w:pPr>
        <w:spacing w:after="0" w:line="240" w:lineRule="auto"/>
        <w:jc w:val="both"/>
        <w:rPr>
          <w:rFonts w:ascii="Verdana" w:hAnsi="Verdana"/>
          <w:sz w:val="20"/>
          <w:szCs w:val="20"/>
          <w:lang w:val="en" w:eastAsia="bg-BG"/>
        </w:rPr>
      </w:pPr>
      <w:r w:rsidRPr="00B36E4C">
        <w:rPr>
          <w:rFonts w:ascii="Verdana" w:hAnsi="Verdana"/>
          <w:sz w:val="20"/>
          <w:szCs w:val="20"/>
          <w:lang w:val="en" w:eastAsia="bg-BG"/>
        </w:rPr>
        <w:t>VOC</w:t>
      </w:r>
      <w:r w:rsidRPr="00B36E4C">
        <w:rPr>
          <w:rFonts w:ascii="Verdana" w:hAnsi="Verdana"/>
          <w:sz w:val="20"/>
          <w:szCs w:val="20"/>
          <w:lang w:val="en" w:eastAsia="bg-BG"/>
        </w:rPr>
        <w:tab/>
      </w:r>
      <w:r w:rsidRPr="00B36E4C">
        <w:rPr>
          <w:rFonts w:ascii="Verdana" w:hAnsi="Verdana"/>
          <w:sz w:val="20"/>
          <w:szCs w:val="20"/>
          <w:lang w:val="en" w:eastAsia="bg-BG"/>
        </w:rPr>
        <w:tab/>
        <w:t>Vehicle Operation Costs</w:t>
      </w:r>
    </w:p>
    <w:p w14:paraId="144E21F8" w14:textId="77777777" w:rsidR="00B36E4C" w:rsidRPr="00B36E4C" w:rsidRDefault="00B36E4C" w:rsidP="00B36E4C">
      <w:pPr>
        <w:spacing w:after="0" w:line="276" w:lineRule="auto"/>
        <w:jc w:val="both"/>
        <w:rPr>
          <w:rFonts w:ascii="Verdana" w:eastAsia="Times New Roman" w:hAnsi="Verdana" w:cs="Times New Roman"/>
          <w:sz w:val="20"/>
          <w:szCs w:val="20"/>
          <w:lang w:val="en-US" w:eastAsia="bg-BG"/>
        </w:rPr>
      </w:pPr>
      <w:r w:rsidRPr="00B36E4C">
        <w:rPr>
          <w:rFonts w:ascii="Verdana" w:eastAsia="Times New Roman" w:hAnsi="Verdana" w:cs="Times New Roman"/>
          <w:sz w:val="20"/>
          <w:szCs w:val="20"/>
          <w:lang w:val="en-US" w:eastAsia="bg-BG"/>
        </w:rPr>
        <w:t>VTMIS</w:t>
      </w:r>
      <w:r w:rsidRPr="00B36E4C">
        <w:rPr>
          <w:rFonts w:ascii="Verdana" w:eastAsia="Times New Roman" w:hAnsi="Verdana" w:cs="Times New Roman"/>
          <w:sz w:val="20"/>
          <w:szCs w:val="20"/>
          <w:lang w:val="en-US" w:eastAsia="bg-BG"/>
        </w:rPr>
        <w:tab/>
      </w:r>
      <w:r w:rsidRPr="00B36E4C">
        <w:rPr>
          <w:rFonts w:ascii="Verdana" w:eastAsia="Times New Roman" w:hAnsi="Verdana" w:cs="Times New Roman"/>
          <w:sz w:val="20"/>
          <w:szCs w:val="20"/>
          <w:lang w:val="en-US" w:eastAsia="bg-BG"/>
        </w:rPr>
        <w:tab/>
        <w:t>Vessel Traffic Management Information System</w:t>
      </w:r>
    </w:p>
    <w:p w14:paraId="1479DAF2" w14:textId="34D97EDC" w:rsidR="00611744" w:rsidRDefault="00B36E4C" w:rsidP="00B36E4C">
      <w:pPr>
        <w:spacing w:after="0" w:line="240" w:lineRule="auto"/>
        <w:jc w:val="both"/>
        <w:rPr>
          <w:rFonts w:ascii="Verdana" w:hAnsi="Verdana"/>
          <w:sz w:val="20"/>
          <w:szCs w:val="20"/>
          <w:lang w:val="en" w:eastAsia="bg-BG"/>
        </w:rPr>
      </w:pPr>
      <w:r w:rsidRPr="00B36E4C">
        <w:rPr>
          <w:rFonts w:ascii="Verdana" w:hAnsi="Verdana"/>
          <w:sz w:val="20"/>
          <w:szCs w:val="20"/>
          <w:lang w:val="en" w:eastAsia="bg-BG"/>
        </w:rPr>
        <w:tab/>
      </w:r>
    </w:p>
    <w:p w14:paraId="16E48ACD" w14:textId="77777777" w:rsidR="00611744" w:rsidRDefault="00611744">
      <w:pPr>
        <w:rPr>
          <w:rFonts w:ascii="Verdana" w:hAnsi="Verdana"/>
          <w:sz w:val="20"/>
          <w:szCs w:val="20"/>
          <w:lang w:val="en" w:eastAsia="bg-BG"/>
        </w:rPr>
      </w:pPr>
      <w:r>
        <w:rPr>
          <w:rFonts w:ascii="Verdana" w:hAnsi="Verdana"/>
          <w:sz w:val="20"/>
          <w:szCs w:val="20"/>
          <w:lang w:val="en" w:eastAsia="bg-BG"/>
        </w:rPr>
        <w:br w:type="page"/>
      </w:r>
    </w:p>
    <w:p w14:paraId="3938030B" w14:textId="77777777" w:rsidR="00B36E4C" w:rsidRPr="00B36E4C" w:rsidRDefault="00B36E4C" w:rsidP="00B36E4C">
      <w:pPr>
        <w:spacing w:after="0" w:line="240" w:lineRule="auto"/>
        <w:jc w:val="both"/>
        <w:rPr>
          <w:rFonts w:ascii="Verdana" w:hAnsi="Verdana"/>
          <w:sz w:val="20"/>
          <w:szCs w:val="20"/>
          <w:lang w:val="bg-BG"/>
        </w:rPr>
      </w:pPr>
    </w:p>
    <w:p w14:paraId="0D916FD3" w14:textId="12B0C692" w:rsidR="00E87517" w:rsidRPr="00424BA0" w:rsidRDefault="002A60EF" w:rsidP="00F2777E">
      <w:pPr>
        <w:pStyle w:val="Heading1"/>
        <w:jc w:val="center"/>
        <w:rPr>
          <w:rFonts w:ascii="Verdana" w:eastAsia="Calibri" w:hAnsi="Verdana"/>
          <w:b/>
          <w:bCs/>
          <w:color w:val="auto"/>
          <w:sz w:val="20"/>
          <w:szCs w:val="20"/>
          <w:lang w:val="bg-BG"/>
        </w:rPr>
      </w:pPr>
      <w:bookmarkStart w:id="8" w:name="_Toc62724388"/>
      <w:r w:rsidRPr="00424BA0">
        <w:rPr>
          <w:rFonts w:ascii="Verdana" w:hAnsi="Verdana"/>
          <w:b/>
          <w:bCs/>
          <w:color w:val="auto"/>
          <w:sz w:val="20"/>
          <w:szCs w:val="20"/>
          <w:lang w:val="en"/>
        </w:rPr>
        <w:t>LIST OF TABLES</w:t>
      </w:r>
      <w:bookmarkEnd w:id="8"/>
    </w:p>
    <w:p w14:paraId="1F7BBBAF" w14:textId="77777777" w:rsidR="00E87517" w:rsidRPr="0054654A" w:rsidRDefault="00E87517" w:rsidP="00E87517">
      <w:pPr>
        <w:rPr>
          <w:rFonts w:ascii="Verdana" w:hAnsi="Verdana"/>
          <w:sz w:val="20"/>
          <w:szCs w:val="20"/>
          <w:highlight w:val="yellow"/>
          <w:lang w:val="bg-BG"/>
        </w:rPr>
      </w:pPr>
    </w:p>
    <w:p w14:paraId="08AC0044" w14:textId="5C845BF7" w:rsidR="00424BA0" w:rsidRPr="00424BA0" w:rsidRDefault="002A60EF" w:rsidP="00611744">
      <w:pPr>
        <w:pStyle w:val="TableofFigures"/>
        <w:tabs>
          <w:tab w:val="right" w:leader="dot" w:pos="9074"/>
        </w:tabs>
        <w:jc w:val="both"/>
        <w:rPr>
          <w:rFonts w:ascii="Verdana" w:hAnsi="Verdana"/>
          <w:noProof/>
          <w:sz w:val="18"/>
          <w:szCs w:val="18"/>
          <w:lang w:val="bg-BG" w:eastAsia="bg-BG"/>
        </w:rPr>
      </w:pPr>
      <w:r w:rsidRPr="00424BA0">
        <w:rPr>
          <w:rFonts w:ascii="Verdana" w:hAnsi="Verdana"/>
          <w:sz w:val="18"/>
          <w:szCs w:val="18"/>
          <w:highlight w:val="yellow"/>
          <w:lang w:val="en"/>
        </w:rPr>
        <w:fldChar w:fldCharType="begin"/>
      </w:r>
      <w:r w:rsidRPr="00424BA0">
        <w:rPr>
          <w:rFonts w:ascii="Verdana" w:hAnsi="Verdana"/>
          <w:sz w:val="18"/>
          <w:szCs w:val="18"/>
          <w:highlight w:val="yellow"/>
          <w:lang w:val="en"/>
        </w:rPr>
        <w:instrText xml:space="preserve"> TOC \h \z \c "Table" </w:instrText>
      </w:r>
      <w:r w:rsidRPr="00424BA0">
        <w:rPr>
          <w:rFonts w:ascii="Verdana" w:hAnsi="Verdana"/>
          <w:sz w:val="18"/>
          <w:szCs w:val="18"/>
          <w:highlight w:val="yellow"/>
          <w:lang w:val="en"/>
        </w:rPr>
        <w:fldChar w:fldCharType="separate"/>
      </w:r>
      <w:hyperlink w:anchor="_Toc62724728" w:history="1">
        <w:r w:rsidR="00424BA0" w:rsidRPr="00424BA0">
          <w:rPr>
            <w:rStyle w:val="Hyperlink"/>
            <w:rFonts w:ascii="Verdana" w:hAnsi="Verdana"/>
            <w:noProof/>
            <w:color w:val="auto"/>
            <w:sz w:val="18"/>
            <w:szCs w:val="18"/>
          </w:rPr>
          <w:t>Table II</w:t>
        </w:r>
        <w:r w:rsidR="00424BA0" w:rsidRPr="00424BA0">
          <w:rPr>
            <w:rStyle w:val="Hyperlink"/>
            <w:rFonts w:ascii="Verdana" w:hAnsi="Verdana"/>
            <w:noProof/>
            <w:color w:val="auto"/>
            <w:sz w:val="18"/>
            <w:szCs w:val="18"/>
          </w:rPr>
          <w:noBreakHyphen/>
          <w:t>1: Evaluation methodology</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_Toc62724728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16</w:t>
        </w:r>
        <w:r w:rsidR="00424BA0" w:rsidRPr="00424BA0">
          <w:rPr>
            <w:rFonts w:ascii="Verdana" w:hAnsi="Verdana"/>
            <w:noProof/>
            <w:webHidden/>
            <w:sz w:val="18"/>
            <w:szCs w:val="18"/>
          </w:rPr>
          <w:fldChar w:fldCharType="end"/>
        </w:r>
      </w:hyperlink>
    </w:p>
    <w:p w14:paraId="4992E454" w14:textId="394F8FA0" w:rsidR="00424BA0" w:rsidRPr="00424BA0" w:rsidRDefault="00333A1A" w:rsidP="00611744">
      <w:pPr>
        <w:pStyle w:val="TableofFigures"/>
        <w:tabs>
          <w:tab w:val="right" w:leader="dot" w:pos="9074"/>
        </w:tabs>
        <w:jc w:val="both"/>
        <w:rPr>
          <w:rFonts w:ascii="Verdana" w:hAnsi="Verdana"/>
          <w:noProof/>
          <w:sz w:val="18"/>
          <w:szCs w:val="18"/>
          <w:lang w:val="bg-BG" w:eastAsia="bg-BG"/>
        </w:rPr>
      </w:pPr>
      <w:hyperlink w:anchor="_Toc62724729" w:history="1">
        <w:r w:rsidR="00424BA0" w:rsidRPr="00424BA0">
          <w:rPr>
            <w:rStyle w:val="Hyperlink"/>
            <w:rFonts w:ascii="Verdana" w:hAnsi="Verdana"/>
            <w:noProof/>
            <w:color w:val="auto"/>
            <w:sz w:val="18"/>
            <w:szCs w:val="18"/>
          </w:rPr>
          <w:t>Table IV.1</w:t>
        </w:r>
        <w:r w:rsidR="00424BA0" w:rsidRPr="00424BA0">
          <w:rPr>
            <w:rStyle w:val="Hyperlink"/>
            <w:rFonts w:ascii="Verdana" w:hAnsi="Verdana"/>
            <w:noProof/>
            <w:color w:val="auto"/>
            <w:sz w:val="18"/>
            <w:szCs w:val="18"/>
          </w:rPr>
          <w:noBreakHyphen/>
          <w:t xml:space="preserve">1: </w:t>
        </w:r>
        <w:r w:rsidR="00424BA0" w:rsidRPr="00424BA0">
          <w:rPr>
            <w:rStyle w:val="Hyperlink"/>
            <w:rFonts w:ascii="Verdana" w:hAnsi="Verdana"/>
            <w:noProof/>
            <w:color w:val="auto"/>
            <w:sz w:val="18"/>
            <w:szCs w:val="18"/>
            <w:lang w:val="en"/>
          </w:rPr>
          <w:t>OPT on key macroeconomic indicators in Bulgaria, mid-term and at the end of the programming period</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_Toc62724729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26</w:t>
        </w:r>
        <w:r w:rsidR="00424BA0" w:rsidRPr="00424BA0">
          <w:rPr>
            <w:rFonts w:ascii="Verdana" w:hAnsi="Verdana"/>
            <w:noProof/>
            <w:webHidden/>
            <w:sz w:val="18"/>
            <w:szCs w:val="18"/>
          </w:rPr>
          <w:fldChar w:fldCharType="end"/>
        </w:r>
      </w:hyperlink>
    </w:p>
    <w:p w14:paraId="234E4A20" w14:textId="4C32D550" w:rsidR="00424BA0" w:rsidRPr="00424BA0" w:rsidRDefault="00333A1A" w:rsidP="00611744">
      <w:pPr>
        <w:pStyle w:val="TableofFigures"/>
        <w:tabs>
          <w:tab w:val="right" w:leader="dot" w:pos="9074"/>
        </w:tabs>
        <w:jc w:val="both"/>
        <w:rPr>
          <w:rFonts w:ascii="Verdana" w:hAnsi="Verdana"/>
          <w:noProof/>
          <w:sz w:val="18"/>
          <w:szCs w:val="18"/>
          <w:lang w:val="bg-BG" w:eastAsia="bg-BG"/>
        </w:rPr>
      </w:pPr>
      <w:hyperlink w:anchor="_Toc62724730" w:history="1">
        <w:r w:rsidR="00424BA0" w:rsidRPr="00424BA0">
          <w:rPr>
            <w:rStyle w:val="Hyperlink"/>
            <w:rFonts w:ascii="Verdana" w:hAnsi="Verdana"/>
            <w:noProof/>
            <w:color w:val="auto"/>
            <w:sz w:val="18"/>
            <w:szCs w:val="18"/>
          </w:rPr>
          <w:t>Table IV.1</w:t>
        </w:r>
        <w:r w:rsidR="00424BA0" w:rsidRPr="00424BA0">
          <w:rPr>
            <w:rStyle w:val="Hyperlink"/>
            <w:rFonts w:ascii="Verdana" w:hAnsi="Verdana"/>
            <w:noProof/>
            <w:color w:val="auto"/>
            <w:sz w:val="18"/>
            <w:szCs w:val="18"/>
          </w:rPr>
          <w:noBreakHyphen/>
          <w:t>2 Decomposed net effects by priority axis of the OPT at the end of 2015, %</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_Toc62724730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27</w:t>
        </w:r>
        <w:r w:rsidR="00424BA0" w:rsidRPr="00424BA0">
          <w:rPr>
            <w:rFonts w:ascii="Verdana" w:hAnsi="Verdana"/>
            <w:noProof/>
            <w:webHidden/>
            <w:sz w:val="18"/>
            <w:szCs w:val="18"/>
          </w:rPr>
          <w:fldChar w:fldCharType="end"/>
        </w:r>
      </w:hyperlink>
    </w:p>
    <w:p w14:paraId="0D7E7EC7" w14:textId="014DA2B2" w:rsidR="00424BA0" w:rsidRPr="00424BA0" w:rsidRDefault="00333A1A" w:rsidP="00611744">
      <w:pPr>
        <w:pStyle w:val="TableofFigures"/>
        <w:tabs>
          <w:tab w:val="right" w:leader="dot" w:pos="9074"/>
        </w:tabs>
        <w:jc w:val="both"/>
        <w:rPr>
          <w:rFonts w:ascii="Verdana" w:hAnsi="Verdana"/>
          <w:noProof/>
          <w:sz w:val="18"/>
          <w:szCs w:val="18"/>
          <w:lang w:val="bg-BG" w:eastAsia="bg-BG"/>
        </w:rPr>
      </w:pPr>
      <w:hyperlink w:anchor="_Toc62724731" w:history="1">
        <w:r w:rsidR="00424BA0" w:rsidRPr="00424BA0">
          <w:rPr>
            <w:rStyle w:val="Hyperlink"/>
            <w:rFonts w:ascii="Verdana" w:hAnsi="Verdana"/>
            <w:noProof/>
            <w:color w:val="auto"/>
            <w:sz w:val="18"/>
            <w:szCs w:val="18"/>
          </w:rPr>
          <w:t>Table IV.1</w:t>
        </w:r>
        <w:r w:rsidR="00424BA0" w:rsidRPr="00424BA0">
          <w:rPr>
            <w:rStyle w:val="Hyperlink"/>
            <w:rFonts w:ascii="Verdana" w:hAnsi="Verdana"/>
            <w:noProof/>
            <w:color w:val="auto"/>
            <w:sz w:val="18"/>
            <w:szCs w:val="18"/>
          </w:rPr>
          <w:noBreakHyphen/>
          <w:t>3 Qualitative assessments of the net impact of the 10 most significant projects on key macroeconomic indicators at the end of 2015</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_Toc62724731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28</w:t>
        </w:r>
        <w:r w:rsidR="00424BA0" w:rsidRPr="00424BA0">
          <w:rPr>
            <w:rFonts w:ascii="Verdana" w:hAnsi="Verdana"/>
            <w:noProof/>
            <w:webHidden/>
            <w:sz w:val="18"/>
            <w:szCs w:val="18"/>
          </w:rPr>
          <w:fldChar w:fldCharType="end"/>
        </w:r>
      </w:hyperlink>
    </w:p>
    <w:p w14:paraId="48D240E7" w14:textId="6D8285DB" w:rsidR="00424BA0" w:rsidRPr="00424BA0" w:rsidRDefault="00333A1A" w:rsidP="00611744">
      <w:pPr>
        <w:pStyle w:val="TableofFigures"/>
        <w:tabs>
          <w:tab w:val="right" w:leader="dot" w:pos="9074"/>
        </w:tabs>
        <w:jc w:val="both"/>
        <w:rPr>
          <w:rFonts w:ascii="Verdana" w:hAnsi="Verdana"/>
          <w:noProof/>
          <w:sz w:val="18"/>
          <w:szCs w:val="18"/>
          <w:lang w:val="bg-BG" w:eastAsia="bg-BG"/>
        </w:rPr>
      </w:pPr>
      <w:hyperlink w:anchor="_Toc62724732" w:history="1">
        <w:r w:rsidR="00424BA0" w:rsidRPr="00424BA0">
          <w:rPr>
            <w:rStyle w:val="Hyperlink"/>
            <w:rFonts w:ascii="Verdana" w:hAnsi="Verdana"/>
            <w:noProof/>
            <w:color w:val="auto"/>
            <w:sz w:val="18"/>
            <w:szCs w:val="18"/>
          </w:rPr>
          <w:t>Table IV.1</w:t>
        </w:r>
        <w:r w:rsidR="00424BA0" w:rsidRPr="00424BA0">
          <w:rPr>
            <w:rStyle w:val="Hyperlink"/>
            <w:rFonts w:ascii="Verdana" w:hAnsi="Verdana"/>
            <w:noProof/>
            <w:color w:val="auto"/>
            <w:sz w:val="18"/>
            <w:szCs w:val="18"/>
          </w:rPr>
          <w:noBreakHyphen/>
          <w:t>4 Net impact of the OPT on main macroeconomic indicators in Bulgaria at the end of 2019</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_Toc62724732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30</w:t>
        </w:r>
        <w:r w:rsidR="00424BA0" w:rsidRPr="00424BA0">
          <w:rPr>
            <w:rFonts w:ascii="Verdana" w:hAnsi="Verdana"/>
            <w:noProof/>
            <w:webHidden/>
            <w:sz w:val="18"/>
            <w:szCs w:val="18"/>
          </w:rPr>
          <w:fldChar w:fldCharType="end"/>
        </w:r>
      </w:hyperlink>
    </w:p>
    <w:p w14:paraId="4510C8FE" w14:textId="55FD7F91" w:rsidR="00424BA0" w:rsidRPr="00424BA0" w:rsidRDefault="00333A1A" w:rsidP="00611744">
      <w:pPr>
        <w:pStyle w:val="TableofFigures"/>
        <w:tabs>
          <w:tab w:val="right" w:leader="dot" w:pos="9074"/>
        </w:tabs>
        <w:jc w:val="both"/>
        <w:rPr>
          <w:rFonts w:ascii="Verdana" w:hAnsi="Verdana"/>
          <w:noProof/>
          <w:sz w:val="18"/>
          <w:szCs w:val="18"/>
          <w:lang w:val="bg-BG" w:eastAsia="bg-BG"/>
        </w:rPr>
      </w:pPr>
      <w:hyperlink w:anchor="_Toc62724733" w:history="1">
        <w:r w:rsidR="00424BA0" w:rsidRPr="00424BA0">
          <w:rPr>
            <w:rStyle w:val="Hyperlink"/>
            <w:rFonts w:ascii="Verdana" w:hAnsi="Verdana"/>
            <w:noProof/>
            <w:color w:val="auto"/>
            <w:sz w:val="18"/>
            <w:szCs w:val="18"/>
          </w:rPr>
          <w:t>Table IV.2</w:t>
        </w:r>
        <w:r w:rsidR="00424BA0" w:rsidRPr="00424BA0">
          <w:rPr>
            <w:rStyle w:val="Hyperlink"/>
            <w:rFonts w:ascii="Verdana" w:hAnsi="Verdana"/>
            <w:noProof/>
            <w:color w:val="auto"/>
            <w:sz w:val="18"/>
            <w:szCs w:val="18"/>
          </w:rPr>
          <w:noBreakHyphen/>
          <w:t>1:Financial implementation of OPT in EUR on the basis of declared and certified eligible costs</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_Toc62724733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31</w:t>
        </w:r>
        <w:r w:rsidR="00424BA0" w:rsidRPr="00424BA0">
          <w:rPr>
            <w:rFonts w:ascii="Verdana" w:hAnsi="Verdana"/>
            <w:noProof/>
            <w:webHidden/>
            <w:sz w:val="18"/>
            <w:szCs w:val="18"/>
          </w:rPr>
          <w:fldChar w:fldCharType="end"/>
        </w:r>
      </w:hyperlink>
    </w:p>
    <w:p w14:paraId="2FFB8168" w14:textId="3CD719CD" w:rsidR="00424BA0" w:rsidRPr="00424BA0" w:rsidRDefault="00333A1A" w:rsidP="00611744">
      <w:pPr>
        <w:pStyle w:val="TableofFigures"/>
        <w:tabs>
          <w:tab w:val="right" w:leader="dot" w:pos="9074"/>
        </w:tabs>
        <w:jc w:val="both"/>
        <w:rPr>
          <w:rFonts w:ascii="Verdana" w:hAnsi="Verdana"/>
          <w:noProof/>
          <w:sz w:val="18"/>
          <w:szCs w:val="18"/>
          <w:lang w:val="bg-BG" w:eastAsia="bg-BG"/>
        </w:rPr>
      </w:pPr>
      <w:hyperlink w:anchor="_Toc62724734" w:history="1">
        <w:r w:rsidR="00424BA0" w:rsidRPr="00424BA0">
          <w:rPr>
            <w:rStyle w:val="Hyperlink"/>
            <w:rFonts w:ascii="Verdana" w:hAnsi="Verdana"/>
            <w:noProof/>
            <w:color w:val="auto"/>
            <w:sz w:val="18"/>
            <w:szCs w:val="18"/>
          </w:rPr>
          <w:t>Table IV.5</w:t>
        </w:r>
        <w:r w:rsidR="00424BA0" w:rsidRPr="00424BA0">
          <w:rPr>
            <w:rStyle w:val="Hyperlink"/>
            <w:rFonts w:ascii="Verdana" w:hAnsi="Verdana"/>
            <w:noProof/>
            <w:color w:val="auto"/>
            <w:sz w:val="18"/>
            <w:szCs w:val="18"/>
          </w:rPr>
          <w:noBreakHyphen/>
          <w:t>1 Identified needs and objectives of OPT 2007-2013</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_Toc62724734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49</w:t>
        </w:r>
        <w:r w:rsidR="00424BA0" w:rsidRPr="00424BA0">
          <w:rPr>
            <w:rFonts w:ascii="Verdana" w:hAnsi="Verdana"/>
            <w:noProof/>
            <w:webHidden/>
            <w:sz w:val="18"/>
            <w:szCs w:val="18"/>
          </w:rPr>
          <w:fldChar w:fldCharType="end"/>
        </w:r>
      </w:hyperlink>
    </w:p>
    <w:p w14:paraId="5EA0310C" w14:textId="7FD0210C" w:rsidR="00424BA0" w:rsidRPr="00424BA0" w:rsidRDefault="00333A1A" w:rsidP="00611744">
      <w:pPr>
        <w:pStyle w:val="TableofFigures"/>
        <w:tabs>
          <w:tab w:val="right" w:leader="dot" w:pos="9074"/>
        </w:tabs>
        <w:jc w:val="both"/>
        <w:rPr>
          <w:rFonts w:ascii="Verdana" w:hAnsi="Verdana"/>
          <w:noProof/>
          <w:sz w:val="18"/>
          <w:szCs w:val="18"/>
          <w:lang w:val="bg-BG" w:eastAsia="bg-BG"/>
        </w:rPr>
      </w:pPr>
      <w:hyperlink w:anchor="_Toc62724735" w:history="1">
        <w:r w:rsidR="00424BA0" w:rsidRPr="00424BA0">
          <w:rPr>
            <w:rStyle w:val="Hyperlink"/>
            <w:rFonts w:ascii="Verdana" w:hAnsi="Verdana"/>
            <w:noProof/>
            <w:color w:val="auto"/>
            <w:sz w:val="18"/>
            <w:szCs w:val="18"/>
          </w:rPr>
          <w:t>Table IV.7</w:t>
        </w:r>
        <w:r w:rsidR="00424BA0" w:rsidRPr="00424BA0">
          <w:rPr>
            <w:rStyle w:val="Hyperlink"/>
            <w:rFonts w:ascii="Verdana" w:hAnsi="Verdana"/>
            <w:noProof/>
            <w:color w:val="auto"/>
            <w:sz w:val="18"/>
            <w:szCs w:val="18"/>
          </w:rPr>
          <w:noBreakHyphen/>
          <w:t>1 Net effects of the implementation of the OPT at the end of 2015, and at the end of 2019</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_Toc62724735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60</w:t>
        </w:r>
        <w:r w:rsidR="00424BA0" w:rsidRPr="00424BA0">
          <w:rPr>
            <w:rFonts w:ascii="Verdana" w:hAnsi="Verdana"/>
            <w:noProof/>
            <w:webHidden/>
            <w:sz w:val="18"/>
            <w:szCs w:val="18"/>
          </w:rPr>
          <w:fldChar w:fldCharType="end"/>
        </w:r>
      </w:hyperlink>
    </w:p>
    <w:p w14:paraId="42867107" w14:textId="69F8D9A2" w:rsidR="00424BA0" w:rsidRPr="00424BA0" w:rsidRDefault="00333A1A" w:rsidP="00611744">
      <w:pPr>
        <w:pStyle w:val="TableofFigures"/>
        <w:tabs>
          <w:tab w:val="right" w:leader="dot" w:pos="9074"/>
        </w:tabs>
        <w:jc w:val="both"/>
        <w:rPr>
          <w:rFonts w:ascii="Verdana" w:hAnsi="Verdana"/>
          <w:noProof/>
          <w:sz w:val="18"/>
          <w:szCs w:val="18"/>
          <w:lang w:val="bg-BG" w:eastAsia="bg-BG"/>
        </w:rPr>
      </w:pPr>
      <w:hyperlink w:anchor="_Toc62724736" w:history="1">
        <w:r w:rsidR="00424BA0" w:rsidRPr="00424BA0">
          <w:rPr>
            <w:rStyle w:val="Hyperlink"/>
            <w:rFonts w:ascii="Verdana" w:hAnsi="Verdana"/>
            <w:noProof/>
            <w:color w:val="auto"/>
            <w:sz w:val="18"/>
            <w:szCs w:val="18"/>
          </w:rPr>
          <w:t>Table IV.7</w:t>
        </w:r>
        <w:r w:rsidR="00424BA0" w:rsidRPr="00424BA0">
          <w:rPr>
            <w:rStyle w:val="Hyperlink"/>
            <w:rFonts w:ascii="Verdana" w:hAnsi="Verdana"/>
            <w:noProof/>
            <w:color w:val="auto"/>
            <w:sz w:val="18"/>
            <w:szCs w:val="18"/>
          </w:rPr>
          <w:noBreakHyphen/>
          <w:t>2  Economic effects on the transport sector at the end of 2015, and at the end of 2019</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_Toc62724736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61</w:t>
        </w:r>
        <w:r w:rsidR="00424BA0" w:rsidRPr="00424BA0">
          <w:rPr>
            <w:rFonts w:ascii="Verdana" w:hAnsi="Verdana"/>
            <w:noProof/>
            <w:webHidden/>
            <w:sz w:val="18"/>
            <w:szCs w:val="18"/>
          </w:rPr>
          <w:fldChar w:fldCharType="end"/>
        </w:r>
      </w:hyperlink>
    </w:p>
    <w:p w14:paraId="3AAAE0F3" w14:textId="3A660266" w:rsidR="00424BA0" w:rsidRPr="00424BA0" w:rsidRDefault="00333A1A" w:rsidP="00611744">
      <w:pPr>
        <w:pStyle w:val="TableofFigures"/>
        <w:tabs>
          <w:tab w:val="right" w:leader="dot" w:pos="9074"/>
        </w:tabs>
        <w:jc w:val="both"/>
        <w:rPr>
          <w:rFonts w:ascii="Verdana" w:hAnsi="Verdana"/>
          <w:noProof/>
          <w:sz w:val="18"/>
          <w:szCs w:val="18"/>
          <w:lang w:val="bg-BG" w:eastAsia="bg-BG"/>
        </w:rPr>
      </w:pPr>
      <w:hyperlink w:anchor="_Toc62724737" w:history="1">
        <w:r w:rsidR="00424BA0" w:rsidRPr="00424BA0">
          <w:rPr>
            <w:rStyle w:val="Hyperlink"/>
            <w:rFonts w:ascii="Verdana" w:hAnsi="Verdana"/>
            <w:noProof/>
            <w:color w:val="auto"/>
            <w:sz w:val="18"/>
            <w:szCs w:val="18"/>
            <w:lang w:val="en"/>
          </w:rPr>
          <w:t>Table VI</w:t>
        </w:r>
        <w:r w:rsidR="00424BA0" w:rsidRPr="00424BA0">
          <w:rPr>
            <w:rStyle w:val="Hyperlink"/>
            <w:rFonts w:ascii="Verdana" w:hAnsi="Verdana"/>
            <w:noProof/>
            <w:color w:val="auto"/>
            <w:sz w:val="18"/>
            <w:szCs w:val="18"/>
            <w:lang w:val="en"/>
          </w:rPr>
          <w:noBreakHyphen/>
          <w:t>1: Main conclusions and recommendations of the evaluation</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_Toc62724737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74</w:t>
        </w:r>
        <w:r w:rsidR="00424BA0" w:rsidRPr="00424BA0">
          <w:rPr>
            <w:rFonts w:ascii="Verdana" w:hAnsi="Verdana"/>
            <w:noProof/>
            <w:webHidden/>
            <w:sz w:val="18"/>
            <w:szCs w:val="18"/>
          </w:rPr>
          <w:fldChar w:fldCharType="end"/>
        </w:r>
      </w:hyperlink>
    </w:p>
    <w:p w14:paraId="4884A816" w14:textId="7BCA8B82" w:rsidR="00424BA0" w:rsidRPr="00424BA0" w:rsidRDefault="00333A1A" w:rsidP="00611744">
      <w:pPr>
        <w:pStyle w:val="TableofFigures"/>
        <w:tabs>
          <w:tab w:val="right" w:leader="dot" w:pos="9074"/>
        </w:tabs>
        <w:jc w:val="both"/>
        <w:rPr>
          <w:rFonts w:ascii="Verdana" w:hAnsi="Verdana"/>
          <w:noProof/>
          <w:sz w:val="18"/>
          <w:szCs w:val="18"/>
          <w:lang w:val="bg-BG" w:eastAsia="bg-BG"/>
        </w:rPr>
      </w:pPr>
      <w:hyperlink w:anchor="_Toc62724738" w:history="1">
        <w:r w:rsidR="00424BA0" w:rsidRPr="00424BA0">
          <w:rPr>
            <w:rStyle w:val="Hyperlink"/>
            <w:rFonts w:ascii="Verdana" w:hAnsi="Verdana"/>
            <w:noProof/>
            <w:color w:val="auto"/>
            <w:sz w:val="18"/>
            <w:szCs w:val="18"/>
          </w:rPr>
          <w:t>Table VII</w:t>
        </w:r>
        <w:r w:rsidR="00424BA0" w:rsidRPr="00424BA0">
          <w:rPr>
            <w:rStyle w:val="Hyperlink"/>
            <w:rFonts w:ascii="Verdana" w:hAnsi="Verdana"/>
            <w:noProof/>
            <w:color w:val="auto"/>
            <w:sz w:val="18"/>
            <w:szCs w:val="18"/>
          </w:rPr>
          <w:noBreakHyphen/>
          <w:t>1: Experts</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_Toc62724738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79</w:t>
        </w:r>
        <w:r w:rsidR="00424BA0" w:rsidRPr="00424BA0">
          <w:rPr>
            <w:rFonts w:ascii="Verdana" w:hAnsi="Verdana"/>
            <w:noProof/>
            <w:webHidden/>
            <w:sz w:val="18"/>
            <w:szCs w:val="18"/>
          </w:rPr>
          <w:fldChar w:fldCharType="end"/>
        </w:r>
      </w:hyperlink>
    </w:p>
    <w:p w14:paraId="24313DB8" w14:textId="6E1D6A05" w:rsidR="00424BA0" w:rsidRPr="00424BA0" w:rsidRDefault="00333A1A" w:rsidP="00611744">
      <w:pPr>
        <w:pStyle w:val="TableofFigures"/>
        <w:tabs>
          <w:tab w:val="right" w:leader="dot" w:pos="9074"/>
        </w:tabs>
        <w:jc w:val="both"/>
        <w:rPr>
          <w:rFonts w:ascii="Verdana" w:hAnsi="Verdana"/>
          <w:noProof/>
          <w:sz w:val="18"/>
          <w:szCs w:val="18"/>
          <w:lang w:val="bg-BG" w:eastAsia="bg-BG"/>
        </w:rPr>
      </w:pPr>
      <w:hyperlink w:anchor="_Toc62724739" w:history="1">
        <w:r w:rsidR="00424BA0" w:rsidRPr="00424BA0">
          <w:rPr>
            <w:rStyle w:val="Hyperlink"/>
            <w:rFonts w:ascii="Verdana" w:hAnsi="Verdana"/>
            <w:noProof/>
            <w:color w:val="auto"/>
            <w:sz w:val="18"/>
            <w:szCs w:val="18"/>
          </w:rPr>
          <w:t>Table VIII</w:t>
        </w:r>
        <w:r w:rsidR="00424BA0" w:rsidRPr="00424BA0">
          <w:rPr>
            <w:rStyle w:val="Hyperlink"/>
            <w:rFonts w:ascii="Verdana" w:hAnsi="Verdana"/>
            <w:noProof/>
            <w:color w:val="auto"/>
            <w:sz w:val="18"/>
            <w:szCs w:val="18"/>
          </w:rPr>
          <w:noBreakHyphen/>
          <w:t>1: Information sources</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_Toc62724739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80</w:t>
        </w:r>
        <w:r w:rsidR="00424BA0" w:rsidRPr="00424BA0">
          <w:rPr>
            <w:rFonts w:ascii="Verdana" w:hAnsi="Verdana"/>
            <w:noProof/>
            <w:webHidden/>
            <w:sz w:val="18"/>
            <w:szCs w:val="18"/>
          </w:rPr>
          <w:fldChar w:fldCharType="end"/>
        </w:r>
      </w:hyperlink>
    </w:p>
    <w:p w14:paraId="10197AA3" w14:textId="505949F3" w:rsidR="00424BA0" w:rsidRPr="00424BA0" w:rsidRDefault="00333A1A" w:rsidP="00611744">
      <w:pPr>
        <w:pStyle w:val="TableofFigures"/>
        <w:tabs>
          <w:tab w:val="right" w:leader="dot" w:pos="9074"/>
        </w:tabs>
        <w:jc w:val="both"/>
        <w:rPr>
          <w:rFonts w:ascii="Verdana" w:hAnsi="Verdana"/>
          <w:noProof/>
          <w:sz w:val="18"/>
          <w:szCs w:val="18"/>
          <w:lang w:val="bg-BG" w:eastAsia="bg-BG"/>
        </w:rPr>
      </w:pPr>
      <w:hyperlink w:anchor="_Toc62724740" w:history="1">
        <w:r w:rsidR="00424BA0" w:rsidRPr="00424BA0">
          <w:rPr>
            <w:rStyle w:val="Hyperlink"/>
            <w:rFonts w:ascii="Verdana" w:hAnsi="Verdana"/>
            <w:noProof/>
            <w:color w:val="auto"/>
            <w:sz w:val="18"/>
            <w:szCs w:val="18"/>
          </w:rPr>
          <w:t>Table VIII</w:t>
        </w:r>
        <w:r w:rsidR="00424BA0" w:rsidRPr="00424BA0">
          <w:rPr>
            <w:rStyle w:val="Hyperlink"/>
            <w:rFonts w:ascii="Verdana" w:hAnsi="Verdana"/>
            <w:noProof/>
            <w:color w:val="auto"/>
            <w:sz w:val="18"/>
            <w:szCs w:val="18"/>
          </w:rPr>
          <w:noBreakHyphen/>
          <w:t>2  Interviews</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_Toc62724740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82</w:t>
        </w:r>
        <w:r w:rsidR="00424BA0" w:rsidRPr="00424BA0">
          <w:rPr>
            <w:rFonts w:ascii="Verdana" w:hAnsi="Verdana"/>
            <w:noProof/>
            <w:webHidden/>
            <w:sz w:val="18"/>
            <w:szCs w:val="18"/>
          </w:rPr>
          <w:fldChar w:fldCharType="end"/>
        </w:r>
      </w:hyperlink>
    </w:p>
    <w:p w14:paraId="02E86FD9" w14:textId="3C827AEF" w:rsidR="00E87517" w:rsidRPr="0054654A" w:rsidRDefault="002A60EF" w:rsidP="00E87517">
      <w:pPr>
        <w:jc w:val="both"/>
        <w:rPr>
          <w:rFonts w:ascii="Verdana" w:hAnsi="Verdana"/>
          <w:sz w:val="18"/>
          <w:szCs w:val="18"/>
          <w:highlight w:val="yellow"/>
          <w:lang w:val="bg-BG"/>
        </w:rPr>
      </w:pPr>
      <w:r w:rsidRPr="00424BA0">
        <w:rPr>
          <w:rFonts w:ascii="Verdana" w:hAnsi="Verdana"/>
          <w:sz w:val="18"/>
          <w:szCs w:val="18"/>
          <w:highlight w:val="yellow"/>
          <w:lang w:val="en"/>
        </w:rPr>
        <w:fldChar w:fldCharType="end"/>
      </w:r>
    </w:p>
    <w:p w14:paraId="2A1783BE" w14:textId="5A659433" w:rsidR="00E87517" w:rsidRDefault="00E87517" w:rsidP="00F2777E">
      <w:pPr>
        <w:pStyle w:val="Heading1"/>
        <w:jc w:val="center"/>
        <w:rPr>
          <w:rFonts w:ascii="Verdana" w:hAnsi="Verdana"/>
          <w:b/>
          <w:bCs/>
          <w:color w:val="auto"/>
          <w:sz w:val="20"/>
          <w:szCs w:val="20"/>
          <w:lang w:val="en"/>
        </w:rPr>
      </w:pPr>
      <w:bookmarkStart w:id="9" w:name="_Toc62724389"/>
      <w:r w:rsidRPr="00424BA0">
        <w:rPr>
          <w:rFonts w:ascii="Verdana" w:hAnsi="Verdana"/>
          <w:b/>
          <w:bCs/>
          <w:color w:val="auto"/>
          <w:sz w:val="20"/>
          <w:szCs w:val="20"/>
          <w:lang w:val="en"/>
        </w:rPr>
        <w:t xml:space="preserve">LIST OF </w:t>
      </w:r>
      <w:r w:rsidR="00F2777E" w:rsidRPr="00424BA0">
        <w:rPr>
          <w:rFonts w:ascii="Verdana" w:hAnsi="Verdana"/>
          <w:b/>
          <w:bCs/>
          <w:color w:val="auto"/>
          <w:sz w:val="20"/>
          <w:szCs w:val="20"/>
          <w:lang w:val="en"/>
        </w:rPr>
        <w:t>FIGURES</w:t>
      </w:r>
      <w:bookmarkEnd w:id="9"/>
    </w:p>
    <w:p w14:paraId="05F35C72" w14:textId="77777777" w:rsidR="00424BA0" w:rsidRPr="00424BA0" w:rsidRDefault="00424BA0" w:rsidP="00424BA0">
      <w:pPr>
        <w:rPr>
          <w:lang w:val="en"/>
        </w:rPr>
      </w:pPr>
    </w:p>
    <w:p w14:paraId="0B591D9C" w14:textId="633C0551" w:rsidR="00424BA0" w:rsidRPr="00424BA0" w:rsidRDefault="00424BA0">
      <w:pPr>
        <w:pStyle w:val="TableofFigures"/>
        <w:tabs>
          <w:tab w:val="right" w:leader="dot" w:pos="9074"/>
        </w:tabs>
        <w:rPr>
          <w:rFonts w:ascii="Verdana" w:hAnsi="Verdana"/>
          <w:noProof/>
          <w:sz w:val="18"/>
          <w:szCs w:val="18"/>
          <w:lang w:val="bg-BG" w:eastAsia="bg-BG"/>
        </w:rPr>
      </w:pPr>
      <w:r w:rsidRPr="00424BA0">
        <w:rPr>
          <w:rFonts w:ascii="Verdana" w:eastAsia="Calibri" w:hAnsi="Verdana"/>
          <w:sz w:val="18"/>
          <w:szCs w:val="18"/>
          <w:lang w:val="bg-BG"/>
        </w:rPr>
        <w:fldChar w:fldCharType="begin"/>
      </w:r>
      <w:r w:rsidRPr="00424BA0">
        <w:rPr>
          <w:rFonts w:ascii="Verdana" w:eastAsia="Calibri" w:hAnsi="Verdana"/>
          <w:sz w:val="18"/>
          <w:szCs w:val="18"/>
          <w:lang w:val="bg-BG"/>
        </w:rPr>
        <w:instrText xml:space="preserve"> TOC \h \z \c "Figure" </w:instrText>
      </w:r>
      <w:r w:rsidRPr="00424BA0">
        <w:rPr>
          <w:rFonts w:ascii="Verdana" w:eastAsia="Calibri" w:hAnsi="Verdana"/>
          <w:sz w:val="18"/>
          <w:szCs w:val="18"/>
          <w:lang w:val="bg-BG"/>
        </w:rPr>
        <w:fldChar w:fldCharType="separate"/>
      </w:r>
      <w:hyperlink w:anchor="_Toc62724847" w:history="1">
        <w:r w:rsidRPr="00424BA0">
          <w:rPr>
            <w:rStyle w:val="Hyperlink"/>
            <w:rFonts w:ascii="Verdana" w:hAnsi="Verdana"/>
            <w:noProof/>
            <w:sz w:val="18"/>
            <w:szCs w:val="18"/>
          </w:rPr>
          <w:t>Figure I</w:t>
        </w:r>
        <w:r w:rsidRPr="00424BA0">
          <w:rPr>
            <w:rStyle w:val="Hyperlink"/>
            <w:rFonts w:ascii="Verdana" w:hAnsi="Verdana"/>
            <w:noProof/>
            <w:sz w:val="18"/>
            <w:szCs w:val="18"/>
          </w:rPr>
          <w:noBreakHyphen/>
          <w:t xml:space="preserve">1: </w:t>
        </w:r>
        <w:r w:rsidRPr="00424BA0">
          <w:rPr>
            <w:rStyle w:val="Hyperlink"/>
            <w:rFonts w:ascii="Verdana" w:hAnsi="Verdana"/>
            <w:noProof/>
            <w:sz w:val="18"/>
            <w:szCs w:val="18"/>
            <w:lang w:val="en"/>
          </w:rPr>
          <w:t>Results achieved, net effect on real GDP and mechanism of impact of the OPT on the macroeconomic environment</w:t>
        </w:r>
        <w:r w:rsidRPr="00424BA0">
          <w:rPr>
            <w:rFonts w:ascii="Verdana" w:hAnsi="Verdana"/>
            <w:noProof/>
            <w:webHidden/>
            <w:sz w:val="18"/>
            <w:szCs w:val="18"/>
          </w:rPr>
          <w:tab/>
        </w:r>
        <w:r w:rsidRPr="00424BA0">
          <w:rPr>
            <w:rFonts w:ascii="Verdana" w:hAnsi="Verdana"/>
            <w:noProof/>
            <w:webHidden/>
            <w:sz w:val="18"/>
            <w:szCs w:val="18"/>
          </w:rPr>
          <w:fldChar w:fldCharType="begin"/>
        </w:r>
        <w:r w:rsidRPr="00424BA0">
          <w:rPr>
            <w:rFonts w:ascii="Verdana" w:hAnsi="Verdana"/>
            <w:noProof/>
            <w:webHidden/>
            <w:sz w:val="18"/>
            <w:szCs w:val="18"/>
          </w:rPr>
          <w:instrText xml:space="preserve"> PAGEREF _Toc62724847 \h </w:instrText>
        </w:r>
        <w:r w:rsidRPr="00424BA0">
          <w:rPr>
            <w:rFonts w:ascii="Verdana" w:hAnsi="Verdana"/>
            <w:noProof/>
            <w:webHidden/>
            <w:sz w:val="18"/>
            <w:szCs w:val="18"/>
          </w:rPr>
        </w:r>
        <w:r w:rsidRPr="00424BA0">
          <w:rPr>
            <w:rFonts w:ascii="Verdana" w:hAnsi="Verdana"/>
            <w:noProof/>
            <w:webHidden/>
            <w:sz w:val="18"/>
            <w:szCs w:val="18"/>
          </w:rPr>
          <w:fldChar w:fldCharType="separate"/>
        </w:r>
        <w:r w:rsidR="000F573B">
          <w:rPr>
            <w:rFonts w:ascii="Verdana" w:hAnsi="Verdana"/>
            <w:noProof/>
            <w:webHidden/>
            <w:sz w:val="18"/>
            <w:szCs w:val="18"/>
          </w:rPr>
          <w:t>13</w:t>
        </w:r>
        <w:r w:rsidRPr="00424BA0">
          <w:rPr>
            <w:rFonts w:ascii="Verdana" w:hAnsi="Verdana"/>
            <w:noProof/>
            <w:webHidden/>
            <w:sz w:val="18"/>
            <w:szCs w:val="18"/>
          </w:rPr>
          <w:fldChar w:fldCharType="end"/>
        </w:r>
      </w:hyperlink>
    </w:p>
    <w:p w14:paraId="74D194E7" w14:textId="3BD070AF" w:rsidR="00424BA0" w:rsidRPr="00424BA0" w:rsidRDefault="00333A1A">
      <w:pPr>
        <w:pStyle w:val="TableofFigures"/>
        <w:tabs>
          <w:tab w:val="right" w:leader="dot" w:pos="9074"/>
        </w:tabs>
        <w:rPr>
          <w:rFonts w:ascii="Verdana" w:hAnsi="Verdana"/>
          <w:noProof/>
          <w:sz w:val="18"/>
          <w:szCs w:val="18"/>
          <w:lang w:val="bg-BG" w:eastAsia="bg-BG"/>
        </w:rPr>
      </w:pPr>
      <w:hyperlink w:anchor="_Toc62724848" w:history="1">
        <w:r w:rsidR="00424BA0" w:rsidRPr="00424BA0">
          <w:rPr>
            <w:rStyle w:val="Hyperlink"/>
            <w:rFonts w:ascii="Verdana" w:hAnsi="Verdana"/>
            <w:noProof/>
            <w:sz w:val="18"/>
            <w:szCs w:val="18"/>
          </w:rPr>
          <w:t>Figure III</w:t>
        </w:r>
        <w:r w:rsidR="00424BA0" w:rsidRPr="00424BA0">
          <w:rPr>
            <w:rStyle w:val="Hyperlink"/>
            <w:rFonts w:ascii="Verdana" w:hAnsi="Verdana"/>
            <w:noProof/>
            <w:sz w:val="18"/>
            <w:szCs w:val="18"/>
          </w:rPr>
          <w:noBreakHyphen/>
          <w:t>1 Goals and priorities of OPT</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_Toc62724848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21</w:t>
        </w:r>
        <w:r w:rsidR="00424BA0" w:rsidRPr="00424BA0">
          <w:rPr>
            <w:rFonts w:ascii="Verdana" w:hAnsi="Verdana"/>
            <w:noProof/>
            <w:webHidden/>
            <w:sz w:val="18"/>
            <w:szCs w:val="18"/>
          </w:rPr>
          <w:fldChar w:fldCharType="end"/>
        </w:r>
      </w:hyperlink>
    </w:p>
    <w:p w14:paraId="274A5AB4" w14:textId="243B7617" w:rsidR="00424BA0" w:rsidRPr="00424BA0" w:rsidRDefault="00333A1A">
      <w:pPr>
        <w:pStyle w:val="TableofFigures"/>
        <w:tabs>
          <w:tab w:val="right" w:leader="dot" w:pos="9074"/>
        </w:tabs>
        <w:rPr>
          <w:rFonts w:ascii="Verdana" w:hAnsi="Verdana"/>
          <w:noProof/>
          <w:sz w:val="18"/>
          <w:szCs w:val="18"/>
          <w:lang w:val="bg-BG" w:eastAsia="bg-BG"/>
        </w:rPr>
      </w:pPr>
      <w:hyperlink w:anchor="_Toc62724849" w:history="1">
        <w:r w:rsidR="00424BA0" w:rsidRPr="00424BA0">
          <w:rPr>
            <w:rStyle w:val="Hyperlink"/>
            <w:rFonts w:ascii="Verdana" w:hAnsi="Verdana"/>
            <w:noProof/>
            <w:sz w:val="18"/>
            <w:szCs w:val="18"/>
          </w:rPr>
          <w:t>Figure III</w:t>
        </w:r>
        <w:r w:rsidR="00424BA0" w:rsidRPr="00424BA0">
          <w:rPr>
            <w:rStyle w:val="Hyperlink"/>
            <w:rFonts w:ascii="Verdana" w:hAnsi="Verdana"/>
            <w:noProof/>
            <w:sz w:val="18"/>
            <w:szCs w:val="18"/>
          </w:rPr>
          <w:noBreakHyphen/>
          <w:t>2</w:t>
        </w:r>
        <w:r w:rsidR="00424BA0" w:rsidRPr="00424BA0">
          <w:rPr>
            <w:rStyle w:val="Hyperlink"/>
            <w:rFonts w:ascii="Verdana" w:hAnsi="Verdana"/>
            <w:noProof/>
            <w:sz w:val="18"/>
            <w:szCs w:val="18"/>
            <w:lang w:val="bg-BG"/>
          </w:rPr>
          <w:t xml:space="preserve">: </w:t>
        </w:r>
        <w:r w:rsidR="00424BA0" w:rsidRPr="00424BA0">
          <w:rPr>
            <w:rStyle w:val="Hyperlink"/>
            <w:rFonts w:ascii="Verdana" w:hAnsi="Verdana"/>
            <w:noProof/>
            <w:sz w:val="18"/>
            <w:szCs w:val="18"/>
          </w:rPr>
          <w:t>Initial budget of the programme (EUR)</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_Toc62724849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23</w:t>
        </w:r>
        <w:r w:rsidR="00424BA0" w:rsidRPr="00424BA0">
          <w:rPr>
            <w:rFonts w:ascii="Verdana" w:hAnsi="Verdana"/>
            <w:noProof/>
            <w:webHidden/>
            <w:sz w:val="18"/>
            <w:szCs w:val="18"/>
          </w:rPr>
          <w:fldChar w:fldCharType="end"/>
        </w:r>
      </w:hyperlink>
    </w:p>
    <w:p w14:paraId="6A867DBC" w14:textId="58BAD001" w:rsidR="00424BA0" w:rsidRPr="00424BA0" w:rsidRDefault="00333A1A">
      <w:pPr>
        <w:pStyle w:val="TableofFigures"/>
        <w:tabs>
          <w:tab w:val="right" w:leader="dot" w:pos="9074"/>
        </w:tabs>
        <w:rPr>
          <w:rFonts w:ascii="Verdana" w:hAnsi="Verdana"/>
          <w:noProof/>
          <w:sz w:val="18"/>
          <w:szCs w:val="18"/>
          <w:lang w:val="bg-BG" w:eastAsia="bg-BG"/>
        </w:rPr>
      </w:pPr>
      <w:hyperlink w:anchor="_Toc62724850" w:history="1">
        <w:r w:rsidR="00424BA0" w:rsidRPr="00424BA0">
          <w:rPr>
            <w:rStyle w:val="Hyperlink"/>
            <w:rFonts w:ascii="Verdana" w:hAnsi="Verdana"/>
            <w:noProof/>
            <w:sz w:val="18"/>
            <w:szCs w:val="18"/>
          </w:rPr>
          <w:t>Figure III</w:t>
        </w:r>
        <w:r w:rsidR="00424BA0" w:rsidRPr="00424BA0">
          <w:rPr>
            <w:rStyle w:val="Hyperlink"/>
            <w:rFonts w:ascii="Verdana" w:hAnsi="Verdana"/>
            <w:noProof/>
            <w:sz w:val="18"/>
            <w:szCs w:val="18"/>
          </w:rPr>
          <w:noBreakHyphen/>
          <w:t>3: Expenditures paid by Priority Axes, in EUR</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_Toc62724850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23</w:t>
        </w:r>
        <w:r w:rsidR="00424BA0" w:rsidRPr="00424BA0">
          <w:rPr>
            <w:rFonts w:ascii="Verdana" w:hAnsi="Verdana"/>
            <w:noProof/>
            <w:webHidden/>
            <w:sz w:val="18"/>
            <w:szCs w:val="18"/>
          </w:rPr>
          <w:fldChar w:fldCharType="end"/>
        </w:r>
      </w:hyperlink>
    </w:p>
    <w:p w14:paraId="4492870A" w14:textId="2A4EEC08" w:rsidR="00424BA0" w:rsidRPr="00424BA0" w:rsidRDefault="00333A1A">
      <w:pPr>
        <w:pStyle w:val="TableofFigures"/>
        <w:tabs>
          <w:tab w:val="right" w:leader="dot" w:pos="9074"/>
        </w:tabs>
        <w:rPr>
          <w:rFonts w:ascii="Verdana" w:hAnsi="Verdana"/>
          <w:noProof/>
          <w:sz w:val="18"/>
          <w:szCs w:val="18"/>
          <w:lang w:val="bg-BG" w:eastAsia="bg-BG"/>
        </w:rPr>
      </w:pPr>
      <w:hyperlink w:anchor="_Toc62724851" w:history="1">
        <w:r w:rsidR="00424BA0" w:rsidRPr="00424BA0">
          <w:rPr>
            <w:rStyle w:val="Hyperlink"/>
            <w:rFonts w:ascii="Verdana" w:hAnsi="Verdana"/>
            <w:noProof/>
            <w:sz w:val="18"/>
            <w:szCs w:val="18"/>
          </w:rPr>
          <w:t>Figure IV.2</w:t>
        </w:r>
        <w:r w:rsidR="00424BA0" w:rsidRPr="00424BA0">
          <w:rPr>
            <w:rStyle w:val="Hyperlink"/>
            <w:rFonts w:ascii="Verdana" w:hAnsi="Verdana"/>
            <w:noProof/>
            <w:sz w:val="18"/>
            <w:szCs w:val="18"/>
          </w:rPr>
          <w:noBreakHyphen/>
          <w:t>1: Annual financial progress</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_Toc62724851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31</w:t>
        </w:r>
        <w:r w:rsidR="00424BA0" w:rsidRPr="00424BA0">
          <w:rPr>
            <w:rFonts w:ascii="Verdana" w:hAnsi="Verdana"/>
            <w:noProof/>
            <w:webHidden/>
            <w:sz w:val="18"/>
            <w:szCs w:val="18"/>
          </w:rPr>
          <w:fldChar w:fldCharType="end"/>
        </w:r>
      </w:hyperlink>
    </w:p>
    <w:p w14:paraId="44535A22" w14:textId="75EEDC6C" w:rsidR="00424BA0" w:rsidRPr="00424BA0" w:rsidRDefault="00333A1A">
      <w:pPr>
        <w:pStyle w:val="TableofFigures"/>
        <w:tabs>
          <w:tab w:val="right" w:leader="dot" w:pos="9074"/>
        </w:tabs>
        <w:rPr>
          <w:rFonts w:ascii="Verdana" w:hAnsi="Verdana"/>
          <w:noProof/>
          <w:sz w:val="18"/>
          <w:szCs w:val="18"/>
          <w:lang w:val="bg-BG" w:eastAsia="bg-BG"/>
        </w:rPr>
      </w:pPr>
      <w:hyperlink r:id="rId11" w:anchor="_Toc62724852" w:history="1">
        <w:r w:rsidR="00424BA0" w:rsidRPr="00424BA0">
          <w:rPr>
            <w:rStyle w:val="Hyperlink"/>
            <w:rFonts w:ascii="Verdana" w:hAnsi="Verdana"/>
            <w:noProof/>
            <w:sz w:val="18"/>
            <w:szCs w:val="18"/>
          </w:rPr>
          <w:t>Figure IV.2</w:t>
        </w:r>
        <w:r w:rsidR="00424BA0" w:rsidRPr="00424BA0">
          <w:rPr>
            <w:rStyle w:val="Hyperlink"/>
            <w:rFonts w:ascii="Verdana" w:hAnsi="Verdana"/>
            <w:noProof/>
            <w:sz w:val="18"/>
            <w:szCs w:val="18"/>
          </w:rPr>
          <w:noBreakHyphen/>
          <w:t>2: Payments made by MA by priority theme</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_Toc62724852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33</w:t>
        </w:r>
        <w:r w:rsidR="00424BA0" w:rsidRPr="00424BA0">
          <w:rPr>
            <w:rFonts w:ascii="Verdana" w:hAnsi="Verdana"/>
            <w:noProof/>
            <w:webHidden/>
            <w:sz w:val="18"/>
            <w:szCs w:val="18"/>
          </w:rPr>
          <w:fldChar w:fldCharType="end"/>
        </w:r>
      </w:hyperlink>
    </w:p>
    <w:p w14:paraId="4CB5997A" w14:textId="2D1E637A" w:rsidR="00424BA0" w:rsidRPr="00424BA0" w:rsidRDefault="00333A1A">
      <w:pPr>
        <w:pStyle w:val="TableofFigures"/>
        <w:tabs>
          <w:tab w:val="right" w:leader="dot" w:pos="9074"/>
        </w:tabs>
        <w:rPr>
          <w:rFonts w:ascii="Verdana" w:hAnsi="Verdana"/>
          <w:noProof/>
          <w:sz w:val="18"/>
          <w:szCs w:val="18"/>
          <w:lang w:val="bg-BG" w:eastAsia="bg-BG"/>
        </w:rPr>
      </w:pPr>
      <w:hyperlink w:anchor="_Toc62724853" w:history="1">
        <w:r w:rsidR="00424BA0" w:rsidRPr="00424BA0">
          <w:rPr>
            <w:rStyle w:val="Hyperlink"/>
            <w:rFonts w:ascii="Verdana" w:hAnsi="Verdana"/>
            <w:noProof/>
            <w:sz w:val="18"/>
            <w:szCs w:val="18"/>
          </w:rPr>
          <w:t>Figure IV.2</w:t>
        </w:r>
        <w:r w:rsidR="00424BA0" w:rsidRPr="00424BA0">
          <w:rPr>
            <w:rStyle w:val="Hyperlink"/>
            <w:rFonts w:ascii="Verdana" w:hAnsi="Verdana"/>
            <w:noProof/>
            <w:sz w:val="18"/>
            <w:szCs w:val="18"/>
          </w:rPr>
          <w:noBreakHyphen/>
          <w:t>3: OPT contribution to key macroeconomic indicators as of 30 June 2016</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_Toc62724853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35</w:t>
        </w:r>
        <w:r w:rsidR="00424BA0" w:rsidRPr="00424BA0">
          <w:rPr>
            <w:rFonts w:ascii="Verdana" w:hAnsi="Verdana"/>
            <w:noProof/>
            <w:webHidden/>
            <w:sz w:val="18"/>
            <w:szCs w:val="18"/>
          </w:rPr>
          <w:fldChar w:fldCharType="end"/>
        </w:r>
      </w:hyperlink>
    </w:p>
    <w:p w14:paraId="6DCDAFF7" w14:textId="644341A7" w:rsidR="00424BA0" w:rsidRPr="00424BA0" w:rsidRDefault="00333A1A">
      <w:pPr>
        <w:pStyle w:val="TableofFigures"/>
        <w:tabs>
          <w:tab w:val="right" w:leader="dot" w:pos="9074"/>
        </w:tabs>
        <w:rPr>
          <w:rFonts w:ascii="Verdana" w:hAnsi="Verdana"/>
          <w:noProof/>
          <w:sz w:val="18"/>
          <w:szCs w:val="18"/>
          <w:lang w:val="bg-BG" w:eastAsia="bg-BG"/>
        </w:rPr>
      </w:pPr>
      <w:hyperlink w:anchor="_Toc62724854" w:history="1">
        <w:r w:rsidR="00424BA0" w:rsidRPr="00424BA0">
          <w:rPr>
            <w:rStyle w:val="Hyperlink"/>
            <w:rFonts w:ascii="Verdana" w:hAnsi="Verdana"/>
            <w:noProof/>
            <w:sz w:val="18"/>
            <w:szCs w:val="18"/>
          </w:rPr>
          <w:t>Figure IV.2</w:t>
        </w:r>
        <w:r w:rsidR="00424BA0" w:rsidRPr="00424BA0">
          <w:rPr>
            <w:rStyle w:val="Hyperlink"/>
            <w:rFonts w:ascii="Verdana" w:hAnsi="Verdana"/>
            <w:noProof/>
            <w:sz w:val="18"/>
            <w:szCs w:val="18"/>
          </w:rPr>
          <w:noBreakHyphen/>
          <w:t xml:space="preserve">4: </w:t>
        </w:r>
        <w:r w:rsidR="00424BA0" w:rsidRPr="00424BA0">
          <w:rPr>
            <w:rStyle w:val="Hyperlink"/>
            <w:rFonts w:ascii="Verdana" w:hAnsi="Verdana"/>
            <w:noProof/>
            <w:sz w:val="18"/>
            <w:szCs w:val="18"/>
            <w:lang w:val="en"/>
          </w:rPr>
          <w:t>Contribution of the OPT priority axes to employment and private investment as of 30 June 2016</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_Toc62724854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36</w:t>
        </w:r>
        <w:r w:rsidR="00424BA0" w:rsidRPr="00424BA0">
          <w:rPr>
            <w:rFonts w:ascii="Verdana" w:hAnsi="Verdana"/>
            <w:noProof/>
            <w:webHidden/>
            <w:sz w:val="18"/>
            <w:szCs w:val="18"/>
          </w:rPr>
          <w:fldChar w:fldCharType="end"/>
        </w:r>
      </w:hyperlink>
    </w:p>
    <w:p w14:paraId="06E47DFC" w14:textId="2912EA4E" w:rsidR="00424BA0" w:rsidRPr="00424BA0" w:rsidRDefault="00333A1A">
      <w:pPr>
        <w:pStyle w:val="TableofFigures"/>
        <w:tabs>
          <w:tab w:val="right" w:leader="dot" w:pos="9074"/>
        </w:tabs>
        <w:rPr>
          <w:rFonts w:ascii="Verdana" w:hAnsi="Verdana"/>
          <w:noProof/>
          <w:sz w:val="18"/>
          <w:szCs w:val="18"/>
          <w:lang w:val="bg-BG" w:eastAsia="bg-BG"/>
        </w:rPr>
      </w:pPr>
      <w:hyperlink r:id="rId12" w:anchor="_Toc62724855" w:history="1">
        <w:r w:rsidR="00424BA0" w:rsidRPr="00424BA0">
          <w:rPr>
            <w:rStyle w:val="Hyperlink"/>
            <w:rFonts w:ascii="Verdana" w:hAnsi="Verdana"/>
            <w:noProof/>
            <w:sz w:val="18"/>
            <w:szCs w:val="18"/>
          </w:rPr>
          <w:t>Figure IV.3</w:t>
        </w:r>
        <w:r w:rsidR="00424BA0" w:rsidRPr="00424BA0">
          <w:rPr>
            <w:rStyle w:val="Hyperlink"/>
            <w:rFonts w:ascii="Verdana" w:hAnsi="Verdana"/>
            <w:noProof/>
            <w:sz w:val="18"/>
            <w:szCs w:val="18"/>
          </w:rPr>
          <w:noBreakHyphen/>
          <w:t>1</w:t>
        </w:r>
        <w:r w:rsidR="00424BA0" w:rsidRPr="00424BA0">
          <w:rPr>
            <w:rStyle w:val="Hyperlink"/>
            <w:rFonts w:ascii="Verdana" w:hAnsi="Verdana"/>
            <w:noProof/>
            <w:sz w:val="18"/>
            <w:szCs w:val="18"/>
            <w:lang w:val="bg-BG"/>
          </w:rPr>
          <w:t xml:space="preserve"> Amendments to the financial plan of the programme</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_Toc62724855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40</w:t>
        </w:r>
        <w:r w:rsidR="00424BA0" w:rsidRPr="00424BA0">
          <w:rPr>
            <w:rFonts w:ascii="Verdana" w:hAnsi="Verdana"/>
            <w:noProof/>
            <w:webHidden/>
            <w:sz w:val="18"/>
            <w:szCs w:val="18"/>
          </w:rPr>
          <w:fldChar w:fldCharType="end"/>
        </w:r>
      </w:hyperlink>
    </w:p>
    <w:p w14:paraId="06C1EBB7" w14:textId="0FB3CE4B" w:rsidR="00424BA0" w:rsidRPr="00424BA0" w:rsidRDefault="00333A1A">
      <w:pPr>
        <w:pStyle w:val="TableofFigures"/>
        <w:tabs>
          <w:tab w:val="right" w:leader="dot" w:pos="9074"/>
        </w:tabs>
        <w:rPr>
          <w:rFonts w:ascii="Verdana" w:hAnsi="Verdana"/>
          <w:noProof/>
          <w:sz w:val="18"/>
          <w:szCs w:val="18"/>
          <w:lang w:val="bg-BG" w:eastAsia="bg-BG"/>
        </w:rPr>
      </w:pPr>
      <w:hyperlink w:anchor="_Toc62724856" w:history="1">
        <w:r w:rsidR="00424BA0" w:rsidRPr="00424BA0">
          <w:rPr>
            <w:rStyle w:val="Hyperlink"/>
            <w:rFonts w:ascii="Verdana" w:hAnsi="Verdana"/>
            <w:noProof/>
            <w:sz w:val="18"/>
            <w:szCs w:val="18"/>
          </w:rPr>
          <w:t>Figure IV.5</w:t>
        </w:r>
        <w:r w:rsidR="00424BA0" w:rsidRPr="00424BA0">
          <w:rPr>
            <w:rStyle w:val="Hyperlink"/>
            <w:rFonts w:ascii="Verdana" w:hAnsi="Verdana"/>
            <w:noProof/>
            <w:sz w:val="18"/>
            <w:szCs w:val="18"/>
          </w:rPr>
          <w:noBreakHyphen/>
          <w:t>1 Projects implemented under OPT 2007-2013 and territorial concentration of population in the country</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_Toc62724856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51</w:t>
        </w:r>
        <w:r w:rsidR="00424BA0" w:rsidRPr="00424BA0">
          <w:rPr>
            <w:rFonts w:ascii="Verdana" w:hAnsi="Verdana"/>
            <w:noProof/>
            <w:webHidden/>
            <w:sz w:val="18"/>
            <w:szCs w:val="18"/>
          </w:rPr>
          <w:fldChar w:fldCharType="end"/>
        </w:r>
      </w:hyperlink>
    </w:p>
    <w:p w14:paraId="587C83AD" w14:textId="08DA41A1" w:rsidR="00424BA0" w:rsidRPr="00424BA0" w:rsidRDefault="00333A1A">
      <w:pPr>
        <w:pStyle w:val="TableofFigures"/>
        <w:tabs>
          <w:tab w:val="right" w:leader="dot" w:pos="9074"/>
        </w:tabs>
        <w:rPr>
          <w:rFonts w:ascii="Verdana" w:hAnsi="Verdana"/>
          <w:noProof/>
          <w:sz w:val="18"/>
          <w:szCs w:val="18"/>
          <w:lang w:val="bg-BG" w:eastAsia="bg-BG"/>
        </w:rPr>
      </w:pPr>
      <w:hyperlink w:anchor="_Toc62724857" w:history="1">
        <w:r w:rsidR="00424BA0" w:rsidRPr="00424BA0">
          <w:rPr>
            <w:rStyle w:val="Hyperlink"/>
            <w:rFonts w:ascii="Verdana" w:hAnsi="Verdana"/>
            <w:noProof/>
            <w:sz w:val="18"/>
            <w:szCs w:val="18"/>
          </w:rPr>
          <w:t>Figure IV.5</w:t>
        </w:r>
        <w:r w:rsidR="00424BA0" w:rsidRPr="00424BA0">
          <w:rPr>
            <w:rStyle w:val="Hyperlink"/>
            <w:rFonts w:ascii="Verdana" w:hAnsi="Verdana"/>
            <w:noProof/>
            <w:sz w:val="18"/>
            <w:szCs w:val="18"/>
          </w:rPr>
          <w:noBreakHyphen/>
          <w:t>2 : Implemented projects under OPT 2007 - 2013 and production output in transportation and storage sector by municipalities - % of the total for the country – 2018</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_Toc62724857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52</w:t>
        </w:r>
        <w:r w:rsidR="00424BA0" w:rsidRPr="00424BA0">
          <w:rPr>
            <w:rFonts w:ascii="Verdana" w:hAnsi="Verdana"/>
            <w:noProof/>
            <w:webHidden/>
            <w:sz w:val="18"/>
            <w:szCs w:val="18"/>
          </w:rPr>
          <w:fldChar w:fldCharType="end"/>
        </w:r>
      </w:hyperlink>
    </w:p>
    <w:p w14:paraId="3BD46687" w14:textId="33A66EB5" w:rsidR="00424BA0" w:rsidRPr="00424BA0" w:rsidRDefault="00333A1A">
      <w:pPr>
        <w:pStyle w:val="TableofFigures"/>
        <w:tabs>
          <w:tab w:val="right" w:leader="dot" w:pos="9074"/>
        </w:tabs>
        <w:rPr>
          <w:rFonts w:ascii="Verdana" w:hAnsi="Verdana"/>
          <w:noProof/>
          <w:sz w:val="18"/>
          <w:szCs w:val="18"/>
          <w:lang w:val="bg-BG" w:eastAsia="bg-BG"/>
        </w:rPr>
      </w:pPr>
      <w:hyperlink w:anchor="_Toc62724858" w:history="1">
        <w:r w:rsidR="00424BA0" w:rsidRPr="00424BA0">
          <w:rPr>
            <w:rStyle w:val="Hyperlink"/>
            <w:rFonts w:ascii="Verdana" w:hAnsi="Verdana"/>
            <w:noProof/>
            <w:sz w:val="18"/>
            <w:szCs w:val="18"/>
          </w:rPr>
          <w:t>Figure IV.5</w:t>
        </w:r>
        <w:r w:rsidR="00424BA0" w:rsidRPr="00424BA0">
          <w:rPr>
            <w:rStyle w:val="Hyperlink"/>
            <w:rFonts w:ascii="Verdana" w:hAnsi="Verdana"/>
            <w:noProof/>
            <w:sz w:val="18"/>
            <w:szCs w:val="18"/>
          </w:rPr>
          <w:noBreakHyphen/>
          <w:t>3 Implemented projects under OPT 2007 - 2013 and % of increase in production output in nominal terms in transportation and storage sector by municipalities for the period 2008 - 2018</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_Toc62724858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53</w:t>
        </w:r>
        <w:r w:rsidR="00424BA0" w:rsidRPr="00424BA0">
          <w:rPr>
            <w:rFonts w:ascii="Verdana" w:hAnsi="Verdana"/>
            <w:noProof/>
            <w:webHidden/>
            <w:sz w:val="18"/>
            <w:szCs w:val="18"/>
          </w:rPr>
          <w:fldChar w:fldCharType="end"/>
        </w:r>
      </w:hyperlink>
    </w:p>
    <w:p w14:paraId="5E6E2B59" w14:textId="5F385E9D" w:rsidR="00424BA0" w:rsidRPr="00424BA0" w:rsidRDefault="00333A1A">
      <w:pPr>
        <w:pStyle w:val="TableofFigures"/>
        <w:tabs>
          <w:tab w:val="right" w:leader="dot" w:pos="9074"/>
        </w:tabs>
        <w:rPr>
          <w:rFonts w:ascii="Verdana" w:hAnsi="Verdana"/>
          <w:noProof/>
          <w:sz w:val="18"/>
          <w:szCs w:val="18"/>
          <w:lang w:val="bg-BG" w:eastAsia="bg-BG"/>
        </w:rPr>
      </w:pPr>
      <w:hyperlink w:anchor="_Toc62724859" w:history="1">
        <w:r w:rsidR="00424BA0" w:rsidRPr="00424BA0">
          <w:rPr>
            <w:rStyle w:val="Hyperlink"/>
            <w:rFonts w:ascii="Verdana" w:hAnsi="Verdana"/>
            <w:noProof/>
            <w:sz w:val="18"/>
            <w:szCs w:val="18"/>
          </w:rPr>
          <w:t>Figure IV.7</w:t>
        </w:r>
        <w:r w:rsidR="00424BA0" w:rsidRPr="00424BA0">
          <w:rPr>
            <w:rStyle w:val="Hyperlink"/>
            <w:rFonts w:ascii="Verdana" w:hAnsi="Verdana"/>
            <w:noProof/>
            <w:sz w:val="18"/>
            <w:szCs w:val="18"/>
          </w:rPr>
          <w:noBreakHyphen/>
          <w:t>1</w:t>
        </w:r>
        <w:r w:rsidR="00424BA0" w:rsidRPr="00424BA0">
          <w:rPr>
            <w:rStyle w:val="Hyperlink"/>
            <w:rFonts w:ascii="Verdana" w:hAnsi="Verdana"/>
            <w:noProof/>
            <w:sz w:val="18"/>
            <w:szCs w:val="18"/>
            <w:lang w:val="bg-BG"/>
          </w:rPr>
          <w:t>: Distribution of benefits by Priority Axes up to 2019</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_Toc62724859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61</w:t>
        </w:r>
        <w:r w:rsidR="00424BA0" w:rsidRPr="00424BA0">
          <w:rPr>
            <w:rFonts w:ascii="Verdana" w:hAnsi="Verdana"/>
            <w:noProof/>
            <w:webHidden/>
            <w:sz w:val="18"/>
            <w:szCs w:val="18"/>
          </w:rPr>
          <w:fldChar w:fldCharType="end"/>
        </w:r>
      </w:hyperlink>
    </w:p>
    <w:p w14:paraId="4381DB29" w14:textId="7F1E76BE" w:rsidR="00424BA0" w:rsidRPr="00424BA0" w:rsidRDefault="00333A1A">
      <w:pPr>
        <w:pStyle w:val="TableofFigures"/>
        <w:tabs>
          <w:tab w:val="right" w:leader="dot" w:pos="9074"/>
        </w:tabs>
        <w:rPr>
          <w:rFonts w:ascii="Verdana" w:hAnsi="Verdana"/>
          <w:noProof/>
          <w:sz w:val="18"/>
          <w:szCs w:val="18"/>
          <w:lang w:val="bg-BG" w:eastAsia="bg-BG"/>
        </w:rPr>
      </w:pPr>
      <w:hyperlink w:anchor="_Toc62724860" w:history="1">
        <w:r w:rsidR="00424BA0" w:rsidRPr="00424BA0">
          <w:rPr>
            <w:rStyle w:val="Hyperlink"/>
            <w:rFonts w:ascii="Verdana" w:hAnsi="Verdana"/>
            <w:noProof/>
            <w:sz w:val="18"/>
            <w:szCs w:val="18"/>
          </w:rPr>
          <w:t>Figure IV.7</w:t>
        </w:r>
        <w:r w:rsidR="00424BA0" w:rsidRPr="00424BA0">
          <w:rPr>
            <w:rStyle w:val="Hyperlink"/>
            <w:rFonts w:ascii="Verdana" w:hAnsi="Verdana"/>
            <w:noProof/>
            <w:sz w:val="18"/>
            <w:szCs w:val="18"/>
          </w:rPr>
          <w:noBreakHyphen/>
          <w:t>2</w:t>
        </w:r>
        <w:r w:rsidR="00424BA0" w:rsidRPr="00424BA0">
          <w:rPr>
            <w:rStyle w:val="Hyperlink"/>
            <w:rFonts w:ascii="Verdana" w:hAnsi="Verdana"/>
            <w:noProof/>
            <w:sz w:val="18"/>
            <w:szCs w:val="18"/>
            <w:lang w:val="bg-BG"/>
          </w:rPr>
          <w:t>: Main economic and environmental impacts up to 2019</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_Toc62724860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63</w:t>
        </w:r>
        <w:r w:rsidR="00424BA0" w:rsidRPr="00424BA0">
          <w:rPr>
            <w:rFonts w:ascii="Verdana" w:hAnsi="Verdana"/>
            <w:noProof/>
            <w:webHidden/>
            <w:sz w:val="18"/>
            <w:szCs w:val="18"/>
          </w:rPr>
          <w:fldChar w:fldCharType="end"/>
        </w:r>
      </w:hyperlink>
    </w:p>
    <w:p w14:paraId="67C187F6" w14:textId="508D7A27" w:rsidR="00424BA0" w:rsidRPr="00424BA0" w:rsidRDefault="00333A1A">
      <w:pPr>
        <w:pStyle w:val="TableofFigures"/>
        <w:tabs>
          <w:tab w:val="right" w:leader="dot" w:pos="9074"/>
        </w:tabs>
        <w:rPr>
          <w:rFonts w:ascii="Verdana" w:hAnsi="Verdana"/>
          <w:noProof/>
          <w:sz w:val="18"/>
          <w:szCs w:val="18"/>
          <w:lang w:val="bg-BG" w:eastAsia="bg-BG"/>
        </w:rPr>
      </w:pPr>
      <w:hyperlink w:anchor="_Toc62724861" w:history="1">
        <w:r w:rsidR="00424BA0" w:rsidRPr="00424BA0">
          <w:rPr>
            <w:rStyle w:val="Hyperlink"/>
            <w:rFonts w:ascii="Verdana" w:hAnsi="Verdana"/>
            <w:noProof/>
            <w:sz w:val="18"/>
            <w:szCs w:val="18"/>
          </w:rPr>
          <w:t>Figure IV.7</w:t>
        </w:r>
        <w:r w:rsidR="00424BA0" w:rsidRPr="00424BA0">
          <w:rPr>
            <w:rStyle w:val="Hyperlink"/>
            <w:rFonts w:ascii="Verdana" w:hAnsi="Verdana"/>
            <w:noProof/>
            <w:sz w:val="18"/>
            <w:szCs w:val="18"/>
          </w:rPr>
          <w:noBreakHyphen/>
          <w:t>3</w:t>
        </w:r>
        <w:r w:rsidR="00424BA0" w:rsidRPr="00424BA0">
          <w:rPr>
            <w:rStyle w:val="Hyperlink"/>
            <w:rFonts w:ascii="Verdana" w:hAnsi="Verdana"/>
            <w:noProof/>
            <w:sz w:val="18"/>
            <w:szCs w:val="18"/>
            <w:lang w:val="bg-BG"/>
          </w:rPr>
          <w:t>: Distribution of economic benefits as of 2019</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_Toc62724861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64</w:t>
        </w:r>
        <w:r w:rsidR="00424BA0" w:rsidRPr="00424BA0">
          <w:rPr>
            <w:rFonts w:ascii="Verdana" w:hAnsi="Verdana"/>
            <w:noProof/>
            <w:webHidden/>
            <w:sz w:val="18"/>
            <w:szCs w:val="18"/>
          </w:rPr>
          <w:fldChar w:fldCharType="end"/>
        </w:r>
      </w:hyperlink>
    </w:p>
    <w:p w14:paraId="0689E0EE" w14:textId="7BE76D92" w:rsidR="00424BA0" w:rsidRPr="00424BA0" w:rsidRDefault="00333A1A">
      <w:pPr>
        <w:pStyle w:val="TableofFigures"/>
        <w:tabs>
          <w:tab w:val="right" w:leader="dot" w:pos="9074"/>
        </w:tabs>
        <w:rPr>
          <w:rFonts w:ascii="Verdana" w:hAnsi="Verdana"/>
          <w:noProof/>
          <w:sz w:val="18"/>
          <w:szCs w:val="18"/>
          <w:lang w:val="bg-BG" w:eastAsia="bg-BG"/>
        </w:rPr>
      </w:pPr>
      <w:hyperlink w:anchor="_Toc62724862" w:history="1">
        <w:r w:rsidR="00424BA0" w:rsidRPr="00424BA0">
          <w:rPr>
            <w:rStyle w:val="Hyperlink"/>
            <w:rFonts w:ascii="Verdana" w:hAnsi="Verdana"/>
            <w:noProof/>
            <w:sz w:val="18"/>
            <w:szCs w:val="18"/>
          </w:rPr>
          <w:t>Figure IV.8</w:t>
        </w:r>
        <w:r w:rsidR="00424BA0" w:rsidRPr="00424BA0">
          <w:rPr>
            <w:rStyle w:val="Hyperlink"/>
            <w:rFonts w:ascii="Verdana" w:hAnsi="Verdana"/>
            <w:noProof/>
            <w:sz w:val="18"/>
            <w:szCs w:val="18"/>
          </w:rPr>
          <w:noBreakHyphen/>
          <w:t>1 Achieved impacts of major investment projects by priority axes, 2007-2019</w:t>
        </w:r>
        <w:r w:rsidR="00424BA0" w:rsidRPr="00424BA0">
          <w:rPr>
            <w:rFonts w:ascii="Verdana" w:hAnsi="Verdana"/>
            <w:noProof/>
            <w:webHidden/>
            <w:sz w:val="18"/>
            <w:szCs w:val="18"/>
          </w:rPr>
          <w:tab/>
        </w:r>
        <w:r w:rsidR="00424BA0" w:rsidRPr="00424BA0">
          <w:rPr>
            <w:rFonts w:ascii="Verdana" w:hAnsi="Verdana"/>
            <w:noProof/>
            <w:webHidden/>
            <w:sz w:val="18"/>
            <w:szCs w:val="18"/>
          </w:rPr>
          <w:fldChar w:fldCharType="begin"/>
        </w:r>
        <w:r w:rsidR="00424BA0" w:rsidRPr="00424BA0">
          <w:rPr>
            <w:rFonts w:ascii="Verdana" w:hAnsi="Verdana"/>
            <w:noProof/>
            <w:webHidden/>
            <w:sz w:val="18"/>
            <w:szCs w:val="18"/>
          </w:rPr>
          <w:instrText xml:space="preserve"> PAGEREF _Toc62724862 \h </w:instrText>
        </w:r>
        <w:r w:rsidR="00424BA0" w:rsidRPr="00424BA0">
          <w:rPr>
            <w:rFonts w:ascii="Verdana" w:hAnsi="Verdana"/>
            <w:noProof/>
            <w:webHidden/>
            <w:sz w:val="18"/>
            <w:szCs w:val="18"/>
          </w:rPr>
        </w:r>
        <w:r w:rsidR="00424BA0" w:rsidRPr="00424BA0">
          <w:rPr>
            <w:rFonts w:ascii="Verdana" w:hAnsi="Verdana"/>
            <w:noProof/>
            <w:webHidden/>
            <w:sz w:val="18"/>
            <w:szCs w:val="18"/>
          </w:rPr>
          <w:fldChar w:fldCharType="separate"/>
        </w:r>
        <w:r w:rsidR="000F573B">
          <w:rPr>
            <w:rFonts w:ascii="Verdana" w:hAnsi="Verdana"/>
            <w:noProof/>
            <w:webHidden/>
            <w:sz w:val="18"/>
            <w:szCs w:val="18"/>
          </w:rPr>
          <w:t>69</w:t>
        </w:r>
        <w:r w:rsidR="00424BA0" w:rsidRPr="00424BA0">
          <w:rPr>
            <w:rFonts w:ascii="Verdana" w:hAnsi="Verdana"/>
            <w:noProof/>
            <w:webHidden/>
            <w:sz w:val="18"/>
            <w:szCs w:val="18"/>
          </w:rPr>
          <w:fldChar w:fldCharType="end"/>
        </w:r>
      </w:hyperlink>
    </w:p>
    <w:p w14:paraId="00785BD8" w14:textId="7286C7E6" w:rsidR="00FB11B0" w:rsidRPr="00424BA0" w:rsidRDefault="00424BA0">
      <w:pPr>
        <w:rPr>
          <w:rFonts w:ascii="Verdana" w:eastAsia="Calibri" w:hAnsi="Verdana"/>
          <w:sz w:val="18"/>
          <w:szCs w:val="18"/>
          <w:lang w:val="bg-BG"/>
        </w:rPr>
      </w:pPr>
      <w:r w:rsidRPr="00424BA0">
        <w:rPr>
          <w:rFonts w:ascii="Verdana" w:eastAsia="Calibri" w:hAnsi="Verdana"/>
          <w:sz w:val="18"/>
          <w:szCs w:val="18"/>
          <w:lang w:val="bg-BG"/>
        </w:rPr>
        <w:fldChar w:fldCharType="end"/>
      </w:r>
      <w:r w:rsidR="00FB11B0" w:rsidRPr="00424BA0">
        <w:rPr>
          <w:rFonts w:ascii="Verdana" w:eastAsia="Calibri" w:hAnsi="Verdana"/>
          <w:sz w:val="18"/>
          <w:szCs w:val="18"/>
          <w:lang w:val="bg-BG"/>
        </w:rPr>
        <w:br w:type="page"/>
      </w:r>
    </w:p>
    <w:p w14:paraId="4CEB6E25" w14:textId="77777777" w:rsidR="00FB11B0" w:rsidRPr="00FB11B0" w:rsidRDefault="00FB11B0" w:rsidP="00FB11B0">
      <w:pPr>
        <w:spacing w:after="0" w:line="240" w:lineRule="auto"/>
        <w:jc w:val="both"/>
        <w:rPr>
          <w:rFonts w:ascii="Verdana" w:hAnsi="Verdana"/>
          <w:b/>
          <w:bCs/>
          <w:color w:val="253356" w:themeColor="accent1" w:themeShade="80"/>
          <w:sz w:val="20"/>
          <w:szCs w:val="20"/>
          <w:lang w:val="en"/>
        </w:rPr>
      </w:pPr>
      <w:r w:rsidRPr="00FB11B0">
        <w:rPr>
          <w:rFonts w:ascii="Verdana" w:hAnsi="Verdana"/>
          <w:b/>
          <w:bCs/>
          <w:color w:val="253356" w:themeColor="accent1" w:themeShade="80"/>
          <w:sz w:val="20"/>
          <w:szCs w:val="20"/>
          <w:lang w:val="en"/>
        </w:rPr>
        <w:lastRenderedPageBreak/>
        <w:t>SHORT PROJECT NAMES</w:t>
      </w:r>
    </w:p>
    <w:p w14:paraId="7EED68C4" w14:textId="77777777" w:rsidR="00FB11B0" w:rsidRPr="00FB11B0" w:rsidRDefault="00FB11B0" w:rsidP="00FB11B0">
      <w:pPr>
        <w:spacing w:after="0" w:line="240" w:lineRule="auto"/>
        <w:jc w:val="both"/>
        <w:rPr>
          <w:rFonts w:ascii="Verdana" w:hAnsi="Verdana"/>
          <w:b/>
          <w:bCs/>
          <w:color w:val="253356" w:themeColor="accent1" w:themeShade="80"/>
          <w:sz w:val="20"/>
          <w:szCs w:val="20"/>
          <w:lang w:val="en"/>
        </w:rPr>
      </w:pPr>
    </w:p>
    <w:tbl>
      <w:tblPr>
        <w:tblW w:w="4923" w:type="pct"/>
        <w:tblBorders>
          <w:top w:val="double" w:sz="4" w:space="0" w:color="4A66AC" w:themeColor="accent1"/>
          <w:left w:val="double" w:sz="4" w:space="0" w:color="4A66AC" w:themeColor="accent1"/>
          <w:bottom w:val="double" w:sz="4" w:space="0" w:color="4A66AC" w:themeColor="accent1"/>
          <w:right w:val="double" w:sz="4" w:space="0" w:color="4A66AC" w:themeColor="accent1"/>
          <w:insideH w:val="single" w:sz="6" w:space="0" w:color="4A66AC" w:themeColor="accent1"/>
          <w:insideV w:val="single" w:sz="6" w:space="0" w:color="4A66AC" w:themeColor="accent1"/>
        </w:tblBorders>
        <w:tblLook w:val="04A0" w:firstRow="1" w:lastRow="0" w:firstColumn="1" w:lastColumn="0" w:noHBand="0" w:noVBand="1"/>
      </w:tblPr>
      <w:tblGrid>
        <w:gridCol w:w="5797"/>
        <w:gridCol w:w="3118"/>
      </w:tblGrid>
      <w:tr w:rsidR="00FB11B0" w:rsidRPr="00FB11B0" w14:paraId="46CFD4E0" w14:textId="77777777" w:rsidTr="00AC2E19">
        <w:trPr>
          <w:trHeight w:val="285"/>
          <w:tblHeader/>
        </w:trPr>
        <w:tc>
          <w:tcPr>
            <w:tcW w:w="5000" w:type="pct"/>
            <w:gridSpan w:val="2"/>
            <w:shd w:val="clear" w:color="auto" w:fill="374C80" w:themeFill="accent1" w:themeFillShade="BF"/>
            <w:hideMark/>
          </w:tcPr>
          <w:p w14:paraId="74D9138C" w14:textId="77777777" w:rsidR="00FB11B0" w:rsidRPr="00FB11B0" w:rsidRDefault="00FB11B0" w:rsidP="00FB11B0">
            <w:pPr>
              <w:spacing w:after="0" w:line="240" w:lineRule="auto"/>
              <w:jc w:val="center"/>
              <w:rPr>
                <w:rFonts w:ascii="Verdana" w:eastAsia="Times New Roman" w:hAnsi="Verdana" w:cs="Calibri"/>
                <w:b/>
                <w:bCs/>
                <w:smallCaps/>
                <w:color w:val="FFFFFF" w:themeColor="background1"/>
                <w:sz w:val="18"/>
                <w:szCs w:val="18"/>
                <w:lang w:val="bg-BG"/>
              </w:rPr>
            </w:pPr>
            <w:r w:rsidRPr="00FB11B0">
              <w:rPr>
                <w:rFonts w:ascii="Verdana" w:eastAsia="Times New Roman" w:hAnsi="Verdana" w:cs="Calibri"/>
                <w:b/>
                <w:bCs/>
                <w:smallCaps/>
                <w:color w:val="FFFFFF" w:themeColor="background1"/>
                <w:sz w:val="18"/>
                <w:szCs w:val="18"/>
                <w:lang w:val="bg-BG"/>
              </w:rPr>
              <w:t>IMPLEMENTED INVESTMENT PROJECTS UNDER OPT 2007-2013</w:t>
            </w:r>
          </w:p>
        </w:tc>
      </w:tr>
      <w:tr w:rsidR="00FB11B0" w:rsidRPr="00FB11B0" w14:paraId="5DD86C1D" w14:textId="77777777" w:rsidTr="00AC2E19">
        <w:trPr>
          <w:trHeight w:val="285"/>
          <w:tblHeader/>
        </w:trPr>
        <w:tc>
          <w:tcPr>
            <w:tcW w:w="3251" w:type="pct"/>
            <w:shd w:val="clear" w:color="auto" w:fill="374C80" w:themeFill="accent1" w:themeFillShade="BF"/>
            <w:hideMark/>
          </w:tcPr>
          <w:p w14:paraId="2E266852" w14:textId="77777777" w:rsidR="00FB11B0" w:rsidRPr="00FB11B0" w:rsidRDefault="00FB11B0" w:rsidP="00FB11B0">
            <w:pPr>
              <w:spacing w:after="0" w:line="240" w:lineRule="auto"/>
              <w:jc w:val="both"/>
              <w:rPr>
                <w:rFonts w:ascii="Verdana" w:eastAsia="Times New Roman" w:hAnsi="Verdana" w:cs="Calibri"/>
                <w:b/>
                <w:bCs/>
                <w:smallCaps/>
                <w:color w:val="FFFFFF" w:themeColor="background1"/>
                <w:sz w:val="18"/>
                <w:szCs w:val="18"/>
                <w:lang w:val="en-US"/>
              </w:rPr>
            </w:pPr>
            <w:r w:rsidRPr="00FB11B0">
              <w:rPr>
                <w:rFonts w:ascii="Verdana" w:eastAsia="Times New Roman" w:hAnsi="Verdana" w:cs="Calibri"/>
                <w:b/>
                <w:bCs/>
                <w:smallCaps/>
                <w:color w:val="FFFFFF" w:themeColor="background1"/>
                <w:sz w:val="18"/>
                <w:szCs w:val="18"/>
                <w:lang w:val="en-US"/>
              </w:rPr>
              <w:t>Full name of the project</w:t>
            </w:r>
          </w:p>
        </w:tc>
        <w:tc>
          <w:tcPr>
            <w:tcW w:w="1749" w:type="pct"/>
            <w:shd w:val="clear" w:color="auto" w:fill="374C80" w:themeFill="accent1" w:themeFillShade="BF"/>
            <w:hideMark/>
          </w:tcPr>
          <w:p w14:paraId="127CEE8E" w14:textId="77777777" w:rsidR="00FB11B0" w:rsidRPr="00FB11B0" w:rsidRDefault="00FB11B0" w:rsidP="00FB11B0">
            <w:pPr>
              <w:spacing w:after="0" w:line="240" w:lineRule="auto"/>
              <w:jc w:val="both"/>
              <w:rPr>
                <w:rFonts w:ascii="Verdana" w:eastAsia="Times New Roman" w:hAnsi="Verdana" w:cs="Calibri"/>
                <w:b/>
                <w:bCs/>
                <w:smallCaps/>
                <w:color w:val="FFFFFF" w:themeColor="background1"/>
                <w:sz w:val="18"/>
                <w:szCs w:val="18"/>
                <w:lang w:val="bg-BG"/>
              </w:rPr>
            </w:pPr>
            <w:proofErr w:type="spellStart"/>
            <w:r w:rsidRPr="00FB11B0">
              <w:rPr>
                <w:rFonts w:ascii="Verdana" w:eastAsia="Times New Roman" w:hAnsi="Verdana" w:cs="Calibri"/>
                <w:b/>
                <w:bCs/>
                <w:smallCaps/>
                <w:color w:val="FFFFFF" w:themeColor="background1"/>
                <w:sz w:val="18"/>
                <w:szCs w:val="18"/>
                <w:lang w:val="bg-BG"/>
              </w:rPr>
              <w:t>Short</w:t>
            </w:r>
            <w:proofErr w:type="spellEnd"/>
            <w:r w:rsidRPr="00FB11B0">
              <w:rPr>
                <w:rFonts w:ascii="Verdana" w:eastAsia="Times New Roman" w:hAnsi="Verdana" w:cs="Calibri"/>
                <w:b/>
                <w:bCs/>
                <w:smallCaps/>
                <w:color w:val="FFFFFF" w:themeColor="background1"/>
                <w:sz w:val="18"/>
                <w:szCs w:val="18"/>
                <w:lang w:val="bg-BG"/>
              </w:rPr>
              <w:t xml:space="preserve"> </w:t>
            </w:r>
            <w:proofErr w:type="spellStart"/>
            <w:r w:rsidRPr="00FB11B0">
              <w:rPr>
                <w:rFonts w:ascii="Verdana" w:eastAsia="Times New Roman" w:hAnsi="Verdana" w:cs="Calibri"/>
                <w:b/>
                <w:bCs/>
                <w:smallCaps/>
                <w:color w:val="FFFFFF" w:themeColor="background1"/>
                <w:sz w:val="18"/>
                <w:szCs w:val="18"/>
                <w:lang w:val="bg-BG"/>
              </w:rPr>
              <w:t>name</w:t>
            </w:r>
            <w:proofErr w:type="spellEnd"/>
            <w:r w:rsidRPr="00FB11B0">
              <w:rPr>
                <w:rFonts w:ascii="Verdana" w:eastAsia="Times New Roman" w:hAnsi="Verdana" w:cs="Calibri"/>
                <w:b/>
                <w:bCs/>
                <w:smallCaps/>
                <w:color w:val="FFFFFF" w:themeColor="background1"/>
                <w:sz w:val="18"/>
                <w:szCs w:val="18"/>
                <w:lang w:val="en-US"/>
              </w:rPr>
              <w:t xml:space="preserve"> of the project</w:t>
            </w:r>
            <w:r w:rsidRPr="00FB11B0">
              <w:rPr>
                <w:rFonts w:ascii="Verdana" w:eastAsia="Times New Roman" w:hAnsi="Verdana" w:cs="Calibri"/>
                <w:b/>
                <w:bCs/>
                <w:smallCaps/>
                <w:color w:val="FFFFFF" w:themeColor="background1"/>
                <w:sz w:val="18"/>
                <w:szCs w:val="18"/>
                <w:lang w:val="bg-BG"/>
              </w:rPr>
              <w:t xml:space="preserve"> </w:t>
            </w:r>
            <w:proofErr w:type="spellStart"/>
            <w:r w:rsidRPr="00FB11B0">
              <w:rPr>
                <w:rFonts w:ascii="Verdana" w:eastAsia="Times New Roman" w:hAnsi="Verdana" w:cs="Calibri"/>
                <w:b/>
                <w:bCs/>
                <w:smallCaps/>
                <w:color w:val="FFFFFF" w:themeColor="background1"/>
                <w:sz w:val="18"/>
                <w:szCs w:val="18"/>
                <w:lang w:val="bg-BG"/>
              </w:rPr>
              <w:t>in</w:t>
            </w:r>
            <w:proofErr w:type="spellEnd"/>
            <w:r w:rsidRPr="00FB11B0">
              <w:rPr>
                <w:rFonts w:ascii="Verdana" w:eastAsia="Times New Roman" w:hAnsi="Verdana" w:cs="Calibri"/>
                <w:b/>
                <w:bCs/>
                <w:smallCaps/>
                <w:color w:val="FFFFFF" w:themeColor="background1"/>
                <w:sz w:val="18"/>
                <w:szCs w:val="18"/>
                <w:lang w:val="bg-BG"/>
              </w:rPr>
              <w:t xml:space="preserve"> </w:t>
            </w:r>
            <w:proofErr w:type="spellStart"/>
            <w:r w:rsidRPr="00FB11B0">
              <w:rPr>
                <w:rFonts w:ascii="Verdana" w:eastAsia="Times New Roman" w:hAnsi="Verdana" w:cs="Calibri"/>
                <w:b/>
                <w:bCs/>
                <w:smallCaps/>
                <w:color w:val="FFFFFF" w:themeColor="background1"/>
                <w:sz w:val="18"/>
                <w:szCs w:val="18"/>
                <w:lang w:val="bg-BG"/>
              </w:rPr>
              <w:t>the</w:t>
            </w:r>
            <w:proofErr w:type="spellEnd"/>
            <w:r w:rsidRPr="00FB11B0">
              <w:rPr>
                <w:rFonts w:ascii="Verdana" w:eastAsia="Times New Roman" w:hAnsi="Verdana" w:cs="Calibri"/>
                <w:b/>
                <w:bCs/>
                <w:smallCaps/>
                <w:color w:val="FFFFFF" w:themeColor="background1"/>
                <w:sz w:val="18"/>
                <w:szCs w:val="18"/>
                <w:lang w:val="bg-BG"/>
              </w:rPr>
              <w:t xml:space="preserve"> </w:t>
            </w:r>
            <w:proofErr w:type="spellStart"/>
            <w:r w:rsidRPr="00FB11B0">
              <w:rPr>
                <w:rFonts w:ascii="Verdana" w:eastAsia="Times New Roman" w:hAnsi="Verdana" w:cs="Calibri"/>
                <w:b/>
                <w:bCs/>
                <w:smallCaps/>
                <w:color w:val="FFFFFF" w:themeColor="background1"/>
                <w:sz w:val="18"/>
                <w:szCs w:val="18"/>
                <w:lang w:val="bg-BG"/>
              </w:rPr>
              <w:t>evaluation</w:t>
            </w:r>
            <w:proofErr w:type="spellEnd"/>
            <w:r w:rsidRPr="00FB11B0">
              <w:rPr>
                <w:rFonts w:ascii="Verdana" w:eastAsia="Times New Roman" w:hAnsi="Verdana" w:cs="Calibri"/>
                <w:b/>
                <w:bCs/>
                <w:smallCaps/>
                <w:color w:val="FFFFFF" w:themeColor="background1"/>
                <w:sz w:val="18"/>
                <w:szCs w:val="18"/>
                <w:lang w:val="bg-BG"/>
              </w:rPr>
              <w:t xml:space="preserve"> </w:t>
            </w:r>
            <w:proofErr w:type="spellStart"/>
            <w:r w:rsidRPr="00FB11B0">
              <w:rPr>
                <w:rFonts w:ascii="Verdana" w:eastAsia="Times New Roman" w:hAnsi="Verdana" w:cs="Calibri"/>
                <w:b/>
                <w:bCs/>
                <w:smallCaps/>
                <w:color w:val="FFFFFF" w:themeColor="background1"/>
                <w:sz w:val="18"/>
                <w:szCs w:val="18"/>
                <w:lang w:val="bg-BG"/>
              </w:rPr>
              <w:t>report</w:t>
            </w:r>
            <w:proofErr w:type="spellEnd"/>
          </w:p>
        </w:tc>
      </w:tr>
      <w:tr w:rsidR="00FB11B0" w:rsidRPr="00FB11B0" w14:paraId="5A3F4387" w14:textId="77777777" w:rsidTr="00AC2E19">
        <w:trPr>
          <w:trHeight w:val="625"/>
        </w:trPr>
        <w:tc>
          <w:tcPr>
            <w:tcW w:w="3251" w:type="pct"/>
            <w:shd w:val="clear" w:color="auto" w:fill="D9DFEF" w:themeFill="accent1" w:themeFillTint="33"/>
            <w:hideMark/>
          </w:tcPr>
          <w:p w14:paraId="52B88D05" w14:textId="062F7DB0" w:rsidR="00FB11B0" w:rsidRPr="00FB11B0" w:rsidRDefault="00FB11B0" w:rsidP="00FB11B0">
            <w:pPr>
              <w:spacing w:after="0" w:line="240" w:lineRule="auto"/>
              <w:jc w:val="both"/>
              <w:rPr>
                <w:rFonts w:ascii="Verdana" w:eastAsia="Times New Roman" w:hAnsi="Verdana" w:cs="Calibri"/>
                <w:color w:val="000000"/>
                <w:sz w:val="18"/>
                <w:szCs w:val="18"/>
                <w:highlight w:val="yellow"/>
                <w:lang w:val="bg-BG"/>
              </w:rPr>
            </w:pPr>
            <w:r w:rsidRPr="00FB11B0">
              <w:rPr>
                <w:rFonts w:ascii="Verdana" w:eastAsia="Times New Roman" w:hAnsi="Verdana" w:cs="Calibri"/>
                <w:color w:val="000000"/>
                <w:sz w:val="18"/>
                <w:szCs w:val="18"/>
                <w:lang w:val="bg-BG"/>
              </w:rPr>
              <w:t>BG161PO004-1.0.01-0002“</w:t>
            </w:r>
            <w:r w:rsidR="00B40B9E">
              <w:rPr>
                <w:rFonts w:ascii="Verdana" w:eastAsia="Times New Roman" w:hAnsi="Verdana" w:cs="Calibri"/>
                <w:color w:val="000000"/>
                <w:sz w:val="18"/>
                <w:szCs w:val="18"/>
                <w:lang w:val="en-US"/>
              </w:rPr>
              <w:t xml:space="preserve"> </w:t>
            </w:r>
            <w:r w:rsidRPr="00FB11B0">
              <w:rPr>
                <w:rFonts w:ascii="Verdana" w:eastAsiaTheme="minorHAnsi" w:hAnsi="Verdana" w:cs="TimesNewRomanPS-ItalicMT"/>
                <w:sz w:val="18"/>
                <w:szCs w:val="18"/>
              </w:rPr>
              <w:t xml:space="preserve">Electrification and Reconstruction of </w:t>
            </w:r>
            <w:proofErr w:type="spellStart"/>
            <w:r w:rsidRPr="00FB11B0">
              <w:rPr>
                <w:rFonts w:ascii="Verdana" w:eastAsiaTheme="minorHAnsi" w:hAnsi="Verdana" w:cs="TimesNewRomanPS-ItalicMT"/>
                <w:sz w:val="18"/>
                <w:szCs w:val="18"/>
              </w:rPr>
              <w:t>Svilengrad</w:t>
            </w:r>
            <w:proofErr w:type="spellEnd"/>
            <w:r w:rsidRPr="00FB11B0">
              <w:rPr>
                <w:rFonts w:ascii="Verdana" w:eastAsiaTheme="minorHAnsi" w:hAnsi="Verdana" w:cs="TimesNewRomanPS-ItalicMT"/>
                <w:sz w:val="18"/>
                <w:szCs w:val="18"/>
              </w:rPr>
              <w:t xml:space="preserve"> railway line – Turkish border</w:t>
            </w:r>
            <w:r w:rsidRPr="00FB11B0">
              <w:rPr>
                <w:rFonts w:ascii="Verdana" w:eastAsiaTheme="minorHAnsi" w:hAnsi="Verdana" w:cs="TimesNewRomanPS-ItalicMT"/>
                <w:sz w:val="18"/>
                <w:szCs w:val="18"/>
                <w:lang w:val="bg-BG"/>
              </w:rPr>
              <w:t>“</w:t>
            </w:r>
            <w:r w:rsidRPr="00FB11B0">
              <w:rPr>
                <w:rFonts w:ascii="Verdana" w:hAnsi="Verdana" w:cs="Arial"/>
                <w:color w:val="4D5156"/>
                <w:sz w:val="18"/>
                <w:szCs w:val="18"/>
                <w:shd w:val="clear" w:color="auto" w:fill="FFFFFF"/>
              </w:rPr>
              <w:t> </w:t>
            </w:r>
          </w:p>
        </w:tc>
        <w:tc>
          <w:tcPr>
            <w:tcW w:w="1749" w:type="pct"/>
            <w:shd w:val="clear" w:color="auto" w:fill="auto"/>
            <w:hideMark/>
          </w:tcPr>
          <w:p w14:paraId="0D06D5A8" w14:textId="77777777" w:rsidR="00FB11B0" w:rsidRPr="00FB11B0" w:rsidRDefault="00FB11B0" w:rsidP="00FB11B0">
            <w:pPr>
              <w:spacing w:after="0" w:line="240" w:lineRule="auto"/>
              <w:jc w:val="both"/>
              <w:rPr>
                <w:rFonts w:ascii="Verdana" w:eastAsia="Times New Roman" w:hAnsi="Verdana" w:cs="Calibri"/>
                <w:color w:val="000000"/>
                <w:sz w:val="18"/>
                <w:szCs w:val="18"/>
                <w:lang w:val="en-US"/>
              </w:rPr>
            </w:pPr>
            <w:r w:rsidRPr="00FB11B0">
              <w:rPr>
                <w:rFonts w:ascii="Verdana" w:eastAsia="Times New Roman" w:hAnsi="Verdana" w:cs="Calibri"/>
                <w:color w:val="000000"/>
                <w:sz w:val="18"/>
                <w:szCs w:val="18"/>
                <w:lang w:val="en-US"/>
              </w:rPr>
              <w:t xml:space="preserve">Railway </w:t>
            </w:r>
            <w:proofErr w:type="spellStart"/>
            <w:r w:rsidRPr="00FB11B0">
              <w:rPr>
                <w:rFonts w:ascii="Verdana" w:eastAsia="Times New Roman" w:hAnsi="Verdana" w:cs="Calibri"/>
                <w:color w:val="000000"/>
                <w:sz w:val="18"/>
                <w:szCs w:val="18"/>
                <w:lang w:val="en-US"/>
              </w:rPr>
              <w:t>Svilengrad</w:t>
            </w:r>
            <w:proofErr w:type="spellEnd"/>
            <w:r w:rsidRPr="00FB11B0">
              <w:rPr>
                <w:rFonts w:ascii="Verdana" w:eastAsia="Times New Roman" w:hAnsi="Verdana" w:cs="Calibri"/>
                <w:color w:val="000000"/>
                <w:sz w:val="18"/>
                <w:szCs w:val="18"/>
                <w:lang w:val="en-US"/>
              </w:rPr>
              <w:t xml:space="preserve"> - Turkish border</w:t>
            </w:r>
          </w:p>
        </w:tc>
      </w:tr>
      <w:tr w:rsidR="00FB11B0" w:rsidRPr="00FB11B0" w14:paraId="73C9889C" w14:textId="77777777" w:rsidTr="00AC2E19">
        <w:trPr>
          <w:trHeight w:val="735"/>
        </w:trPr>
        <w:tc>
          <w:tcPr>
            <w:tcW w:w="3251" w:type="pct"/>
            <w:shd w:val="clear" w:color="auto" w:fill="D9DFEF" w:themeFill="accent1" w:themeFillTint="33"/>
            <w:hideMark/>
          </w:tcPr>
          <w:p w14:paraId="480E8668" w14:textId="77777777" w:rsidR="00FB11B0" w:rsidRPr="00FB11B0" w:rsidRDefault="00FB11B0" w:rsidP="00FB11B0">
            <w:pPr>
              <w:autoSpaceDE w:val="0"/>
              <w:autoSpaceDN w:val="0"/>
              <w:adjustRightInd w:val="0"/>
              <w:spacing w:after="0" w:line="240" w:lineRule="auto"/>
              <w:jc w:val="both"/>
              <w:rPr>
                <w:rFonts w:ascii="Verdana" w:eastAsia="Times New Roman" w:hAnsi="Verdana" w:cs="Calibri"/>
                <w:color w:val="000000"/>
                <w:sz w:val="18"/>
                <w:szCs w:val="18"/>
                <w:lang w:val="bg-BG"/>
              </w:rPr>
            </w:pPr>
            <w:r w:rsidRPr="00FB11B0">
              <w:rPr>
                <w:rFonts w:ascii="Verdana" w:eastAsia="Times New Roman" w:hAnsi="Verdana" w:cs="Calibri"/>
                <w:color w:val="000000"/>
                <w:sz w:val="18"/>
                <w:szCs w:val="18"/>
                <w:lang w:val="bg-BG"/>
              </w:rPr>
              <w:t xml:space="preserve">BG161PO004-1.0.01-0005 </w:t>
            </w:r>
            <w:r w:rsidRPr="00FB11B0">
              <w:rPr>
                <w:rFonts w:ascii="Verdana" w:eastAsiaTheme="minorHAnsi" w:hAnsi="Verdana" w:cs="TimesNewRomanPS-ItalicMT"/>
                <w:sz w:val="18"/>
                <w:szCs w:val="18"/>
              </w:rPr>
              <w:t xml:space="preserve">Reconstruction and electrification of Plovdiv - </w:t>
            </w:r>
            <w:proofErr w:type="spellStart"/>
            <w:r w:rsidRPr="00FB11B0">
              <w:rPr>
                <w:rFonts w:ascii="Verdana" w:eastAsiaTheme="minorHAnsi" w:hAnsi="Verdana" w:cs="TimesNewRomanPS-ItalicMT"/>
                <w:sz w:val="18"/>
                <w:szCs w:val="18"/>
              </w:rPr>
              <w:t>Svilengrad</w:t>
            </w:r>
            <w:proofErr w:type="spellEnd"/>
            <w:r w:rsidRPr="00FB11B0">
              <w:rPr>
                <w:rFonts w:ascii="Verdana" w:eastAsiaTheme="minorHAnsi" w:hAnsi="Verdana" w:cs="TimesNewRomanPS-ItalicMT"/>
                <w:sz w:val="18"/>
                <w:szCs w:val="18"/>
              </w:rPr>
              <w:t xml:space="preserve"> railway line of corridor IV and</w:t>
            </w:r>
            <w:r w:rsidRPr="00FB11B0">
              <w:rPr>
                <w:rFonts w:ascii="Verdana" w:eastAsiaTheme="minorHAnsi" w:hAnsi="Verdana" w:cs="TimesNewRomanPS-ItalicMT"/>
                <w:sz w:val="18"/>
                <w:szCs w:val="18"/>
                <w:lang w:val="bg-BG"/>
              </w:rPr>
              <w:t xml:space="preserve"> </w:t>
            </w:r>
            <w:r w:rsidRPr="00FB11B0">
              <w:rPr>
                <w:rFonts w:ascii="Verdana" w:eastAsiaTheme="minorHAnsi" w:hAnsi="Verdana" w:cs="TimesNewRomanPS-ItalicMT"/>
                <w:sz w:val="18"/>
                <w:szCs w:val="18"/>
              </w:rPr>
              <w:t xml:space="preserve">IX, Phase 2: section </w:t>
            </w:r>
            <w:proofErr w:type="spellStart"/>
            <w:r w:rsidRPr="00FB11B0">
              <w:rPr>
                <w:rFonts w:ascii="Verdana" w:eastAsiaTheme="minorHAnsi" w:hAnsi="Verdana" w:cs="TimesNewRomanPS-ItalicMT"/>
                <w:sz w:val="18"/>
                <w:szCs w:val="18"/>
              </w:rPr>
              <w:t>Parvomai-Svilengrad</w:t>
            </w:r>
            <w:proofErr w:type="spellEnd"/>
          </w:p>
        </w:tc>
        <w:tc>
          <w:tcPr>
            <w:tcW w:w="1749" w:type="pct"/>
            <w:shd w:val="clear" w:color="auto" w:fill="auto"/>
            <w:hideMark/>
          </w:tcPr>
          <w:p w14:paraId="704720FD" w14:textId="77777777" w:rsidR="00FB11B0" w:rsidRPr="00FB11B0" w:rsidRDefault="00FB11B0" w:rsidP="00FB11B0">
            <w:pPr>
              <w:spacing w:after="0" w:line="240" w:lineRule="auto"/>
              <w:jc w:val="both"/>
              <w:rPr>
                <w:rFonts w:ascii="Verdana" w:eastAsia="Times New Roman" w:hAnsi="Verdana" w:cs="Calibri"/>
                <w:color w:val="000000"/>
                <w:sz w:val="18"/>
                <w:szCs w:val="18"/>
                <w:lang w:val="en-US"/>
              </w:rPr>
            </w:pPr>
            <w:r w:rsidRPr="00FB11B0">
              <w:rPr>
                <w:rFonts w:ascii="Verdana" w:eastAsia="Times New Roman" w:hAnsi="Verdana" w:cs="Calibri"/>
                <w:color w:val="000000"/>
                <w:sz w:val="18"/>
                <w:szCs w:val="18"/>
                <w:lang w:val="en-US"/>
              </w:rPr>
              <w:t xml:space="preserve">Plovdiv – </w:t>
            </w:r>
            <w:proofErr w:type="spellStart"/>
            <w:r w:rsidRPr="00FB11B0">
              <w:rPr>
                <w:rFonts w:ascii="Verdana" w:eastAsia="Times New Roman" w:hAnsi="Verdana" w:cs="Calibri"/>
                <w:color w:val="000000"/>
                <w:sz w:val="18"/>
                <w:szCs w:val="18"/>
                <w:lang w:val="en-US"/>
              </w:rPr>
              <w:t>Svilengrad</w:t>
            </w:r>
            <w:proofErr w:type="spellEnd"/>
            <w:r w:rsidRPr="00FB11B0">
              <w:rPr>
                <w:rFonts w:ascii="Verdana" w:eastAsia="Times New Roman" w:hAnsi="Verdana" w:cs="Calibri"/>
                <w:color w:val="000000"/>
                <w:sz w:val="18"/>
                <w:szCs w:val="18"/>
                <w:lang w:val="en-US"/>
              </w:rPr>
              <w:t xml:space="preserve"> Railway</w:t>
            </w:r>
          </w:p>
        </w:tc>
      </w:tr>
      <w:tr w:rsidR="00FB11B0" w:rsidRPr="00FB11B0" w14:paraId="3591A217" w14:textId="77777777" w:rsidTr="00AC2E19">
        <w:trPr>
          <w:trHeight w:val="765"/>
        </w:trPr>
        <w:tc>
          <w:tcPr>
            <w:tcW w:w="3251" w:type="pct"/>
            <w:shd w:val="clear" w:color="auto" w:fill="D9DFEF" w:themeFill="accent1" w:themeFillTint="33"/>
            <w:hideMark/>
          </w:tcPr>
          <w:p w14:paraId="158ACEDF" w14:textId="77777777" w:rsidR="00FB11B0" w:rsidRPr="00FB11B0" w:rsidRDefault="00FB11B0" w:rsidP="00FB11B0">
            <w:pPr>
              <w:autoSpaceDE w:val="0"/>
              <w:autoSpaceDN w:val="0"/>
              <w:adjustRightInd w:val="0"/>
              <w:spacing w:after="0" w:line="240" w:lineRule="auto"/>
              <w:jc w:val="both"/>
              <w:rPr>
                <w:rFonts w:ascii="Verdana" w:eastAsiaTheme="minorHAnsi" w:hAnsi="Verdana" w:cs="TimesNewRomanPS-ItalicMT"/>
                <w:sz w:val="18"/>
                <w:szCs w:val="18"/>
              </w:rPr>
            </w:pPr>
            <w:r w:rsidRPr="00FB11B0">
              <w:rPr>
                <w:rFonts w:ascii="Verdana" w:eastAsia="Times New Roman" w:hAnsi="Verdana" w:cs="Calibri"/>
                <w:color w:val="000000"/>
                <w:sz w:val="18"/>
                <w:szCs w:val="18"/>
                <w:lang w:val="bg-BG"/>
              </w:rPr>
              <w:t xml:space="preserve">BG161PO004-1.0.01-0006 </w:t>
            </w:r>
            <w:r w:rsidRPr="00FB11B0">
              <w:rPr>
                <w:rFonts w:ascii="Verdana" w:eastAsiaTheme="minorHAnsi" w:hAnsi="Verdana" w:cs="TimesNewRomanPS-ItalicMT"/>
                <w:sz w:val="18"/>
                <w:szCs w:val="18"/>
              </w:rPr>
              <w:t xml:space="preserve">„Project for extension of Sofia Metropolitan: Phase II, lot 1 – </w:t>
            </w:r>
            <w:proofErr w:type="spellStart"/>
            <w:r w:rsidRPr="00FB11B0">
              <w:rPr>
                <w:rFonts w:ascii="Verdana" w:eastAsiaTheme="minorHAnsi" w:hAnsi="Verdana" w:cs="TimesNewRomanPS-ItalicMT"/>
                <w:sz w:val="18"/>
                <w:szCs w:val="18"/>
              </w:rPr>
              <w:t>Obelya</w:t>
            </w:r>
            <w:proofErr w:type="spellEnd"/>
            <w:r w:rsidRPr="00FB11B0">
              <w:rPr>
                <w:rFonts w:ascii="Verdana" w:eastAsiaTheme="minorHAnsi" w:hAnsi="Verdana" w:cs="TimesNewRomanPS-ItalicMT"/>
                <w:sz w:val="18"/>
                <w:szCs w:val="18"/>
              </w:rPr>
              <w:t xml:space="preserve"> – </w:t>
            </w:r>
            <w:proofErr w:type="spellStart"/>
            <w:r w:rsidRPr="00FB11B0">
              <w:rPr>
                <w:rFonts w:ascii="Verdana" w:eastAsiaTheme="minorHAnsi" w:hAnsi="Verdana" w:cs="TimesNewRomanPS-ItalicMT"/>
                <w:sz w:val="18"/>
                <w:szCs w:val="18"/>
              </w:rPr>
              <w:t>Nadezhda</w:t>
            </w:r>
            <w:proofErr w:type="spellEnd"/>
            <w:r w:rsidRPr="00FB11B0">
              <w:rPr>
                <w:rFonts w:ascii="Verdana" w:eastAsiaTheme="minorHAnsi" w:hAnsi="Verdana" w:cs="TimesNewRomanPS-ItalicMT"/>
                <w:sz w:val="18"/>
                <w:szCs w:val="18"/>
              </w:rPr>
              <w:t xml:space="preserve"> and Lot</w:t>
            </w:r>
          </w:p>
          <w:p w14:paraId="092F00C8"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heme="minorHAnsi" w:hAnsi="Verdana" w:cs="TimesNewRomanPS-ItalicMT"/>
                <w:sz w:val="18"/>
                <w:szCs w:val="18"/>
              </w:rPr>
              <w:t xml:space="preserve">2 – </w:t>
            </w:r>
            <w:proofErr w:type="spellStart"/>
            <w:r w:rsidRPr="00FB11B0">
              <w:rPr>
                <w:rFonts w:ascii="Verdana" w:eastAsiaTheme="minorHAnsi" w:hAnsi="Verdana" w:cs="TimesNewRomanPS-ItalicMT"/>
                <w:sz w:val="18"/>
                <w:szCs w:val="18"/>
              </w:rPr>
              <w:t>Mladost</w:t>
            </w:r>
            <w:proofErr w:type="spellEnd"/>
            <w:r w:rsidRPr="00FB11B0">
              <w:rPr>
                <w:rFonts w:ascii="Verdana" w:eastAsiaTheme="minorHAnsi" w:hAnsi="Verdana" w:cs="TimesNewRomanPS-ItalicMT"/>
                <w:sz w:val="18"/>
                <w:szCs w:val="18"/>
              </w:rPr>
              <w:t xml:space="preserve"> – </w:t>
            </w:r>
            <w:proofErr w:type="spellStart"/>
            <w:r w:rsidRPr="00FB11B0">
              <w:rPr>
                <w:rFonts w:ascii="Verdana" w:eastAsiaTheme="minorHAnsi" w:hAnsi="Verdana" w:cs="TimesNewRomanPS-ItalicMT"/>
                <w:sz w:val="18"/>
                <w:szCs w:val="18"/>
              </w:rPr>
              <w:t>Tsarigradsko</w:t>
            </w:r>
            <w:proofErr w:type="spellEnd"/>
            <w:r w:rsidRPr="00FB11B0">
              <w:rPr>
                <w:rFonts w:ascii="Verdana" w:eastAsiaTheme="minorHAnsi" w:hAnsi="Verdana" w:cs="TimesNewRomanPS-ItalicMT"/>
                <w:sz w:val="18"/>
                <w:szCs w:val="18"/>
              </w:rPr>
              <w:t xml:space="preserve"> </w:t>
            </w:r>
            <w:proofErr w:type="spellStart"/>
            <w:r w:rsidRPr="00FB11B0">
              <w:rPr>
                <w:rFonts w:ascii="Verdana" w:eastAsiaTheme="minorHAnsi" w:hAnsi="Verdana" w:cs="TimesNewRomanPS-ItalicMT"/>
                <w:sz w:val="18"/>
                <w:szCs w:val="18"/>
              </w:rPr>
              <w:t>shose</w:t>
            </w:r>
            <w:proofErr w:type="spellEnd"/>
            <w:r w:rsidRPr="00FB11B0">
              <w:rPr>
                <w:rFonts w:ascii="Verdana" w:eastAsiaTheme="minorHAnsi" w:hAnsi="Verdana" w:cs="TimesNewRomanPS-ItalicMT"/>
                <w:sz w:val="18"/>
                <w:szCs w:val="18"/>
              </w:rPr>
              <w:t>”</w:t>
            </w:r>
          </w:p>
        </w:tc>
        <w:tc>
          <w:tcPr>
            <w:tcW w:w="1749" w:type="pct"/>
            <w:shd w:val="clear" w:color="auto" w:fill="auto"/>
            <w:hideMark/>
          </w:tcPr>
          <w:p w14:paraId="6B3D9BDF"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imes New Roman" w:hAnsi="Verdana" w:cs="Calibri"/>
                <w:color w:val="000000"/>
                <w:sz w:val="18"/>
                <w:szCs w:val="18"/>
                <w:lang w:val="en-US"/>
              </w:rPr>
              <w:t>Metro extension</w:t>
            </w:r>
            <w:r w:rsidRPr="00FB11B0">
              <w:rPr>
                <w:rFonts w:ascii="Verdana" w:eastAsia="Times New Roman" w:hAnsi="Verdana" w:cs="Calibri"/>
                <w:color w:val="000000"/>
                <w:sz w:val="18"/>
                <w:szCs w:val="18"/>
                <w:lang w:val="bg-BG"/>
              </w:rPr>
              <w:t xml:space="preserve">, </w:t>
            </w:r>
            <w:r w:rsidRPr="00FB11B0">
              <w:rPr>
                <w:rFonts w:ascii="Verdana" w:eastAsia="Times New Roman" w:hAnsi="Verdana" w:cs="Calibri"/>
                <w:color w:val="000000"/>
                <w:sz w:val="18"/>
                <w:szCs w:val="18"/>
                <w:lang w:val="en-US"/>
              </w:rPr>
              <w:t>Stage</w:t>
            </w:r>
            <w:r w:rsidRPr="00FB11B0">
              <w:rPr>
                <w:rFonts w:ascii="Verdana" w:eastAsia="Times New Roman" w:hAnsi="Verdana" w:cs="Calibri"/>
                <w:color w:val="000000"/>
                <w:sz w:val="18"/>
                <w:szCs w:val="18"/>
                <w:lang w:val="bg-BG"/>
              </w:rPr>
              <w:t xml:space="preserve"> II, </w:t>
            </w:r>
            <w:r w:rsidRPr="00FB11B0">
              <w:rPr>
                <w:rFonts w:ascii="Verdana" w:eastAsia="Times New Roman" w:hAnsi="Verdana" w:cs="Calibri"/>
                <w:color w:val="000000"/>
                <w:sz w:val="18"/>
                <w:szCs w:val="18"/>
                <w:lang w:val="en-US"/>
              </w:rPr>
              <w:t>Lots</w:t>
            </w:r>
            <w:r w:rsidRPr="00FB11B0">
              <w:rPr>
                <w:rFonts w:ascii="Verdana" w:eastAsia="Times New Roman" w:hAnsi="Verdana" w:cs="Calibri"/>
                <w:color w:val="000000"/>
                <w:sz w:val="18"/>
                <w:szCs w:val="18"/>
                <w:lang w:val="bg-BG"/>
              </w:rPr>
              <w:t xml:space="preserve"> 1 </w:t>
            </w:r>
            <w:r w:rsidRPr="00FB11B0">
              <w:rPr>
                <w:rFonts w:ascii="Verdana" w:eastAsia="Times New Roman" w:hAnsi="Verdana" w:cs="Calibri"/>
                <w:color w:val="000000"/>
                <w:sz w:val="18"/>
                <w:szCs w:val="18"/>
                <w:lang w:val="en-US"/>
              </w:rPr>
              <w:t>and</w:t>
            </w:r>
            <w:r w:rsidRPr="00FB11B0">
              <w:rPr>
                <w:rFonts w:ascii="Verdana" w:eastAsia="Times New Roman" w:hAnsi="Verdana" w:cs="Calibri"/>
                <w:color w:val="000000"/>
                <w:sz w:val="18"/>
                <w:szCs w:val="18"/>
                <w:lang w:val="bg-BG"/>
              </w:rPr>
              <w:t xml:space="preserve"> 2</w:t>
            </w:r>
          </w:p>
        </w:tc>
      </w:tr>
      <w:tr w:rsidR="00FB11B0" w:rsidRPr="00FB11B0" w14:paraId="131F5F47" w14:textId="77777777" w:rsidTr="00AC2E19">
        <w:trPr>
          <w:trHeight w:val="735"/>
        </w:trPr>
        <w:tc>
          <w:tcPr>
            <w:tcW w:w="3251" w:type="pct"/>
            <w:shd w:val="clear" w:color="auto" w:fill="D9DFEF" w:themeFill="accent1" w:themeFillTint="33"/>
            <w:hideMark/>
          </w:tcPr>
          <w:p w14:paraId="2F040B5F"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imes New Roman" w:hAnsi="Verdana" w:cs="Calibri"/>
                <w:color w:val="000000"/>
                <w:sz w:val="18"/>
                <w:szCs w:val="18"/>
                <w:lang w:val="bg-BG"/>
              </w:rPr>
              <w:t>BG161PO004-1.0.01-0007 „</w:t>
            </w:r>
            <w:r w:rsidRPr="00FB11B0">
              <w:rPr>
                <w:rFonts w:ascii="Verdana" w:eastAsiaTheme="minorHAnsi" w:hAnsi="Verdana" w:cs="TimesNewRomanPS-ItalicMT"/>
                <w:sz w:val="18"/>
                <w:szCs w:val="18"/>
              </w:rPr>
              <w:t xml:space="preserve">Rehabilitation Railway Infrastructure in sections of Plovdiv – </w:t>
            </w:r>
            <w:proofErr w:type="spellStart"/>
            <w:r w:rsidRPr="00FB11B0">
              <w:rPr>
                <w:rFonts w:ascii="Verdana" w:eastAsiaTheme="minorHAnsi" w:hAnsi="Verdana" w:cs="TimesNewRomanPS-ItalicMT"/>
                <w:sz w:val="18"/>
                <w:szCs w:val="18"/>
              </w:rPr>
              <w:t>Burgas</w:t>
            </w:r>
            <w:proofErr w:type="spellEnd"/>
            <w:r w:rsidRPr="00FB11B0">
              <w:rPr>
                <w:rFonts w:ascii="Verdana" w:eastAsiaTheme="minorHAnsi" w:hAnsi="Verdana" w:cs="TimesNewRomanPS-ItalicMT"/>
                <w:sz w:val="18"/>
                <w:szCs w:val="18"/>
              </w:rPr>
              <w:t xml:space="preserve"> Railway line”</w:t>
            </w:r>
          </w:p>
        </w:tc>
        <w:tc>
          <w:tcPr>
            <w:tcW w:w="1749" w:type="pct"/>
            <w:shd w:val="clear" w:color="auto" w:fill="auto"/>
            <w:hideMark/>
          </w:tcPr>
          <w:p w14:paraId="49350C22"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imes New Roman" w:hAnsi="Verdana" w:cs="Calibri"/>
                <w:color w:val="000000"/>
                <w:sz w:val="18"/>
                <w:szCs w:val="18"/>
                <w:lang w:val="en-US"/>
              </w:rPr>
              <w:t xml:space="preserve">Railway                                                                                                                                                                                                                                                              Plovdiv - </w:t>
            </w:r>
            <w:proofErr w:type="spellStart"/>
            <w:r w:rsidRPr="00FB11B0">
              <w:rPr>
                <w:rFonts w:ascii="Verdana" w:eastAsia="Times New Roman" w:hAnsi="Verdana" w:cs="Calibri"/>
                <w:color w:val="000000"/>
                <w:sz w:val="18"/>
                <w:szCs w:val="18"/>
                <w:lang w:val="en-US"/>
              </w:rPr>
              <w:t>Burgas</w:t>
            </w:r>
            <w:proofErr w:type="spellEnd"/>
          </w:p>
        </w:tc>
      </w:tr>
      <w:tr w:rsidR="00FB11B0" w:rsidRPr="00FB11B0" w14:paraId="3338ABD5" w14:textId="77777777" w:rsidTr="00AC2E19">
        <w:trPr>
          <w:trHeight w:val="735"/>
        </w:trPr>
        <w:tc>
          <w:tcPr>
            <w:tcW w:w="3251" w:type="pct"/>
            <w:shd w:val="clear" w:color="auto" w:fill="D9DFEF" w:themeFill="accent1" w:themeFillTint="33"/>
            <w:hideMark/>
          </w:tcPr>
          <w:p w14:paraId="3596E1FD" w14:textId="77777777" w:rsidR="00FB11B0" w:rsidRPr="00FB11B0" w:rsidRDefault="00FB11B0" w:rsidP="00FB11B0">
            <w:pPr>
              <w:autoSpaceDE w:val="0"/>
              <w:autoSpaceDN w:val="0"/>
              <w:adjustRightInd w:val="0"/>
              <w:spacing w:after="0" w:line="240" w:lineRule="auto"/>
              <w:jc w:val="both"/>
              <w:rPr>
                <w:rFonts w:ascii="Verdana" w:eastAsiaTheme="minorHAnsi" w:hAnsi="Verdana" w:cs="TimesNewRomanPS-ItalicMT"/>
                <w:sz w:val="18"/>
                <w:szCs w:val="18"/>
              </w:rPr>
            </w:pPr>
            <w:r w:rsidRPr="00FB11B0">
              <w:rPr>
                <w:rFonts w:ascii="Verdana" w:eastAsia="Times New Roman" w:hAnsi="Verdana" w:cs="Calibri"/>
                <w:color w:val="000000"/>
                <w:sz w:val="18"/>
                <w:szCs w:val="18"/>
                <w:lang w:val="bg-BG"/>
              </w:rPr>
              <w:t>BG161PO004-1.0.01-0008 „</w:t>
            </w:r>
            <w:r w:rsidRPr="00FB11B0">
              <w:rPr>
                <w:rFonts w:ascii="Verdana" w:eastAsiaTheme="minorHAnsi" w:hAnsi="Verdana" w:cs="TimesNewRomanPS-ItalicMT"/>
                <w:sz w:val="18"/>
                <w:szCs w:val="18"/>
              </w:rPr>
              <w:t xml:space="preserve">Modernisation of </w:t>
            </w:r>
            <w:proofErr w:type="spellStart"/>
            <w:r w:rsidRPr="00FB11B0">
              <w:rPr>
                <w:rFonts w:ascii="Verdana" w:eastAsiaTheme="minorHAnsi" w:hAnsi="Verdana" w:cs="TimesNewRomanPS-ItalicMT"/>
                <w:sz w:val="18"/>
                <w:szCs w:val="18"/>
              </w:rPr>
              <w:t>Septemvri</w:t>
            </w:r>
            <w:proofErr w:type="spellEnd"/>
            <w:r w:rsidRPr="00FB11B0">
              <w:rPr>
                <w:rFonts w:ascii="Verdana" w:eastAsiaTheme="minorHAnsi" w:hAnsi="Verdana" w:cs="TimesNewRomanPS-ItalicMT"/>
                <w:sz w:val="18"/>
                <w:szCs w:val="18"/>
              </w:rPr>
              <w:t>-Plovdiv Railway section, part of the Trans-European</w:t>
            </w:r>
          </w:p>
          <w:p w14:paraId="78686D6A"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imesNewRomanPSMT" w:hAnsi="Verdana" w:cs="TimesNewRomanPSMT"/>
                <w:sz w:val="18"/>
                <w:szCs w:val="18"/>
              </w:rPr>
              <w:t xml:space="preserve">- </w:t>
            </w:r>
            <w:r w:rsidRPr="00FB11B0">
              <w:rPr>
                <w:rFonts w:ascii="Verdana" w:eastAsiaTheme="minorHAnsi" w:hAnsi="Verdana" w:cs="TimesNewRomanPS-ItalicMT"/>
                <w:sz w:val="18"/>
                <w:szCs w:val="18"/>
              </w:rPr>
              <w:t>Railway Network”</w:t>
            </w:r>
          </w:p>
        </w:tc>
        <w:tc>
          <w:tcPr>
            <w:tcW w:w="1749" w:type="pct"/>
            <w:shd w:val="clear" w:color="auto" w:fill="auto"/>
            <w:hideMark/>
          </w:tcPr>
          <w:p w14:paraId="593A78C9"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proofErr w:type="spellStart"/>
            <w:r w:rsidRPr="00FB11B0">
              <w:rPr>
                <w:rFonts w:ascii="Verdana" w:eastAsia="Times New Roman" w:hAnsi="Verdana" w:cs="Calibri"/>
                <w:color w:val="000000"/>
                <w:sz w:val="18"/>
                <w:szCs w:val="18"/>
                <w:lang w:val="bg-BG"/>
              </w:rPr>
              <w:t>Railway</w:t>
            </w:r>
            <w:proofErr w:type="spellEnd"/>
            <w:r w:rsidRPr="00FB11B0">
              <w:rPr>
                <w:rFonts w:ascii="Verdana" w:eastAsia="Times New Roman" w:hAnsi="Verdana" w:cs="Calibri"/>
                <w:color w:val="000000"/>
                <w:sz w:val="18"/>
                <w:szCs w:val="18"/>
                <w:lang w:val="bg-BG"/>
              </w:rPr>
              <w:t xml:space="preserve"> </w:t>
            </w:r>
            <w:proofErr w:type="spellStart"/>
            <w:r w:rsidRPr="00FB11B0">
              <w:rPr>
                <w:rFonts w:ascii="Verdana" w:eastAsia="Times New Roman" w:hAnsi="Verdana" w:cs="Calibri"/>
                <w:color w:val="000000"/>
                <w:sz w:val="18"/>
                <w:szCs w:val="18"/>
                <w:lang w:val="bg-BG"/>
              </w:rPr>
              <w:t>Septemvri-Plovdiv</w:t>
            </w:r>
            <w:proofErr w:type="spellEnd"/>
          </w:p>
        </w:tc>
      </w:tr>
      <w:tr w:rsidR="00FB11B0" w:rsidRPr="00FB11B0" w14:paraId="6018B8E4" w14:textId="77777777" w:rsidTr="00AC2E19">
        <w:trPr>
          <w:trHeight w:val="405"/>
        </w:trPr>
        <w:tc>
          <w:tcPr>
            <w:tcW w:w="3251" w:type="pct"/>
            <w:shd w:val="clear" w:color="auto" w:fill="D9DFEF" w:themeFill="accent1" w:themeFillTint="33"/>
            <w:hideMark/>
          </w:tcPr>
          <w:p w14:paraId="2024EB0A"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imes New Roman" w:hAnsi="Verdana" w:cs="Calibri"/>
                <w:color w:val="000000"/>
                <w:sz w:val="18"/>
                <w:szCs w:val="18"/>
                <w:lang w:val="bg-BG"/>
              </w:rPr>
              <w:t xml:space="preserve">BG161PO004-2.0.01-0004 </w:t>
            </w:r>
            <w:r w:rsidRPr="00FB11B0">
              <w:rPr>
                <w:rFonts w:ascii="Verdana" w:eastAsiaTheme="minorHAnsi" w:hAnsi="Verdana" w:cs="TimesNewRomanPS-ItalicMT"/>
                <w:sz w:val="18"/>
                <w:szCs w:val="18"/>
              </w:rPr>
              <w:t>Completion of Trakya Motorway, Lots 2, 3 and 4</w:t>
            </w:r>
          </w:p>
        </w:tc>
        <w:tc>
          <w:tcPr>
            <w:tcW w:w="1749" w:type="pct"/>
            <w:shd w:val="clear" w:color="auto" w:fill="auto"/>
            <w:hideMark/>
          </w:tcPr>
          <w:p w14:paraId="43599E3F" w14:textId="77777777" w:rsidR="00FB11B0" w:rsidRPr="00FB11B0" w:rsidRDefault="00FB11B0" w:rsidP="00FB11B0">
            <w:pPr>
              <w:spacing w:after="0" w:line="240" w:lineRule="auto"/>
              <w:jc w:val="both"/>
              <w:rPr>
                <w:rFonts w:ascii="Verdana" w:eastAsia="Times New Roman" w:hAnsi="Verdana" w:cs="Calibri"/>
                <w:color w:val="000000"/>
                <w:sz w:val="18"/>
                <w:szCs w:val="18"/>
                <w:lang w:val="en-US"/>
              </w:rPr>
            </w:pPr>
            <w:proofErr w:type="spellStart"/>
            <w:r w:rsidRPr="00FB11B0">
              <w:rPr>
                <w:rFonts w:ascii="Verdana" w:eastAsia="Times New Roman" w:hAnsi="Verdana" w:cs="Calibri"/>
                <w:color w:val="000000"/>
                <w:sz w:val="18"/>
                <w:szCs w:val="18"/>
                <w:lang w:val="en-US"/>
              </w:rPr>
              <w:t>Trakia</w:t>
            </w:r>
            <w:proofErr w:type="spellEnd"/>
            <w:r w:rsidRPr="00FB11B0">
              <w:rPr>
                <w:rFonts w:ascii="Verdana" w:eastAsia="Times New Roman" w:hAnsi="Verdana" w:cs="Calibri"/>
                <w:color w:val="000000"/>
                <w:sz w:val="18"/>
                <w:szCs w:val="18"/>
                <w:lang w:val="en-US"/>
              </w:rPr>
              <w:t xml:space="preserve"> Motorway</w:t>
            </w:r>
          </w:p>
        </w:tc>
      </w:tr>
      <w:tr w:rsidR="00FB11B0" w:rsidRPr="00FB11B0" w14:paraId="49862556" w14:textId="77777777" w:rsidTr="00AC2E19">
        <w:trPr>
          <w:trHeight w:val="465"/>
        </w:trPr>
        <w:tc>
          <w:tcPr>
            <w:tcW w:w="3251" w:type="pct"/>
            <w:shd w:val="clear" w:color="auto" w:fill="D9DFEF" w:themeFill="accent1" w:themeFillTint="33"/>
            <w:hideMark/>
          </w:tcPr>
          <w:p w14:paraId="2F79F326"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imes New Roman" w:hAnsi="Verdana" w:cs="Calibri"/>
                <w:color w:val="000000"/>
                <w:sz w:val="18"/>
                <w:szCs w:val="18"/>
                <w:lang w:val="bg-BG"/>
              </w:rPr>
              <w:t xml:space="preserve">BG161PO004-2.0.01-0006 </w:t>
            </w:r>
            <w:r w:rsidRPr="00FB11B0">
              <w:rPr>
                <w:rFonts w:ascii="Verdana" w:eastAsiaTheme="minorHAnsi" w:hAnsi="Verdana" w:cs="TimesNewRomanPS-ItalicMT"/>
                <w:sz w:val="18"/>
                <w:szCs w:val="18"/>
              </w:rPr>
              <w:t>“Construction of Maritsa Motorway, Lot 1 and Lot 2”</w:t>
            </w:r>
          </w:p>
        </w:tc>
        <w:tc>
          <w:tcPr>
            <w:tcW w:w="1749" w:type="pct"/>
            <w:shd w:val="clear" w:color="auto" w:fill="auto"/>
            <w:hideMark/>
          </w:tcPr>
          <w:p w14:paraId="7471B6FE" w14:textId="77777777" w:rsidR="00FB11B0" w:rsidRPr="00FB11B0" w:rsidRDefault="00FB11B0" w:rsidP="00FB11B0">
            <w:pPr>
              <w:spacing w:after="0" w:line="240" w:lineRule="auto"/>
              <w:jc w:val="both"/>
              <w:rPr>
                <w:rFonts w:ascii="Verdana" w:eastAsia="Times New Roman" w:hAnsi="Verdana" w:cs="Calibri"/>
                <w:color w:val="000000"/>
                <w:sz w:val="18"/>
                <w:szCs w:val="18"/>
                <w:lang w:val="en-US"/>
              </w:rPr>
            </w:pPr>
            <w:r w:rsidRPr="00FB11B0">
              <w:rPr>
                <w:rFonts w:ascii="Verdana" w:eastAsia="Times New Roman" w:hAnsi="Verdana" w:cs="Calibri"/>
                <w:color w:val="000000"/>
                <w:sz w:val="18"/>
                <w:szCs w:val="18"/>
                <w:lang w:val="en-US"/>
              </w:rPr>
              <w:t>Maritsa Motorway</w:t>
            </w:r>
          </w:p>
        </w:tc>
      </w:tr>
      <w:tr w:rsidR="00FB11B0" w:rsidRPr="00FB11B0" w14:paraId="7C91A522" w14:textId="77777777" w:rsidTr="00AC2E19">
        <w:trPr>
          <w:trHeight w:val="405"/>
        </w:trPr>
        <w:tc>
          <w:tcPr>
            <w:tcW w:w="3251" w:type="pct"/>
            <w:shd w:val="clear" w:color="auto" w:fill="D9DFEF" w:themeFill="accent1" w:themeFillTint="33"/>
            <w:hideMark/>
          </w:tcPr>
          <w:p w14:paraId="3A531FD8"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imes New Roman" w:hAnsi="Verdana" w:cs="Calibri"/>
                <w:color w:val="000000"/>
                <w:sz w:val="18"/>
                <w:szCs w:val="18"/>
                <w:lang w:val="bg-BG"/>
              </w:rPr>
              <w:t xml:space="preserve">BG161PO004-2.0.01-0007 </w:t>
            </w:r>
            <w:r w:rsidRPr="00FB11B0">
              <w:rPr>
                <w:rFonts w:ascii="Verdana" w:eastAsiaTheme="minorHAnsi" w:hAnsi="Verdana" w:cs="TimesNewRomanPS-ItalicMT"/>
                <w:sz w:val="18"/>
                <w:szCs w:val="18"/>
              </w:rPr>
              <w:t>“</w:t>
            </w:r>
            <w:proofErr w:type="spellStart"/>
            <w:r w:rsidRPr="00FB11B0">
              <w:rPr>
                <w:rFonts w:ascii="Verdana" w:eastAsiaTheme="minorHAnsi" w:hAnsi="Verdana" w:cs="TimesNewRomanPS-ItalicMT"/>
                <w:sz w:val="18"/>
                <w:szCs w:val="18"/>
              </w:rPr>
              <w:t>Hemus</w:t>
            </w:r>
            <w:proofErr w:type="spellEnd"/>
            <w:r w:rsidRPr="00FB11B0">
              <w:rPr>
                <w:rFonts w:ascii="Verdana" w:eastAsiaTheme="minorHAnsi" w:hAnsi="Verdana" w:cs="TimesNewRomanPS-ItalicMT"/>
                <w:sz w:val="18"/>
                <w:szCs w:val="18"/>
              </w:rPr>
              <w:t xml:space="preserve"> Motorway, Section “SRR-Road Junction Yana”</w:t>
            </w:r>
          </w:p>
        </w:tc>
        <w:tc>
          <w:tcPr>
            <w:tcW w:w="1749" w:type="pct"/>
            <w:shd w:val="clear" w:color="auto" w:fill="auto"/>
            <w:hideMark/>
          </w:tcPr>
          <w:p w14:paraId="21F985E0"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heme="minorHAnsi" w:hAnsi="Verdana" w:cs="TimesNewRomanPS-ItalicMT"/>
                <w:sz w:val="18"/>
                <w:szCs w:val="18"/>
              </w:rPr>
              <w:t>SRR-Road Junction Yana</w:t>
            </w:r>
          </w:p>
        </w:tc>
      </w:tr>
      <w:tr w:rsidR="00FB11B0" w:rsidRPr="00FB11B0" w14:paraId="5D9B2209" w14:textId="77777777" w:rsidTr="00AC2E19">
        <w:trPr>
          <w:trHeight w:val="301"/>
        </w:trPr>
        <w:tc>
          <w:tcPr>
            <w:tcW w:w="3251" w:type="pct"/>
            <w:shd w:val="clear" w:color="auto" w:fill="D9DFEF" w:themeFill="accent1" w:themeFillTint="33"/>
            <w:hideMark/>
          </w:tcPr>
          <w:p w14:paraId="7A79037B" w14:textId="77777777" w:rsidR="00FB11B0" w:rsidRPr="00FB11B0" w:rsidRDefault="00FB11B0" w:rsidP="00FB11B0">
            <w:pPr>
              <w:spacing w:after="0" w:line="240" w:lineRule="auto"/>
              <w:jc w:val="both"/>
              <w:rPr>
                <w:rFonts w:ascii="Verdana" w:eastAsia="Times New Roman" w:hAnsi="Verdana" w:cs="Calibri"/>
                <w:color w:val="000000"/>
                <w:sz w:val="18"/>
                <w:szCs w:val="18"/>
                <w:lang w:val="en-US"/>
              </w:rPr>
            </w:pPr>
            <w:r w:rsidRPr="00FB11B0">
              <w:rPr>
                <w:rFonts w:ascii="Verdana" w:eastAsia="Times New Roman" w:hAnsi="Verdana" w:cs="Calibri"/>
                <w:color w:val="000000"/>
                <w:sz w:val="18"/>
                <w:szCs w:val="18"/>
                <w:lang w:val="bg-BG"/>
              </w:rPr>
              <w:t xml:space="preserve">BG161PO004-2.0.01-0008 </w:t>
            </w:r>
            <w:r w:rsidRPr="00FB11B0">
              <w:rPr>
                <w:rFonts w:ascii="Verdana" w:eastAsiaTheme="minorHAnsi" w:hAnsi="Verdana" w:cs="TimesNewRomanPS-ItalicMT"/>
                <w:sz w:val="18"/>
                <w:szCs w:val="18"/>
              </w:rPr>
              <w:t>“Road Е-85 (I-5) “</w:t>
            </w:r>
            <w:proofErr w:type="spellStart"/>
            <w:r w:rsidRPr="00FB11B0">
              <w:rPr>
                <w:rFonts w:ascii="Verdana" w:eastAsiaTheme="minorHAnsi" w:hAnsi="Verdana" w:cs="TimesNewRomanPS-ItalicMT"/>
                <w:sz w:val="18"/>
                <w:szCs w:val="18"/>
              </w:rPr>
              <w:t>Kardzhali</w:t>
            </w:r>
            <w:proofErr w:type="spellEnd"/>
            <w:r w:rsidRPr="00FB11B0">
              <w:rPr>
                <w:rFonts w:ascii="Verdana" w:eastAsiaTheme="minorHAnsi" w:hAnsi="Verdana" w:cs="TimesNewRomanPS-ItalicMT"/>
                <w:sz w:val="18"/>
                <w:szCs w:val="18"/>
              </w:rPr>
              <w:t xml:space="preserve"> - </w:t>
            </w:r>
            <w:proofErr w:type="spellStart"/>
            <w:r w:rsidRPr="00FB11B0">
              <w:rPr>
                <w:rFonts w:ascii="Verdana" w:eastAsiaTheme="minorHAnsi" w:hAnsi="Verdana" w:cs="TimesNewRomanPS-ItalicMT"/>
                <w:sz w:val="18"/>
                <w:szCs w:val="18"/>
              </w:rPr>
              <w:t>Podkova</w:t>
            </w:r>
            <w:proofErr w:type="spellEnd"/>
            <w:r w:rsidRPr="00FB11B0">
              <w:rPr>
                <w:rFonts w:ascii="Verdana" w:eastAsiaTheme="minorHAnsi" w:hAnsi="Verdana" w:cs="TimesNewRomanPS-ItalicMT"/>
                <w:sz w:val="18"/>
                <w:szCs w:val="18"/>
              </w:rPr>
              <w:t>”</w:t>
            </w:r>
          </w:p>
        </w:tc>
        <w:tc>
          <w:tcPr>
            <w:tcW w:w="1749" w:type="pct"/>
            <w:shd w:val="clear" w:color="auto" w:fill="auto"/>
            <w:hideMark/>
          </w:tcPr>
          <w:p w14:paraId="0F8788E3"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proofErr w:type="spellStart"/>
            <w:r w:rsidRPr="00FB11B0">
              <w:rPr>
                <w:rFonts w:ascii="Verdana" w:eastAsia="Times New Roman" w:hAnsi="Verdana" w:cs="Calibri"/>
                <w:color w:val="000000"/>
                <w:sz w:val="18"/>
                <w:szCs w:val="18"/>
                <w:lang w:val="bg-BG"/>
              </w:rPr>
              <w:t>Kardzhali</w:t>
            </w:r>
            <w:proofErr w:type="spellEnd"/>
            <w:r w:rsidRPr="00FB11B0">
              <w:rPr>
                <w:rFonts w:ascii="Verdana" w:eastAsia="Times New Roman" w:hAnsi="Verdana" w:cs="Calibri"/>
                <w:color w:val="000000"/>
                <w:sz w:val="18"/>
                <w:szCs w:val="18"/>
                <w:lang w:val="bg-BG"/>
              </w:rPr>
              <w:t xml:space="preserve"> - </w:t>
            </w:r>
            <w:proofErr w:type="spellStart"/>
            <w:r w:rsidRPr="00FB11B0">
              <w:rPr>
                <w:rFonts w:ascii="Verdana" w:eastAsia="Times New Roman" w:hAnsi="Verdana" w:cs="Calibri"/>
                <w:color w:val="000000"/>
                <w:sz w:val="18"/>
                <w:szCs w:val="18"/>
                <w:lang w:val="bg-BG"/>
              </w:rPr>
              <w:t>Podkova</w:t>
            </w:r>
            <w:proofErr w:type="spellEnd"/>
          </w:p>
        </w:tc>
      </w:tr>
      <w:tr w:rsidR="00FB11B0" w:rsidRPr="00FB11B0" w14:paraId="5724E8FC" w14:textId="77777777" w:rsidTr="00AC2E19">
        <w:trPr>
          <w:trHeight w:val="405"/>
        </w:trPr>
        <w:tc>
          <w:tcPr>
            <w:tcW w:w="3251" w:type="pct"/>
            <w:shd w:val="clear" w:color="auto" w:fill="D9DFEF" w:themeFill="accent1" w:themeFillTint="33"/>
            <w:hideMark/>
          </w:tcPr>
          <w:p w14:paraId="2375AE9B" w14:textId="77777777" w:rsidR="00FB11B0" w:rsidRPr="00FB11B0" w:rsidRDefault="00FB11B0" w:rsidP="00FB11B0">
            <w:pPr>
              <w:spacing w:after="0" w:line="240" w:lineRule="auto"/>
              <w:jc w:val="both"/>
              <w:rPr>
                <w:rFonts w:ascii="Verdana" w:eastAsia="Times New Roman" w:hAnsi="Verdana" w:cs="Calibri"/>
                <w:color w:val="000000"/>
                <w:sz w:val="18"/>
                <w:szCs w:val="18"/>
                <w:lang w:val="en-US"/>
              </w:rPr>
            </w:pPr>
            <w:r w:rsidRPr="00FB11B0">
              <w:rPr>
                <w:rFonts w:ascii="Verdana" w:eastAsia="Times New Roman" w:hAnsi="Verdana" w:cs="Calibri"/>
                <w:color w:val="000000"/>
                <w:sz w:val="18"/>
                <w:szCs w:val="18"/>
                <w:lang w:val="bg-BG"/>
              </w:rPr>
              <w:t xml:space="preserve">BG161PO004-2.0.01-0009 </w:t>
            </w:r>
            <w:r w:rsidRPr="00FB11B0">
              <w:rPr>
                <w:rFonts w:ascii="Verdana" w:eastAsiaTheme="minorHAnsi" w:hAnsi="Verdana" w:cs="TimesNewRomanPS-ItalicMT"/>
                <w:sz w:val="18"/>
                <w:szCs w:val="18"/>
              </w:rPr>
              <w:t>“Struma Motorway, Lots 1, 2 and 4”</w:t>
            </w:r>
          </w:p>
        </w:tc>
        <w:tc>
          <w:tcPr>
            <w:tcW w:w="1749" w:type="pct"/>
            <w:shd w:val="clear" w:color="auto" w:fill="auto"/>
            <w:hideMark/>
          </w:tcPr>
          <w:p w14:paraId="74B82308" w14:textId="77777777" w:rsidR="00FB11B0" w:rsidRPr="00FB11B0" w:rsidRDefault="00FB11B0" w:rsidP="00FB11B0">
            <w:pPr>
              <w:spacing w:after="0" w:line="240" w:lineRule="auto"/>
              <w:jc w:val="both"/>
              <w:rPr>
                <w:rFonts w:ascii="Verdana" w:eastAsia="Times New Roman" w:hAnsi="Verdana" w:cs="Calibri"/>
                <w:color w:val="000000"/>
                <w:sz w:val="18"/>
                <w:szCs w:val="18"/>
                <w:lang w:val="en-US"/>
              </w:rPr>
            </w:pPr>
            <w:r w:rsidRPr="00FB11B0">
              <w:rPr>
                <w:rFonts w:ascii="Verdana" w:eastAsia="Times New Roman" w:hAnsi="Verdana" w:cs="Calibri"/>
                <w:color w:val="000000"/>
                <w:sz w:val="18"/>
                <w:szCs w:val="18"/>
                <w:lang w:val="en-US"/>
              </w:rPr>
              <w:t>Struma Motorway</w:t>
            </w:r>
          </w:p>
        </w:tc>
      </w:tr>
      <w:tr w:rsidR="00FB11B0" w:rsidRPr="00FB11B0" w14:paraId="7466FB1A" w14:textId="77777777" w:rsidTr="00AC2E19">
        <w:trPr>
          <w:trHeight w:val="450"/>
        </w:trPr>
        <w:tc>
          <w:tcPr>
            <w:tcW w:w="3251" w:type="pct"/>
            <w:shd w:val="clear" w:color="auto" w:fill="D9DFEF" w:themeFill="accent1" w:themeFillTint="33"/>
            <w:hideMark/>
          </w:tcPr>
          <w:p w14:paraId="3E0AE7C9"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imes New Roman" w:hAnsi="Verdana" w:cs="Calibri"/>
                <w:color w:val="000000"/>
                <w:sz w:val="18"/>
                <w:szCs w:val="18"/>
                <w:lang w:val="bg-BG"/>
              </w:rPr>
              <w:t xml:space="preserve">BG161PO004-2.0.01-0011 </w:t>
            </w:r>
            <w:r w:rsidRPr="00FB11B0">
              <w:rPr>
                <w:rFonts w:ascii="Verdana" w:eastAsiaTheme="minorHAnsi" w:hAnsi="Verdana" w:cs="TimesNewRomanPS-ItalicMT"/>
                <w:sz w:val="18"/>
                <w:szCs w:val="18"/>
              </w:rPr>
              <w:t>“Bypass Road of Vratsa - Road I-1 (E79)”</w:t>
            </w:r>
          </w:p>
        </w:tc>
        <w:tc>
          <w:tcPr>
            <w:tcW w:w="1749" w:type="pct"/>
            <w:shd w:val="clear" w:color="auto" w:fill="auto"/>
            <w:hideMark/>
          </w:tcPr>
          <w:p w14:paraId="436AD480" w14:textId="77777777" w:rsidR="00FB11B0" w:rsidRPr="00FB11B0" w:rsidRDefault="00FB11B0" w:rsidP="00FB11B0">
            <w:pPr>
              <w:spacing w:after="0" w:line="240" w:lineRule="auto"/>
              <w:jc w:val="both"/>
              <w:rPr>
                <w:rFonts w:ascii="Verdana" w:eastAsia="Times New Roman" w:hAnsi="Verdana" w:cs="Calibri"/>
                <w:color w:val="000000"/>
                <w:sz w:val="18"/>
                <w:szCs w:val="18"/>
                <w:lang w:val="en-US"/>
              </w:rPr>
            </w:pPr>
            <w:r w:rsidRPr="00FB11B0">
              <w:rPr>
                <w:rFonts w:ascii="Verdana" w:eastAsia="Times New Roman" w:hAnsi="Verdana" w:cs="Calibri"/>
                <w:color w:val="000000"/>
                <w:sz w:val="18"/>
                <w:szCs w:val="18"/>
                <w:lang w:val="en-US"/>
              </w:rPr>
              <w:t>Bypass</w:t>
            </w:r>
            <w:r w:rsidRPr="00FB11B0">
              <w:rPr>
                <w:rFonts w:ascii="Verdana" w:eastAsia="Times New Roman" w:hAnsi="Verdana" w:cs="Calibri"/>
                <w:color w:val="000000"/>
                <w:sz w:val="18"/>
                <w:szCs w:val="18"/>
                <w:lang w:val="bg-BG"/>
              </w:rPr>
              <w:t xml:space="preserve"> </w:t>
            </w:r>
            <w:r w:rsidRPr="00FB11B0">
              <w:rPr>
                <w:rFonts w:ascii="Verdana" w:eastAsia="Times New Roman" w:hAnsi="Verdana" w:cs="Calibri"/>
                <w:color w:val="000000"/>
                <w:sz w:val="18"/>
                <w:szCs w:val="18"/>
              </w:rPr>
              <w:t>Road of</w:t>
            </w:r>
            <w:r w:rsidRPr="00FB11B0">
              <w:rPr>
                <w:rFonts w:ascii="Verdana" w:eastAsia="Times New Roman" w:hAnsi="Verdana" w:cs="Calibri"/>
                <w:color w:val="000000"/>
                <w:sz w:val="18"/>
                <w:szCs w:val="18"/>
                <w:lang w:val="en-US"/>
              </w:rPr>
              <w:t xml:space="preserve"> Vratsa</w:t>
            </w:r>
          </w:p>
        </w:tc>
      </w:tr>
      <w:tr w:rsidR="00FB11B0" w:rsidRPr="00FB11B0" w14:paraId="66F962A9" w14:textId="77777777" w:rsidTr="00AC2E19">
        <w:trPr>
          <w:trHeight w:val="598"/>
        </w:trPr>
        <w:tc>
          <w:tcPr>
            <w:tcW w:w="3251" w:type="pct"/>
            <w:shd w:val="clear" w:color="auto" w:fill="D9DFEF" w:themeFill="accent1" w:themeFillTint="33"/>
            <w:hideMark/>
          </w:tcPr>
          <w:p w14:paraId="2DBC1506"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imes New Roman" w:hAnsi="Verdana" w:cs="Calibri"/>
                <w:color w:val="000000"/>
                <w:sz w:val="18"/>
                <w:szCs w:val="18"/>
                <w:lang w:val="bg-BG"/>
              </w:rPr>
              <w:t xml:space="preserve">BG161PO004-2.0.01-0012 </w:t>
            </w:r>
            <w:r w:rsidRPr="00FB11B0">
              <w:rPr>
                <w:rFonts w:ascii="Verdana" w:eastAsiaTheme="minorHAnsi" w:hAnsi="Verdana" w:cs="TimesNewRomanPS-ItalicMT"/>
                <w:sz w:val="18"/>
                <w:szCs w:val="18"/>
              </w:rPr>
              <w:t>“Bypass Road of Montana - Road I-1 (Е79)”</w:t>
            </w:r>
            <w:r w:rsidRPr="00FB11B0">
              <w:rPr>
                <w:rFonts w:ascii="Verdana" w:eastAsia="Times New Roman" w:hAnsi="Verdana" w:cs="Calibri"/>
                <w:color w:val="000000"/>
                <w:sz w:val="18"/>
                <w:szCs w:val="18"/>
                <w:lang w:val="en-US"/>
              </w:rPr>
              <w:t xml:space="preserve"> Section from</w:t>
            </w:r>
            <w:r w:rsidRPr="00FB11B0">
              <w:rPr>
                <w:rFonts w:ascii="Verdana" w:eastAsia="Times New Roman" w:hAnsi="Verdana" w:cs="Calibri"/>
                <w:color w:val="000000"/>
                <w:sz w:val="18"/>
                <w:szCs w:val="18"/>
                <w:lang w:val="bg-BG"/>
              </w:rPr>
              <w:t xml:space="preserve"> </w:t>
            </w:r>
            <w:r w:rsidRPr="00FB11B0">
              <w:rPr>
                <w:rFonts w:ascii="Verdana" w:eastAsia="Times New Roman" w:hAnsi="Verdana" w:cs="Calibri"/>
                <w:color w:val="000000"/>
                <w:sz w:val="18"/>
                <w:szCs w:val="18"/>
                <w:lang w:val="en-US"/>
              </w:rPr>
              <w:t xml:space="preserve">km </w:t>
            </w:r>
            <w:r w:rsidRPr="00FB11B0">
              <w:rPr>
                <w:rFonts w:ascii="Verdana" w:eastAsia="Times New Roman" w:hAnsi="Verdana" w:cs="Calibri"/>
                <w:color w:val="000000"/>
                <w:sz w:val="18"/>
                <w:szCs w:val="18"/>
                <w:lang w:val="bg-BG"/>
              </w:rPr>
              <w:t xml:space="preserve">102+060 </w:t>
            </w:r>
            <w:r w:rsidRPr="00FB11B0">
              <w:rPr>
                <w:rFonts w:ascii="Verdana" w:eastAsia="Times New Roman" w:hAnsi="Verdana" w:cs="Calibri"/>
                <w:color w:val="000000"/>
                <w:sz w:val="18"/>
                <w:szCs w:val="18"/>
                <w:lang w:val="en-US"/>
              </w:rPr>
              <w:t>to</w:t>
            </w:r>
            <w:r w:rsidRPr="00FB11B0">
              <w:rPr>
                <w:rFonts w:ascii="Verdana" w:eastAsia="Times New Roman" w:hAnsi="Verdana" w:cs="Calibri"/>
                <w:color w:val="000000"/>
                <w:sz w:val="18"/>
                <w:szCs w:val="18"/>
                <w:lang w:val="bg-BG"/>
              </w:rPr>
              <w:t xml:space="preserve"> </w:t>
            </w:r>
            <w:r w:rsidRPr="00FB11B0">
              <w:rPr>
                <w:rFonts w:ascii="Verdana" w:eastAsia="Times New Roman" w:hAnsi="Verdana" w:cs="Calibri"/>
                <w:color w:val="000000"/>
                <w:sz w:val="18"/>
                <w:szCs w:val="18"/>
                <w:lang w:val="en-US"/>
              </w:rPr>
              <w:t>km</w:t>
            </w:r>
            <w:r w:rsidRPr="00FB11B0">
              <w:rPr>
                <w:rFonts w:ascii="Verdana" w:eastAsia="Times New Roman" w:hAnsi="Verdana" w:cs="Calibri"/>
                <w:color w:val="000000"/>
                <w:sz w:val="18"/>
                <w:szCs w:val="18"/>
                <w:lang w:val="bg-BG"/>
              </w:rPr>
              <w:t xml:space="preserve"> 114+512.20</w:t>
            </w:r>
          </w:p>
        </w:tc>
        <w:tc>
          <w:tcPr>
            <w:tcW w:w="1749" w:type="pct"/>
            <w:shd w:val="clear" w:color="auto" w:fill="auto"/>
            <w:hideMark/>
          </w:tcPr>
          <w:p w14:paraId="237F5555" w14:textId="77777777" w:rsidR="00FB11B0" w:rsidRPr="00FB11B0" w:rsidRDefault="00FB11B0" w:rsidP="00FB11B0">
            <w:pPr>
              <w:spacing w:after="0" w:line="240" w:lineRule="auto"/>
              <w:jc w:val="both"/>
              <w:rPr>
                <w:rFonts w:ascii="Verdana" w:eastAsia="Times New Roman" w:hAnsi="Verdana" w:cs="Calibri"/>
                <w:color w:val="000000"/>
                <w:sz w:val="18"/>
                <w:szCs w:val="18"/>
                <w:lang w:val="en-US"/>
              </w:rPr>
            </w:pPr>
            <w:r w:rsidRPr="00FB11B0">
              <w:rPr>
                <w:rFonts w:ascii="Verdana" w:eastAsia="Times New Roman" w:hAnsi="Verdana" w:cs="Calibri"/>
                <w:color w:val="000000"/>
                <w:sz w:val="18"/>
                <w:szCs w:val="18"/>
                <w:lang w:val="en-US"/>
              </w:rPr>
              <w:t>Bypass road of Montana</w:t>
            </w:r>
          </w:p>
        </w:tc>
      </w:tr>
      <w:tr w:rsidR="00FB11B0" w:rsidRPr="00FB11B0" w14:paraId="5D9DAD3A" w14:textId="77777777" w:rsidTr="00AC2E19">
        <w:trPr>
          <w:trHeight w:val="913"/>
        </w:trPr>
        <w:tc>
          <w:tcPr>
            <w:tcW w:w="3251" w:type="pct"/>
            <w:shd w:val="clear" w:color="auto" w:fill="D9DFEF" w:themeFill="accent1" w:themeFillTint="33"/>
            <w:hideMark/>
          </w:tcPr>
          <w:p w14:paraId="084AE3DC" w14:textId="77777777" w:rsidR="00FB11B0" w:rsidRPr="00FB11B0" w:rsidRDefault="00FB11B0" w:rsidP="00FB11B0">
            <w:pPr>
              <w:autoSpaceDE w:val="0"/>
              <w:autoSpaceDN w:val="0"/>
              <w:adjustRightInd w:val="0"/>
              <w:spacing w:after="0" w:line="240" w:lineRule="auto"/>
              <w:jc w:val="both"/>
              <w:rPr>
                <w:rFonts w:ascii="Verdana" w:eastAsiaTheme="minorHAnsi" w:hAnsi="Verdana" w:cs="TimesNewRomanPS-ItalicMT"/>
                <w:sz w:val="18"/>
                <w:szCs w:val="18"/>
              </w:rPr>
            </w:pPr>
            <w:r w:rsidRPr="00FB11B0">
              <w:rPr>
                <w:rFonts w:ascii="Verdana" w:eastAsia="Times New Roman" w:hAnsi="Verdana" w:cs="Calibri"/>
                <w:color w:val="000000"/>
                <w:sz w:val="18"/>
                <w:szCs w:val="18"/>
                <w:lang w:val="bg-BG"/>
              </w:rPr>
              <w:t xml:space="preserve">BG161РО004-2.0.01-0013   </w:t>
            </w:r>
            <w:r w:rsidRPr="00FB11B0">
              <w:rPr>
                <w:rFonts w:ascii="Verdana" w:eastAsiaTheme="minorHAnsi" w:hAnsi="Verdana" w:cs="TimesNewRomanPS-ItalicMT"/>
                <w:sz w:val="18"/>
                <w:szCs w:val="18"/>
              </w:rPr>
              <w:t>“Integrated system for analysis and the evaluation of traffic on motorways and I-</w:t>
            </w:r>
            <w:proofErr w:type="spellStart"/>
            <w:r w:rsidRPr="00FB11B0">
              <w:rPr>
                <w:rFonts w:ascii="Verdana" w:eastAsiaTheme="minorHAnsi" w:hAnsi="Verdana" w:cs="TimesNewRomanPS-ItalicMT"/>
                <w:sz w:val="18"/>
                <w:szCs w:val="18"/>
              </w:rPr>
              <w:t>st</w:t>
            </w:r>
            <w:proofErr w:type="spellEnd"/>
            <w:r w:rsidRPr="00FB11B0">
              <w:rPr>
                <w:rFonts w:ascii="Verdana" w:eastAsiaTheme="minorHAnsi" w:hAnsi="Verdana" w:cs="TimesNewRomanPS-ItalicMT"/>
                <w:sz w:val="18"/>
                <w:szCs w:val="18"/>
              </w:rPr>
              <w:t xml:space="preserve"> class</w:t>
            </w:r>
          </w:p>
          <w:p w14:paraId="3C142911"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heme="minorHAnsi" w:hAnsi="Verdana" w:cs="TimesNewRomanPS-ItalicMT"/>
                <w:sz w:val="18"/>
                <w:szCs w:val="18"/>
              </w:rPr>
              <w:t>roads on the territory of the Republic of Bulgaria, which are part of ТEN-Т”</w:t>
            </w:r>
          </w:p>
        </w:tc>
        <w:tc>
          <w:tcPr>
            <w:tcW w:w="1749" w:type="pct"/>
            <w:shd w:val="clear" w:color="auto" w:fill="auto"/>
            <w:hideMark/>
          </w:tcPr>
          <w:p w14:paraId="6C784937"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proofErr w:type="spellStart"/>
            <w:r w:rsidRPr="00FB11B0">
              <w:rPr>
                <w:rFonts w:ascii="Verdana" w:eastAsia="Times New Roman" w:hAnsi="Verdana" w:cs="Calibri"/>
                <w:color w:val="000000"/>
                <w:sz w:val="18"/>
                <w:szCs w:val="18"/>
                <w:lang w:val="bg-BG"/>
              </w:rPr>
              <w:t>Traffic</w:t>
            </w:r>
            <w:proofErr w:type="spellEnd"/>
            <w:r w:rsidRPr="00FB11B0">
              <w:rPr>
                <w:rFonts w:ascii="Verdana" w:eastAsia="Times New Roman" w:hAnsi="Verdana" w:cs="Calibri"/>
                <w:color w:val="000000"/>
                <w:sz w:val="18"/>
                <w:szCs w:val="18"/>
                <w:lang w:val="bg-BG"/>
              </w:rPr>
              <w:t xml:space="preserve"> </w:t>
            </w:r>
            <w:r w:rsidRPr="00FB11B0">
              <w:rPr>
                <w:rFonts w:ascii="Verdana" w:eastAsia="Times New Roman" w:hAnsi="Verdana" w:cs="Calibri"/>
                <w:color w:val="000000"/>
                <w:sz w:val="18"/>
                <w:szCs w:val="18"/>
              </w:rPr>
              <w:t>Evaluation</w:t>
            </w:r>
            <w:r w:rsidRPr="00FB11B0">
              <w:rPr>
                <w:rFonts w:ascii="Verdana" w:eastAsia="Times New Roman" w:hAnsi="Verdana" w:cs="Calibri"/>
                <w:color w:val="000000"/>
                <w:sz w:val="18"/>
                <w:szCs w:val="18"/>
                <w:lang w:val="bg-BG"/>
              </w:rPr>
              <w:t xml:space="preserve"> </w:t>
            </w:r>
            <w:r w:rsidRPr="00FB11B0">
              <w:rPr>
                <w:rFonts w:ascii="Verdana" w:eastAsia="Times New Roman" w:hAnsi="Verdana" w:cs="Calibri"/>
                <w:color w:val="000000"/>
                <w:sz w:val="18"/>
                <w:szCs w:val="18"/>
              </w:rPr>
              <w:t>S</w:t>
            </w:r>
            <w:proofErr w:type="spellStart"/>
            <w:r w:rsidRPr="00FB11B0">
              <w:rPr>
                <w:rFonts w:ascii="Verdana" w:eastAsia="Times New Roman" w:hAnsi="Verdana" w:cs="Calibri"/>
                <w:color w:val="000000"/>
                <w:sz w:val="18"/>
                <w:szCs w:val="18"/>
                <w:lang w:val="bg-BG"/>
              </w:rPr>
              <w:t>ystem</w:t>
            </w:r>
            <w:proofErr w:type="spellEnd"/>
          </w:p>
        </w:tc>
      </w:tr>
      <w:tr w:rsidR="00FB11B0" w:rsidRPr="00FB11B0" w14:paraId="14B0CBE4" w14:textId="77777777" w:rsidTr="00AC2E19">
        <w:trPr>
          <w:trHeight w:val="570"/>
        </w:trPr>
        <w:tc>
          <w:tcPr>
            <w:tcW w:w="3251" w:type="pct"/>
            <w:shd w:val="clear" w:color="auto" w:fill="D9DFEF" w:themeFill="accent1" w:themeFillTint="33"/>
            <w:hideMark/>
          </w:tcPr>
          <w:p w14:paraId="050B79CB"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imes New Roman" w:hAnsi="Verdana" w:cs="Calibri"/>
                <w:color w:val="000000"/>
                <w:sz w:val="18"/>
                <w:szCs w:val="18"/>
                <w:lang w:val="bg-BG"/>
              </w:rPr>
              <w:t xml:space="preserve">BG161PO004-2.0.01-0015 </w:t>
            </w:r>
            <w:r w:rsidRPr="00FB11B0">
              <w:rPr>
                <w:rFonts w:ascii="Verdana" w:eastAsiaTheme="minorHAnsi" w:hAnsi="Verdana" w:cs="TimesNewRomanPS-ItalicMT"/>
                <w:sz w:val="18"/>
                <w:szCs w:val="18"/>
              </w:rPr>
              <w:t xml:space="preserve">“Construction of </w:t>
            </w:r>
            <w:proofErr w:type="spellStart"/>
            <w:r w:rsidRPr="00FB11B0">
              <w:rPr>
                <w:rFonts w:ascii="Verdana" w:eastAsiaTheme="minorHAnsi" w:hAnsi="Verdana" w:cs="TimesNewRomanPS-ItalicMT"/>
                <w:sz w:val="18"/>
                <w:szCs w:val="18"/>
              </w:rPr>
              <w:t>Kalotina</w:t>
            </w:r>
            <w:proofErr w:type="spellEnd"/>
            <w:r w:rsidRPr="00FB11B0">
              <w:rPr>
                <w:rFonts w:ascii="Verdana" w:eastAsiaTheme="minorHAnsi" w:hAnsi="Verdana" w:cs="TimesNewRomanPS-ItalicMT"/>
                <w:sz w:val="18"/>
                <w:szCs w:val="18"/>
              </w:rPr>
              <w:t xml:space="preserve"> MW – Sofia - Lot 1: “Sofia Ring Road's Western Arc”</w:t>
            </w:r>
          </w:p>
        </w:tc>
        <w:tc>
          <w:tcPr>
            <w:tcW w:w="1749" w:type="pct"/>
            <w:shd w:val="clear" w:color="auto" w:fill="auto"/>
            <w:hideMark/>
          </w:tcPr>
          <w:p w14:paraId="244C0D8E"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proofErr w:type="spellStart"/>
            <w:r w:rsidRPr="00FB11B0">
              <w:rPr>
                <w:rFonts w:ascii="Verdana" w:eastAsia="Times New Roman" w:hAnsi="Verdana" w:cs="Calibri"/>
                <w:color w:val="000000"/>
                <w:sz w:val="18"/>
                <w:szCs w:val="18"/>
                <w:lang w:val="bg-BG"/>
              </w:rPr>
              <w:t>Western</w:t>
            </w:r>
            <w:proofErr w:type="spellEnd"/>
            <w:r w:rsidRPr="00FB11B0">
              <w:rPr>
                <w:rFonts w:ascii="Verdana" w:eastAsia="Times New Roman" w:hAnsi="Verdana" w:cs="Calibri"/>
                <w:color w:val="000000"/>
                <w:sz w:val="18"/>
                <w:szCs w:val="18"/>
                <w:lang w:val="bg-BG"/>
              </w:rPr>
              <w:t xml:space="preserve"> </w:t>
            </w:r>
            <w:proofErr w:type="spellStart"/>
            <w:r w:rsidRPr="00FB11B0">
              <w:rPr>
                <w:rFonts w:ascii="Verdana" w:eastAsia="Times New Roman" w:hAnsi="Verdana" w:cs="Calibri"/>
                <w:color w:val="000000"/>
                <w:sz w:val="18"/>
                <w:szCs w:val="18"/>
                <w:lang w:val="bg-BG"/>
              </w:rPr>
              <w:t>Arc</w:t>
            </w:r>
            <w:proofErr w:type="spellEnd"/>
            <w:r w:rsidRPr="00FB11B0">
              <w:rPr>
                <w:rFonts w:ascii="Verdana" w:eastAsia="Times New Roman" w:hAnsi="Verdana" w:cs="Calibri"/>
                <w:color w:val="000000"/>
                <w:sz w:val="18"/>
                <w:szCs w:val="18"/>
                <w:lang w:val="bg-BG"/>
              </w:rPr>
              <w:t xml:space="preserve"> </w:t>
            </w:r>
            <w:proofErr w:type="spellStart"/>
            <w:r w:rsidRPr="00FB11B0">
              <w:rPr>
                <w:rFonts w:ascii="Verdana" w:eastAsia="Times New Roman" w:hAnsi="Verdana" w:cs="Calibri"/>
                <w:color w:val="000000"/>
                <w:sz w:val="18"/>
                <w:szCs w:val="18"/>
                <w:lang w:val="bg-BG"/>
              </w:rPr>
              <w:t>of</w:t>
            </w:r>
            <w:proofErr w:type="spellEnd"/>
            <w:r w:rsidRPr="00FB11B0">
              <w:rPr>
                <w:rFonts w:ascii="Verdana" w:eastAsia="Times New Roman" w:hAnsi="Verdana" w:cs="Calibri"/>
                <w:color w:val="000000"/>
                <w:sz w:val="18"/>
                <w:szCs w:val="18"/>
                <w:lang w:val="bg-BG"/>
              </w:rPr>
              <w:t xml:space="preserve"> S</w:t>
            </w:r>
            <w:r w:rsidRPr="00FB11B0">
              <w:rPr>
                <w:rFonts w:ascii="Verdana" w:eastAsia="Times New Roman" w:hAnsi="Verdana" w:cs="Calibri"/>
                <w:color w:val="000000"/>
                <w:sz w:val="18"/>
                <w:szCs w:val="18"/>
              </w:rPr>
              <w:t>RR</w:t>
            </w:r>
          </w:p>
        </w:tc>
      </w:tr>
      <w:tr w:rsidR="00FB11B0" w:rsidRPr="00FB11B0" w14:paraId="0C48E065" w14:textId="77777777" w:rsidTr="00AC2E19">
        <w:trPr>
          <w:trHeight w:val="285"/>
        </w:trPr>
        <w:tc>
          <w:tcPr>
            <w:tcW w:w="3251" w:type="pct"/>
            <w:shd w:val="clear" w:color="auto" w:fill="D9DFEF" w:themeFill="accent1" w:themeFillTint="33"/>
            <w:hideMark/>
          </w:tcPr>
          <w:p w14:paraId="5D8AB25B"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imes New Roman" w:hAnsi="Verdana" w:cs="Calibri"/>
                <w:color w:val="000000"/>
                <w:sz w:val="18"/>
                <w:szCs w:val="18"/>
                <w:lang w:val="bg-BG"/>
              </w:rPr>
              <w:t xml:space="preserve">BG161PO004-2.0.01-0017 </w:t>
            </w:r>
            <w:r w:rsidRPr="00FB11B0">
              <w:rPr>
                <w:rFonts w:ascii="Verdana" w:eastAsia="Times New Roman" w:hAnsi="Verdana" w:cs="Calibri"/>
                <w:color w:val="000000"/>
                <w:sz w:val="18"/>
                <w:szCs w:val="18"/>
                <w:lang w:val="en-US"/>
              </w:rPr>
              <w:t>Bypass of Gabrovo</w:t>
            </w:r>
          </w:p>
        </w:tc>
        <w:tc>
          <w:tcPr>
            <w:tcW w:w="1749" w:type="pct"/>
            <w:shd w:val="clear" w:color="auto" w:fill="auto"/>
            <w:hideMark/>
          </w:tcPr>
          <w:p w14:paraId="2CE946AB"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proofErr w:type="spellStart"/>
            <w:r w:rsidRPr="00FB11B0">
              <w:rPr>
                <w:rFonts w:ascii="Verdana" w:eastAsia="Times New Roman" w:hAnsi="Verdana" w:cs="Calibri"/>
                <w:color w:val="000000"/>
                <w:sz w:val="18"/>
                <w:szCs w:val="18"/>
                <w:lang w:val="bg-BG"/>
              </w:rPr>
              <w:t>Bypass</w:t>
            </w:r>
            <w:proofErr w:type="spellEnd"/>
            <w:r w:rsidRPr="00FB11B0">
              <w:rPr>
                <w:rFonts w:ascii="Verdana" w:eastAsia="Times New Roman" w:hAnsi="Verdana" w:cs="Calibri"/>
                <w:color w:val="000000"/>
                <w:sz w:val="18"/>
                <w:szCs w:val="18"/>
              </w:rPr>
              <w:t xml:space="preserve"> road</w:t>
            </w:r>
            <w:r w:rsidRPr="00FB11B0">
              <w:rPr>
                <w:rFonts w:ascii="Verdana" w:eastAsia="Times New Roman" w:hAnsi="Verdana" w:cs="Calibri"/>
                <w:color w:val="000000"/>
                <w:sz w:val="18"/>
                <w:szCs w:val="18"/>
                <w:lang w:val="bg-BG"/>
              </w:rPr>
              <w:t xml:space="preserve"> </w:t>
            </w:r>
            <w:proofErr w:type="spellStart"/>
            <w:r w:rsidRPr="00FB11B0">
              <w:rPr>
                <w:rFonts w:ascii="Verdana" w:eastAsia="Times New Roman" w:hAnsi="Verdana" w:cs="Calibri"/>
                <w:color w:val="000000"/>
                <w:sz w:val="18"/>
                <w:szCs w:val="18"/>
                <w:lang w:val="bg-BG"/>
              </w:rPr>
              <w:t>of</w:t>
            </w:r>
            <w:proofErr w:type="spellEnd"/>
            <w:r w:rsidRPr="00FB11B0">
              <w:rPr>
                <w:rFonts w:ascii="Verdana" w:eastAsia="Times New Roman" w:hAnsi="Verdana" w:cs="Calibri"/>
                <w:color w:val="000000"/>
                <w:sz w:val="18"/>
                <w:szCs w:val="18"/>
                <w:lang w:val="bg-BG"/>
              </w:rPr>
              <w:t xml:space="preserve"> </w:t>
            </w:r>
            <w:proofErr w:type="spellStart"/>
            <w:r w:rsidRPr="00FB11B0">
              <w:rPr>
                <w:rFonts w:ascii="Verdana" w:eastAsia="Times New Roman" w:hAnsi="Verdana" w:cs="Calibri"/>
                <w:color w:val="000000"/>
                <w:sz w:val="18"/>
                <w:szCs w:val="18"/>
                <w:lang w:val="bg-BG"/>
              </w:rPr>
              <w:t>Gabrovo</w:t>
            </w:r>
            <w:proofErr w:type="spellEnd"/>
          </w:p>
        </w:tc>
      </w:tr>
      <w:tr w:rsidR="00FB11B0" w:rsidRPr="00FB11B0" w14:paraId="170D7F6A" w14:textId="77777777" w:rsidTr="00AC2E19">
        <w:trPr>
          <w:trHeight w:val="1320"/>
        </w:trPr>
        <w:tc>
          <w:tcPr>
            <w:tcW w:w="3251" w:type="pct"/>
            <w:shd w:val="clear" w:color="auto" w:fill="D9DFEF" w:themeFill="accent1" w:themeFillTint="33"/>
            <w:hideMark/>
          </w:tcPr>
          <w:p w14:paraId="62D54719" w14:textId="77777777" w:rsidR="00FB11B0" w:rsidRPr="00FB11B0" w:rsidRDefault="00FB11B0" w:rsidP="00FB11B0">
            <w:pPr>
              <w:autoSpaceDE w:val="0"/>
              <w:autoSpaceDN w:val="0"/>
              <w:adjustRightInd w:val="0"/>
              <w:spacing w:after="0" w:line="240" w:lineRule="auto"/>
              <w:jc w:val="both"/>
              <w:rPr>
                <w:rFonts w:ascii="Verdana" w:eastAsiaTheme="minorHAnsi" w:hAnsi="Verdana" w:cs="TimesNewRomanPS-ItalicMT"/>
                <w:sz w:val="18"/>
                <w:szCs w:val="18"/>
              </w:rPr>
            </w:pPr>
            <w:r w:rsidRPr="00FB11B0">
              <w:rPr>
                <w:rFonts w:ascii="Verdana" w:eastAsia="Times New Roman" w:hAnsi="Verdana" w:cs="Calibri"/>
                <w:color w:val="000000"/>
                <w:sz w:val="18"/>
                <w:szCs w:val="18"/>
                <w:lang w:val="bg-BG"/>
              </w:rPr>
              <w:t xml:space="preserve">BG161PO004-2.0.01-0020 </w:t>
            </w:r>
            <w:r w:rsidRPr="00FB11B0">
              <w:rPr>
                <w:rFonts w:ascii="Verdana" w:eastAsiaTheme="minorHAnsi" w:hAnsi="Verdana" w:cs="TimesNewRomanPS-ItalicMT"/>
                <w:sz w:val="18"/>
                <w:szCs w:val="18"/>
              </w:rPr>
              <w:t>Construction of large facilities and construction/reconstruction of engineering networks</w:t>
            </w:r>
          </w:p>
          <w:p w14:paraId="2B158411" w14:textId="77777777" w:rsidR="00FB11B0" w:rsidRPr="00FB11B0" w:rsidRDefault="00FB11B0" w:rsidP="00FB11B0">
            <w:pPr>
              <w:autoSpaceDE w:val="0"/>
              <w:autoSpaceDN w:val="0"/>
              <w:adjustRightInd w:val="0"/>
              <w:spacing w:after="0" w:line="240" w:lineRule="auto"/>
              <w:jc w:val="both"/>
              <w:rPr>
                <w:rFonts w:ascii="Verdana" w:eastAsiaTheme="minorHAnsi" w:hAnsi="Verdana" w:cs="TimesNewRomanPS-ItalicMT"/>
                <w:sz w:val="18"/>
                <w:szCs w:val="18"/>
              </w:rPr>
            </w:pPr>
            <w:r w:rsidRPr="00FB11B0">
              <w:rPr>
                <w:rFonts w:ascii="Verdana" w:eastAsiaTheme="minorHAnsi" w:hAnsi="Verdana" w:cs="TimesNewRomanPS-ItalicMT"/>
                <w:sz w:val="18"/>
                <w:szCs w:val="18"/>
              </w:rPr>
              <w:t>in the section of Road IІ-18 Sofia Ring Road - Southern Arc from km 41+137.87 to km</w:t>
            </w:r>
          </w:p>
          <w:p w14:paraId="73784EEC" w14:textId="77777777" w:rsidR="00FB11B0" w:rsidRPr="00FB11B0" w:rsidRDefault="00FB11B0" w:rsidP="00FB11B0">
            <w:pPr>
              <w:autoSpaceDE w:val="0"/>
              <w:autoSpaceDN w:val="0"/>
              <w:adjustRightInd w:val="0"/>
              <w:spacing w:after="0" w:line="240" w:lineRule="auto"/>
              <w:jc w:val="both"/>
              <w:rPr>
                <w:rFonts w:ascii="Verdana" w:eastAsiaTheme="minorHAnsi" w:hAnsi="Verdana" w:cs="TimesNewRomanPS-ItalicMT"/>
                <w:sz w:val="18"/>
                <w:szCs w:val="18"/>
              </w:rPr>
            </w:pPr>
            <w:r w:rsidRPr="00FB11B0">
              <w:rPr>
                <w:rFonts w:ascii="Verdana" w:eastAsiaTheme="minorHAnsi" w:hAnsi="Verdana" w:cs="TimesNewRomanPS-ItalicMT"/>
                <w:sz w:val="18"/>
                <w:szCs w:val="18"/>
              </w:rPr>
              <w:t>44+720 and road connection No.2 of Road Junction Mladost in the section from SRR to the</w:t>
            </w:r>
          </w:p>
          <w:p w14:paraId="6978B043"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heme="minorHAnsi" w:hAnsi="Verdana" w:cs="TimesNewRomanPS-ItalicMT"/>
                <w:sz w:val="18"/>
                <w:szCs w:val="18"/>
              </w:rPr>
              <w:t>beginning of the existing overhead bridge</w:t>
            </w:r>
          </w:p>
        </w:tc>
        <w:tc>
          <w:tcPr>
            <w:tcW w:w="1749" w:type="pct"/>
            <w:shd w:val="clear" w:color="auto" w:fill="auto"/>
            <w:hideMark/>
          </w:tcPr>
          <w:p w14:paraId="560EF658"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proofErr w:type="spellStart"/>
            <w:r w:rsidRPr="00FB11B0">
              <w:rPr>
                <w:rFonts w:ascii="Verdana" w:eastAsia="Times New Roman" w:hAnsi="Verdana" w:cs="Calibri"/>
                <w:color w:val="000000"/>
                <w:sz w:val="18"/>
                <w:szCs w:val="18"/>
                <w:lang w:val="bg-BG"/>
              </w:rPr>
              <w:t>Large</w:t>
            </w:r>
            <w:proofErr w:type="spellEnd"/>
            <w:r w:rsidRPr="00FB11B0">
              <w:rPr>
                <w:rFonts w:ascii="Verdana" w:eastAsia="Times New Roman" w:hAnsi="Verdana" w:cs="Calibri"/>
                <w:color w:val="000000"/>
                <w:sz w:val="18"/>
                <w:szCs w:val="18"/>
                <w:lang w:val="bg-BG"/>
              </w:rPr>
              <w:t xml:space="preserve"> </w:t>
            </w:r>
            <w:r w:rsidRPr="00FB11B0">
              <w:rPr>
                <w:rFonts w:ascii="Verdana" w:eastAsia="Times New Roman" w:hAnsi="Verdana" w:cs="Calibri"/>
                <w:color w:val="000000"/>
                <w:sz w:val="18"/>
                <w:szCs w:val="18"/>
                <w:lang w:val="en-US"/>
              </w:rPr>
              <w:t>SRR</w:t>
            </w:r>
            <w:r w:rsidRPr="00FB11B0">
              <w:rPr>
                <w:rFonts w:ascii="Verdana" w:eastAsia="Times New Roman" w:hAnsi="Verdana" w:cs="Calibri"/>
                <w:color w:val="000000"/>
                <w:sz w:val="18"/>
                <w:szCs w:val="18"/>
                <w:lang w:val="bg-BG"/>
              </w:rPr>
              <w:t xml:space="preserve"> </w:t>
            </w:r>
            <w:proofErr w:type="spellStart"/>
            <w:r w:rsidRPr="00FB11B0">
              <w:rPr>
                <w:rFonts w:ascii="Verdana" w:eastAsia="Times New Roman" w:hAnsi="Verdana" w:cs="Calibri"/>
                <w:color w:val="000000"/>
                <w:sz w:val="18"/>
                <w:szCs w:val="18"/>
                <w:lang w:val="bg-BG"/>
              </w:rPr>
              <w:t>facilities</w:t>
            </w:r>
            <w:proofErr w:type="spellEnd"/>
          </w:p>
        </w:tc>
      </w:tr>
      <w:tr w:rsidR="00FB11B0" w:rsidRPr="00FB11B0" w14:paraId="485358ED" w14:textId="77777777" w:rsidTr="00AC2E19">
        <w:trPr>
          <w:trHeight w:val="724"/>
        </w:trPr>
        <w:tc>
          <w:tcPr>
            <w:tcW w:w="3251" w:type="pct"/>
            <w:shd w:val="clear" w:color="auto" w:fill="D9DFEF" w:themeFill="accent1" w:themeFillTint="33"/>
            <w:hideMark/>
          </w:tcPr>
          <w:p w14:paraId="7BDDB921" w14:textId="77777777" w:rsidR="00FB11B0" w:rsidRPr="00FB11B0" w:rsidRDefault="00FB11B0" w:rsidP="00FB11B0">
            <w:pPr>
              <w:autoSpaceDE w:val="0"/>
              <w:autoSpaceDN w:val="0"/>
              <w:adjustRightInd w:val="0"/>
              <w:spacing w:after="0" w:line="240" w:lineRule="auto"/>
              <w:jc w:val="both"/>
              <w:rPr>
                <w:rFonts w:ascii="Verdana" w:eastAsiaTheme="minorHAnsi" w:hAnsi="Verdana" w:cs="TimesNewRomanPS-ItalicMT"/>
                <w:sz w:val="18"/>
                <w:szCs w:val="18"/>
              </w:rPr>
            </w:pPr>
            <w:r w:rsidRPr="00FB11B0">
              <w:rPr>
                <w:rFonts w:ascii="Verdana" w:eastAsia="Times New Roman" w:hAnsi="Verdana" w:cs="Calibri"/>
                <w:color w:val="000000"/>
                <w:sz w:val="18"/>
                <w:szCs w:val="18"/>
                <w:lang w:val="bg-BG"/>
              </w:rPr>
              <w:t xml:space="preserve">BG161PO004-2.0.01-0021 </w:t>
            </w:r>
            <w:r w:rsidRPr="00FB11B0">
              <w:rPr>
                <w:rFonts w:ascii="Verdana" w:eastAsiaTheme="minorHAnsi" w:hAnsi="Verdana" w:cs="TimesNewRomanPS-ItalicMT"/>
                <w:sz w:val="18"/>
                <w:szCs w:val="18"/>
              </w:rPr>
              <w:t xml:space="preserve">Modernisation of viaducts from </w:t>
            </w:r>
            <w:proofErr w:type="spellStart"/>
            <w:r w:rsidRPr="00FB11B0">
              <w:rPr>
                <w:rFonts w:ascii="Verdana" w:eastAsiaTheme="minorHAnsi" w:hAnsi="Verdana" w:cs="TimesNewRomanPS-ItalicMT"/>
                <w:sz w:val="18"/>
                <w:szCs w:val="18"/>
              </w:rPr>
              <w:t>Trakya</w:t>
            </w:r>
            <w:proofErr w:type="spellEnd"/>
            <w:r w:rsidRPr="00FB11B0">
              <w:rPr>
                <w:rFonts w:ascii="Verdana" w:eastAsiaTheme="minorHAnsi" w:hAnsi="Verdana" w:cs="TimesNewRomanPS-ItalicMT"/>
                <w:sz w:val="18"/>
                <w:szCs w:val="18"/>
              </w:rPr>
              <w:t xml:space="preserve"> MW and </w:t>
            </w:r>
            <w:proofErr w:type="spellStart"/>
            <w:r w:rsidRPr="00FB11B0">
              <w:rPr>
                <w:rFonts w:ascii="Verdana" w:eastAsiaTheme="minorHAnsi" w:hAnsi="Verdana" w:cs="TimesNewRomanPS-ItalicMT"/>
                <w:sz w:val="18"/>
                <w:szCs w:val="18"/>
              </w:rPr>
              <w:t>Hemus</w:t>
            </w:r>
            <w:proofErr w:type="spellEnd"/>
            <w:r w:rsidRPr="00FB11B0">
              <w:rPr>
                <w:rFonts w:ascii="Verdana" w:eastAsiaTheme="minorHAnsi" w:hAnsi="Verdana" w:cs="TimesNewRomanPS-ItalicMT"/>
                <w:sz w:val="18"/>
                <w:szCs w:val="18"/>
              </w:rPr>
              <w:t xml:space="preserve"> MW: - </w:t>
            </w:r>
            <w:proofErr w:type="spellStart"/>
            <w:r w:rsidRPr="00FB11B0">
              <w:rPr>
                <w:rFonts w:ascii="Verdana" w:eastAsiaTheme="minorHAnsi" w:hAnsi="Verdana" w:cs="TimesNewRomanPS-ItalicMT"/>
                <w:sz w:val="18"/>
                <w:szCs w:val="18"/>
              </w:rPr>
              <w:t>Trakya</w:t>
            </w:r>
            <w:proofErr w:type="spellEnd"/>
            <w:r w:rsidRPr="00FB11B0">
              <w:rPr>
                <w:rFonts w:ascii="Verdana" w:eastAsiaTheme="minorHAnsi" w:hAnsi="Verdana" w:cs="TimesNewRomanPS-ItalicMT"/>
                <w:sz w:val="18"/>
                <w:szCs w:val="18"/>
              </w:rPr>
              <w:t xml:space="preserve"> MW, at km 61+327;</w:t>
            </w:r>
          </w:p>
          <w:p w14:paraId="04142CF7"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heme="minorHAnsi" w:hAnsi="Verdana" w:cs="TimesNewRomanPS-ItalicMT"/>
                <w:sz w:val="18"/>
                <w:szCs w:val="18"/>
              </w:rPr>
              <w:t xml:space="preserve">- Trakya MW, at km 67+027; - </w:t>
            </w:r>
            <w:proofErr w:type="spellStart"/>
            <w:r w:rsidRPr="00FB11B0">
              <w:rPr>
                <w:rFonts w:ascii="Verdana" w:eastAsiaTheme="minorHAnsi" w:hAnsi="Verdana" w:cs="TimesNewRomanPS-ItalicMT"/>
                <w:sz w:val="18"/>
                <w:szCs w:val="18"/>
              </w:rPr>
              <w:t>Hemus</w:t>
            </w:r>
            <w:proofErr w:type="spellEnd"/>
            <w:r w:rsidRPr="00FB11B0">
              <w:rPr>
                <w:rFonts w:ascii="Verdana" w:eastAsiaTheme="minorHAnsi" w:hAnsi="Verdana" w:cs="TimesNewRomanPS-ItalicMT"/>
                <w:sz w:val="18"/>
                <w:szCs w:val="18"/>
              </w:rPr>
              <w:t xml:space="preserve"> MW, at km 30+874</w:t>
            </w:r>
          </w:p>
        </w:tc>
        <w:tc>
          <w:tcPr>
            <w:tcW w:w="1749" w:type="pct"/>
            <w:shd w:val="clear" w:color="auto" w:fill="auto"/>
            <w:hideMark/>
          </w:tcPr>
          <w:p w14:paraId="150DAA84"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proofErr w:type="spellStart"/>
            <w:r w:rsidRPr="00FB11B0">
              <w:rPr>
                <w:rFonts w:ascii="Verdana" w:eastAsia="Times New Roman" w:hAnsi="Verdana" w:cs="Calibri"/>
                <w:color w:val="000000"/>
                <w:sz w:val="18"/>
                <w:szCs w:val="18"/>
                <w:lang w:val="bg-BG"/>
              </w:rPr>
              <w:t>Modernization</w:t>
            </w:r>
            <w:proofErr w:type="spellEnd"/>
            <w:r w:rsidRPr="00FB11B0">
              <w:rPr>
                <w:rFonts w:ascii="Verdana" w:eastAsia="Times New Roman" w:hAnsi="Verdana" w:cs="Calibri"/>
                <w:color w:val="000000"/>
                <w:sz w:val="18"/>
                <w:szCs w:val="18"/>
                <w:lang w:val="bg-BG"/>
              </w:rPr>
              <w:t xml:space="preserve"> </w:t>
            </w:r>
            <w:proofErr w:type="spellStart"/>
            <w:r w:rsidRPr="00FB11B0">
              <w:rPr>
                <w:rFonts w:ascii="Verdana" w:eastAsia="Times New Roman" w:hAnsi="Verdana" w:cs="Calibri"/>
                <w:color w:val="000000"/>
                <w:sz w:val="18"/>
                <w:szCs w:val="18"/>
                <w:lang w:val="bg-BG"/>
              </w:rPr>
              <w:t>of</w:t>
            </w:r>
            <w:proofErr w:type="spellEnd"/>
            <w:r w:rsidRPr="00FB11B0">
              <w:rPr>
                <w:rFonts w:ascii="Verdana" w:eastAsia="Times New Roman" w:hAnsi="Verdana" w:cs="Calibri"/>
                <w:color w:val="000000"/>
                <w:sz w:val="18"/>
                <w:szCs w:val="18"/>
                <w:lang w:val="bg-BG"/>
              </w:rPr>
              <w:t xml:space="preserve"> </w:t>
            </w:r>
            <w:proofErr w:type="spellStart"/>
            <w:r w:rsidRPr="00FB11B0">
              <w:rPr>
                <w:rFonts w:ascii="Verdana" w:eastAsia="Times New Roman" w:hAnsi="Verdana" w:cs="Calibri"/>
                <w:color w:val="000000"/>
                <w:sz w:val="18"/>
                <w:szCs w:val="18"/>
                <w:lang w:val="bg-BG"/>
              </w:rPr>
              <w:t>viaducts</w:t>
            </w:r>
            <w:proofErr w:type="spellEnd"/>
          </w:p>
        </w:tc>
      </w:tr>
      <w:tr w:rsidR="00FB11B0" w:rsidRPr="00FB11B0" w14:paraId="5F5577EC" w14:textId="77777777" w:rsidTr="00AC2E19">
        <w:trPr>
          <w:trHeight w:val="858"/>
        </w:trPr>
        <w:tc>
          <w:tcPr>
            <w:tcW w:w="3251" w:type="pct"/>
            <w:shd w:val="clear" w:color="auto" w:fill="D9DFEF" w:themeFill="accent1" w:themeFillTint="33"/>
            <w:hideMark/>
          </w:tcPr>
          <w:p w14:paraId="4087672C" w14:textId="77777777" w:rsidR="00FB11B0" w:rsidRPr="00FB11B0" w:rsidRDefault="00FB11B0" w:rsidP="00FB11B0">
            <w:pPr>
              <w:autoSpaceDE w:val="0"/>
              <w:autoSpaceDN w:val="0"/>
              <w:adjustRightInd w:val="0"/>
              <w:spacing w:after="0" w:line="240" w:lineRule="auto"/>
              <w:jc w:val="both"/>
              <w:rPr>
                <w:rFonts w:ascii="Verdana" w:eastAsiaTheme="minorHAnsi" w:hAnsi="Verdana" w:cs="TimesNewRomanPS-ItalicMT"/>
                <w:sz w:val="18"/>
                <w:szCs w:val="18"/>
              </w:rPr>
            </w:pPr>
            <w:r w:rsidRPr="00FB11B0">
              <w:rPr>
                <w:rFonts w:ascii="Verdana" w:eastAsia="Times New Roman" w:hAnsi="Verdana" w:cs="Calibri"/>
                <w:color w:val="000000"/>
                <w:sz w:val="18"/>
                <w:szCs w:val="18"/>
                <w:lang w:val="bg-BG"/>
              </w:rPr>
              <w:t xml:space="preserve">BG161PО004-3.0.01-0001 </w:t>
            </w:r>
            <w:r w:rsidRPr="00FB11B0">
              <w:rPr>
                <w:rFonts w:ascii="Verdana" w:eastAsiaTheme="minorHAnsi" w:hAnsi="Verdana" w:cs="TimesNewRomanPS-ItalicMT"/>
                <w:sz w:val="18"/>
                <w:szCs w:val="18"/>
              </w:rPr>
              <w:t>“Project for extension of Sofia Metro: Stage 1 - ІІ Metro diameter: Section “Road Junction</w:t>
            </w:r>
          </w:p>
          <w:p w14:paraId="258DCC1E"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heme="minorHAnsi" w:hAnsi="Verdana" w:cs="TimesNewRomanPS-ItalicMT"/>
                <w:sz w:val="18"/>
                <w:szCs w:val="18"/>
              </w:rPr>
              <w:t xml:space="preserve">Nadezhda (MS 5-II) - </w:t>
            </w:r>
            <w:proofErr w:type="spellStart"/>
            <w:r w:rsidRPr="00FB11B0">
              <w:rPr>
                <w:rFonts w:ascii="Verdana" w:eastAsiaTheme="minorHAnsi" w:hAnsi="Verdana" w:cs="TimesNewRomanPS-ItalicMT"/>
                <w:sz w:val="18"/>
                <w:szCs w:val="18"/>
              </w:rPr>
              <w:t>Cherni</w:t>
            </w:r>
            <w:proofErr w:type="spellEnd"/>
            <w:r w:rsidRPr="00FB11B0">
              <w:rPr>
                <w:rFonts w:ascii="Verdana" w:eastAsiaTheme="minorHAnsi" w:hAnsi="Verdana" w:cs="TimesNewRomanPS-ItalicMT"/>
                <w:sz w:val="18"/>
                <w:szCs w:val="18"/>
              </w:rPr>
              <w:t xml:space="preserve"> </w:t>
            </w:r>
            <w:proofErr w:type="spellStart"/>
            <w:r w:rsidRPr="00FB11B0">
              <w:rPr>
                <w:rFonts w:ascii="Verdana" w:eastAsiaTheme="minorHAnsi" w:hAnsi="Verdana" w:cs="TimesNewRomanPS-ItalicMT"/>
                <w:sz w:val="18"/>
                <w:szCs w:val="18"/>
              </w:rPr>
              <w:t>Vrah</w:t>
            </w:r>
            <w:proofErr w:type="spellEnd"/>
            <w:r w:rsidRPr="00FB11B0">
              <w:rPr>
                <w:rFonts w:ascii="Verdana" w:eastAsiaTheme="minorHAnsi" w:hAnsi="Verdana" w:cs="TimesNewRomanPS-ItalicMT"/>
                <w:sz w:val="18"/>
                <w:szCs w:val="18"/>
              </w:rPr>
              <w:t xml:space="preserve"> Blvd.”</w:t>
            </w:r>
          </w:p>
        </w:tc>
        <w:tc>
          <w:tcPr>
            <w:tcW w:w="1749" w:type="pct"/>
            <w:shd w:val="clear" w:color="auto" w:fill="auto"/>
            <w:hideMark/>
          </w:tcPr>
          <w:p w14:paraId="4BDC592A"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imes New Roman" w:hAnsi="Verdana" w:cs="Calibri"/>
                <w:color w:val="000000"/>
                <w:sz w:val="18"/>
                <w:szCs w:val="18"/>
                <w:lang w:val="bg-BG"/>
              </w:rPr>
              <w:t xml:space="preserve">Metro </w:t>
            </w:r>
            <w:r w:rsidRPr="00FB11B0">
              <w:rPr>
                <w:rFonts w:ascii="Verdana" w:eastAsia="Times New Roman" w:hAnsi="Verdana" w:cs="Calibri"/>
                <w:color w:val="000000"/>
                <w:sz w:val="18"/>
                <w:szCs w:val="18"/>
                <w:lang w:val="en-US"/>
              </w:rPr>
              <w:t>E</w:t>
            </w:r>
            <w:proofErr w:type="spellStart"/>
            <w:r w:rsidRPr="00FB11B0">
              <w:rPr>
                <w:rFonts w:ascii="Verdana" w:eastAsia="Times New Roman" w:hAnsi="Verdana" w:cs="Calibri"/>
                <w:color w:val="000000"/>
                <w:sz w:val="18"/>
                <w:szCs w:val="18"/>
                <w:lang w:val="bg-BG"/>
              </w:rPr>
              <w:t>xtension</w:t>
            </w:r>
            <w:proofErr w:type="spellEnd"/>
            <w:r w:rsidRPr="00FB11B0">
              <w:rPr>
                <w:rFonts w:ascii="Verdana" w:eastAsia="Times New Roman" w:hAnsi="Verdana" w:cs="Calibri"/>
                <w:color w:val="000000"/>
                <w:sz w:val="18"/>
                <w:szCs w:val="18"/>
                <w:lang w:val="bg-BG"/>
              </w:rPr>
              <w:t xml:space="preserve">, </w:t>
            </w:r>
            <w:r w:rsidRPr="00FB11B0">
              <w:rPr>
                <w:rFonts w:ascii="Verdana" w:eastAsia="Times New Roman" w:hAnsi="Verdana" w:cs="Calibri"/>
                <w:color w:val="000000"/>
                <w:sz w:val="18"/>
                <w:szCs w:val="18"/>
                <w:lang w:val="en-US"/>
              </w:rPr>
              <w:t>Line</w:t>
            </w:r>
            <w:r w:rsidRPr="00FB11B0">
              <w:rPr>
                <w:rFonts w:ascii="Verdana" w:eastAsia="Times New Roman" w:hAnsi="Verdana" w:cs="Calibri"/>
                <w:color w:val="000000"/>
                <w:sz w:val="18"/>
                <w:szCs w:val="18"/>
                <w:lang w:val="bg-BG"/>
              </w:rPr>
              <w:t xml:space="preserve"> 2, </w:t>
            </w:r>
            <w:r w:rsidRPr="00FB11B0">
              <w:rPr>
                <w:rFonts w:ascii="Verdana" w:eastAsia="Times New Roman" w:hAnsi="Verdana" w:cs="Calibri"/>
                <w:color w:val="000000"/>
                <w:sz w:val="18"/>
                <w:szCs w:val="18"/>
                <w:lang w:val="en-US"/>
              </w:rPr>
              <w:t>Stage</w:t>
            </w:r>
            <w:r w:rsidRPr="00FB11B0">
              <w:rPr>
                <w:rFonts w:ascii="Verdana" w:eastAsia="Times New Roman" w:hAnsi="Verdana" w:cs="Calibri"/>
                <w:color w:val="000000"/>
                <w:sz w:val="18"/>
                <w:szCs w:val="18"/>
                <w:lang w:val="bg-BG"/>
              </w:rPr>
              <w:t xml:space="preserve"> І</w:t>
            </w:r>
          </w:p>
        </w:tc>
      </w:tr>
      <w:tr w:rsidR="00FB11B0" w:rsidRPr="00FB11B0" w14:paraId="40A4A668" w14:textId="77777777" w:rsidTr="00AC2E19">
        <w:trPr>
          <w:trHeight w:val="570"/>
        </w:trPr>
        <w:tc>
          <w:tcPr>
            <w:tcW w:w="3251" w:type="pct"/>
            <w:shd w:val="clear" w:color="auto" w:fill="D9DFEF" w:themeFill="accent1" w:themeFillTint="33"/>
            <w:hideMark/>
          </w:tcPr>
          <w:p w14:paraId="6CE68680" w14:textId="77777777" w:rsidR="00FB11B0" w:rsidRPr="00FB11B0" w:rsidRDefault="00FB11B0" w:rsidP="00FB11B0">
            <w:pPr>
              <w:autoSpaceDE w:val="0"/>
              <w:autoSpaceDN w:val="0"/>
              <w:adjustRightInd w:val="0"/>
              <w:spacing w:after="0" w:line="240" w:lineRule="auto"/>
              <w:jc w:val="both"/>
              <w:rPr>
                <w:rFonts w:ascii="Verdana" w:eastAsiaTheme="minorHAnsi" w:hAnsi="Verdana" w:cs="TimesNewRomanPS-ItalicMT"/>
                <w:sz w:val="18"/>
                <w:szCs w:val="18"/>
              </w:rPr>
            </w:pPr>
            <w:r w:rsidRPr="00FB11B0">
              <w:rPr>
                <w:rFonts w:ascii="Verdana" w:eastAsia="Times New Roman" w:hAnsi="Verdana" w:cs="Calibri"/>
                <w:color w:val="000000"/>
                <w:sz w:val="18"/>
                <w:szCs w:val="18"/>
                <w:lang w:val="bg-BG"/>
              </w:rPr>
              <w:lastRenderedPageBreak/>
              <w:t xml:space="preserve">В0161Р0004-3.0.01-0005 </w:t>
            </w:r>
            <w:r w:rsidRPr="00FB11B0">
              <w:rPr>
                <w:rFonts w:ascii="Verdana" w:eastAsiaTheme="minorHAnsi" w:hAnsi="Verdana" w:cs="TimesNewRomanPS-ItalicMT"/>
                <w:sz w:val="18"/>
                <w:szCs w:val="18"/>
              </w:rPr>
              <w:t>“Project for extension of Sofia Metro Stage III, Lot 1 “</w:t>
            </w:r>
            <w:proofErr w:type="spellStart"/>
            <w:r w:rsidRPr="00FB11B0">
              <w:rPr>
                <w:rFonts w:ascii="Verdana" w:eastAsiaTheme="minorHAnsi" w:hAnsi="Verdana" w:cs="TimesNewRomanPS-ItalicMT"/>
                <w:sz w:val="18"/>
                <w:szCs w:val="18"/>
              </w:rPr>
              <w:t>Tsarigradsko</w:t>
            </w:r>
            <w:proofErr w:type="spellEnd"/>
            <w:r w:rsidRPr="00FB11B0">
              <w:rPr>
                <w:rFonts w:ascii="Verdana" w:eastAsiaTheme="minorHAnsi" w:hAnsi="Verdana" w:cs="TimesNewRomanPS-ItalicMT"/>
                <w:sz w:val="18"/>
                <w:szCs w:val="18"/>
              </w:rPr>
              <w:t xml:space="preserve"> </w:t>
            </w:r>
            <w:proofErr w:type="spellStart"/>
            <w:r w:rsidRPr="00FB11B0">
              <w:rPr>
                <w:rFonts w:ascii="Verdana" w:eastAsiaTheme="minorHAnsi" w:hAnsi="Verdana" w:cs="TimesNewRomanPS-ItalicMT"/>
                <w:sz w:val="18"/>
                <w:szCs w:val="18"/>
              </w:rPr>
              <w:t>Shose</w:t>
            </w:r>
            <w:proofErr w:type="spellEnd"/>
            <w:r w:rsidRPr="00FB11B0">
              <w:rPr>
                <w:rFonts w:ascii="Verdana" w:eastAsiaTheme="minorHAnsi" w:hAnsi="Verdana" w:cs="TimesNewRomanPS-ItalicMT"/>
                <w:sz w:val="18"/>
                <w:szCs w:val="18"/>
              </w:rPr>
              <w:t xml:space="preserve"> - Sofia Airport”</w:t>
            </w:r>
          </w:p>
          <w:p w14:paraId="62C2E0AC"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heme="minorHAnsi" w:hAnsi="Verdana" w:cs="TimesNewRomanPS-ItalicMT"/>
                <w:sz w:val="18"/>
                <w:szCs w:val="18"/>
              </w:rPr>
              <w:t>and Lot 2 Mladost 1 - Business Park in Mladost 4”</w:t>
            </w:r>
            <w:r w:rsidRPr="00FB11B0">
              <w:rPr>
                <w:rFonts w:ascii="Verdana" w:eastAsia="Times New Roman" w:hAnsi="Verdana" w:cs="Calibri"/>
                <w:color w:val="000000"/>
                <w:sz w:val="18"/>
                <w:szCs w:val="18"/>
                <w:lang w:val="bg-BG"/>
              </w:rPr>
              <w:t xml:space="preserve"> "</w:t>
            </w:r>
          </w:p>
        </w:tc>
        <w:tc>
          <w:tcPr>
            <w:tcW w:w="1749" w:type="pct"/>
            <w:shd w:val="clear" w:color="auto" w:fill="auto"/>
            <w:hideMark/>
          </w:tcPr>
          <w:p w14:paraId="69321035"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imes New Roman" w:hAnsi="Verdana" w:cs="Calibri"/>
                <w:color w:val="000000"/>
                <w:sz w:val="18"/>
                <w:szCs w:val="18"/>
                <w:lang w:val="en-US"/>
              </w:rPr>
              <w:t>Metro Extension</w:t>
            </w:r>
            <w:r w:rsidRPr="00FB11B0">
              <w:rPr>
                <w:rFonts w:ascii="Verdana" w:eastAsia="Times New Roman" w:hAnsi="Verdana" w:cs="Calibri"/>
                <w:color w:val="000000"/>
                <w:sz w:val="18"/>
                <w:szCs w:val="18"/>
                <w:lang w:val="bg-BG"/>
              </w:rPr>
              <w:t xml:space="preserve">, </w:t>
            </w:r>
            <w:r w:rsidRPr="00FB11B0">
              <w:rPr>
                <w:rFonts w:ascii="Verdana" w:eastAsia="Times New Roman" w:hAnsi="Verdana" w:cs="Calibri"/>
                <w:color w:val="000000"/>
                <w:sz w:val="18"/>
                <w:szCs w:val="18"/>
                <w:lang w:val="en-US"/>
              </w:rPr>
              <w:t>Line</w:t>
            </w:r>
            <w:r w:rsidRPr="00FB11B0">
              <w:rPr>
                <w:rFonts w:ascii="Verdana" w:eastAsia="Times New Roman" w:hAnsi="Verdana" w:cs="Calibri"/>
                <w:color w:val="000000"/>
                <w:sz w:val="18"/>
                <w:szCs w:val="18"/>
                <w:lang w:val="bg-BG"/>
              </w:rPr>
              <w:t xml:space="preserve"> 1, </w:t>
            </w:r>
            <w:r w:rsidRPr="00FB11B0">
              <w:rPr>
                <w:rFonts w:ascii="Verdana" w:eastAsia="Times New Roman" w:hAnsi="Verdana" w:cs="Calibri"/>
                <w:color w:val="000000"/>
                <w:sz w:val="18"/>
                <w:szCs w:val="18"/>
                <w:lang w:val="en-US"/>
              </w:rPr>
              <w:t>Stage</w:t>
            </w:r>
            <w:r w:rsidRPr="00FB11B0">
              <w:rPr>
                <w:rFonts w:ascii="Verdana" w:eastAsia="Times New Roman" w:hAnsi="Verdana" w:cs="Calibri"/>
                <w:color w:val="000000"/>
                <w:sz w:val="18"/>
                <w:szCs w:val="18"/>
                <w:lang w:val="bg-BG"/>
              </w:rPr>
              <w:t xml:space="preserve"> IIІ</w:t>
            </w:r>
          </w:p>
        </w:tc>
      </w:tr>
      <w:tr w:rsidR="00FB11B0" w:rsidRPr="00FB11B0" w14:paraId="38FC9E03" w14:textId="77777777" w:rsidTr="00AC2E19">
        <w:trPr>
          <w:trHeight w:val="570"/>
        </w:trPr>
        <w:tc>
          <w:tcPr>
            <w:tcW w:w="3251" w:type="pct"/>
            <w:shd w:val="clear" w:color="auto" w:fill="D9DFEF" w:themeFill="accent1" w:themeFillTint="33"/>
            <w:hideMark/>
          </w:tcPr>
          <w:p w14:paraId="0790C5DE" w14:textId="77777777" w:rsidR="00FB11B0" w:rsidRPr="00FB11B0" w:rsidRDefault="00FB11B0" w:rsidP="00FB11B0">
            <w:pPr>
              <w:autoSpaceDE w:val="0"/>
              <w:autoSpaceDN w:val="0"/>
              <w:adjustRightInd w:val="0"/>
              <w:spacing w:after="0" w:line="240" w:lineRule="auto"/>
              <w:jc w:val="both"/>
              <w:rPr>
                <w:rFonts w:ascii="Verdana" w:eastAsiaTheme="minorHAnsi" w:hAnsi="Verdana" w:cs="TimesNewRomanPS-ItalicMT"/>
                <w:sz w:val="18"/>
                <w:szCs w:val="18"/>
              </w:rPr>
            </w:pPr>
            <w:r w:rsidRPr="00FB11B0">
              <w:rPr>
                <w:rFonts w:ascii="Verdana" w:eastAsia="Times New Roman" w:hAnsi="Verdana" w:cs="Calibri"/>
                <w:color w:val="000000"/>
                <w:sz w:val="18"/>
                <w:szCs w:val="18"/>
                <w:lang w:val="bg-BG"/>
              </w:rPr>
              <w:t xml:space="preserve">В0161Р0004-3.0.01-0007 </w:t>
            </w:r>
            <w:r w:rsidRPr="00FB11B0">
              <w:rPr>
                <w:rFonts w:ascii="Verdana" w:eastAsiaTheme="minorHAnsi" w:hAnsi="Verdana" w:cs="TimesNewRomanPS-ItalicMT"/>
                <w:sz w:val="18"/>
                <w:szCs w:val="18"/>
              </w:rPr>
              <w:t>Construction of Inter-modal Terminal in Southern Central Section of Planning in</w:t>
            </w:r>
          </w:p>
          <w:p w14:paraId="58038035"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heme="minorHAnsi" w:hAnsi="Verdana" w:cs="TimesNewRomanPS-ItalicMT"/>
                <w:sz w:val="18"/>
                <w:szCs w:val="18"/>
              </w:rPr>
              <w:t>Bulgaria – Plovdiv“</w:t>
            </w:r>
          </w:p>
        </w:tc>
        <w:tc>
          <w:tcPr>
            <w:tcW w:w="1749" w:type="pct"/>
            <w:shd w:val="clear" w:color="auto" w:fill="auto"/>
            <w:hideMark/>
          </w:tcPr>
          <w:p w14:paraId="195A51B0" w14:textId="77777777" w:rsidR="00FB11B0" w:rsidRPr="00FB11B0" w:rsidRDefault="00FB11B0" w:rsidP="00FB11B0">
            <w:pPr>
              <w:spacing w:after="0" w:line="240" w:lineRule="auto"/>
              <w:jc w:val="both"/>
              <w:rPr>
                <w:rFonts w:ascii="Verdana" w:eastAsia="Times New Roman" w:hAnsi="Verdana" w:cs="Calibri"/>
                <w:color w:val="000000"/>
                <w:sz w:val="18"/>
                <w:szCs w:val="18"/>
                <w:lang w:val="en-US"/>
              </w:rPr>
            </w:pPr>
            <w:r w:rsidRPr="00FB11B0">
              <w:rPr>
                <w:rFonts w:ascii="Verdana" w:eastAsia="Times New Roman" w:hAnsi="Verdana" w:cs="Calibri"/>
                <w:color w:val="000000"/>
                <w:sz w:val="18"/>
                <w:szCs w:val="18"/>
                <w:lang w:val="en-US"/>
              </w:rPr>
              <w:t>I</w:t>
            </w:r>
            <w:proofErr w:type="spellStart"/>
            <w:r w:rsidRPr="00FB11B0">
              <w:rPr>
                <w:rFonts w:ascii="Verdana" w:eastAsia="Times New Roman" w:hAnsi="Verdana" w:cs="Calibri"/>
                <w:color w:val="000000"/>
                <w:sz w:val="18"/>
                <w:szCs w:val="18"/>
                <w:lang w:val="bg-BG"/>
              </w:rPr>
              <w:t>ntermodal</w:t>
            </w:r>
            <w:proofErr w:type="spellEnd"/>
            <w:r w:rsidRPr="00FB11B0">
              <w:rPr>
                <w:rFonts w:ascii="Verdana" w:eastAsia="Times New Roman" w:hAnsi="Verdana" w:cs="Calibri"/>
                <w:color w:val="000000"/>
                <w:sz w:val="18"/>
                <w:szCs w:val="18"/>
                <w:lang w:val="bg-BG"/>
              </w:rPr>
              <w:t xml:space="preserve"> </w:t>
            </w:r>
            <w:proofErr w:type="spellStart"/>
            <w:r w:rsidRPr="00FB11B0">
              <w:rPr>
                <w:rFonts w:ascii="Verdana" w:eastAsia="Times New Roman" w:hAnsi="Verdana" w:cs="Calibri"/>
                <w:color w:val="000000"/>
                <w:sz w:val="18"/>
                <w:szCs w:val="18"/>
                <w:lang w:val="bg-BG"/>
              </w:rPr>
              <w:t>terminal</w:t>
            </w:r>
            <w:proofErr w:type="spellEnd"/>
            <w:r w:rsidRPr="00FB11B0">
              <w:rPr>
                <w:rFonts w:ascii="Verdana" w:eastAsia="Times New Roman" w:hAnsi="Verdana" w:cs="Calibri"/>
                <w:color w:val="000000"/>
                <w:sz w:val="18"/>
                <w:szCs w:val="18"/>
                <w:lang w:val="en-US"/>
              </w:rPr>
              <w:t xml:space="preserve"> Plovdiv</w:t>
            </w:r>
          </w:p>
        </w:tc>
      </w:tr>
      <w:tr w:rsidR="00FB11B0" w:rsidRPr="00FB11B0" w14:paraId="7CE82F9B" w14:textId="77777777" w:rsidTr="00AC2E19">
        <w:trPr>
          <w:trHeight w:val="1140"/>
        </w:trPr>
        <w:tc>
          <w:tcPr>
            <w:tcW w:w="3251" w:type="pct"/>
            <w:shd w:val="clear" w:color="auto" w:fill="D9DFEF" w:themeFill="accent1" w:themeFillTint="33"/>
            <w:hideMark/>
          </w:tcPr>
          <w:p w14:paraId="4E46A118" w14:textId="77777777" w:rsidR="00FB11B0" w:rsidRPr="00FB11B0" w:rsidRDefault="00FB11B0" w:rsidP="00FB11B0">
            <w:pPr>
              <w:autoSpaceDE w:val="0"/>
              <w:autoSpaceDN w:val="0"/>
              <w:adjustRightInd w:val="0"/>
              <w:spacing w:after="0" w:line="240" w:lineRule="auto"/>
              <w:jc w:val="both"/>
              <w:rPr>
                <w:rFonts w:ascii="Verdana" w:eastAsiaTheme="minorHAnsi" w:hAnsi="Verdana" w:cs="TimesNewRomanPS-ItalicMT"/>
                <w:sz w:val="18"/>
                <w:szCs w:val="18"/>
              </w:rPr>
            </w:pPr>
            <w:r w:rsidRPr="00FB11B0">
              <w:rPr>
                <w:rFonts w:ascii="Verdana" w:eastAsia="Times New Roman" w:hAnsi="Verdana" w:cs="Calibri"/>
                <w:color w:val="000000"/>
                <w:sz w:val="18"/>
                <w:szCs w:val="18"/>
                <w:lang w:val="bg-BG"/>
              </w:rPr>
              <w:t xml:space="preserve">В0161Р0004-3.0.01-0008 </w:t>
            </w:r>
            <w:r w:rsidRPr="00FB11B0">
              <w:rPr>
                <w:rFonts w:ascii="Verdana" w:eastAsiaTheme="minorHAnsi" w:hAnsi="Verdana" w:cs="TimesNewRomanPS-ItalicMT"/>
                <w:sz w:val="18"/>
                <w:szCs w:val="18"/>
              </w:rPr>
              <w:t>“Rehabilitation of railway station complexes on TEN-T network – rehabilitation of railway</w:t>
            </w:r>
          </w:p>
          <w:p w14:paraId="069F04EB" w14:textId="77777777" w:rsidR="00FB11B0" w:rsidRPr="00FB11B0" w:rsidRDefault="00FB11B0" w:rsidP="00FB11B0">
            <w:pPr>
              <w:autoSpaceDE w:val="0"/>
              <w:autoSpaceDN w:val="0"/>
              <w:adjustRightInd w:val="0"/>
              <w:spacing w:after="0" w:line="240" w:lineRule="auto"/>
              <w:jc w:val="both"/>
              <w:rPr>
                <w:rFonts w:ascii="Verdana" w:eastAsiaTheme="minorHAnsi" w:hAnsi="Verdana" w:cs="TimesNewRomanPS-ItalicMT"/>
                <w:sz w:val="18"/>
                <w:szCs w:val="18"/>
              </w:rPr>
            </w:pPr>
            <w:r w:rsidRPr="00FB11B0">
              <w:rPr>
                <w:rFonts w:ascii="Verdana" w:eastAsiaTheme="minorHAnsi" w:hAnsi="Verdana" w:cs="TimesNewRomanPS-ItalicMT"/>
                <w:sz w:val="18"/>
                <w:szCs w:val="18"/>
              </w:rPr>
              <w:t>station complex Central Railway Station Sofia“, “Rehabilitation of railway station</w:t>
            </w:r>
          </w:p>
          <w:p w14:paraId="1D8C4DC4" w14:textId="77777777" w:rsidR="00FB11B0" w:rsidRPr="00FB11B0" w:rsidRDefault="00FB11B0" w:rsidP="00FB11B0">
            <w:pPr>
              <w:autoSpaceDE w:val="0"/>
              <w:autoSpaceDN w:val="0"/>
              <w:adjustRightInd w:val="0"/>
              <w:spacing w:after="0" w:line="240" w:lineRule="auto"/>
              <w:jc w:val="both"/>
              <w:rPr>
                <w:rFonts w:ascii="Verdana" w:eastAsiaTheme="minorHAnsi" w:hAnsi="Verdana" w:cs="TimesNewRomanPS-ItalicMT"/>
                <w:sz w:val="18"/>
                <w:szCs w:val="18"/>
              </w:rPr>
            </w:pPr>
            <w:r w:rsidRPr="00FB11B0">
              <w:rPr>
                <w:rFonts w:ascii="Verdana" w:eastAsiaTheme="minorHAnsi" w:hAnsi="Verdana" w:cs="TimesNewRomanPS-ItalicMT"/>
                <w:sz w:val="18"/>
                <w:szCs w:val="18"/>
              </w:rPr>
              <w:t xml:space="preserve">complex Railway Station </w:t>
            </w:r>
            <w:proofErr w:type="spellStart"/>
            <w:r w:rsidRPr="00FB11B0">
              <w:rPr>
                <w:rFonts w:ascii="Verdana" w:eastAsiaTheme="minorHAnsi" w:hAnsi="Verdana" w:cs="TimesNewRomanPS-ItalicMT"/>
                <w:sz w:val="18"/>
                <w:szCs w:val="18"/>
              </w:rPr>
              <w:t>Burgas</w:t>
            </w:r>
            <w:proofErr w:type="spellEnd"/>
            <w:r w:rsidRPr="00FB11B0">
              <w:rPr>
                <w:rFonts w:ascii="Verdana" w:eastAsiaTheme="minorHAnsi" w:hAnsi="Verdana" w:cs="TimesNewRomanPS-ItalicMT"/>
                <w:sz w:val="18"/>
                <w:szCs w:val="18"/>
              </w:rPr>
              <w:t>, Passengers”, “Reconstruction and renovation of</w:t>
            </w:r>
          </w:p>
          <w:p w14:paraId="2A9019FE"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heme="minorHAnsi" w:hAnsi="Verdana" w:cs="TimesNewRomanPS-ItalicMT"/>
                <w:sz w:val="18"/>
                <w:szCs w:val="18"/>
              </w:rPr>
              <w:t xml:space="preserve">passenger terminal in Railway Station </w:t>
            </w:r>
            <w:proofErr w:type="spellStart"/>
            <w:r w:rsidRPr="00FB11B0">
              <w:rPr>
                <w:rFonts w:ascii="Verdana" w:eastAsiaTheme="minorHAnsi" w:hAnsi="Verdana" w:cs="TimesNewRomanPS-ItalicMT"/>
                <w:sz w:val="18"/>
                <w:szCs w:val="18"/>
              </w:rPr>
              <w:t>Pazardzhik</w:t>
            </w:r>
            <w:proofErr w:type="spellEnd"/>
            <w:r w:rsidRPr="00FB11B0">
              <w:rPr>
                <w:rFonts w:ascii="Verdana" w:eastAsiaTheme="minorHAnsi" w:hAnsi="Verdana" w:cs="TimesNewRomanPS-ItalicMT"/>
                <w:sz w:val="18"/>
                <w:szCs w:val="18"/>
              </w:rPr>
              <w:t xml:space="preserve"> - Stage 2”</w:t>
            </w:r>
          </w:p>
        </w:tc>
        <w:tc>
          <w:tcPr>
            <w:tcW w:w="1749" w:type="pct"/>
            <w:shd w:val="clear" w:color="auto" w:fill="auto"/>
            <w:hideMark/>
          </w:tcPr>
          <w:p w14:paraId="7541EB2E" w14:textId="77777777" w:rsidR="00FB11B0" w:rsidRPr="00FB11B0" w:rsidRDefault="00FB11B0" w:rsidP="00FB11B0">
            <w:pPr>
              <w:spacing w:after="0" w:line="240" w:lineRule="auto"/>
              <w:jc w:val="both"/>
              <w:rPr>
                <w:rFonts w:ascii="Verdana" w:eastAsia="Times New Roman" w:hAnsi="Verdana" w:cs="Calibri"/>
                <w:color w:val="000000"/>
                <w:sz w:val="18"/>
                <w:szCs w:val="18"/>
                <w:lang w:val="en-US"/>
              </w:rPr>
            </w:pPr>
            <w:r w:rsidRPr="00FB11B0">
              <w:rPr>
                <w:rFonts w:ascii="Verdana" w:eastAsia="Times New Roman" w:hAnsi="Verdana" w:cs="Calibri"/>
                <w:color w:val="000000"/>
                <w:sz w:val="18"/>
                <w:szCs w:val="18"/>
                <w:lang w:val="en-US"/>
              </w:rPr>
              <w:t>Station complexes</w:t>
            </w:r>
          </w:p>
        </w:tc>
      </w:tr>
      <w:tr w:rsidR="00FB11B0" w:rsidRPr="00FB11B0" w14:paraId="598C3380" w14:textId="77777777" w:rsidTr="00AC2E19">
        <w:trPr>
          <w:trHeight w:val="855"/>
        </w:trPr>
        <w:tc>
          <w:tcPr>
            <w:tcW w:w="3251" w:type="pct"/>
            <w:shd w:val="clear" w:color="auto" w:fill="D9DFEF" w:themeFill="accent1" w:themeFillTint="33"/>
            <w:hideMark/>
          </w:tcPr>
          <w:p w14:paraId="72773CB9" w14:textId="77777777" w:rsidR="00FB11B0" w:rsidRPr="00FB11B0" w:rsidRDefault="00FB11B0" w:rsidP="00FB11B0">
            <w:pPr>
              <w:autoSpaceDE w:val="0"/>
              <w:autoSpaceDN w:val="0"/>
              <w:adjustRightInd w:val="0"/>
              <w:spacing w:after="0" w:line="240" w:lineRule="auto"/>
              <w:jc w:val="both"/>
              <w:rPr>
                <w:rFonts w:ascii="Verdana" w:eastAsiaTheme="minorHAnsi" w:hAnsi="Verdana" w:cs="TimesNewRomanPS-ItalicMT"/>
                <w:sz w:val="18"/>
                <w:szCs w:val="18"/>
              </w:rPr>
            </w:pPr>
            <w:r w:rsidRPr="00FB11B0">
              <w:rPr>
                <w:rFonts w:ascii="Verdana" w:eastAsia="Times New Roman" w:hAnsi="Verdana" w:cs="Calibri"/>
                <w:color w:val="000000"/>
                <w:sz w:val="18"/>
                <w:szCs w:val="18"/>
                <w:lang w:val="bg-BG"/>
              </w:rPr>
              <w:t xml:space="preserve">В0161Р0004-3.0.01-0009 </w:t>
            </w:r>
            <w:r w:rsidRPr="00FB11B0">
              <w:rPr>
                <w:rFonts w:ascii="Verdana" w:eastAsiaTheme="minorHAnsi" w:hAnsi="Verdana" w:cs="TimesNewRomanPS-ItalicMT"/>
                <w:sz w:val="18"/>
                <w:szCs w:val="18"/>
              </w:rPr>
              <w:t>Project for extension Line 2 of Sofia Metro, Section from MS James Boucher to MS</w:t>
            </w:r>
          </w:p>
          <w:p w14:paraId="6361894E"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proofErr w:type="spellStart"/>
            <w:r w:rsidRPr="00FB11B0">
              <w:rPr>
                <w:rFonts w:ascii="Verdana" w:eastAsiaTheme="minorHAnsi" w:hAnsi="Verdana" w:cs="TimesNewRomanPS-ItalicMT"/>
                <w:sz w:val="18"/>
                <w:szCs w:val="18"/>
              </w:rPr>
              <w:t>Vitosha</w:t>
            </w:r>
            <w:proofErr w:type="spellEnd"/>
            <w:r w:rsidRPr="00FB11B0">
              <w:rPr>
                <w:rFonts w:ascii="Verdana" w:eastAsiaTheme="minorHAnsi" w:hAnsi="Verdana" w:cs="TimesNewRomanPS-ItalicMT"/>
                <w:sz w:val="18"/>
                <w:szCs w:val="18"/>
              </w:rPr>
              <w:t xml:space="preserve"> - Phase 1</w:t>
            </w:r>
            <w:r w:rsidRPr="00FB11B0">
              <w:rPr>
                <w:rFonts w:ascii="Verdana" w:eastAsia="Times New Roman" w:hAnsi="Verdana" w:cs="Calibri"/>
                <w:color w:val="000000"/>
                <w:sz w:val="18"/>
                <w:szCs w:val="18"/>
                <w:lang w:val="bg-BG"/>
              </w:rPr>
              <w:t xml:space="preserve"> /MS II-11, </w:t>
            </w:r>
            <w:proofErr w:type="spellStart"/>
            <w:r w:rsidRPr="00FB11B0">
              <w:rPr>
                <w:rFonts w:ascii="Verdana" w:eastAsia="Times New Roman" w:hAnsi="Verdana" w:cs="Calibri"/>
                <w:color w:val="000000"/>
                <w:sz w:val="18"/>
                <w:szCs w:val="18"/>
                <w:lang w:val="bg-BG"/>
              </w:rPr>
              <w:t>km</w:t>
            </w:r>
            <w:proofErr w:type="spellEnd"/>
            <w:r w:rsidRPr="00FB11B0">
              <w:rPr>
                <w:rFonts w:ascii="Verdana" w:eastAsia="Times New Roman" w:hAnsi="Verdana" w:cs="Calibri"/>
                <w:color w:val="000000"/>
                <w:sz w:val="18"/>
                <w:szCs w:val="18"/>
                <w:lang w:val="bg-BG"/>
              </w:rPr>
              <w:t xml:space="preserve"> 10+452/ </w:t>
            </w:r>
            <w:proofErr w:type="spellStart"/>
            <w:r w:rsidRPr="00FB11B0">
              <w:rPr>
                <w:rFonts w:ascii="Verdana" w:eastAsia="Times New Roman" w:hAnsi="Verdana" w:cs="Calibri"/>
                <w:color w:val="000000"/>
                <w:sz w:val="18"/>
                <w:szCs w:val="18"/>
                <w:lang w:val="bg-BG"/>
              </w:rPr>
              <w:t>to</w:t>
            </w:r>
            <w:proofErr w:type="spellEnd"/>
            <w:r w:rsidRPr="00FB11B0">
              <w:rPr>
                <w:rFonts w:ascii="Verdana" w:eastAsia="Times New Roman" w:hAnsi="Verdana" w:cs="Calibri"/>
                <w:color w:val="000000"/>
                <w:sz w:val="18"/>
                <w:szCs w:val="18"/>
                <w:lang w:val="bg-BG"/>
              </w:rPr>
              <w:t xml:space="preserve"> MS II-12 </w:t>
            </w:r>
            <w:proofErr w:type="spellStart"/>
            <w:r w:rsidRPr="00FB11B0">
              <w:rPr>
                <w:rFonts w:ascii="Verdana" w:eastAsia="Times New Roman" w:hAnsi="Verdana" w:cs="Calibri"/>
                <w:color w:val="000000"/>
                <w:sz w:val="18"/>
                <w:szCs w:val="18"/>
                <w:lang w:val="bg-BG"/>
              </w:rPr>
              <w:t>with</w:t>
            </w:r>
            <w:proofErr w:type="spellEnd"/>
            <w:r w:rsidRPr="00FB11B0">
              <w:rPr>
                <w:rFonts w:ascii="Verdana" w:eastAsia="Times New Roman" w:hAnsi="Verdana" w:cs="Calibri"/>
                <w:color w:val="000000"/>
                <w:sz w:val="18"/>
                <w:szCs w:val="18"/>
                <w:lang w:val="bg-BG"/>
              </w:rPr>
              <w:t xml:space="preserve"> a </w:t>
            </w:r>
            <w:proofErr w:type="spellStart"/>
            <w:r w:rsidRPr="00FB11B0">
              <w:rPr>
                <w:rFonts w:ascii="Verdana" w:eastAsia="Times New Roman" w:hAnsi="Verdana" w:cs="Calibri"/>
                <w:color w:val="000000"/>
                <w:sz w:val="18"/>
                <w:szCs w:val="18"/>
                <w:lang w:val="bg-BG"/>
              </w:rPr>
              <w:t>line</w:t>
            </w:r>
            <w:proofErr w:type="spellEnd"/>
            <w:r w:rsidRPr="00FB11B0">
              <w:rPr>
                <w:rFonts w:ascii="Verdana" w:eastAsia="Times New Roman" w:hAnsi="Verdana" w:cs="Calibri"/>
                <w:color w:val="000000"/>
                <w:sz w:val="18"/>
                <w:szCs w:val="18"/>
                <w:lang w:val="bg-BG"/>
              </w:rPr>
              <w:t xml:space="preserve"> </w:t>
            </w:r>
            <w:proofErr w:type="spellStart"/>
            <w:r w:rsidRPr="00FB11B0">
              <w:rPr>
                <w:rFonts w:ascii="Verdana" w:eastAsia="Times New Roman" w:hAnsi="Verdana" w:cs="Calibri"/>
                <w:color w:val="000000"/>
                <w:sz w:val="18"/>
                <w:szCs w:val="18"/>
                <w:lang w:val="bg-BG"/>
              </w:rPr>
              <w:t>point</w:t>
            </w:r>
            <w:proofErr w:type="spellEnd"/>
            <w:r w:rsidRPr="00FB11B0">
              <w:rPr>
                <w:rFonts w:ascii="Verdana" w:eastAsia="Times New Roman" w:hAnsi="Verdana" w:cs="Calibri"/>
                <w:color w:val="000000"/>
                <w:sz w:val="18"/>
                <w:szCs w:val="18"/>
                <w:lang w:val="bg-BG"/>
              </w:rPr>
              <w:t xml:space="preserve"> </w:t>
            </w:r>
            <w:proofErr w:type="spellStart"/>
            <w:r w:rsidRPr="00FB11B0">
              <w:rPr>
                <w:rFonts w:ascii="Verdana" w:eastAsia="Times New Roman" w:hAnsi="Verdana" w:cs="Calibri"/>
                <w:color w:val="000000"/>
                <w:sz w:val="18"/>
                <w:szCs w:val="18"/>
                <w:lang w:val="bg-BG"/>
              </w:rPr>
              <w:t>after</w:t>
            </w:r>
            <w:proofErr w:type="spellEnd"/>
            <w:r w:rsidRPr="00FB11B0">
              <w:rPr>
                <w:rFonts w:ascii="Verdana" w:eastAsia="Times New Roman" w:hAnsi="Verdana" w:cs="Calibri"/>
                <w:color w:val="000000"/>
                <w:sz w:val="18"/>
                <w:szCs w:val="18"/>
                <w:lang w:val="bg-BG"/>
              </w:rPr>
              <w:t xml:space="preserve"> </w:t>
            </w:r>
            <w:proofErr w:type="spellStart"/>
            <w:r w:rsidRPr="00FB11B0">
              <w:rPr>
                <w:rFonts w:ascii="Verdana" w:eastAsia="Times New Roman" w:hAnsi="Verdana" w:cs="Calibri"/>
                <w:color w:val="000000"/>
                <w:sz w:val="18"/>
                <w:szCs w:val="18"/>
                <w:lang w:val="bg-BG"/>
              </w:rPr>
              <w:t>it</w:t>
            </w:r>
            <w:proofErr w:type="spellEnd"/>
            <w:r w:rsidRPr="00FB11B0">
              <w:rPr>
                <w:rFonts w:ascii="Verdana" w:eastAsia="Times New Roman" w:hAnsi="Verdana" w:cs="Calibri"/>
                <w:color w:val="000000"/>
                <w:sz w:val="18"/>
                <w:szCs w:val="18"/>
                <w:lang w:val="bg-BG"/>
              </w:rPr>
              <w:t xml:space="preserve"> /</w:t>
            </w:r>
            <w:proofErr w:type="spellStart"/>
            <w:r w:rsidRPr="00FB11B0">
              <w:rPr>
                <w:rFonts w:ascii="Verdana" w:eastAsia="Times New Roman" w:hAnsi="Verdana" w:cs="Calibri"/>
                <w:color w:val="000000"/>
                <w:sz w:val="18"/>
                <w:szCs w:val="18"/>
                <w:lang w:val="bg-BG"/>
              </w:rPr>
              <w:t>km</w:t>
            </w:r>
            <w:proofErr w:type="spellEnd"/>
            <w:r w:rsidRPr="00FB11B0">
              <w:rPr>
                <w:rFonts w:ascii="Verdana" w:eastAsia="Times New Roman" w:hAnsi="Verdana" w:cs="Calibri"/>
                <w:color w:val="000000"/>
                <w:sz w:val="18"/>
                <w:szCs w:val="18"/>
                <w:lang w:val="bg-BG"/>
              </w:rPr>
              <w:t xml:space="preserve"> 11+752/</w:t>
            </w:r>
          </w:p>
        </w:tc>
        <w:tc>
          <w:tcPr>
            <w:tcW w:w="1749" w:type="pct"/>
            <w:shd w:val="clear" w:color="auto" w:fill="auto"/>
            <w:hideMark/>
          </w:tcPr>
          <w:p w14:paraId="2FDD582B"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imes New Roman" w:hAnsi="Verdana" w:cs="Calibri"/>
                <w:color w:val="000000"/>
                <w:sz w:val="18"/>
                <w:szCs w:val="18"/>
                <w:lang w:val="en-US"/>
              </w:rPr>
              <w:t>Metro Extension</w:t>
            </w:r>
            <w:r w:rsidRPr="00FB11B0">
              <w:rPr>
                <w:rFonts w:ascii="Verdana" w:eastAsia="Times New Roman" w:hAnsi="Verdana" w:cs="Calibri"/>
                <w:color w:val="000000"/>
                <w:sz w:val="18"/>
                <w:szCs w:val="18"/>
                <w:lang w:val="bg-BG"/>
              </w:rPr>
              <w:t xml:space="preserve">, </w:t>
            </w:r>
            <w:r w:rsidRPr="00FB11B0">
              <w:rPr>
                <w:rFonts w:ascii="Verdana" w:eastAsia="Times New Roman" w:hAnsi="Verdana" w:cs="Calibri"/>
                <w:color w:val="000000"/>
                <w:sz w:val="18"/>
                <w:szCs w:val="18"/>
                <w:lang w:val="en-US"/>
              </w:rPr>
              <w:t>Line</w:t>
            </w:r>
            <w:r w:rsidRPr="00FB11B0">
              <w:rPr>
                <w:rFonts w:ascii="Verdana" w:eastAsia="Times New Roman" w:hAnsi="Verdana" w:cs="Calibri"/>
                <w:color w:val="000000"/>
                <w:sz w:val="18"/>
                <w:szCs w:val="18"/>
                <w:lang w:val="bg-BG"/>
              </w:rPr>
              <w:t xml:space="preserve"> 2, </w:t>
            </w:r>
            <w:r w:rsidRPr="00FB11B0">
              <w:rPr>
                <w:rFonts w:ascii="Verdana" w:eastAsia="Times New Roman" w:hAnsi="Verdana" w:cs="Calibri"/>
                <w:color w:val="000000"/>
                <w:sz w:val="18"/>
                <w:szCs w:val="18"/>
                <w:lang w:val="en-US"/>
              </w:rPr>
              <w:t>Stage</w:t>
            </w:r>
            <w:r w:rsidRPr="00FB11B0">
              <w:rPr>
                <w:rFonts w:ascii="Verdana" w:eastAsia="Times New Roman" w:hAnsi="Verdana" w:cs="Calibri"/>
                <w:color w:val="000000"/>
                <w:sz w:val="18"/>
                <w:szCs w:val="18"/>
                <w:lang w:val="bg-BG"/>
              </w:rPr>
              <w:t xml:space="preserve"> ІІ</w:t>
            </w:r>
          </w:p>
        </w:tc>
      </w:tr>
      <w:tr w:rsidR="00FB11B0" w:rsidRPr="00FB11B0" w14:paraId="60E8AA70" w14:textId="77777777" w:rsidTr="00AC2E19">
        <w:trPr>
          <w:trHeight w:val="570"/>
        </w:trPr>
        <w:tc>
          <w:tcPr>
            <w:tcW w:w="3251" w:type="pct"/>
            <w:shd w:val="clear" w:color="auto" w:fill="D9DFEF" w:themeFill="accent1" w:themeFillTint="33"/>
            <w:hideMark/>
          </w:tcPr>
          <w:p w14:paraId="72A09315" w14:textId="77777777" w:rsidR="00FB11B0" w:rsidRPr="00FB11B0" w:rsidRDefault="00FB11B0" w:rsidP="00FB11B0">
            <w:pPr>
              <w:autoSpaceDE w:val="0"/>
              <w:autoSpaceDN w:val="0"/>
              <w:adjustRightInd w:val="0"/>
              <w:spacing w:after="0" w:line="240" w:lineRule="auto"/>
              <w:jc w:val="both"/>
              <w:rPr>
                <w:rFonts w:ascii="Verdana" w:eastAsiaTheme="minorHAnsi" w:hAnsi="Verdana" w:cs="TimesNewRomanPS-ItalicMT"/>
                <w:sz w:val="18"/>
                <w:szCs w:val="18"/>
              </w:rPr>
            </w:pPr>
            <w:r w:rsidRPr="00FB11B0">
              <w:rPr>
                <w:rFonts w:ascii="Verdana" w:eastAsia="Times New Roman" w:hAnsi="Verdana" w:cs="Calibri"/>
                <w:color w:val="000000"/>
                <w:sz w:val="18"/>
                <w:szCs w:val="18"/>
                <w:lang w:val="bg-BG"/>
              </w:rPr>
              <w:t xml:space="preserve">BG161PO004-4.0.01-0003 </w:t>
            </w:r>
            <w:r w:rsidRPr="00FB11B0">
              <w:rPr>
                <w:rFonts w:ascii="Verdana" w:eastAsiaTheme="minorHAnsi" w:hAnsi="Verdana" w:cs="TimesNewRomanPS-ItalicMT"/>
                <w:sz w:val="18"/>
                <w:szCs w:val="18"/>
              </w:rPr>
              <w:t>Establishing a River Information System in the Bulgarian stretch of the Danube River –</w:t>
            </w:r>
          </w:p>
          <w:p w14:paraId="153787D0"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heme="minorHAnsi" w:hAnsi="Verdana" w:cs="TimesNewRomanPS-ItalicMT"/>
                <w:sz w:val="18"/>
                <w:szCs w:val="18"/>
              </w:rPr>
              <w:t>BULRIS</w:t>
            </w:r>
          </w:p>
        </w:tc>
        <w:tc>
          <w:tcPr>
            <w:tcW w:w="1749" w:type="pct"/>
            <w:shd w:val="clear" w:color="auto" w:fill="auto"/>
            <w:hideMark/>
          </w:tcPr>
          <w:p w14:paraId="0E6201B8" w14:textId="77777777" w:rsidR="00FB11B0" w:rsidRPr="00FB11B0" w:rsidRDefault="00FB11B0" w:rsidP="00FB11B0">
            <w:pPr>
              <w:spacing w:after="0" w:line="240" w:lineRule="auto"/>
              <w:jc w:val="both"/>
              <w:rPr>
                <w:rFonts w:ascii="Verdana" w:eastAsia="Times New Roman" w:hAnsi="Verdana" w:cs="Calibri"/>
                <w:color w:val="000000"/>
                <w:sz w:val="18"/>
                <w:szCs w:val="18"/>
                <w:lang w:val="en-US"/>
              </w:rPr>
            </w:pPr>
            <w:r w:rsidRPr="00FB11B0">
              <w:rPr>
                <w:rFonts w:ascii="Verdana" w:eastAsia="Times New Roman" w:hAnsi="Verdana" w:cs="Calibri"/>
                <w:color w:val="000000"/>
                <w:sz w:val="18"/>
                <w:szCs w:val="18"/>
                <w:lang w:val="en-US"/>
              </w:rPr>
              <w:t>BULRIS</w:t>
            </w:r>
          </w:p>
        </w:tc>
      </w:tr>
      <w:tr w:rsidR="00FB11B0" w:rsidRPr="00FB11B0" w14:paraId="28383F77" w14:textId="77777777" w:rsidTr="00AC2E19">
        <w:trPr>
          <w:trHeight w:val="570"/>
        </w:trPr>
        <w:tc>
          <w:tcPr>
            <w:tcW w:w="3251" w:type="pct"/>
            <w:shd w:val="clear" w:color="auto" w:fill="D9DFEF" w:themeFill="accent1" w:themeFillTint="33"/>
            <w:hideMark/>
          </w:tcPr>
          <w:p w14:paraId="58DF662C"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imes New Roman" w:hAnsi="Verdana" w:cs="Calibri"/>
                <w:color w:val="000000"/>
                <w:sz w:val="18"/>
                <w:szCs w:val="18"/>
                <w:lang w:val="bg-BG"/>
              </w:rPr>
              <w:t xml:space="preserve">BG161PO004-4.0.01-0005 </w:t>
            </w:r>
            <w:r w:rsidRPr="00FB11B0">
              <w:rPr>
                <w:rFonts w:ascii="Verdana" w:eastAsiaTheme="minorHAnsi" w:hAnsi="Verdana" w:cs="TimesNewRomanPS-ItalicMT"/>
                <w:sz w:val="18"/>
                <w:szCs w:val="18"/>
              </w:rPr>
              <w:t>“Vessel Traffic Management Information System (VTMIS) – Phase 3”</w:t>
            </w:r>
          </w:p>
        </w:tc>
        <w:tc>
          <w:tcPr>
            <w:tcW w:w="1749" w:type="pct"/>
            <w:shd w:val="clear" w:color="auto" w:fill="auto"/>
            <w:hideMark/>
          </w:tcPr>
          <w:p w14:paraId="0D5F9DE0"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imes New Roman" w:hAnsi="Verdana" w:cs="Calibri"/>
                <w:color w:val="000000"/>
                <w:sz w:val="18"/>
                <w:szCs w:val="18"/>
                <w:lang w:val="bg-BG"/>
              </w:rPr>
              <w:t xml:space="preserve">VTMIS, </w:t>
            </w:r>
            <w:r w:rsidRPr="00FB11B0">
              <w:rPr>
                <w:rFonts w:ascii="Verdana" w:eastAsia="Times New Roman" w:hAnsi="Verdana" w:cs="Calibri"/>
                <w:color w:val="000000"/>
                <w:sz w:val="18"/>
                <w:szCs w:val="18"/>
                <w:lang w:val="en-US"/>
              </w:rPr>
              <w:t>Phase</w:t>
            </w:r>
            <w:r w:rsidRPr="00FB11B0">
              <w:rPr>
                <w:rFonts w:ascii="Verdana" w:eastAsia="Times New Roman" w:hAnsi="Verdana" w:cs="Calibri"/>
                <w:color w:val="000000"/>
                <w:sz w:val="18"/>
                <w:szCs w:val="18"/>
                <w:lang w:val="bg-BG"/>
              </w:rPr>
              <w:t xml:space="preserve"> 3</w:t>
            </w:r>
          </w:p>
        </w:tc>
      </w:tr>
      <w:tr w:rsidR="00FB11B0" w:rsidRPr="00FB11B0" w14:paraId="6A21F1C9" w14:textId="77777777" w:rsidTr="00AC2E19">
        <w:trPr>
          <w:trHeight w:val="570"/>
        </w:trPr>
        <w:tc>
          <w:tcPr>
            <w:tcW w:w="3251" w:type="pct"/>
            <w:shd w:val="clear" w:color="auto" w:fill="D9DFEF" w:themeFill="accent1" w:themeFillTint="33"/>
            <w:hideMark/>
          </w:tcPr>
          <w:p w14:paraId="10E78EB3"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imes New Roman" w:hAnsi="Verdana" w:cs="Calibri"/>
                <w:color w:val="000000"/>
                <w:sz w:val="18"/>
                <w:szCs w:val="18"/>
                <w:lang w:val="bg-BG"/>
              </w:rPr>
              <w:t xml:space="preserve">BG161PO004-4.0.01-0007 </w:t>
            </w:r>
          </w:p>
          <w:p w14:paraId="1E5A3408" w14:textId="77777777" w:rsidR="00FB11B0" w:rsidRPr="00FB11B0" w:rsidRDefault="00FB11B0" w:rsidP="00FB11B0">
            <w:pPr>
              <w:autoSpaceDE w:val="0"/>
              <w:autoSpaceDN w:val="0"/>
              <w:adjustRightInd w:val="0"/>
              <w:spacing w:after="0" w:line="240" w:lineRule="auto"/>
              <w:jc w:val="both"/>
              <w:rPr>
                <w:rFonts w:ascii="Verdana" w:eastAsiaTheme="minorHAnsi" w:hAnsi="Verdana" w:cs="TimesNewRomanPS-ItalicMT"/>
                <w:sz w:val="18"/>
                <w:szCs w:val="18"/>
              </w:rPr>
            </w:pPr>
            <w:r w:rsidRPr="00FB11B0">
              <w:rPr>
                <w:rFonts w:ascii="Verdana" w:eastAsiaTheme="minorHAnsi" w:hAnsi="Verdana" w:cs="TimesNewRomanPS-ItalicMT"/>
                <w:sz w:val="18"/>
                <w:szCs w:val="18"/>
              </w:rPr>
              <w:t xml:space="preserve">“Improvement of the systems for navigation and </w:t>
            </w:r>
            <w:proofErr w:type="spellStart"/>
            <w:r w:rsidRPr="00FB11B0">
              <w:rPr>
                <w:rFonts w:ascii="Verdana" w:eastAsiaTheme="minorHAnsi" w:hAnsi="Verdana" w:cs="TimesNewRomanPS-ItalicMT"/>
                <w:sz w:val="18"/>
                <w:szCs w:val="18"/>
              </w:rPr>
              <w:t>topo</w:t>
            </w:r>
            <w:proofErr w:type="spellEnd"/>
            <w:r w:rsidRPr="00FB11B0">
              <w:rPr>
                <w:rFonts w:ascii="Verdana" w:eastAsiaTheme="minorHAnsi" w:hAnsi="Verdana" w:cs="TimesNewRomanPS-ItalicMT"/>
                <w:sz w:val="18"/>
                <w:szCs w:val="18"/>
              </w:rPr>
              <w:t>-hydrographic measurements along</w:t>
            </w:r>
          </w:p>
          <w:p w14:paraId="058AE9EE"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r w:rsidRPr="00FB11B0">
              <w:rPr>
                <w:rFonts w:ascii="Verdana" w:eastAsiaTheme="minorHAnsi" w:hAnsi="Verdana" w:cs="TimesNewRomanPS-ItalicMT"/>
                <w:sz w:val="18"/>
                <w:szCs w:val="18"/>
              </w:rPr>
              <w:t>the Danube River”</w:t>
            </w:r>
          </w:p>
        </w:tc>
        <w:tc>
          <w:tcPr>
            <w:tcW w:w="1749" w:type="pct"/>
            <w:shd w:val="clear" w:color="auto" w:fill="auto"/>
            <w:hideMark/>
          </w:tcPr>
          <w:p w14:paraId="3D3D0CD4" w14:textId="77777777" w:rsidR="00FB11B0" w:rsidRPr="00FB11B0" w:rsidRDefault="00FB11B0" w:rsidP="00FB11B0">
            <w:pPr>
              <w:spacing w:after="0" w:line="240" w:lineRule="auto"/>
              <w:jc w:val="both"/>
              <w:rPr>
                <w:rFonts w:ascii="Verdana" w:eastAsia="Times New Roman" w:hAnsi="Verdana" w:cs="Calibri"/>
                <w:color w:val="000000"/>
                <w:sz w:val="18"/>
                <w:szCs w:val="18"/>
                <w:lang w:val="bg-BG"/>
              </w:rPr>
            </w:pPr>
            <w:proofErr w:type="spellStart"/>
            <w:r w:rsidRPr="00FB11B0">
              <w:rPr>
                <w:rFonts w:ascii="Verdana" w:eastAsia="Times New Roman" w:hAnsi="Verdana" w:cs="Calibri"/>
                <w:color w:val="000000"/>
                <w:sz w:val="18"/>
                <w:szCs w:val="18"/>
                <w:lang w:val="bg-BG"/>
              </w:rPr>
              <w:t>Navigation</w:t>
            </w:r>
            <w:proofErr w:type="spellEnd"/>
            <w:r w:rsidRPr="00FB11B0">
              <w:rPr>
                <w:rFonts w:ascii="Verdana" w:eastAsia="Times New Roman" w:hAnsi="Verdana" w:cs="Calibri"/>
                <w:color w:val="000000"/>
                <w:sz w:val="18"/>
                <w:szCs w:val="18"/>
                <w:lang w:val="bg-BG"/>
              </w:rPr>
              <w:t xml:space="preserve"> </w:t>
            </w:r>
            <w:proofErr w:type="spellStart"/>
            <w:r w:rsidRPr="00FB11B0">
              <w:rPr>
                <w:rFonts w:ascii="Verdana" w:eastAsia="Times New Roman" w:hAnsi="Verdana" w:cs="Calibri"/>
                <w:color w:val="000000"/>
                <w:sz w:val="18"/>
                <w:szCs w:val="18"/>
                <w:lang w:val="bg-BG"/>
              </w:rPr>
              <w:t>systems</w:t>
            </w:r>
            <w:proofErr w:type="spellEnd"/>
            <w:r w:rsidRPr="00FB11B0">
              <w:rPr>
                <w:rFonts w:ascii="Verdana" w:eastAsia="Times New Roman" w:hAnsi="Verdana" w:cs="Calibri"/>
                <w:color w:val="000000"/>
                <w:sz w:val="18"/>
                <w:szCs w:val="18"/>
                <w:lang w:val="bg-BG"/>
              </w:rPr>
              <w:t xml:space="preserve"> </w:t>
            </w:r>
            <w:proofErr w:type="spellStart"/>
            <w:r w:rsidRPr="00FB11B0">
              <w:rPr>
                <w:rFonts w:ascii="Verdana" w:eastAsia="Times New Roman" w:hAnsi="Verdana" w:cs="Calibri"/>
                <w:color w:val="000000"/>
                <w:sz w:val="18"/>
                <w:szCs w:val="18"/>
                <w:lang w:val="bg-BG"/>
              </w:rPr>
              <w:t>and</w:t>
            </w:r>
            <w:proofErr w:type="spellEnd"/>
            <w:r w:rsidRPr="00FB11B0">
              <w:rPr>
                <w:rFonts w:ascii="Verdana" w:eastAsia="Times New Roman" w:hAnsi="Verdana" w:cs="Calibri"/>
                <w:color w:val="000000"/>
                <w:sz w:val="18"/>
                <w:szCs w:val="18"/>
                <w:lang w:val="bg-BG"/>
              </w:rPr>
              <w:t xml:space="preserve"> </w:t>
            </w:r>
            <w:proofErr w:type="spellStart"/>
            <w:r w:rsidRPr="00FB11B0">
              <w:rPr>
                <w:rFonts w:ascii="Verdana" w:eastAsia="Times New Roman" w:hAnsi="Verdana" w:cs="Calibri"/>
                <w:color w:val="000000"/>
                <w:sz w:val="18"/>
                <w:szCs w:val="18"/>
                <w:lang w:val="bg-BG"/>
              </w:rPr>
              <w:t>topohydrographic</w:t>
            </w:r>
            <w:proofErr w:type="spellEnd"/>
            <w:r w:rsidRPr="00FB11B0">
              <w:rPr>
                <w:rFonts w:ascii="Verdana" w:eastAsia="Times New Roman" w:hAnsi="Verdana" w:cs="Calibri"/>
                <w:color w:val="000000"/>
                <w:sz w:val="18"/>
                <w:szCs w:val="18"/>
                <w:lang w:val="bg-BG"/>
              </w:rPr>
              <w:t xml:space="preserve"> </w:t>
            </w:r>
            <w:proofErr w:type="spellStart"/>
            <w:r w:rsidRPr="00FB11B0">
              <w:rPr>
                <w:rFonts w:ascii="Verdana" w:eastAsia="Times New Roman" w:hAnsi="Verdana" w:cs="Calibri"/>
                <w:color w:val="000000"/>
                <w:sz w:val="18"/>
                <w:szCs w:val="18"/>
                <w:lang w:val="bg-BG"/>
              </w:rPr>
              <w:t>measurements</w:t>
            </w:r>
            <w:proofErr w:type="spellEnd"/>
            <w:r w:rsidRPr="00FB11B0">
              <w:rPr>
                <w:rFonts w:ascii="Verdana" w:eastAsia="Times New Roman" w:hAnsi="Verdana" w:cs="Calibri"/>
                <w:color w:val="000000"/>
                <w:sz w:val="18"/>
                <w:szCs w:val="18"/>
                <w:lang w:val="bg-BG"/>
              </w:rPr>
              <w:t xml:space="preserve"> </w:t>
            </w:r>
            <w:r w:rsidRPr="00FB11B0">
              <w:rPr>
                <w:rFonts w:ascii="Verdana" w:eastAsia="Times New Roman" w:hAnsi="Verdana" w:cs="Calibri"/>
                <w:color w:val="000000"/>
                <w:sz w:val="18"/>
                <w:szCs w:val="18"/>
              </w:rPr>
              <w:t>along</w:t>
            </w:r>
            <w:r w:rsidRPr="00FB11B0">
              <w:rPr>
                <w:rFonts w:ascii="Verdana" w:eastAsia="Times New Roman" w:hAnsi="Verdana" w:cs="Calibri"/>
                <w:color w:val="000000"/>
                <w:sz w:val="18"/>
                <w:szCs w:val="18"/>
                <w:lang w:val="bg-BG"/>
              </w:rPr>
              <w:t xml:space="preserve"> </w:t>
            </w:r>
            <w:proofErr w:type="spellStart"/>
            <w:r w:rsidRPr="00FB11B0">
              <w:rPr>
                <w:rFonts w:ascii="Verdana" w:eastAsia="Times New Roman" w:hAnsi="Verdana" w:cs="Calibri"/>
                <w:color w:val="000000"/>
                <w:sz w:val="18"/>
                <w:szCs w:val="18"/>
                <w:lang w:val="bg-BG"/>
              </w:rPr>
              <w:t>the</w:t>
            </w:r>
            <w:proofErr w:type="spellEnd"/>
            <w:r w:rsidRPr="00FB11B0">
              <w:rPr>
                <w:rFonts w:ascii="Verdana" w:eastAsia="Times New Roman" w:hAnsi="Verdana" w:cs="Calibri"/>
                <w:color w:val="000000"/>
                <w:sz w:val="18"/>
                <w:szCs w:val="18"/>
                <w:lang w:val="bg-BG"/>
              </w:rPr>
              <w:t xml:space="preserve"> </w:t>
            </w:r>
            <w:proofErr w:type="spellStart"/>
            <w:r w:rsidRPr="00FB11B0">
              <w:rPr>
                <w:rFonts w:ascii="Verdana" w:eastAsia="Times New Roman" w:hAnsi="Verdana" w:cs="Calibri"/>
                <w:color w:val="000000"/>
                <w:sz w:val="18"/>
                <w:szCs w:val="18"/>
                <w:lang w:val="bg-BG"/>
              </w:rPr>
              <w:t>Danube</w:t>
            </w:r>
            <w:proofErr w:type="spellEnd"/>
            <w:r w:rsidRPr="00FB11B0">
              <w:rPr>
                <w:rFonts w:ascii="Verdana" w:eastAsia="Times New Roman" w:hAnsi="Verdana" w:cs="Calibri"/>
                <w:color w:val="000000"/>
                <w:sz w:val="18"/>
                <w:szCs w:val="18"/>
                <w:lang w:val="bg-BG"/>
              </w:rPr>
              <w:t xml:space="preserve"> </w:t>
            </w:r>
            <w:proofErr w:type="spellStart"/>
            <w:r w:rsidRPr="00FB11B0">
              <w:rPr>
                <w:rFonts w:ascii="Verdana" w:eastAsia="Times New Roman" w:hAnsi="Verdana" w:cs="Calibri"/>
                <w:color w:val="000000"/>
                <w:sz w:val="18"/>
                <w:szCs w:val="18"/>
                <w:lang w:val="bg-BG"/>
              </w:rPr>
              <w:t>River</w:t>
            </w:r>
            <w:proofErr w:type="spellEnd"/>
          </w:p>
        </w:tc>
      </w:tr>
    </w:tbl>
    <w:p w14:paraId="3345A4E1" w14:textId="77777777" w:rsidR="00FB11B0" w:rsidRPr="00FB11B0" w:rsidRDefault="00FB11B0" w:rsidP="00FB11B0">
      <w:pPr>
        <w:spacing w:after="0" w:line="240" w:lineRule="auto"/>
        <w:jc w:val="both"/>
        <w:rPr>
          <w:rFonts w:ascii="Verdana" w:eastAsia="Calibri" w:hAnsi="Verdana"/>
          <w:b/>
          <w:bCs/>
          <w:color w:val="253356" w:themeColor="accent1" w:themeShade="80"/>
          <w:sz w:val="20"/>
          <w:szCs w:val="20"/>
          <w:lang w:val="bg-BG"/>
        </w:rPr>
      </w:pPr>
    </w:p>
    <w:p w14:paraId="766A2C8C" w14:textId="46D63E70" w:rsidR="00FB11B0" w:rsidRDefault="00FB11B0">
      <w:pPr>
        <w:rPr>
          <w:rFonts w:ascii="Verdana" w:eastAsia="Calibri" w:hAnsi="Verdana"/>
          <w:b/>
          <w:bCs/>
          <w:color w:val="253356" w:themeColor="accent1" w:themeShade="80"/>
          <w:sz w:val="20"/>
          <w:szCs w:val="20"/>
          <w:lang w:val="bg-BG"/>
        </w:rPr>
      </w:pPr>
      <w:r>
        <w:rPr>
          <w:rFonts w:ascii="Verdana" w:eastAsia="Calibri" w:hAnsi="Verdana"/>
          <w:b/>
          <w:bCs/>
          <w:color w:val="253356" w:themeColor="accent1" w:themeShade="80"/>
          <w:sz w:val="20"/>
          <w:szCs w:val="20"/>
          <w:lang w:val="bg-BG"/>
        </w:rPr>
        <w:br w:type="page"/>
      </w:r>
    </w:p>
    <w:p w14:paraId="6ECE710A" w14:textId="79BBB53C" w:rsidR="00E175BD" w:rsidRPr="00A5768E" w:rsidRDefault="00C45586" w:rsidP="00B870D7">
      <w:pPr>
        <w:pStyle w:val="Heading1"/>
        <w:numPr>
          <w:ilvl w:val="0"/>
          <w:numId w:val="58"/>
        </w:numPr>
        <w:ind w:left="284" w:hanging="284"/>
        <w:rPr>
          <w:rFonts w:ascii="Verdana" w:hAnsi="Verdana"/>
          <w:b/>
          <w:bCs/>
          <w:sz w:val="22"/>
          <w:szCs w:val="22"/>
        </w:rPr>
      </w:pPr>
      <w:bookmarkStart w:id="10" w:name="_Toc62724390"/>
      <w:r w:rsidRPr="00A5768E">
        <w:rPr>
          <w:rFonts w:ascii="Verdana" w:hAnsi="Verdana"/>
          <w:b/>
          <w:bCs/>
          <w:sz w:val="22"/>
          <w:szCs w:val="22"/>
        </w:rPr>
        <w:lastRenderedPageBreak/>
        <w:t>INTRODUCTION</w:t>
      </w:r>
      <w:bookmarkEnd w:id="10"/>
    </w:p>
    <w:p w14:paraId="3F0FDBD0" w14:textId="77777777" w:rsidR="008C5B46" w:rsidRPr="00F50700" w:rsidRDefault="008C5B46" w:rsidP="006E2FC7">
      <w:pPr>
        <w:autoSpaceDE w:val="0"/>
        <w:autoSpaceDN w:val="0"/>
        <w:adjustRightInd w:val="0"/>
        <w:spacing w:after="0" w:line="240" w:lineRule="auto"/>
        <w:jc w:val="both"/>
        <w:rPr>
          <w:rFonts w:ascii="Verdana" w:hAnsi="Verdana" w:cs="TimesNewRomanPSMT"/>
          <w:sz w:val="24"/>
          <w:szCs w:val="24"/>
          <w:lang w:val="bg-BG"/>
        </w:rPr>
      </w:pPr>
    </w:p>
    <w:p w14:paraId="58A7A95D" w14:textId="00031B21" w:rsidR="00F10445" w:rsidRPr="00F10445" w:rsidRDefault="00F10445" w:rsidP="00F10445">
      <w:pPr>
        <w:tabs>
          <w:tab w:val="left" w:pos="1905"/>
        </w:tabs>
        <w:jc w:val="both"/>
        <w:rPr>
          <w:rFonts w:ascii="Verdana" w:hAnsi="Verdana"/>
          <w:bCs/>
          <w:iCs/>
          <w:color w:val="000000"/>
          <w:sz w:val="20"/>
          <w:szCs w:val="20"/>
          <w:lang w:val="en"/>
        </w:rPr>
      </w:pPr>
      <w:r w:rsidRPr="00F10445">
        <w:rPr>
          <w:rFonts w:ascii="Verdana" w:hAnsi="Verdana"/>
          <w:bCs/>
          <w:iCs/>
          <w:color w:val="000000"/>
          <w:sz w:val="20"/>
          <w:szCs w:val="20"/>
          <w:lang w:val="en"/>
        </w:rPr>
        <w:t xml:space="preserve">The current evaluation report has been prepared </w:t>
      </w:r>
      <w:r w:rsidR="00416556">
        <w:rPr>
          <w:rFonts w:ascii="Verdana" w:hAnsi="Verdana"/>
          <w:bCs/>
          <w:iCs/>
          <w:color w:val="000000"/>
          <w:sz w:val="20"/>
          <w:szCs w:val="20"/>
          <w:lang w:val="en"/>
        </w:rPr>
        <w:t xml:space="preserve">under </w:t>
      </w:r>
      <w:r w:rsidRPr="00F10445">
        <w:rPr>
          <w:rFonts w:ascii="Verdana" w:hAnsi="Verdana"/>
          <w:bCs/>
          <w:iCs/>
          <w:color w:val="000000"/>
          <w:sz w:val="20"/>
          <w:szCs w:val="20"/>
          <w:lang w:val="en"/>
        </w:rPr>
        <w:t xml:space="preserve">Contract No D-4/06.02.2020 with subject „Evaluation of the impact and effects of the implementation of Operational Programme on Transport 2007-2013 and evaluation of the progress under Operational Programme on Transport and Transport Infrastructure 2014-2020 and its contribution to the EU Strategy”, with Contracting Authority </w:t>
      </w:r>
      <w:r w:rsidR="00416556">
        <w:rPr>
          <w:rFonts w:ascii="Verdana" w:hAnsi="Verdana"/>
          <w:bCs/>
          <w:iCs/>
          <w:color w:val="000000"/>
          <w:sz w:val="20"/>
          <w:szCs w:val="20"/>
          <w:lang w:val="en"/>
        </w:rPr>
        <w:t>–</w:t>
      </w:r>
      <w:r w:rsidRPr="00F10445">
        <w:rPr>
          <w:rFonts w:ascii="Verdana" w:hAnsi="Verdana"/>
          <w:bCs/>
          <w:iCs/>
          <w:color w:val="000000"/>
          <w:sz w:val="20"/>
          <w:szCs w:val="20"/>
          <w:lang w:val="en"/>
        </w:rPr>
        <w:t xml:space="preserve"> </w:t>
      </w:r>
      <w:r w:rsidR="00416556">
        <w:rPr>
          <w:rFonts w:ascii="Verdana" w:hAnsi="Verdana"/>
          <w:bCs/>
          <w:iCs/>
          <w:color w:val="000000"/>
          <w:sz w:val="20"/>
          <w:szCs w:val="20"/>
          <w:lang w:val="en"/>
        </w:rPr>
        <w:t xml:space="preserve">Bulgarian </w:t>
      </w:r>
      <w:r w:rsidRPr="00F10445">
        <w:rPr>
          <w:rFonts w:ascii="Verdana" w:hAnsi="Verdana"/>
          <w:bCs/>
          <w:iCs/>
          <w:color w:val="000000"/>
          <w:sz w:val="20"/>
          <w:szCs w:val="20"/>
          <w:lang w:val="en"/>
        </w:rPr>
        <w:t>Ministry of Transport and Information Technology and Communications and Contractor - Consortium "European Evaluations".</w:t>
      </w:r>
    </w:p>
    <w:p w14:paraId="33194002" w14:textId="77777777" w:rsidR="00F10445" w:rsidRPr="00F10445" w:rsidRDefault="00F10445" w:rsidP="00F10445">
      <w:pPr>
        <w:spacing w:after="0" w:line="240" w:lineRule="auto"/>
        <w:jc w:val="both"/>
        <w:rPr>
          <w:rFonts w:ascii="Verdana" w:eastAsia="Helvetica" w:hAnsi="Verdana" w:cs="Helvetica"/>
          <w:sz w:val="20"/>
          <w:szCs w:val="20"/>
          <w:lang w:val="bg-BG"/>
        </w:rPr>
      </w:pPr>
      <w:r w:rsidRPr="00F10445">
        <w:rPr>
          <w:rFonts w:ascii="Verdana" w:hAnsi="Verdana"/>
          <w:b/>
          <w:iCs/>
          <w:color w:val="000000"/>
          <w:sz w:val="20"/>
          <w:szCs w:val="20"/>
          <w:lang w:val="en"/>
        </w:rPr>
        <w:t xml:space="preserve">The report covers evaluation of the impact and effects of the implementation of Operational Programme </w:t>
      </w:r>
      <w:r w:rsidRPr="00F10445">
        <w:rPr>
          <w:rFonts w:ascii="Verdana" w:hAnsi="Verdana"/>
          <w:b/>
          <w:iCs/>
          <w:color w:val="000000"/>
          <w:sz w:val="20"/>
          <w:szCs w:val="20"/>
        </w:rPr>
        <w:t xml:space="preserve">on </w:t>
      </w:r>
      <w:r w:rsidRPr="00F10445">
        <w:rPr>
          <w:rFonts w:ascii="Verdana" w:hAnsi="Verdana"/>
          <w:b/>
          <w:iCs/>
          <w:color w:val="000000"/>
          <w:sz w:val="20"/>
          <w:szCs w:val="20"/>
          <w:lang w:val="en"/>
        </w:rPr>
        <w:t>Transport 2007-2013</w:t>
      </w:r>
      <w:r w:rsidRPr="00F10445">
        <w:rPr>
          <w:rFonts w:ascii="Verdana" w:hAnsi="Verdana"/>
          <w:bCs/>
          <w:iCs/>
          <w:color w:val="000000"/>
          <w:sz w:val="20"/>
          <w:szCs w:val="20"/>
          <w:lang w:val="en"/>
        </w:rPr>
        <w:t>.</w:t>
      </w:r>
    </w:p>
    <w:p w14:paraId="6AB963CA" w14:textId="77777777" w:rsidR="00F10445" w:rsidRPr="00F10445" w:rsidRDefault="00F10445" w:rsidP="00F10445">
      <w:pPr>
        <w:autoSpaceDE w:val="0"/>
        <w:autoSpaceDN w:val="0"/>
        <w:adjustRightInd w:val="0"/>
        <w:spacing w:before="120" w:after="120" w:line="240" w:lineRule="auto"/>
        <w:jc w:val="both"/>
        <w:rPr>
          <w:rFonts w:ascii="Verdana" w:hAnsi="Verdana" w:cs="Times New Roman"/>
          <w:sz w:val="20"/>
          <w:szCs w:val="20"/>
          <w:shd w:val="clear" w:color="auto" w:fill="FAF9F8"/>
          <w:lang w:val="bg-BG" w:eastAsia="en-GB"/>
        </w:rPr>
      </w:pPr>
      <w:r w:rsidRPr="00F10445">
        <w:rPr>
          <w:rFonts w:ascii="Verdana" w:hAnsi="Verdana"/>
          <w:sz w:val="20"/>
          <w:szCs w:val="20"/>
          <w:shd w:val="clear" w:color="auto" w:fill="FAF9F8"/>
          <w:lang w:val="en" w:eastAsia="en-GB"/>
        </w:rPr>
        <w:t>OPT is one of the seven operational programmes implemented in the Republic of Bulgaria within the programming period 2007-2013, financed by the European Regional Development Fund, the EU Cohesion Fund and the State Budget of the Republic of Bulgaria. The overall goal of the programme was development of sustainable transport system and its specific goals were the integration of the national transport system into the EU transport network of and achievement of balance between transport modes.</w:t>
      </w:r>
    </w:p>
    <w:p w14:paraId="65363F21" w14:textId="53BE2663" w:rsidR="00F10445" w:rsidRPr="00F10445" w:rsidRDefault="00F10445" w:rsidP="00F10445">
      <w:pPr>
        <w:autoSpaceDE w:val="0"/>
        <w:autoSpaceDN w:val="0"/>
        <w:adjustRightInd w:val="0"/>
        <w:spacing w:before="120" w:after="120" w:line="240" w:lineRule="auto"/>
        <w:jc w:val="both"/>
        <w:rPr>
          <w:rFonts w:ascii="Verdana" w:hAnsi="Verdana" w:cs="Times New Roman"/>
          <w:sz w:val="20"/>
          <w:szCs w:val="20"/>
          <w:shd w:val="clear" w:color="auto" w:fill="FAF9F8"/>
          <w:lang w:val="bg-BG"/>
        </w:rPr>
      </w:pPr>
      <w:r w:rsidRPr="00F10445">
        <w:rPr>
          <w:rFonts w:ascii="Verdana" w:hAnsi="Verdana"/>
          <w:bCs/>
          <w:iCs/>
          <w:color w:val="000000"/>
          <w:sz w:val="20"/>
          <w:szCs w:val="20"/>
          <w:lang w:val="en" w:eastAsia="en-GB"/>
        </w:rPr>
        <w:t xml:space="preserve">The main objective of current impact evaluation is to study and analyze the </w:t>
      </w:r>
      <w:r w:rsidRPr="00F10445">
        <w:rPr>
          <w:rFonts w:ascii="Verdana" w:hAnsi="Verdana"/>
          <w:sz w:val="20"/>
          <w:szCs w:val="20"/>
          <w:lang w:val="en" w:eastAsia="en-GB"/>
        </w:rPr>
        <w:t xml:space="preserve">effects achieved by the projects implemented in the programming period 2007-2013, to assess project </w:t>
      </w:r>
      <w:r w:rsidR="00B33796" w:rsidRPr="00F10445">
        <w:rPr>
          <w:rFonts w:ascii="Verdana" w:hAnsi="Verdana"/>
          <w:sz w:val="20"/>
          <w:szCs w:val="20"/>
          <w:lang w:val="en" w:eastAsia="en-GB"/>
        </w:rPr>
        <w:t>effectiveness</w:t>
      </w:r>
      <w:r w:rsidRPr="00F10445">
        <w:rPr>
          <w:rFonts w:ascii="Verdana" w:hAnsi="Verdana"/>
          <w:sz w:val="20"/>
          <w:szCs w:val="20"/>
          <w:lang w:val="en" w:eastAsia="en-GB"/>
        </w:rPr>
        <w:t xml:space="preserve"> and efficiency and to improve decision making process covering strategic problems and challenges in transport sector and</w:t>
      </w:r>
      <w:r w:rsidRPr="00F10445">
        <w:rPr>
          <w:rFonts w:ascii="Verdana" w:hAnsi="Verdana"/>
          <w:sz w:val="20"/>
          <w:szCs w:val="20"/>
          <w:lang w:val="en"/>
        </w:rPr>
        <w:t xml:space="preserve"> the country as a whole. </w:t>
      </w:r>
      <w:r w:rsidRPr="00F10445">
        <w:rPr>
          <w:rFonts w:ascii="Verdana" w:hAnsi="Verdana"/>
          <w:sz w:val="20"/>
          <w:szCs w:val="20"/>
          <w:shd w:val="clear" w:color="auto" w:fill="FAF9F8"/>
          <w:lang w:val="en"/>
        </w:rPr>
        <w:t xml:space="preserve">The evaluation was carried out between 06.02.2020 and 08.09.2020 using </w:t>
      </w:r>
      <w:r w:rsidRPr="00F10445">
        <w:rPr>
          <w:rFonts w:ascii="Verdana" w:hAnsi="Verdana"/>
          <w:sz w:val="20"/>
          <w:szCs w:val="20"/>
          <w:lang w:val="en"/>
        </w:rPr>
        <w:t xml:space="preserve">a methodology covering the main evaluation aspects– </w:t>
      </w:r>
      <w:r w:rsidRPr="00F10445">
        <w:rPr>
          <w:rFonts w:ascii="Verdana" w:hAnsi="Verdana"/>
          <w:i/>
          <w:iCs/>
          <w:sz w:val="20"/>
          <w:szCs w:val="20"/>
          <w:shd w:val="clear" w:color="auto" w:fill="FAF9F8"/>
          <w:lang w:val="en"/>
        </w:rPr>
        <w:t>relevance, consistency, effectiveness, efficiency and impact</w:t>
      </w:r>
      <w:r w:rsidRPr="00F10445">
        <w:rPr>
          <w:rFonts w:ascii="Verdana" w:hAnsi="Verdana"/>
          <w:sz w:val="20"/>
          <w:szCs w:val="20"/>
          <w:shd w:val="clear" w:color="auto" w:fill="FAF9F8"/>
          <w:lang w:val="en"/>
        </w:rPr>
        <w:t>.</w:t>
      </w:r>
    </w:p>
    <w:p w14:paraId="6D20D3C4" w14:textId="77777777" w:rsidR="00F10445" w:rsidRPr="00F10445" w:rsidRDefault="00F10445" w:rsidP="00F10445">
      <w:pPr>
        <w:spacing w:after="120"/>
        <w:jc w:val="both"/>
        <w:rPr>
          <w:rFonts w:ascii="Verdana" w:hAnsi="Verdana" w:cs="Tahoma"/>
          <w:sz w:val="20"/>
          <w:szCs w:val="20"/>
          <w:lang w:val="bg-BG"/>
        </w:rPr>
      </w:pPr>
      <w:bookmarkStart w:id="11" w:name="_Hlk55506688"/>
      <w:r w:rsidRPr="00F10445">
        <w:rPr>
          <w:rFonts w:ascii="Verdana" w:hAnsi="Verdana"/>
          <w:bCs/>
          <w:sz w:val="20"/>
          <w:szCs w:val="20"/>
          <w:lang w:val="en"/>
        </w:rPr>
        <w:t xml:space="preserve">The evaluation scope </w:t>
      </w:r>
      <w:r w:rsidRPr="00F10445">
        <w:rPr>
          <w:rFonts w:ascii="Verdana" w:hAnsi="Verdana"/>
          <w:sz w:val="20"/>
          <w:szCs w:val="20"/>
          <w:lang w:val="en"/>
        </w:rPr>
        <w:t xml:space="preserve">includes the following </w:t>
      </w:r>
      <w:r w:rsidRPr="00F10445">
        <w:rPr>
          <w:rFonts w:ascii="Verdana" w:hAnsi="Verdana"/>
          <w:b/>
          <w:bCs/>
          <w:i/>
          <w:iCs/>
          <w:sz w:val="20"/>
          <w:szCs w:val="20"/>
          <w:lang w:val="en"/>
        </w:rPr>
        <w:t>evaluation questions (EQ</w:t>
      </w:r>
      <w:r w:rsidRPr="00F10445">
        <w:rPr>
          <w:rFonts w:ascii="Verdana" w:hAnsi="Verdana"/>
          <w:sz w:val="20"/>
          <w:szCs w:val="20"/>
          <w:lang w:val="en"/>
        </w:rPr>
        <w:t>):</w:t>
      </w:r>
    </w:p>
    <w:p w14:paraId="1F68ECEF" w14:textId="77777777" w:rsidR="00F10445" w:rsidRPr="00F10445" w:rsidRDefault="00F10445" w:rsidP="00B870D7">
      <w:pPr>
        <w:numPr>
          <w:ilvl w:val="0"/>
          <w:numId w:val="43"/>
        </w:numPr>
        <w:tabs>
          <w:tab w:val="left" w:pos="450"/>
          <w:tab w:val="left" w:pos="540"/>
        </w:tabs>
        <w:ind w:left="450"/>
        <w:jc w:val="both"/>
        <w:rPr>
          <w:rFonts w:ascii="Verdana" w:eastAsia="Times New Roman" w:hAnsi="Verdana" w:cs="Times New Roman"/>
          <w:i/>
          <w:iCs/>
          <w:sz w:val="20"/>
          <w:szCs w:val="20"/>
          <w:lang w:val="bg-BG" w:eastAsia="en-GB"/>
        </w:rPr>
      </w:pPr>
      <w:r w:rsidRPr="00F10445">
        <w:rPr>
          <w:rFonts w:ascii="Verdana" w:hAnsi="Verdana"/>
          <w:i/>
          <w:iCs/>
          <w:sz w:val="20"/>
          <w:szCs w:val="20"/>
          <w:lang w:val="en" w:eastAsia="en-GB"/>
        </w:rPr>
        <w:t>Is there a difference with the intervention? How have investments led to change?</w:t>
      </w:r>
    </w:p>
    <w:p w14:paraId="17564180" w14:textId="77777777" w:rsidR="00F10445" w:rsidRPr="00F10445" w:rsidRDefault="00333A1A" w:rsidP="00B870D7">
      <w:pPr>
        <w:numPr>
          <w:ilvl w:val="0"/>
          <w:numId w:val="43"/>
        </w:numPr>
        <w:tabs>
          <w:tab w:val="left" w:pos="450"/>
          <w:tab w:val="left" w:pos="540"/>
        </w:tabs>
        <w:ind w:left="450"/>
        <w:jc w:val="both"/>
        <w:rPr>
          <w:rFonts w:ascii="Verdana" w:eastAsia="Times New Roman" w:hAnsi="Verdana" w:cs="Times New Roman"/>
          <w:i/>
          <w:iCs/>
          <w:sz w:val="20"/>
          <w:szCs w:val="20"/>
          <w:lang w:val="bg-BG" w:eastAsia="en-GB"/>
        </w:rPr>
      </w:pPr>
      <w:hyperlink w:anchor="_Toc50292569" w:history="1">
        <w:r w:rsidR="00F10445" w:rsidRPr="00F10445">
          <w:rPr>
            <w:rFonts w:ascii="Verdana" w:hAnsi="Verdana"/>
            <w:i/>
            <w:iCs/>
            <w:sz w:val="20"/>
            <w:szCs w:val="20"/>
            <w:lang w:val="en" w:eastAsia="en-GB"/>
          </w:rPr>
          <w:t>What/how much is the contribution of the intervention? Is there added value of the intervention?</w:t>
        </w:r>
      </w:hyperlink>
    </w:p>
    <w:p w14:paraId="631B9993" w14:textId="77777777" w:rsidR="00F10445" w:rsidRPr="00F10445" w:rsidRDefault="00333A1A" w:rsidP="00B870D7">
      <w:pPr>
        <w:numPr>
          <w:ilvl w:val="0"/>
          <w:numId w:val="43"/>
        </w:numPr>
        <w:tabs>
          <w:tab w:val="left" w:pos="450"/>
          <w:tab w:val="left" w:pos="540"/>
        </w:tabs>
        <w:ind w:left="450"/>
        <w:jc w:val="both"/>
        <w:rPr>
          <w:rFonts w:ascii="Verdana" w:eastAsia="Times New Roman" w:hAnsi="Verdana" w:cs="Times New Roman"/>
          <w:i/>
          <w:iCs/>
          <w:sz w:val="20"/>
          <w:szCs w:val="20"/>
          <w:lang w:val="bg-BG" w:eastAsia="en-GB"/>
        </w:rPr>
      </w:pPr>
      <w:hyperlink w:anchor="_Toc50292570" w:history="1">
        <w:r w:rsidR="00F10445" w:rsidRPr="00F10445">
          <w:rPr>
            <w:rFonts w:ascii="Verdana" w:hAnsi="Verdana"/>
            <w:i/>
            <w:iCs/>
            <w:sz w:val="20"/>
            <w:szCs w:val="20"/>
            <w:lang w:val="en" w:eastAsia="en-GB"/>
          </w:rPr>
          <w:t>In view of modifications of</w:t>
        </w:r>
        <w:r w:rsidR="00F10445" w:rsidRPr="00F10445">
          <w:rPr>
            <w:rFonts w:ascii="Verdana" w:hAnsi="Verdana"/>
            <w:sz w:val="20"/>
          </w:rPr>
          <w:t xml:space="preserve"> </w:t>
        </w:r>
        <w:r w:rsidR="00F10445" w:rsidRPr="00F10445">
          <w:rPr>
            <w:rFonts w:ascii="Verdana" w:hAnsi="Verdana"/>
            <w:i/>
            <w:iCs/>
            <w:sz w:val="20"/>
            <w:szCs w:val="20"/>
            <w:lang w:val="en" w:eastAsia="en-GB"/>
          </w:rPr>
          <w:t>OPT 2007-2013, was the programme effectively working within the new context and if so, why?</w:t>
        </w:r>
      </w:hyperlink>
    </w:p>
    <w:p w14:paraId="34DF8095" w14:textId="77777777" w:rsidR="00F10445" w:rsidRPr="00F10445" w:rsidRDefault="00333A1A" w:rsidP="00B870D7">
      <w:pPr>
        <w:numPr>
          <w:ilvl w:val="0"/>
          <w:numId w:val="43"/>
        </w:numPr>
        <w:tabs>
          <w:tab w:val="left" w:pos="450"/>
          <w:tab w:val="left" w:pos="540"/>
        </w:tabs>
        <w:ind w:left="450"/>
        <w:jc w:val="both"/>
        <w:rPr>
          <w:rFonts w:ascii="Verdana" w:eastAsia="Times New Roman" w:hAnsi="Verdana" w:cs="Times New Roman"/>
          <w:i/>
          <w:iCs/>
          <w:sz w:val="20"/>
          <w:szCs w:val="20"/>
          <w:lang w:val="bg-BG" w:eastAsia="en-GB"/>
        </w:rPr>
      </w:pPr>
      <w:hyperlink w:anchor="_Toc50292571" w:history="1">
        <w:r w:rsidR="00F10445" w:rsidRPr="00F10445">
          <w:rPr>
            <w:rFonts w:ascii="Verdana" w:hAnsi="Verdana"/>
            <w:i/>
            <w:iCs/>
            <w:sz w:val="20"/>
            <w:szCs w:val="20"/>
            <w:lang w:val="en" w:eastAsia="en-GB"/>
          </w:rPr>
          <w:t>What degree of integration into the European transport network has been achieved by the national transport system?</w:t>
        </w:r>
      </w:hyperlink>
    </w:p>
    <w:p w14:paraId="7D54A858" w14:textId="77777777" w:rsidR="00F10445" w:rsidRPr="00F10445" w:rsidRDefault="00333A1A" w:rsidP="00B870D7">
      <w:pPr>
        <w:numPr>
          <w:ilvl w:val="0"/>
          <w:numId w:val="43"/>
        </w:numPr>
        <w:tabs>
          <w:tab w:val="left" w:pos="450"/>
          <w:tab w:val="left" w:pos="540"/>
        </w:tabs>
        <w:ind w:left="450"/>
        <w:jc w:val="both"/>
        <w:rPr>
          <w:rFonts w:ascii="Verdana" w:eastAsia="Times New Roman" w:hAnsi="Verdana" w:cs="Times New Roman"/>
          <w:i/>
          <w:iCs/>
          <w:sz w:val="20"/>
          <w:szCs w:val="20"/>
          <w:lang w:val="bg-BG" w:eastAsia="en-GB"/>
        </w:rPr>
      </w:pPr>
      <w:hyperlink w:anchor="_Toc50292572" w:history="1">
        <w:r w:rsidR="00F10445" w:rsidRPr="00F10445">
          <w:rPr>
            <w:rFonts w:ascii="Verdana" w:hAnsi="Verdana"/>
            <w:i/>
            <w:iCs/>
            <w:sz w:val="20"/>
            <w:szCs w:val="20"/>
            <w:lang w:val="en" w:eastAsia="en-GB"/>
          </w:rPr>
          <w:t>How has accessibility to settlements improved as a result of the projects implementation?</w:t>
        </w:r>
      </w:hyperlink>
    </w:p>
    <w:p w14:paraId="33CB3E77" w14:textId="77777777" w:rsidR="00F10445" w:rsidRPr="00F10445" w:rsidRDefault="00333A1A" w:rsidP="00B870D7">
      <w:pPr>
        <w:numPr>
          <w:ilvl w:val="0"/>
          <w:numId w:val="43"/>
        </w:numPr>
        <w:tabs>
          <w:tab w:val="left" w:pos="450"/>
          <w:tab w:val="left" w:pos="540"/>
        </w:tabs>
        <w:ind w:left="450"/>
        <w:jc w:val="both"/>
        <w:rPr>
          <w:rFonts w:ascii="Verdana" w:eastAsia="Times New Roman" w:hAnsi="Verdana" w:cs="Times New Roman"/>
          <w:i/>
          <w:iCs/>
          <w:sz w:val="20"/>
          <w:szCs w:val="20"/>
          <w:lang w:val="bg-BG" w:eastAsia="en-GB"/>
        </w:rPr>
      </w:pPr>
      <w:hyperlink w:anchor="_Toc50292573" w:history="1">
        <w:r w:rsidR="00F10445" w:rsidRPr="00F10445">
          <w:rPr>
            <w:rFonts w:ascii="Verdana" w:hAnsi="Verdana"/>
            <w:i/>
            <w:iCs/>
            <w:sz w:val="20"/>
            <w:szCs w:val="20"/>
            <w:lang w:val="en" w:eastAsia="en-GB"/>
          </w:rPr>
          <w:t>Is transport infrastructure less busy and was a balance between different transport modes achieved?</w:t>
        </w:r>
      </w:hyperlink>
    </w:p>
    <w:p w14:paraId="172836DF" w14:textId="77777777" w:rsidR="00F10445" w:rsidRPr="00F10445" w:rsidRDefault="00F10445" w:rsidP="00B870D7">
      <w:pPr>
        <w:numPr>
          <w:ilvl w:val="0"/>
          <w:numId w:val="43"/>
        </w:numPr>
        <w:tabs>
          <w:tab w:val="left" w:pos="450"/>
          <w:tab w:val="left" w:pos="540"/>
        </w:tabs>
        <w:ind w:left="450"/>
        <w:jc w:val="both"/>
        <w:rPr>
          <w:rFonts w:ascii="Verdana" w:eastAsia="Times New Roman" w:hAnsi="Verdana" w:cs="Times New Roman"/>
          <w:i/>
          <w:iCs/>
          <w:sz w:val="20"/>
          <w:szCs w:val="20"/>
          <w:lang w:val="bg-BG" w:eastAsia="en-GB"/>
        </w:rPr>
      </w:pPr>
      <w:r w:rsidRPr="00F10445">
        <w:rPr>
          <w:rFonts w:ascii="Verdana" w:hAnsi="Verdana"/>
          <w:i/>
          <w:iCs/>
          <w:sz w:val="20"/>
          <w:szCs w:val="20"/>
          <w:lang w:val="en" w:eastAsia="en-GB"/>
        </w:rPr>
        <w:t xml:space="preserve">What are the economic and environmental benefits and effects for the transport sector? </w:t>
      </w:r>
    </w:p>
    <w:p w14:paraId="7CCDC21B" w14:textId="77777777" w:rsidR="00F10445" w:rsidRPr="00F10445" w:rsidRDefault="00333A1A" w:rsidP="00B870D7">
      <w:pPr>
        <w:numPr>
          <w:ilvl w:val="0"/>
          <w:numId w:val="43"/>
        </w:numPr>
        <w:tabs>
          <w:tab w:val="left" w:pos="450"/>
          <w:tab w:val="left" w:pos="540"/>
        </w:tabs>
        <w:ind w:left="450"/>
        <w:jc w:val="both"/>
        <w:rPr>
          <w:rFonts w:ascii="Verdana" w:eastAsia="Times New Roman" w:hAnsi="Verdana" w:cs="Times New Roman"/>
          <w:i/>
          <w:iCs/>
          <w:sz w:val="20"/>
          <w:szCs w:val="20"/>
          <w:lang w:val="bg-BG" w:eastAsia="en-GB"/>
        </w:rPr>
      </w:pPr>
      <w:hyperlink w:anchor="_Toc50292575" w:history="1">
        <w:r w:rsidR="00F10445" w:rsidRPr="00F10445">
          <w:rPr>
            <w:rFonts w:ascii="Verdana" w:hAnsi="Verdana"/>
            <w:i/>
            <w:iCs/>
            <w:sz w:val="20"/>
            <w:szCs w:val="20"/>
            <w:lang w:val="en" w:eastAsia="en-GB"/>
          </w:rPr>
          <w:t>What is the contribution of OPT to sustainable development policy?</w:t>
        </w:r>
      </w:hyperlink>
    </w:p>
    <w:p w14:paraId="7C9C6F61" w14:textId="2546564D" w:rsidR="00F10445" w:rsidRPr="00F10445" w:rsidRDefault="00333A1A" w:rsidP="00B870D7">
      <w:pPr>
        <w:numPr>
          <w:ilvl w:val="0"/>
          <w:numId w:val="43"/>
        </w:numPr>
        <w:tabs>
          <w:tab w:val="left" w:pos="450"/>
          <w:tab w:val="left" w:pos="540"/>
        </w:tabs>
        <w:ind w:left="450"/>
        <w:jc w:val="both"/>
        <w:rPr>
          <w:rFonts w:ascii="Verdana" w:eastAsia="Times New Roman" w:hAnsi="Verdana" w:cs="Times New Roman"/>
          <w:i/>
          <w:iCs/>
          <w:sz w:val="20"/>
          <w:szCs w:val="20"/>
          <w:lang w:val="bg-BG" w:eastAsia="en-GB"/>
        </w:rPr>
      </w:pPr>
      <w:hyperlink w:anchor="_Toc50292576" w:history="1">
        <w:r w:rsidR="00F10445" w:rsidRPr="00F10445">
          <w:rPr>
            <w:rFonts w:ascii="Verdana" w:hAnsi="Verdana"/>
            <w:i/>
            <w:iCs/>
            <w:sz w:val="20"/>
            <w:szCs w:val="20"/>
            <w:lang w:val="en" w:eastAsia="en-GB"/>
          </w:rPr>
          <w:t>What were the main problems encountered in the process of preparation and implementation of projects?</w:t>
        </w:r>
      </w:hyperlink>
      <w:bookmarkEnd w:id="11"/>
    </w:p>
    <w:p w14:paraId="1869D9E5" w14:textId="3E80720A" w:rsidR="00F10445" w:rsidRPr="00F10445" w:rsidRDefault="00F10445" w:rsidP="00F10445">
      <w:pPr>
        <w:spacing w:after="0" w:line="240" w:lineRule="auto"/>
        <w:jc w:val="both"/>
        <w:rPr>
          <w:rFonts w:ascii="Verdana" w:hAnsi="Verdana" w:cs="Times New Roman"/>
          <w:sz w:val="20"/>
          <w:szCs w:val="20"/>
          <w:shd w:val="clear" w:color="auto" w:fill="FAF9F8"/>
          <w:lang w:val="bg-BG"/>
        </w:rPr>
      </w:pPr>
      <w:r w:rsidRPr="00F10445">
        <w:rPr>
          <w:rFonts w:ascii="Verdana" w:hAnsi="Verdana"/>
          <w:sz w:val="20"/>
          <w:szCs w:val="20"/>
          <w:shd w:val="clear" w:color="auto" w:fill="FAF9F8"/>
          <w:lang w:val="en"/>
        </w:rPr>
        <w:t>The conclusions are based on documentary analysis, financial, economic and statistical analysis and Evaluator's own studies – performed surveys based on standardized questionnaires, in-depth interviews with stakeholders and expert meetings with representatives of the MA.</w:t>
      </w:r>
    </w:p>
    <w:p w14:paraId="2FD8F132" w14:textId="77777777" w:rsidR="00F10445" w:rsidRPr="00F10445" w:rsidRDefault="00F10445" w:rsidP="00F10445">
      <w:pPr>
        <w:autoSpaceDE w:val="0"/>
        <w:autoSpaceDN w:val="0"/>
        <w:adjustRightInd w:val="0"/>
        <w:spacing w:before="120" w:after="120" w:line="240" w:lineRule="auto"/>
        <w:jc w:val="both"/>
        <w:rPr>
          <w:rFonts w:ascii="Verdana" w:eastAsia="Helvetica" w:hAnsi="Verdana" w:cs="Helvetica"/>
          <w:sz w:val="20"/>
          <w:szCs w:val="20"/>
          <w:lang w:val="bg-BG"/>
        </w:rPr>
      </w:pPr>
      <w:r w:rsidRPr="00F10445">
        <w:rPr>
          <w:rFonts w:ascii="Verdana" w:hAnsi="Verdana"/>
          <w:sz w:val="20"/>
          <w:szCs w:val="20"/>
          <w:lang w:val="en"/>
        </w:rPr>
        <w:lastRenderedPageBreak/>
        <w:t>The results of the evaluation can be used within future preparation and implementation of operational programmes in transport sector during subsequent programming periods to ensure most effective and efficient policy implementation.</w:t>
      </w:r>
    </w:p>
    <w:p w14:paraId="350A5349" w14:textId="4B548534" w:rsidR="00841CFB" w:rsidRPr="00F50700" w:rsidRDefault="00841CFB" w:rsidP="00841CFB">
      <w:pPr>
        <w:autoSpaceDE w:val="0"/>
        <w:autoSpaceDN w:val="0"/>
        <w:adjustRightInd w:val="0"/>
        <w:spacing w:before="120" w:after="120" w:line="240" w:lineRule="auto"/>
        <w:jc w:val="both"/>
        <w:rPr>
          <w:rFonts w:ascii="Verdana" w:hAnsi="Verdana"/>
          <w:sz w:val="20"/>
          <w:szCs w:val="20"/>
          <w:lang w:val="bg-BG"/>
        </w:rPr>
      </w:pPr>
      <w:r w:rsidRPr="00F50700">
        <w:rPr>
          <w:rFonts w:ascii="Verdana" w:hAnsi="Verdana"/>
          <w:sz w:val="20"/>
          <w:szCs w:val="20"/>
          <w:lang w:val="en"/>
        </w:rPr>
        <w:t xml:space="preserve">An extended version of </w:t>
      </w:r>
      <w:r w:rsidR="00F64255">
        <w:rPr>
          <w:rFonts w:ascii="Verdana" w:hAnsi="Verdana"/>
          <w:sz w:val="20"/>
          <w:szCs w:val="20"/>
          <w:lang w:val="en"/>
        </w:rPr>
        <w:t xml:space="preserve">the evaluation is presented in </w:t>
      </w:r>
      <w:r w:rsidR="00F10445">
        <w:rPr>
          <w:rFonts w:ascii="Verdana" w:hAnsi="Verdana"/>
          <w:sz w:val="20"/>
          <w:szCs w:val="20"/>
          <w:lang w:val="en"/>
        </w:rPr>
        <w:t xml:space="preserve">Annex No 3 </w:t>
      </w:r>
      <w:r w:rsidRPr="00F50700">
        <w:rPr>
          <w:rFonts w:ascii="Verdana" w:hAnsi="Verdana"/>
          <w:sz w:val="20"/>
          <w:szCs w:val="20"/>
          <w:lang w:val="en"/>
        </w:rPr>
        <w:t>to this report.</w:t>
      </w:r>
    </w:p>
    <w:p w14:paraId="6829ED63" w14:textId="77777777" w:rsidR="00841CFB" w:rsidRPr="00F50700" w:rsidRDefault="00841CFB" w:rsidP="00841CFB">
      <w:pPr>
        <w:rPr>
          <w:rFonts w:ascii="Verdana" w:hAnsi="Verdana"/>
          <w:sz w:val="20"/>
          <w:szCs w:val="20"/>
          <w:lang w:val="bg-BG"/>
        </w:rPr>
      </w:pPr>
    </w:p>
    <w:p w14:paraId="0F946BEB" w14:textId="77777777" w:rsidR="00D420DA" w:rsidRPr="00F50700" w:rsidRDefault="00D420DA" w:rsidP="00224A55">
      <w:pPr>
        <w:autoSpaceDE w:val="0"/>
        <w:autoSpaceDN w:val="0"/>
        <w:adjustRightInd w:val="0"/>
        <w:spacing w:before="120" w:after="120" w:line="240" w:lineRule="auto"/>
        <w:jc w:val="both"/>
        <w:rPr>
          <w:rFonts w:ascii="Verdana" w:eastAsia="Helvetica" w:hAnsi="Verdana" w:cs="Helvetica"/>
          <w:sz w:val="20"/>
          <w:szCs w:val="20"/>
          <w:lang w:val="bg-BG"/>
        </w:rPr>
      </w:pPr>
    </w:p>
    <w:p w14:paraId="74C7587A" w14:textId="05A53FCD" w:rsidR="00224A55" w:rsidRPr="00B40B9E" w:rsidRDefault="00445986" w:rsidP="00B40B9E">
      <w:pPr>
        <w:rPr>
          <w:rFonts w:ascii="Verdana" w:hAnsi="Verdana"/>
          <w:b/>
          <w:bCs/>
        </w:rPr>
      </w:pPr>
      <w:r w:rsidRPr="00F50700">
        <w:rPr>
          <w:sz w:val="20"/>
          <w:szCs w:val="20"/>
          <w:lang w:val="en"/>
        </w:rPr>
        <w:br w:type="page"/>
      </w:r>
      <w:r w:rsidR="00A5768E" w:rsidRPr="00B40B9E">
        <w:rPr>
          <w:rFonts w:ascii="Verdana" w:hAnsi="Verdana"/>
          <w:b/>
          <w:bCs/>
        </w:rPr>
        <w:lastRenderedPageBreak/>
        <w:t>SUMMARY</w:t>
      </w:r>
    </w:p>
    <w:p w14:paraId="52EFB25E" w14:textId="671612AB" w:rsidR="001B215F" w:rsidRPr="00C5112A" w:rsidRDefault="001B215F" w:rsidP="00A0587B">
      <w:pPr>
        <w:spacing w:before="120" w:after="120" w:line="240" w:lineRule="auto"/>
        <w:jc w:val="both"/>
        <w:rPr>
          <w:rFonts w:ascii="Verdana" w:hAnsi="Verdana"/>
          <w:sz w:val="20"/>
          <w:szCs w:val="20"/>
          <w:shd w:val="clear" w:color="auto" w:fill="FAF9F8"/>
          <w:lang w:val="en"/>
        </w:rPr>
      </w:pPr>
      <w:bookmarkStart w:id="12" w:name="_Hlk55299530"/>
      <w:r w:rsidRPr="00C5112A">
        <w:rPr>
          <w:rFonts w:ascii="Verdana" w:hAnsi="Verdana"/>
          <w:sz w:val="20"/>
          <w:szCs w:val="20"/>
          <w:shd w:val="clear" w:color="auto" w:fill="FAF9F8"/>
          <w:lang w:val="en"/>
        </w:rPr>
        <w:t>O</w:t>
      </w:r>
      <w:r w:rsidR="004C6C51" w:rsidRPr="00C5112A">
        <w:rPr>
          <w:rFonts w:ascii="Verdana" w:hAnsi="Verdana"/>
          <w:sz w:val="20"/>
          <w:szCs w:val="20"/>
          <w:shd w:val="clear" w:color="auto" w:fill="FAF9F8"/>
          <w:lang w:val="en"/>
        </w:rPr>
        <w:t xml:space="preserve">perational programme on </w:t>
      </w:r>
      <w:r w:rsidRPr="00C5112A">
        <w:rPr>
          <w:rFonts w:ascii="Verdana" w:hAnsi="Verdana"/>
          <w:sz w:val="20"/>
          <w:szCs w:val="20"/>
          <w:shd w:val="clear" w:color="auto" w:fill="FAF9F8"/>
          <w:lang w:val="en"/>
        </w:rPr>
        <w:t xml:space="preserve">Transport was implemented </w:t>
      </w:r>
      <w:r w:rsidR="001417E2" w:rsidRPr="00C5112A">
        <w:rPr>
          <w:rFonts w:ascii="Verdana" w:hAnsi="Verdana"/>
          <w:sz w:val="20"/>
          <w:szCs w:val="20"/>
          <w:shd w:val="clear" w:color="auto" w:fill="FAF9F8"/>
          <w:lang w:val="en"/>
        </w:rPr>
        <w:t xml:space="preserve">in </w:t>
      </w:r>
      <w:r w:rsidRPr="00C5112A">
        <w:rPr>
          <w:rFonts w:ascii="Verdana" w:hAnsi="Verdana"/>
          <w:sz w:val="20"/>
          <w:szCs w:val="20"/>
          <w:shd w:val="clear" w:color="auto" w:fill="FAF9F8"/>
          <w:lang w:val="en"/>
        </w:rPr>
        <w:t xml:space="preserve">programming period 2007-2013, </w:t>
      </w:r>
      <w:r w:rsidR="001417E2" w:rsidRPr="00C5112A">
        <w:rPr>
          <w:rFonts w:ascii="Verdana" w:hAnsi="Verdana"/>
          <w:sz w:val="20"/>
          <w:szCs w:val="20"/>
          <w:shd w:val="clear" w:color="auto" w:fill="FAF9F8"/>
          <w:lang w:val="en"/>
        </w:rPr>
        <w:t>funded by t</w:t>
      </w:r>
      <w:r w:rsidRPr="00C5112A">
        <w:rPr>
          <w:rFonts w:ascii="Verdana" w:hAnsi="Verdana"/>
          <w:sz w:val="20"/>
          <w:szCs w:val="20"/>
          <w:shd w:val="clear" w:color="auto" w:fill="FAF9F8"/>
          <w:lang w:val="en"/>
        </w:rPr>
        <w:t xml:space="preserve">he European Regional Development Fund, the EU Cohesion Fund and the state budget of the Republic of Bulgaria. </w:t>
      </w:r>
      <w:r w:rsidR="0085768F" w:rsidRPr="00C5112A">
        <w:rPr>
          <w:rFonts w:ascii="Verdana" w:hAnsi="Verdana"/>
          <w:sz w:val="20"/>
          <w:szCs w:val="20"/>
          <w:shd w:val="clear" w:color="auto" w:fill="FAF9F8"/>
          <w:lang w:val="en"/>
        </w:rPr>
        <w:t>The overall goal of the programme was development of sustainable transport system and its specific goals were the integration of the national transport system into the EU transport network of and achievement of balance between transport modes.</w:t>
      </w:r>
      <w:r w:rsidR="00BB7CC3" w:rsidRPr="00C5112A">
        <w:rPr>
          <w:rFonts w:ascii="Verdana" w:hAnsi="Verdana"/>
          <w:sz w:val="20"/>
          <w:szCs w:val="20"/>
          <w:shd w:val="clear" w:color="auto" w:fill="FAF9F8"/>
          <w:lang w:val="en"/>
        </w:rPr>
        <w:t xml:space="preserve"> </w:t>
      </w:r>
      <w:r w:rsidR="00C5112A" w:rsidRPr="00C5112A">
        <w:rPr>
          <w:rFonts w:ascii="Verdana" w:hAnsi="Verdana"/>
          <w:sz w:val="20"/>
          <w:szCs w:val="20"/>
          <w:shd w:val="clear" w:color="auto" w:fill="FAF9F8"/>
          <w:lang w:val="en"/>
        </w:rPr>
        <w:t>The total amount of funds invested in the form of grants under the programme is appr. EUR 3,685 million or 98.58% of the programme budget. Support was provided for 120 projects, with main share focused on 25 investment projects, 11 of which were "major projects" (with budget over EUR 50 million), as per the meaning of Regulation (EC) No 1083/2006.  As a result of the programme implementation, 345 km of railway were rehabilitated on the territory of the Republic of Bulgaria, 310 km roads were built, 21 km metro</w:t>
      </w:r>
      <w:r w:rsidR="00B40B9E">
        <w:rPr>
          <w:rFonts w:ascii="Verdana" w:hAnsi="Verdana"/>
          <w:sz w:val="20"/>
          <w:szCs w:val="20"/>
          <w:shd w:val="clear" w:color="auto" w:fill="FAF9F8"/>
          <w:lang w:val="en"/>
        </w:rPr>
        <w:t xml:space="preserve"> </w:t>
      </w:r>
      <w:r w:rsidR="00C5112A" w:rsidRPr="00C5112A">
        <w:rPr>
          <w:rFonts w:ascii="Verdana" w:hAnsi="Verdana"/>
          <w:sz w:val="20"/>
          <w:szCs w:val="20"/>
          <w:shd w:val="clear" w:color="auto" w:fill="FAF9F8"/>
          <w:lang w:val="en"/>
        </w:rPr>
        <w:t>lines and 20 metro</w:t>
      </w:r>
      <w:r w:rsidR="00B40B9E">
        <w:rPr>
          <w:rFonts w:ascii="Verdana" w:hAnsi="Verdana"/>
          <w:sz w:val="20"/>
          <w:szCs w:val="20"/>
          <w:shd w:val="clear" w:color="auto" w:fill="FAF9F8"/>
          <w:lang w:val="en"/>
        </w:rPr>
        <w:t xml:space="preserve"> </w:t>
      </w:r>
      <w:r w:rsidR="00C5112A" w:rsidRPr="00C5112A">
        <w:rPr>
          <w:rFonts w:ascii="Verdana" w:hAnsi="Verdana"/>
          <w:sz w:val="20"/>
          <w:szCs w:val="20"/>
          <w:shd w:val="clear" w:color="auto" w:fill="FAF9F8"/>
          <w:lang w:val="en"/>
        </w:rPr>
        <w:t>stations were constructed.</w:t>
      </w:r>
    </w:p>
    <w:p w14:paraId="24EB8F24" w14:textId="77777777" w:rsidR="00C5112A" w:rsidRPr="004C6C51" w:rsidRDefault="00C5112A" w:rsidP="00A0587B">
      <w:pPr>
        <w:spacing w:before="120" w:after="120" w:line="240" w:lineRule="auto"/>
        <w:jc w:val="both"/>
        <w:rPr>
          <w:rFonts w:ascii="Verdana" w:eastAsia="Calibri" w:hAnsi="Verdana" w:cs="Times New Roman"/>
          <w:bCs/>
          <w:iCs/>
          <w:color w:val="000000"/>
          <w:sz w:val="20"/>
          <w:szCs w:val="20"/>
          <w:highlight w:val="yellow"/>
          <w:lang w:val="bg-BG" w:eastAsia="en-GB"/>
        </w:rPr>
      </w:pPr>
    </w:p>
    <w:p w14:paraId="6B2CA25F" w14:textId="0E5463B2" w:rsidR="00445986" w:rsidRPr="00CB302D" w:rsidRDefault="00445986" w:rsidP="00A0587B">
      <w:pPr>
        <w:spacing w:before="120" w:after="120" w:line="240" w:lineRule="auto"/>
        <w:jc w:val="both"/>
        <w:rPr>
          <w:rFonts w:ascii="Verdana" w:hAnsi="Verdana"/>
          <w:sz w:val="20"/>
          <w:szCs w:val="20"/>
          <w:shd w:val="clear" w:color="auto" w:fill="FAF9F8"/>
          <w:lang w:val="en"/>
        </w:rPr>
      </w:pPr>
      <w:r w:rsidRPr="00CB302D">
        <w:rPr>
          <w:rFonts w:ascii="Verdana" w:hAnsi="Verdana"/>
          <w:sz w:val="20"/>
          <w:szCs w:val="20"/>
          <w:shd w:val="clear" w:color="auto" w:fill="FAF9F8"/>
          <w:lang w:val="en"/>
        </w:rPr>
        <w:t xml:space="preserve">The main objective of the impact assessment of the </w:t>
      </w:r>
      <w:r w:rsidR="00C5112A" w:rsidRPr="00CB302D">
        <w:rPr>
          <w:rFonts w:ascii="Verdana" w:hAnsi="Verdana"/>
          <w:sz w:val="20"/>
          <w:szCs w:val="20"/>
          <w:shd w:val="clear" w:color="auto" w:fill="FAF9F8"/>
          <w:lang w:val="en"/>
        </w:rPr>
        <w:t>OPT</w:t>
      </w:r>
      <w:r w:rsidRPr="00CB302D">
        <w:rPr>
          <w:rFonts w:ascii="Verdana" w:hAnsi="Verdana"/>
          <w:sz w:val="20"/>
          <w:szCs w:val="20"/>
          <w:shd w:val="clear" w:color="auto" w:fill="FAF9F8"/>
          <w:lang w:val="en"/>
        </w:rPr>
        <w:t xml:space="preserve"> is to identify and </w:t>
      </w:r>
      <w:r w:rsidR="00345AE4" w:rsidRPr="00CB302D">
        <w:rPr>
          <w:rFonts w:ascii="Verdana" w:hAnsi="Verdana"/>
          <w:sz w:val="20"/>
          <w:szCs w:val="20"/>
          <w:shd w:val="clear" w:color="auto" w:fill="FAF9F8"/>
          <w:lang w:val="en"/>
        </w:rPr>
        <w:t>analyze</w:t>
      </w:r>
      <w:r w:rsidRPr="00CB302D">
        <w:rPr>
          <w:rFonts w:ascii="Verdana" w:hAnsi="Verdana"/>
          <w:sz w:val="20"/>
          <w:szCs w:val="20"/>
          <w:shd w:val="clear" w:color="auto" w:fill="FAF9F8"/>
          <w:lang w:val="en"/>
        </w:rPr>
        <w:t xml:space="preserve"> the achieved effects of the projects implemented in programming period</w:t>
      </w:r>
      <w:r w:rsidR="00345AE4" w:rsidRPr="00CB302D">
        <w:rPr>
          <w:rFonts w:ascii="Verdana" w:hAnsi="Verdana"/>
          <w:sz w:val="20"/>
          <w:szCs w:val="20"/>
          <w:shd w:val="clear" w:color="auto" w:fill="FAF9F8"/>
          <w:lang w:val="en"/>
        </w:rPr>
        <w:t xml:space="preserve"> 2007-2013</w:t>
      </w:r>
      <w:r w:rsidRPr="00CB302D">
        <w:rPr>
          <w:rFonts w:ascii="Verdana" w:hAnsi="Verdana"/>
          <w:sz w:val="20"/>
          <w:szCs w:val="20"/>
          <w:shd w:val="clear" w:color="auto" w:fill="FAF9F8"/>
          <w:lang w:val="en"/>
        </w:rPr>
        <w:t>, to assess pro</w:t>
      </w:r>
      <w:r w:rsidR="0019224E" w:rsidRPr="00CB302D">
        <w:rPr>
          <w:rFonts w:ascii="Verdana" w:hAnsi="Verdana"/>
          <w:sz w:val="20"/>
          <w:szCs w:val="20"/>
          <w:shd w:val="clear" w:color="auto" w:fill="FAF9F8"/>
          <w:lang w:val="en"/>
        </w:rPr>
        <w:t>gramme</w:t>
      </w:r>
      <w:r w:rsidRPr="00CB302D">
        <w:rPr>
          <w:rFonts w:ascii="Verdana" w:hAnsi="Verdana"/>
          <w:sz w:val="20"/>
          <w:szCs w:val="20"/>
          <w:shd w:val="clear" w:color="auto" w:fill="FAF9F8"/>
          <w:lang w:val="en"/>
        </w:rPr>
        <w:t xml:space="preserve"> effectiveness and efficiency, to</w:t>
      </w:r>
      <w:r w:rsidR="006D1E63" w:rsidRPr="00CB302D">
        <w:rPr>
          <w:rFonts w:ascii="Verdana" w:hAnsi="Verdana"/>
          <w:sz w:val="20"/>
          <w:szCs w:val="20"/>
          <w:shd w:val="clear" w:color="auto" w:fill="FAF9F8"/>
          <w:lang w:val="en"/>
        </w:rPr>
        <w:t xml:space="preserve"> evaluate the programme</w:t>
      </w:r>
      <w:r w:rsidRPr="00CB302D">
        <w:rPr>
          <w:rFonts w:ascii="Verdana" w:hAnsi="Verdana"/>
          <w:sz w:val="20"/>
          <w:szCs w:val="20"/>
          <w:shd w:val="clear" w:color="auto" w:fill="FAF9F8"/>
          <w:lang w:val="en"/>
        </w:rPr>
        <w:t xml:space="preserve"> contribution to solving strategic problems and overcom</w:t>
      </w:r>
      <w:r w:rsidR="006D1E63" w:rsidRPr="00CB302D">
        <w:rPr>
          <w:rFonts w:ascii="Verdana" w:hAnsi="Verdana"/>
          <w:sz w:val="20"/>
          <w:szCs w:val="20"/>
          <w:shd w:val="clear" w:color="auto" w:fill="FAF9F8"/>
          <w:lang w:val="en"/>
        </w:rPr>
        <w:t>ing</w:t>
      </w:r>
      <w:r w:rsidRPr="00CB302D">
        <w:rPr>
          <w:rFonts w:ascii="Verdana" w:hAnsi="Verdana"/>
          <w:sz w:val="20"/>
          <w:szCs w:val="20"/>
          <w:shd w:val="clear" w:color="auto" w:fill="FAF9F8"/>
          <w:lang w:val="en"/>
        </w:rPr>
        <w:t xml:space="preserve"> challenges in the transport sector and the </w:t>
      </w:r>
      <w:r w:rsidR="00CB302D" w:rsidRPr="00CB302D">
        <w:rPr>
          <w:rFonts w:ascii="Verdana" w:hAnsi="Verdana"/>
          <w:sz w:val="20"/>
          <w:szCs w:val="20"/>
          <w:shd w:val="clear" w:color="auto" w:fill="FAF9F8"/>
          <w:lang w:val="en"/>
        </w:rPr>
        <w:t xml:space="preserve">national </w:t>
      </w:r>
      <w:r w:rsidRPr="00CB302D">
        <w:rPr>
          <w:rFonts w:ascii="Verdana" w:hAnsi="Verdana"/>
          <w:sz w:val="20"/>
          <w:szCs w:val="20"/>
          <w:shd w:val="clear" w:color="auto" w:fill="FAF9F8"/>
          <w:lang w:val="en"/>
        </w:rPr>
        <w:t>economy.</w:t>
      </w:r>
    </w:p>
    <w:p w14:paraId="2A5E0389" w14:textId="77777777" w:rsidR="00445986" w:rsidRPr="004C6C51" w:rsidRDefault="00445986" w:rsidP="00A0587B">
      <w:pPr>
        <w:spacing w:before="120" w:after="120" w:line="240" w:lineRule="auto"/>
        <w:jc w:val="both"/>
        <w:rPr>
          <w:rFonts w:ascii="Verdana" w:hAnsi="Verdana" w:cs="Times New Roman"/>
          <w:sz w:val="20"/>
          <w:szCs w:val="20"/>
          <w:highlight w:val="yellow"/>
          <w:shd w:val="clear" w:color="auto" w:fill="FAF9F8"/>
          <w:lang w:val="bg-BG"/>
        </w:rPr>
      </w:pPr>
    </w:p>
    <w:p w14:paraId="770BAE0B" w14:textId="3D515C0E" w:rsidR="001E24B4" w:rsidRPr="004D72F4" w:rsidRDefault="00445986" w:rsidP="00A0587B">
      <w:pPr>
        <w:spacing w:before="120" w:after="120" w:line="240" w:lineRule="auto"/>
        <w:jc w:val="both"/>
        <w:rPr>
          <w:rFonts w:ascii="Verdana" w:eastAsia="Calibri" w:hAnsi="Verdana" w:cs="Helvetica"/>
          <w:sz w:val="20"/>
          <w:szCs w:val="20"/>
          <w:lang w:val="bg-BG"/>
        </w:rPr>
      </w:pPr>
      <w:r w:rsidRPr="004D72F4">
        <w:rPr>
          <w:rFonts w:ascii="Verdana" w:hAnsi="Verdana"/>
          <w:sz w:val="20"/>
          <w:szCs w:val="20"/>
          <w:shd w:val="clear" w:color="auto" w:fill="FAF9F8"/>
          <w:lang w:val="en"/>
        </w:rPr>
        <w:t xml:space="preserve">The evaluation was carried out in the period 06.02. 2020 – 08.09.2020 according to a methodology </w:t>
      </w:r>
      <w:r w:rsidR="0046241B">
        <w:rPr>
          <w:rFonts w:ascii="Verdana" w:hAnsi="Verdana"/>
          <w:sz w:val="20"/>
          <w:szCs w:val="20"/>
          <w:shd w:val="clear" w:color="auto" w:fill="FAF9F8"/>
          <w:lang w:val="en"/>
        </w:rPr>
        <w:t>covering</w:t>
      </w:r>
      <w:r w:rsidR="001E39D7">
        <w:rPr>
          <w:rFonts w:ascii="Verdana" w:hAnsi="Verdana"/>
          <w:sz w:val="20"/>
          <w:szCs w:val="20"/>
          <w:shd w:val="clear" w:color="auto" w:fill="FAF9F8"/>
          <w:lang w:val="en"/>
        </w:rPr>
        <w:t xml:space="preserve"> the</w:t>
      </w:r>
      <w:r w:rsidR="0046241B">
        <w:rPr>
          <w:rFonts w:ascii="Verdana" w:hAnsi="Verdana"/>
          <w:sz w:val="20"/>
          <w:szCs w:val="20"/>
          <w:shd w:val="clear" w:color="auto" w:fill="FAF9F8"/>
          <w:lang w:val="en"/>
        </w:rPr>
        <w:t xml:space="preserve"> </w:t>
      </w:r>
      <w:r w:rsidRPr="004D72F4">
        <w:rPr>
          <w:rFonts w:ascii="Verdana" w:hAnsi="Verdana"/>
          <w:sz w:val="20"/>
          <w:szCs w:val="20"/>
          <w:shd w:val="clear" w:color="auto" w:fill="FAF9F8"/>
          <w:lang w:val="en"/>
        </w:rPr>
        <w:t>main</w:t>
      </w:r>
      <w:r w:rsidR="001E39D7">
        <w:rPr>
          <w:rFonts w:ascii="Verdana" w:hAnsi="Verdana"/>
          <w:sz w:val="20"/>
          <w:szCs w:val="20"/>
          <w:shd w:val="clear" w:color="auto" w:fill="FAF9F8"/>
          <w:lang w:val="en"/>
        </w:rPr>
        <w:t xml:space="preserve"> programme</w:t>
      </w:r>
      <w:r w:rsidRPr="004D72F4">
        <w:rPr>
          <w:rFonts w:ascii="Verdana" w:hAnsi="Verdana"/>
          <w:sz w:val="20"/>
          <w:szCs w:val="20"/>
          <w:shd w:val="clear" w:color="auto" w:fill="FAF9F8"/>
          <w:lang w:val="en"/>
        </w:rPr>
        <w:t xml:space="preserve"> characteristics – </w:t>
      </w:r>
      <w:r w:rsidRPr="004D72F4">
        <w:rPr>
          <w:rFonts w:ascii="Verdana" w:hAnsi="Verdana"/>
          <w:i/>
          <w:iCs/>
          <w:sz w:val="20"/>
          <w:szCs w:val="20"/>
          <w:shd w:val="clear" w:color="auto" w:fill="FAF9F8"/>
          <w:lang w:val="en"/>
        </w:rPr>
        <w:t>relevance, consistency, effectiveness, efficiency</w:t>
      </w:r>
      <w:r w:rsidR="00F50700" w:rsidRPr="004D72F4">
        <w:rPr>
          <w:rFonts w:ascii="Verdana" w:hAnsi="Verdana"/>
          <w:i/>
          <w:iCs/>
          <w:sz w:val="20"/>
          <w:szCs w:val="20"/>
          <w:shd w:val="clear" w:color="auto" w:fill="FAF9F8"/>
          <w:lang w:val="bg-BG"/>
        </w:rPr>
        <w:t xml:space="preserve"> </w:t>
      </w:r>
      <w:r w:rsidRPr="004D72F4">
        <w:rPr>
          <w:rFonts w:ascii="Verdana" w:hAnsi="Verdana"/>
          <w:sz w:val="20"/>
          <w:szCs w:val="20"/>
          <w:lang w:val="en"/>
        </w:rPr>
        <w:t xml:space="preserve">and impact. The conclusions of the evaluation are based on documentary </w:t>
      </w:r>
      <w:r w:rsidR="001E39D7">
        <w:rPr>
          <w:rFonts w:ascii="Verdana" w:hAnsi="Verdana"/>
          <w:sz w:val="20"/>
          <w:szCs w:val="20"/>
          <w:lang w:val="en"/>
        </w:rPr>
        <w:t>review</w:t>
      </w:r>
      <w:r w:rsidRPr="004D72F4">
        <w:rPr>
          <w:rFonts w:ascii="Verdana" w:hAnsi="Verdana"/>
          <w:sz w:val="20"/>
          <w:szCs w:val="20"/>
          <w:lang w:val="en"/>
        </w:rPr>
        <w:t>, financial, economic and statistical analysis and the</w:t>
      </w:r>
      <w:r w:rsidR="00F50700" w:rsidRPr="004D72F4">
        <w:rPr>
          <w:rFonts w:ascii="Verdana" w:hAnsi="Verdana"/>
          <w:sz w:val="20"/>
          <w:szCs w:val="20"/>
          <w:lang w:val="bg-BG"/>
        </w:rPr>
        <w:t xml:space="preserve"> </w:t>
      </w:r>
      <w:r w:rsidRPr="004D72F4">
        <w:rPr>
          <w:rFonts w:ascii="Verdana" w:hAnsi="Verdana"/>
          <w:sz w:val="20"/>
          <w:szCs w:val="20"/>
          <w:shd w:val="clear" w:color="auto" w:fill="FAF9F8"/>
          <w:lang w:val="en"/>
        </w:rPr>
        <w:t xml:space="preserve">Evaluator's </w:t>
      </w:r>
      <w:r w:rsidR="006512A9" w:rsidRPr="004D72F4">
        <w:rPr>
          <w:rFonts w:ascii="Verdana" w:hAnsi="Verdana"/>
          <w:sz w:val="20"/>
          <w:szCs w:val="20"/>
          <w:shd w:val="clear" w:color="auto" w:fill="FAF9F8"/>
          <w:lang w:val="en"/>
        </w:rPr>
        <w:t>ad-hoc</w:t>
      </w:r>
      <w:r w:rsidRPr="004D72F4">
        <w:rPr>
          <w:rFonts w:ascii="Verdana" w:hAnsi="Verdana"/>
          <w:sz w:val="20"/>
          <w:szCs w:val="20"/>
          <w:shd w:val="clear" w:color="auto" w:fill="FAF9F8"/>
          <w:lang w:val="en"/>
        </w:rPr>
        <w:t xml:space="preserve"> </w:t>
      </w:r>
      <w:r w:rsidR="006512A9" w:rsidRPr="004D72F4">
        <w:rPr>
          <w:rFonts w:ascii="Verdana" w:hAnsi="Verdana"/>
          <w:sz w:val="20"/>
          <w:szCs w:val="20"/>
          <w:shd w:val="clear" w:color="auto" w:fill="FAF9F8"/>
          <w:lang w:val="en"/>
        </w:rPr>
        <w:t>research</w:t>
      </w:r>
      <w:r w:rsidRPr="004D72F4">
        <w:rPr>
          <w:rFonts w:ascii="Verdana" w:hAnsi="Verdana"/>
          <w:sz w:val="20"/>
          <w:szCs w:val="20"/>
          <w:shd w:val="clear" w:color="auto" w:fill="FAF9F8"/>
          <w:lang w:val="en"/>
        </w:rPr>
        <w:t xml:space="preserve"> – questionnaires, in-depth interviews with stakeholders and expert meetings with representatives of the MA.</w:t>
      </w:r>
      <w:r w:rsidRPr="004D72F4">
        <w:rPr>
          <w:rFonts w:ascii="Verdana" w:hAnsi="Verdana"/>
          <w:sz w:val="20"/>
          <w:szCs w:val="20"/>
          <w:lang w:val="en"/>
        </w:rPr>
        <w:t xml:space="preserve"> The approaches </w:t>
      </w:r>
      <w:r w:rsidR="004D72F4" w:rsidRPr="004D72F4">
        <w:rPr>
          <w:rFonts w:ascii="Verdana" w:hAnsi="Verdana"/>
          <w:sz w:val="20"/>
          <w:szCs w:val="20"/>
          <w:lang w:val="en"/>
        </w:rPr>
        <w:t xml:space="preserve">applied in the evaluation </w:t>
      </w:r>
      <w:r w:rsidR="00131A21">
        <w:rPr>
          <w:rFonts w:ascii="Verdana" w:hAnsi="Verdana"/>
          <w:sz w:val="20"/>
          <w:szCs w:val="20"/>
          <w:lang w:val="en"/>
        </w:rPr>
        <w:t xml:space="preserve">are based on </w:t>
      </w:r>
      <w:r w:rsidRPr="004D72F4">
        <w:rPr>
          <w:rFonts w:ascii="Verdana" w:hAnsi="Verdana"/>
          <w:sz w:val="20"/>
          <w:szCs w:val="20"/>
          <w:lang w:val="en"/>
        </w:rPr>
        <w:t>established good practices in the EU</w:t>
      </w:r>
      <w:r w:rsidR="004D72F4" w:rsidRPr="004D72F4">
        <w:rPr>
          <w:rFonts w:ascii="Verdana" w:hAnsi="Verdana"/>
          <w:sz w:val="20"/>
          <w:szCs w:val="20"/>
          <w:lang w:val="en"/>
        </w:rPr>
        <w:t>, in order</w:t>
      </w:r>
      <w:r w:rsidRPr="004D72F4">
        <w:rPr>
          <w:rFonts w:ascii="Verdana" w:hAnsi="Verdana"/>
          <w:sz w:val="20"/>
          <w:szCs w:val="20"/>
          <w:lang w:val="en"/>
        </w:rPr>
        <w:t xml:space="preserve"> to ensure the </w:t>
      </w:r>
      <w:r w:rsidR="001E24B4" w:rsidRPr="004D72F4">
        <w:rPr>
          <w:rFonts w:ascii="Verdana" w:hAnsi="Verdana"/>
          <w:sz w:val="20"/>
          <w:szCs w:val="20"/>
          <w:lang w:val="en"/>
        </w:rPr>
        <w:t>accuracy, consistency, transparency,</w:t>
      </w:r>
      <w:r w:rsidRPr="004D72F4">
        <w:rPr>
          <w:rFonts w:ascii="Verdana" w:hAnsi="Verdana"/>
          <w:sz w:val="20"/>
          <w:szCs w:val="20"/>
          <w:lang w:val="en"/>
        </w:rPr>
        <w:t xml:space="preserve"> independence and reliability of evaluation results.</w:t>
      </w:r>
    </w:p>
    <w:p w14:paraId="7BE7F433" w14:textId="77777777" w:rsidR="001E24B4" w:rsidRPr="004C6C51" w:rsidRDefault="001E24B4" w:rsidP="00A0587B">
      <w:pPr>
        <w:spacing w:before="120" w:after="120" w:line="240" w:lineRule="auto"/>
        <w:jc w:val="both"/>
        <w:rPr>
          <w:rFonts w:ascii="Verdana" w:eastAsia="Helvetica" w:hAnsi="Verdana" w:cs="Helvetica"/>
          <w:sz w:val="20"/>
          <w:szCs w:val="20"/>
          <w:highlight w:val="yellow"/>
          <w:lang w:val="bg-BG"/>
        </w:rPr>
      </w:pPr>
    </w:p>
    <w:p w14:paraId="1620E053" w14:textId="3E663C5F" w:rsidR="001E24B4" w:rsidRPr="004C6C51" w:rsidRDefault="009B05EA" w:rsidP="00A0587B">
      <w:pPr>
        <w:spacing w:before="120" w:after="120" w:line="240" w:lineRule="auto"/>
        <w:jc w:val="both"/>
        <w:rPr>
          <w:rFonts w:ascii="Verdana" w:eastAsia="Calibri" w:hAnsi="Verdana" w:cs="Calibri"/>
          <w:highlight w:val="yellow"/>
          <w:lang w:val="bg-BG"/>
        </w:rPr>
      </w:pPr>
      <w:r w:rsidRPr="004C6C51">
        <w:rPr>
          <w:rFonts w:ascii="Verdana" w:hAnsi="Verdana"/>
          <w:noProof/>
          <w:highlight w:val="yellow"/>
          <w:lang w:val="bg-BG" w:eastAsia="bg-BG"/>
        </w:rPr>
        <mc:AlternateContent>
          <mc:Choice Requires="wps">
            <w:drawing>
              <wp:anchor distT="0" distB="0" distL="114300" distR="114300" simplePos="0" relativeHeight="251642368" behindDoc="0" locked="0" layoutInCell="1" allowOverlap="1" wp14:anchorId="064A7B3D" wp14:editId="5983F5F6">
                <wp:simplePos x="0" y="0"/>
                <wp:positionH relativeFrom="margin">
                  <wp:posOffset>4618990</wp:posOffset>
                </wp:positionH>
                <wp:positionV relativeFrom="paragraph">
                  <wp:posOffset>133350</wp:posOffset>
                </wp:positionV>
                <wp:extent cx="1276350" cy="342900"/>
                <wp:effectExtent l="19050" t="19050" r="57150" b="57150"/>
                <wp:wrapNone/>
                <wp:docPr id="7" name="Pentagon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6350" cy="342900"/>
                        </a:xfrm>
                        <a:prstGeom prst="homePlate">
                          <a:avLst>
                            <a:gd name="adj" fmla="val 96505"/>
                          </a:avLst>
                        </a:prstGeom>
                        <a:solidFill>
                          <a:srgbClr val="374E81"/>
                        </a:solidFill>
                        <a:ln w="38100">
                          <a:solidFill>
                            <a:srgbClr val="CAC5BC"/>
                          </a:solidFill>
                          <a:miter lim="800000"/>
                          <a:headEnd/>
                          <a:tailEnd/>
                        </a:ln>
                        <a:effectLst>
                          <a:outerShdw dist="28398" dir="3806097" algn="ctr" rotWithShape="0">
                            <a:srgbClr val="243F60">
                              <a:alpha val="50000"/>
                            </a:srgbClr>
                          </a:outerShdw>
                        </a:effectLst>
                      </wps:spPr>
                      <wps:txbx>
                        <w:txbxContent>
                          <w:p w14:paraId="1F5C6ABB" w14:textId="1F8D167D" w:rsidR="00424BA0" w:rsidRPr="00B40B9E" w:rsidRDefault="00424BA0" w:rsidP="001E24B4">
                            <w:pPr>
                              <w:shd w:val="clear" w:color="auto" w:fill="374E81"/>
                              <w:rPr>
                                <w:rFonts w:cs="Tahoma"/>
                                <w:b/>
                                <w:color w:val="EEECE1"/>
                                <w:sz w:val="16"/>
                                <w:szCs w:val="16"/>
                              </w:rPr>
                            </w:pPr>
                            <w:r w:rsidRPr="00B40B9E">
                              <w:rPr>
                                <w:b/>
                                <w:color w:val="EEECE1"/>
                                <w:sz w:val="16"/>
                                <w:szCs w:val="16"/>
                                <w:shd w:val="clear" w:color="auto" w:fill="374E81"/>
                                <w:lang w:val="en"/>
                              </w:rPr>
                              <w:t>Recommendations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4A7B3D"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Pentagon 7" o:spid="_x0000_s1026" type="#_x0000_t15" style="position:absolute;left:0;text-align:left;margin-left:363.7pt;margin-top:10.5pt;width:100.5pt;height:27pt;z-index:2516423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" adj="16000" fillcolor="#374e81" strokecolor="#cac5bc" strokeweight="3pt">
                <v:shadow on="t" color="#243f60" opacity=".5" offset="1pt"/>
                <v:textbox>
                  <w:txbxContent>
                    <w:p w14:paraId="1F5C6ABB" w14:textId="1F8D167D" w:rsidR="00424BA0" w:rsidRPr="00B40B9E" w:rsidRDefault="00424BA0" w:rsidP="001E24B4">
                      <w:pPr>
                        <w:shd w:val="clear" w:color="auto" w:fill="374E81"/>
                        <w:rPr>
                          <w:rFonts w:cs="Tahoma"/>
                          <w:b/>
                          <w:color w:val="EEECE1"/>
                          <w:sz w:val="16"/>
                          <w:szCs w:val="16"/>
                        </w:rPr>
                      </w:pPr>
                      <w:r w:rsidRPr="00B40B9E">
                        <w:rPr>
                          <w:b/>
                          <w:color w:val="EEECE1"/>
                          <w:sz w:val="16"/>
                          <w:szCs w:val="16"/>
                          <w:shd w:val="clear" w:color="auto" w:fill="374E81"/>
                          <w:lang w:val="en"/>
                        </w:rPr>
                        <w:t>Recommendations</w:t>
                      </w:r>
                    </w:p>
                  </w:txbxContent>
                </v:textbox>
                <w10:wrap anchorx="margin"/>
              </v:shape>
            </w:pict>
          </mc:Fallback>
        </mc:AlternateContent>
      </w:r>
      <w:r w:rsidRPr="004C6C51">
        <w:rPr>
          <w:rFonts w:ascii="Verdana" w:hAnsi="Verdana"/>
          <w:noProof/>
          <w:highlight w:val="yellow"/>
          <w:lang w:val="bg-BG" w:eastAsia="bg-BG"/>
        </w:rPr>
        <mc:AlternateContent>
          <mc:Choice Requires="wps">
            <w:drawing>
              <wp:anchor distT="0" distB="0" distL="114300" distR="114300" simplePos="0" relativeHeight="251646464" behindDoc="0" locked="0" layoutInCell="1" allowOverlap="1" wp14:anchorId="64D46F87" wp14:editId="1470C5AD">
                <wp:simplePos x="0" y="0"/>
                <wp:positionH relativeFrom="column">
                  <wp:posOffset>3414078</wp:posOffset>
                </wp:positionH>
                <wp:positionV relativeFrom="paragraph">
                  <wp:posOffset>131128</wp:posOffset>
                </wp:positionV>
                <wp:extent cx="1152525" cy="295275"/>
                <wp:effectExtent l="19050" t="19050" r="66675" b="66675"/>
                <wp:wrapNone/>
                <wp:docPr id="8" name="Pentagon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525" cy="295275"/>
                        </a:xfrm>
                        <a:prstGeom prst="homePlate">
                          <a:avLst>
                            <a:gd name="adj" fmla="val 105108"/>
                          </a:avLst>
                        </a:prstGeom>
                        <a:solidFill>
                          <a:srgbClr val="374E81"/>
                        </a:solidFill>
                        <a:ln w="38100">
                          <a:solidFill>
                            <a:srgbClr val="CAC5BC"/>
                          </a:solidFill>
                          <a:miter lim="800000"/>
                          <a:headEnd/>
                          <a:tailEnd/>
                        </a:ln>
                        <a:effectLst>
                          <a:outerShdw dist="28398" dir="3806097" algn="ctr" rotWithShape="0">
                            <a:srgbClr val="243F60">
                              <a:alpha val="50000"/>
                            </a:srgbClr>
                          </a:outerShdw>
                        </a:effectLst>
                      </wps:spPr>
                      <wps:txbx>
                        <w:txbxContent>
                          <w:p w14:paraId="377748BF" w14:textId="77777777" w:rsidR="00424BA0" w:rsidRPr="00B40B9E" w:rsidRDefault="00424BA0" w:rsidP="001E24B4">
                            <w:pPr>
                              <w:shd w:val="clear" w:color="auto" w:fill="374E81"/>
                              <w:rPr>
                                <w:rFonts w:cs="Tahoma"/>
                                <w:color w:val="EEECE1"/>
                                <w:sz w:val="16"/>
                                <w:szCs w:val="16"/>
                              </w:rPr>
                            </w:pPr>
                            <w:r w:rsidRPr="00B40B9E">
                              <w:rPr>
                                <w:b/>
                                <w:color w:val="EEECE1"/>
                                <w:sz w:val="16"/>
                                <w:szCs w:val="16"/>
                                <w:lang w:val="en"/>
                              </w:rPr>
                              <w:t>Conclusions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D46F87" id="Pentagon 8" o:spid="_x0000_s1027" type="#_x0000_t15" style="position:absolute;left:0;text-align:left;margin-left:268.85pt;margin-top:10.35pt;width:90.75pt;height:23.2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" adj="15783" fillcolor="#374e81" strokecolor="#cac5bc" strokeweight="3pt">
                <v:shadow on="t" color="#243f60" opacity=".5" offset="1pt"/>
                <v:textbox>
                  <w:txbxContent>
                    <w:p w14:paraId="377748BF" w14:textId="77777777" w:rsidR="00424BA0" w:rsidRPr="00B40B9E" w:rsidRDefault="00424BA0" w:rsidP="001E24B4">
                      <w:pPr>
                        <w:shd w:val="clear" w:color="auto" w:fill="374E81"/>
                        <w:rPr>
                          <w:rFonts w:cs="Tahoma"/>
                          <w:color w:val="EEECE1"/>
                          <w:sz w:val="16"/>
                          <w:szCs w:val="16"/>
                        </w:rPr>
                      </w:pPr>
                      <w:r w:rsidRPr="00B40B9E">
                        <w:rPr>
                          <w:b/>
                          <w:color w:val="EEECE1"/>
                          <w:sz w:val="16"/>
                          <w:szCs w:val="16"/>
                          <w:lang w:val="en"/>
                        </w:rPr>
                        <w:t>Conclusions</w:t>
                      </w:r>
                    </w:p>
                  </w:txbxContent>
                </v:textbox>
              </v:shape>
            </w:pict>
          </mc:Fallback>
        </mc:AlternateContent>
      </w:r>
      <w:r w:rsidRPr="004C6C51">
        <w:rPr>
          <w:rFonts w:ascii="Verdana" w:hAnsi="Verdana"/>
          <w:noProof/>
          <w:highlight w:val="yellow"/>
          <w:lang w:val="bg-BG" w:eastAsia="bg-BG"/>
        </w:rPr>
        <mc:AlternateContent>
          <mc:Choice Requires="wps">
            <w:drawing>
              <wp:anchor distT="0" distB="0" distL="114300" distR="114300" simplePos="0" relativeHeight="251654656" behindDoc="0" locked="0" layoutInCell="1" allowOverlap="1" wp14:anchorId="346432AF" wp14:editId="2565B8E5">
                <wp:simplePos x="0" y="0"/>
                <wp:positionH relativeFrom="margin">
                  <wp:posOffset>2185353</wp:posOffset>
                </wp:positionH>
                <wp:positionV relativeFrom="paragraph">
                  <wp:posOffset>116840</wp:posOffset>
                </wp:positionV>
                <wp:extent cx="1157287" cy="295275"/>
                <wp:effectExtent l="19050" t="19050" r="62230" b="66675"/>
                <wp:wrapNone/>
                <wp:docPr id="18" name="Pentagon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7287" cy="295275"/>
                        </a:xfrm>
                        <a:prstGeom prst="homePlate">
                          <a:avLst>
                            <a:gd name="adj" fmla="val 105645"/>
                          </a:avLst>
                        </a:prstGeom>
                        <a:solidFill>
                          <a:srgbClr val="374E81"/>
                        </a:solidFill>
                        <a:ln w="38100">
                          <a:solidFill>
                            <a:srgbClr val="CAC5BC"/>
                          </a:solidFill>
                          <a:miter lim="800000"/>
                          <a:headEnd/>
                          <a:tailEnd/>
                        </a:ln>
                        <a:effectLst>
                          <a:outerShdw dist="28398" dir="3806097" algn="ctr" rotWithShape="0">
                            <a:srgbClr val="243F60">
                              <a:alpha val="50000"/>
                            </a:srgbClr>
                          </a:outerShdw>
                        </a:effectLst>
                      </wps:spPr>
                      <wps:txbx>
                        <w:txbxContent>
                          <w:p w14:paraId="762EA5CB" w14:textId="09123803" w:rsidR="00424BA0" w:rsidRPr="00B40B9E" w:rsidRDefault="00424BA0" w:rsidP="001E24B4">
                            <w:pPr>
                              <w:shd w:val="clear" w:color="auto" w:fill="374E81"/>
                              <w:rPr>
                                <w:rFonts w:cs="Tahoma"/>
                                <w:b/>
                                <w:color w:val="EEECE1"/>
                                <w:sz w:val="16"/>
                                <w:szCs w:val="16"/>
                              </w:rPr>
                            </w:pPr>
                            <w:r w:rsidRPr="00B40B9E">
                              <w:rPr>
                                <w:b/>
                                <w:color w:val="EEECE1"/>
                                <w:sz w:val="16"/>
                                <w:szCs w:val="16"/>
                                <w:lang w:val="en"/>
                              </w:rPr>
                              <w:t>Findings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6432AF" id="Pentagon 18" o:spid="_x0000_s1028" type="#_x0000_t15" style="position:absolute;left:0;text-align:left;margin-left:172.1pt;margin-top:9.2pt;width:91.1pt;height:23.25pt;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" adj="15778" fillcolor="#374e81" strokecolor="#cac5bc" strokeweight="3pt">
                <v:shadow on="t" color="#243f60" opacity=".5" offset="1pt"/>
                <v:textbox>
                  <w:txbxContent>
                    <w:p w14:paraId="762EA5CB" w14:textId="09123803" w:rsidR="00424BA0" w:rsidRPr="00B40B9E" w:rsidRDefault="00424BA0" w:rsidP="001E24B4">
                      <w:pPr>
                        <w:shd w:val="clear" w:color="auto" w:fill="374E81"/>
                        <w:rPr>
                          <w:rFonts w:cs="Tahoma"/>
                          <w:b/>
                          <w:color w:val="EEECE1"/>
                          <w:sz w:val="16"/>
                          <w:szCs w:val="16"/>
                        </w:rPr>
                      </w:pPr>
                      <w:r w:rsidRPr="00B40B9E">
                        <w:rPr>
                          <w:b/>
                          <w:color w:val="EEECE1"/>
                          <w:sz w:val="16"/>
                          <w:szCs w:val="16"/>
                          <w:lang w:val="en"/>
                        </w:rPr>
                        <w:t>Findings</w:t>
                      </w:r>
                    </w:p>
                  </w:txbxContent>
                </v:textbox>
                <w10:wrap anchorx="margin"/>
              </v:shape>
            </w:pict>
          </mc:Fallback>
        </mc:AlternateContent>
      </w:r>
      <w:r w:rsidR="001E24B4" w:rsidRPr="004C6C51">
        <w:rPr>
          <w:rFonts w:ascii="Verdana" w:hAnsi="Verdana"/>
          <w:noProof/>
          <w:highlight w:val="yellow"/>
          <w:lang w:val="bg-BG" w:eastAsia="bg-BG"/>
        </w:rPr>
        <mc:AlternateContent>
          <mc:Choice Requires="wps">
            <w:drawing>
              <wp:anchor distT="0" distB="0" distL="114300" distR="114300" simplePos="0" relativeHeight="251650560" behindDoc="0" locked="0" layoutInCell="1" allowOverlap="1" wp14:anchorId="2CE9F1E0" wp14:editId="25F0D899">
                <wp:simplePos x="0" y="0"/>
                <wp:positionH relativeFrom="column">
                  <wp:posOffset>1097255</wp:posOffset>
                </wp:positionH>
                <wp:positionV relativeFrom="paragraph">
                  <wp:posOffset>118008</wp:posOffset>
                </wp:positionV>
                <wp:extent cx="1060704" cy="295275"/>
                <wp:effectExtent l="19050" t="19050" r="63500" b="66675"/>
                <wp:wrapNone/>
                <wp:docPr id="19" name="Pentagon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0704" cy="295275"/>
                        </a:xfrm>
                        <a:prstGeom prst="homePlate">
                          <a:avLst>
                            <a:gd name="adj" fmla="val 97581"/>
                          </a:avLst>
                        </a:prstGeom>
                        <a:solidFill>
                          <a:srgbClr val="374E81"/>
                        </a:solidFill>
                        <a:ln w="38100">
                          <a:solidFill>
                            <a:srgbClr val="CAC5BC"/>
                          </a:solidFill>
                          <a:miter lim="800000"/>
                          <a:headEnd/>
                          <a:tailEnd/>
                        </a:ln>
                        <a:effectLst>
                          <a:outerShdw dist="28398" dir="3806097" algn="ctr" rotWithShape="0">
                            <a:srgbClr val="243F60">
                              <a:alpha val="50000"/>
                            </a:srgbClr>
                          </a:outerShdw>
                        </a:effectLst>
                      </wps:spPr>
                      <wps:txbx>
                        <w:txbxContent>
                          <w:p w14:paraId="769B57DA" w14:textId="77777777" w:rsidR="00424BA0" w:rsidRPr="00B40B9E" w:rsidRDefault="00424BA0" w:rsidP="001E24B4">
                            <w:pPr>
                              <w:shd w:val="clear" w:color="auto" w:fill="374E81"/>
                              <w:jc w:val="center"/>
                              <w:rPr>
                                <w:rFonts w:cs="Tahoma"/>
                                <w:b/>
                                <w:color w:val="EEECE1"/>
                                <w:sz w:val="16"/>
                                <w:szCs w:val="16"/>
                              </w:rPr>
                            </w:pPr>
                            <w:r w:rsidRPr="00B40B9E">
                              <w:rPr>
                                <w:b/>
                                <w:color w:val="EEECE1"/>
                                <w:sz w:val="16"/>
                                <w:szCs w:val="16"/>
                                <w:lang w:val="en"/>
                              </w:rPr>
                              <w:t>Analysis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E9F1E0" id="Pentagon 19" o:spid="_x0000_s1029" type="#_x0000_t15" style="position:absolute;left:0;text-align:left;margin-left:86.4pt;margin-top:9.3pt;width:83.5pt;height:23.2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" adj="15733" fillcolor="#374e81" strokecolor="#cac5bc" strokeweight="3pt">
                <v:shadow on="t" color="#243f60" opacity=".5" offset="1pt"/>
                <v:textbox>
                  <w:txbxContent>
                    <w:p w14:paraId="769B57DA" w14:textId="77777777" w:rsidR="00424BA0" w:rsidRPr="00B40B9E" w:rsidRDefault="00424BA0" w:rsidP="001E24B4">
                      <w:pPr>
                        <w:shd w:val="clear" w:color="auto" w:fill="374E81"/>
                        <w:jc w:val="center"/>
                        <w:rPr>
                          <w:rFonts w:cs="Tahoma"/>
                          <w:b/>
                          <w:color w:val="EEECE1"/>
                          <w:sz w:val="16"/>
                          <w:szCs w:val="16"/>
                        </w:rPr>
                      </w:pPr>
                      <w:r w:rsidRPr="00B40B9E">
                        <w:rPr>
                          <w:b/>
                          <w:color w:val="EEECE1"/>
                          <w:sz w:val="16"/>
                          <w:szCs w:val="16"/>
                          <w:lang w:val="en"/>
                        </w:rPr>
                        <w:t>Analysis</w:t>
                      </w:r>
                    </w:p>
                  </w:txbxContent>
                </v:textbox>
              </v:shape>
            </w:pict>
          </mc:Fallback>
        </mc:AlternateContent>
      </w:r>
      <w:r w:rsidR="001E24B4" w:rsidRPr="004C6C51">
        <w:rPr>
          <w:rFonts w:ascii="Verdana" w:hAnsi="Verdana"/>
          <w:noProof/>
          <w:highlight w:val="yellow"/>
          <w:lang w:val="bg-BG" w:eastAsia="bg-BG"/>
        </w:rPr>
        <mc:AlternateContent>
          <mc:Choice Requires="wps">
            <w:drawing>
              <wp:anchor distT="0" distB="0" distL="114300" distR="114300" simplePos="0" relativeHeight="251658752" behindDoc="0" locked="0" layoutInCell="1" allowOverlap="1" wp14:anchorId="23B2353C" wp14:editId="06B0F580">
                <wp:simplePos x="0" y="0"/>
                <wp:positionH relativeFrom="column">
                  <wp:posOffset>-7341</wp:posOffset>
                </wp:positionH>
                <wp:positionV relativeFrom="paragraph">
                  <wp:posOffset>118008</wp:posOffset>
                </wp:positionV>
                <wp:extent cx="1053389" cy="295275"/>
                <wp:effectExtent l="19050" t="19050" r="52070" b="66675"/>
                <wp:wrapNone/>
                <wp:docPr id="22" name="Pentagon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53389" cy="295275"/>
                        </a:xfrm>
                        <a:prstGeom prst="homePlate">
                          <a:avLst>
                            <a:gd name="adj" fmla="val 99194"/>
                          </a:avLst>
                        </a:prstGeom>
                        <a:solidFill>
                          <a:srgbClr val="374E81"/>
                        </a:solidFill>
                        <a:ln w="38100">
                          <a:solidFill>
                            <a:srgbClr val="CAC5BC"/>
                          </a:solidFill>
                          <a:miter lim="800000"/>
                          <a:headEnd/>
                          <a:tailEnd/>
                        </a:ln>
                        <a:effectLst>
                          <a:outerShdw dist="28398" dir="3806097" algn="ctr" rotWithShape="0">
                            <a:srgbClr val="243F60">
                              <a:alpha val="50000"/>
                            </a:srgbClr>
                          </a:outerShdw>
                        </a:effectLst>
                      </wps:spPr>
                      <wps:txbx>
                        <w:txbxContent>
                          <w:p w14:paraId="408630D2" w14:textId="77777777" w:rsidR="00424BA0" w:rsidRPr="00B40B9E" w:rsidRDefault="00424BA0" w:rsidP="001E24B4">
                            <w:pPr>
                              <w:shd w:val="clear" w:color="auto" w:fill="374E81"/>
                              <w:jc w:val="center"/>
                              <w:rPr>
                                <w:rFonts w:cs="Tahoma"/>
                                <w:b/>
                                <w:color w:val="EEECE1"/>
                                <w:sz w:val="16"/>
                                <w:szCs w:val="16"/>
                              </w:rPr>
                            </w:pPr>
                            <w:r w:rsidRPr="00B40B9E">
                              <w:rPr>
                                <w:b/>
                                <w:color w:val="EEECE1"/>
                                <w:sz w:val="16"/>
                                <w:szCs w:val="16"/>
                                <w:lang w:val="en"/>
                              </w:rPr>
                              <w:t>Data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B2353C" id="Pentagon 22" o:spid="_x0000_s1030" type="#_x0000_t15" style="position:absolute;left:0;text-align:left;margin-left:-.6pt;margin-top:9.3pt;width:82.95pt;height:23.2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" adj="15594" fillcolor="#374e81" strokecolor="#cac5bc" strokeweight="3pt">
                <v:shadow on="t" color="#243f60" opacity=".5" offset="1pt"/>
                <v:textbox>
                  <w:txbxContent>
                    <w:p w14:paraId="408630D2" w14:textId="77777777" w:rsidR="00424BA0" w:rsidRPr="00B40B9E" w:rsidRDefault="00424BA0" w:rsidP="001E24B4">
                      <w:pPr>
                        <w:shd w:val="clear" w:color="auto" w:fill="374E81"/>
                        <w:jc w:val="center"/>
                        <w:rPr>
                          <w:rFonts w:cs="Tahoma"/>
                          <w:b/>
                          <w:color w:val="EEECE1"/>
                          <w:sz w:val="16"/>
                          <w:szCs w:val="16"/>
                        </w:rPr>
                      </w:pPr>
                      <w:r w:rsidRPr="00B40B9E">
                        <w:rPr>
                          <w:b/>
                          <w:color w:val="EEECE1"/>
                          <w:sz w:val="16"/>
                          <w:szCs w:val="16"/>
                          <w:lang w:val="en"/>
                        </w:rPr>
                        <w:t>Data</w:t>
                      </w:r>
                    </w:p>
                  </w:txbxContent>
                </v:textbox>
              </v:shape>
            </w:pict>
          </mc:Fallback>
        </mc:AlternateContent>
      </w:r>
    </w:p>
    <w:p w14:paraId="2CC1BC2A" w14:textId="77777777" w:rsidR="001E24B4" w:rsidRPr="004C6C51" w:rsidRDefault="001E24B4" w:rsidP="00A0587B">
      <w:pPr>
        <w:spacing w:before="120" w:after="120" w:line="240" w:lineRule="auto"/>
        <w:jc w:val="both"/>
        <w:rPr>
          <w:rFonts w:ascii="Verdana" w:eastAsia="Helvetica" w:hAnsi="Verdana" w:cs="Helvetica"/>
          <w:sz w:val="20"/>
          <w:szCs w:val="20"/>
          <w:highlight w:val="yellow"/>
          <w:lang w:val="bg-BG"/>
        </w:rPr>
      </w:pPr>
    </w:p>
    <w:p w14:paraId="4F232C95" w14:textId="77777777" w:rsidR="00445986" w:rsidRPr="004C6C51" w:rsidRDefault="00445986" w:rsidP="00A0587B">
      <w:pPr>
        <w:spacing w:before="120" w:after="120" w:line="240" w:lineRule="auto"/>
        <w:jc w:val="both"/>
        <w:rPr>
          <w:rFonts w:ascii="Verdana" w:hAnsi="Verdana" w:cs="Times New Roman"/>
          <w:color w:val="000000"/>
          <w:sz w:val="20"/>
          <w:szCs w:val="20"/>
          <w:highlight w:val="yellow"/>
          <w:lang w:val="bg-BG"/>
        </w:rPr>
      </w:pPr>
    </w:p>
    <w:p w14:paraId="16571EDA" w14:textId="77777777" w:rsidR="001E24B4" w:rsidRPr="00012CF8" w:rsidRDefault="001E24B4" w:rsidP="00A0587B">
      <w:pPr>
        <w:spacing w:before="120" w:after="120" w:line="240" w:lineRule="auto"/>
        <w:jc w:val="both"/>
        <w:rPr>
          <w:rFonts w:ascii="Verdana" w:eastAsia="Helvetica" w:hAnsi="Verdana" w:cs="Helvetica"/>
          <w:sz w:val="20"/>
          <w:szCs w:val="20"/>
          <w:lang w:val="bg-BG"/>
        </w:rPr>
      </w:pPr>
    </w:p>
    <w:p w14:paraId="78A85892" w14:textId="12C4EF88" w:rsidR="001E24B4" w:rsidRPr="00012CF8" w:rsidRDefault="001E24B4" w:rsidP="00A0587B">
      <w:pPr>
        <w:spacing w:before="120" w:after="120" w:line="240" w:lineRule="auto"/>
        <w:jc w:val="both"/>
        <w:rPr>
          <w:rFonts w:ascii="Verdana" w:eastAsia="Helvetica" w:hAnsi="Verdana" w:cs="Helvetica"/>
          <w:sz w:val="20"/>
          <w:szCs w:val="20"/>
          <w:lang w:val="bg-BG"/>
        </w:rPr>
      </w:pPr>
      <w:r w:rsidRPr="00012CF8">
        <w:rPr>
          <w:rFonts w:ascii="Verdana" w:hAnsi="Verdana"/>
          <w:sz w:val="20"/>
          <w:szCs w:val="20"/>
          <w:lang w:val="en"/>
        </w:rPr>
        <w:t xml:space="preserve">The results of the evaluation </w:t>
      </w:r>
      <w:r w:rsidR="00012CF8" w:rsidRPr="00012CF8">
        <w:rPr>
          <w:rFonts w:ascii="Verdana" w:hAnsi="Verdana"/>
          <w:sz w:val="20"/>
          <w:szCs w:val="20"/>
          <w:lang w:val="en"/>
        </w:rPr>
        <w:t>can</w:t>
      </w:r>
      <w:r w:rsidRPr="00012CF8">
        <w:rPr>
          <w:rFonts w:ascii="Verdana" w:hAnsi="Verdana"/>
          <w:sz w:val="20"/>
          <w:szCs w:val="20"/>
          <w:lang w:val="en"/>
        </w:rPr>
        <w:t xml:space="preserve"> be used in the preparation and implementation of operational programmes in the transport sector during subsequent programming periods</w:t>
      </w:r>
      <w:r w:rsidR="00012CF8" w:rsidRPr="00012CF8">
        <w:rPr>
          <w:rFonts w:ascii="Verdana" w:hAnsi="Verdana"/>
          <w:sz w:val="20"/>
          <w:szCs w:val="20"/>
          <w:lang w:val="en"/>
        </w:rPr>
        <w:t>,</w:t>
      </w:r>
      <w:r w:rsidRPr="00012CF8">
        <w:rPr>
          <w:rFonts w:ascii="Verdana" w:hAnsi="Verdana"/>
          <w:sz w:val="20"/>
          <w:szCs w:val="20"/>
          <w:lang w:val="en"/>
        </w:rPr>
        <w:t xml:space="preserve"> in order to ensure effective and efficient implementation of the policies implemented.</w:t>
      </w:r>
    </w:p>
    <w:p w14:paraId="75D9B2D7" w14:textId="77777777" w:rsidR="001E24B4" w:rsidRPr="004C6C51" w:rsidRDefault="001E24B4" w:rsidP="00A0587B">
      <w:pPr>
        <w:spacing w:before="120" w:after="120" w:line="240" w:lineRule="auto"/>
        <w:jc w:val="both"/>
        <w:rPr>
          <w:rFonts w:ascii="Verdana" w:hAnsi="Verdana" w:cs="Times New Roman"/>
          <w:color w:val="000000"/>
          <w:sz w:val="20"/>
          <w:szCs w:val="20"/>
          <w:highlight w:val="yellow"/>
          <w:lang w:val="bg-BG"/>
        </w:rPr>
      </w:pPr>
    </w:p>
    <w:p w14:paraId="3BCE693F" w14:textId="7CFAFE33" w:rsidR="001E24B4" w:rsidRPr="006E3A38" w:rsidRDefault="001E24B4" w:rsidP="00A0587B">
      <w:pPr>
        <w:spacing w:before="120" w:after="120" w:line="240" w:lineRule="auto"/>
        <w:jc w:val="both"/>
        <w:rPr>
          <w:rFonts w:ascii="Verdana" w:eastAsia="Calibri" w:hAnsi="Verdana"/>
          <w:b/>
          <w:i/>
          <w:color w:val="000000"/>
          <w:sz w:val="20"/>
          <w:szCs w:val="20"/>
          <w:lang w:val="bg-BG"/>
        </w:rPr>
      </w:pPr>
      <w:r w:rsidRPr="006E3A38">
        <w:rPr>
          <w:rFonts w:ascii="Verdana" w:hAnsi="Verdana"/>
          <w:b/>
          <w:i/>
          <w:color w:val="000000"/>
          <w:sz w:val="20"/>
          <w:szCs w:val="20"/>
          <w:lang w:val="en"/>
        </w:rPr>
        <w:t>Main</w:t>
      </w:r>
      <w:r w:rsidR="006E3A38" w:rsidRPr="006E3A38">
        <w:rPr>
          <w:rFonts w:ascii="Verdana" w:hAnsi="Verdana"/>
          <w:b/>
          <w:i/>
          <w:color w:val="000000"/>
          <w:sz w:val="20"/>
          <w:szCs w:val="20"/>
          <w:lang w:val="en"/>
        </w:rPr>
        <w:t xml:space="preserve"> findings</w:t>
      </w:r>
    </w:p>
    <w:p w14:paraId="3285F916" w14:textId="58B18E78" w:rsidR="001E24B4" w:rsidRPr="006E3A38" w:rsidRDefault="001E24B4" w:rsidP="00A0587B">
      <w:pPr>
        <w:spacing w:before="120" w:after="120" w:line="240" w:lineRule="auto"/>
        <w:jc w:val="both"/>
        <w:rPr>
          <w:rFonts w:ascii="Verdana" w:eastAsia="Calibri" w:hAnsi="Verdana"/>
          <w:b/>
          <w:i/>
          <w:color w:val="000000"/>
          <w:sz w:val="20"/>
          <w:szCs w:val="20"/>
          <w:lang w:val="bg-BG"/>
        </w:rPr>
      </w:pPr>
    </w:p>
    <w:p w14:paraId="13722387" w14:textId="08BE4818" w:rsidR="00445986" w:rsidRPr="006E3A38" w:rsidRDefault="00445986" w:rsidP="00A0587B">
      <w:pPr>
        <w:spacing w:before="120" w:after="120" w:line="240" w:lineRule="auto"/>
        <w:jc w:val="both"/>
        <w:rPr>
          <w:rFonts w:ascii="Verdana" w:hAnsi="Verdana" w:cs="Times New Roman"/>
          <w:color w:val="000000"/>
          <w:sz w:val="20"/>
          <w:szCs w:val="20"/>
          <w:lang w:val="bg-BG"/>
        </w:rPr>
      </w:pPr>
      <w:r w:rsidRPr="006E3A38">
        <w:rPr>
          <w:rFonts w:ascii="Verdana" w:hAnsi="Verdana"/>
          <w:color w:val="000000"/>
          <w:sz w:val="20"/>
          <w:szCs w:val="20"/>
          <w:lang w:val="en"/>
        </w:rPr>
        <w:t xml:space="preserve">The programme </w:t>
      </w:r>
      <w:r w:rsidR="006E3A38">
        <w:rPr>
          <w:rFonts w:ascii="Verdana" w:hAnsi="Verdana"/>
          <w:color w:val="000000"/>
          <w:sz w:val="20"/>
          <w:szCs w:val="20"/>
          <w:lang w:val="en"/>
        </w:rPr>
        <w:t xml:space="preserve">has </w:t>
      </w:r>
      <w:r w:rsidR="00D53C3C">
        <w:rPr>
          <w:rFonts w:ascii="Verdana" w:hAnsi="Verdana"/>
          <w:color w:val="000000"/>
          <w:sz w:val="20"/>
          <w:szCs w:val="20"/>
          <w:lang w:val="en"/>
        </w:rPr>
        <w:t>achieved</w:t>
      </w:r>
      <w:r w:rsidRPr="006E3A38">
        <w:rPr>
          <w:rFonts w:ascii="Verdana" w:hAnsi="Verdana"/>
          <w:color w:val="000000"/>
          <w:sz w:val="20"/>
          <w:szCs w:val="20"/>
          <w:lang w:val="en"/>
        </w:rPr>
        <w:t xml:space="preserve"> very good financial and physical </w:t>
      </w:r>
      <w:r w:rsidR="006E3A38">
        <w:rPr>
          <w:rFonts w:ascii="Verdana" w:hAnsi="Verdana"/>
          <w:color w:val="000000"/>
          <w:sz w:val="20"/>
          <w:szCs w:val="20"/>
          <w:lang w:val="en"/>
        </w:rPr>
        <w:t>implementation rates</w:t>
      </w:r>
      <w:r w:rsidRPr="006E3A38">
        <w:rPr>
          <w:rFonts w:ascii="Verdana" w:hAnsi="Verdana"/>
          <w:color w:val="000000"/>
          <w:sz w:val="20"/>
          <w:szCs w:val="20"/>
          <w:lang w:val="en"/>
        </w:rPr>
        <w:t xml:space="preserve">. The total financial </w:t>
      </w:r>
      <w:r w:rsidR="006E3A38">
        <w:rPr>
          <w:rFonts w:ascii="Verdana" w:hAnsi="Verdana"/>
          <w:color w:val="000000"/>
          <w:sz w:val="20"/>
          <w:szCs w:val="20"/>
          <w:lang w:val="en"/>
        </w:rPr>
        <w:t>implementation rate is</w:t>
      </w:r>
      <w:r w:rsidRPr="006E3A38">
        <w:rPr>
          <w:rFonts w:ascii="Verdana" w:hAnsi="Verdana"/>
          <w:color w:val="000000"/>
          <w:sz w:val="20"/>
          <w:szCs w:val="20"/>
          <w:lang w:val="en"/>
        </w:rPr>
        <w:t xml:space="preserve"> 98.6%. The majority of </w:t>
      </w:r>
      <w:r w:rsidR="00D53C3C">
        <w:rPr>
          <w:rFonts w:ascii="Verdana" w:hAnsi="Verdana"/>
          <w:color w:val="000000"/>
          <w:sz w:val="20"/>
          <w:szCs w:val="20"/>
          <w:lang w:val="en"/>
        </w:rPr>
        <w:t>product and output</w:t>
      </w:r>
      <w:r w:rsidRPr="006E3A38">
        <w:rPr>
          <w:rFonts w:ascii="Verdana" w:hAnsi="Verdana"/>
          <w:color w:val="000000"/>
          <w:sz w:val="20"/>
          <w:szCs w:val="20"/>
          <w:lang w:val="en"/>
        </w:rPr>
        <w:t xml:space="preserve"> indicators </w:t>
      </w:r>
      <w:r w:rsidR="00CF71CD">
        <w:rPr>
          <w:rFonts w:ascii="Verdana" w:hAnsi="Verdana"/>
          <w:color w:val="000000"/>
          <w:sz w:val="20"/>
          <w:szCs w:val="20"/>
          <w:lang w:val="en"/>
        </w:rPr>
        <w:t>report</w:t>
      </w:r>
      <w:r w:rsidR="005617B4">
        <w:rPr>
          <w:rFonts w:ascii="Verdana" w:hAnsi="Verdana"/>
          <w:color w:val="000000"/>
          <w:sz w:val="20"/>
          <w:szCs w:val="20"/>
          <w:lang w:val="en"/>
        </w:rPr>
        <w:t xml:space="preserve"> achieve</w:t>
      </w:r>
      <w:r w:rsidR="00CF71CD">
        <w:rPr>
          <w:rFonts w:ascii="Verdana" w:hAnsi="Verdana"/>
          <w:color w:val="000000"/>
          <w:sz w:val="20"/>
          <w:szCs w:val="20"/>
          <w:lang w:val="en"/>
        </w:rPr>
        <w:t>ment rates</w:t>
      </w:r>
      <w:r w:rsidR="005617B4">
        <w:rPr>
          <w:rFonts w:ascii="Verdana" w:hAnsi="Verdana"/>
          <w:color w:val="000000"/>
          <w:sz w:val="20"/>
          <w:szCs w:val="20"/>
          <w:lang w:val="en"/>
        </w:rPr>
        <w:t xml:space="preserve"> above</w:t>
      </w:r>
      <w:r w:rsidRPr="006E3A38">
        <w:rPr>
          <w:rFonts w:ascii="Verdana" w:hAnsi="Verdana"/>
          <w:color w:val="000000"/>
          <w:sz w:val="20"/>
          <w:szCs w:val="20"/>
          <w:lang w:val="en"/>
        </w:rPr>
        <w:t xml:space="preserve"> 90%</w:t>
      </w:r>
      <w:r w:rsidR="00CF71CD">
        <w:rPr>
          <w:rFonts w:ascii="Verdana" w:hAnsi="Verdana"/>
          <w:color w:val="000000"/>
          <w:sz w:val="20"/>
          <w:szCs w:val="20"/>
          <w:lang w:val="en"/>
        </w:rPr>
        <w:t xml:space="preserve"> of their targets</w:t>
      </w:r>
      <w:r w:rsidRPr="006E3A38">
        <w:rPr>
          <w:rFonts w:ascii="Verdana" w:hAnsi="Verdana"/>
          <w:color w:val="000000"/>
          <w:sz w:val="20"/>
          <w:szCs w:val="20"/>
          <w:lang w:val="en"/>
        </w:rPr>
        <w:t xml:space="preserve">. </w:t>
      </w:r>
      <w:r w:rsidR="00DB2CAD">
        <w:rPr>
          <w:rFonts w:ascii="Verdana" w:hAnsi="Verdana"/>
          <w:color w:val="000000"/>
          <w:sz w:val="20"/>
          <w:szCs w:val="20"/>
          <w:lang w:val="en"/>
        </w:rPr>
        <w:t>The</w:t>
      </w:r>
      <w:r w:rsidR="000A38D5">
        <w:rPr>
          <w:rFonts w:ascii="Verdana" w:hAnsi="Verdana"/>
          <w:color w:val="000000"/>
          <w:sz w:val="20"/>
          <w:szCs w:val="20"/>
          <w:lang w:val="en"/>
        </w:rPr>
        <w:t xml:space="preserve"> </w:t>
      </w:r>
      <w:r w:rsidR="00DB2CAD">
        <w:rPr>
          <w:rFonts w:ascii="Verdana" w:hAnsi="Verdana"/>
          <w:color w:val="000000"/>
          <w:sz w:val="20"/>
          <w:szCs w:val="20"/>
          <w:lang w:val="en"/>
        </w:rPr>
        <w:t>targets w</w:t>
      </w:r>
      <w:r w:rsidR="000A38D5">
        <w:rPr>
          <w:rFonts w:ascii="Verdana" w:hAnsi="Verdana"/>
          <w:color w:val="000000"/>
          <w:sz w:val="20"/>
          <w:szCs w:val="20"/>
          <w:lang w:val="en"/>
        </w:rPr>
        <w:t>ere not met only f</w:t>
      </w:r>
      <w:r w:rsidR="001B6092">
        <w:rPr>
          <w:rFonts w:ascii="Verdana" w:hAnsi="Verdana"/>
          <w:color w:val="000000"/>
          <w:sz w:val="20"/>
          <w:szCs w:val="20"/>
          <w:lang w:val="en"/>
        </w:rPr>
        <w:t>or</w:t>
      </w:r>
      <w:r w:rsidR="000A38D5">
        <w:rPr>
          <w:rFonts w:ascii="Verdana" w:hAnsi="Verdana"/>
          <w:color w:val="000000"/>
          <w:sz w:val="20"/>
          <w:szCs w:val="20"/>
          <w:lang w:val="en"/>
        </w:rPr>
        <w:t xml:space="preserve"> result indicator </w:t>
      </w:r>
      <w:r w:rsidRPr="006E3A38">
        <w:rPr>
          <w:rFonts w:ascii="Verdana" w:hAnsi="Verdana"/>
          <w:color w:val="000000"/>
          <w:sz w:val="20"/>
          <w:szCs w:val="20"/>
          <w:lang w:val="en"/>
        </w:rPr>
        <w:t>"value of time saved" on roads and railways</w:t>
      </w:r>
      <w:r w:rsidR="001B6092">
        <w:rPr>
          <w:rFonts w:ascii="Verdana" w:hAnsi="Verdana"/>
          <w:color w:val="000000"/>
          <w:sz w:val="20"/>
          <w:szCs w:val="20"/>
          <w:lang w:val="en"/>
        </w:rPr>
        <w:t>,</w:t>
      </w:r>
      <w:r w:rsidRPr="006E3A38">
        <w:rPr>
          <w:rFonts w:ascii="Verdana" w:hAnsi="Verdana"/>
          <w:color w:val="000000"/>
          <w:sz w:val="20"/>
          <w:szCs w:val="20"/>
          <w:lang w:val="en"/>
        </w:rPr>
        <w:t xml:space="preserve"> due to the lower levels of </w:t>
      </w:r>
      <w:r w:rsidR="00C40FD0">
        <w:rPr>
          <w:rFonts w:ascii="Verdana" w:hAnsi="Verdana"/>
          <w:color w:val="000000"/>
          <w:sz w:val="20"/>
          <w:szCs w:val="20"/>
          <w:lang w:val="en"/>
        </w:rPr>
        <w:t>reported</w:t>
      </w:r>
      <w:r w:rsidRPr="006E3A38">
        <w:rPr>
          <w:rFonts w:ascii="Verdana" w:hAnsi="Verdana"/>
          <w:color w:val="000000"/>
          <w:sz w:val="20"/>
          <w:szCs w:val="20"/>
          <w:lang w:val="en"/>
        </w:rPr>
        <w:t xml:space="preserve"> traffic</w:t>
      </w:r>
      <w:r w:rsidR="00C40FD0">
        <w:rPr>
          <w:rFonts w:ascii="Verdana" w:hAnsi="Verdana"/>
          <w:color w:val="000000"/>
          <w:sz w:val="20"/>
          <w:szCs w:val="20"/>
          <w:lang w:val="en"/>
        </w:rPr>
        <w:t xml:space="preserve"> than expected</w:t>
      </w:r>
      <w:r w:rsidRPr="006E3A38">
        <w:rPr>
          <w:rFonts w:ascii="Verdana" w:hAnsi="Verdana"/>
          <w:color w:val="000000"/>
          <w:sz w:val="20"/>
          <w:szCs w:val="20"/>
          <w:lang w:val="en"/>
        </w:rPr>
        <w:t>.</w:t>
      </w:r>
    </w:p>
    <w:p w14:paraId="182B2496" w14:textId="77777777" w:rsidR="00B24C58" w:rsidRDefault="00B24C58" w:rsidP="00A0587B">
      <w:pPr>
        <w:spacing w:before="120" w:after="120" w:line="240" w:lineRule="auto"/>
        <w:jc w:val="both"/>
        <w:rPr>
          <w:b/>
          <w:i/>
          <w:color w:val="000000"/>
          <w:sz w:val="20"/>
          <w:szCs w:val="20"/>
          <w:highlight w:val="green"/>
          <w:lang w:val="en"/>
        </w:rPr>
      </w:pPr>
    </w:p>
    <w:p w14:paraId="79BD8C4C" w14:textId="5E62AD51" w:rsidR="002001D4" w:rsidRPr="00B24C58" w:rsidRDefault="002001D4" w:rsidP="00A0587B">
      <w:pPr>
        <w:spacing w:before="120" w:after="120" w:line="240" w:lineRule="auto"/>
        <w:jc w:val="both"/>
        <w:rPr>
          <w:rFonts w:ascii="Verdana" w:hAnsi="Verdana"/>
          <w:b/>
          <w:i/>
          <w:color w:val="000000"/>
          <w:sz w:val="20"/>
          <w:szCs w:val="20"/>
          <w:lang w:val="en"/>
        </w:rPr>
      </w:pPr>
      <w:r w:rsidRPr="00B24C58">
        <w:rPr>
          <w:rFonts w:ascii="Verdana" w:hAnsi="Verdana"/>
          <w:b/>
          <w:i/>
          <w:color w:val="000000"/>
          <w:sz w:val="20"/>
          <w:szCs w:val="20"/>
          <w:lang w:val="en"/>
        </w:rPr>
        <w:t xml:space="preserve">Net effects of the </w:t>
      </w:r>
      <w:r w:rsidR="00EF77D0">
        <w:rPr>
          <w:rFonts w:ascii="Verdana" w:hAnsi="Verdana"/>
          <w:b/>
          <w:i/>
          <w:color w:val="000000"/>
          <w:sz w:val="20"/>
          <w:szCs w:val="20"/>
          <w:lang w:val="en"/>
        </w:rPr>
        <w:t xml:space="preserve">OPT </w:t>
      </w:r>
      <w:r w:rsidRPr="00B24C58">
        <w:rPr>
          <w:rFonts w:ascii="Verdana" w:hAnsi="Verdana"/>
          <w:b/>
          <w:i/>
          <w:color w:val="000000"/>
          <w:sz w:val="20"/>
          <w:szCs w:val="20"/>
          <w:lang w:val="en"/>
        </w:rPr>
        <w:t xml:space="preserve">interventions </w:t>
      </w:r>
    </w:p>
    <w:p w14:paraId="77BC2F06" w14:textId="77777777" w:rsidR="002001D4" w:rsidRPr="00CB742E" w:rsidRDefault="002001D4" w:rsidP="00A0587B">
      <w:pPr>
        <w:spacing w:before="120" w:after="120" w:line="240" w:lineRule="auto"/>
        <w:jc w:val="both"/>
        <w:rPr>
          <w:rFonts w:ascii="Verdana" w:eastAsia="Calibri" w:hAnsi="Verdana"/>
          <w:b/>
          <w:i/>
          <w:color w:val="000000"/>
          <w:sz w:val="20"/>
          <w:szCs w:val="20"/>
          <w:highlight w:val="green"/>
          <w:lang w:val="bg-BG"/>
        </w:rPr>
      </w:pPr>
    </w:p>
    <w:p w14:paraId="0964FD48" w14:textId="285B744A" w:rsidR="002001D4" w:rsidRPr="00EF77D0" w:rsidRDefault="002001D4" w:rsidP="00A0587B">
      <w:pPr>
        <w:spacing w:before="120" w:after="120" w:line="240" w:lineRule="auto"/>
        <w:jc w:val="both"/>
        <w:rPr>
          <w:rFonts w:ascii="Verdana" w:hAnsi="Verdana"/>
          <w:color w:val="000000"/>
          <w:sz w:val="20"/>
          <w:szCs w:val="20"/>
          <w:lang w:val="en"/>
        </w:rPr>
      </w:pPr>
      <w:r w:rsidRPr="00EF77D0">
        <w:rPr>
          <w:rFonts w:ascii="Verdana" w:hAnsi="Verdana"/>
          <w:color w:val="000000"/>
          <w:sz w:val="20"/>
          <w:szCs w:val="20"/>
          <w:lang w:val="en"/>
        </w:rPr>
        <w:t xml:space="preserve">The net impact of the OPT implementation is positive, and the most tangible effects are seen on the </w:t>
      </w:r>
      <w:r w:rsidR="00C90CC7" w:rsidRPr="00EF77D0">
        <w:rPr>
          <w:rFonts w:ascii="Verdana" w:hAnsi="Verdana"/>
          <w:color w:val="000000"/>
          <w:sz w:val="20"/>
          <w:szCs w:val="20"/>
          <w:lang w:val="en"/>
        </w:rPr>
        <w:t>labor</w:t>
      </w:r>
      <w:r w:rsidRPr="00EF77D0">
        <w:rPr>
          <w:rFonts w:ascii="Verdana" w:hAnsi="Verdana"/>
          <w:color w:val="000000"/>
          <w:sz w:val="20"/>
          <w:szCs w:val="20"/>
          <w:lang w:val="en"/>
        </w:rPr>
        <w:t xml:space="preserve"> market (employment and wages), on the real GDP, on exports of goods and services, on private consumption, as well as on public/private investment. The most significant effects are the result of the projects implementation in the road sector, followed by the ones related to railway, and the ones for the extension of Sofia Metro. Overall, the OPT impact is mostly seen in the regions of Southern Bulgaria, and in the Southeastern and Southwestern planning areas in particular. On the one hand, that is due to the relatively higher amount of money invested in this region. On the other hand, it owes to the positive impact on the business environment of some key projects in the Southeastern region. The impact in Northern Bulgaria is weaker, and the smallest effects observed are in the Northwestern and the Northeastern regions.</w:t>
      </w:r>
    </w:p>
    <w:p w14:paraId="02556FA1" w14:textId="77777777" w:rsidR="002001D4" w:rsidRPr="00EF77D0" w:rsidRDefault="002001D4" w:rsidP="00A0587B">
      <w:pPr>
        <w:spacing w:before="120" w:after="120" w:line="240" w:lineRule="auto"/>
        <w:jc w:val="both"/>
        <w:rPr>
          <w:rFonts w:ascii="Verdana" w:hAnsi="Verdana"/>
          <w:color w:val="000000"/>
          <w:sz w:val="20"/>
          <w:szCs w:val="20"/>
          <w:lang w:val="en"/>
        </w:rPr>
      </w:pPr>
      <w:r w:rsidRPr="00EF77D0">
        <w:rPr>
          <w:rFonts w:ascii="Verdana" w:hAnsi="Verdana"/>
          <w:color w:val="000000"/>
          <w:sz w:val="20"/>
          <w:szCs w:val="20"/>
          <w:lang w:val="en"/>
        </w:rPr>
        <w:t>Performance assessments and analysis of the impact on macroeconomic development undoubtedly show that infrastructure projects play an essential role in improving the competitiveness of the Bulgarian economy. Thus, these projects lead to higher economic growth and to the improvement in the quality of life of the country’s population. The efficiency analysis on investments made shows that product performance has been achieved at significantly lower average costs than the respective EU ones.</w:t>
      </w:r>
    </w:p>
    <w:p w14:paraId="22A81702" w14:textId="77777777" w:rsidR="002001D4" w:rsidRPr="00CB742E" w:rsidRDefault="002001D4" w:rsidP="00A0587B">
      <w:pPr>
        <w:spacing w:before="120" w:after="120" w:line="240" w:lineRule="auto"/>
        <w:ind w:left="60"/>
        <w:jc w:val="both"/>
        <w:rPr>
          <w:rFonts w:ascii="Verdana" w:hAnsi="Verdana"/>
          <w:sz w:val="20"/>
          <w:szCs w:val="20"/>
          <w:highlight w:val="green"/>
          <w:lang w:val="bg-BG"/>
        </w:rPr>
      </w:pPr>
    </w:p>
    <w:p w14:paraId="25875EF4" w14:textId="12FB8DEE" w:rsidR="002001D4" w:rsidRPr="00CC78FD" w:rsidRDefault="002001D4" w:rsidP="00A0587B">
      <w:pPr>
        <w:spacing w:before="120" w:after="120" w:line="240" w:lineRule="auto"/>
        <w:jc w:val="both"/>
        <w:rPr>
          <w:rFonts w:ascii="Verdana" w:eastAsia="Calibri" w:hAnsi="Verdana"/>
          <w:b/>
          <w:i/>
          <w:color w:val="000000"/>
          <w:sz w:val="20"/>
          <w:szCs w:val="20"/>
          <w:lang w:val="bg-BG"/>
        </w:rPr>
      </w:pPr>
      <w:r w:rsidRPr="00CC78FD">
        <w:rPr>
          <w:rFonts w:ascii="Verdana" w:hAnsi="Verdana"/>
          <w:b/>
          <w:i/>
          <w:color w:val="000000"/>
          <w:sz w:val="20"/>
          <w:szCs w:val="20"/>
          <w:lang w:val="en"/>
        </w:rPr>
        <w:t xml:space="preserve">Contribution to sustainable development and benefits </w:t>
      </w:r>
      <w:r w:rsidR="00446F28">
        <w:rPr>
          <w:rFonts w:ascii="Verdana" w:hAnsi="Verdana"/>
          <w:b/>
          <w:i/>
          <w:color w:val="000000"/>
          <w:sz w:val="20"/>
          <w:szCs w:val="20"/>
          <w:lang w:val="en"/>
        </w:rPr>
        <w:t>achieved</w:t>
      </w:r>
    </w:p>
    <w:p w14:paraId="55527C19" w14:textId="77777777" w:rsidR="002001D4" w:rsidRPr="00CB742E" w:rsidRDefault="002001D4" w:rsidP="00A0587B">
      <w:pPr>
        <w:spacing w:before="120" w:after="120" w:line="240" w:lineRule="auto"/>
        <w:jc w:val="both"/>
        <w:rPr>
          <w:rFonts w:ascii="Verdana" w:hAnsi="Verdana"/>
          <w:sz w:val="20"/>
          <w:szCs w:val="20"/>
          <w:highlight w:val="green"/>
          <w:lang w:val="bg-BG"/>
        </w:rPr>
      </w:pPr>
    </w:p>
    <w:p w14:paraId="586FB388" w14:textId="04E9BAD4" w:rsidR="002001D4" w:rsidRDefault="0038406C" w:rsidP="00A0587B">
      <w:pPr>
        <w:spacing w:before="120" w:after="120" w:line="240" w:lineRule="auto"/>
        <w:jc w:val="both"/>
        <w:rPr>
          <w:rFonts w:ascii="Verdana" w:hAnsi="Verdana"/>
          <w:color w:val="000000"/>
          <w:sz w:val="20"/>
          <w:szCs w:val="20"/>
          <w:lang w:val="en"/>
        </w:rPr>
      </w:pPr>
      <w:r>
        <w:rPr>
          <w:rFonts w:ascii="Verdana" w:hAnsi="Verdana"/>
          <w:color w:val="000000"/>
          <w:sz w:val="20"/>
          <w:szCs w:val="20"/>
          <w:lang w:val="en"/>
        </w:rPr>
        <w:t>OPT</w:t>
      </w:r>
      <w:r w:rsidR="002001D4" w:rsidRPr="00446F28">
        <w:rPr>
          <w:rFonts w:ascii="Verdana" w:hAnsi="Verdana"/>
          <w:color w:val="000000"/>
          <w:sz w:val="20"/>
          <w:szCs w:val="20"/>
          <w:lang w:val="en"/>
        </w:rPr>
        <w:t xml:space="preserve"> demonstrates a high </w:t>
      </w:r>
      <w:r>
        <w:rPr>
          <w:rFonts w:ascii="Verdana" w:hAnsi="Verdana"/>
          <w:color w:val="000000"/>
          <w:sz w:val="20"/>
          <w:szCs w:val="20"/>
          <w:lang w:val="en"/>
        </w:rPr>
        <w:t xml:space="preserve">level of </w:t>
      </w:r>
      <w:r w:rsidR="002001D4" w:rsidRPr="00446F28">
        <w:rPr>
          <w:rFonts w:ascii="Verdana" w:hAnsi="Verdana"/>
          <w:color w:val="000000"/>
          <w:sz w:val="20"/>
          <w:szCs w:val="20"/>
          <w:lang w:val="en"/>
        </w:rPr>
        <w:t xml:space="preserve">coherence with the strategic objectives and guidelines for development of transport policy at EU level, both at the initial programming stage and </w:t>
      </w:r>
      <w:r w:rsidR="00673F14">
        <w:rPr>
          <w:rFonts w:ascii="Verdana" w:hAnsi="Verdana"/>
          <w:color w:val="000000"/>
          <w:sz w:val="20"/>
          <w:szCs w:val="20"/>
          <w:lang w:val="en"/>
        </w:rPr>
        <w:t xml:space="preserve">after the </w:t>
      </w:r>
      <w:r w:rsidR="002001D4" w:rsidRPr="00446F28">
        <w:rPr>
          <w:rFonts w:ascii="Verdana" w:hAnsi="Verdana"/>
          <w:color w:val="000000"/>
          <w:sz w:val="20"/>
          <w:szCs w:val="20"/>
          <w:lang w:val="en"/>
        </w:rPr>
        <w:t>programme</w:t>
      </w:r>
      <w:r>
        <w:rPr>
          <w:rFonts w:ascii="Verdana" w:hAnsi="Verdana"/>
          <w:color w:val="000000"/>
          <w:sz w:val="20"/>
          <w:szCs w:val="20"/>
          <w:lang w:val="en"/>
        </w:rPr>
        <w:t xml:space="preserve"> modifications</w:t>
      </w:r>
      <w:r w:rsidR="002001D4" w:rsidRPr="00446F28">
        <w:rPr>
          <w:rFonts w:ascii="Verdana" w:hAnsi="Verdana"/>
          <w:color w:val="000000"/>
          <w:sz w:val="20"/>
          <w:szCs w:val="20"/>
          <w:lang w:val="en"/>
        </w:rPr>
        <w:t xml:space="preserve">. The implementation of railway and urban transport projects has contributed to diversion of </w:t>
      </w:r>
      <w:r w:rsidR="007F22E8">
        <w:rPr>
          <w:rFonts w:ascii="Verdana" w:hAnsi="Verdana"/>
          <w:color w:val="000000"/>
          <w:sz w:val="20"/>
          <w:szCs w:val="20"/>
        </w:rPr>
        <w:t xml:space="preserve">road </w:t>
      </w:r>
      <w:r w:rsidR="002001D4" w:rsidRPr="00446F28">
        <w:rPr>
          <w:rFonts w:ascii="Verdana" w:hAnsi="Verdana"/>
          <w:color w:val="000000"/>
          <w:sz w:val="20"/>
          <w:szCs w:val="20"/>
          <w:lang w:val="en"/>
        </w:rPr>
        <w:t>traffic</w:t>
      </w:r>
      <w:r w:rsidR="00C233D4">
        <w:rPr>
          <w:rFonts w:ascii="Verdana" w:hAnsi="Verdana"/>
          <w:color w:val="000000"/>
          <w:sz w:val="20"/>
          <w:szCs w:val="20"/>
          <w:lang w:val="en"/>
        </w:rPr>
        <w:t>,</w:t>
      </w:r>
      <w:r w:rsidR="002001D4" w:rsidRPr="00446F28">
        <w:rPr>
          <w:rFonts w:ascii="Verdana" w:hAnsi="Verdana"/>
          <w:color w:val="000000"/>
          <w:sz w:val="20"/>
          <w:szCs w:val="20"/>
          <w:lang w:val="en"/>
        </w:rPr>
        <w:t xml:space="preserve"> reduction of private vehicles and carbon emissions. The contribution of OPT projects to environmental protection </w:t>
      </w:r>
      <w:r w:rsidR="00AC1A86">
        <w:rPr>
          <w:rFonts w:ascii="Verdana" w:hAnsi="Verdana"/>
          <w:color w:val="000000"/>
          <w:sz w:val="20"/>
          <w:szCs w:val="20"/>
          <w:lang w:val="en"/>
        </w:rPr>
        <w:t xml:space="preserve">has been </w:t>
      </w:r>
      <w:r w:rsidR="002001D4" w:rsidRPr="00446F28">
        <w:rPr>
          <w:rFonts w:ascii="Verdana" w:hAnsi="Verdana"/>
          <w:color w:val="000000"/>
          <w:sz w:val="20"/>
          <w:szCs w:val="20"/>
          <w:lang w:val="en"/>
        </w:rPr>
        <w:t xml:space="preserve">justified by the environmental benefits generated by these projects. </w:t>
      </w:r>
    </w:p>
    <w:p w14:paraId="5C1EDFDC" w14:textId="77777777" w:rsidR="00446F28" w:rsidRPr="00446F28" w:rsidRDefault="00446F28" w:rsidP="00A0587B">
      <w:pPr>
        <w:spacing w:before="120" w:after="120" w:line="240" w:lineRule="auto"/>
        <w:jc w:val="both"/>
        <w:rPr>
          <w:rFonts w:ascii="Verdana" w:hAnsi="Verdana"/>
          <w:color w:val="000000"/>
          <w:sz w:val="20"/>
          <w:szCs w:val="20"/>
          <w:lang w:val="en"/>
        </w:rPr>
      </w:pPr>
    </w:p>
    <w:p w14:paraId="566E1514" w14:textId="695C68B0" w:rsidR="00446F28" w:rsidRPr="00B40B9E" w:rsidRDefault="00446F28" w:rsidP="00A0587B">
      <w:pPr>
        <w:pStyle w:val="Caption"/>
        <w:keepNext/>
        <w:spacing w:before="120" w:after="120"/>
        <w:jc w:val="both"/>
        <w:rPr>
          <w:rFonts w:ascii="Verdana" w:hAnsi="Verdana"/>
          <w:color w:val="374C80" w:themeColor="accent1" w:themeShade="BF"/>
          <w:sz w:val="20"/>
          <w:szCs w:val="20"/>
        </w:rPr>
      </w:pPr>
      <w:bookmarkStart w:id="13" w:name="_Ref62567729"/>
      <w:bookmarkStart w:id="14" w:name="_Toc62724847"/>
      <w:r w:rsidRPr="00B40B9E">
        <w:rPr>
          <w:rFonts w:ascii="Verdana" w:hAnsi="Verdana"/>
          <w:color w:val="374C80" w:themeColor="accent1" w:themeShade="BF"/>
          <w:sz w:val="20"/>
          <w:szCs w:val="20"/>
        </w:rPr>
        <w:lastRenderedPageBreak/>
        <w:t xml:space="preserve">Figure </w:t>
      </w:r>
      <w:r w:rsidR="00134718">
        <w:rPr>
          <w:rFonts w:ascii="Verdana" w:hAnsi="Verdana"/>
          <w:color w:val="374C80" w:themeColor="accent1" w:themeShade="BF"/>
          <w:sz w:val="20"/>
          <w:szCs w:val="20"/>
        </w:rPr>
        <w:fldChar w:fldCharType="begin"/>
      </w:r>
      <w:r w:rsidR="00134718">
        <w:rPr>
          <w:rFonts w:ascii="Verdana" w:hAnsi="Verdana"/>
          <w:color w:val="374C80" w:themeColor="accent1" w:themeShade="BF"/>
          <w:sz w:val="20"/>
          <w:szCs w:val="20"/>
        </w:rPr>
        <w:instrText xml:space="preserve"> STYLEREF 1 \s </w:instrText>
      </w:r>
      <w:r w:rsidR="00134718">
        <w:rPr>
          <w:rFonts w:ascii="Verdana" w:hAnsi="Verdana"/>
          <w:color w:val="374C80" w:themeColor="accent1" w:themeShade="BF"/>
          <w:sz w:val="20"/>
          <w:szCs w:val="20"/>
        </w:rPr>
        <w:fldChar w:fldCharType="separate"/>
      </w:r>
      <w:r w:rsidR="00134718">
        <w:rPr>
          <w:rFonts w:ascii="Verdana" w:hAnsi="Verdana"/>
          <w:noProof/>
          <w:color w:val="374C80" w:themeColor="accent1" w:themeShade="BF"/>
          <w:sz w:val="20"/>
          <w:szCs w:val="20"/>
        </w:rPr>
        <w:t>I</w:t>
      </w:r>
      <w:r w:rsidR="00134718">
        <w:rPr>
          <w:rFonts w:ascii="Verdana" w:hAnsi="Verdana"/>
          <w:color w:val="374C80" w:themeColor="accent1" w:themeShade="BF"/>
          <w:sz w:val="20"/>
          <w:szCs w:val="20"/>
        </w:rPr>
        <w:fldChar w:fldCharType="end"/>
      </w:r>
      <w:r w:rsidR="00134718">
        <w:rPr>
          <w:rFonts w:ascii="Verdana" w:hAnsi="Verdana"/>
          <w:color w:val="374C80" w:themeColor="accent1" w:themeShade="BF"/>
          <w:sz w:val="20"/>
          <w:szCs w:val="20"/>
        </w:rPr>
        <w:noBreakHyphen/>
      </w:r>
      <w:r w:rsidR="00134718">
        <w:rPr>
          <w:rFonts w:ascii="Verdana" w:hAnsi="Verdana"/>
          <w:color w:val="374C80" w:themeColor="accent1" w:themeShade="BF"/>
          <w:sz w:val="20"/>
          <w:szCs w:val="20"/>
        </w:rPr>
        <w:fldChar w:fldCharType="begin"/>
      </w:r>
      <w:r w:rsidR="00134718">
        <w:rPr>
          <w:rFonts w:ascii="Verdana" w:hAnsi="Verdana"/>
          <w:color w:val="374C80" w:themeColor="accent1" w:themeShade="BF"/>
          <w:sz w:val="20"/>
          <w:szCs w:val="20"/>
        </w:rPr>
        <w:instrText xml:space="preserve"> SEQ Figure \* ARABIC \s 1 </w:instrText>
      </w:r>
      <w:r w:rsidR="00134718">
        <w:rPr>
          <w:rFonts w:ascii="Verdana" w:hAnsi="Verdana"/>
          <w:color w:val="374C80" w:themeColor="accent1" w:themeShade="BF"/>
          <w:sz w:val="20"/>
          <w:szCs w:val="20"/>
        </w:rPr>
        <w:fldChar w:fldCharType="separate"/>
      </w:r>
      <w:r w:rsidR="00134718">
        <w:rPr>
          <w:rFonts w:ascii="Verdana" w:hAnsi="Verdana"/>
          <w:noProof/>
          <w:color w:val="374C80" w:themeColor="accent1" w:themeShade="BF"/>
          <w:sz w:val="20"/>
          <w:szCs w:val="20"/>
        </w:rPr>
        <w:t>1</w:t>
      </w:r>
      <w:r w:rsidR="00134718">
        <w:rPr>
          <w:rFonts w:ascii="Verdana" w:hAnsi="Verdana"/>
          <w:color w:val="374C80" w:themeColor="accent1" w:themeShade="BF"/>
          <w:sz w:val="20"/>
          <w:szCs w:val="20"/>
        </w:rPr>
        <w:fldChar w:fldCharType="end"/>
      </w:r>
      <w:bookmarkEnd w:id="13"/>
      <w:r w:rsidRPr="00B40B9E">
        <w:rPr>
          <w:rFonts w:ascii="Verdana" w:hAnsi="Verdana"/>
          <w:color w:val="374C80" w:themeColor="accent1" w:themeShade="BF"/>
          <w:sz w:val="20"/>
          <w:szCs w:val="20"/>
        </w:rPr>
        <w:t xml:space="preserve">: </w:t>
      </w:r>
      <w:r w:rsidR="00DC46D1" w:rsidRPr="00B40B9E">
        <w:rPr>
          <w:rFonts w:ascii="Verdana" w:hAnsi="Verdana"/>
          <w:color w:val="374C80" w:themeColor="accent1" w:themeShade="BF"/>
          <w:sz w:val="20"/>
          <w:szCs w:val="20"/>
          <w:lang w:val="en"/>
        </w:rPr>
        <w:t>Results achieved, net effect on real GDP and mechanism of impact of the OPT on the macroeconomic environment</w:t>
      </w:r>
      <w:bookmarkEnd w:id="14"/>
    </w:p>
    <w:p w14:paraId="59F5EED9" w14:textId="77777777" w:rsidR="002001D4" w:rsidRPr="00E07361" w:rsidRDefault="002001D4" w:rsidP="00A0587B">
      <w:pPr>
        <w:keepNext/>
        <w:spacing w:before="120" w:after="120" w:line="240" w:lineRule="auto"/>
        <w:ind w:left="62"/>
        <w:jc w:val="both"/>
        <w:rPr>
          <w:lang w:val="bg-BG"/>
        </w:rPr>
      </w:pPr>
      <w:r w:rsidRPr="00E07361">
        <w:rPr>
          <w:noProof/>
          <w:lang w:val="bg-BG" w:eastAsia="bg-BG"/>
        </w:rPr>
        <w:drawing>
          <wp:inline distT="0" distB="0" distL="0" distR="0" wp14:anchorId="4D6B0CE4" wp14:editId="1EDA7713">
            <wp:extent cx="5768340" cy="3244850"/>
            <wp:effectExtent l="0" t="0" r="3810" b="0"/>
            <wp:docPr id="6" name="Picture 6"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Diagram&#10;&#10;Description automatically generated"/>
                    <pic:cNvPicPr/>
                  </pic:nvPicPr>
                  <pic:blipFill>
                    <a:blip r:embed="rId13">
                      <a:extLst>
                        <a:ext uri="{28A0092B-C50C-407E-A947-70E740481C1C}">
                          <a14:useLocalDpi xmlns:a14="http://schemas.microsoft.com/office/drawing/2010/main" val="0"/>
                        </a:ext>
                      </a:extLst>
                    </a:blip>
                    <a:stretch>
                      <a:fillRect/>
                    </a:stretch>
                  </pic:blipFill>
                  <pic:spPr>
                    <a:xfrm>
                      <a:off x="0" y="0"/>
                      <a:ext cx="5768340" cy="3244850"/>
                    </a:xfrm>
                    <a:prstGeom prst="rect">
                      <a:avLst/>
                    </a:prstGeom>
                  </pic:spPr>
                </pic:pic>
              </a:graphicData>
            </a:graphic>
          </wp:inline>
        </w:drawing>
      </w:r>
    </w:p>
    <w:p w14:paraId="4AD8EBC0" w14:textId="77777777" w:rsidR="002001D4" w:rsidRPr="00E07361" w:rsidRDefault="002001D4" w:rsidP="00A0587B">
      <w:pPr>
        <w:spacing w:before="120" w:after="120" w:line="240" w:lineRule="auto"/>
        <w:jc w:val="both"/>
        <w:rPr>
          <w:bCs/>
          <w:i/>
          <w:color w:val="000000"/>
          <w:sz w:val="18"/>
          <w:szCs w:val="18"/>
          <w:lang w:val="en"/>
        </w:rPr>
      </w:pPr>
    </w:p>
    <w:p w14:paraId="7ED8F452" w14:textId="7DA45B98" w:rsidR="002001D4" w:rsidRPr="00E07361" w:rsidRDefault="002001D4" w:rsidP="00A0587B">
      <w:pPr>
        <w:spacing w:before="120" w:after="120" w:line="240" w:lineRule="auto"/>
        <w:jc w:val="both"/>
        <w:rPr>
          <w:rFonts w:ascii="Verdana" w:eastAsia="Calibri" w:hAnsi="Verdana"/>
          <w:bCs/>
          <w:i/>
          <w:color w:val="000000"/>
          <w:sz w:val="18"/>
          <w:szCs w:val="18"/>
          <w:lang w:val="bg-BG"/>
        </w:rPr>
      </w:pPr>
      <w:r w:rsidRPr="00E07361">
        <w:rPr>
          <w:rFonts w:ascii="Verdana" w:hAnsi="Verdana"/>
          <w:bCs/>
          <w:i/>
          <w:color w:val="000000"/>
          <w:sz w:val="18"/>
          <w:szCs w:val="18"/>
          <w:lang w:val="en"/>
        </w:rPr>
        <w:t xml:space="preserve">Source: Final report on the implementation of the </w:t>
      </w:r>
      <w:r w:rsidR="0038406C" w:rsidRPr="00E07361">
        <w:rPr>
          <w:rFonts w:ascii="Verdana" w:hAnsi="Verdana"/>
          <w:bCs/>
          <w:i/>
          <w:color w:val="000000"/>
          <w:sz w:val="18"/>
          <w:szCs w:val="18"/>
          <w:lang w:val="en"/>
        </w:rPr>
        <w:t>PT</w:t>
      </w:r>
      <w:r w:rsidRPr="00E07361">
        <w:rPr>
          <w:rFonts w:ascii="Verdana" w:hAnsi="Verdana"/>
          <w:bCs/>
          <w:i/>
          <w:color w:val="000000"/>
          <w:sz w:val="18"/>
          <w:szCs w:val="18"/>
          <w:lang w:val="en"/>
        </w:rPr>
        <w:t>, own calculations</w:t>
      </w:r>
    </w:p>
    <w:p w14:paraId="6421EA3E" w14:textId="77777777" w:rsidR="002001D4" w:rsidRPr="00E07361" w:rsidRDefault="002001D4" w:rsidP="00A0587B">
      <w:pPr>
        <w:spacing w:before="120" w:after="120" w:line="240" w:lineRule="auto"/>
        <w:jc w:val="both"/>
        <w:rPr>
          <w:rFonts w:ascii="Verdana" w:eastAsia="Calibri" w:hAnsi="Verdana"/>
          <w:b/>
          <w:i/>
          <w:color w:val="000000"/>
          <w:sz w:val="20"/>
          <w:szCs w:val="20"/>
          <w:lang w:val="bg-BG"/>
        </w:rPr>
      </w:pPr>
    </w:p>
    <w:p w14:paraId="0424417E" w14:textId="726CB3AF" w:rsidR="002001D4" w:rsidRPr="00E07361" w:rsidRDefault="002001D4" w:rsidP="00A0587B">
      <w:pPr>
        <w:spacing w:before="120" w:after="120" w:line="240" w:lineRule="auto"/>
        <w:jc w:val="both"/>
        <w:rPr>
          <w:rFonts w:ascii="Verdana" w:eastAsia="Times New Roman" w:hAnsi="Verdana" w:cs="Times New Roman"/>
          <w:sz w:val="20"/>
          <w:szCs w:val="20"/>
          <w:lang w:val="bg-BG" w:eastAsia="bg-BG"/>
        </w:rPr>
      </w:pPr>
      <w:r w:rsidRPr="00E07361">
        <w:rPr>
          <w:rFonts w:ascii="Verdana" w:hAnsi="Verdana"/>
          <w:sz w:val="20"/>
          <w:szCs w:val="20"/>
          <w:lang w:val="en"/>
        </w:rPr>
        <w:t xml:space="preserve">The assessed effects indicate a relatively large impact of the programme on the overall improvement of the macro environment. The most significant economic benefits are in two directions – on the </w:t>
      </w:r>
      <w:r w:rsidR="00B40B9E" w:rsidRPr="00E07361">
        <w:rPr>
          <w:rFonts w:ascii="Verdana" w:hAnsi="Verdana"/>
          <w:sz w:val="20"/>
          <w:szCs w:val="20"/>
          <w:lang w:val="en"/>
        </w:rPr>
        <w:t>labor</w:t>
      </w:r>
      <w:r w:rsidRPr="00E07361">
        <w:rPr>
          <w:rFonts w:ascii="Verdana" w:hAnsi="Verdana"/>
          <w:sz w:val="20"/>
          <w:szCs w:val="20"/>
          <w:lang w:val="en"/>
        </w:rPr>
        <w:t xml:space="preserve"> market and on investment activity.  The economic effects on the transport sector are also positive. Within the economic benefits from the implementation of major projects </w:t>
      </w:r>
      <w:r w:rsidR="009423B4" w:rsidRPr="00E07361">
        <w:rPr>
          <w:rFonts w:ascii="Verdana" w:hAnsi="Verdana"/>
          <w:sz w:val="20"/>
          <w:szCs w:val="20"/>
        </w:rPr>
        <w:t>assessed through</w:t>
      </w:r>
      <w:r w:rsidRPr="00E07361">
        <w:rPr>
          <w:rFonts w:ascii="Verdana" w:hAnsi="Verdana"/>
          <w:sz w:val="20"/>
          <w:szCs w:val="20"/>
          <w:lang w:val="en"/>
        </w:rPr>
        <w:t xml:space="preserve"> CBA, a predominant share belongs to the benefit of time saved </w:t>
      </w:r>
      <w:r w:rsidRPr="00E07361">
        <w:rPr>
          <w:rFonts w:ascii="Verdana" w:hAnsi="Verdana"/>
          <w:sz w:val="20"/>
          <w:szCs w:val="20"/>
          <w:lang w:val="en" w:eastAsia="bg-BG"/>
        </w:rPr>
        <w:t>(approximately 70%</w:t>
      </w:r>
      <w:r w:rsidRPr="00E07361">
        <w:rPr>
          <w:rFonts w:ascii="Verdana" w:hAnsi="Verdana"/>
          <w:sz w:val="20"/>
          <w:szCs w:val="20"/>
          <w:lang w:val="en"/>
        </w:rPr>
        <w:t xml:space="preserve"> of the benefits), followed by the benefit of the reduced number of transport accidents, and th</w:t>
      </w:r>
      <w:r w:rsidR="007137E1" w:rsidRPr="00E07361">
        <w:rPr>
          <w:rFonts w:ascii="Verdana" w:hAnsi="Verdana"/>
          <w:sz w:val="20"/>
          <w:szCs w:val="20"/>
          <w:lang w:val="en"/>
        </w:rPr>
        <w:t>e benefits</w:t>
      </w:r>
      <w:r w:rsidRPr="00E07361">
        <w:rPr>
          <w:rFonts w:ascii="Verdana" w:hAnsi="Verdana"/>
          <w:sz w:val="20"/>
          <w:szCs w:val="20"/>
          <w:lang w:val="en"/>
        </w:rPr>
        <w:t xml:space="preserve"> related to reducing </w:t>
      </w:r>
      <w:r w:rsidR="007137E1" w:rsidRPr="00E07361">
        <w:rPr>
          <w:rFonts w:ascii="Verdana" w:hAnsi="Verdana"/>
          <w:sz w:val="20"/>
          <w:szCs w:val="20"/>
          <w:lang w:val="en"/>
        </w:rPr>
        <w:t>negative</w:t>
      </w:r>
      <w:r w:rsidRPr="00E07361">
        <w:rPr>
          <w:rFonts w:ascii="Verdana" w:hAnsi="Verdana"/>
          <w:sz w:val="20"/>
          <w:szCs w:val="20"/>
          <w:lang w:val="en"/>
        </w:rPr>
        <w:t xml:space="preserve"> environmental impacts.</w:t>
      </w:r>
    </w:p>
    <w:p w14:paraId="5E06E72F" w14:textId="669F85F8" w:rsidR="004E40E7" w:rsidRPr="00E07361" w:rsidRDefault="002001D4" w:rsidP="00A0587B">
      <w:pPr>
        <w:spacing w:before="120" w:after="120" w:line="240" w:lineRule="auto"/>
        <w:jc w:val="both"/>
        <w:rPr>
          <w:rFonts w:ascii="Verdana" w:hAnsi="Verdana"/>
          <w:sz w:val="20"/>
          <w:szCs w:val="20"/>
          <w:lang w:val="en" w:eastAsia="bg-BG"/>
        </w:rPr>
      </w:pPr>
      <w:r w:rsidRPr="00E07361">
        <w:rPr>
          <w:rFonts w:ascii="Verdana" w:hAnsi="Verdana"/>
          <w:sz w:val="20"/>
          <w:szCs w:val="20"/>
          <w:lang w:val="en" w:eastAsia="bg-BG"/>
        </w:rPr>
        <w:t xml:space="preserve">The </w:t>
      </w:r>
      <w:r w:rsidR="00A4137D" w:rsidRPr="00E07361">
        <w:rPr>
          <w:rFonts w:ascii="Verdana" w:hAnsi="Verdana"/>
          <w:sz w:val="20"/>
          <w:szCs w:val="20"/>
          <w:lang w:val="en" w:eastAsia="bg-BG"/>
        </w:rPr>
        <w:t>realized</w:t>
      </w:r>
      <w:r w:rsidRPr="00E07361">
        <w:rPr>
          <w:rFonts w:ascii="Verdana" w:hAnsi="Verdana"/>
          <w:sz w:val="20"/>
          <w:szCs w:val="20"/>
          <w:lang w:val="en" w:eastAsia="bg-BG"/>
        </w:rPr>
        <w:t xml:space="preserve"> benefits of the projects were assessed through a retrospective cost-benefit analysis of case studies in the framework of the evaluation. This method has resulted in a comparison of the results in the</w:t>
      </w:r>
      <w:r w:rsidR="00BF511D" w:rsidRPr="00E07361">
        <w:rPr>
          <w:rFonts w:ascii="Verdana" w:hAnsi="Verdana"/>
          <w:sz w:val="20"/>
          <w:szCs w:val="20"/>
          <w:lang w:val="en" w:eastAsia="bg-BG"/>
        </w:rPr>
        <w:t xml:space="preserve"> exploitation </w:t>
      </w:r>
      <w:r w:rsidRPr="00E07361">
        <w:rPr>
          <w:rFonts w:ascii="Verdana" w:hAnsi="Verdana"/>
          <w:sz w:val="20"/>
          <w:szCs w:val="20"/>
          <w:lang w:val="en" w:eastAsia="bg-BG"/>
        </w:rPr>
        <w:t>phase with the proje</w:t>
      </w:r>
      <w:r w:rsidR="00BF511D" w:rsidRPr="00E07361">
        <w:rPr>
          <w:rFonts w:ascii="Verdana" w:hAnsi="Verdana"/>
          <w:sz w:val="20"/>
          <w:szCs w:val="20"/>
          <w:lang w:val="en" w:eastAsia="bg-BG"/>
        </w:rPr>
        <w:t>cted</w:t>
      </w:r>
      <w:r w:rsidRPr="00E07361">
        <w:rPr>
          <w:rFonts w:ascii="Verdana" w:hAnsi="Verdana"/>
          <w:sz w:val="20"/>
          <w:szCs w:val="20"/>
          <w:lang w:val="en" w:eastAsia="bg-BG"/>
        </w:rPr>
        <w:t xml:space="preserve"> benefits. Most projects have a high degree of achievement of the economic </w:t>
      </w:r>
      <w:r w:rsidR="00BF511D" w:rsidRPr="00E07361">
        <w:rPr>
          <w:rFonts w:ascii="Verdana" w:hAnsi="Verdana"/>
          <w:sz w:val="20"/>
          <w:szCs w:val="20"/>
          <w:lang w:val="en" w:eastAsia="bg-BG"/>
        </w:rPr>
        <w:t>benefits</w:t>
      </w:r>
      <w:r w:rsidRPr="00E07361">
        <w:rPr>
          <w:rFonts w:ascii="Verdana" w:hAnsi="Verdana"/>
          <w:sz w:val="20"/>
          <w:szCs w:val="20"/>
          <w:lang w:val="en" w:eastAsia="bg-BG"/>
        </w:rPr>
        <w:t xml:space="preserve"> (over 30%). </w:t>
      </w:r>
      <w:r w:rsidR="00CB0A35" w:rsidRPr="00E07361">
        <w:rPr>
          <w:rFonts w:ascii="Verdana" w:hAnsi="Verdana"/>
          <w:sz w:val="20"/>
          <w:szCs w:val="20"/>
          <w:lang w:val="en" w:eastAsia="bg-BG"/>
        </w:rPr>
        <w:t>The railway project</w:t>
      </w:r>
      <w:r w:rsidR="001B3604" w:rsidRPr="00E07361">
        <w:rPr>
          <w:rFonts w:ascii="Verdana" w:hAnsi="Verdana"/>
          <w:sz w:val="20"/>
          <w:szCs w:val="20"/>
          <w:lang w:val="en" w:eastAsia="bg-BG"/>
        </w:rPr>
        <w:t>s and one of the metro extension projects</w:t>
      </w:r>
      <w:r w:rsidR="008F1E7D" w:rsidRPr="00E07361">
        <w:rPr>
          <w:rFonts w:ascii="Verdana" w:hAnsi="Verdana"/>
          <w:sz w:val="20"/>
          <w:szCs w:val="20"/>
          <w:lang w:val="en" w:eastAsia="bg-BG"/>
        </w:rPr>
        <w:t xml:space="preserve"> have the lowest coefficient ratio for achievement of benefits</w:t>
      </w:r>
      <w:r w:rsidR="007F410A" w:rsidRPr="00E07361">
        <w:rPr>
          <w:rFonts w:ascii="Verdana" w:hAnsi="Verdana"/>
          <w:sz w:val="20"/>
          <w:szCs w:val="20"/>
          <w:lang w:val="en" w:eastAsia="bg-BG"/>
        </w:rPr>
        <w:t>, due to the lower reported traffic than forecasted volumes</w:t>
      </w:r>
      <w:r w:rsidR="004E40E7" w:rsidRPr="00E07361">
        <w:rPr>
          <w:rFonts w:ascii="Verdana" w:hAnsi="Verdana"/>
          <w:sz w:val="20"/>
          <w:szCs w:val="20"/>
          <w:lang w:val="en" w:eastAsia="bg-BG"/>
        </w:rPr>
        <w:t xml:space="preserve"> (passengers and freight)</w:t>
      </w:r>
      <w:r w:rsidR="007F410A" w:rsidRPr="00E07361">
        <w:rPr>
          <w:rFonts w:ascii="Verdana" w:hAnsi="Verdana"/>
          <w:sz w:val="20"/>
          <w:szCs w:val="20"/>
          <w:lang w:val="en" w:eastAsia="bg-BG"/>
        </w:rPr>
        <w:t xml:space="preserve">. </w:t>
      </w:r>
      <w:r w:rsidR="00C91395" w:rsidRPr="00E07361">
        <w:rPr>
          <w:rFonts w:ascii="Verdana" w:hAnsi="Verdana"/>
          <w:sz w:val="20"/>
          <w:szCs w:val="20"/>
          <w:lang w:val="en" w:eastAsia="bg-BG"/>
        </w:rPr>
        <w:t xml:space="preserve">In road sector the reported traffic volumes are close to the forecasted, so </w:t>
      </w:r>
      <w:r w:rsidR="00961FB5" w:rsidRPr="00E07361">
        <w:rPr>
          <w:rFonts w:ascii="Verdana" w:hAnsi="Verdana"/>
          <w:sz w:val="20"/>
          <w:szCs w:val="20"/>
          <w:lang w:val="en" w:eastAsia="bg-BG"/>
        </w:rPr>
        <w:t>it can be assumed that the economic benefits have been achieved</w:t>
      </w:r>
      <w:r w:rsidR="004E40E7" w:rsidRPr="00E07361">
        <w:rPr>
          <w:rFonts w:ascii="Verdana" w:hAnsi="Verdana"/>
          <w:sz w:val="20"/>
          <w:szCs w:val="20"/>
          <w:lang w:val="en" w:eastAsia="bg-BG"/>
        </w:rPr>
        <w:t xml:space="preserve"> to a high extent. </w:t>
      </w:r>
    </w:p>
    <w:p w14:paraId="267E1151" w14:textId="3E8569CF" w:rsidR="002001D4" w:rsidRPr="00E07361" w:rsidRDefault="002001D4" w:rsidP="00A0587B">
      <w:pPr>
        <w:spacing w:before="120" w:after="120" w:line="240" w:lineRule="auto"/>
        <w:jc w:val="both"/>
        <w:rPr>
          <w:rFonts w:ascii="Verdana" w:hAnsi="Verdana"/>
          <w:sz w:val="20"/>
          <w:szCs w:val="20"/>
          <w:lang w:val="en" w:eastAsia="bg-BG"/>
        </w:rPr>
      </w:pPr>
      <w:r w:rsidRPr="00E07361">
        <w:rPr>
          <w:rFonts w:ascii="Verdana" w:hAnsi="Verdana"/>
          <w:sz w:val="20"/>
          <w:szCs w:val="20"/>
          <w:lang w:val="en" w:eastAsia="bg-BG"/>
        </w:rPr>
        <w:t>According to the results of the CBAs, environmental impact related to the reduction of carbon emissions and to climate change has a net positive value with</w:t>
      </w:r>
      <w:r w:rsidR="004E40E7" w:rsidRPr="00E07361">
        <w:rPr>
          <w:rFonts w:ascii="Verdana" w:hAnsi="Verdana"/>
          <w:sz w:val="20"/>
          <w:szCs w:val="20"/>
          <w:lang w:val="en" w:eastAsia="bg-BG"/>
        </w:rPr>
        <w:t>in</w:t>
      </w:r>
      <w:r w:rsidRPr="00E07361">
        <w:rPr>
          <w:rFonts w:ascii="Verdana" w:hAnsi="Verdana"/>
          <w:sz w:val="20"/>
          <w:szCs w:val="20"/>
          <w:lang w:val="en" w:eastAsia="bg-BG"/>
        </w:rPr>
        <w:t xml:space="preserve"> railway projects and the extension works for Sofia Metro. </w:t>
      </w:r>
      <w:r w:rsidR="00356012" w:rsidRPr="00E07361">
        <w:rPr>
          <w:rFonts w:ascii="Verdana" w:hAnsi="Verdana"/>
          <w:sz w:val="20"/>
          <w:szCs w:val="20"/>
          <w:lang w:val="en" w:eastAsia="bg-BG"/>
        </w:rPr>
        <w:t>M</w:t>
      </w:r>
      <w:r w:rsidRPr="00E07361">
        <w:rPr>
          <w:rFonts w:ascii="Verdana" w:hAnsi="Verdana"/>
          <w:sz w:val="20"/>
          <w:szCs w:val="20"/>
          <w:lang w:val="en" w:eastAsia="bg-BG"/>
        </w:rPr>
        <w:t xml:space="preserve">ost of road projects have a negative overall environmental effect. Measures to reduce detrimental impact on environment </w:t>
      </w:r>
      <w:r w:rsidR="002D421C" w:rsidRPr="00E07361">
        <w:rPr>
          <w:rFonts w:ascii="Verdana" w:hAnsi="Verdana"/>
          <w:sz w:val="20"/>
          <w:szCs w:val="20"/>
          <w:lang w:val="en" w:eastAsia="bg-BG"/>
        </w:rPr>
        <w:t>have been</w:t>
      </w:r>
      <w:r w:rsidRPr="00E07361">
        <w:rPr>
          <w:rFonts w:ascii="Verdana" w:hAnsi="Verdana"/>
          <w:sz w:val="20"/>
          <w:szCs w:val="20"/>
          <w:lang w:val="en" w:eastAsia="bg-BG"/>
        </w:rPr>
        <w:t xml:space="preserve"> ensured through environmental legislation both at programme and project level. The monitoring of </w:t>
      </w:r>
      <w:r w:rsidR="0086609F" w:rsidRPr="00E07361">
        <w:rPr>
          <w:rFonts w:ascii="Verdana" w:hAnsi="Verdana"/>
          <w:sz w:val="20"/>
          <w:szCs w:val="20"/>
          <w:lang w:val="en" w:eastAsia="bg-BG"/>
        </w:rPr>
        <w:t xml:space="preserve">implemented measures was </w:t>
      </w:r>
      <w:r w:rsidRPr="00E07361">
        <w:rPr>
          <w:rFonts w:ascii="Verdana" w:hAnsi="Verdana"/>
          <w:sz w:val="20"/>
          <w:szCs w:val="20"/>
          <w:lang w:val="en" w:eastAsia="bg-BG"/>
        </w:rPr>
        <w:t xml:space="preserve">carried out through </w:t>
      </w:r>
      <w:r w:rsidR="0086609F" w:rsidRPr="00E07361">
        <w:rPr>
          <w:rFonts w:ascii="Verdana" w:hAnsi="Verdana"/>
          <w:sz w:val="20"/>
          <w:szCs w:val="20"/>
          <w:lang w:val="en" w:eastAsia="bg-BG"/>
        </w:rPr>
        <w:t xml:space="preserve">regular </w:t>
      </w:r>
      <w:r w:rsidRPr="00E07361">
        <w:rPr>
          <w:rFonts w:ascii="Verdana" w:hAnsi="Verdana"/>
          <w:sz w:val="20"/>
          <w:szCs w:val="20"/>
          <w:lang w:val="en" w:eastAsia="bg-BG"/>
        </w:rPr>
        <w:t xml:space="preserve">reports on the </w:t>
      </w:r>
      <w:r w:rsidR="00763CF0" w:rsidRPr="00E07361">
        <w:rPr>
          <w:rFonts w:ascii="Verdana" w:hAnsi="Verdana"/>
          <w:sz w:val="20"/>
          <w:szCs w:val="20"/>
          <w:lang w:val="en" w:eastAsia="bg-BG"/>
        </w:rPr>
        <w:t xml:space="preserve">monitoring </w:t>
      </w:r>
      <w:r w:rsidRPr="00E07361">
        <w:rPr>
          <w:rFonts w:ascii="Verdana" w:hAnsi="Verdana"/>
          <w:sz w:val="20"/>
          <w:szCs w:val="20"/>
          <w:lang w:val="en" w:eastAsia="bg-BG"/>
        </w:rPr>
        <w:t xml:space="preserve">and control of OPT environmental impact and </w:t>
      </w:r>
      <w:r w:rsidR="00763CF0" w:rsidRPr="00E07361">
        <w:rPr>
          <w:rFonts w:ascii="Verdana" w:hAnsi="Verdana"/>
          <w:sz w:val="20"/>
          <w:szCs w:val="20"/>
          <w:lang w:val="en" w:eastAsia="bg-BG"/>
        </w:rPr>
        <w:t xml:space="preserve">the General </w:t>
      </w:r>
      <w:r w:rsidR="00147ABC" w:rsidRPr="00E07361">
        <w:rPr>
          <w:rFonts w:ascii="Verdana" w:hAnsi="Verdana"/>
          <w:sz w:val="20"/>
          <w:szCs w:val="20"/>
          <w:lang w:val="en" w:eastAsia="bg-BG"/>
        </w:rPr>
        <w:t>Transport Master Plan</w:t>
      </w:r>
      <w:r w:rsidRPr="00E07361">
        <w:rPr>
          <w:rFonts w:ascii="Verdana" w:hAnsi="Verdana"/>
          <w:sz w:val="20"/>
          <w:szCs w:val="20"/>
          <w:lang w:val="en" w:eastAsia="bg-BG"/>
        </w:rPr>
        <w:t xml:space="preserve">. These reports have shown that the </w:t>
      </w:r>
      <w:r w:rsidR="00147ABC" w:rsidRPr="00E07361">
        <w:rPr>
          <w:rFonts w:ascii="Verdana" w:hAnsi="Verdana"/>
          <w:sz w:val="20"/>
          <w:szCs w:val="20"/>
          <w:lang w:val="en" w:eastAsia="bg-BG"/>
        </w:rPr>
        <w:t xml:space="preserve">envisaged </w:t>
      </w:r>
      <w:r w:rsidRPr="00E07361">
        <w:rPr>
          <w:rFonts w:ascii="Verdana" w:hAnsi="Verdana"/>
          <w:sz w:val="20"/>
          <w:szCs w:val="20"/>
          <w:lang w:val="en" w:eastAsia="bg-BG"/>
        </w:rPr>
        <w:t>measures</w:t>
      </w:r>
      <w:r w:rsidR="00147ABC" w:rsidRPr="00E07361">
        <w:rPr>
          <w:rFonts w:ascii="Verdana" w:hAnsi="Verdana"/>
          <w:sz w:val="20"/>
          <w:szCs w:val="20"/>
          <w:lang w:val="en" w:eastAsia="bg-BG"/>
        </w:rPr>
        <w:t xml:space="preserve"> </w:t>
      </w:r>
      <w:r w:rsidRPr="00E07361">
        <w:rPr>
          <w:rFonts w:ascii="Verdana" w:hAnsi="Verdana"/>
          <w:sz w:val="20"/>
          <w:szCs w:val="20"/>
          <w:lang w:val="en" w:eastAsia="bg-BG"/>
        </w:rPr>
        <w:t>have been respected to a great extent and that eco-friendly</w:t>
      </w:r>
      <w:r w:rsidR="00E07361" w:rsidRPr="00E07361">
        <w:rPr>
          <w:rFonts w:ascii="Verdana" w:hAnsi="Verdana"/>
          <w:sz w:val="20"/>
          <w:szCs w:val="20"/>
          <w:lang w:val="en" w:eastAsia="bg-BG"/>
        </w:rPr>
        <w:t xml:space="preserve"> infrastructure was built where applicable.</w:t>
      </w:r>
    </w:p>
    <w:p w14:paraId="33C59F95" w14:textId="77777777" w:rsidR="00445986" w:rsidRPr="00A4137D" w:rsidRDefault="00445986" w:rsidP="00A0587B">
      <w:pPr>
        <w:spacing w:before="120" w:after="120" w:line="240" w:lineRule="auto"/>
        <w:jc w:val="both"/>
        <w:rPr>
          <w:rFonts w:ascii="Verdana" w:hAnsi="Verdana"/>
          <w:sz w:val="20"/>
          <w:szCs w:val="20"/>
          <w:highlight w:val="yellow"/>
          <w:lang w:val="bg-BG"/>
        </w:rPr>
      </w:pPr>
    </w:p>
    <w:p w14:paraId="3F87E3C8" w14:textId="2FE85C0E" w:rsidR="00445986" w:rsidRPr="00E07361" w:rsidRDefault="00E07361" w:rsidP="00A0587B">
      <w:pPr>
        <w:spacing w:before="120" w:after="120" w:line="240" w:lineRule="auto"/>
        <w:jc w:val="both"/>
        <w:rPr>
          <w:rFonts w:ascii="Verdana" w:eastAsia="Calibri" w:hAnsi="Verdana"/>
          <w:b/>
          <w:i/>
          <w:color w:val="000000"/>
          <w:sz w:val="20"/>
          <w:szCs w:val="20"/>
          <w:lang w:val="bg-BG"/>
        </w:rPr>
      </w:pPr>
      <w:r w:rsidRPr="00E07361">
        <w:rPr>
          <w:rFonts w:ascii="Verdana" w:hAnsi="Verdana"/>
          <w:b/>
          <w:i/>
          <w:color w:val="000000"/>
          <w:sz w:val="20"/>
          <w:szCs w:val="20"/>
          <w:lang w:val="en"/>
        </w:rPr>
        <w:t>Programme modifications</w:t>
      </w:r>
    </w:p>
    <w:p w14:paraId="65170AD5" w14:textId="49D2D639" w:rsidR="00445986" w:rsidRDefault="00E07361" w:rsidP="00A0587B">
      <w:pPr>
        <w:spacing w:before="120" w:after="120" w:line="240" w:lineRule="auto"/>
        <w:jc w:val="both"/>
        <w:rPr>
          <w:rFonts w:ascii="Verdana" w:hAnsi="Verdana"/>
          <w:sz w:val="20"/>
          <w:szCs w:val="20"/>
          <w:lang w:val="en"/>
        </w:rPr>
      </w:pPr>
      <w:r w:rsidRPr="00D56497">
        <w:rPr>
          <w:rFonts w:ascii="Verdana" w:hAnsi="Verdana"/>
          <w:sz w:val="20"/>
          <w:szCs w:val="20"/>
          <w:lang w:val="en"/>
        </w:rPr>
        <w:t>Programme modifications</w:t>
      </w:r>
      <w:r w:rsidR="00480C8F" w:rsidRPr="00D56497">
        <w:rPr>
          <w:rFonts w:ascii="Verdana" w:hAnsi="Verdana"/>
          <w:sz w:val="20"/>
          <w:szCs w:val="20"/>
          <w:lang w:val="en"/>
        </w:rPr>
        <w:t xml:space="preserve"> have proven to be an </w:t>
      </w:r>
      <w:r w:rsidR="00445986" w:rsidRPr="00D56497">
        <w:rPr>
          <w:rFonts w:ascii="Verdana" w:hAnsi="Verdana"/>
          <w:sz w:val="20"/>
          <w:szCs w:val="20"/>
          <w:lang w:val="en"/>
        </w:rPr>
        <w:t xml:space="preserve">effective measure </w:t>
      </w:r>
      <w:r w:rsidR="00480C8F" w:rsidRPr="00D56497">
        <w:rPr>
          <w:rFonts w:ascii="Verdana" w:hAnsi="Verdana"/>
          <w:sz w:val="20"/>
          <w:szCs w:val="20"/>
          <w:lang w:val="en"/>
        </w:rPr>
        <w:t>for</w:t>
      </w:r>
      <w:r w:rsidR="00445986" w:rsidRPr="00D56497">
        <w:rPr>
          <w:rFonts w:ascii="Verdana" w:hAnsi="Verdana"/>
          <w:sz w:val="20"/>
          <w:szCs w:val="20"/>
          <w:lang w:val="en"/>
        </w:rPr>
        <w:t xml:space="preserve"> address</w:t>
      </w:r>
      <w:r w:rsidR="00480C8F" w:rsidRPr="00D56497">
        <w:rPr>
          <w:rFonts w:ascii="Verdana" w:hAnsi="Verdana"/>
          <w:sz w:val="20"/>
          <w:szCs w:val="20"/>
          <w:lang w:val="en"/>
        </w:rPr>
        <w:t>ing</w:t>
      </w:r>
      <w:r w:rsidR="00445986" w:rsidRPr="00D56497">
        <w:rPr>
          <w:rFonts w:ascii="Verdana" w:hAnsi="Verdana"/>
          <w:sz w:val="20"/>
          <w:szCs w:val="20"/>
          <w:lang w:val="en"/>
        </w:rPr>
        <w:t xml:space="preserve"> delays in implementation, </w:t>
      </w:r>
      <w:r w:rsidR="00480C8F" w:rsidRPr="00D56497">
        <w:rPr>
          <w:rFonts w:ascii="Verdana" w:hAnsi="Verdana"/>
          <w:sz w:val="20"/>
          <w:szCs w:val="20"/>
          <w:lang w:val="en"/>
        </w:rPr>
        <w:t>applying</w:t>
      </w:r>
      <w:r w:rsidR="00445986" w:rsidRPr="00D56497">
        <w:rPr>
          <w:rFonts w:ascii="Verdana" w:hAnsi="Verdana"/>
          <w:sz w:val="20"/>
          <w:szCs w:val="20"/>
          <w:lang w:val="en"/>
        </w:rPr>
        <w:t xml:space="preserve"> corrective measures </w:t>
      </w:r>
      <w:r w:rsidR="00480C8F" w:rsidRPr="00D56497">
        <w:rPr>
          <w:rFonts w:ascii="Verdana" w:hAnsi="Verdana"/>
          <w:sz w:val="20"/>
          <w:szCs w:val="20"/>
          <w:lang w:val="en"/>
        </w:rPr>
        <w:t xml:space="preserve">to </w:t>
      </w:r>
      <w:r w:rsidR="00445986" w:rsidRPr="00D56497">
        <w:rPr>
          <w:rFonts w:ascii="Verdana" w:hAnsi="Verdana"/>
          <w:sz w:val="20"/>
          <w:szCs w:val="20"/>
          <w:lang w:val="en"/>
        </w:rPr>
        <w:t>high-risk projects and prevent</w:t>
      </w:r>
      <w:r w:rsidR="00480C8F" w:rsidRPr="00D56497">
        <w:rPr>
          <w:rFonts w:ascii="Verdana" w:hAnsi="Verdana"/>
          <w:sz w:val="20"/>
          <w:szCs w:val="20"/>
          <w:lang w:val="en"/>
        </w:rPr>
        <w:t>ing</w:t>
      </w:r>
      <w:r w:rsidR="00445986" w:rsidRPr="00D56497">
        <w:rPr>
          <w:rFonts w:ascii="Verdana" w:hAnsi="Verdana"/>
          <w:sz w:val="20"/>
          <w:szCs w:val="20"/>
          <w:lang w:val="en"/>
        </w:rPr>
        <w:t xml:space="preserve"> loss of funds. </w:t>
      </w:r>
      <w:r w:rsidR="00115257" w:rsidRPr="00D56497">
        <w:rPr>
          <w:rFonts w:ascii="Verdana" w:hAnsi="Verdana"/>
          <w:sz w:val="20"/>
          <w:szCs w:val="20"/>
          <w:lang w:val="en"/>
        </w:rPr>
        <w:t xml:space="preserve">Through modifications </w:t>
      </w:r>
      <w:r w:rsidR="00445986" w:rsidRPr="00D56497">
        <w:rPr>
          <w:rFonts w:ascii="Verdana" w:hAnsi="Verdana"/>
          <w:sz w:val="20"/>
          <w:szCs w:val="20"/>
          <w:lang w:val="en"/>
        </w:rPr>
        <w:t xml:space="preserve">certain high-risk projects </w:t>
      </w:r>
      <w:r w:rsidR="00115257" w:rsidRPr="00D56497">
        <w:rPr>
          <w:rFonts w:ascii="Verdana" w:hAnsi="Verdana"/>
          <w:sz w:val="20"/>
          <w:szCs w:val="20"/>
          <w:lang w:val="en"/>
        </w:rPr>
        <w:t xml:space="preserve">have been excluded from the programme and </w:t>
      </w:r>
      <w:r w:rsidR="00445986" w:rsidRPr="00D56497">
        <w:rPr>
          <w:rFonts w:ascii="Verdana" w:hAnsi="Verdana"/>
          <w:sz w:val="20"/>
          <w:szCs w:val="20"/>
          <w:lang w:val="en"/>
        </w:rPr>
        <w:t>new projects</w:t>
      </w:r>
      <w:r w:rsidR="00115257" w:rsidRPr="00D56497">
        <w:rPr>
          <w:rFonts w:ascii="Verdana" w:hAnsi="Verdana"/>
          <w:sz w:val="20"/>
          <w:szCs w:val="20"/>
          <w:lang w:val="en"/>
        </w:rPr>
        <w:t xml:space="preserve"> were included</w:t>
      </w:r>
      <w:r w:rsidR="00445986" w:rsidRPr="00D56497">
        <w:rPr>
          <w:rFonts w:ascii="Verdana" w:hAnsi="Verdana"/>
          <w:sz w:val="20"/>
          <w:szCs w:val="20"/>
          <w:lang w:val="en"/>
        </w:rPr>
        <w:t xml:space="preserve">, </w:t>
      </w:r>
      <w:r w:rsidR="00777FAA" w:rsidRPr="00D56497">
        <w:rPr>
          <w:rFonts w:ascii="Verdana" w:hAnsi="Verdana"/>
          <w:sz w:val="20"/>
          <w:szCs w:val="20"/>
          <w:lang w:val="en"/>
        </w:rPr>
        <w:t xml:space="preserve">which contributed to </w:t>
      </w:r>
      <w:r w:rsidR="00445986" w:rsidRPr="00D56497">
        <w:rPr>
          <w:rFonts w:ascii="Verdana" w:hAnsi="Verdana"/>
          <w:sz w:val="20"/>
          <w:szCs w:val="20"/>
          <w:lang w:val="en"/>
        </w:rPr>
        <w:t xml:space="preserve">prevent the loss of funds, while respecting the objectives and priorities of the programme. Some of the </w:t>
      </w:r>
      <w:r w:rsidR="00316744" w:rsidRPr="00D56497">
        <w:rPr>
          <w:rFonts w:ascii="Verdana" w:hAnsi="Verdana"/>
          <w:sz w:val="20"/>
          <w:szCs w:val="20"/>
          <w:lang w:val="en"/>
        </w:rPr>
        <w:t>excluded</w:t>
      </w:r>
      <w:r w:rsidR="00445986" w:rsidRPr="00D56497">
        <w:rPr>
          <w:rFonts w:ascii="Verdana" w:hAnsi="Verdana"/>
          <w:sz w:val="20"/>
          <w:szCs w:val="20"/>
          <w:lang w:val="en"/>
        </w:rPr>
        <w:t xml:space="preserve"> projects </w:t>
      </w:r>
      <w:r w:rsidR="00316744" w:rsidRPr="00D56497">
        <w:rPr>
          <w:rFonts w:ascii="Verdana" w:hAnsi="Verdana"/>
          <w:sz w:val="20"/>
          <w:szCs w:val="20"/>
          <w:lang w:val="en"/>
        </w:rPr>
        <w:t>were situated</w:t>
      </w:r>
      <w:r w:rsidR="00445986" w:rsidRPr="00D56497">
        <w:rPr>
          <w:rFonts w:ascii="Verdana" w:hAnsi="Verdana"/>
          <w:sz w:val="20"/>
          <w:szCs w:val="20"/>
          <w:lang w:val="en"/>
        </w:rPr>
        <w:t xml:space="preserve"> in the Northwestern Planning </w:t>
      </w:r>
      <w:r w:rsidR="00316744" w:rsidRPr="00D56497">
        <w:rPr>
          <w:rFonts w:ascii="Verdana" w:hAnsi="Verdana"/>
          <w:sz w:val="20"/>
          <w:szCs w:val="20"/>
          <w:lang w:val="en"/>
        </w:rPr>
        <w:t>Region</w:t>
      </w:r>
      <w:r w:rsidR="00445986" w:rsidRPr="00D56497">
        <w:rPr>
          <w:rFonts w:ascii="Verdana" w:hAnsi="Verdana"/>
          <w:sz w:val="20"/>
          <w:szCs w:val="20"/>
          <w:lang w:val="en"/>
        </w:rPr>
        <w:t xml:space="preserve">, which </w:t>
      </w:r>
      <w:r w:rsidR="00316744" w:rsidRPr="00D56497">
        <w:rPr>
          <w:rFonts w:ascii="Verdana" w:hAnsi="Verdana"/>
          <w:sz w:val="20"/>
          <w:szCs w:val="20"/>
          <w:lang w:val="en"/>
        </w:rPr>
        <w:t>was a</w:t>
      </w:r>
      <w:r w:rsidR="00445986" w:rsidRPr="00D56497">
        <w:rPr>
          <w:rFonts w:ascii="Verdana" w:hAnsi="Verdana"/>
          <w:sz w:val="20"/>
          <w:szCs w:val="20"/>
          <w:lang w:val="en"/>
        </w:rPr>
        <w:t xml:space="preserve"> reason for concentrating the positive territorial effects of the program in Southern Bulgaria. Th</w:t>
      </w:r>
      <w:r w:rsidR="00316744" w:rsidRPr="00D56497">
        <w:rPr>
          <w:rFonts w:ascii="Verdana" w:hAnsi="Verdana"/>
          <w:sz w:val="20"/>
          <w:szCs w:val="20"/>
          <w:lang w:val="en"/>
        </w:rPr>
        <w:t>e modifications</w:t>
      </w:r>
      <w:r w:rsidR="00445986" w:rsidRPr="00D56497">
        <w:rPr>
          <w:rFonts w:ascii="Verdana" w:hAnsi="Verdana"/>
          <w:sz w:val="20"/>
          <w:szCs w:val="20"/>
          <w:lang w:val="en"/>
        </w:rPr>
        <w:t xml:space="preserve"> </w:t>
      </w:r>
      <w:r w:rsidR="00A67CDB" w:rsidRPr="00D56497">
        <w:rPr>
          <w:rFonts w:ascii="Verdana" w:hAnsi="Verdana"/>
          <w:sz w:val="20"/>
          <w:szCs w:val="20"/>
          <w:lang w:val="en"/>
        </w:rPr>
        <w:t>resulted in higher</w:t>
      </w:r>
      <w:r w:rsidR="00445986" w:rsidRPr="00D56497">
        <w:rPr>
          <w:rFonts w:ascii="Verdana" w:hAnsi="Verdana"/>
          <w:sz w:val="20"/>
          <w:szCs w:val="20"/>
          <w:lang w:val="en"/>
        </w:rPr>
        <w:t xml:space="preserve"> budget for multimodal transport projects, including metro expansion and intelligent transport systems, and</w:t>
      </w:r>
      <w:r w:rsidR="00A67CDB" w:rsidRPr="00D56497">
        <w:rPr>
          <w:rFonts w:ascii="Verdana" w:hAnsi="Verdana"/>
          <w:sz w:val="20"/>
          <w:szCs w:val="20"/>
          <w:lang w:val="en"/>
        </w:rPr>
        <w:t xml:space="preserve"> lower </w:t>
      </w:r>
      <w:r w:rsidR="00445986" w:rsidRPr="00D56497">
        <w:rPr>
          <w:rFonts w:ascii="Verdana" w:hAnsi="Verdana"/>
          <w:sz w:val="20"/>
          <w:szCs w:val="20"/>
          <w:lang w:val="en"/>
        </w:rPr>
        <w:t xml:space="preserve">budget </w:t>
      </w:r>
      <w:r w:rsidR="00A67CDB" w:rsidRPr="00D56497">
        <w:rPr>
          <w:rFonts w:ascii="Verdana" w:hAnsi="Verdana"/>
          <w:sz w:val="20"/>
          <w:szCs w:val="20"/>
          <w:lang w:val="en"/>
        </w:rPr>
        <w:t>for</w:t>
      </w:r>
      <w:r w:rsidR="00445986" w:rsidRPr="00D56497">
        <w:rPr>
          <w:rFonts w:ascii="Verdana" w:hAnsi="Verdana"/>
          <w:sz w:val="20"/>
          <w:szCs w:val="20"/>
          <w:lang w:val="en"/>
        </w:rPr>
        <w:t xml:space="preserve"> railways and</w:t>
      </w:r>
      <w:r w:rsidR="009F0BC1" w:rsidRPr="00D56497">
        <w:rPr>
          <w:rFonts w:ascii="Verdana" w:hAnsi="Verdana"/>
          <w:sz w:val="20"/>
          <w:szCs w:val="20"/>
          <w:lang w:val="en"/>
        </w:rPr>
        <w:t xml:space="preserve"> national</w:t>
      </w:r>
      <w:r w:rsidR="00445986" w:rsidRPr="00D56497">
        <w:rPr>
          <w:rFonts w:ascii="Verdana" w:hAnsi="Verdana"/>
          <w:sz w:val="20"/>
          <w:szCs w:val="20"/>
          <w:lang w:val="en"/>
        </w:rPr>
        <w:t xml:space="preserve"> roads.</w:t>
      </w:r>
    </w:p>
    <w:p w14:paraId="3871136A" w14:textId="77777777" w:rsidR="00A0587B" w:rsidRPr="00D56497" w:rsidRDefault="00A0587B" w:rsidP="00A0587B">
      <w:pPr>
        <w:spacing w:before="120" w:after="120" w:line="240" w:lineRule="auto"/>
        <w:jc w:val="both"/>
        <w:rPr>
          <w:rFonts w:ascii="Verdana" w:hAnsi="Verdana"/>
          <w:sz w:val="20"/>
          <w:szCs w:val="20"/>
          <w:lang w:val="bg-BG"/>
        </w:rPr>
      </w:pPr>
    </w:p>
    <w:p w14:paraId="40078CC2" w14:textId="77777777" w:rsidR="00445986" w:rsidRPr="00114EF3" w:rsidRDefault="00445986" w:rsidP="00A0587B">
      <w:pPr>
        <w:spacing w:before="120" w:after="120" w:line="240" w:lineRule="auto"/>
        <w:jc w:val="both"/>
        <w:rPr>
          <w:rFonts w:ascii="Verdana" w:eastAsia="Calibri" w:hAnsi="Verdana"/>
          <w:b/>
          <w:i/>
          <w:color w:val="000000"/>
          <w:sz w:val="20"/>
          <w:szCs w:val="20"/>
          <w:lang w:val="bg-BG"/>
        </w:rPr>
      </w:pPr>
      <w:r w:rsidRPr="00114EF3">
        <w:rPr>
          <w:rFonts w:ascii="Verdana" w:hAnsi="Verdana"/>
          <w:b/>
          <w:i/>
          <w:color w:val="000000"/>
          <w:sz w:val="20"/>
          <w:szCs w:val="20"/>
          <w:lang w:val="en"/>
        </w:rPr>
        <w:t>Integration of the national transport system into the European transport network</w:t>
      </w:r>
    </w:p>
    <w:p w14:paraId="7D6E2B10" w14:textId="6E0133D1" w:rsidR="00445986" w:rsidRPr="00BC1619" w:rsidRDefault="00445986" w:rsidP="00A0587B">
      <w:pPr>
        <w:tabs>
          <w:tab w:val="left" w:pos="4429"/>
          <w:tab w:val="left" w:pos="8746"/>
        </w:tabs>
        <w:spacing w:before="120" w:after="120" w:line="240" w:lineRule="auto"/>
        <w:jc w:val="both"/>
        <w:rPr>
          <w:rFonts w:ascii="Verdana" w:hAnsi="Verdana"/>
          <w:sz w:val="20"/>
          <w:szCs w:val="20"/>
          <w:lang w:val="bg-BG"/>
        </w:rPr>
      </w:pPr>
      <w:r w:rsidRPr="00BC1619">
        <w:rPr>
          <w:rFonts w:ascii="Verdana" w:hAnsi="Verdana"/>
          <w:sz w:val="20"/>
          <w:szCs w:val="20"/>
          <w:lang w:val="en"/>
        </w:rPr>
        <w:t xml:space="preserve">The achievement of the integration of Bulgaria's transport network into that of the EU </w:t>
      </w:r>
      <w:r w:rsidR="00114EF3" w:rsidRPr="00BC1619">
        <w:rPr>
          <w:rFonts w:ascii="Verdana" w:hAnsi="Verdana"/>
          <w:sz w:val="20"/>
          <w:szCs w:val="20"/>
          <w:lang w:val="en"/>
        </w:rPr>
        <w:t>has been</w:t>
      </w:r>
      <w:r w:rsidRPr="00BC1619">
        <w:rPr>
          <w:rFonts w:ascii="Verdana" w:hAnsi="Verdana"/>
          <w:sz w:val="20"/>
          <w:szCs w:val="20"/>
          <w:lang w:val="en"/>
        </w:rPr>
        <w:t xml:space="preserve"> enshrined as a strategic objective of the national transport policy. The integration of the national transport system into the common European transport market has been seen as a </w:t>
      </w:r>
      <w:r w:rsidR="00B40B9E" w:rsidRPr="00BC1619">
        <w:rPr>
          <w:rFonts w:ascii="Verdana" w:hAnsi="Verdana"/>
          <w:sz w:val="20"/>
          <w:szCs w:val="20"/>
          <w:lang w:val="en"/>
        </w:rPr>
        <w:t>favorable</w:t>
      </w:r>
      <w:r w:rsidRPr="00BC1619">
        <w:rPr>
          <w:rFonts w:ascii="Verdana" w:hAnsi="Verdana"/>
          <w:sz w:val="20"/>
          <w:szCs w:val="20"/>
          <w:lang w:val="en"/>
        </w:rPr>
        <w:t xml:space="preserve"> opportunity for the development of the sector. Under</w:t>
      </w:r>
      <w:r w:rsidR="00114EF3" w:rsidRPr="00BC1619">
        <w:rPr>
          <w:rFonts w:ascii="Verdana" w:hAnsi="Verdana"/>
          <w:sz w:val="20"/>
          <w:szCs w:val="20"/>
          <w:lang w:val="en"/>
        </w:rPr>
        <w:t xml:space="preserve"> OPT</w:t>
      </w:r>
      <w:r w:rsidRPr="00BC1619">
        <w:rPr>
          <w:rFonts w:ascii="Verdana" w:hAnsi="Verdana"/>
          <w:sz w:val="20"/>
          <w:szCs w:val="20"/>
          <w:lang w:val="en"/>
        </w:rPr>
        <w:t xml:space="preserve">, 25 investment projects totaling </w:t>
      </w:r>
      <w:r w:rsidR="005D2755" w:rsidRPr="00BC1619">
        <w:rPr>
          <w:rFonts w:ascii="Verdana" w:hAnsi="Verdana"/>
          <w:sz w:val="20"/>
          <w:szCs w:val="20"/>
          <w:lang w:val="en"/>
        </w:rPr>
        <w:t>BGN</w:t>
      </w:r>
      <w:r w:rsidRPr="00BC1619">
        <w:rPr>
          <w:rFonts w:ascii="Verdana" w:hAnsi="Verdana"/>
          <w:sz w:val="20"/>
          <w:szCs w:val="20"/>
          <w:lang w:val="en"/>
        </w:rPr>
        <w:t xml:space="preserve"> 3.922 billion were implemented</w:t>
      </w:r>
      <w:r w:rsidR="005D2755" w:rsidRPr="00BC1619">
        <w:rPr>
          <w:rFonts w:ascii="Verdana" w:hAnsi="Verdana"/>
          <w:sz w:val="20"/>
          <w:szCs w:val="20"/>
          <w:lang w:val="en"/>
        </w:rPr>
        <w:t xml:space="preserve">, of which </w:t>
      </w:r>
      <w:r w:rsidRPr="00BC1619">
        <w:rPr>
          <w:rFonts w:ascii="Verdana" w:hAnsi="Verdana"/>
          <w:sz w:val="20"/>
          <w:szCs w:val="20"/>
          <w:lang w:val="en"/>
        </w:rPr>
        <w:t xml:space="preserve">almost 2/3 </w:t>
      </w:r>
      <w:r w:rsidR="005D2755" w:rsidRPr="00BC1619">
        <w:rPr>
          <w:rFonts w:ascii="Verdana" w:hAnsi="Verdana"/>
          <w:sz w:val="20"/>
          <w:szCs w:val="20"/>
          <w:lang w:val="en"/>
        </w:rPr>
        <w:t>were</w:t>
      </w:r>
      <w:r w:rsidRPr="00BC1619">
        <w:rPr>
          <w:rFonts w:ascii="Verdana" w:hAnsi="Verdana"/>
          <w:sz w:val="20"/>
          <w:szCs w:val="20"/>
          <w:lang w:val="en"/>
        </w:rPr>
        <w:t xml:space="preserve"> for </w:t>
      </w:r>
      <w:r w:rsidR="005D2755" w:rsidRPr="00BC1619">
        <w:rPr>
          <w:rFonts w:ascii="Verdana" w:hAnsi="Verdana"/>
          <w:sz w:val="20"/>
          <w:szCs w:val="20"/>
          <w:lang w:val="en"/>
        </w:rPr>
        <w:t xml:space="preserve">projects on </w:t>
      </w:r>
      <w:r w:rsidRPr="00BC1619">
        <w:rPr>
          <w:rFonts w:ascii="Verdana" w:hAnsi="Verdana"/>
          <w:sz w:val="20"/>
          <w:szCs w:val="20"/>
          <w:lang w:val="en"/>
        </w:rPr>
        <w:t>TEN</w:t>
      </w:r>
      <w:r w:rsidR="005D2755" w:rsidRPr="00BC1619">
        <w:rPr>
          <w:rFonts w:ascii="Verdana" w:hAnsi="Verdana"/>
          <w:sz w:val="20"/>
          <w:szCs w:val="20"/>
          <w:lang w:val="en"/>
        </w:rPr>
        <w:t>-</w:t>
      </w:r>
      <w:r w:rsidRPr="00BC1619">
        <w:rPr>
          <w:rFonts w:ascii="Verdana" w:hAnsi="Verdana"/>
          <w:sz w:val="20"/>
          <w:szCs w:val="20"/>
          <w:lang w:val="en"/>
        </w:rPr>
        <w:t xml:space="preserve">T network. Directing most of the OPTs financial resources to these </w:t>
      </w:r>
      <w:r w:rsidR="00BC1619" w:rsidRPr="00BC1619">
        <w:rPr>
          <w:rFonts w:ascii="Verdana" w:hAnsi="Verdana"/>
          <w:sz w:val="20"/>
          <w:szCs w:val="20"/>
          <w:lang w:val="en"/>
        </w:rPr>
        <w:t>projects</w:t>
      </w:r>
      <w:r w:rsidRPr="00BC1619">
        <w:rPr>
          <w:rFonts w:ascii="Verdana" w:hAnsi="Verdana"/>
          <w:sz w:val="20"/>
          <w:szCs w:val="20"/>
          <w:lang w:val="en"/>
        </w:rPr>
        <w:t xml:space="preserve"> </w:t>
      </w:r>
      <w:r w:rsidR="00BC1619" w:rsidRPr="00BC1619">
        <w:rPr>
          <w:rFonts w:ascii="Verdana" w:hAnsi="Verdana"/>
          <w:sz w:val="20"/>
          <w:szCs w:val="20"/>
          <w:lang w:val="en"/>
        </w:rPr>
        <w:t>was</w:t>
      </w:r>
      <w:r w:rsidRPr="00BC1619">
        <w:rPr>
          <w:rFonts w:ascii="Verdana" w:hAnsi="Verdana"/>
          <w:sz w:val="20"/>
          <w:szCs w:val="20"/>
          <w:lang w:val="en"/>
        </w:rPr>
        <w:t xml:space="preserve"> a necessary prerequisite for integrating the national transport network into the TEN-T network.</w:t>
      </w:r>
    </w:p>
    <w:p w14:paraId="0676F56F" w14:textId="58C528A4" w:rsidR="00445986" w:rsidRPr="00911B13" w:rsidRDefault="00445986" w:rsidP="00A0587B">
      <w:pPr>
        <w:tabs>
          <w:tab w:val="left" w:pos="4429"/>
          <w:tab w:val="left" w:pos="8746"/>
        </w:tabs>
        <w:spacing w:before="120" w:after="120" w:line="240" w:lineRule="auto"/>
        <w:jc w:val="both"/>
        <w:rPr>
          <w:rFonts w:ascii="Verdana" w:hAnsi="Verdana"/>
          <w:sz w:val="20"/>
          <w:szCs w:val="20"/>
          <w:lang w:val="en"/>
        </w:rPr>
      </w:pPr>
      <w:r w:rsidRPr="00911B13">
        <w:rPr>
          <w:rFonts w:ascii="Verdana" w:hAnsi="Verdana"/>
          <w:sz w:val="20"/>
          <w:szCs w:val="20"/>
          <w:lang w:val="en"/>
        </w:rPr>
        <w:t xml:space="preserve">The evaluation </w:t>
      </w:r>
      <w:r w:rsidR="00732970" w:rsidRPr="00911B13">
        <w:rPr>
          <w:rFonts w:ascii="Verdana" w:hAnsi="Verdana"/>
          <w:sz w:val="20"/>
          <w:szCs w:val="20"/>
          <w:lang w:val="en"/>
        </w:rPr>
        <w:t>included</w:t>
      </w:r>
      <w:r w:rsidRPr="00911B13">
        <w:rPr>
          <w:rFonts w:ascii="Verdana" w:hAnsi="Verdana"/>
          <w:sz w:val="20"/>
          <w:szCs w:val="20"/>
          <w:lang w:val="en"/>
        </w:rPr>
        <w:t xml:space="preserve"> analysis of the degree of integration in terms of achieving physical connectivity with TEN-T in </w:t>
      </w:r>
      <w:r w:rsidR="00B40B9E" w:rsidRPr="00911B13">
        <w:rPr>
          <w:rFonts w:ascii="Verdana" w:hAnsi="Verdana"/>
          <w:sz w:val="20"/>
          <w:szCs w:val="20"/>
          <w:lang w:val="en"/>
        </w:rPr>
        <w:t>neighboring</w:t>
      </w:r>
      <w:r w:rsidRPr="00911B13">
        <w:rPr>
          <w:rFonts w:ascii="Verdana" w:hAnsi="Verdana"/>
          <w:sz w:val="20"/>
          <w:szCs w:val="20"/>
          <w:lang w:val="en"/>
        </w:rPr>
        <w:t xml:space="preserve"> countries and achieving compliance with the technical requirements for the </w:t>
      </w:r>
      <w:r w:rsidR="00732970" w:rsidRPr="00911B13">
        <w:rPr>
          <w:rFonts w:ascii="Verdana" w:hAnsi="Verdana"/>
          <w:sz w:val="20"/>
          <w:szCs w:val="20"/>
          <w:lang w:val="en"/>
        </w:rPr>
        <w:t>TEN</w:t>
      </w:r>
      <w:r w:rsidRPr="00911B13">
        <w:rPr>
          <w:rFonts w:ascii="Verdana" w:hAnsi="Verdana"/>
          <w:sz w:val="20"/>
          <w:szCs w:val="20"/>
          <w:lang w:val="en"/>
        </w:rPr>
        <w:t xml:space="preserve">-T type concerned to ensure interoperability. The results show that the programme </w:t>
      </w:r>
      <w:r w:rsidR="00EE7613" w:rsidRPr="00911B13">
        <w:rPr>
          <w:rFonts w:ascii="Verdana" w:hAnsi="Verdana"/>
          <w:sz w:val="20"/>
          <w:szCs w:val="20"/>
          <w:lang w:val="en"/>
        </w:rPr>
        <w:t>had</w:t>
      </w:r>
      <w:r w:rsidRPr="00911B13">
        <w:rPr>
          <w:rFonts w:ascii="Verdana" w:hAnsi="Verdana"/>
          <w:sz w:val="20"/>
          <w:szCs w:val="20"/>
          <w:lang w:val="en"/>
        </w:rPr>
        <w:t xml:space="preserve"> a significant contribution to achieving physical connectivity on the rail and road network. In assessing the technical requirements for ensuring interoperability for the rail network, some inconsistencies were </w:t>
      </w:r>
      <w:r w:rsidR="00B6573A" w:rsidRPr="00911B13">
        <w:rPr>
          <w:rFonts w:ascii="Verdana" w:hAnsi="Verdana"/>
          <w:sz w:val="20"/>
          <w:szCs w:val="20"/>
          <w:lang w:val="en"/>
        </w:rPr>
        <w:t>identified</w:t>
      </w:r>
      <w:r w:rsidRPr="00911B13">
        <w:rPr>
          <w:rFonts w:ascii="Verdana" w:hAnsi="Verdana"/>
          <w:sz w:val="20"/>
          <w:szCs w:val="20"/>
          <w:lang w:val="en"/>
        </w:rPr>
        <w:t xml:space="preserve"> with regard to the European Rail Traffic Management System, as well as the speed and length requirements of train</w:t>
      </w:r>
      <w:r w:rsidR="00B6573A" w:rsidRPr="00911B13">
        <w:rPr>
          <w:rFonts w:ascii="Verdana" w:hAnsi="Verdana"/>
          <w:sz w:val="20"/>
          <w:szCs w:val="20"/>
          <w:lang w:val="en"/>
        </w:rPr>
        <w:t>s</w:t>
      </w:r>
      <w:r w:rsidRPr="00911B13">
        <w:rPr>
          <w:rFonts w:ascii="Verdana" w:hAnsi="Verdana"/>
          <w:sz w:val="20"/>
          <w:szCs w:val="20"/>
          <w:lang w:val="en"/>
        </w:rPr>
        <w:t xml:space="preserve">. In the road sector, it is </w:t>
      </w:r>
      <w:r w:rsidR="00E24989" w:rsidRPr="00911B13">
        <w:rPr>
          <w:rFonts w:ascii="Verdana" w:hAnsi="Verdana"/>
          <w:sz w:val="20"/>
          <w:szCs w:val="20"/>
          <w:lang w:val="en"/>
        </w:rPr>
        <w:t>recommended to encourage the</w:t>
      </w:r>
      <w:r w:rsidRPr="00911B13">
        <w:rPr>
          <w:rFonts w:ascii="Verdana" w:hAnsi="Verdana"/>
          <w:sz w:val="20"/>
          <w:szCs w:val="20"/>
          <w:lang w:val="en"/>
        </w:rPr>
        <w:t xml:space="preserve"> construction of safe and secure car parks.</w:t>
      </w:r>
      <w:r w:rsidR="00911B13" w:rsidRPr="00911B13">
        <w:rPr>
          <w:rFonts w:ascii="Verdana" w:hAnsi="Verdana"/>
          <w:sz w:val="20"/>
          <w:szCs w:val="20"/>
          <w:lang w:val="en"/>
        </w:rPr>
        <w:t xml:space="preserve"> To achieve more tangible impact of investment, it is</w:t>
      </w:r>
      <w:r w:rsidRPr="00911B13">
        <w:rPr>
          <w:rFonts w:ascii="Verdana" w:hAnsi="Verdana"/>
          <w:sz w:val="20"/>
          <w:szCs w:val="20"/>
          <w:lang w:val="en"/>
        </w:rPr>
        <w:t xml:space="preserve"> essential to</w:t>
      </w:r>
      <w:r w:rsidR="00911B13" w:rsidRPr="00911B13">
        <w:rPr>
          <w:rFonts w:ascii="Verdana" w:hAnsi="Verdana"/>
          <w:sz w:val="20"/>
          <w:szCs w:val="20"/>
          <w:lang w:val="en"/>
        </w:rPr>
        <w:t xml:space="preserve"> complete</w:t>
      </w:r>
      <w:r w:rsidRPr="00911B13">
        <w:rPr>
          <w:rFonts w:ascii="Verdana" w:hAnsi="Verdana"/>
          <w:sz w:val="20"/>
          <w:szCs w:val="20"/>
          <w:lang w:val="en"/>
        </w:rPr>
        <w:t xml:space="preserve"> construction </w:t>
      </w:r>
      <w:r w:rsidR="00A403F6">
        <w:rPr>
          <w:rFonts w:ascii="Verdana" w:hAnsi="Verdana"/>
          <w:sz w:val="20"/>
          <w:szCs w:val="20"/>
          <w:lang w:val="en"/>
        </w:rPr>
        <w:t>of the</w:t>
      </w:r>
      <w:r w:rsidRPr="00911B13">
        <w:rPr>
          <w:rFonts w:ascii="Verdana" w:hAnsi="Verdana"/>
          <w:sz w:val="20"/>
          <w:szCs w:val="20"/>
          <w:lang w:val="en"/>
        </w:rPr>
        <w:t xml:space="preserve"> whole rai</w:t>
      </w:r>
      <w:r w:rsidR="00C80ADF">
        <w:rPr>
          <w:rFonts w:ascii="Verdana" w:hAnsi="Verdana"/>
          <w:sz w:val="20"/>
          <w:szCs w:val="20"/>
          <w:lang w:val="en"/>
        </w:rPr>
        <w:t>l and road lines</w:t>
      </w:r>
      <w:r w:rsidRPr="00911B13">
        <w:rPr>
          <w:rFonts w:ascii="Verdana" w:hAnsi="Verdana"/>
          <w:sz w:val="20"/>
          <w:szCs w:val="20"/>
          <w:lang w:val="en"/>
        </w:rPr>
        <w:t xml:space="preserve"> in the</w:t>
      </w:r>
      <w:r w:rsidR="00C80ADF">
        <w:rPr>
          <w:rFonts w:ascii="Verdana" w:hAnsi="Verdana"/>
          <w:sz w:val="20"/>
          <w:szCs w:val="20"/>
          <w:lang w:val="en"/>
        </w:rPr>
        <w:t xml:space="preserve"> near</w:t>
      </w:r>
      <w:r w:rsidRPr="00911B13">
        <w:rPr>
          <w:rFonts w:ascii="Verdana" w:hAnsi="Verdana"/>
          <w:sz w:val="20"/>
          <w:szCs w:val="20"/>
          <w:lang w:val="en"/>
        </w:rPr>
        <w:t xml:space="preserve"> future.</w:t>
      </w:r>
    </w:p>
    <w:p w14:paraId="1CB2571A" w14:textId="77777777" w:rsidR="00445986" w:rsidRPr="004C6C51" w:rsidRDefault="00445986" w:rsidP="00A0587B">
      <w:pPr>
        <w:spacing w:before="120" w:after="120" w:line="240" w:lineRule="auto"/>
        <w:jc w:val="both"/>
        <w:rPr>
          <w:rFonts w:ascii="Verdana" w:eastAsia="Times New Roman" w:hAnsi="Verdana" w:cs="Times New Roman"/>
          <w:sz w:val="20"/>
          <w:szCs w:val="20"/>
          <w:highlight w:val="yellow"/>
          <w:lang w:val="bg-BG" w:eastAsia="bg-BG"/>
        </w:rPr>
      </w:pPr>
    </w:p>
    <w:p w14:paraId="00C447A2" w14:textId="3994CAF1" w:rsidR="00445986" w:rsidRPr="00203E4B" w:rsidRDefault="00445986" w:rsidP="00A0587B">
      <w:pPr>
        <w:spacing w:before="120" w:after="120" w:line="240" w:lineRule="auto"/>
        <w:jc w:val="both"/>
        <w:rPr>
          <w:rFonts w:ascii="Verdana" w:eastAsia="Times New Roman" w:hAnsi="Verdana" w:cs="Times New Roman"/>
          <w:b/>
          <w:bCs/>
          <w:i/>
          <w:iCs/>
          <w:sz w:val="20"/>
          <w:szCs w:val="20"/>
          <w:lang w:val="bg-BG" w:eastAsia="bg-BG"/>
        </w:rPr>
      </w:pPr>
      <w:r w:rsidRPr="00203E4B">
        <w:rPr>
          <w:rFonts w:ascii="Verdana" w:hAnsi="Verdana"/>
          <w:b/>
          <w:bCs/>
          <w:i/>
          <w:iCs/>
          <w:sz w:val="20"/>
          <w:szCs w:val="20"/>
          <w:lang w:val="en" w:eastAsia="bg-BG"/>
        </w:rPr>
        <w:t xml:space="preserve">Workload and balance of transport infrastructure </w:t>
      </w:r>
    </w:p>
    <w:p w14:paraId="6DA1566A" w14:textId="68994404" w:rsidR="00445986" w:rsidRPr="003416FE" w:rsidRDefault="00445986" w:rsidP="00A0587B">
      <w:pPr>
        <w:tabs>
          <w:tab w:val="left" w:pos="4429"/>
          <w:tab w:val="left" w:pos="8746"/>
        </w:tabs>
        <w:spacing w:before="120" w:after="120" w:line="240" w:lineRule="auto"/>
        <w:jc w:val="both"/>
        <w:rPr>
          <w:rFonts w:ascii="Verdana" w:hAnsi="Verdana"/>
          <w:sz w:val="20"/>
          <w:szCs w:val="20"/>
          <w:lang w:val="bg-BG"/>
        </w:rPr>
      </w:pPr>
      <w:r w:rsidRPr="00203E4B">
        <w:rPr>
          <w:rFonts w:ascii="Verdana" w:hAnsi="Verdana"/>
          <w:sz w:val="20"/>
          <w:szCs w:val="20"/>
          <w:lang w:val="en"/>
        </w:rPr>
        <w:t xml:space="preserve">European transport policy is oriented towards increasing the efficiency of the transport system, which is achieved by making effective use of the available infrastructure and </w:t>
      </w:r>
      <w:r w:rsidRPr="003416FE">
        <w:rPr>
          <w:rFonts w:ascii="Verdana" w:hAnsi="Verdana"/>
          <w:sz w:val="20"/>
          <w:szCs w:val="20"/>
          <w:lang w:val="en"/>
        </w:rPr>
        <w:t xml:space="preserve">efficiently investing in a new or </w:t>
      </w:r>
      <w:r w:rsidR="00203E4B" w:rsidRPr="003416FE">
        <w:rPr>
          <w:rFonts w:ascii="Verdana" w:hAnsi="Verdana"/>
          <w:sz w:val="20"/>
          <w:szCs w:val="20"/>
          <w:lang w:val="en"/>
        </w:rPr>
        <w:t>modernized</w:t>
      </w:r>
      <w:r w:rsidRPr="003416FE">
        <w:rPr>
          <w:rFonts w:ascii="Verdana" w:hAnsi="Verdana"/>
          <w:sz w:val="20"/>
          <w:szCs w:val="20"/>
          <w:lang w:val="en"/>
        </w:rPr>
        <w:t xml:space="preserve"> one.</w:t>
      </w:r>
    </w:p>
    <w:p w14:paraId="617D1008" w14:textId="0F4A75E6" w:rsidR="00445986" w:rsidRPr="003416FE" w:rsidRDefault="00445986" w:rsidP="00A0587B">
      <w:pPr>
        <w:tabs>
          <w:tab w:val="left" w:pos="4429"/>
          <w:tab w:val="left" w:pos="8746"/>
        </w:tabs>
        <w:spacing w:before="120" w:after="120" w:line="240" w:lineRule="auto"/>
        <w:jc w:val="both"/>
        <w:rPr>
          <w:rFonts w:ascii="Verdana" w:hAnsi="Verdana"/>
          <w:sz w:val="20"/>
          <w:szCs w:val="20"/>
          <w:lang w:val="en"/>
        </w:rPr>
      </w:pPr>
      <w:r w:rsidRPr="003416FE">
        <w:rPr>
          <w:rFonts w:ascii="Verdana" w:hAnsi="Verdana"/>
          <w:sz w:val="20"/>
          <w:szCs w:val="20"/>
          <w:lang w:val="en"/>
        </w:rPr>
        <w:t>The highest eff</w:t>
      </w:r>
      <w:r w:rsidR="00203E4B" w:rsidRPr="003416FE">
        <w:rPr>
          <w:rFonts w:ascii="Verdana" w:hAnsi="Verdana"/>
          <w:sz w:val="20"/>
          <w:szCs w:val="20"/>
          <w:lang w:val="en"/>
        </w:rPr>
        <w:t>ectiveness</w:t>
      </w:r>
      <w:r w:rsidRPr="003416FE">
        <w:rPr>
          <w:rFonts w:ascii="Verdana" w:hAnsi="Verdana"/>
          <w:sz w:val="20"/>
          <w:szCs w:val="20"/>
          <w:lang w:val="en"/>
        </w:rPr>
        <w:t xml:space="preserve"> and efficiency </w:t>
      </w:r>
      <w:r w:rsidR="0088638A" w:rsidRPr="003416FE">
        <w:rPr>
          <w:rFonts w:ascii="Verdana" w:hAnsi="Verdana"/>
          <w:sz w:val="20"/>
          <w:szCs w:val="20"/>
          <w:lang w:val="en"/>
        </w:rPr>
        <w:t>rates have been observed in</w:t>
      </w:r>
      <w:r w:rsidRPr="003416FE">
        <w:rPr>
          <w:rFonts w:ascii="Verdana" w:hAnsi="Verdana"/>
          <w:sz w:val="20"/>
          <w:szCs w:val="20"/>
          <w:lang w:val="en"/>
        </w:rPr>
        <w:t xml:space="preserve"> projects where capacity is increased but the load rate is higher than the original due to the increase in traffic; </w:t>
      </w:r>
      <w:r w:rsidR="0088638A" w:rsidRPr="003416FE">
        <w:rPr>
          <w:rFonts w:ascii="Verdana" w:hAnsi="Verdana"/>
          <w:sz w:val="20"/>
          <w:szCs w:val="20"/>
          <w:lang w:val="en"/>
        </w:rPr>
        <w:t>this is</w:t>
      </w:r>
      <w:r w:rsidRPr="003416FE">
        <w:rPr>
          <w:rFonts w:ascii="Verdana" w:hAnsi="Verdana"/>
          <w:sz w:val="20"/>
          <w:szCs w:val="20"/>
          <w:lang w:val="en"/>
        </w:rPr>
        <w:t xml:space="preserve"> an indicator of a very good economic return on invested funds and </w:t>
      </w:r>
      <w:r w:rsidR="00354E1E" w:rsidRPr="003416FE">
        <w:rPr>
          <w:rFonts w:ascii="Verdana" w:hAnsi="Verdana"/>
          <w:sz w:val="20"/>
          <w:szCs w:val="20"/>
          <w:lang w:val="en"/>
        </w:rPr>
        <w:t>justified</w:t>
      </w:r>
      <w:r w:rsidRPr="003416FE">
        <w:rPr>
          <w:rFonts w:ascii="Verdana" w:hAnsi="Verdana"/>
          <w:sz w:val="20"/>
          <w:szCs w:val="20"/>
          <w:lang w:val="en"/>
        </w:rPr>
        <w:t xml:space="preserve"> </w:t>
      </w:r>
      <w:r w:rsidR="00354E1E" w:rsidRPr="003416FE">
        <w:rPr>
          <w:rFonts w:ascii="Verdana" w:hAnsi="Verdana"/>
          <w:sz w:val="20"/>
          <w:szCs w:val="20"/>
          <w:lang w:val="en"/>
        </w:rPr>
        <w:t>project selection</w:t>
      </w:r>
      <w:r w:rsidRPr="003416FE">
        <w:rPr>
          <w:rFonts w:ascii="Verdana" w:hAnsi="Verdana"/>
          <w:sz w:val="20"/>
          <w:szCs w:val="20"/>
          <w:lang w:val="en"/>
        </w:rPr>
        <w:t xml:space="preserve">. </w:t>
      </w:r>
      <w:r w:rsidR="00354E1E" w:rsidRPr="003416FE">
        <w:rPr>
          <w:rFonts w:ascii="Verdana" w:hAnsi="Verdana"/>
          <w:sz w:val="20"/>
          <w:szCs w:val="20"/>
          <w:lang w:val="en"/>
        </w:rPr>
        <w:t xml:space="preserve">These results have been </w:t>
      </w:r>
      <w:r w:rsidR="003416FE" w:rsidRPr="003416FE">
        <w:rPr>
          <w:rFonts w:ascii="Verdana" w:hAnsi="Verdana"/>
          <w:sz w:val="20"/>
          <w:szCs w:val="20"/>
          <w:lang w:val="en"/>
        </w:rPr>
        <w:t>observed in the</w:t>
      </w:r>
      <w:r w:rsidRPr="003416FE">
        <w:rPr>
          <w:rFonts w:ascii="Verdana" w:hAnsi="Verdana"/>
          <w:sz w:val="20"/>
          <w:szCs w:val="20"/>
          <w:lang w:val="en"/>
        </w:rPr>
        <w:t xml:space="preserve"> projects </w:t>
      </w:r>
      <w:r w:rsidR="003416FE" w:rsidRPr="003416FE">
        <w:rPr>
          <w:rFonts w:ascii="Verdana" w:hAnsi="Verdana"/>
          <w:sz w:val="20"/>
          <w:szCs w:val="20"/>
          <w:lang w:val="en"/>
        </w:rPr>
        <w:t>for</w:t>
      </w:r>
      <w:r w:rsidRPr="003416FE">
        <w:rPr>
          <w:rFonts w:ascii="Verdana" w:hAnsi="Verdana"/>
          <w:sz w:val="20"/>
          <w:szCs w:val="20"/>
          <w:lang w:val="en"/>
        </w:rPr>
        <w:t xml:space="preserve"> construction of new metro lines, as well as th</w:t>
      </w:r>
      <w:r w:rsidR="00FA2834" w:rsidRPr="003416FE">
        <w:rPr>
          <w:rFonts w:ascii="Verdana" w:hAnsi="Verdana"/>
          <w:sz w:val="20"/>
          <w:szCs w:val="20"/>
          <w:lang w:val="en"/>
        </w:rPr>
        <w:t xml:space="preserve">e </w:t>
      </w:r>
      <w:r w:rsidR="003416FE" w:rsidRPr="003416FE">
        <w:rPr>
          <w:rFonts w:ascii="Verdana" w:hAnsi="Verdana"/>
          <w:sz w:val="20"/>
          <w:szCs w:val="20"/>
          <w:lang w:val="en"/>
        </w:rPr>
        <w:t xml:space="preserve">road project </w:t>
      </w:r>
      <w:proofErr w:type="spellStart"/>
      <w:r w:rsidR="00FA2834" w:rsidRPr="003416FE">
        <w:rPr>
          <w:rFonts w:ascii="Verdana" w:hAnsi="Verdana"/>
          <w:sz w:val="20"/>
          <w:szCs w:val="20"/>
          <w:lang w:val="en"/>
        </w:rPr>
        <w:t>K</w:t>
      </w:r>
      <w:r w:rsidRPr="003416FE">
        <w:rPr>
          <w:rFonts w:ascii="Verdana" w:hAnsi="Verdana"/>
          <w:sz w:val="20"/>
          <w:szCs w:val="20"/>
          <w:lang w:val="en"/>
        </w:rPr>
        <w:t>ardzhali</w:t>
      </w:r>
      <w:proofErr w:type="spellEnd"/>
      <w:r w:rsidRPr="003416FE">
        <w:rPr>
          <w:rFonts w:ascii="Verdana" w:hAnsi="Verdana"/>
          <w:sz w:val="20"/>
          <w:szCs w:val="20"/>
          <w:lang w:val="en"/>
        </w:rPr>
        <w:t xml:space="preserve"> – </w:t>
      </w:r>
      <w:proofErr w:type="spellStart"/>
      <w:r w:rsidRPr="003416FE">
        <w:rPr>
          <w:rFonts w:ascii="Verdana" w:hAnsi="Verdana"/>
          <w:sz w:val="20"/>
          <w:szCs w:val="20"/>
          <w:lang w:val="en"/>
        </w:rPr>
        <w:t>Podkova</w:t>
      </w:r>
      <w:proofErr w:type="spellEnd"/>
      <w:r w:rsidRPr="003416FE">
        <w:rPr>
          <w:rFonts w:ascii="Verdana" w:hAnsi="Verdana"/>
          <w:sz w:val="20"/>
          <w:szCs w:val="20"/>
          <w:lang w:val="en"/>
        </w:rPr>
        <w:t>.</w:t>
      </w:r>
    </w:p>
    <w:p w14:paraId="15DCF6AC" w14:textId="52CA932A" w:rsidR="00445986" w:rsidRPr="009E4B63" w:rsidRDefault="00B656E6" w:rsidP="00A0587B">
      <w:pPr>
        <w:tabs>
          <w:tab w:val="left" w:pos="4429"/>
          <w:tab w:val="left" w:pos="8746"/>
        </w:tabs>
        <w:spacing w:before="120" w:after="120" w:line="240" w:lineRule="auto"/>
        <w:jc w:val="both"/>
        <w:rPr>
          <w:rFonts w:ascii="Verdana" w:hAnsi="Verdana"/>
          <w:sz w:val="20"/>
          <w:szCs w:val="20"/>
          <w:lang w:val="en"/>
        </w:rPr>
      </w:pPr>
      <w:r w:rsidRPr="009E4B63">
        <w:rPr>
          <w:rFonts w:ascii="Verdana" w:hAnsi="Verdana"/>
          <w:sz w:val="20"/>
          <w:szCs w:val="20"/>
          <w:lang w:val="en"/>
        </w:rPr>
        <w:t xml:space="preserve">Good levels of effectiveness have been observed in projects </w:t>
      </w:r>
      <w:r w:rsidR="007F679D" w:rsidRPr="009E4B63">
        <w:rPr>
          <w:rFonts w:ascii="Verdana" w:hAnsi="Verdana"/>
          <w:sz w:val="20"/>
          <w:szCs w:val="20"/>
          <w:lang w:val="en"/>
        </w:rPr>
        <w:t xml:space="preserve">showing an increase of traffic levels, but lower workload of infrastructure </w:t>
      </w:r>
      <w:r w:rsidR="00AD31C8" w:rsidRPr="009E4B63">
        <w:rPr>
          <w:rFonts w:ascii="Verdana" w:hAnsi="Verdana"/>
          <w:sz w:val="20"/>
          <w:szCs w:val="20"/>
          <w:lang w:val="en"/>
        </w:rPr>
        <w:t>than the baseline, due to the increased capacity. These results have been observed in the project for railroad</w:t>
      </w:r>
      <w:r w:rsidR="009E4B63">
        <w:rPr>
          <w:rFonts w:ascii="Verdana" w:hAnsi="Verdana"/>
          <w:sz w:val="20"/>
          <w:szCs w:val="20"/>
          <w:lang w:val="en"/>
        </w:rPr>
        <w:t xml:space="preserve"> </w:t>
      </w:r>
      <w:proofErr w:type="spellStart"/>
      <w:r w:rsidR="00445986" w:rsidRPr="009E4B63">
        <w:rPr>
          <w:rFonts w:ascii="Verdana" w:hAnsi="Verdana"/>
          <w:sz w:val="20"/>
          <w:szCs w:val="20"/>
          <w:lang w:val="en"/>
        </w:rPr>
        <w:t>Par</w:t>
      </w:r>
      <w:r w:rsidR="00AD31C8" w:rsidRPr="009E4B63">
        <w:rPr>
          <w:rFonts w:ascii="Verdana" w:hAnsi="Verdana"/>
          <w:sz w:val="20"/>
          <w:szCs w:val="20"/>
          <w:lang w:val="en"/>
        </w:rPr>
        <w:t>vomai</w:t>
      </w:r>
      <w:proofErr w:type="spellEnd"/>
      <w:r w:rsidR="00445986" w:rsidRPr="009E4B63">
        <w:rPr>
          <w:rFonts w:ascii="Verdana" w:hAnsi="Verdana"/>
          <w:sz w:val="20"/>
          <w:szCs w:val="20"/>
          <w:lang w:val="en"/>
        </w:rPr>
        <w:t xml:space="preserve"> – </w:t>
      </w:r>
      <w:proofErr w:type="spellStart"/>
      <w:r w:rsidR="00445986" w:rsidRPr="009E4B63">
        <w:rPr>
          <w:rFonts w:ascii="Verdana" w:hAnsi="Verdana"/>
          <w:sz w:val="20"/>
          <w:szCs w:val="20"/>
          <w:lang w:val="en"/>
        </w:rPr>
        <w:t>Svilengrad</w:t>
      </w:r>
      <w:proofErr w:type="spellEnd"/>
      <w:r w:rsidR="00445986" w:rsidRPr="009E4B63">
        <w:rPr>
          <w:rFonts w:ascii="Verdana" w:hAnsi="Verdana"/>
          <w:sz w:val="20"/>
          <w:szCs w:val="20"/>
          <w:lang w:val="en"/>
        </w:rPr>
        <w:t xml:space="preserve">, Phase 2 and railway line Plovdiv - </w:t>
      </w:r>
      <w:proofErr w:type="spellStart"/>
      <w:r w:rsidR="00445986" w:rsidRPr="009E4B63">
        <w:rPr>
          <w:rFonts w:ascii="Verdana" w:hAnsi="Verdana"/>
          <w:sz w:val="20"/>
          <w:szCs w:val="20"/>
          <w:lang w:val="en"/>
        </w:rPr>
        <w:t>Burgas</w:t>
      </w:r>
      <w:proofErr w:type="spellEnd"/>
      <w:r w:rsidR="00445986" w:rsidRPr="009E4B63">
        <w:rPr>
          <w:rFonts w:ascii="Verdana" w:hAnsi="Verdana"/>
          <w:sz w:val="20"/>
          <w:szCs w:val="20"/>
          <w:lang w:val="en"/>
        </w:rPr>
        <w:t xml:space="preserve">, </w:t>
      </w:r>
      <w:r w:rsidR="00AD31C8" w:rsidRPr="009E4B63">
        <w:rPr>
          <w:rFonts w:ascii="Verdana" w:hAnsi="Verdana"/>
          <w:sz w:val="20"/>
          <w:szCs w:val="20"/>
          <w:lang w:val="en"/>
        </w:rPr>
        <w:t xml:space="preserve">the </w:t>
      </w:r>
      <w:r w:rsidR="00445986" w:rsidRPr="009E4B63">
        <w:rPr>
          <w:rFonts w:ascii="Verdana" w:hAnsi="Verdana"/>
          <w:sz w:val="20"/>
          <w:szCs w:val="20"/>
          <w:lang w:val="en"/>
        </w:rPr>
        <w:t>road</w:t>
      </w:r>
      <w:r w:rsidR="00AD31C8" w:rsidRPr="009E4B63">
        <w:rPr>
          <w:rFonts w:ascii="Verdana" w:hAnsi="Verdana"/>
          <w:sz w:val="20"/>
          <w:szCs w:val="20"/>
          <w:lang w:val="en"/>
        </w:rPr>
        <w:t xml:space="preserve"> project for </w:t>
      </w:r>
      <w:r w:rsidR="00B40B9E" w:rsidRPr="009E4B63">
        <w:rPr>
          <w:rFonts w:ascii="Verdana" w:hAnsi="Verdana"/>
          <w:sz w:val="20"/>
          <w:szCs w:val="20"/>
          <w:lang w:val="en"/>
        </w:rPr>
        <w:t>construction</w:t>
      </w:r>
      <w:r w:rsidR="00AD31C8" w:rsidRPr="009E4B63">
        <w:rPr>
          <w:rFonts w:ascii="Verdana" w:hAnsi="Verdana"/>
          <w:sz w:val="20"/>
          <w:szCs w:val="20"/>
          <w:lang w:val="en"/>
        </w:rPr>
        <w:t xml:space="preserve"> of </w:t>
      </w:r>
      <w:r w:rsidR="00445986" w:rsidRPr="009E4B63">
        <w:rPr>
          <w:rFonts w:ascii="Verdana" w:hAnsi="Verdana"/>
          <w:sz w:val="20"/>
          <w:szCs w:val="20"/>
          <w:lang w:val="en"/>
        </w:rPr>
        <w:t>Struma</w:t>
      </w:r>
      <w:r w:rsidR="00AD31C8" w:rsidRPr="009E4B63">
        <w:rPr>
          <w:rFonts w:ascii="Verdana" w:hAnsi="Verdana"/>
          <w:sz w:val="20"/>
          <w:szCs w:val="20"/>
          <w:lang w:val="en"/>
        </w:rPr>
        <w:t xml:space="preserve"> MW</w:t>
      </w:r>
      <w:r w:rsidR="00445986" w:rsidRPr="009E4B63">
        <w:rPr>
          <w:rFonts w:ascii="Verdana" w:hAnsi="Verdana"/>
          <w:sz w:val="20"/>
          <w:szCs w:val="20"/>
          <w:lang w:val="en"/>
        </w:rPr>
        <w:t xml:space="preserve"> and </w:t>
      </w:r>
      <w:r w:rsidR="00AD31C8" w:rsidRPr="009E4B63">
        <w:rPr>
          <w:rFonts w:ascii="Verdana" w:hAnsi="Verdana"/>
          <w:sz w:val="20"/>
          <w:szCs w:val="20"/>
          <w:lang w:val="en"/>
        </w:rPr>
        <w:t>SRR</w:t>
      </w:r>
      <w:r w:rsidR="00445986" w:rsidRPr="009E4B63">
        <w:rPr>
          <w:rFonts w:ascii="Verdana" w:hAnsi="Verdana"/>
          <w:sz w:val="20"/>
          <w:szCs w:val="20"/>
          <w:lang w:val="en"/>
        </w:rPr>
        <w:t xml:space="preserve"> – Yana, followed by </w:t>
      </w:r>
      <w:proofErr w:type="spellStart"/>
      <w:r w:rsidR="00445986" w:rsidRPr="009E4B63">
        <w:rPr>
          <w:rFonts w:ascii="Verdana" w:hAnsi="Verdana"/>
          <w:sz w:val="20"/>
          <w:szCs w:val="20"/>
          <w:lang w:val="en"/>
        </w:rPr>
        <w:t>Trakia</w:t>
      </w:r>
      <w:proofErr w:type="spellEnd"/>
      <w:r w:rsidR="00445986" w:rsidRPr="009E4B63">
        <w:rPr>
          <w:rFonts w:ascii="Verdana" w:hAnsi="Verdana"/>
          <w:sz w:val="20"/>
          <w:szCs w:val="20"/>
          <w:lang w:val="en"/>
        </w:rPr>
        <w:t xml:space="preserve"> </w:t>
      </w:r>
      <w:r w:rsidR="00AD31C8" w:rsidRPr="009E4B63">
        <w:rPr>
          <w:rFonts w:ascii="Verdana" w:hAnsi="Verdana"/>
          <w:sz w:val="20"/>
          <w:szCs w:val="20"/>
          <w:lang w:val="en"/>
        </w:rPr>
        <w:t xml:space="preserve">MW </w:t>
      </w:r>
      <w:r w:rsidR="00445986" w:rsidRPr="009E4B63">
        <w:rPr>
          <w:rFonts w:ascii="Verdana" w:hAnsi="Verdana"/>
          <w:sz w:val="20"/>
          <w:szCs w:val="20"/>
          <w:lang w:val="en"/>
        </w:rPr>
        <w:t>And Western Arc of S</w:t>
      </w:r>
      <w:r w:rsidR="00AD31C8" w:rsidRPr="009E4B63">
        <w:rPr>
          <w:rFonts w:ascii="Verdana" w:hAnsi="Verdana"/>
          <w:sz w:val="20"/>
          <w:szCs w:val="20"/>
          <w:lang w:val="en"/>
        </w:rPr>
        <w:t>RR and</w:t>
      </w:r>
      <w:r w:rsidR="00445986" w:rsidRPr="009E4B63">
        <w:rPr>
          <w:rFonts w:ascii="Verdana" w:hAnsi="Verdana"/>
          <w:sz w:val="20"/>
          <w:szCs w:val="20"/>
          <w:lang w:val="en"/>
        </w:rPr>
        <w:t xml:space="preserve"> Maritsa </w:t>
      </w:r>
      <w:r w:rsidR="00AD31C8" w:rsidRPr="009E4B63">
        <w:rPr>
          <w:rFonts w:ascii="Verdana" w:hAnsi="Verdana"/>
          <w:sz w:val="20"/>
          <w:szCs w:val="20"/>
          <w:lang w:val="en"/>
        </w:rPr>
        <w:t>MW</w:t>
      </w:r>
      <w:r w:rsidR="00445986" w:rsidRPr="009E4B63">
        <w:rPr>
          <w:rFonts w:ascii="Verdana" w:hAnsi="Verdana"/>
          <w:sz w:val="20"/>
          <w:szCs w:val="20"/>
          <w:lang w:val="en"/>
        </w:rPr>
        <w:t>, as well as the Intermodal Terminal in Plovdiv. Low to medium</w:t>
      </w:r>
      <w:r w:rsidR="009E4B63" w:rsidRPr="009E4B63">
        <w:rPr>
          <w:rFonts w:ascii="Verdana" w:hAnsi="Verdana"/>
          <w:sz w:val="20"/>
          <w:szCs w:val="20"/>
          <w:lang w:val="en"/>
        </w:rPr>
        <w:t xml:space="preserve"> level of effectiveness have been </w:t>
      </w:r>
      <w:r w:rsidR="00B40B9E" w:rsidRPr="009E4B63">
        <w:rPr>
          <w:rFonts w:ascii="Verdana" w:hAnsi="Verdana"/>
          <w:sz w:val="20"/>
          <w:szCs w:val="20"/>
          <w:lang w:val="en"/>
        </w:rPr>
        <w:t>observed</w:t>
      </w:r>
      <w:r w:rsidR="009E4B63" w:rsidRPr="009E4B63">
        <w:rPr>
          <w:rFonts w:ascii="Verdana" w:hAnsi="Verdana"/>
          <w:sz w:val="20"/>
          <w:szCs w:val="20"/>
          <w:lang w:val="en"/>
        </w:rPr>
        <w:t xml:space="preserve"> in </w:t>
      </w:r>
      <w:r w:rsidR="00445986" w:rsidRPr="009E4B63">
        <w:rPr>
          <w:rFonts w:ascii="Verdana" w:hAnsi="Verdana"/>
          <w:sz w:val="20"/>
          <w:szCs w:val="20"/>
          <w:lang w:val="en"/>
        </w:rPr>
        <w:t xml:space="preserve">projects where traffic remains at the same levels or even decreases. </w:t>
      </w:r>
      <w:r w:rsidR="00445986" w:rsidRPr="009E4B63">
        <w:rPr>
          <w:rFonts w:ascii="Verdana" w:hAnsi="Verdana"/>
          <w:sz w:val="20"/>
          <w:szCs w:val="20"/>
          <w:lang w:val="en"/>
        </w:rPr>
        <w:lastRenderedPageBreak/>
        <w:t xml:space="preserve">As of 2019, such </w:t>
      </w:r>
      <w:r w:rsidR="009E4B63" w:rsidRPr="009E4B63">
        <w:rPr>
          <w:rFonts w:ascii="Verdana" w:hAnsi="Verdana"/>
          <w:sz w:val="20"/>
          <w:szCs w:val="20"/>
          <w:lang w:val="en"/>
        </w:rPr>
        <w:t xml:space="preserve">projects are </w:t>
      </w:r>
      <w:r w:rsidR="00445986" w:rsidRPr="009E4B63">
        <w:rPr>
          <w:rFonts w:ascii="Verdana" w:hAnsi="Verdana"/>
          <w:sz w:val="20"/>
          <w:szCs w:val="20"/>
          <w:lang w:val="en"/>
        </w:rPr>
        <w:t xml:space="preserve">the railway line </w:t>
      </w:r>
      <w:proofErr w:type="spellStart"/>
      <w:r w:rsidR="00445986" w:rsidRPr="009E4B63">
        <w:rPr>
          <w:rFonts w:ascii="Verdana" w:hAnsi="Verdana"/>
          <w:sz w:val="20"/>
          <w:szCs w:val="20"/>
          <w:lang w:val="en"/>
        </w:rPr>
        <w:t>Septemvri</w:t>
      </w:r>
      <w:proofErr w:type="spellEnd"/>
      <w:r w:rsidR="00445986" w:rsidRPr="009E4B63">
        <w:rPr>
          <w:rFonts w:ascii="Verdana" w:hAnsi="Verdana"/>
          <w:sz w:val="20"/>
          <w:szCs w:val="20"/>
          <w:lang w:val="en"/>
        </w:rPr>
        <w:t xml:space="preserve"> – Plovdiv and the railway line </w:t>
      </w:r>
      <w:proofErr w:type="spellStart"/>
      <w:r w:rsidR="00445986" w:rsidRPr="009E4B63">
        <w:rPr>
          <w:rFonts w:ascii="Verdana" w:hAnsi="Verdana"/>
          <w:sz w:val="20"/>
          <w:szCs w:val="20"/>
          <w:lang w:val="en"/>
        </w:rPr>
        <w:t>Svilengrad</w:t>
      </w:r>
      <w:proofErr w:type="spellEnd"/>
      <w:r w:rsidR="00445986" w:rsidRPr="009E4B63">
        <w:rPr>
          <w:rFonts w:ascii="Verdana" w:hAnsi="Verdana"/>
          <w:sz w:val="20"/>
          <w:szCs w:val="20"/>
          <w:lang w:val="en"/>
        </w:rPr>
        <w:t xml:space="preserve"> – Turkish border. </w:t>
      </w:r>
    </w:p>
    <w:p w14:paraId="58EFF050" w14:textId="20ED58FF" w:rsidR="00445986" w:rsidRPr="00742FBE" w:rsidRDefault="002255B4" w:rsidP="00A0587B">
      <w:pPr>
        <w:spacing w:before="120" w:after="120" w:line="240" w:lineRule="auto"/>
        <w:jc w:val="both"/>
        <w:rPr>
          <w:rFonts w:ascii="Verdana" w:eastAsia="Times New Roman" w:hAnsi="Verdana" w:cs="Times New Roman"/>
          <w:sz w:val="20"/>
          <w:szCs w:val="20"/>
          <w:lang w:val="bg-BG" w:eastAsia="bg-BG"/>
        </w:rPr>
      </w:pPr>
      <w:r w:rsidRPr="00742FBE">
        <w:rPr>
          <w:rFonts w:ascii="Verdana" w:hAnsi="Verdana"/>
          <w:sz w:val="20"/>
          <w:szCs w:val="20"/>
          <w:lang w:val="en"/>
        </w:rPr>
        <w:t xml:space="preserve">To achieve tangible </w:t>
      </w:r>
      <w:r w:rsidR="00445986" w:rsidRPr="00742FBE">
        <w:rPr>
          <w:rFonts w:ascii="Verdana" w:hAnsi="Verdana"/>
          <w:sz w:val="20"/>
          <w:szCs w:val="20"/>
          <w:lang w:val="en"/>
        </w:rPr>
        <w:t xml:space="preserve">effects of investments in railway infrastructure, it is necessary to complete construction on the whole </w:t>
      </w:r>
      <w:r w:rsidRPr="00742FBE">
        <w:rPr>
          <w:rFonts w:ascii="Verdana" w:hAnsi="Verdana"/>
          <w:sz w:val="20"/>
          <w:szCs w:val="20"/>
          <w:lang w:val="en"/>
        </w:rPr>
        <w:t>line</w:t>
      </w:r>
      <w:r w:rsidR="00F60054" w:rsidRPr="00742FBE">
        <w:rPr>
          <w:rFonts w:ascii="Verdana" w:hAnsi="Verdana"/>
          <w:sz w:val="20"/>
          <w:szCs w:val="20"/>
          <w:lang w:val="en"/>
        </w:rPr>
        <w:t xml:space="preserve"> </w:t>
      </w:r>
      <w:r w:rsidR="00445986" w:rsidRPr="00742FBE">
        <w:rPr>
          <w:rFonts w:ascii="Verdana" w:hAnsi="Verdana"/>
          <w:sz w:val="20"/>
          <w:szCs w:val="20"/>
          <w:lang w:val="en"/>
        </w:rPr>
        <w:t xml:space="preserve">in the </w:t>
      </w:r>
      <w:r w:rsidR="00F60054" w:rsidRPr="00742FBE">
        <w:rPr>
          <w:rFonts w:ascii="Verdana" w:hAnsi="Verdana"/>
          <w:sz w:val="20"/>
          <w:szCs w:val="20"/>
          <w:lang w:val="en"/>
        </w:rPr>
        <w:t>next</w:t>
      </w:r>
      <w:r w:rsidR="00DC443D">
        <w:rPr>
          <w:rFonts w:ascii="Verdana" w:hAnsi="Verdana"/>
          <w:sz w:val="20"/>
          <w:szCs w:val="20"/>
          <w:lang w:val="en"/>
        </w:rPr>
        <w:t xml:space="preserve"> programming periods.</w:t>
      </w:r>
      <w:r w:rsidR="00445986" w:rsidRPr="00742FBE">
        <w:rPr>
          <w:rFonts w:ascii="Verdana" w:hAnsi="Verdana"/>
          <w:sz w:val="20"/>
          <w:szCs w:val="20"/>
          <w:lang w:val="en"/>
        </w:rPr>
        <w:t xml:space="preserve"> It is recommended that performance</w:t>
      </w:r>
      <w:r w:rsidR="00F60054" w:rsidRPr="00742FBE">
        <w:rPr>
          <w:rFonts w:ascii="Verdana" w:hAnsi="Verdana"/>
          <w:sz w:val="20"/>
          <w:szCs w:val="20"/>
          <w:lang w:val="en"/>
        </w:rPr>
        <w:t xml:space="preserve"> assessments</w:t>
      </w:r>
      <w:r w:rsidR="00445986" w:rsidRPr="00742FBE">
        <w:rPr>
          <w:rFonts w:ascii="Verdana" w:hAnsi="Verdana"/>
          <w:sz w:val="20"/>
          <w:szCs w:val="20"/>
          <w:lang w:val="en"/>
        </w:rPr>
        <w:t xml:space="preserve"> be carried out after the completion of the full sections of the road</w:t>
      </w:r>
      <w:r w:rsidR="00567CED" w:rsidRPr="00742FBE">
        <w:rPr>
          <w:rFonts w:ascii="Verdana" w:hAnsi="Verdana"/>
          <w:sz w:val="20"/>
          <w:szCs w:val="20"/>
          <w:lang w:val="bg-BG"/>
        </w:rPr>
        <w:t xml:space="preserve"> </w:t>
      </w:r>
      <w:r w:rsidR="00445986" w:rsidRPr="00742FBE">
        <w:rPr>
          <w:rFonts w:ascii="Verdana" w:hAnsi="Verdana"/>
          <w:sz w:val="20"/>
          <w:szCs w:val="20"/>
          <w:lang w:val="en"/>
        </w:rPr>
        <w:t>and rail network, including after implementation of the relevant phases</w:t>
      </w:r>
      <w:r w:rsidR="00567CED" w:rsidRPr="00742FBE">
        <w:rPr>
          <w:rFonts w:ascii="Verdana" w:hAnsi="Verdana"/>
          <w:sz w:val="20"/>
          <w:szCs w:val="20"/>
          <w:lang w:val="bg-BG"/>
        </w:rPr>
        <w:t xml:space="preserve"> </w:t>
      </w:r>
      <w:r w:rsidR="00445986" w:rsidRPr="00742FBE">
        <w:rPr>
          <w:rFonts w:ascii="Verdana" w:hAnsi="Verdana"/>
          <w:sz w:val="20"/>
          <w:szCs w:val="20"/>
          <w:lang w:val="en"/>
        </w:rPr>
        <w:t xml:space="preserve">in </w:t>
      </w:r>
      <w:r w:rsidR="00F60054" w:rsidRPr="00742FBE">
        <w:rPr>
          <w:rFonts w:ascii="Verdana" w:hAnsi="Verdana"/>
          <w:sz w:val="20"/>
          <w:szCs w:val="20"/>
          <w:lang w:val="en"/>
        </w:rPr>
        <w:t>programming periods</w:t>
      </w:r>
      <w:r w:rsidR="00445986" w:rsidRPr="00742FBE">
        <w:rPr>
          <w:rFonts w:ascii="Verdana" w:hAnsi="Verdana"/>
          <w:sz w:val="20"/>
          <w:szCs w:val="20"/>
          <w:lang w:val="en"/>
        </w:rPr>
        <w:t xml:space="preserve"> 2014-2020 and 2021-2027</w:t>
      </w:r>
      <w:r w:rsidR="00E43136" w:rsidRPr="00742FBE">
        <w:rPr>
          <w:rFonts w:ascii="Verdana" w:hAnsi="Verdana"/>
          <w:sz w:val="20"/>
          <w:szCs w:val="20"/>
          <w:lang w:val="en"/>
        </w:rPr>
        <w:t>.</w:t>
      </w:r>
    </w:p>
    <w:p w14:paraId="07E30003" w14:textId="77777777" w:rsidR="00445986" w:rsidRPr="004C6C51" w:rsidRDefault="00445986" w:rsidP="00A0587B">
      <w:pPr>
        <w:tabs>
          <w:tab w:val="left" w:pos="4429"/>
          <w:tab w:val="left" w:pos="8746"/>
        </w:tabs>
        <w:spacing w:before="120" w:after="120" w:line="240" w:lineRule="auto"/>
        <w:jc w:val="both"/>
        <w:rPr>
          <w:rFonts w:ascii="Verdana" w:hAnsi="Verdana"/>
          <w:sz w:val="20"/>
          <w:szCs w:val="20"/>
          <w:highlight w:val="yellow"/>
          <w:lang w:val="bg-BG"/>
        </w:rPr>
      </w:pPr>
    </w:p>
    <w:p w14:paraId="2A84297D" w14:textId="0C5ECB57" w:rsidR="00445986" w:rsidRPr="00905D01" w:rsidRDefault="00445986" w:rsidP="00A0587B">
      <w:pPr>
        <w:spacing w:before="120" w:after="120" w:line="240" w:lineRule="auto"/>
        <w:jc w:val="both"/>
        <w:rPr>
          <w:rFonts w:ascii="Verdana" w:hAnsi="Verdana"/>
          <w:b/>
          <w:bCs/>
          <w:sz w:val="20"/>
          <w:szCs w:val="20"/>
          <w:lang w:val="bg-BG"/>
        </w:rPr>
      </w:pPr>
      <w:r w:rsidRPr="00905D01">
        <w:rPr>
          <w:rFonts w:ascii="Verdana" w:hAnsi="Verdana"/>
          <w:b/>
          <w:bCs/>
          <w:i/>
          <w:iCs/>
          <w:sz w:val="20"/>
          <w:szCs w:val="20"/>
          <w:lang w:val="en"/>
        </w:rPr>
        <w:t xml:space="preserve">Territorial dimensions of </w:t>
      </w:r>
      <w:r w:rsidR="00905D01" w:rsidRPr="00905D01">
        <w:rPr>
          <w:rFonts w:ascii="Verdana" w:hAnsi="Verdana"/>
          <w:b/>
          <w:bCs/>
          <w:i/>
          <w:iCs/>
          <w:sz w:val="20"/>
          <w:szCs w:val="20"/>
          <w:lang w:val="en"/>
        </w:rPr>
        <w:t>OPT</w:t>
      </w:r>
      <w:r w:rsidRPr="00905D01">
        <w:rPr>
          <w:rFonts w:ascii="Verdana" w:hAnsi="Verdana"/>
          <w:b/>
          <w:bCs/>
          <w:i/>
          <w:iCs/>
          <w:sz w:val="20"/>
          <w:szCs w:val="20"/>
          <w:lang w:val="en"/>
        </w:rPr>
        <w:t xml:space="preserve"> and accessibility</w:t>
      </w:r>
    </w:p>
    <w:p w14:paraId="2B38754E" w14:textId="347EFF6A" w:rsidR="00445986" w:rsidRPr="00905D01" w:rsidRDefault="00445986" w:rsidP="00A0587B">
      <w:pPr>
        <w:spacing w:before="120" w:after="120" w:line="240" w:lineRule="auto"/>
        <w:jc w:val="both"/>
        <w:rPr>
          <w:rFonts w:ascii="Verdana" w:hAnsi="Verdana"/>
          <w:sz w:val="20"/>
          <w:szCs w:val="20"/>
          <w:lang w:val="bg-BG"/>
        </w:rPr>
      </w:pPr>
      <w:r w:rsidRPr="00905D01">
        <w:rPr>
          <w:rFonts w:ascii="Verdana" w:hAnsi="Verdana"/>
          <w:sz w:val="20"/>
          <w:szCs w:val="20"/>
          <w:lang w:val="en"/>
        </w:rPr>
        <w:t xml:space="preserve">The majority of projects contribute to the construction of the TEN-T network in the country, which is important for Bulgaria as one of the EU </w:t>
      </w:r>
      <w:r w:rsidR="00B40B9E" w:rsidRPr="00905D01">
        <w:rPr>
          <w:rFonts w:ascii="Verdana" w:hAnsi="Verdana"/>
          <w:sz w:val="20"/>
          <w:szCs w:val="20"/>
          <w:lang w:val="en"/>
        </w:rPr>
        <w:t>members</w:t>
      </w:r>
      <w:r w:rsidRPr="00905D01">
        <w:rPr>
          <w:rFonts w:ascii="Verdana" w:hAnsi="Verdana"/>
          <w:sz w:val="20"/>
          <w:szCs w:val="20"/>
          <w:lang w:val="en"/>
        </w:rPr>
        <w:t xml:space="preserve"> states with the lowest level of construction of this network. </w:t>
      </w:r>
      <w:r w:rsidRPr="00905D01">
        <w:rPr>
          <w:rFonts w:ascii="Verdana" w:hAnsi="Verdana"/>
          <w:sz w:val="20"/>
          <w:szCs w:val="20"/>
          <w:lang w:val="en" w:eastAsia="en-GB"/>
        </w:rPr>
        <w:t xml:space="preserve">There has been an improvement in accessibility with </w:t>
      </w:r>
      <w:r w:rsidR="00B40B9E" w:rsidRPr="00905D01">
        <w:rPr>
          <w:rFonts w:ascii="Verdana" w:hAnsi="Verdana"/>
          <w:sz w:val="20"/>
          <w:szCs w:val="20"/>
          <w:lang w:val="en" w:eastAsia="en-GB"/>
        </w:rPr>
        <w:t>neighboring</w:t>
      </w:r>
      <w:r w:rsidRPr="00905D01">
        <w:rPr>
          <w:rFonts w:ascii="Verdana" w:hAnsi="Verdana"/>
          <w:sz w:val="20"/>
          <w:szCs w:val="20"/>
          <w:lang w:val="en" w:eastAsia="en-GB"/>
        </w:rPr>
        <w:t xml:space="preserve"> countries - Greece and Turkey. </w:t>
      </w:r>
    </w:p>
    <w:p w14:paraId="760C7185" w14:textId="2210E358" w:rsidR="002F3A0F" w:rsidRPr="001444FF" w:rsidRDefault="00445986" w:rsidP="00A0587B">
      <w:pPr>
        <w:spacing w:before="120" w:after="120" w:line="240" w:lineRule="auto"/>
        <w:jc w:val="both"/>
        <w:rPr>
          <w:rFonts w:ascii="Verdana" w:hAnsi="Verdana"/>
          <w:sz w:val="20"/>
          <w:szCs w:val="20"/>
          <w:lang w:val="en" w:eastAsia="en-GB"/>
        </w:rPr>
      </w:pPr>
      <w:r w:rsidRPr="001444FF">
        <w:rPr>
          <w:rFonts w:ascii="Verdana" w:hAnsi="Verdana"/>
          <w:sz w:val="20"/>
          <w:szCs w:val="20"/>
          <w:lang w:val="en" w:eastAsia="en-GB"/>
        </w:rPr>
        <w:t xml:space="preserve">The most supported </w:t>
      </w:r>
      <w:r w:rsidR="004F6E99" w:rsidRPr="001444FF">
        <w:rPr>
          <w:rFonts w:ascii="Verdana" w:hAnsi="Verdana"/>
          <w:sz w:val="20"/>
          <w:szCs w:val="20"/>
          <w:lang w:val="en" w:eastAsia="en-GB"/>
        </w:rPr>
        <w:t>in terms of</w:t>
      </w:r>
      <w:r w:rsidRPr="001444FF">
        <w:rPr>
          <w:rFonts w:ascii="Verdana" w:hAnsi="Verdana"/>
          <w:sz w:val="20"/>
          <w:szCs w:val="20"/>
          <w:lang w:val="en" w:eastAsia="en-GB"/>
        </w:rPr>
        <w:t xml:space="preserve"> newly built road infrastructure (motorways) and rehabilitated and reconstructed railway lines are </w:t>
      </w:r>
      <w:r w:rsidR="004F6E99" w:rsidRPr="001444FF">
        <w:rPr>
          <w:rFonts w:ascii="Verdana" w:hAnsi="Verdana"/>
          <w:sz w:val="20"/>
          <w:szCs w:val="20"/>
          <w:lang w:val="en" w:eastAsia="en-GB"/>
        </w:rPr>
        <w:t>S</w:t>
      </w:r>
      <w:r w:rsidRPr="001444FF">
        <w:rPr>
          <w:rFonts w:ascii="Verdana" w:hAnsi="Verdana"/>
          <w:sz w:val="20"/>
          <w:szCs w:val="20"/>
          <w:lang w:val="en" w:eastAsia="en-GB"/>
        </w:rPr>
        <w:t>outh</w:t>
      </w:r>
      <w:r w:rsidR="004F6E99" w:rsidRPr="001444FF">
        <w:rPr>
          <w:rFonts w:ascii="Verdana" w:hAnsi="Verdana"/>
          <w:sz w:val="20"/>
          <w:szCs w:val="20"/>
          <w:lang w:val="en" w:eastAsia="en-GB"/>
        </w:rPr>
        <w:t xml:space="preserve"> E</w:t>
      </w:r>
      <w:r w:rsidRPr="001444FF">
        <w:rPr>
          <w:rFonts w:ascii="Verdana" w:hAnsi="Verdana"/>
          <w:sz w:val="20"/>
          <w:szCs w:val="20"/>
          <w:lang w:val="en" w:eastAsia="en-GB"/>
        </w:rPr>
        <w:t xml:space="preserve">astern and </w:t>
      </w:r>
      <w:r w:rsidR="00B40B9E" w:rsidRPr="001444FF">
        <w:rPr>
          <w:rFonts w:ascii="Verdana" w:hAnsi="Verdana"/>
          <w:sz w:val="20"/>
          <w:szCs w:val="20"/>
          <w:lang w:val="en" w:eastAsia="en-GB"/>
        </w:rPr>
        <w:t>South</w:t>
      </w:r>
      <w:r w:rsidR="00B40B9E">
        <w:rPr>
          <w:rFonts w:ascii="Verdana" w:hAnsi="Verdana"/>
          <w:sz w:val="20"/>
          <w:szCs w:val="20"/>
          <w:lang w:val="en" w:eastAsia="en-GB"/>
        </w:rPr>
        <w:t>-Central</w:t>
      </w:r>
      <w:r w:rsidRPr="001444FF">
        <w:rPr>
          <w:rFonts w:ascii="Verdana" w:hAnsi="Verdana"/>
          <w:sz w:val="20"/>
          <w:szCs w:val="20"/>
          <w:lang w:val="en" w:eastAsia="en-GB"/>
        </w:rPr>
        <w:t xml:space="preserve"> </w:t>
      </w:r>
      <w:r w:rsidR="004F6E99" w:rsidRPr="001444FF">
        <w:rPr>
          <w:rFonts w:ascii="Verdana" w:hAnsi="Verdana"/>
          <w:sz w:val="20"/>
          <w:szCs w:val="20"/>
          <w:lang w:val="en" w:eastAsia="en-GB"/>
        </w:rPr>
        <w:t>R</w:t>
      </w:r>
      <w:r w:rsidRPr="001444FF">
        <w:rPr>
          <w:rFonts w:ascii="Verdana" w:hAnsi="Verdana"/>
          <w:sz w:val="20"/>
          <w:szCs w:val="20"/>
          <w:lang w:val="en" w:eastAsia="en-GB"/>
        </w:rPr>
        <w:t>egion</w:t>
      </w:r>
      <w:r w:rsidR="004F6E99" w:rsidRPr="001444FF">
        <w:rPr>
          <w:rFonts w:ascii="Verdana" w:hAnsi="Verdana"/>
          <w:sz w:val="20"/>
          <w:szCs w:val="20"/>
          <w:lang w:val="en" w:eastAsia="en-GB"/>
        </w:rPr>
        <w:t>s</w:t>
      </w:r>
      <w:r w:rsidRPr="001444FF">
        <w:rPr>
          <w:rFonts w:ascii="Verdana" w:hAnsi="Verdana"/>
          <w:sz w:val="20"/>
          <w:szCs w:val="20"/>
          <w:lang w:val="en" w:eastAsia="en-GB"/>
        </w:rPr>
        <w:t xml:space="preserve">. </w:t>
      </w:r>
      <w:r w:rsidR="004F6E99" w:rsidRPr="001444FF">
        <w:rPr>
          <w:rFonts w:ascii="Verdana" w:hAnsi="Verdana"/>
          <w:sz w:val="20"/>
          <w:szCs w:val="20"/>
          <w:lang w:val="en" w:eastAsia="en-GB"/>
        </w:rPr>
        <w:t xml:space="preserve">Minor </w:t>
      </w:r>
      <w:r w:rsidRPr="001444FF">
        <w:rPr>
          <w:rFonts w:ascii="Verdana" w:hAnsi="Verdana"/>
          <w:sz w:val="20"/>
          <w:szCs w:val="20"/>
          <w:lang w:val="en" w:eastAsia="en-GB"/>
        </w:rPr>
        <w:t xml:space="preserve">support has been </w:t>
      </w:r>
      <w:r w:rsidR="004F6E99" w:rsidRPr="001444FF">
        <w:rPr>
          <w:rFonts w:ascii="Verdana" w:hAnsi="Verdana"/>
          <w:sz w:val="20"/>
          <w:szCs w:val="20"/>
          <w:lang w:val="en" w:eastAsia="en-GB"/>
        </w:rPr>
        <w:t>granted</w:t>
      </w:r>
      <w:r w:rsidRPr="001444FF">
        <w:rPr>
          <w:rFonts w:ascii="Verdana" w:hAnsi="Verdana"/>
          <w:sz w:val="20"/>
          <w:szCs w:val="20"/>
          <w:lang w:val="en" w:eastAsia="en-GB"/>
        </w:rPr>
        <w:t xml:space="preserve"> to Northern Bulgaria through the implemented</w:t>
      </w:r>
      <w:r w:rsidR="00A84AB5" w:rsidRPr="001444FF">
        <w:rPr>
          <w:rFonts w:ascii="Verdana" w:hAnsi="Verdana"/>
          <w:sz w:val="20"/>
          <w:szCs w:val="20"/>
          <w:lang w:val="en" w:eastAsia="en-GB"/>
        </w:rPr>
        <w:t xml:space="preserve"> bypass roads </w:t>
      </w:r>
      <w:r w:rsidRPr="001444FF">
        <w:rPr>
          <w:rFonts w:ascii="Verdana" w:hAnsi="Verdana"/>
          <w:sz w:val="20"/>
          <w:szCs w:val="20"/>
          <w:lang w:val="en" w:eastAsia="en-GB"/>
        </w:rPr>
        <w:t xml:space="preserve">of Vratsa, Montana and Gabrovo. As a general conclusion, it can be noted that all the implemented linear projects </w:t>
      </w:r>
      <w:r w:rsidR="000E666C" w:rsidRPr="001444FF">
        <w:rPr>
          <w:rFonts w:ascii="Verdana" w:hAnsi="Verdana"/>
          <w:sz w:val="20"/>
          <w:szCs w:val="20"/>
          <w:lang w:val="en" w:eastAsia="en-GB"/>
        </w:rPr>
        <w:t xml:space="preserve">have a positive impact for accessibility of </w:t>
      </w:r>
      <w:r w:rsidR="002F3A0F" w:rsidRPr="001444FF">
        <w:rPr>
          <w:rFonts w:ascii="Verdana" w:hAnsi="Verdana"/>
          <w:sz w:val="20"/>
          <w:szCs w:val="20"/>
          <w:lang w:val="en" w:eastAsia="en-GB"/>
        </w:rPr>
        <w:t xml:space="preserve">territories which they cross, however they did not </w:t>
      </w:r>
      <w:r w:rsidR="00471CC5" w:rsidRPr="001444FF">
        <w:rPr>
          <w:rFonts w:ascii="Verdana" w:hAnsi="Verdana"/>
          <w:sz w:val="20"/>
          <w:szCs w:val="20"/>
          <w:lang w:val="en" w:eastAsia="en-GB"/>
        </w:rPr>
        <w:t xml:space="preserve">have significant contribution to national coherence </w:t>
      </w:r>
      <w:r w:rsidR="00F53D5C" w:rsidRPr="001444FF">
        <w:rPr>
          <w:rFonts w:ascii="Verdana" w:hAnsi="Verdana"/>
          <w:sz w:val="20"/>
          <w:szCs w:val="20"/>
          <w:lang w:val="en" w:eastAsia="en-GB"/>
        </w:rPr>
        <w:t>and to overcoming the differences in infrastructure development in South and North Bulgaria. This is one of the reasons</w:t>
      </w:r>
      <w:r w:rsidR="00F52386" w:rsidRPr="001444FF">
        <w:rPr>
          <w:rFonts w:ascii="Verdana" w:hAnsi="Verdana"/>
          <w:sz w:val="20"/>
          <w:szCs w:val="20"/>
          <w:lang w:val="en" w:eastAsia="en-GB"/>
        </w:rPr>
        <w:t xml:space="preserve"> for higher economic growth and incomes in South Bulgaria</w:t>
      </w:r>
      <w:r w:rsidR="00F66C61" w:rsidRPr="001444FF">
        <w:rPr>
          <w:rFonts w:ascii="Verdana" w:hAnsi="Verdana"/>
          <w:sz w:val="20"/>
          <w:szCs w:val="20"/>
          <w:lang w:val="en" w:eastAsia="en-GB"/>
        </w:rPr>
        <w:t xml:space="preserve">, insofar as the better accessibility is </w:t>
      </w:r>
      <w:r w:rsidR="001444FF" w:rsidRPr="001444FF">
        <w:rPr>
          <w:rFonts w:ascii="Verdana" w:hAnsi="Verdana"/>
          <w:sz w:val="20"/>
          <w:szCs w:val="20"/>
          <w:lang w:val="en" w:eastAsia="en-GB"/>
        </w:rPr>
        <w:t>important to development of regional economies.</w:t>
      </w:r>
    </w:p>
    <w:p w14:paraId="7F067C56" w14:textId="6243D43A" w:rsidR="00445986" w:rsidRPr="00294FA1" w:rsidRDefault="00445986" w:rsidP="00A0587B">
      <w:pPr>
        <w:spacing w:before="120" w:after="120" w:line="240" w:lineRule="auto"/>
        <w:jc w:val="both"/>
        <w:rPr>
          <w:rFonts w:ascii="Verdana" w:hAnsi="Verdana"/>
          <w:sz w:val="20"/>
          <w:szCs w:val="20"/>
          <w:lang w:val="en" w:eastAsia="en-GB"/>
        </w:rPr>
      </w:pPr>
      <w:r w:rsidRPr="006A281F">
        <w:rPr>
          <w:rFonts w:ascii="Verdana" w:hAnsi="Verdana"/>
          <w:sz w:val="20"/>
          <w:szCs w:val="20"/>
          <w:lang w:val="en" w:eastAsia="en-GB"/>
        </w:rPr>
        <w:t xml:space="preserve">The implemented projects improve cohesion within the territory of the regions through which they pass and the accessibility of the local population to the rest of the country and within the region. </w:t>
      </w:r>
      <w:r w:rsidR="006A281F" w:rsidRPr="006A281F">
        <w:rPr>
          <w:rFonts w:ascii="Verdana" w:hAnsi="Verdana"/>
          <w:sz w:val="20"/>
          <w:szCs w:val="20"/>
          <w:lang w:val="en" w:eastAsia="en-GB"/>
        </w:rPr>
        <w:t>The projects have ensured i</w:t>
      </w:r>
      <w:r w:rsidRPr="006A281F">
        <w:rPr>
          <w:rFonts w:ascii="Verdana" w:hAnsi="Verdana"/>
          <w:sz w:val="20"/>
          <w:szCs w:val="20"/>
          <w:lang w:val="en" w:eastAsia="en-GB"/>
        </w:rPr>
        <w:t xml:space="preserve">mproved connectivity, better mobility for </w:t>
      </w:r>
      <w:r w:rsidR="00B40B9E" w:rsidRPr="006A281F">
        <w:rPr>
          <w:rFonts w:ascii="Verdana" w:hAnsi="Verdana"/>
          <w:sz w:val="20"/>
          <w:szCs w:val="20"/>
          <w:lang w:val="en" w:eastAsia="en-GB"/>
        </w:rPr>
        <w:t>labor</w:t>
      </w:r>
      <w:r w:rsidRPr="006A281F">
        <w:rPr>
          <w:rFonts w:ascii="Verdana" w:hAnsi="Verdana"/>
          <w:sz w:val="20"/>
          <w:szCs w:val="20"/>
          <w:lang w:val="en" w:eastAsia="en-GB"/>
        </w:rPr>
        <w:t xml:space="preserve"> journeys, access to health, education, cultural and other services, achieving intra-</w:t>
      </w:r>
      <w:r w:rsidRPr="00294FA1">
        <w:rPr>
          <w:rFonts w:ascii="Verdana" w:hAnsi="Verdana"/>
          <w:sz w:val="20"/>
          <w:szCs w:val="20"/>
          <w:lang w:val="en" w:eastAsia="en-GB"/>
        </w:rPr>
        <w:t>regional integration in planning areas and regions</w:t>
      </w:r>
      <w:r w:rsidR="006A281F" w:rsidRPr="00294FA1">
        <w:rPr>
          <w:rFonts w:ascii="Verdana" w:hAnsi="Verdana"/>
          <w:sz w:val="20"/>
          <w:szCs w:val="20"/>
          <w:lang w:val="en" w:eastAsia="en-GB"/>
        </w:rPr>
        <w:t>.</w:t>
      </w:r>
    </w:p>
    <w:p w14:paraId="36DCF178" w14:textId="15D8CDA5" w:rsidR="00445986" w:rsidRPr="00294FA1" w:rsidRDefault="00445986" w:rsidP="00A0587B">
      <w:pPr>
        <w:spacing w:before="120" w:after="120" w:line="240" w:lineRule="auto"/>
        <w:jc w:val="both"/>
        <w:rPr>
          <w:rFonts w:ascii="Verdana" w:eastAsia="Batang" w:hAnsi="Verdana"/>
          <w:sz w:val="20"/>
          <w:szCs w:val="20"/>
          <w:lang w:val="bg-BG" w:eastAsia="ko-KR"/>
        </w:rPr>
      </w:pPr>
      <w:r w:rsidRPr="00294FA1">
        <w:rPr>
          <w:rFonts w:ascii="Verdana" w:hAnsi="Verdana"/>
          <w:sz w:val="20"/>
          <w:szCs w:val="20"/>
          <w:lang w:val="en" w:eastAsia="ko-KR"/>
        </w:rPr>
        <w:t xml:space="preserve">There has been an improvement in accessibility to key centers in Bulgaria - the centers of the first and second hierarchical levels – the cities of Sofia, Plovdiv, </w:t>
      </w:r>
      <w:proofErr w:type="spellStart"/>
      <w:r w:rsidRPr="00294FA1">
        <w:rPr>
          <w:rFonts w:ascii="Verdana" w:hAnsi="Verdana"/>
          <w:sz w:val="20"/>
          <w:szCs w:val="20"/>
          <w:lang w:val="en" w:eastAsia="ko-KR"/>
        </w:rPr>
        <w:t>Stara</w:t>
      </w:r>
      <w:proofErr w:type="spellEnd"/>
      <w:r w:rsidRPr="00294FA1">
        <w:rPr>
          <w:rFonts w:ascii="Verdana" w:hAnsi="Verdana"/>
          <w:sz w:val="20"/>
          <w:szCs w:val="20"/>
          <w:lang w:val="en" w:eastAsia="ko-KR"/>
        </w:rPr>
        <w:t xml:space="preserve"> Zagora, </w:t>
      </w:r>
      <w:proofErr w:type="spellStart"/>
      <w:r w:rsidRPr="00294FA1">
        <w:rPr>
          <w:rFonts w:ascii="Verdana" w:hAnsi="Verdana"/>
          <w:sz w:val="20"/>
          <w:szCs w:val="20"/>
          <w:lang w:val="en" w:eastAsia="ko-KR"/>
        </w:rPr>
        <w:t>Burgas</w:t>
      </w:r>
      <w:proofErr w:type="spellEnd"/>
      <w:r w:rsidRPr="00294FA1">
        <w:rPr>
          <w:rFonts w:ascii="Verdana" w:hAnsi="Verdana"/>
          <w:sz w:val="20"/>
          <w:szCs w:val="20"/>
          <w:lang w:val="en" w:eastAsia="ko-KR"/>
        </w:rPr>
        <w:t>, Blagoevgrad, which are major growth</w:t>
      </w:r>
      <w:r w:rsidR="00294FA1" w:rsidRPr="00294FA1">
        <w:rPr>
          <w:rFonts w:ascii="Verdana" w:hAnsi="Verdana"/>
          <w:sz w:val="20"/>
          <w:szCs w:val="20"/>
          <w:lang w:val="en" w:eastAsia="ko-KR"/>
        </w:rPr>
        <w:t xml:space="preserve"> boosters on</w:t>
      </w:r>
      <w:r w:rsidRPr="00294FA1">
        <w:rPr>
          <w:rFonts w:ascii="Verdana" w:hAnsi="Verdana"/>
          <w:sz w:val="20"/>
          <w:szCs w:val="20"/>
          <w:lang w:val="en" w:eastAsia="ko-KR"/>
        </w:rPr>
        <w:t xml:space="preserve"> the national territory.</w:t>
      </w:r>
    </w:p>
    <w:p w14:paraId="552856BE" w14:textId="77777777" w:rsidR="00445986" w:rsidRPr="004C6C51" w:rsidRDefault="00445986" w:rsidP="00A0587B">
      <w:pPr>
        <w:spacing w:before="120" w:after="120" w:line="240" w:lineRule="auto"/>
        <w:jc w:val="both"/>
        <w:rPr>
          <w:rFonts w:ascii="Verdana" w:eastAsia="Batang" w:hAnsi="Verdana"/>
          <w:sz w:val="20"/>
          <w:szCs w:val="20"/>
          <w:highlight w:val="yellow"/>
          <w:lang w:val="bg-BG" w:eastAsia="ko-KR"/>
        </w:rPr>
      </w:pPr>
    </w:p>
    <w:p w14:paraId="0794A22D" w14:textId="47450298" w:rsidR="00445986" w:rsidRPr="00057340" w:rsidRDefault="00445986" w:rsidP="00A0587B">
      <w:pPr>
        <w:spacing w:before="120" w:after="120" w:line="240" w:lineRule="auto"/>
        <w:jc w:val="both"/>
        <w:rPr>
          <w:rFonts w:ascii="Verdana" w:eastAsia="Times New Roman" w:hAnsi="Verdana" w:cs="Times New Roman"/>
          <w:b/>
          <w:bCs/>
          <w:i/>
          <w:iCs/>
          <w:sz w:val="20"/>
          <w:szCs w:val="20"/>
          <w:lang w:val="bg-BG" w:eastAsia="bg-BG"/>
        </w:rPr>
      </w:pPr>
      <w:r w:rsidRPr="00057340">
        <w:rPr>
          <w:rFonts w:ascii="Verdana" w:hAnsi="Verdana"/>
          <w:b/>
          <w:bCs/>
          <w:i/>
          <w:iCs/>
          <w:sz w:val="20"/>
          <w:szCs w:val="20"/>
          <w:lang w:val="en" w:eastAsia="bg-BG"/>
        </w:rPr>
        <w:t>Main problems and lessons learn</w:t>
      </w:r>
      <w:r w:rsidR="00057340">
        <w:rPr>
          <w:rFonts w:ascii="Verdana" w:hAnsi="Verdana"/>
          <w:b/>
          <w:bCs/>
          <w:i/>
          <w:iCs/>
          <w:sz w:val="20"/>
          <w:szCs w:val="20"/>
          <w:lang w:val="en" w:eastAsia="bg-BG"/>
        </w:rPr>
        <w:t>ed</w:t>
      </w:r>
    </w:p>
    <w:p w14:paraId="5FDA0023" w14:textId="1BED96D6" w:rsidR="00445986" w:rsidRPr="0099334A" w:rsidRDefault="00445986" w:rsidP="00A0587B">
      <w:pPr>
        <w:spacing w:before="120" w:after="120" w:line="240" w:lineRule="auto"/>
        <w:jc w:val="both"/>
        <w:rPr>
          <w:rFonts w:ascii="Verdana" w:hAnsi="Verdana" w:cs="Times New Roman"/>
          <w:sz w:val="20"/>
          <w:szCs w:val="20"/>
          <w:lang w:val="bg-BG" w:eastAsia="en-GB"/>
        </w:rPr>
      </w:pPr>
      <w:r w:rsidRPr="00CB6042">
        <w:rPr>
          <w:rFonts w:ascii="Verdana" w:hAnsi="Verdana"/>
          <w:sz w:val="20"/>
          <w:szCs w:val="20"/>
          <w:lang w:val="en" w:eastAsia="en-GB"/>
        </w:rPr>
        <w:t>The main problems in the implementation of</w:t>
      </w:r>
      <w:r w:rsidR="00057340" w:rsidRPr="00CB6042">
        <w:rPr>
          <w:rFonts w:ascii="Verdana" w:hAnsi="Verdana"/>
          <w:sz w:val="20"/>
          <w:szCs w:val="20"/>
          <w:lang w:val="en" w:eastAsia="en-GB"/>
        </w:rPr>
        <w:t xml:space="preserve"> OPT have been related </w:t>
      </w:r>
      <w:r w:rsidRPr="00CB6042">
        <w:rPr>
          <w:rFonts w:ascii="Verdana" w:hAnsi="Verdana"/>
          <w:sz w:val="20"/>
          <w:szCs w:val="20"/>
          <w:lang w:val="en" w:eastAsia="en-GB"/>
        </w:rPr>
        <w:t xml:space="preserve">to the development and modification of the technical documentation, </w:t>
      </w:r>
      <w:r w:rsidR="00057340" w:rsidRPr="00CB6042">
        <w:rPr>
          <w:rFonts w:ascii="Verdana" w:hAnsi="Verdana"/>
          <w:sz w:val="20"/>
          <w:szCs w:val="20"/>
          <w:lang w:val="en" w:eastAsia="en-GB"/>
        </w:rPr>
        <w:t>a</w:t>
      </w:r>
      <w:r w:rsidRPr="00CB6042">
        <w:rPr>
          <w:rFonts w:ascii="Verdana" w:hAnsi="Verdana"/>
          <w:sz w:val="20"/>
          <w:szCs w:val="20"/>
          <w:lang w:val="en" w:eastAsia="en-GB"/>
        </w:rPr>
        <w:t xml:space="preserve">dministrative procedures for </w:t>
      </w:r>
      <w:r w:rsidR="00057340" w:rsidRPr="00CB6042">
        <w:rPr>
          <w:rFonts w:ascii="Verdana" w:hAnsi="Verdana"/>
          <w:sz w:val="20"/>
          <w:szCs w:val="20"/>
          <w:lang w:val="en" w:eastAsia="en-GB"/>
        </w:rPr>
        <w:t xml:space="preserve">land acquisitions </w:t>
      </w:r>
      <w:r w:rsidRPr="00CB6042">
        <w:rPr>
          <w:rFonts w:ascii="Verdana" w:hAnsi="Verdana"/>
          <w:sz w:val="20"/>
          <w:szCs w:val="20"/>
          <w:lang w:val="en" w:eastAsia="en-GB"/>
        </w:rPr>
        <w:t>and archaeological studies, public procurement</w:t>
      </w:r>
      <w:r w:rsidR="00057340" w:rsidRPr="00CB6042">
        <w:rPr>
          <w:rFonts w:ascii="Verdana" w:hAnsi="Verdana"/>
          <w:sz w:val="20"/>
          <w:szCs w:val="20"/>
          <w:lang w:val="en" w:eastAsia="en-GB"/>
        </w:rPr>
        <w:t xml:space="preserve"> procedures</w:t>
      </w:r>
      <w:r w:rsidRPr="00CB6042">
        <w:rPr>
          <w:rFonts w:ascii="Verdana" w:hAnsi="Verdana"/>
          <w:sz w:val="20"/>
          <w:szCs w:val="20"/>
          <w:lang w:val="en" w:eastAsia="en-GB"/>
        </w:rPr>
        <w:t>, lack of sufficient own resources of beneficiaries,</w:t>
      </w:r>
      <w:r w:rsidR="00CB6042" w:rsidRPr="00CB6042">
        <w:rPr>
          <w:rFonts w:ascii="Verdana" w:hAnsi="Verdana"/>
          <w:sz w:val="20"/>
          <w:szCs w:val="20"/>
          <w:lang w:val="en" w:eastAsia="en-GB"/>
        </w:rPr>
        <w:t xml:space="preserve"> contingency </w:t>
      </w:r>
      <w:r w:rsidR="00CB6042" w:rsidRPr="00627740">
        <w:rPr>
          <w:rFonts w:ascii="Verdana" w:hAnsi="Verdana"/>
          <w:sz w:val="20"/>
          <w:szCs w:val="20"/>
          <w:lang w:val="en" w:eastAsia="en-GB"/>
        </w:rPr>
        <w:t>costs</w:t>
      </w:r>
      <w:r w:rsidRPr="00627740">
        <w:rPr>
          <w:rFonts w:ascii="Verdana" w:hAnsi="Verdana"/>
          <w:sz w:val="20"/>
          <w:szCs w:val="20"/>
          <w:lang w:val="en" w:eastAsia="en-GB"/>
        </w:rPr>
        <w:t>. Within the first programming period,</w:t>
      </w:r>
      <w:r w:rsidRPr="00627740">
        <w:rPr>
          <w:rFonts w:ascii="Verdana" w:hAnsi="Verdana"/>
          <w:sz w:val="20"/>
          <w:szCs w:val="20"/>
          <w:lang w:val="en"/>
        </w:rPr>
        <w:t xml:space="preserve"> </w:t>
      </w:r>
      <w:r w:rsidR="00A30E00" w:rsidRPr="00627740">
        <w:rPr>
          <w:rFonts w:ascii="Verdana" w:hAnsi="Verdana"/>
          <w:sz w:val="20"/>
          <w:szCs w:val="20"/>
          <w:lang w:val="en"/>
        </w:rPr>
        <w:t>typical problems</w:t>
      </w:r>
      <w:r w:rsidR="00A84BBB" w:rsidRPr="00627740">
        <w:rPr>
          <w:rFonts w:ascii="Verdana" w:hAnsi="Verdana"/>
          <w:sz w:val="20"/>
          <w:szCs w:val="20"/>
          <w:lang w:val="en"/>
        </w:rPr>
        <w:t xml:space="preserve"> arise due to lack of</w:t>
      </w:r>
      <w:r w:rsidRPr="00627740">
        <w:rPr>
          <w:rFonts w:ascii="Verdana" w:hAnsi="Verdana"/>
          <w:sz w:val="20"/>
          <w:szCs w:val="20"/>
          <w:lang w:val="en"/>
        </w:rPr>
        <w:t xml:space="preserve"> experience and </w:t>
      </w:r>
      <w:r w:rsidRPr="005A1EA0">
        <w:rPr>
          <w:rFonts w:ascii="Verdana" w:hAnsi="Verdana"/>
          <w:sz w:val="20"/>
          <w:szCs w:val="20"/>
          <w:lang w:val="en"/>
        </w:rPr>
        <w:t>capacity for management of infrastructure projects</w:t>
      </w:r>
      <w:r w:rsidR="00627740" w:rsidRPr="005A1EA0">
        <w:rPr>
          <w:rFonts w:ascii="Verdana" w:hAnsi="Verdana"/>
          <w:sz w:val="20"/>
          <w:szCs w:val="20"/>
          <w:lang w:val="en"/>
        </w:rPr>
        <w:t xml:space="preserve">, as well as </w:t>
      </w:r>
      <w:r w:rsidRPr="005A1EA0">
        <w:rPr>
          <w:rFonts w:ascii="Verdana" w:hAnsi="Verdana"/>
          <w:sz w:val="20"/>
          <w:szCs w:val="20"/>
          <w:lang w:val="en"/>
        </w:rPr>
        <w:t>institutional</w:t>
      </w:r>
      <w:r w:rsidR="00627740" w:rsidRPr="005A1EA0">
        <w:rPr>
          <w:rFonts w:ascii="Verdana" w:hAnsi="Verdana"/>
          <w:sz w:val="20"/>
          <w:szCs w:val="20"/>
          <w:lang w:val="en"/>
        </w:rPr>
        <w:t xml:space="preserve"> and organizational</w:t>
      </w:r>
      <w:r w:rsidRPr="005A1EA0">
        <w:rPr>
          <w:rFonts w:ascii="Verdana" w:hAnsi="Verdana"/>
          <w:sz w:val="20"/>
          <w:szCs w:val="20"/>
          <w:lang w:val="en"/>
        </w:rPr>
        <w:t xml:space="preserve"> problems. In some cases,</w:t>
      </w:r>
      <w:r w:rsidR="00627740" w:rsidRPr="005A1EA0">
        <w:rPr>
          <w:rFonts w:ascii="Verdana" w:hAnsi="Verdana"/>
          <w:sz w:val="20"/>
          <w:szCs w:val="20"/>
          <w:lang w:val="en"/>
        </w:rPr>
        <w:t xml:space="preserve"> t</w:t>
      </w:r>
      <w:r w:rsidRPr="005A1EA0">
        <w:rPr>
          <w:rFonts w:ascii="Verdana" w:hAnsi="Verdana"/>
          <w:sz w:val="20"/>
          <w:szCs w:val="20"/>
          <w:lang w:val="en"/>
        </w:rPr>
        <w:t xml:space="preserve">hese circumstances </w:t>
      </w:r>
      <w:r w:rsidR="00627740" w:rsidRPr="005A1EA0">
        <w:rPr>
          <w:rFonts w:ascii="Verdana" w:hAnsi="Verdana"/>
          <w:sz w:val="20"/>
          <w:szCs w:val="20"/>
          <w:lang w:val="en"/>
        </w:rPr>
        <w:t xml:space="preserve">have led </w:t>
      </w:r>
      <w:r w:rsidRPr="005A1EA0">
        <w:rPr>
          <w:rFonts w:ascii="Verdana" w:hAnsi="Verdana"/>
          <w:sz w:val="20"/>
          <w:szCs w:val="20"/>
          <w:lang w:val="en"/>
        </w:rPr>
        <w:t xml:space="preserve">to </w:t>
      </w:r>
      <w:r w:rsidR="005A1EA0" w:rsidRPr="005A1EA0">
        <w:rPr>
          <w:rFonts w:ascii="Verdana" w:hAnsi="Verdana"/>
          <w:sz w:val="20"/>
          <w:szCs w:val="20"/>
          <w:lang w:val="en"/>
        </w:rPr>
        <w:t>exclusion of projects from the programme,</w:t>
      </w:r>
      <w:r w:rsidRPr="005A1EA0">
        <w:rPr>
          <w:rFonts w:ascii="Verdana" w:hAnsi="Verdana"/>
          <w:sz w:val="20"/>
          <w:szCs w:val="20"/>
          <w:lang w:val="en"/>
        </w:rPr>
        <w:t xml:space="preserve"> or reduction</w:t>
      </w:r>
      <w:r w:rsidR="00627740" w:rsidRPr="005A1EA0">
        <w:rPr>
          <w:rFonts w:ascii="Verdana" w:hAnsi="Verdana"/>
          <w:sz w:val="20"/>
          <w:szCs w:val="20"/>
          <w:lang w:val="en"/>
        </w:rPr>
        <w:t xml:space="preserve"> </w:t>
      </w:r>
      <w:r w:rsidR="00FD4577" w:rsidRPr="005A1EA0">
        <w:rPr>
          <w:rFonts w:ascii="Verdana" w:hAnsi="Verdana"/>
          <w:sz w:val="20"/>
          <w:szCs w:val="20"/>
          <w:lang w:val="en"/>
        </w:rPr>
        <w:t>of project</w:t>
      </w:r>
      <w:r w:rsidRPr="005A1EA0">
        <w:rPr>
          <w:rFonts w:ascii="Verdana" w:hAnsi="Verdana"/>
          <w:sz w:val="20"/>
          <w:szCs w:val="20"/>
          <w:lang w:val="en" w:eastAsia="en-GB"/>
        </w:rPr>
        <w:t xml:space="preserve"> scope, phas</w:t>
      </w:r>
      <w:r w:rsidR="00FD4577" w:rsidRPr="005A1EA0">
        <w:rPr>
          <w:rFonts w:ascii="Verdana" w:hAnsi="Verdana"/>
          <w:sz w:val="20"/>
          <w:szCs w:val="20"/>
          <w:lang w:val="en" w:eastAsia="en-GB"/>
        </w:rPr>
        <w:t>ing</w:t>
      </w:r>
      <w:r w:rsidRPr="005A1EA0">
        <w:rPr>
          <w:rFonts w:ascii="Verdana" w:hAnsi="Verdana"/>
          <w:sz w:val="20"/>
          <w:szCs w:val="20"/>
          <w:lang w:val="en" w:eastAsia="en-GB"/>
        </w:rPr>
        <w:t>-out of projects,</w:t>
      </w:r>
      <w:r w:rsidRPr="005A1EA0">
        <w:rPr>
          <w:rFonts w:ascii="Verdana" w:hAnsi="Verdana"/>
          <w:sz w:val="20"/>
          <w:szCs w:val="20"/>
          <w:lang w:val="en"/>
        </w:rPr>
        <w:t xml:space="preserve"> completion of certain activities with beneficiaries' </w:t>
      </w:r>
      <w:r w:rsidRPr="0099334A">
        <w:rPr>
          <w:rFonts w:ascii="Verdana" w:hAnsi="Verdana"/>
          <w:sz w:val="20"/>
          <w:szCs w:val="20"/>
          <w:lang w:val="en"/>
        </w:rPr>
        <w:t>own resources, delays in implementation schedules.</w:t>
      </w:r>
    </w:p>
    <w:p w14:paraId="079A8B9B" w14:textId="3217E645" w:rsidR="00D52A86" w:rsidRPr="0099334A" w:rsidRDefault="006D2146" w:rsidP="00A0587B">
      <w:pPr>
        <w:spacing w:before="120" w:after="120" w:line="240" w:lineRule="auto"/>
        <w:jc w:val="both"/>
        <w:rPr>
          <w:rFonts w:ascii="Verdana" w:hAnsi="Verdana"/>
          <w:sz w:val="20"/>
          <w:szCs w:val="20"/>
          <w:lang w:val="en" w:eastAsia="en-GB"/>
        </w:rPr>
      </w:pPr>
      <w:r w:rsidRPr="0099334A">
        <w:rPr>
          <w:rFonts w:ascii="Verdana" w:hAnsi="Verdana"/>
          <w:sz w:val="20"/>
          <w:szCs w:val="20"/>
          <w:lang w:val="en" w:eastAsia="en-GB"/>
        </w:rPr>
        <w:t>The results of c</w:t>
      </w:r>
      <w:r w:rsidR="00445986" w:rsidRPr="0099334A">
        <w:rPr>
          <w:rFonts w:ascii="Verdana" w:hAnsi="Verdana"/>
          <w:sz w:val="20"/>
          <w:szCs w:val="20"/>
          <w:lang w:val="en" w:eastAsia="en-GB"/>
        </w:rPr>
        <w:t>ase studies</w:t>
      </w:r>
      <w:r w:rsidRPr="0099334A">
        <w:rPr>
          <w:rFonts w:ascii="Verdana" w:hAnsi="Verdana"/>
          <w:sz w:val="20"/>
          <w:szCs w:val="20"/>
          <w:lang w:val="en" w:eastAsia="en-GB"/>
        </w:rPr>
        <w:t xml:space="preserve"> carried out for</w:t>
      </w:r>
      <w:r w:rsidR="00445986" w:rsidRPr="0099334A">
        <w:rPr>
          <w:rFonts w:ascii="Verdana" w:hAnsi="Verdana"/>
          <w:sz w:val="20"/>
          <w:szCs w:val="20"/>
          <w:lang w:val="en" w:eastAsia="en-GB"/>
        </w:rPr>
        <w:t xml:space="preserve"> 12 investment projects show that the majority of projects have met their objectives and </w:t>
      </w:r>
      <w:r w:rsidR="00397B29" w:rsidRPr="0099334A">
        <w:rPr>
          <w:rFonts w:ascii="Verdana" w:hAnsi="Verdana"/>
          <w:sz w:val="20"/>
          <w:szCs w:val="20"/>
          <w:lang w:val="en" w:eastAsia="en-GB"/>
        </w:rPr>
        <w:t xml:space="preserve">target values of </w:t>
      </w:r>
      <w:r w:rsidR="00445986" w:rsidRPr="0099334A">
        <w:rPr>
          <w:rFonts w:ascii="Verdana" w:hAnsi="Verdana"/>
          <w:sz w:val="20"/>
          <w:szCs w:val="20"/>
          <w:lang w:val="en" w:eastAsia="en-GB"/>
        </w:rPr>
        <w:t xml:space="preserve">indicators. </w:t>
      </w:r>
      <w:r w:rsidR="00756AA7" w:rsidRPr="0099334A">
        <w:rPr>
          <w:rFonts w:ascii="Verdana" w:hAnsi="Verdana"/>
          <w:sz w:val="20"/>
          <w:szCs w:val="20"/>
          <w:lang w:val="en" w:eastAsia="en-GB"/>
        </w:rPr>
        <w:t>Some projects have reported exclusion of project activities</w:t>
      </w:r>
      <w:r w:rsidR="00D52A86" w:rsidRPr="0099334A">
        <w:rPr>
          <w:rFonts w:ascii="Verdana" w:hAnsi="Verdana"/>
          <w:sz w:val="20"/>
          <w:szCs w:val="20"/>
          <w:lang w:val="en" w:eastAsia="en-GB"/>
        </w:rPr>
        <w:t xml:space="preserve">, phasing out or completion with national funds. Delays in implementation were typical for railway projects and some road projects. </w:t>
      </w:r>
      <w:r w:rsidR="002C48FC" w:rsidRPr="0099334A">
        <w:rPr>
          <w:rFonts w:ascii="Verdana" w:hAnsi="Verdana"/>
          <w:sz w:val="20"/>
          <w:szCs w:val="20"/>
          <w:lang w:val="en" w:eastAsia="en-GB"/>
        </w:rPr>
        <w:t>The projects for metro extension how highest degree of overall effectiveness</w:t>
      </w:r>
      <w:r w:rsidR="00CA6B48" w:rsidRPr="0099334A">
        <w:rPr>
          <w:rFonts w:ascii="Verdana" w:hAnsi="Verdana"/>
          <w:sz w:val="20"/>
          <w:szCs w:val="20"/>
          <w:lang w:val="en" w:eastAsia="en-GB"/>
        </w:rPr>
        <w:t xml:space="preserve"> in terms of scope and implementation period. The delays in project preparation and implementation </w:t>
      </w:r>
      <w:r w:rsidR="00944952" w:rsidRPr="0099334A">
        <w:rPr>
          <w:rFonts w:ascii="Verdana" w:hAnsi="Verdana"/>
          <w:sz w:val="20"/>
          <w:szCs w:val="20"/>
          <w:lang w:val="en" w:eastAsia="en-GB"/>
        </w:rPr>
        <w:t>have been caused mainly by design problems, administrative procedures</w:t>
      </w:r>
      <w:r w:rsidR="00A86022" w:rsidRPr="0099334A">
        <w:rPr>
          <w:rFonts w:ascii="Verdana" w:hAnsi="Verdana"/>
          <w:sz w:val="20"/>
          <w:szCs w:val="20"/>
          <w:lang w:val="en" w:eastAsia="en-GB"/>
        </w:rPr>
        <w:t xml:space="preserve"> for land acquisition, public procurement and procedures under the Spatial Territorial Act</w:t>
      </w:r>
      <w:r w:rsidR="00C903F2" w:rsidRPr="0099334A">
        <w:rPr>
          <w:rFonts w:ascii="Verdana" w:hAnsi="Verdana"/>
          <w:sz w:val="20"/>
          <w:szCs w:val="20"/>
          <w:lang w:val="en" w:eastAsia="en-GB"/>
        </w:rPr>
        <w:t xml:space="preserve">, as well as procedures </w:t>
      </w:r>
      <w:r w:rsidR="00C903F2" w:rsidRPr="0099334A">
        <w:rPr>
          <w:rFonts w:ascii="Verdana" w:hAnsi="Verdana"/>
          <w:sz w:val="20"/>
          <w:szCs w:val="20"/>
          <w:lang w:val="en" w:eastAsia="en-GB"/>
        </w:rPr>
        <w:lastRenderedPageBreak/>
        <w:t xml:space="preserve">of archeological objects. The long periods for project preparation and implementation of major projects are typical </w:t>
      </w:r>
      <w:r w:rsidR="009067DF" w:rsidRPr="0099334A">
        <w:rPr>
          <w:rFonts w:ascii="Verdana" w:hAnsi="Verdana"/>
          <w:sz w:val="20"/>
          <w:szCs w:val="20"/>
          <w:lang w:val="en" w:eastAsia="en-GB"/>
        </w:rPr>
        <w:t>not only to Bulgaria, but also to the EU.</w:t>
      </w:r>
    </w:p>
    <w:p w14:paraId="0D932183" w14:textId="16F2F402" w:rsidR="00445986" w:rsidRPr="00F50700" w:rsidRDefault="003E1783" w:rsidP="00A0587B">
      <w:pPr>
        <w:spacing w:before="120" w:after="120" w:line="240" w:lineRule="auto"/>
        <w:jc w:val="both"/>
        <w:rPr>
          <w:rFonts w:ascii="Verdana" w:hAnsi="Verdana" w:cs="Times New Roman"/>
          <w:sz w:val="20"/>
          <w:szCs w:val="20"/>
          <w:lang w:val="bg-BG" w:eastAsia="en-GB"/>
        </w:rPr>
      </w:pPr>
      <w:r w:rsidRPr="0099334A">
        <w:rPr>
          <w:rFonts w:ascii="Verdana" w:hAnsi="Verdana"/>
          <w:sz w:val="20"/>
          <w:szCs w:val="20"/>
          <w:lang w:val="en" w:eastAsia="en-GB"/>
        </w:rPr>
        <w:t>In spite of the reported</w:t>
      </w:r>
      <w:r w:rsidR="00445986" w:rsidRPr="0099334A">
        <w:rPr>
          <w:rFonts w:ascii="Verdana" w:hAnsi="Verdana"/>
          <w:sz w:val="20"/>
          <w:szCs w:val="20"/>
          <w:lang w:val="en" w:eastAsia="en-GB"/>
        </w:rPr>
        <w:t xml:space="preserve"> problems, the beneficiaries and the MA demonstrate</w:t>
      </w:r>
      <w:r w:rsidRPr="0099334A">
        <w:rPr>
          <w:rFonts w:ascii="Verdana" w:hAnsi="Verdana"/>
          <w:sz w:val="20"/>
          <w:szCs w:val="20"/>
          <w:lang w:val="en" w:eastAsia="en-GB"/>
        </w:rPr>
        <w:t>d</w:t>
      </w:r>
      <w:r w:rsidR="00445986" w:rsidRPr="0099334A">
        <w:rPr>
          <w:rFonts w:ascii="Verdana" w:hAnsi="Verdana"/>
          <w:sz w:val="20"/>
          <w:szCs w:val="20"/>
          <w:lang w:val="en" w:eastAsia="en-GB"/>
        </w:rPr>
        <w:t xml:space="preserve"> good communication and cooperation for operational problem solving and </w:t>
      </w:r>
      <w:r w:rsidR="009B755F" w:rsidRPr="0099334A">
        <w:rPr>
          <w:rFonts w:ascii="Verdana" w:hAnsi="Verdana"/>
          <w:sz w:val="20"/>
          <w:szCs w:val="20"/>
          <w:lang w:val="en" w:eastAsia="en-GB"/>
        </w:rPr>
        <w:t xml:space="preserve">risk </w:t>
      </w:r>
      <w:r w:rsidR="00445986" w:rsidRPr="0099334A">
        <w:rPr>
          <w:rFonts w:ascii="Verdana" w:hAnsi="Verdana"/>
          <w:sz w:val="20"/>
          <w:szCs w:val="20"/>
          <w:lang w:val="en" w:eastAsia="en-GB"/>
        </w:rPr>
        <w:t>management</w:t>
      </w:r>
      <w:r w:rsidR="009B755F" w:rsidRPr="0099334A">
        <w:rPr>
          <w:rFonts w:ascii="Verdana" w:hAnsi="Verdana"/>
          <w:sz w:val="20"/>
          <w:szCs w:val="20"/>
          <w:lang w:val="en" w:eastAsia="en-GB"/>
        </w:rPr>
        <w:t>, aimed to prevent loss of funds and project failures</w:t>
      </w:r>
      <w:r w:rsidR="00445986" w:rsidRPr="0099334A">
        <w:rPr>
          <w:rFonts w:ascii="Verdana" w:hAnsi="Verdana"/>
          <w:sz w:val="20"/>
          <w:szCs w:val="20"/>
          <w:lang w:val="en" w:eastAsia="en-GB"/>
        </w:rPr>
        <w:t>. All measures within the competence of the MA and the beneficiaries have been taken, including legislative amendments to facilitate administrative procedures for the settlement of ownership</w:t>
      </w:r>
      <w:r w:rsidR="0099334A" w:rsidRPr="0099334A">
        <w:rPr>
          <w:rFonts w:ascii="Verdana" w:hAnsi="Verdana"/>
          <w:sz w:val="20"/>
          <w:szCs w:val="20"/>
          <w:lang w:val="en" w:eastAsia="en-GB"/>
        </w:rPr>
        <w:t xml:space="preserve"> of construction objects</w:t>
      </w:r>
      <w:r w:rsidR="00445986" w:rsidRPr="0099334A">
        <w:rPr>
          <w:rFonts w:ascii="Verdana" w:hAnsi="Verdana"/>
          <w:sz w:val="20"/>
          <w:szCs w:val="20"/>
          <w:lang w:val="en" w:eastAsia="en-GB"/>
        </w:rPr>
        <w:t>. As a result of the</w:t>
      </w:r>
      <w:r w:rsidR="0099334A" w:rsidRPr="0099334A">
        <w:rPr>
          <w:rFonts w:ascii="Verdana" w:hAnsi="Verdana"/>
          <w:sz w:val="20"/>
          <w:szCs w:val="20"/>
          <w:lang w:val="en" w:eastAsia="en-GB"/>
        </w:rPr>
        <w:t>se</w:t>
      </w:r>
      <w:r w:rsidR="00445986" w:rsidRPr="0099334A">
        <w:rPr>
          <w:rFonts w:ascii="Verdana" w:hAnsi="Verdana"/>
          <w:sz w:val="20"/>
          <w:szCs w:val="20"/>
          <w:lang w:val="en" w:eastAsia="en-GB"/>
        </w:rPr>
        <w:t xml:space="preserve"> efforts, the programme ha</w:t>
      </w:r>
      <w:r w:rsidR="0099334A" w:rsidRPr="0099334A">
        <w:rPr>
          <w:rFonts w:ascii="Verdana" w:hAnsi="Verdana"/>
          <w:sz w:val="20"/>
          <w:szCs w:val="20"/>
          <w:lang w:val="en" w:eastAsia="en-GB"/>
        </w:rPr>
        <w:t>s reported</w:t>
      </w:r>
      <w:r w:rsidR="00445986" w:rsidRPr="0099334A">
        <w:rPr>
          <w:rFonts w:ascii="Verdana" w:hAnsi="Verdana"/>
          <w:sz w:val="20"/>
          <w:szCs w:val="20"/>
          <w:lang w:val="en" w:eastAsia="en-GB"/>
        </w:rPr>
        <w:t xml:space="preserve"> excellent </w:t>
      </w:r>
      <w:r w:rsidR="0099334A">
        <w:rPr>
          <w:rFonts w:ascii="Verdana" w:hAnsi="Verdana"/>
          <w:sz w:val="20"/>
          <w:szCs w:val="20"/>
          <w:lang w:val="en" w:eastAsia="en-GB"/>
        </w:rPr>
        <w:t>levels of</w:t>
      </w:r>
      <w:r w:rsidR="00445986" w:rsidRPr="0099334A">
        <w:rPr>
          <w:rFonts w:ascii="Verdana" w:hAnsi="Verdana"/>
          <w:sz w:val="20"/>
          <w:szCs w:val="20"/>
          <w:lang w:val="en" w:eastAsia="en-GB"/>
        </w:rPr>
        <w:t xml:space="preserve"> implementation.</w:t>
      </w:r>
    </w:p>
    <w:bookmarkEnd w:id="12"/>
    <w:p w14:paraId="41A795F2" w14:textId="77777777" w:rsidR="00293A33" w:rsidRPr="00F50700" w:rsidRDefault="00293A33" w:rsidP="00224A55">
      <w:pPr>
        <w:spacing w:before="120" w:line="240" w:lineRule="auto"/>
        <w:jc w:val="both"/>
        <w:rPr>
          <w:rFonts w:ascii="Verdana" w:hAnsi="Verdana" w:cs="Times New Roman"/>
          <w:sz w:val="20"/>
          <w:szCs w:val="20"/>
          <w:lang w:val="bg-BG"/>
        </w:rPr>
      </w:pPr>
    </w:p>
    <w:p w14:paraId="23552075" w14:textId="115F1340" w:rsidR="00B22878" w:rsidRPr="00B40B9E" w:rsidRDefault="00B22878" w:rsidP="00B40B9E">
      <w:pPr>
        <w:pStyle w:val="Heading1"/>
        <w:numPr>
          <w:ilvl w:val="0"/>
          <w:numId w:val="58"/>
        </w:numPr>
        <w:ind w:left="426" w:hanging="426"/>
        <w:rPr>
          <w:rFonts w:ascii="Verdana" w:eastAsia="Calibri" w:hAnsi="Verdana"/>
          <w:b/>
          <w:bCs/>
          <w:sz w:val="22"/>
          <w:szCs w:val="22"/>
          <w:lang w:val="bg-BG"/>
        </w:rPr>
      </w:pPr>
      <w:bookmarkStart w:id="15" w:name="_Toc62724391"/>
      <w:r w:rsidRPr="00B40B9E">
        <w:rPr>
          <w:rFonts w:ascii="Verdana" w:hAnsi="Verdana"/>
          <w:b/>
          <w:bCs/>
          <w:sz w:val="22"/>
          <w:szCs w:val="22"/>
          <w:lang w:val="en"/>
        </w:rPr>
        <w:t>METHODOLOGICAL APPROACH</w:t>
      </w:r>
      <w:bookmarkEnd w:id="15"/>
    </w:p>
    <w:p w14:paraId="1EB8633C" w14:textId="77777777" w:rsidR="00185B74" w:rsidRPr="00F50700" w:rsidRDefault="00185B74" w:rsidP="006E2FC7">
      <w:pPr>
        <w:spacing w:before="120" w:after="120" w:line="240" w:lineRule="auto"/>
        <w:jc w:val="both"/>
        <w:rPr>
          <w:rFonts w:ascii="Verdana" w:hAnsi="Verdana" w:cs="Times New Roman"/>
          <w:sz w:val="20"/>
          <w:szCs w:val="20"/>
          <w:lang w:val="bg-BG"/>
        </w:rPr>
      </w:pPr>
    </w:p>
    <w:p w14:paraId="027873DF" w14:textId="77777777" w:rsidR="00B76FE0" w:rsidRPr="00B76FE0" w:rsidRDefault="00B76FE0" w:rsidP="00B76FE0">
      <w:pPr>
        <w:jc w:val="both"/>
        <w:rPr>
          <w:rFonts w:ascii="Verdana" w:eastAsia="Calibri" w:hAnsi="Verdana" w:cs="Helvetica"/>
          <w:sz w:val="20"/>
          <w:szCs w:val="20"/>
          <w:lang w:val="bg-BG"/>
        </w:rPr>
      </w:pPr>
      <w:r w:rsidRPr="00B76FE0">
        <w:rPr>
          <w:rFonts w:ascii="Verdana" w:hAnsi="Verdana"/>
          <w:sz w:val="20"/>
          <w:szCs w:val="20"/>
          <w:lang w:val="en"/>
        </w:rPr>
        <w:t>The methodological approach and analytical methods used to carry out this evaluation are in line with international good practices and the European Commission Guidelines for the Assessment of Socio-Economic Development</w:t>
      </w:r>
      <w:r w:rsidRPr="00B76FE0">
        <w:rPr>
          <w:rFonts w:ascii="Verdana" w:hAnsi="Verdana"/>
          <w:i/>
          <w:iCs/>
          <w:color w:val="000000"/>
          <w:sz w:val="20"/>
          <w:szCs w:val="20"/>
          <w:lang w:val="en"/>
        </w:rPr>
        <w:t xml:space="preserve"> - EVALSED</w:t>
      </w:r>
      <w:r w:rsidRPr="00B76FE0">
        <w:rPr>
          <w:rFonts w:ascii="Verdana" w:hAnsi="Verdana"/>
          <w:i/>
          <w:iCs/>
          <w:color w:val="000000"/>
          <w:sz w:val="20"/>
          <w:szCs w:val="20"/>
          <w:vertAlign w:val="superscript"/>
          <w:lang w:val="en"/>
        </w:rPr>
        <w:footnoteReference w:id="1"/>
      </w:r>
      <w:r w:rsidRPr="00B76FE0">
        <w:rPr>
          <w:rFonts w:ascii="Verdana" w:hAnsi="Verdana"/>
          <w:i/>
          <w:iCs/>
          <w:color w:val="000000"/>
          <w:sz w:val="20"/>
          <w:szCs w:val="20"/>
          <w:lang w:val="en"/>
        </w:rPr>
        <w:t>,</w:t>
      </w:r>
      <w:r w:rsidRPr="00B76FE0">
        <w:rPr>
          <w:rFonts w:ascii="Verdana" w:hAnsi="Verdana"/>
          <w:color w:val="000000"/>
          <w:sz w:val="20"/>
          <w:szCs w:val="20"/>
          <w:lang w:val="en"/>
        </w:rPr>
        <w:t xml:space="preserve"> </w:t>
      </w:r>
      <w:r w:rsidRPr="00B76FE0">
        <w:rPr>
          <w:rFonts w:ascii="Verdana" w:hAnsi="Verdana"/>
          <w:sz w:val="20"/>
          <w:lang w:val="en"/>
        </w:rPr>
        <w:t xml:space="preserve">which currently represent </w:t>
      </w:r>
      <w:r w:rsidRPr="00B76FE0">
        <w:rPr>
          <w:rFonts w:ascii="Verdana" w:hAnsi="Verdana"/>
          <w:color w:val="000000"/>
          <w:sz w:val="20"/>
          <w:szCs w:val="20"/>
          <w:lang w:val="en"/>
        </w:rPr>
        <w:t xml:space="preserve">well-established </w:t>
      </w:r>
      <w:r w:rsidRPr="00B76FE0">
        <w:rPr>
          <w:rFonts w:ascii="Verdana" w:hAnsi="Verdana"/>
          <w:sz w:val="20"/>
          <w:lang w:val="en"/>
        </w:rPr>
        <w:t xml:space="preserve">approach and standards in the policy evaluations in the </w:t>
      </w:r>
      <w:r w:rsidRPr="00B76FE0">
        <w:rPr>
          <w:rFonts w:ascii="Verdana" w:hAnsi="Verdana"/>
          <w:sz w:val="20"/>
          <w:szCs w:val="20"/>
          <w:lang w:val="en"/>
        </w:rPr>
        <w:t>EU.</w:t>
      </w:r>
    </w:p>
    <w:p w14:paraId="6201ECC1" w14:textId="77777777" w:rsidR="00B76FE0" w:rsidRPr="00B76FE0" w:rsidRDefault="00B76FE0" w:rsidP="00B76FE0">
      <w:pPr>
        <w:jc w:val="both"/>
        <w:rPr>
          <w:rFonts w:ascii="Verdana" w:eastAsia="Calibri" w:hAnsi="Verdana" w:cs="Helvetica"/>
          <w:sz w:val="20"/>
          <w:szCs w:val="20"/>
          <w:lang w:val="en-US"/>
        </w:rPr>
      </w:pPr>
      <w:r w:rsidRPr="00B76FE0">
        <w:rPr>
          <w:rFonts w:ascii="Verdana" w:eastAsia="Calibri" w:hAnsi="Verdana" w:cs="Helvetica"/>
          <w:sz w:val="20"/>
          <w:szCs w:val="20"/>
          <w:lang w:val="en-US"/>
        </w:rPr>
        <w:t>The structure of the evaluation fully follows the covered topics and the methodology applied to each evaluation question is presented in the table below. The visualization of the evaluation results has been achieved through tables, dynamic graphs and infographics.</w:t>
      </w:r>
    </w:p>
    <w:p w14:paraId="5586D5DB" w14:textId="1B55C2C6" w:rsidR="000F2668" w:rsidRPr="00E03DCD" w:rsidRDefault="000F2668" w:rsidP="000F2668">
      <w:pPr>
        <w:pStyle w:val="Caption"/>
        <w:keepNext/>
        <w:rPr>
          <w:rFonts w:ascii="Verdana" w:hAnsi="Verdana"/>
          <w:b/>
          <w:bCs/>
          <w:sz w:val="20"/>
          <w:szCs w:val="20"/>
        </w:rPr>
      </w:pPr>
      <w:bookmarkStart w:id="16" w:name="_Toc62724728"/>
      <w:r w:rsidRPr="00E03DCD">
        <w:rPr>
          <w:rFonts w:ascii="Verdana" w:hAnsi="Verdana"/>
          <w:b/>
          <w:bCs/>
          <w:sz w:val="20"/>
          <w:szCs w:val="20"/>
        </w:rPr>
        <w:t xml:space="preserve">Table </w:t>
      </w:r>
      <w:r w:rsidR="002A60EF">
        <w:rPr>
          <w:rFonts w:ascii="Verdana" w:hAnsi="Verdana"/>
          <w:b/>
          <w:bCs/>
          <w:sz w:val="20"/>
          <w:szCs w:val="20"/>
        </w:rPr>
        <w:fldChar w:fldCharType="begin"/>
      </w:r>
      <w:r w:rsidR="002A60EF">
        <w:rPr>
          <w:rFonts w:ascii="Verdana" w:hAnsi="Verdana"/>
          <w:b/>
          <w:bCs/>
          <w:sz w:val="20"/>
          <w:szCs w:val="20"/>
        </w:rPr>
        <w:instrText xml:space="preserve"> STYLEREF 1 \s </w:instrText>
      </w:r>
      <w:r w:rsidR="002A60EF">
        <w:rPr>
          <w:rFonts w:ascii="Verdana" w:hAnsi="Verdana"/>
          <w:b/>
          <w:bCs/>
          <w:sz w:val="20"/>
          <w:szCs w:val="20"/>
        </w:rPr>
        <w:fldChar w:fldCharType="separate"/>
      </w:r>
      <w:r w:rsidR="002A60EF">
        <w:rPr>
          <w:rFonts w:ascii="Verdana" w:hAnsi="Verdana"/>
          <w:b/>
          <w:bCs/>
          <w:noProof/>
          <w:sz w:val="20"/>
          <w:szCs w:val="20"/>
        </w:rPr>
        <w:t>II</w:t>
      </w:r>
      <w:r w:rsidR="002A60EF">
        <w:rPr>
          <w:rFonts w:ascii="Verdana" w:hAnsi="Verdana"/>
          <w:b/>
          <w:bCs/>
          <w:sz w:val="20"/>
          <w:szCs w:val="20"/>
        </w:rPr>
        <w:fldChar w:fldCharType="end"/>
      </w:r>
      <w:r w:rsidR="002A60EF">
        <w:rPr>
          <w:rFonts w:ascii="Verdana" w:hAnsi="Verdana"/>
          <w:b/>
          <w:bCs/>
          <w:sz w:val="20"/>
          <w:szCs w:val="20"/>
        </w:rPr>
        <w:noBreakHyphen/>
      </w:r>
      <w:r w:rsidR="002A60EF">
        <w:rPr>
          <w:rFonts w:ascii="Verdana" w:hAnsi="Verdana"/>
          <w:b/>
          <w:bCs/>
          <w:sz w:val="20"/>
          <w:szCs w:val="20"/>
        </w:rPr>
        <w:fldChar w:fldCharType="begin"/>
      </w:r>
      <w:r w:rsidR="002A60EF">
        <w:rPr>
          <w:rFonts w:ascii="Verdana" w:hAnsi="Verdana"/>
          <w:b/>
          <w:bCs/>
          <w:sz w:val="20"/>
          <w:szCs w:val="20"/>
        </w:rPr>
        <w:instrText xml:space="preserve"> SEQ Table \* ARABIC \s 1 </w:instrText>
      </w:r>
      <w:r w:rsidR="002A60EF">
        <w:rPr>
          <w:rFonts w:ascii="Verdana" w:hAnsi="Verdana"/>
          <w:b/>
          <w:bCs/>
          <w:sz w:val="20"/>
          <w:szCs w:val="20"/>
        </w:rPr>
        <w:fldChar w:fldCharType="separate"/>
      </w:r>
      <w:r w:rsidR="002A60EF">
        <w:rPr>
          <w:rFonts w:ascii="Verdana" w:hAnsi="Verdana"/>
          <w:b/>
          <w:bCs/>
          <w:noProof/>
          <w:sz w:val="20"/>
          <w:szCs w:val="20"/>
        </w:rPr>
        <w:t>1</w:t>
      </w:r>
      <w:r w:rsidR="002A60EF">
        <w:rPr>
          <w:rFonts w:ascii="Verdana" w:hAnsi="Verdana"/>
          <w:b/>
          <w:bCs/>
          <w:sz w:val="20"/>
          <w:szCs w:val="20"/>
        </w:rPr>
        <w:fldChar w:fldCharType="end"/>
      </w:r>
      <w:r w:rsidRPr="00E03DCD">
        <w:rPr>
          <w:rFonts w:ascii="Verdana" w:hAnsi="Verdana"/>
          <w:b/>
          <w:bCs/>
          <w:sz w:val="20"/>
          <w:szCs w:val="20"/>
        </w:rPr>
        <w:t>: Evaluation methodology</w:t>
      </w:r>
      <w:bookmarkEnd w:id="16"/>
    </w:p>
    <w:tbl>
      <w:tblPr>
        <w:tblStyle w:val="TableGrid1"/>
        <w:tblW w:w="5000" w:type="pct"/>
        <w:jc w:val="center"/>
        <w:tblBorders>
          <w:top w:val="double" w:sz="4" w:space="0" w:color="6A84BE"/>
          <w:left w:val="double" w:sz="4" w:space="0" w:color="6A84BE"/>
          <w:bottom w:val="double" w:sz="4" w:space="0" w:color="6A84BE"/>
          <w:right w:val="double" w:sz="4" w:space="0" w:color="6A84BE"/>
          <w:insideH w:val="single" w:sz="6" w:space="0" w:color="6A84BE"/>
          <w:insideV w:val="single" w:sz="6" w:space="0" w:color="6A84BE"/>
        </w:tblBorders>
        <w:tblLook w:val="00A0" w:firstRow="1" w:lastRow="0" w:firstColumn="1" w:lastColumn="0" w:noHBand="0" w:noVBand="0"/>
      </w:tblPr>
      <w:tblGrid>
        <w:gridCol w:w="2407"/>
        <w:gridCol w:w="6647"/>
      </w:tblGrid>
      <w:tr w:rsidR="00B76FE0" w:rsidRPr="00B76FE0" w14:paraId="4EBB6BD8" w14:textId="77777777" w:rsidTr="00AC2E19">
        <w:trPr>
          <w:trHeight w:val="146"/>
          <w:tblHeader/>
          <w:jc w:val="center"/>
        </w:trPr>
        <w:tc>
          <w:tcPr>
            <w:tcW w:w="1329" w:type="pct"/>
            <w:shd w:val="clear" w:color="auto" w:fill="374C80" w:themeFill="accent1" w:themeFillShade="BF"/>
          </w:tcPr>
          <w:p w14:paraId="21B03B6B" w14:textId="77777777" w:rsidR="00B76FE0" w:rsidRPr="00B76FE0" w:rsidRDefault="00B76FE0" w:rsidP="00B76FE0">
            <w:pPr>
              <w:jc w:val="both"/>
              <w:rPr>
                <w:rFonts w:ascii="Verdana" w:eastAsia="Calibri" w:hAnsi="Verdana" w:cs="Calibri"/>
                <w:b/>
                <w:bCs/>
                <w:color w:val="FFFFFF" w:themeColor="background1"/>
                <w:sz w:val="18"/>
                <w:szCs w:val="18"/>
              </w:rPr>
            </w:pPr>
            <w:r w:rsidRPr="00B76FE0">
              <w:rPr>
                <w:rFonts w:ascii="Verdana" w:hAnsi="Verdana"/>
                <w:b/>
                <w:bCs/>
                <w:color w:val="FFFFFF" w:themeColor="background1"/>
                <w:sz w:val="18"/>
                <w:szCs w:val="18"/>
                <w:lang w:val="en"/>
              </w:rPr>
              <w:t>Evaluation question</w:t>
            </w:r>
          </w:p>
        </w:tc>
        <w:tc>
          <w:tcPr>
            <w:tcW w:w="3671" w:type="pct"/>
            <w:shd w:val="clear" w:color="auto" w:fill="374C80" w:themeFill="accent1" w:themeFillShade="BF"/>
          </w:tcPr>
          <w:p w14:paraId="00E43B16" w14:textId="77777777" w:rsidR="00B76FE0" w:rsidRPr="00B76FE0" w:rsidRDefault="00B76FE0" w:rsidP="00B76FE0">
            <w:pPr>
              <w:jc w:val="both"/>
              <w:rPr>
                <w:rFonts w:ascii="Verdana" w:eastAsia="Calibri" w:hAnsi="Verdana" w:cs="Calibri"/>
                <w:b/>
                <w:bCs/>
                <w:color w:val="FFFFFF" w:themeColor="background1"/>
                <w:sz w:val="18"/>
                <w:szCs w:val="18"/>
              </w:rPr>
            </w:pPr>
            <w:r w:rsidRPr="00B76FE0">
              <w:rPr>
                <w:rFonts w:ascii="Verdana" w:hAnsi="Verdana"/>
                <w:b/>
                <w:bCs/>
                <w:color w:val="FFFFFF" w:themeColor="background1"/>
                <w:sz w:val="18"/>
                <w:szCs w:val="18"/>
                <w:lang w:val="en"/>
              </w:rPr>
              <w:t>Methods</w:t>
            </w:r>
          </w:p>
        </w:tc>
      </w:tr>
      <w:tr w:rsidR="00B76FE0" w:rsidRPr="00B76FE0" w14:paraId="72BDAB55" w14:textId="77777777" w:rsidTr="00AC2E19">
        <w:trPr>
          <w:trHeight w:val="146"/>
          <w:jc w:val="center"/>
        </w:trPr>
        <w:tc>
          <w:tcPr>
            <w:tcW w:w="1329" w:type="pct"/>
            <w:shd w:val="clear" w:color="auto" w:fill="D9DFEF" w:themeFill="accent1" w:themeFillTint="33"/>
          </w:tcPr>
          <w:p w14:paraId="072527CC" w14:textId="77777777" w:rsidR="00B76FE0" w:rsidRPr="00B76FE0" w:rsidRDefault="00B76FE0" w:rsidP="00B76FE0">
            <w:pPr>
              <w:tabs>
                <w:tab w:val="left" w:pos="409"/>
                <w:tab w:val="left" w:pos="491"/>
              </w:tabs>
              <w:jc w:val="both"/>
              <w:rPr>
                <w:rFonts w:ascii="Verdana" w:eastAsia="Times New Roman" w:hAnsi="Verdana" w:cs="Times New Roman"/>
                <w:i/>
                <w:iCs/>
                <w:sz w:val="20"/>
                <w:szCs w:val="20"/>
                <w:highlight w:val="yellow"/>
                <w:lang w:eastAsia="en-GB"/>
              </w:rPr>
            </w:pPr>
            <w:r w:rsidRPr="00B76FE0">
              <w:rPr>
                <w:rFonts w:ascii="Verdana" w:hAnsi="Verdana"/>
                <w:color w:val="000000"/>
                <w:sz w:val="18"/>
                <w:szCs w:val="18"/>
                <w:lang w:val="en"/>
              </w:rPr>
              <w:t xml:space="preserve">1. </w:t>
            </w:r>
            <w:r w:rsidRPr="00B76FE0">
              <w:rPr>
                <w:rFonts w:ascii="Verdana" w:hAnsi="Verdana"/>
                <w:b/>
                <w:bCs/>
                <w:color w:val="000000"/>
                <w:sz w:val="18"/>
                <w:szCs w:val="18"/>
                <w:lang w:val="en"/>
              </w:rPr>
              <w:t>Is there a difference with the intervention? How have investments led to change?</w:t>
            </w:r>
          </w:p>
          <w:p w14:paraId="37747262" w14:textId="77777777" w:rsidR="00B76FE0" w:rsidRPr="00B76FE0" w:rsidRDefault="00B76FE0" w:rsidP="00B76FE0">
            <w:pPr>
              <w:tabs>
                <w:tab w:val="left" w:pos="409"/>
                <w:tab w:val="left" w:pos="491"/>
              </w:tabs>
              <w:jc w:val="both"/>
              <w:rPr>
                <w:rFonts w:ascii="Verdana" w:eastAsia="Times New Roman" w:hAnsi="Verdana" w:cs="Times New Roman"/>
                <w:i/>
                <w:iCs/>
                <w:sz w:val="20"/>
                <w:szCs w:val="20"/>
                <w:lang w:eastAsia="en-GB"/>
              </w:rPr>
            </w:pPr>
          </w:p>
          <w:p w14:paraId="0954F910" w14:textId="77777777" w:rsidR="00B76FE0" w:rsidRPr="00B76FE0" w:rsidRDefault="00B76FE0" w:rsidP="00B76FE0">
            <w:pPr>
              <w:jc w:val="both"/>
              <w:rPr>
                <w:rFonts w:ascii="Verdana" w:eastAsia="Calibri" w:hAnsi="Verdana" w:cs="Calibri"/>
                <w:b/>
                <w:bCs/>
                <w:color w:val="000000"/>
                <w:sz w:val="18"/>
                <w:szCs w:val="18"/>
              </w:rPr>
            </w:pPr>
          </w:p>
          <w:p w14:paraId="1BE39E07" w14:textId="77777777" w:rsidR="00B76FE0" w:rsidRPr="00B76FE0" w:rsidRDefault="00B76FE0" w:rsidP="00B76FE0">
            <w:pPr>
              <w:jc w:val="both"/>
              <w:rPr>
                <w:rFonts w:ascii="Verdana" w:eastAsia="Calibri" w:hAnsi="Verdana" w:cs="Calibri"/>
                <w:color w:val="000000"/>
                <w:sz w:val="18"/>
                <w:szCs w:val="18"/>
              </w:rPr>
            </w:pPr>
            <w:r w:rsidRPr="00B76FE0">
              <w:rPr>
                <w:rFonts w:ascii="Verdana" w:eastAsia="Calibri" w:hAnsi="Verdana" w:cs="Calibri"/>
                <w:color w:val="000000"/>
                <w:sz w:val="18"/>
                <w:szCs w:val="18"/>
              </w:rPr>
              <w:t xml:space="preserve"> </w:t>
            </w:r>
          </w:p>
          <w:p w14:paraId="06322366" w14:textId="77777777" w:rsidR="00B76FE0" w:rsidRPr="00B76FE0" w:rsidRDefault="00B76FE0" w:rsidP="00B76FE0">
            <w:pPr>
              <w:jc w:val="both"/>
              <w:rPr>
                <w:rFonts w:ascii="Verdana" w:eastAsia="Calibri" w:hAnsi="Verdana" w:cs="Calibri"/>
                <w:color w:val="000000"/>
                <w:sz w:val="18"/>
                <w:szCs w:val="18"/>
              </w:rPr>
            </w:pPr>
          </w:p>
        </w:tc>
        <w:tc>
          <w:tcPr>
            <w:tcW w:w="3671" w:type="pct"/>
          </w:tcPr>
          <w:p w14:paraId="4C84C404" w14:textId="77777777" w:rsidR="00B76FE0" w:rsidRPr="00B76FE0" w:rsidRDefault="00B76FE0" w:rsidP="00B76FE0">
            <w:pPr>
              <w:jc w:val="both"/>
              <w:rPr>
                <w:rFonts w:ascii="Verdana" w:eastAsia="Calibri" w:hAnsi="Verdana" w:cs="Calibri"/>
                <w:b/>
                <w:bCs/>
                <w:sz w:val="18"/>
                <w:szCs w:val="18"/>
              </w:rPr>
            </w:pPr>
            <w:r w:rsidRPr="00B76FE0">
              <w:rPr>
                <w:rFonts w:ascii="Verdana" w:hAnsi="Verdana"/>
                <w:b/>
                <w:bCs/>
                <w:sz w:val="18"/>
                <w:szCs w:val="18"/>
                <w:lang w:val="en"/>
              </w:rPr>
              <w:t>Collection and processing of information and data</w:t>
            </w:r>
          </w:p>
          <w:p w14:paraId="1C609DA1" w14:textId="77777777" w:rsidR="00B76FE0" w:rsidRPr="00B76FE0" w:rsidRDefault="00B76FE0" w:rsidP="00B76FE0">
            <w:pPr>
              <w:jc w:val="both"/>
              <w:rPr>
                <w:rFonts w:ascii="Verdana" w:eastAsia="Calibri" w:hAnsi="Verdana" w:cs="Calibri"/>
                <w:b/>
                <w:bCs/>
                <w:sz w:val="18"/>
                <w:szCs w:val="18"/>
              </w:rPr>
            </w:pPr>
            <w:r w:rsidRPr="00B76FE0">
              <w:rPr>
                <w:rFonts w:ascii="Verdana" w:hAnsi="Verdana"/>
                <w:b/>
                <w:bCs/>
                <w:sz w:val="18"/>
                <w:szCs w:val="18"/>
                <w:lang w:val="en"/>
              </w:rPr>
              <w:t>Desk research</w:t>
            </w:r>
          </w:p>
          <w:p w14:paraId="418BEA9A" w14:textId="77777777" w:rsidR="00B76FE0" w:rsidRPr="00B76FE0" w:rsidRDefault="00B76FE0" w:rsidP="00B76FE0">
            <w:pPr>
              <w:numPr>
                <w:ilvl w:val="0"/>
                <w:numId w:val="48"/>
              </w:numPr>
              <w:ind w:left="655" w:hanging="327"/>
              <w:jc w:val="both"/>
              <w:rPr>
                <w:rFonts w:ascii="Verdana" w:eastAsia="Calibri" w:hAnsi="Verdana" w:cs="Calibri"/>
                <w:sz w:val="18"/>
                <w:szCs w:val="18"/>
              </w:rPr>
            </w:pPr>
            <w:r w:rsidRPr="00B76FE0">
              <w:rPr>
                <w:rFonts w:ascii="Verdana" w:hAnsi="Verdana"/>
                <w:sz w:val="18"/>
                <w:szCs w:val="18"/>
                <w:lang w:val="en"/>
              </w:rPr>
              <w:t>Review of OPT and its modifications,</w:t>
            </w:r>
            <w:r w:rsidRPr="00B76FE0">
              <w:rPr>
                <w:rFonts w:ascii="Verdana" w:hAnsi="Verdana"/>
                <w:sz w:val="18"/>
                <w:szCs w:val="18"/>
              </w:rPr>
              <w:t xml:space="preserve"> </w:t>
            </w:r>
            <w:r w:rsidRPr="00B76FE0">
              <w:rPr>
                <w:rFonts w:ascii="Verdana" w:hAnsi="Verdana"/>
                <w:sz w:val="18"/>
                <w:szCs w:val="18"/>
                <w:lang w:val="en-US"/>
              </w:rPr>
              <w:t>including</w:t>
            </w:r>
            <w:r w:rsidRPr="00B76FE0">
              <w:rPr>
                <w:rFonts w:ascii="Verdana" w:hAnsi="Verdana"/>
                <w:sz w:val="18"/>
                <w:szCs w:val="18"/>
                <w:lang w:val="en"/>
              </w:rPr>
              <w:t xml:space="preserve"> achieved values of product and result indicators at priority axis and programme level.</w:t>
            </w:r>
          </w:p>
          <w:p w14:paraId="2FB3E9DE" w14:textId="7B84B5A2" w:rsidR="00B76FE0" w:rsidRPr="00B76FE0" w:rsidRDefault="00B76FE0" w:rsidP="00B76FE0">
            <w:pPr>
              <w:numPr>
                <w:ilvl w:val="0"/>
                <w:numId w:val="48"/>
              </w:numPr>
              <w:ind w:left="655" w:hanging="327"/>
              <w:jc w:val="both"/>
              <w:rPr>
                <w:rFonts w:ascii="Verdana" w:eastAsia="Calibri" w:hAnsi="Verdana" w:cs="Calibri"/>
                <w:sz w:val="18"/>
                <w:szCs w:val="18"/>
              </w:rPr>
            </w:pPr>
            <w:r w:rsidRPr="00B76FE0">
              <w:rPr>
                <w:rFonts w:ascii="Verdana" w:hAnsi="Verdana"/>
                <w:sz w:val="18"/>
                <w:szCs w:val="18"/>
                <w:lang w:val="en"/>
              </w:rPr>
              <w:t xml:space="preserve">Review of the mid-term evaluation of OPT, in particular evaluation of progress – key implementation indicators and key result indicators at priority axis and programme level, as well as defined limitations and forecasts for </w:t>
            </w:r>
            <w:r w:rsidR="005150DD" w:rsidRPr="00B76FE0">
              <w:rPr>
                <w:rFonts w:ascii="Verdana" w:hAnsi="Verdana"/>
                <w:sz w:val="18"/>
                <w:szCs w:val="18"/>
                <w:lang w:val="en"/>
              </w:rPr>
              <w:t>acceleration</w:t>
            </w:r>
            <w:r w:rsidRPr="00B76FE0">
              <w:rPr>
                <w:rFonts w:ascii="Verdana" w:hAnsi="Verdana"/>
                <w:sz w:val="18"/>
                <w:szCs w:val="18"/>
                <w:lang w:val="en"/>
              </w:rPr>
              <w:t xml:space="preserve"> of implementation.</w:t>
            </w:r>
          </w:p>
          <w:p w14:paraId="241FADE9" w14:textId="77777777" w:rsidR="00B76FE0" w:rsidRPr="00B76FE0" w:rsidRDefault="00B76FE0" w:rsidP="00B76FE0">
            <w:pPr>
              <w:numPr>
                <w:ilvl w:val="0"/>
                <w:numId w:val="48"/>
              </w:numPr>
              <w:ind w:left="655" w:hanging="327"/>
              <w:jc w:val="both"/>
              <w:rPr>
                <w:rFonts w:ascii="Verdana" w:eastAsia="Calibri" w:hAnsi="Verdana" w:cs="Calibri"/>
                <w:sz w:val="18"/>
                <w:szCs w:val="18"/>
              </w:rPr>
            </w:pPr>
            <w:r w:rsidRPr="00B76FE0">
              <w:rPr>
                <w:rFonts w:ascii="Verdana" w:hAnsi="Verdana"/>
                <w:sz w:val="18"/>
                <w:szCs w:val="18"/>
                <w:lang w:val="en"/>
              </w:rPr>
              <w:t>Review of the Programme Final Report – review and analysis of achieved values of core indicators (and key result indicators, main indicators (where applicable), as well and achieved values at project level.</w:t>
            </w:r>
          </w:p>
          <w:p w14:paraId="6E5F8953" w14:textId="77777777" w:rsidR="00B76FE0" w:rsidRPr="00B76FE0" w:rsidRDefault="00B76FE0" w:rsidP="00B76FE0">
            <w:pPr>
              <w:numPr>
                <w:ilvl w:val="0"/>
                <w:numId w:val="48"/>
              </w:numPr>
              <w:ind w:left="655" w:hanging="327"/>
              <w:jc w:val="both"/>
              <w:rPr>
                <w:rFonts w:ascii="Verdana" w:eastAsia="Calibri" w:hAnsi="Verdana" w:cs="Calibri"/>
                <w:sz w:val="18"/>
                <w:szCs w:val="18"/>
              </w:rPr>
            </w:pPr>
            <w:r w:rsidRPr="00B76FE0">
              <w:rPr>
                <w:rFonts w:ascii="Verdana" w:hAnsi="Verdana"/>
                <w:sz w:val="18"/>
                <w:szCs w:val="18"/>
                <w:lang w:val="en"/>
              </w:rPr>
              <w:t>Review of achieved values of indicators for the period 2015-2019 at project level through data</w:t>
            </w:r>
            <w:r w:rsidRPr="00B76FE0">
              <w:rPr>
                <w:rFonts w:ascii="Verdana" w:hAnsi="Verdana"/>
                <w:sz w:val="18"/>
                <w:szCs w:val="18"/>
              </w:rPr>
              <w:t xml:space="preserve"> </w:t>
            </w:r>
            <w:r w:rsidRPr="00B76FE0">
              <w:rPr>
                <w:rFonts w:ascii="Verdana" w:hAnsi="Verdana"/>
                <w:sz w:val="18"/>
                <w:szCs w:val="18"/>
                <w:lang w:val="en-US"/>
              </w:rPr>
              <w:t>obtained from</w:t>
            </w:r>
            <w:r w:rsidRPr="00B76FE0">
              <w:rPr>
                <w:rFonts w:ascii="Verdana" w:hAnsi="Verdana"/>
                <w:sz w:val="18"/>
                <w:szCs w:val="18"/>
                <w:lang w:val="en"/>
              </w:rPr>
              <w:t xml:space="preserve"> ISMM, NSI and beneficiaries.</w:t>
            </w:r>
          </w:p>
          <w:p w14:paraId="62243281" w14:textId="77777777" w:rsidR="00B76FE0" w:rsidRPr="00B76FE0" w:rsidRDefault="00B76FE0" w:rsidP="00B76FE0">
            <w:pPr>
              <w:numPr>
                <w:ilvl w:val="0"/>
                <w:numId w:val="48"/>
              </w:numPr>
              <w:ind w:left="655" w:hanging="327"/>
              <w:jc w:val="both"/>
              <w:rPr>
                <w:rFonts w:ascii="Verdana" w:eastAsia="Calibri" w:hAnsi="Verdana" w:cs="Calibri"/>
                <w:sz w:val="18"/>
                <w:szCs w:val="18"/>
              </w:rPr>
            </w:pPr>
            <w:r w:rsidRPr="00B76FE0">
              <w:rPr>
                <w:rFonts w:ascii="Verdana" w:hAnsi="Verdana"/>
                <w:sz w:val="18"/>
                <w:szCs w:val="18"/>
                <w:lang w:val="en"/>
              </w:rPr>
              <w:t>Review of achieved values of product and result indicators at priority axis and programme level based on ISMM data.</w:t>
            </w:r>
          </w:p>
          <w:p w14:paraId="21B27AB9" w14:textId="77777777" w:rsidR="00B76FE0" w:rsidRPr="00B76FE0" w:rsidRDefault="00B76FE0" w:rsidP="00B76FE0">
            <w:pPr>
              <w:numPr>
                <w:ilvl w:val="0"/>
                <w:numId w:val="48"/>
              </w:numPr>
              <w:ind w:left="655" w:hanging="327"/>
              <w:jc w:val="both"/>
              <w:rPr>
                <w:rFonts w:ascii="Verdana" w:eastAsia="Calibri" w:hAnsi="Verdana" w:cs="Calibri"/>
                <w:sz w:val="18"/>
                <w:szCs w:val="18"/>
              </w:rPr>
            </w:pPr>
            <w:r w:rsidRPr="00B76FE0">
              <w:rPr>
                <w:rFonts w:ascii="Verdana" w:hAnsi="Verdana"/>
                <w:sz w:val="18"/>
                <w:szCs w:val="18"/>
                <w:lang w:val="en"/>
              </w:rPr>
              <w:t>Calculation of values of indicators for 2017, 2018 and 2019 based on monitoring model.</w:t>
            </w:r>
          </w:p>
          <w:p w14:paraId="571AC859" w14:textId="77777777" w:rsidR="00B76FE0" w:rsidRPr="00B76FE0" w:rsidRDefault="00B76FE0" w:rsidP="00B76FE0">
            <w:pPr>
              <w:ind w:left="655"/>
              <w:jc w:val="both"/>
              <w:rPr>
                <w:rFonts w:ascii="Verdana" w:eastAsia="Calibri" w:hAnsi="Verdana" w:cs="Calibri"/>
                <w:sz w:val="18"/>
                <w:szCs w:val="18"/>
              </w:rPr>
            </w:pPr>
          </w:p>
          <w:p w14:paraId="3984E090" w14:textId="77777777" w:rsidR="00B76FE0" w:rsidRPr="00B76FE0" w:rsidRDefault="00B76FE0" w:rsidP="00B76FE0">
            <w:pPr>
              <w:jc w:val="both"/>
              <w:rPr>
                <w:rFonts w:ascii="Verdana" w:eastAsia="Calibri" w:hAnsi="Verdana" w:cs="Calibri"/>
                <w:b/>
                <w:bCs/>
                <w:sz w:val="18"/>
                <w:szCs w:val="18"/>
              </w:rPr>
            </w:pPr>
            <w:r w:rsidRPr="00B76FE0">
              <w:rPr>
                <w:rFonts w:ascii="Verdana" w:hAnsi="Verdana"/>
                <w:b/>
                <w:bCs/>
                <w:sz w:val="18"/>
                <w:szCs w:val="18"/>
                <w:lang w:val="en"/>
              </w:rPr>
              <w:t>Evaluation methods</w:t>
            </w:r>
          </w:p>
          <w:p w14:paraId="39A7D32C" w14:textId="77777777" w:rsidR="00B76FE0" w:rsidRPr="00B76FE0" w:rsidRDefault="00B76FE0" w:rsidP="00B76FE0">
            <w:pPr>
              <w:numPr>
                <w:ilvl w:val="0"/>
                <w:numId w:val="48"/>
              </w:numPr>
              <w:ind w:left="655" w:hanging="327"/>
              <w:jc w:val="both"/>
              <w:rPr>
                <w:rFonts w:ascii="Verdana" w:hAnsi="Verdana"/>
                <w:bCs/>
                <w:sz w:val="18"/>
                <w:szCs w:val="18"/>
                <w:lang w:val="en"/>
              </w:rPr>
            </w:pPr>
            <w:r w:rsidRPr="00B76FE0">
              <w:rPr>
                <w:rFonts w:ascii="Verdana" w:hAnsi="Verdana"/>
                <w:sz w:val="18"/>
                <w:szCs w:val="18"/>
                <w:lang w:val="en"/>
              </w:rPr>
              <w:t xml:space="preserve">Counterfactual analysis – comparative analysis of results in a scenario </w:t>
            </w:r>
            <w:r w:rsidRPr="00B76FE0">
              <w:rPr>
                <w:rFonts w:ascii="Verdana" w:hAnsi="Verdana"/>
                <w:bCs/>
                <w:sz w:val="18"/>
                <w:szCs w:val="18"/>
                <w:lang w:val="en"/>
              </w:rPr>
              <w:t>with and without a project applied to key infrastructure projects – based on SIBILA 2.0 model at project level.</w:t>
            </w:r>
          </w:p>
          <w:p w14:paraId="765D172C" w14:textId="77777777" w:rsidR="00B76FE0" w:rsidRPr="00B76FE0" w:rsidRDefault="00B76FE0" w:rsidP="00B76FE0">
            <w:pPr>
              <w:numPr>
                <w:ilvl w:val="0"/>
                <w:numId w:val="48"/>
              </w:numPr>
              <w:ind w:left="655" w:hanging="327"/>
              <w:jc w:val="both"/>
              <w:rPr>
                <w:rFonts w:ascii="Verdana" w:eastAsia="Calibri" w:hAnsi="Verdana" w:cs="Helvetica"/>
                <w:bCs/>
                <w:sz w:val="18"/>
                <w:szCs w:val="18"/>
              </w:rPr>
            </w:pPr>
            <w:r w:rsidRPr="00B76FE0">
              <w:rPr>
                <w:rFonts w:ascii="Verdana" w:hAnsi="Verdana"/>
                <w:bCs/>
                <w:sz w:val="18"/>
                <w:szCs w:val="18"/>
                <w:lang w:val="en"/>
              </w:rPr>
              <w:t>Decomposition analysis by priority axes.</w:t>
            </w:r>
          </w:p>
          <w:p w14:paraId="6C4EEB2B" w14:textId="77777777" w:rsidR="00B76FE0" w:rsidRPr="00B76FE0" w:rsidRDefault="00B76FE0" w:rsidP="00B76FE0">
            <w:pPr>
              <w:numPr>
                <w:ilvl w:val="0"/>
                <w:numId w:val="48"/>
              </w:numPr>
              <w:ind w:left="655" w:hanging="327"/>
              <w:jc w:val="both"/>
              <w:rPr>
                <w:rFonts w:ascii="Verdana" w:eastAsia="Calibri" w:hAnsi="Verdana" w:cs="Helvetica"/>
                <w:bCs/>
                <w:sz w:val="18"/>
                <w:szCs w:val="18"/>
              </w:rPr>
            </w:pPr>
            <w:r w:rsidRPr="00B76FE0">
              <w:rPr>
                <w:rFonts w:ascii="Verdana" w:hAnsi="Verdana"/>
                <w:bCs/>
                <w:sz w:val="18"/>
                <w:szCs w:val="18"/>
                <w:lang w:val="en"/>
              </w:rPr>
              <w:lastRenderedPageBreak/>
              <w:t>Additional statistical analysis – application of difference-in-differences methods.</w:t>
            </w:r>
          </w:p>
          <w:p w14:paraId="2AA0B7F3" w14:textId="77777777" w:rsidR="00B76FE0" w:rsidRPr="00B76FE0" w:rsidRDefault="00B76FE0" w:rsidP="00B76FE0">
            <w:pPr>
              <w:numPr>
                <w:ilvl w:val="0"/>
                <w:numId w:val="48"/>
              </w:numPr>
              <w:ind w:left="655" w:hanging="327"/>
              <w:jc w:val="both"/>
              <w:rPr>
                <w:rFonts w:ascii="Verdana" w:eastAsia="Calibri" w:hAnsi="Verdana" w:cs="Helvetica"/>
                <w:bCs/>
                <w:sz w:val="18"/>
                <w:szCs w:val="18"/>
              </w:rPr>
            </w:pPr>
            <w:r w:rsidRPr="00B76FE0">
              <w:rPr>
                <w:rFonts w:ascii="Verdana" w:hAnsi="Verdana"/>
                <w:bCs/>
                <w:color w:val="000000"/>
                <w:sz w:val="18"/>
                <w:szCs w:val="18"/>
                <w:lang w:val="en"/>
              </w:rPr>
              <w:t>Integration of applicable case studies and CBA</w:t>
            </w:r>
            <w:r w:rsidRPr="00B76FE0">
              <w:rPr>
                <w:rFonts w:ascii="Verdana" w:hAnsi="Verdana"/>
                <w:bCs/>
                <w:sz w:val="18"/>
                <w:szCs w:val="18"/>
                <w:lang w:val="en"/>
              </w:rPr>
              <w:t xml:space="preserve"> results on key infrastructure projects – estimate of time saved, costs saved, etc.</w:t>
            </w:r>
          </w:p>
        </w:tc>
      </w:tr>
      <w:tr w:rsidR="00B76FE0" w:rsidRPr="00B76FE0" w14:paraId="50D3020D" w14:textId="77777777" w:rsidTr="00AC2E19">
        <w:trPr>
          <w:trHeight w:val="146"/>
          <w:jc w:val="center"/>
        </w:trPr>
        <w:tc>
          <w:tcPr>
            <w:tcW w:w="1329" w:type="pct"/>
            <w:shd w:val="clear" w:color="auto" w:fill="D9DFEF" w:themeFill="accent1" w:themeFillTint="33"/>
          </w:tcPr>
          <w:p w14:paraId="7162D5B6" w14:textId="77777777" w:rsidR="00B76FE0" w:rsidRPr="00B76FE0" w:rsidRDefault="00B76FE0" w:rsidP="00B76FE0">
            <w:pPr>
              <w:jc w:val="both"/>
              <w:rPr>
                <w:rFonts w:ascii="Verdana" w:hAnsi="Verdana"/>
                <w:b/>
                <w:bCs/>
                <w:color w:val="000000"/>
                <w:sz w:val="18"/>
                <w:szCs w:val="18"/>
                <w:lang w:val="en"/>
              </w:rPr>
            </w:pPr>
            <w:r w:rsidRPr="00B76FE0">
              <w:rPr>
                <w:rFonts w:ascii="Verdana" w:hAnsi="Verdana"/>
                <w:b/>
                <w:bCs/>
                <w:color w:val="000000"/>
                <w:sz w:val="18"/>
                <w:szCs w:val="18"/>
                <w:lang w:val="en"/>
              </w:rPr>
              <w:lastRenderedPageBreak/>
              <w:t xml:space="preserve">2.What/how much is the contribution of the intervention? </w:t>
            </w:r>
            <w:hyperlink w:anchor="_Toc50292569" w:history="1">
              <w:r w:rsidRPr="00B76FE0">
                <w:rPr>
                  <w:rFonts w:ascii="Verdana" w:hAnsi="Verdana"/>
                  <w:b/>
                  <w:bCs/>
                  <w:color w:val="000000"/>
                  <w:sz w:val="18"/>
                  <w:szCs w:val="18"/>
                  <w:lang w:val="en"/>
                </w:rPr>
                <w:t>Is there added value of the intervention?</w:t>
              </w:r>
            </w:hyperlink>
          </w:p>
          <w:p w14:paraId="77AD8E71" w14:textId="77777777" w:rsidR="00B76FE0" w:rsidRPr="00B76FE0" w:rsidRDefault="00B76FE0" w:rsidP="00B76FE0">
            <w:pPr>
              <w:jc w:val="both"/>
              <w:rPr>
                <w:rFonts w:ascii="Verdana" w:eastAsia="Calibri" w:hAnsi="Verdana" w:cs="Calibri"/>
                <w:b/>
                <w:bCs/>
                <w:color w:val="000000"/>
                <w:sz w:val="18"/>
                <w:szCs w:val="18"/>
              </w:rPr>
            </w:pPr>
          </w:p>
          <w:p w14:paraId="583E7179" w14:textId="77777777" w:rsidR="00B76FE0" w:rsidRPr="00B76FE0" w:rsidRDefault="00B76FE0" w:rsidP="00B76FE0">
            <w:pPr>
              <w:jc w:val="both"/>
              <w:rPr>
                <w:rFonts w:ascii="Verdana" w:eastAsia="Calibri" w:hAnsi="Verdana" w:cs="Calibri"/>
                <w:color w:val="000000"/>
                <w:sz w:val="18"/>
                <w:szCs w:val="18"/>
              </w:rPr>
            </w:pPr>
          </w:p>
        </w:tc>
        <w:tc>
          <w:tcPr>
            <w:tcW w:w="3671" w:type="pct"/>
          </w:tcPr>
          <w:p w14:paraId="6E940280" w14:textId="77777777" w:rsidR="00B76FE0" w:rsidRPr="00B76FE0" w:rsidRDefault="00B76FE0" w:rsidP="00B76FE0">
            <w:pPr>
              <w:jc w:val="both"/>
              <w:rPr>
                <w:rFonts w:ascii="Verdana" w:eastAsia="Calibri" w:hAnsi="Verdana" w:cs="Calibri"/>
                <w:b/>
                <w:bCs/>
                <w:color w:val="000000"/>
                <w:sz w:val="18"/>
                <w:szCs w:val="18"/>
              </w:rPr>
            </w:pPr>
            <w:r w:rsidRPr="00B76FE0">
              <w:rPr>
                <w:rFonts w:ascii="Verdana" w:hAnsi="Verdana"/>
                <w:b/>
                <w:bCs/>
                <w:color w:val="000000"/>
                <w:sz w:val="18"/>
                <w:szCs w:val="18"/>
                <w:lang w:val="en"/>
              </w:rPr>
              <w:t>Collection and processing of information and data</w:t>
            </w:r>
          </w:p>
          <w:p w14:paraId="3F30D6A5" w14:textId="77777777" w:rsidR="00B76FE0" w:rsidRPr="00B76FE0" w:rsidRDefault="00B76FE0" w:rsidP="00B76FE0">
            <w:pPr>
              <w:jc w:val="both"/>
              <w:rPr>
                <w:rFonts w:ascii="Verdana" w:eastAsia="Calibri" w:hAnsi="Verdana" w:cs="Calibri"/>
                <w:b/>
                <w:bCs/>
                <w:color w:val="000000"/>
                <w:sz w:val="18"/>
                <w:szCs w:val="18"/>
              </w:rPr>
            </w:pPr>
            <w:r w:rsidRPr="00B76FE0">
              <w:rPr>
                <w:rFonts w:ascii="Verdana" w:hAnsi="Verdana"/>
                <w:b/>
                <w:bCs/>
                <w:color w:val="000000"/>
                <w:sz w:val="18"/>
                <w:szCs w:val="18"/>
                <w:lang w:val="en"/>
              </w:rPr>
              <w:t>Deck research</w:t>
            </w:r>
          </w:p>
          <w:p w14:paraId="4FA75261" w14:textId="77777777" w:rsidR="00B76FE0" w:rsidRPr="00B76FE0" w:rsidRDefault="00B76FE0" w:rsidP="00B76FE0">
            <w:pPr>
              <w:numPr>
                <w:ilvl w:val="0"/>
                <w:numId w:val="49"/>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Review of the OPT and its modifications.</w:t>
            </w:r>
          </w:p>
          <w:p w14:paraId="6110364B" w14:textId="77777777" w:rsidR="00B76FE0" w:rsidRPr="00B76FE0" w:rsidRDefault="00B76FE0" w:rsidP="00B76FE0">
            <w:pPr>
              <w:numPr>
                <w:ilvl w:val="0"/>
                <w:numId w:val="49"/>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Review of the mid-term evaluations of OPT.</w:t>
            </w:r>
          </w:p>
          <w:p w14:paraId="45FFBA08" w14:textId="77777777" w:rsidR="00B76FE0" w:rsidRPr="00B76FE0" w:rsidRDefault="00B76FE0" w:rsidP="00B76FE0">
            <w:pPr>
              <w:numPr>
                <w:ilvl w:val="0"/>
                <w:numId w:val="49"/>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Review of investment projects documentation.</w:t>
            </w:r>
          </w:p>
          <w:p w14:paraId="7E909620" w14:textId="77777777" w:rsidR="00B76FE0" w:rsidRPr="00B76FE0" w:rsidRDefault="00B76FE0" w:rsidP="00B76FE0">
            <w:pPr>
              <w:numPr>
                <w:ilvl w:val="0"/>
                <w:numId w:val="49"/>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 xml:space="preserve">Collection and aggregation of information and data on priority axes level from final project implementation reports on how they contribute to the implementation of the programme objectives. </w:t>
            </w:r>
          </w:p>
          <w:p w14:paraId="0BDC45EF" w14:textId="284F605D" w:rsidR="00B76FE0" w:rsidRPr="00B76FE0" w:rsidRDefault="00B76FE0" w:rsidP="00B76FE0">
            <w:pPr>
              <w:numPr>
                <w:ilvl w:val="0"/>
                <w:numId w:val="49"/>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 xml:space="preserve">Use of data </w:t>
            </w:r>
            <w:r w:rsidR="007860C5" w:rsidRPr="00B76FE0">
              <w:rPr>
                <w:rFonts w:ascii="Verdana" w:hAnsi="Verdana"/>
                <w:color w:val="000000"/>
                <w:sz w:val="18"/>
                <w:szCs w:val="18"/>
                <w:lang w:val="en"/>
              </w:rPr>
              <w:t>derived</w:t>
            </w:r>
            <w:r w:rsidRPr="00B76FE0">
              <w:rPr>
                <w:rFonts w:ascii="Verdana" w:hAnsi="Verdana"/>
                <w:color w:val="000000"/>
                <w:sz w:val="18"/>
                <w:szCs w:val="18"/>
                <w:lang w:val="en"/>
              </w:rPr>
              <w:t xml:space="preserve"> from Monitoring Model (MM) for indicator values as of 31.12.2015 and studying the degree of compliance of the achieved values of financial indicators with the planned values in the programme.</w:t>
            </w:r>
          </w:p>
          <w:p w14:paraId="1C73A27D" w14:textId="77777777" w:rsidR="00B76FE0" w:rsidRPr="00B76FE0" w:rsidRDefault="00B76FE0" w:rsidP="00B76FE0">
            <w:pPr>
              <w:ind w:left="655"/>
              <w:jc w:val="both"/>
              <w:rPr>
                <w:rFonts w:ascii="Verdana" w:eastAsia="Calibri" w:hAnsi="Verdana" w:cs="Calibri"/>
                <w:color w:val="000000"/>
                <w:sz w:val="18"/>
                <w:szCs w:val="18"/>
              </w:rPr>
            </w:pPr>
          </w:p>
          <w:p w14:paraId="1B2D65E3" w14:textId="77777777" w:rsidR="00B76FE0" w:rsidRPr="00B76FE0" w:rsidRDefault="00B76FE0" w:rsidP="00B76FE0">
            <w:pPr>
              <w:jc w:val="both"/>
              <w:rPr>
                <w:rFonts w:ascii="Verdana" w:eastAsia="Calibri" w:hAnsi="Verdana" w:cs="Calibri"/>
                <w:b/>
                <w:bCs/>
                <w:sz w:val="18"/>
                <w:szCs w:val="18"/>
              </w:rPr>
            </w:pPr>
            <w:r w:rsidRPr="00B76FE0">
              <w:rPr>
                <w:rFonts w:ascii="Verdana" w:hAnsi="Verdana"/>
                <w:b/>
                <w:bCs/>
                <w:sz w:val="18"/>
                <w:szCs w:val="18"/>
                <w:lang w:val="en"/>
              </w:rPr>
              <w:t>Evaluation methods</w:t>
            </w:r>
          </w:p>
          <w:p w14:paraId="37AA6C17" w14:textId="77777777" w:rsidR="00B76FE0" w:rsidRPr="00B76FE0" w:rsidRDefault="00B76FE0" w:rsidP="00B76FE0">
            <w:pPr>
              <w:numPr>
                <w:ilvl w:val="0"/>
                <w:numId w:val="49"/>
              </w:numPr>
              <w:ind w:left="655" w:hanging="327"/>
              <w:jc w:val="both"/>
              <w:rPr>
                <w:rFonts w:ascii="Verdana" w:eastAsia="Calibri" w:hAnsi="Verdana" w:cs="Calibri"/>
                <w:color w:val="000000"/>
                <w:sz w:val="18"/>
                <w:szCs w:val="18"/>
              </w:rPr>
            </w:pPr>
            <w:bookmarkStart w:id="17" w:name="_Hlk55548127"/>
            <w:r w:rsidRPr="00B76FE0">
              <w:rPr>
                <w:rFonts w:ascii="Verdana" w:hAnsi="Verdana"/>
                <w:color w:val="000000"/>
                <w:sz w:val="18"/>
                <w:szCs w:val="18"/>
                <w:lang w:val="en"/>
              </w:rPr>
              <w:t>GAP analysis</w:t>
            </w:r>
            <w:bookmarkEnd w:id="17"/>
            <w:r w:rsidRPr="00B76FE0">
              <w:rPr>
                <w:rFonts w:ascii="Verdana" w:hAnsi="Verdana"/>
                <w:color w:val="000000"/>
                <w:sz w:val="18"/>
                <w:szCs w:val="18"/>
                <w:lang w:val="en"/>
              </w:rPr>
              <w:t>.</w:t>
            </w:r>
          </w:p>
          <w:p w14:paraId="200171CB" w14:textId="77777777" w:rsidR="00B76FE0" w:rsidRPr="00B76FE0" w:rsidRDefault="00B76FE0" w:rsidP="00B76FE0">
            <w:pPr>
              <w:numPr>
                <w:ilvl w:val="0"/>
                <w:numId w:val="49"/>
              </w:numPr>
              <w:ind w:left="655" w:hanging="327"/>
              <w:jc w:val="both"/>
              <w:rPr>
                <w:rFonts w:ascii="Verdana" w:eastAsia="Calibri" w:hAnsi="Verdana" w:cs="Calibri"/>
                <w:sz w:val="18"/>
                <w:szCs w:val="18"/>
              </w:rPr>
            </w:pPr>
            <w:r w:rsidRPr="00B76FE0">
              <w:rPr>
                <w:rFonts w:ascii="Verdana" w:hAnsi="Verdana"/>
                <w:sz w:val="18"/>
                <w:szCs w:val="18"/>
                <w:lang w:val="en"/>
              </w:rPr>
              <w:t>Contribution analysis based on the results of net impact assessment of the SIBILA model 2.0.</w:t>
            </w:r>
          </w:p>
          <w:p w14:paraId="72773E80" w14:textId="77777777" w:rsidR="00B76FE0" w:rsidRPr="00B76FE0" w:rsidRDefault="00B76FE0" w:rsidP="00B76FE0">
            <w:pPr>
              <w:numPr>
                <w:ilvl w:val="0"/>
                <w:numId w:val="49"/>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Decomposition analysis.</w:t>
            </w:r>
          </w:p>
          <w:p w14:paraId="63A5B8D2" w14:textId="77777777" w:rsidR="00B76FE0" w:rsidRPr="00B76FE0" w:rsidRDefault="00B76FE0" w:rsidP="00B76FE0">
            <w:pPr>
              <w:numPr>
                <w:ilvl w:val="0"/>
                <w:numId w:val="49"/>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Structured interviews with key stakeholders.</w:t>
            </w:r>
          </w:p>
          <w:p w14:paraId="67B04819" w14:textId="77777777" w:rsidR="00B76FE0" w:rsidRPr="00B76FE0" w:rsidRDefault="00B76FE0" w:rsidP="00B76FE0">
            <w:pPr>
              <w:numPr>
                <w:ilvl w:val="0"/>
                <w:numId w:val="49"/>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Analytical-descriptive method and expert evaluation.</w:t>
            </w:r>
          </w:p>
          <w:p w14:paraId="70CAD1ED" w14:textId="77777777" w:rsidR="00B76FE0" w:rsidRPr="00B76FE0" w:rsidRDefault="00B76FE0" w:rsidP="00B76FE0">
            <w:pPr>
              <w:numPr>
                <w:ilvl w:val="0"/>
                <w:numId w:val="49"/>
              </w:numPr>
              <w:ind w:left="655" w:hanging="327"/>
              <w:jc w:val="both"/>
              <w:rPr>
                <w:rFonts w:ascii="Verdana" w:eastAsia="Calibri" w:hAnsi="Verdana" w:cs="Helvetica"/>
                <w:bCs/>
                <w:color w:val="000000"/>
                <w:sz w:val="18"/>
                <w:szCs w:val="18"/>
              </w:rPr>
            </w:pPr>
            <w:r w:rsidRPr="00B76FE0">
              <w:rPr>
                <w:rFonts w:ascii="Verdana" w:hAnsi="Verdana"/>
                <w:bCs/>
                <w:color w:val="000000"/>
                <w:sz w:val="18"/>
                <w:szCs w:val="18"/>
                <w:lang w:val="en"/>
              </w:rPr>
              <w:t>Integration of applicable case studies results.</w:t>
            </w:r>
          </w:p>
          <w:p w14:paraId="2FE4720D" w14:textId="77777777" w:rsidR="00B76FE0" w:rsidRPr="00B76FE0" w:rsidRDefault="00B76FE0" w:rsidP="00B76FE0">
            <w:pPr>
              <w:jc w:val="both"/>
              <w:rPr>
                <w:rFonts w:ascii="Verdana" w:eastAsia="Calibri" w:hAnsi="Verdana" w:cs="Calibri"/>
                <w:b/>
                <w:bCs/>
                <w:color w:val="000000"/>
                <w:sz w:val="18"/>
                <w:szCs w:val="18"/>
              </w:rPr>
            </w:pPr>
          </w:p>
          <w:p w14:paraId="69F8276D" w14:textId="77777777" w:rsidR="00B76FE0" w:rsidRPr="00B76FE0" w:rsidRDefault="00B76FE0" w:rsidP="00B76FE0">
            <w:pPr>
              <w:jc w:val="both"/>
              <w:rPr>
                <w:rFonts w:ascii="Verdana" w:eastAsia="Calibri" w:hAnsi="Verdana" w:cs="Calibri"/>
                <w:b/>
                <w:bCs/>
                <w:color w:val="000000"/>
                <w:sz w:val="18"/>
                <w:szCs w:val="18"/>
              </w:rPr>
            </w:pPr>
            <w:r w:rsidRPr="00B76FE0">
              <w:rPr>
                <w:rFonts w:ascii="Verdana" w:hAnsi="Verdana"/>
                <w:b/>
                <w:bCs/>
                <w:color w:val="000000"/>
                <w:sz w:val="18"/>
                <w:szCs w:val="18"/>
                <w:lang w:val="en"/>
              </w:rPr>
              <w:t>Evaluation of efficiency</w:t>
            </w:r>
          </w:p>
          <w:p w14:paraId="700D5E1B" w14:textId="77777777" w:rsidR="00B76FE0" w:rsidRPr="00B76FE0" w:rsidRDefault="00B76FE0" w:rsidP="00B76FE0">
            <w:pPr>
              <w:jc w:val="both"/>
              <w:rPr>
                <w:rFonts w:ascii="Verdana" w:eastAsia="Calibri" w:hAnsi="Verdana" w:cs="Calibri"/>
                <w:b/>
                <w:bCs/>
                <w:color w:val="000000"/>
                <w:sz w:val="18"/>
                <w:szCs w:val="18"/>
              </w:rPr>
            </w:pPr>
            <w:r w:rsidRPr="00B76FE0">
              <w:rPr>
                <w:rFonts w:ascii="Verdana" w:hAnsi="Verdana"/>
                <w:b/>
                <w:bCs/>
                <w:color w:val="000000"/>
                <w:sz w:val="18"/>
                <w:szCs w:val="18"/>
                <w:lang w:val="en"/>
              </w:rPr>
              <w:t>Collection and processing of information and data</w:t>
            </w:r>
          </w:p>
          <w:p w14:paraId="4BE02606" w14:textId="77777777" w:rsidR="00B76FE0" w:rsidRPr="00B76FE0" w:rsidRDefault="00B76FE0" w:rsidP="00B76FE0">
            <w:pPr>
              <w:numPr>
                <w:ilvl w:val="0"/>
                <w:numId w:val="49"/>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Review of the OPT and its modifications.</w:t>
            </w:r>
          </w:p>
          <w:p w14:paraId="711F8387" w14:textId="77777777" w:rsidR="00B76FE0" w:rsidRPr="00B76FE0" w:rsidRDefault="00B76FE0" w:rsidP="00B76FE0">
            <w:pPr>
              <w:numPr>
                <w:ilvl w:val="0"/>
                <w:numId w:val="49"/>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Review of the mid-term evaluations of OPT.</w:t>
            </w:r>
          </w:p>
          <w:p w14:paraId="6105B998" w14:textId="77777777" w:rsidR="00B76FE0" w:rsidRPr="00B76FE0" w:rsidRDefault="00B76FE0" w:rsidP="00B76FE0">
            <w:pPr>
              <w:numPr>
                <w:ilvl w:val="0"/>
                <w:numId w:val="49"/>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Data from Final Report of OPT and final project implementation reports.</w:t>
            </w:r>
          </w:p>
          <w:p w14:paraId="33ADD742" w14:textId="77777777" w:rsidR="00B76FE0" w:rsidRPr="00B76FE0" w:rsidRDefault="00B76FE0" w:rsidP="00B76FE0">
            <w:pPr>
              <w:numPr>
                <w:ilvl w:val="0"/>
                <w:numId w:val="49"/>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Benchmarking analysis for efficiency analysis purposes.</w:t>
            </w:r>
          </w:p>
          <w:p w14:paraId="2F27CD0E" w14:textId="77777777" w:rsidR="00B76FE0" w:rsidRPr="00B76FE0" w:rsidRDefault="00B76FE0" w:rsidP="00B76FE0">
            <w:pPr>
              <w:jc w:val="both"/>
              <w:rPr>
                <w:rFonts w:ascii="Verdana" w:hAnsi="Verdana"/>
                <w:b/>
                <w:bCs/>
                <w:color w:val="000000"/>
                <w:sz w:val="18"/>
                <w:szCs w:val="18"/>
                <w:lang w:val="en"/>
              </w:rPr>
            </w:pPr>
          </w:p>
          <w:p w14:paraId="24F24FE7" w14:textId="77777777" w:rsidR="00B76FE0" w:rsidRPr="00B76FE0" w:rsidRDefault="00B76FE0" w:rsidP="00B76FE0">
            <w:pPr>
              <w:jc w:val="both"/>
              <w:rPr>
                <w:rFonts w:ascii="Verdana" w:eastAsia="Calibri" w:hAnsi="Verdana" w:cs="Calibri"/>
                <w:b/>
                <w:bCs/>
                <w:color w:val="000000"/>
                <w:sz w:val="18"/>
                <w:szCs w:val="18"/>
              </w:rPr>
            </w:pPr>
            <w:r w:rsidRPr="00B76FE0">
              <w:rPr>
                <w:rFonts w:ascii="Verdana" w:hAnsi="Verdana"/>
                <w:b/>
                <w:bCs/>
                <w:color w:val="000000"/>
                <w:sz w:val="18"/>
                <w:szCs w:val="18"/>
                <w:lang w:val="en"/>
              </w:rPr>
              <w:t>Evaluation methods</w:t>
            </w:r>
          </w:p>
          <w:p w14:paraId="7EF02522" w14:textId="77777777" w:rsidR="00B76FE0" w:rsidRPr="00B76FE0" w:rsidRDefault="00B76FE0" w:rsidP="00B76FE0">
            <w:pPr>
              <w:numPr>
                <w:ilvl w:val="0"/>
                <w:numId w:val="49"/>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Cost efficiency analysis: calculation of input resource per unit of product/result at project and priority axis levels.</w:t>
            </w:r>
          </w:p>
          <w:p w14:paraId="5DCD8FD9" w14:textId="77777777" w:rsidR="00B76FE0" w:rsidRPr="00B76FE0" w:rsidRDefault="00B76FE0" w:rsidP="00B76FE0">
            <w:pPr>
              <w:numPr>
                <w:ilvl w:val="0"/>
                <w:numId w:val="49"/>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Comparative analysis of the values obtained against those set out in the programme at programme level and priority axis.</w:t>
            </w:r>
          </w:p>
          <w:p w14:paraId="32145378" w14:textId="77777777" w:rsidR="00B76FE0" w:rsidRPr="00B76FE0" w:rsidRDefault="00B76FE0" w:rsidP="00B76FE0">
            <w:pPr>
              <w:numPr>
                <w:ilvl w:val="0"/>
                <w:numId w:val="49"/>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Analytical-descriptive method and expert evaluation of results and conclusions.</w:t>
            </w:r>
          </w:p>
        </w:tc>
      </w:tr>
      <w:tr w:rsidR="00B76FE0" w:rsidRPr="00B76FE0" w14:paraId="1A6F0E1B" w14:textId="77777777" w:rsidTr="00AC2E19">
        <w:trPr>
          <w:trHeight w:val="146"/>
          <w:jc w:val="center"/>
        </w:trPr>
        <w:tc>
          <w:tcPr>
            <w:tcW w:w="1329" w:type="pct"/>
            <w:shd w:val="clear" w:color="auto" w:fill="D9DFEF" w:themeFill="accent1" w:themeFillTint="33"/>
          </w:tcPr>
          <w:p w14:paraId="4A02964C" w14:textId="77777777" w:rsidR="00B76FE0" w:rsidRPr="00B76FE0" w:rsidRDefault="00B76FE0" w:rsidP="00B76FE0">
            <w:pPr>
              <w:jc w:val="both"/>
              <w:rPr>
                <w:rFonts w:ascii="Verdana" w:hAnsi="Verdana"/>
                <w:b/>
                <w:bCs/>
                <w:color w:val="000000"/>
                <w:sz w:val="18"/>
                <w:szCs w:val="18"/>
                <w:lang w:val="en"/>
              </w:rPr>
            </w:pPr>
            <w:r w:rsidRPr="00B76FE0">
              <w:rPr>
                <w:rFonts w:ascii="Verdana" w:hAnsi="Verdana"/>
                <w:color w:val="000000"/>
                <w:sz w:val="18"/>
                <w:szCs w:val="18"/>
                <w:lang w:val="en"/>
              </w:rPr>
              <w:t>3.</w:t>
            </w:r>
            <w:hyperlink w:anchor="_Toc50292570" w:history="1">
              <w:r w:rsidRPr="00B76FE0">
                <w:rPr>
                  <w:rFonts w:ascii="Verdana" w:hAnsi="Verdana"/>
                  <w:b/>
                  <w:bCs/>
                  <w:color w:val="000000"/>
                  <w:sz w:val="18"/>
                  <w:szCs w:val="18"/>
                  <w:lang w:val="en"/>
                </w:rPr>
                <w:t>In view of modifications of OPT 2007-2013, was the programme effectively working within the new context and if so, why?</w:t>
              </w:r>
            </w:hyperlink>
          </w:p>
          <w:p w14:paraId="604CB8D3" w14:textId="77777777" w:rsidR="00B76FE0" w:rsidRPr="00B76FE0" w:rsidRDefault="00B76FE0" w:rsidP="00B76FE0">
            <w:pPr>
              <w:jc w:val="both"/>
              <w:rPr>
                <w:rFonts w:ascii="Verdana" w:hAnsi="Verdana"/>
                <w:b/>
                <w:bCs/>
                <w:color w:val="000000"/>
                <w:sz w:val="18"/>
                <w:szCs w:val="18"/>
                <w:lang w:val="en"/>
              </w:rPr>
            </w:pPr>
          </w:p>
          <w:p w14:paraId="7A5B60F9" w14:textId="77777777" w:rsidR="00B76FE0" w:rsidRPr="00B76FE0" w:rsidRDefault="00B76FE0" w:rsidP="00B76FE0">
            <w:pPr>
              <w:jc w:val="both"/>
              <w:rPr>
                <w:rFonts w:ascii="Verdana" w:eastAsia="Calibri" w:hAnsi="Verdana" w:cs="Calibri"/>
                <w:b/>
                <w:bCs/>
                <w:color w:val="000000"/>
                <w:sz w:val="18"/>
                <w:szCs w:val="18"/>
              </w:rPr>
            </w:pPr>
          </w:p>
          <w:p w14:paraId="1EA426FF" w14:textId="77777777" w:rsidR="00B76FE0" w:rsidRPr="00B76FE0" w:rsidRDefault="00B76FE0" w:rsidP="00B76FE0">
            <w:pPr>
              <w:jc w:val="both"/>
              <w:rPr>
                <w:rFonts w:ascii="Verdana" w:eastAsia="Calibri" w:hAnsi="Verdana" w:cs="Calibri"/>
                <w:b/>
                <w:color w:val="000000"/>
                <w:sz w:val="18"/>
                <w:szCs w:val="18"/>
              </w:rPr>
            </w:pPr>
          </w:p>
        </w:tc>
        <w:tc>
          <w:tcPr>
            <w:tcW w:w="3671" w:type="pct"/>
          </w:tcPr>
          <w:p w14:paraId="1A78C5E7" w14:textId="77777777" w:rsidR="00B76FE0" w:rsidRPr="00B76FE0" w:rsidRDefault="00B76FE0" w:rsidP="00B76FE0">
            <w:pPr>
              <w:keepNext/>
              <w:keepLines/>
              <w:jc w:val="both"/>
              <w:outlineLvl w:val="2"/>
              <w:rPr>
                <w:rFonts w:ascii="Verdana" w:eastAsia="Calibri" w:hAnsi="Verdana" w:cs="Calibri"/>
                <w:b/>
                <w:bCs/>
                <w:color w:val="000000"/>
                <w:sz w:val="18"/>
                <w:szCs w:val="18"/>
              </w:rPr>
            </w:pPr>
            <w:r w:rsidRPr="00B76FE0">
              <w:rPr>
                <w:rFonts w:ascii="Verdana" w:hAnsi="Verdana"/>
                <w:b/>
                <w:bCs/>
                <w:color w:val="000000"/>
                <w:sz w:val="18"/>
                <w:szCs w:val="18"/>
                <w:lang w:val="en"/>
              </w:rPr>
              <w:t>Collection and processing of information and data</w:t>
            </w:r>
          </w:p>
          <w:p w14:paraId="264CEA6A" w14:textId="77777777" w:rsidR="00B76FE0" w:rsidRPr="00B76FE0" w:rsidRDefault="00B76FE0" w:rsidP="00B76FE0">
            <w:pPr>
              <w:keepNext/>
              <w:keepLines/>
              <w:jc w:val="both"/>
              <w:outlineLvl w:val="2"/>
              <w:rPr>
                <w:rFonts w:ascii="Verdana" w:eastAsia="Calibri" w:hAnsi="Verdana" w:cs="Helvetica"/>
                <w:b/>
                <w:bCs/>
                <w:sz w:val="18"/>
                <w:szCs w:val="18"/>
                <w:lang w:val="en-GB"/>
              </w:rPr>
            </w:pPr>
            <w:r w:rsidRPr="00B76FE0">
              <w:rPr>
                <w:rFonts w:ascii="Verdana" w:eastAsia="Calibri" w:hAnsi="Verdana" w:cs="Helvetica"/>
                <w:b/>
                <w:bCs/>
                <w:sz w:val="18"/>
                <w:szCs w:val="18"/>
                <w:lang w:val="en-GB"/>
              </w:rPr>
              <w:t>Desk Research</w:t>
            </w:r>
          </w:p>
          <w:p w14:paraId="6FC9A086" w14:textId="77777777" w:rsidR="00B76FE0" w:rsidRPr="00B76FE0" w:rsidRDefault="00B76FE0" w:rsidP="00B76FE0">
            <w:pPr>
              <w:keepNext/>
              <w:keepLines/>
              <w:numPr>
                <w:ilvl w:val="0"/>
                <w:numId w:val="50"/>
              </w:numPr>
              <w:ind w:left="655" w:hanging="327"/>
              <w:jc w:val="both"/>
              <w:outlineLvl w:val="2"/>
              <w:rPr>
                <w:rFonts w:ascii="Verdana" w:eastAsia="Calibri" w:hAnsi="Verdana" w:cs="Calibri"/>
                <w:color w:val="000000"/>
                <w:sz w:val="18"/>
                <w:szCs w:val="18"/>
              </w:rPr>
            </w:pPr>
            <w:r w:rsidRPr="00B76FE0">
              <w:rPr>
                <w:rFonts w:ascii="Verdana" w:hAnsi="Verdana"/>
                <w:color w:val="000000"/>
                <w:sz w:val="18"/>
                <w:szCs w:val="18"/>
                <w:lang w:val="en"/>
              </w:rPr>
              <w:t>Review of modifications of OPT and their justification.</w:t>
            </w:r>
          </w:p>
          <w:p w14:paraId="2520217A" w14:textId="77777777" w:rsidR="00B76FE0" w:rsidRPr="00B76FE0" w:rsidRDefault="00B76FE0" w:rsidP="00B76FE0">
            <w:pPr>
              <w:keepNext/>
              <w:keepLines/>
              <w:numPr>
                <w:ilvl w:val="0"/>
                <w:numId w:val="50"/>
              </w:numPr>
              <w:ind w:left="655" w:hanging="327"/>
              <w:jc w:val="both"/>
              <w:outlineLvl w:val="2"/>
              <w:rPr>
                <w:rFonts w:ascii="Verdana" w:eastAsia="Calibri" w:hAnsi="Verdana" w:cs="Calibri"/>
                <w:color w:val="000000"/>
                <w:sz w:val="18"/>
                <w:szCs w:val="18"/>
              </w:rPr>
            </w:pPr>
            <w:r w:rsidRPr="00B76FE0">
              <w:rPr>
                <w:rFonts w:ascii="Verdana" w:hAnsi="Verdana"/>
                <w:color w:val="000000"/>
                <w:sz w:val="18"/>
                <w:szCs w:val="18"/>
                <w:lang w:val="en"/>
              </w:rPr>
              <w:t>Review of the recommendations of mid-term evaluations of OPT.</w:t>
            </w:r>
          </w:p>
          <w:p w14:paraId="5CB11544" w14:textId="77777777" w:rsidR="00B76FE0" w:rsidRPr="00B76FE0" w:rsidRDefault="00B76FE0" w:rsidP="00B76FE0">
            <w:pPr>
              <w:keepNext/>
              <w:keepLines/>
              <w:numPr>
                <w:ilvl w:val="0"/>
                <w:numId w:val="50"/>
              </w:numPr>
              <w:ind w:left="655" w:hanging="327"/>
              <w:jc w:val="both"/>
              <w:outlineLvl w:val="2"/>
              <w:rPr>
                <w:rFonts w:ascii="Verdana" w:eastAsia="Calibri" w:hAnsi="Verdana" w:cs="Calibri"/>
                <w:color w:val="000000"/>
                <w:sz w:val="18"/>
                <w:szCs w:val="18"/>
              </w:rPr>
            </w:pPr>
            <w:r w:rsidRPr="00B76FE0">
              <w:rPr>
                <w:rFonts w:ascii="Verdana" w:hAnsi="Verdana"/>
                <w:color w:val="000000"/>
                <w:sz w:val="18"/>
                <w:szCs w:val="18"/>
                <w:lang w:val="en"/>
              </w:rPr>
              <w:t>Review of programme Final Report and the results achieved after the modifications.</w:t>
            </w:r>
          </w:p>
          <w:p w14:paraId="1089CAA4" w14:textId="77777777" w:rsidR="00B76FE0" w:rsidRPr="00B76FE0" w:rsidRDefault="00B76FE0" w:rsidP="00B76FE0">
            <w:pPr>
              <w:keepNext/>
              <w:keepLines/>
              <w:numPr>
                <w:ilvl w:val="0"/>
                <w:numId w:val="50"/>
              </w:numPr>
              <w:ind w:left="655" w:hanging="327"/>
              <w:jc w:val="both"/>
              <w:outlineLvl w:val="2"/>
              <w:rPr>
                <w:rFonts w:ascii="Verdana" w:eastAsia="Calibri" w:hAnsi="Verdana" w:cs="Calibri"/>
                <w:color w:val="000000"/>
                <w:sz w:val="18"/>
                <w:szCs w:val="18"/>
              </w:rPr>
            </w:pPr>
            <w:r w:rsidRPr="00B76FE0">
              <w:rPr>
                <w:rFonts w:ascii="Verdana" w:hAnsi="Verdana"/>
                <w:color w:val="000000"/>
                <w:sz w:val="18"/>
                <w:szCs w:val="18"/>
                <w:lang w:val="en"/>
              </w:rPr>
              <w:t>Review of the final project reports.</w:t>
            </w:r>
          </w:p>
          <w:p w14:paraId="112FAF80" w14:textId="77777777" w:rsidR="00B76FE0" w:rsidRPr="00B76FE0" w:rsidRDefault="00B76FE0" w:rsidP="00B76FE0">
            <w:pPr>
              <w:keepNext/>
              <w:keepLines/>
              <w:jc w:val="both"/>
              <w:outlineLvl w:val="2"/>
              <w:rPr>
                <w:rFonts w:ascii="Verdana" w:eastAsia="Calibri" w:hAnsi="Verdana" w:cs="Calibri"/>
                <w:color w:val="000000"/>
                <w:sz w:val="18"/>
                <w:szCs w:val="18"/>
              </w:rPr>
            </w:pPr>
          </w:p>
          <w:p w14:paraId="6D6C84A2" w14:textId="77777777" w:rsidR="00B76FE0" w:rsidRPr="00B76FE0" w:rsidRDefault="00B76FE0" w:rsidP="00B76FE0">
            <w:pPr>
              <w:keepNext/>
              <w:keepLines/>
              <w:jc w:val="both"/>
              <w:outlineLvl w:val="2"/>
              <w:rPr>
                <w:rFonts w:ascii="Verdana" w:eastAsia="Calibri" w:hAnsi="Verdana" w:cs="Calibri"/>
                <w:b/>
                <w:bCs/>
                <w:color w:val="000000"/>
                <w:sz w:val="18"/>
                <w:szCs w:val="18"/>
              </w:rPr>
            </w:pPr>
            <w:r w:rsidRPr="00B76FE0">
              <w:rPr>
                <w:rFonts w:ascii="Verdana" w:hAnsi="Verdana"/>
                <w:b/>
                <w:bCs/>
                <w:color w:val="000000"/>
                <w:sz w:val="18"/>
                <w:szCs w:val="18"/>
                <w:lang w:val="en"/>
              </w:rPr>
              <w:t>Stakeholder surveys</w:t>
            </w:r>
          </w:p>
          <w:p w14:paraId="77293176" w14:textId="77777777" w:rsidR="00B76FE0" w:rsidRPr="00B76FE0" w:rsidRDefault="00B76FE0" w:rsidP="00B76FE0">
            <w:pPr>
              <w:keepNext/>
              <w:keepLines/>
              <w:numPr>
                <w:ilvl w:val="0"/>
                <w:numId w:val="50"/>
              </w:numPr>
              <w:ind w:left="655" w:hanging="327"/>
              <w:jc w:val="both"/>
              <w:outlineLvl w:val="2"/>
              <w:rPr>
                <w:rFonts w:ascii="Verdana" w:eastAsia="Calibri" w:hAnsi="Verdana" w:cs="Calibri"/>
                <w:color w:val="000000"/>
                <w:sz w:val="18"/>
                <w:szCs w:val="18"/>
              </w:rPr>
            </w:pPr>
            <w:r w:rsidRPr="00B76FE0">
              <w:rPr>
                <w:rFonts w:ascii="Verdana" w:hAnsi="Verdana"/>
                <w:color w:val="000000"/>
                <w:sz w:val="18"/>
                <w:szCs w:val="18"/>
                <w:lang w:val="en"/>
              </w:rPr>
              <w:t>Analysis of results of interviews and online survey among stakeholders.</w:t>
            </w:r>
          </w:p>
          <w:p w14:paraId="025B6A64" w14:textId="77777777" w:rsidR="00B76FE0" w:rsidRPr="00B76FE0" w:rsidRDefault="00B76FE0" w:rsidP="00B76FE0">
            <w:pPr>
              <w:keepNext/>
              <w:keepLines/>
              <w:jc w:val="both"/>
              <w:outlineLvl w:val="2"/>
              <w:rPr>
                <w:rFonts w:ascii="Verdana" w:eastAsia="Calibri" w:hAnsi="Verdana" w:cs="Calibri"/>
                <w:color w:val="000000"/>
                <w:sz w:val="18"/>
                <w:szCs w:val="18"/>
              </w:rPr>
            </w:pPr>
          </w:p>
          <w:p w14:paraId="080D2ECF" w14:textId="77777777" w:rsidR="00B76FE0" w:rsidRPr="00B76FE0" w:rsidRDefault="00B76FE0" w:rsidP="00B76FE0">
            <w:pPr>
              <w:keepNext/>
              <w:keepLines/>
              <w:jc w:val="both"/>
              <w:outlineLvl w:val="2"/>
              <w:rPr>
                <w:rFonts w:ascii="Verdana" w:eastAsia="Calibri" w:hAnsi="Verdana" w:cs="Calibri"/>
                <w:b/>
                <w:bCs/>
                <w:color w:val="000000"/>
                <w:sz w:val="18"/>
                <w:szCs w:val="18"/>
              </w:rPr>
            </w:pPr>
            <w:r w:rsidRPr="00B76FE0">
              <w:rPr>
                <w:rFonts w:ascii="Verdana" w:hAnsi="Verdana"/>
                <w:b/>
                <w:bCs/>
                <w:color w:val="000000"/>
                <w:sz w:val="18"/>
                <w:szCs w:val="18"/>
                <w:lang w:val="en"/>
              </w:rPr>
              <w:t>Evaluation methods</w:t>
            </w:r>
          </w:p>
          <w:p w14:paraId="7CC982AE" w14:textId="77777777" w:rsidR="00B76FE0" w:rsidRPr="00B76FE0" w:rsidRDefault="00B76FE0" w:rsidP="00B76FE0">
            <w:pPr>
              <w:numPr>
                <w:ilvl w:val="0"/>
                <w:numId w:val="50"/>
              </w:numPr>
              <w:ind w:left="655" w:hanging="327"/>
              <w:jc w:val="both"/>
              <w:rPr>
                <w:rFonts w:ascii="Verdana" w:eastAsia="Calibri" w:hAnsi="Verdana"/>
                <w:bCs/>
                <w:color w:val="000000"/>
                <w:sz w:val="18"/>
                <w:szCs w:val="18"/>
              </w:rPr>
            </w:pPr>
            <w:r w:rsidRPr="00B76FE0">
              <w:rPr>
                <w:rFonts w:ascii="Verdana" w:hAnsi="Verdana"/>
                <w:bCs/>
                <w:color w:val="000000"/>
                <w:sz w:val="18"/>
                <w:szCs w:val="18"/>
                <w:lang w:val="en"/>
              </w:rPr>
              <w:t>Context Analysis.</w:t>
            </w:r>
          </w:p>
          <w:p w14:paraId="59A748FB" w14:textId="77777777" w:rsidR="00B76FE0" w:rsidRPr="00B76FE0" w:rsidRDefault="00B76FE0" w:rsidP="00B76FE0">
            <w:pPr>
              <w:numPr>
                <w:ilvl w:val="0"/>
                <w:numId w:val="50"/>
              </w:numPr>
              <w:ind w:left="655" w:hanging="327"/>
              <w:jc w:val="both"/>
              <w:rPr>
                <w:rFonts w:ascii="Verdana" w:eastAsia="Calibri" w:hAnsi="Verdana" w:cs="Calibri"/>
                <w:color w:val="000000"/>
                <w:sz w:val="18"/>
                <w:szCs w:val="18"/>
              </w:rPr>
            </w:pPr>
            <w:r w:rsidRPr="00B76FE0">
              <w:rPr>
                <w:rFonts w:ascii="Verdana" w:hAnsi="Verdana"/>
                <w:bCs/>
                <w:sz w:val="18"/>
                <w:szCs w:val="18"/>
                <w:lang w:val="en"/>
              </w:rPr>
              <w:t>Analysis of the macroeconomic environment.</w:t>
            </w:r>
          </w:p>
          <w:p w14:paraId="01A7B8F4" w14:textId="77777777" w:rsidR="00B76FE0" w:rsidRPr="00B76FE0" w:rsidRDefault="00B76FE0" w:rsidP="00B76FE0">
            <w:pPr>
              <w:numPr>
                <w:ilvl w:val="0"/>
                <w:numId w:val="50"/>
              </w:numPr>
              <w:ind w:left="655" w:hanging="327"/>
              <w:jc w:val="both"/>
              <w:rPr>
                <w:rFonts w:ascii="Verdana" w:eastAsia="Calibri" w:hAnsi="Verdana" w:cs="Calibri"/>
                <w:color w:val="000000"/>
                <w:sz w:val="18"/>
                <w:szCs w:val="18"/>
              </w:rPr>
            </w:pPr>
            <w:r w:rsidRPr="00B76FE0">
              <w:rPr>
                <w:rFonts w:ascii="Verdana" w:hAnsi="Verdana"/>
                <w:bCs/>
                <w:color w:val="000000"/>
                <w:sz w:val="18"/>
                <w:szCs w:val="18"/>
                <w:lang w:val="en"/>
              </w:rPr>
              <w:t>Analytical-descriptive method, causal analysis and expert assessment to obtain evaluation results and conclusions.</w:t>
            </w:r>
          </w:p>
        </w:tc>
      </w:tr>
      <w:tr w:rsidR="00B76FE0" w:rsidRPr="00B76FE0" w14:paraId="4B729888" w14:textId="77777777" w:rsidTr="00AC2E19">
        <w:trPr>
          <w:trHeight w:val="146"/>
          <w:jc w:val="center"/>
        </w:trPr>
        <w:tc>
          <w:tcPr>
            <w:tcW w:w="1329" w:type="pct"/>
            <w:shd w:val="clear" w:color="auto" w:fill="D9DFEF" w:themeFill="accent1" w:themeFillTint="33"/>
          </w:tcPr>
          <w:p w14:paraId="317CF4C2" w14:textId="77777777" w:rsidR="00B76FE0" w:rsidRPr="00B76FE0" w:rsidRDefault="00B76FE0" w:rsidP="00B76FE0">
            <w:pPr>
              <w:jc w:val="both"/>
              <w:rPr>
                <w:rFonts w:ascii="Verdana" w:hAnsi="Verdana"/>
                <w:b/>
                <w:bCs/>
                <w:color w:val="000000"/>
                <w:sz w:val="18"/>
                <w:szCs w:val="18"/>
                <w:lang w:val="en"/>
              </w:rPr>
            </w:pPr>
            <w:r w:rsidRPr="00B76FE0">
              <w:rPr>
                <w:rFonts w:ascii="Verdana" w:hAnsi="Verdana"/>
                <w:color w:val="000000"/>
                <w:sz w:val="18"/>
                <w:szCs w:val="18"/>
                <w:lang w:val="en"/>
              </w:rPr>
              <w:lastRenderedPageBreak/>
              <w:t>4.</w:t>
            </w:r>
            <w:hyperlink w:anchor="_Toc50292571" w:history="1">
              <w:r w:rsidRPr="00B76FE0">
                <w:rPr>
                  <w:rFonts w:ascii="Verdana" w:hAnsi="Verdana"/>
                  <w:b/>
                  <w:bCs/>
                  <w:color w:val="000000"/>
                  <w:sz w:val="18"/>
                  <w:szCs w:val="18"/>
                  <w:lang w:val="en"/>
                </w:rPr>
                <w:t>What degree of integration into the European transport network has been achieved by the national transport system?</w:t>
              </w:r>
            </w:hyperlink>
          </w:p>
          <w:p w14:paraId="21C67861" w14:textId="77777777" w:rsidR="00B76FE0" w:rsidRPr="00B76FE0" w:rsidRDefault="00B76FE0" w:rsidP="00B76FE0">
            <w:pPr>
              <w:jc w:val="both"/>
              <w:rPr>
                <w:rFonts w:ascii="Verdana" w:eastAsia="Calibri" w:hAnsi="Verdana" w:cs="Calibri"/>
                <w:color w:val="000000"/>
                <w:sz w:val="18"/>
                <w:szCs w:val="18"/>
              </w:rPr>
            </w:pPr>
          </w:p>
        </w:tc>
        <w:tc>
          <w:tcPr>
            <w:tcW w:w="3671" w:type="pct"/>
          </w:tcPr>
          <w:p w14:paraId="5604DE6B" w14:textId="77777777" w:rsidR="00B76FE0" w:rsidRPr="00B76FE0" w:rsidRDefault="00B76FE0" w:rsidP="00B76FE0">
            <w:pPr>
              <w:keepNext/>
              <w:keepLines/>
              <w:jc w:val="both"/>
              <w:outlineLvl w:val="2"/>
              <w:rPr>
                <w:rFonts w:ascii="Verdana" w:eastAsia="Calibri" w:hAnsi="Verdana" w:cs="Calibri"/>
                <w:b/>
                <w:bCs/>
                <w:color w:val="000000"/>
                <w:sz w:val="18"/>
                <w:szCs w:val="18"/>
              </w:rPr>
            </w:pPr>
            <w:r w:rsidRPr="00B76FE0">
              <w:rPr>
                <w:rFonts w:ascii="Verdana" w:hAnsi="Verdana"/>
                <w:b/>
                <w:bCs/>
                <w:color w:val="000000"/>
                <w:sz w:val="18"/>
                <w:szCs w:val="18"/>
                <w:lang w:val="en"/>
              </w:rPr>
              <w:t>Collection and processing of information and data</w:t>
            </w:r>
          </w:p>
          <w:p w14:paraId="13D58168" w14:textId="77777777" w:rsidR="00B76FE0" w:rsidRPr="00B76FE0" w:rsidRDefault="00B76FE0" w:rsidP="00B76FE0">
            <w:pPr>
              <w:jc w:val="both"/>
              <w:rPr>
                <w:rFonts w:ascii="Verdana" w:eastAsia="Calibri" w:hAnsi="Verdana" w:cs="Calibri"/>
                <w:b/>
                <w:bCs/>
                <w:color w:val="000000"/>
                <w:sz w:val="18"/>
                <w:szCs w:val="18"/>
              </w:rPr>
            </w:pPr>
            <w:proofErr w:type="spellStart"/>
            <w:r w:rsidRPr="00B76FE0">
              <w:rPr>
                <w:rFonts w:ascii="Verdana" w:hAnsi="Verdana" w:cs="Calibri"/>
                <w:b/>
                <w:bCs/>
                <w:color w:val="000000"/>
                <w:sz w:val="18"/>
                <w:szCs w:val="18"/>
              </w:rPr>
              <w:t>Desk</w:t>
            </w:r>
            <w:proofErr w:type="spellEnd"/>
            <w:r w:rsidRPr="00B76FE0">
              <w:rPr>
                <w:rFonts w:ascii="Verdana" w:hAnsi="Verdana" w:cs="Calibri"/>
                <w:b/>
                <w:bCs/>
                <w:color w:val="000000"/>
                <w:sz w:val="18"/>
                <w:szCs w:val="18"/>
              </w:rPr>
              <w:t xml:space="preserve"> </w:t>
            </w:r>
            <w:proofErr w:type="spellStart"/>
            <w:r w:rsidRPr="00B76FE0">
              <w:rPr>
                <w:rFonts w:ascii="Verdana" w:hAnsi="Verdana" w:cs="Calibri"/>
                <w:b/>
                <w:bCs/>
                <w:color w:val="000000"/>
                <w:sz w:val="18"/>
                <w:szCs w:val="18"/>
              </w:rPr>
              <w:t>Research</w:t>
            </w:r>
            <w:proofErr w:type="spellEnd"/>
          </w:p>
          <w:p w14:paraId="00D23C5D" w14:textId="77777777" w:rsidR="00B76FE0" w:rsidRPr="00B76FE0" w:rsidRDefault="00B76FE0" w:rsidP="00B76FE0">
            <w:pPr>
              <w:numPr>
                <w:ilvl w:val="0"/>
                <w:numId w:val="51"/>
              </w:numPr>
              <w:ind w:left="655" w:hanging="327"/>
              <w:jc w:val="both"/>
              <w:rPr>
                <w:rFonts w:ascii="Verdana" w:eastAsia="Calibri" w:hAnsi="Verdana"/>
                <w:bCs/>
                <w:color w:val="000000"/>
                <w:sz w:val="18"/>
                <w:szCs w:val="18"/>
              </w:rPr>
            </w:pPr>
            <w:r w:rsidRPr="00B76FE0">
              <w:rPr>
                <w:rFonts w:ascii="Verdana" w:hAnsi="Verdana"/>
                <w:bCs/>
                <w:color w:val="000000"/>
                <w:sz w:val="18"/>
                <w:szCs w:val="18"/>
                <w:lang w:val="en"/>
              </w:rPr>
              <w:t>Review and aggregation of information and data on which projects have been intended to contribute to the integration of the national transport network into the European transport network. Preparation of a qualitative assessment in terms of the degree of integration.</w:t>
            </w:r>
          </w:p>
          <w:p w14:paraId="1C627D80" w14:textId="77777777" w:rsidR="00B76FE0" w:rsidRPr="00B76FE0" w:rsidRDefault="00B76FE0" w:rsidP="00B76FE0">
            <w:pPr>
              <w:numPr>
                <w:ilvl w:val="0"/>
                <w:numId w:val="51"/>
              </w:numPr>
              <w:ind w:left="655" w:hanging="327"/>
              <w:jc w:val="both"/>
              <w:rPr>
                <w:rFonts w:ascii="Verdana" w:eastAsia="Calibri" w:hAnsi="Verdana"/>
                <w:bCs/>
                <w:color w:val="000000"/>
                <w:sz w:val="18"/>
                <w:szCs w:val="18"/>
              </w:rPr>
            </w:pPr>
            <w:r w:rsidRPr="00B76FE0">
              <w:rPr>
                <w:rFonts w:ascii="Verdana" w:hAnsi="Verdana"/>
                <w:bCs/>
                <w:color w:val="000000"/>
                <w:sz w:val="18"/>
                <w:szCs w:val="18"/>
                <w:lang w:val="en"/>
              </w:rPr>
              <w:t>Overview and aggregation of information and data on the results achieved by these projects.</w:t>
            </w:r>
          </w:p>
          <w:p w14:paraId="09755672" w14:textId="77777777" w:rsidR="00B76FE0" w:rsidRPr="00B76FE0" w:rsidRDefault="00B76FE0" w:rsidP="00B76FE0">
            <w:pPr>
              <w:jc w:val="both"/>
              <w:rPr>
                <w:rFonts w:ascii="Verdana" w:eastAsia="Calibri" w:hAnsi="Verdana" w:cs="Calibri"/>
                <w:b/>
                <w:bCs/>
                <w:color w:val="000000"/>
                <w:sz w:val="18"/>
                <w:szCs w:val="18"/>
              </w:rPr>
            </w:pPr>
            <w:r w:rsidRPr="00B76FE0">
              <w:rPr>
                <w:rFonts w:ascii="Verdana" w:hAnsi="Verdana"/>
                <w:b/>
                <w:bCs/>
                <w:color w:val="000000"/>
                <w:sz w:val="18"/>
                <w:szCs w:val="18"/>
                <w:lang w:val="en"/>
              </w:rPr>
              <w:t>Evaluation methods</w:t>
            </w:r>
          </w:p>
          <w:p w14:paraId="75820234" w14:textId="77777777" w:rsidR="00B76FE0" w:rsidRPr="00B76FE0" w:rsidRDefault="00B76FE0" w:rsidP="00B76FE0">
            <w:pPr>
              <w:numPr>
                <w:ilvl w:val="0"/>
                <w:numId w:val="51"/>
              </w:numPr>
              <w:ind w:left="655" w:hanging="327"/>
              <w:jc w:val="both"/>
              <w:rPr>
                <w:rFonts w:ascii="Verdana" w:eastAsia="Calibri" w:hAnsi="Verdana"/>
                <w:bCs/>
                <w:color w:val="000000"/>
                <w:sz w:val="18"/>
                <w:szCs w:val="18"/>
              </w:rPr>
            </w:pPr>
            <w:r w:rsidRPr="00B76FE0">
              <w:rPr>
                <w:rFonts w:ascii="Verdana" w:hAnsi="Verdana"/>
                <w:bCs/>
                <w:color w:val="000000"/>
                <w:sz w:val="18"/>
                <w:szCs w:val="18"/>
                <w:lang w:val="en"/>
              </w:rPr>
              <w:t>GAP analysis.</w:t>
            </w:r>
          </w:p>
          <w:p w14:paraId="179B8296" w14:textId="77777777" w:rsidR="00B76FE0" w:rsidRPr="00B76FE0" w:rsidRDefault="00B76FE0" w:rsidP="00B76FE0">
            <w:pPr>
              <w:numPr>
                <w:ilvl w:val="0"/>
                <w:numId w:val="51"/>
              </w:numPr>
              <w:ind w:left="655" w:hanging="327"/>
              <w:jc w:val="both"/>
              <w:rPr>
                <w:rFonts w:ascii="Verdana" w:eastAsia="Calibri" w:hAnsi="Verdana"/>
                <w:bCs/>
                <w:color w:val="000000"/>
                <w:sz w:val="18"/>
                <w:szCs w:val="18"/>
              </w:rPr>
            </w:pPr>
            <w:r w:rsidRPr="00B76FE0">
              <w:rPr>
                <w:rFonts w:ascii="Verdana" w:hAnsi="Verdana"/>
                <w:bCs/>
                <w:color w:val="000000"/>
                <w:sz w:val="18"/>
                <w:szCs w:val="18"/>
                <w:lang w:val="en"/>
              </w:rPr>
              <w:t>Contribution analysis.</w:t>
            </w:r>
          </w:p>
          <w:p w14:paraId="43ED6FC3" w14:textId="77777777" w:rsidR="00B76FE0" w:rsidRPr="00B76FE0" w:rsidRDefault="00B76FE0" w:rsidP="00B76FE0">
            <w:pPr>
              <w:numPr>
                <w:ilvl w:val="0"/>
                <w:numId w:val="51"/>
              </w:numPr>
              <w:ind w:left="655" w:hanging="327"/>
              <w:jc w:val="both"/>
              <w:rPr>
                <w:rFonts w:ascii="Verdana" w:eastAsia="Calibri" w:hAnsi="Verdana"/>
                <w:bCs/>
                <w:color w:val="000000"/>
                <w:sz w:val="18"/>
                <w:szCs w:val="18"/>
              </w:rPr>
            </w:pPr>
            <w:r w:rsidRPr="00B76FE0">
              <w:rPr>
                <w:rFonts w:ascii="Verdana" w:hAnsi="Verdana"/>
                <w:bCs/>
                <w:color w:val="000000"/>
                <w:sz w:val="18"/>
                <w:szCs w:val="18"/>
                <w:lang w:val="en"/>
              </w:rPr>
              <w:t>Expert evaluation.</w:t>
            </w:r>
          </w:p>
          <w:p w14:paraId="06E55952" w14:textId="77777777" w:rsidR="00B76FE0" w:rsidRPr="00B76FE0" w:rsidRDefault="00B76FE0" w:rsidP="00B76FE0">
            <w:pPr>
              <w:numPr>
                <w:ilvl w:val="0"/>
                <w:numId w:val="51"/>
              </w:numPr>
              <w:ind w:left="655" w:hanging="327"/>
              <w:jc w:val="both"/>
              <w:rPr>
                <w:rFonts w:ascii="Verdana" w:eastAsia="Calibri" w:hAnsi="Verdana" w:cs="Helvetica"/>
                <w:bCs/>
                <w:color w:val="000000"/>
                <w:sz w:val="18"/>
                <w:szCs w:val="18"/>
              </w:rPr>
            </w:pPr>
            <w:r w:rsidRPr="00B76FE0">
              <w:rPr>
                <w:rFonts w:ascii="Verdana" w:hAnsi="Verdana"/>
                <w:bCs/>
                <w:color w:val="000000"/>
                <w:sz w:val="18"/>
                <w:szCs w:val="18"/>
                <w:lang w:val="en"/>
              </w:rPr>
              <w:t>Integration of applicable results from case studies.</w:t>
            </w:r>
          </w:p>
          <w:p w14:paraId="27A04B39" w14:textId="5AD9E9F4" w:rsidR="00B76FE0" w:rsidRPr="00B76FE0" w:rsidRDefault="00B76FE0" w:rsidP="00B76FE0">
            <w:pPr>
              <w:numPr>
                <w:ilvl w:val="0"/>
                <w:numId w:val="51"/>
              </w:numPr>
              <w:ind w:left="655" w:hanging="327"/>
              <w:jc w:val="both"/>
              <w:rPr>
                <w:rFonts w:ascii="Verdana" w:eastAsia="Calibri" w:hAnsi="Verdana"/>
                <w:bCs/>
                <w:color w:val="000000"/>
                <w:sz w:val="18"/>
                <w:szCs w:val="18"/>
              </w:rPr>
            </w:pPr>
            <w:r w:rsidRPr="00B76FE0">
              <w:rPr>
                <w:rFonts w:ascii="Verdana" w:hAnsi="Verdana"/>
                <w:bCs/>
                <w:color w:val="000000"/>
                <w:sz w:val="18"/>
                <w:szCs w:val="18"/>
                <w:lang w:val="en"/>
              </w:rPr>
              <w:t xml:space="preserve">Analytical-descriptive method, and expert evaluation to </w:t>
            </w:r>
            <w:r w:rsidR="00053257" w:rsidRPr="00B76FE0">
              <w:rPr>
                <w:rFonts w:ascii="Verdana" w:hAnsi="Verdana"/>
                <w:bCs/>
                <w:color w:val="000000"/>
                <w:sz w:val="18"/>
                <w:szCs w:val="18"/>
                <w:lang w:val="en"/>
              </w:rPr>
              <w:t>obtain</w:t>
            </w:r>
            <w:r w:rsidRPr="00B76FE0">
              <w:rPr>
                <w:rFonts w:ascii="Verdana" w:hAnsi="Verdana"/>
                <w:bCs/>
                <w:color w:val="000000"/>
                <w:sz w:val="18"/>
                <w:szCs w:val="18"/>
                <w:lang w:val="en"/>
              </w:rPr>
              <w:t xml:space="preserve"> evaluation results and conclusions.</w:t>
            </w:r>
          </w:p>
        </w:tc>
      </w:tr>
      <w:tr w:rsidR="00B76FE0" w:rsidRPr="00B76FE0" w14:paraId="793358CD" w14:textId="77777777" w:rsidTr="00AC2E19">
        <w:trPr>
          <w:trHeight w:val="146"/>
          <w:jc w:val="center"/>
        </w:trPr>
        <w:tc>
          <w:tcPr>
            <w:tcW w:w="1329" w:type="pct"/>
            <w:shd w:val="clear" w:color="auto" w:fill="D9DFEF" w:themeFill="accent1" w:themeFillTint="33"/>
          </w:tcPr>
          <w:p w14:paraId="0652768C" w14:textId="77777777" w:rsidR="00B76FE0" w:rsidRPr="00B76FE0" w:rsidRDefault="00B76FE0" w:rsidP="00B76FE0">
            <w:pPr>
              <w:jc w:val="both"/>
              <w:rPr>
                <w:rFonts w:ascii="Verdana" w:hAnsi="Verdana" w:cs="Calibri"/>
                <w:b/>
                <w:bCs/>
                <w:color w:val="000000"/>
                <w:sz w:val="18"/>
                <w:szCs w:val="18"/>
              </w:rPr>
            </w:pPr>
            <w:r w:rsidRPr="00B76FE0">
              <w:rPr>
                <w:rFonts w:ascii="Verdana" w:hAnsi="Verdana"/>
                <w:color w:val="000000"/>
                <w:sz w:val="18"/>
                <w:szCs w:val="18"/>
                <w:lang w:val="en"/>
              </w:rPr>
              <w:t>5.</w:t>
            </w:r>
            <w:hyperlink w:anchor="_Toc50292572" w:history="1">
              <w:r w:rsidRPr="00B76FE0">
                <w:rPr>
                  <w:rFonts w:ascii="Verdana" w:hAnsi="Verdana"/>
                  <w:b/>
                  <w:bCs/>
                  <w:color w:val="000000"/>
                  <w:sz w:val="18"/>
                  <w:szCs w:val="18"/>
                  <w:lang w:val="en"/>
                </w:rPr>
                <w:t>How has accessibility to settlements improved as a result of the projects implementation?</w:t>
              </w:r>
            </w:hyperlink>
          </w:p>
          <w:p w14:paraId="249A83DF" w14:textId="77777777" w:rsidR="00B76FE0" w:rsidRPr="00B76FE0" w:rsidRDefault="00B76FE0" w:rsidP="00B76FE0">
            <w:pPr>
              <w:tabs>
                <w:tab w:val="left" w:pos="409"/>
                <w:tab w:val="left" w:pos="491"/>
              </w:tabs>
              <w:spacing w:after="145" w:line="259" w:lineRule="auto"/>
              <w:ind w:left="655"/>
              <w:jc w:val="both"/>
              <w:rPr>
                <w:rFonts w:ascii="Verdana" w:eastAsia="Times New Roman" w:hAnsi="Verdana" w:cs="Times New Roman"/>
                <w:i/>
                <w:iCs/>
                <w:sz w:val="20"/>
                <w:szCs w:val="20"/>
                <w:highlight w:val="yellow"/>
                <w:lang w:eastAsia="en-GB"/>
              </w:rPr>
            </w:pPr>
          </w:p>
          <w:p w14:paraId="56C1BF87" w14:textId="77777777" w:rsidR="00B76FE0" w:rsidRPr="00B76FE0" w:rsidRDefault="00B76FE0" w:rsidP="00B76FE0">
            <w:pPr>
              <w:jc w:val="both"/>
              <w:rPr>
                <w:rFonts w:ascii="Verdana" w:eastAsia="Calibri" w:hAnsi="Verdana" w:cs="Calibri"/>
                <w:b/>
                <w:bCs/>
                <w:color w:val="000000"/>
                <w:sz w:val="18"/>
                <w:szCs w:val="18"/>
              </w:rPr>
            </w:pPr>
          </w:p>
          <w:p w14:paraId="61DD7CC0" w14:textId="77777777" w:rsidR="00B76FE0" w:rsidRPr="00B76FE0" w:rsidRDefault="00B76FE0" w:rsidP="00B76FE0">
            <w:pPr>
              <w:jc w:val="both"/>
              <w:rPr>
                <w:rFonts w:ascii="Verdana" w:eastAsia="Calibri" w:hAnsi="Verdana" w:cs="Calibri"/>
                <w:color w:val="000000"/>
                <w:sz w:val="18"/>
                <w:szCs w:val="18"/>
              </w:rPr>
            </w:pPr>
          </w:p>
        </w:tc>
        <w:tc>
          <w:tcPr>
            <w:tcW w:w="3671" w:type="pct"/>
          </w:tcPr>
          <w:p w14:paraId="0907C25F" w14:textId="77777777" w:rsidR="00B76FE0" w:rsidRPr="00B76FE0" w:rsidRDefault="00B76FE0" w:rsidP="00B76FE0">
            <w:pPr>
              <w:keepNext/>
              <w:keepLines/>
              <w:jc w:val="both"/>
              <w:outlineLvl w:val="2"/>
              <w:rPr>
                <w:rFonts w:ascii="Verdana" w:eastAsia="Calibri" w:hAnsi="Verdana" w:cs="Calibri"/>
                <w:b/>
                <w:bCs/>
                <w:color w:val="000000"/>
                <w:sz w:val="18"/>
                <w:szCs w:val="18"/>
              </w:rPr>
            </w:pPr>
            <w:r w:rsidRPr="00B76FE0">
              <w:rPr>
                <w:rFonts w:ascii="Verdana" w:hAnsi="Verdana"/>
                <w:b/>
                <w:bCs/>
                <w:color w:val="000000"/>
                <w:sz w:val="18"/>
                <w:szCs w:val="18"/>
                <w:lang w:val="en"/>
              </w:rPr>
              <w:t>Collection and processing of information and data</w:t>
            </w:r>
          </w:p>
          <w:p w14:paraId="09B86A37" w14:textId="09899BAA" w:rsidR="00B76FE0" w:rsidRPr="00B76FE0" w:rsidRDefault="00B76FE0" w:rsidP="00B76FE0">
            <w:pPr>
              <w:keepNext/>
              <w:keepLines/>
              <w:jc w:val="both"/>
              <w:outlineLvl w:val="2"/>
              <w:rPr>
                <w:rFonts w:ascii="Verdana" w:eastAsia="Calibri" w:hAnsi="Verdana" w:cs="Helvetica"/>
                <w:b/>
                <w:bCs/>
                <w:color w:val="000000"/>
                <w:sz w:val="18"/>
                <w:szCs w:val="18"/>
                <w:lang w:val="en-GB"/>
              </w:rPr>
            </w:pPr>
            <w:proofErr w:type="spellStart"/>
            <w:r w:rsidRPr="00B76FE0">
              <w:rPr>
                <w:rFonts w:ascii="Verdana" w:hAnsi="Verdana" w:cs="Helvetica"/>
                <w:b/>
                <w:bCs/>
                <w:color w:val="000000"/>
                <w:sz w:val="18"/>
                <w:szCs w:val="18"/>
              </w:rPr>
              <w:t>Des</w:t>
            </w:r>
            <w:proofErr w:type="spellEnd"/>
            <w:r w:rsidRPr="00B76FE0">
              <w:rPr>
                <w:rFonts w:ascii="Verdana" w:hAnsi="Verdana" w:cs="Helvetica"/>
                <w:b/>
                <w:bCs/>
                <w:color w:val="000000"/>
                <w:sz w:val="18"/>
                <w:szCs w:val="18"/>
                <w:lang w:val="en-GB"/>
              </w:rPr>
              <w:t xml:space="preserve">k </w:t>
            </w:r>
            <w:r w:rsidR="00053257">
              <w:rPr>
                <w:rFonts w:ascii="Verdana" w:hAnsi="Verdana" w:cs="Helvetica"/>
                <w:b/>
                <w:bCs/>
                <w:color w:val="000000"/>
                <w:sz w:val="18"/>
                <w:szCs w:val="18"/>
                <w:lang w:val="en-GB"/>
              </w:rPr>
              <w:t>R</w:t>
            </w:r>
            <w:r w:rsidRPr="00B76FE0">
              <w:rPr>
                <w:rFonts w:ascii="Verdana" w:hAnsi="Verdana" w:cs="Helvetica"/>
                <w:b/>
                <w:bCs/>
                <w:color w:val="000000"/>
                <w:sz w:val="18"/>
                <w:szCs w:val="18"/>
                <w:lang w:val="en-GB"/>
              </w:rPr>
              <w:t>esearch</w:t>
            </w:r>
          </w:p>
          <w:p w14:paraId="02CF8033" w14:textId="77777777" w:rsidR="00B76FE0" w:rsidRPr="00B76FE0" w:rsidRDefault="00B76FE0" w:rsidP="00B76FE0">
            <w:pPr>
              <w:keepNext/>
              <w:keepLines/>
              <w:numPr>
                <w:ilvl w:val="0"/>
                <w:numId w:val="52"/>
              </w:numPr>
              <w:ind w:left="655" w:hanging="327"/>
              <w:jc w:val="both"/>
              <w:outlineLvl w:val="2"/>
              <w:rPr>
                <w:rFonts w:ascii="Verdana" w:eastAsia="Calibri" w:hAnsi="Verdana" w:cs="Calibri"/>
                <w:color w:val="000000"/>
                <w:sz w:val="18"/>
                <w:szCs w:val="18"/>
              </w:rPr>
            </w:pPr>
            <w:r w:rsidRPr="00B76FE0">
              <w:rPr>
                <w:rFonts w:ascii="Verdana" w:hAnsi="Verdana"/>
                <w:color w:val="000000"/>
                <w:sz w:val="18"/>
                <w:szCs w:val="18"/>
                <w:lang w:val="en"/>
              </w:rPr>
              <w:t>Project Feasibility studies.</w:t>
            </w:r>
          </w:p>
          <w:p w14:paraId="6D75CB30" w14:textId="77777777" w:rsidR="00B76FE0" w:rsidRPr="00B76FE0" w:rsidRDefault="00B76FE0" w:rsidP="00B76FE0">
            <w:pPr>
              <w:keepNext/>
              <w:keepLines/>
              <w:numPr>
                <w:ilvl w:val="0"/>
                <w:numId w:val="52"/>
              </w:numPr>
              <w:ind w:left="655" w:hanging="327"/>
              <w:jc w:val="both"/>
              <w:outlineLvl w:val="2"/>
              <w:rPr>
                <w:rFonts w:ascii="Verdana" w:eastAsia="Calibri" w:hAnsi="Verdana" w:cs="Calibri"/>
                <w:color w:val="000000"/>
                <w:sz w:val="18"/>
                <w:szCs w:val="18"/>
              </w:rPr>
            </w:pPr>
            <w:r w:rsidRPr="00B76FE0">
              <w:rPr>
                <w:rFonts w:ascii="Verdana" w:hAnsi="Verdana"/>
                <w:color w:val="000000"/>
                <w:sz w:val="18"/>
                <w:szCs w:val="18"/>
                <w:lang w:val="en"/>
              </w:rPr>
              <w:t xml:space="preserve">Summary of the envisaged relevant interventions and settlements subject to improved accessibility and connectivity. </w:t>
            </w:r>
          </w:p>
          <w:p w14:paraId="5B00E627" w14:textId="77777777" w:rsidR="00B76FE0" w:rsidRPr="00B76FE0" w:rsidRDefault="00B76FE0" w:rsidP="00B76FE0">
            <w:pPr>
              <w:keepNext/>
              <w:keepLines/>
              <w:numPr>
                <w:ilvl w:val="0"/>
                <w:numId w:val="52"/>
              </w:numPr>
              <w:ind w:left="655" w:hanging="327"/>
              <w:jc w:val="both"/>
              <w:outlineLvl w:val="2"/>
              <w:rPr>
                <w:rFonts w:ascii="Verdana" w:eastAsia="Calibri" w:hAnsi="Verdana" w:cs="Calibri"/>
                <w:color w:val="000000"/>
                <w:sz w:val="18"/>
                <w:szCs w:val="18"/>
              </w:rPr>
            </w:pPr>
            <w:r w:rsidRPr="00B76FE0">
              <w:rPr>
                <w:rFonts w:ascii="Verdana" w:hAnsi="Verdana"/>
                <w:color w:val="000000"/>
                <w:sz w:val="18"/>
                <w:szCs w:val="18"/>
                <w:lang w:val="en"/>
              </w:rPr>
              <w:t>Project final reports.</w:t>
            </w:r>
          </w:p>
          <w:p w14:paraId="4C8A3E5C" w14:textId="77777777" w:rsidR="00B76FE0" w:rsidRPr="00B76FE0" w:rsidRDefault="00B76FE0" w:rsidP="00B76FE0">
            <w:pPr>
              <w:keepNext/>
              <w:keepLines/>
              <w:numPr>
                <w:ilvl w:val="0"/>
                <w:numId w:val="52"/>
              </w:numPr>
              <w:ind w:left="655" w:hanging="327"/>
              <w:jc w:val="both"/>
              <w:outlineLvl w:val="2"/>
              <w:rPr>
                <w:rFonts w:ascii="Verdana" w:eastAsia="Calibri" w:hAnsi="Verdana" w:cs="Calibri"/>
                <w:color w:val="000000"/>
                <w:sz w:val="18"/>
                <w:szCs w:val="18"/>
              </w:rPr>
            </w:pPr>
            <w:r w:rsidRPr="00B76FE0">
              <w:rPr>
                <w:rFonts w:ascii="Verdana" w:hAnsi="Verdana"/>
                <w:color w:val="000000"/>
                <w:sz w:val="18"/>
                <w:szCs w:val="18"/>
                <w:lang w:val="en"/>
              </w:rPr>
              <w:t>Summary of information on the accessibility and connectivity of the settlements as a result of the projects implemented.</w:t>
            </w:r>
          </w:p>
          <w:p w14:paraId="6E87213E" w14:textId="77777777" w:rsidR="00B76FE0" w:rsidRPr="00B76FE0" w:rsidRDefault="00B76FE0" w:rsidP="00B76FE0">
            <w:pPr>
              <w:keepNext/>
              <w:keepLines/>
              <w:jc w:val="both"/>
              <w:outlineLvl w:val="2"/>
              <w:rPr>
                <w:rFonts w:ascii="Verdana" w:eastAsia="Calibri" w:hAnsi="Verdana" w:cs="Calibri"/>
                <w:b/>
                <w:bCs/>
                <w:color w:val="000000"/>
                <w:sz w:val="18"/>
                <w:szCs w:val="18"/>
              </w:rPr>
            </w:pPr>
            <w:r w:rsidRPr="00B76FE0">
              <w:rPr>
                <w:rFonts w:ascii="Verdana" w:hAnsi="Verdana"/>
                <w:b/>
                <w:bCs/>
                <w:color w:val="000000"/>
                <w:sz w:val="18"/>
                <w:szCs w:val="18"/>
                <w:lang w:val="en"/>
              </w:rPr>
              <w:t>Evaluation methods</w:t>
            </w:r>
          </w:p>
          <w:p w14:paraId="51132ED9" w14:textId="77777777" w:rsidR="00B76FE0" w:rsidRPr="00B76FE0" w:rsidRDefault="00B76FE0" w:rsidP="00B76FE0">
            <w:pPr>
              <w:keepNext/>
              <w:keepLines/>
              <w:numPr>
                <w:ilvl w:val="0"/>
                <w:numId w:val="52"/>
              </w:numPr>
              <w:ind w:left="655" w:hanging="327"/>
              <w:jc w:val="both"/>
              <w:outlineLvl w:val="2"/>
              <w:rPr>
                <w:rFonts w:ascii="Verdana" w:eastAsia="Calibri" w:hAnsi="Verdana" w:cs="Calibri"/>
                <w:color w:val="000000"/>
                <w:sz w:val="18"/>
                <w:szCs w:val="18"/>
              </w:rPr>
            </w:pPr>
            <w:r w:rsidRPr="00B76FE0">
              <w:rPr>
                <w:rFonts w:ascii="Verdana" w:hAnsi="Verdana"/>
                <w:color w:val="000000"/>
                <w:sz w:val="18"/>
                <w:szCs w:val="18"/>
                <w:lang w:val="en"/>
              </w:rPr>
              <w:t>Integration of applicable case studies results.</w:t>
            </w:r>
          </w:p>
          <w:p w14:paraId="67F92740" w14:textId="77777777" w:rsidR="00B76FE0" w:rsidRPr="00B76FE0" w:rsidRDefault="00B76FE0" w:rsidP="00B76FE0">
            <w:pPr>
              <w:keepNext/>
              <w:keepLines/>
              <w:numPr>
                <w:ilvl w:val="0"/>
                <w:numId w:val="52"/>
              </w:numPr>
              <w:ind w:left="655" w:hanging="327"/>
              <w:jc w:val="both"/>
              <w:outlineLvl w:val="2"/>
              <w:rPr>
                <w:rFonts w:ascii="Verdana" w:eastAsia="Calibri" w:hAnsi="Verdana" w:cs="Calibri"/>
                <w:color w:val="000000"/>
                <w:sz w:val="18"/>
                <w:szCs w:val="18"/>
              </w:rPr>
            </w:pPr>
            <w:r w:rsidRPr="00B76FE0">
              <w:rPr>
                <w:rFonts w:ascii="Verdana" w:hAnsi="Verdana"/>
                <w:color w:val="000000"/>
                <w:sz w:val="18"/>
                <w:szCs w:val="18"/>
                <w:lang w:val="en"/>
              </w:rPr>
              <w:t>Analysis of the dynamics of relevant indicators for which reliable information and values are available.</w:t>
            </w:r>
          </w:p>
          <w:p w14:paraId="5C63BC15" w14:textId="77777777" w:rsidR="00B76FE0" w:rsidRPr="00B76FE0" w:rsidRDefault="00B76FE0" w:rsidP="00B76FE0">
            <w:pPr>
              <w:numPr>
                <w:ilvl w:val="0"/>
                <w:numId w:val="52"/>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Analytical-descriptive method, and expert evaluation to obtain evaluation results and conclusions.</w:t>
            </w:r>
          </w:p>
        </w:tc>
      </w:tr>
      <w:tr w:rsidR="00B76FE0" w:rsidRPr="00B76FE0" w14:paraId="146603B6" w14:textId="77777777" w:rsidTr="00AC2E19">
        <w:trPr>
          <w:trHeight w:val="146"/>
          <w:jc w:val="center"/>
        </w:trPr>
        <w:tc>
          <w:tcPr>
            <w:tcW w:w="1329" w:type="pct"/>
            <w:shd w:val="clear" w:color="auto" w:fill="D9DFEF" w:themeFill="accent1" w:themeFillTint="33"/>
          </w:tcPr>
          <w:p w14:paraId="41E2B53F" w14:textId="77777777" w:rsidR="00B76FE0" w:rsidRPr="00B76FE0" w:rsidRDefault="00B76FE0" w:rsidP="00B76FE0">
            <w:pPr>
              <w:jc w:val="both"/>
              <w:rPr>
                <w:rFonts w:ascii="Verdana" w:hAnsi="Verdana"/>
                <w:b/>
                <w:bCs/>
                <w:color w:val="000000"/>
                <w:sz w:val="18"/>
                <w:szCs w:val="18"/>
                <w:lang w:val="en"/>
              </w:rPr>
            </w:pPr>
            <w:r w:rsidRPr="00B76FE0">
              <w:rPr>
                <w:rFonts w:ascii="Verdana" w:hAnsi="Verdana"/>
                <w:color w:val="000000"/>
                <w:sz w:val="18"/>
                <w:szCs w:val="18"/>
                <w:lang w:val="en"/>
              </w:rPr>
              <w:t xml:space="preserve">6. </w:t>
            </w:r>
            <w:r w:rsidRPr="00B76FE0">
              <w:rPr>
                <w:rFonts w:ascii="Verdana" w:hAnsi="Verdana"/>
                <w:b/>
                <w:bCs/>
                <w:color w:val="000000"/>
                <w:sz w:val="18"/>
                <w:szCs w:val="18"/>
                <w:lang w:val="en"/>
              </w:rPr>
              <w:t>Is transport infrastructure less busy and was a balance between different transport modes achieved?</w:t>
            </w:r>
          </w:p>
          <w:p w14:paraId="315006A2" w14:textId="77777777" w:rsidR="00B76FE0" w:rsidRPr="00B76FE0" w:rsidRDefault="00B76FE0" w:rsidP="00B76FE0">
            <w:pPr>
              <w:jc w:val="both"/>
              <w:rPr>
                <w:rFonts w:ascii="Verdana" w:eastAsia="Calibri" w:hAnsi="Verdana" w:cs="Calibri"/>
                <w:b/>
                <w:color w:val="000000"/>
                <w:sz w:val="18"/>
                <w:szCs w:val="18"/>
              </w:rPr>
            </w:pPr>
          </w:p>
        </w:tc>
        <w:tc>
          <w:tcPr>
            <w:tcW w:w="3671" w:type="pct"/>
          </w:tcPr>
          <w:p w14:paraId="661B3909" w14:textId="77777777" w:rsidR="00B76FE0" w:rsidRPr="00B76FE0" w:rsidRDefault="00B76FE0" w:rsidP="00B76FE0">
            <w:pPr>
              <w:keepNext/>
              <w:keepLines/>
              <w:jc w:val="both"/>
              <w:outlineLvl w:val="2"/>
              <w:rPr>
                <w:rFonts w:ascii="Verdana" w:eastAsia="Calibri" w:hAnsi="Verdana" w:cs="Calibri"/>
                <w:b/>
                <w:bCs/>
                <w:color w:val="000000"/>
                <w:sz w:val="18"/>
                <w:szCs w:val="18"/>
              </w:rPr>
            </w:pPr>
            <w:r w:rsidRPr="00B76FE0">
              <w:rPr>
                <w:rFonts w:ascii="Verdana" w:hAnsi="Verdana"/>
                <w:b/>
                <w:bCs/>
                <w:color w:val="000000"/>
                <w:sz w:val="18"/>
                <w:szCs w:val="18"/>
                <w:lang w:val="en"/>
              </w:rPr>
              <w:t>Collection and processing of information and data</w:t>
            </w:r>
          </w:p>
          <w:p w14:paraId="3D67F359" w14:textId="77777777" w:rsidR="00B76FE0" w:rsidRPr="00B76FE0" w:rsidRDefault="00B76FE0" w:rsidP="00B76FE0">
            <w:pPr>
              <w:keepNext/>
              <w:keepLines/>
              <w:jc w:val="both"/>
              <w:outlineLvl w:val="2"/>
              <w:rPr>
                <w:rFonts w:ascii="Verdana" w:eastAsia="Calibri" w:hAnsi="Verdana" w:cs="Calibri"/>
                <w:b/>
                <w:bCs/>
                <w:color w:val="000000"/>
                <w:sz w:val="18"/>
                <w:szCs w:val="18"/>
                <w:lang w:val="en-GB"/>
              </w:rPr>
            </w:pPr>
            <w:proofErr w:type="spellStart"/>
            <w:r w:rsidRPr="00B76FE0">
              <w:rPr>
                <w:rFonts w:ascii="Verdana" w:hAnsi="Verdana" w:cs="Calibri"/>
                <w:b/>
                <w:bCs/>
                <w:color w:val="000000"/>
                <w:sz w:val="18"/>
                <w:szCs w:val="18"/>
              </w:rPr>
              <w:t>Desk</w:t>
            </w:r>
            <w:proofErr w:type="spellEnd"/>
            <w:r w:rsidRPr="00B76FE0">
              <w:rPr>
                <w:rFonts w:ascii="Verdana" w:hAnsi="Verdana" w:cs="Calibri"/>
                <w:b/>
                <w:bCs/>
                <w:color w:val="000000"/>
                <w:sz w:val="18"/>
                <w:szCs w:val="18"/>
              </w:rPr>
              <w:t xml:space="preserve"> </w:t>
            </w:r>
            <w:proofErr w:type="spellStart"/>
            <w:r w:rsidRPr="00B76FE0">
              <w:rPr>
                <w:rFonts w:ascii="Verdana" w:hAnsi="Verdana" w:cs="Calibri"/>
                <w:b/>
                <w:bCs/>
                <w:color w:val="000000"/>
                <w:sz w:val="18"/>
                <w:szCs w:val="18"/>
              </w:rPr>
              <w:t>Researc</w:t>
            </w:r>
            <w:proofErr w:type="spellEnd"/>
            <w:r w:rsidRPr="00B76FE0">
              <w:rPr>
                <w:rFonts w:ascii="Verdana" w:hAnsi="Verdana" w:cs="Calibri"/>
                <w:b/>
                <w:bCs/>
                <w:color w:val="000000"/>
                <w:sz w:val="18"/>
                <w:szCs w:val="18"/>
                <w:lang w:val="en-GB"/>
              </w:rPr>
              <w:t>h</w:t>
            </w:r>
          </w:p>
          <w:p w14:paraId="57EF7872" w14:textId="77535B52" w:rsidR="00B76FE0" w:rsidRPr="00B76FE0" w:rsidRDefault="00B76FE0" w:rsidP="00B76FE0">
            <w:pPr>
              <w:keepNext/>
              <w:keepLines/>
              <w:numPr>
                <w:ilvl w:val="0"/>
                <w:numId w:val="56"/>
              </w:numPr>
              <w:ind w:left="655" w:hanging="327"/>
              <w:jc w:val="both"/>
              <w:outlineLvl w:val="2"/>
              <w:rPr>
                <w:rFonts w:ascii="Verdana" w:eastAsia="Calibri" w:hAnsi="Verdana" w:cs="Calibri"/>
                <w:color w:val="000000"/>
                <w:sz w:val="18"/>
                <w:szCs w:val="18"/>
              </w:rPr>
            </w:pPr>
            <w:r w:rsidRPr="00B76FE0">
              <w:rPr>
                <w:rFonts w:ascii="Verdana" w:hAnsi="Verdana"/>
                <w:color w:val="000000"/>
                <w:sz w:val="18"/>
                <w:szCs w:val="18"/>
                <w:lang w:val="en"/>
              </w:rPr>
              <w:t xml:space="preserve">Desk research on the contribution of OPT projects to the interdependence and </w:t>
            </w:r>
            <w:r w:rsidRPr="00B76FE0">
              <w:rPr>
                <w:rFonts w:ascii="Verdana" w:hAnsi="Verdana"/>
                <w:color w:val="000000"/>
                <w:sz w:val="18"/>
                <w:szCs w:val="18"/>
              </w:rPr>
              <w:t>е</w:t>
            </w:r>
            <w:r w:rsidRPr="00B76FE0">
              <w:rPr>
                <w:rFonts w:ascii="Verdana" w:hAnsi="Verdana"/>
                <w:color w:val="000000"/>
                <w:sz w:val="18"/>
                <w:szCs w:val="18"/>
                <w:lang w:val="en-GB"/>
              </w:rPr>
              <w:t>quality o</w:t>
            </w:r>
            <w:r w:rsidRPr="00B76FE0">
              <w:rPr>
                <w:rFonts w:ascii="Verdana" w:hAnsi="Verdana"/>
                <w:color w:val="000000"/>
                <w:sz w:val="18"/>
                <w:szCs w:val="18"/>
                <w:lang w:val="en"/>
              </w:rPr>
              <w:t xml:space="preserve">f different transport modes and to </w:t>
            </w:r>
            <w:r w:rsidR="00053257" w:rsidRPr="00B76FE0">
              <w:rPr>
                <w:rFonts w:ascii="Verdana" w:hAnsi="Verdana"/>
                <w:color w:val="000000"/>
                <w:sz w:val="18"/>
                <w:szCs w:val="18"/>
                <w:lang w:val="en"/>
              </w:rPr>
              <w:t>achievement</w:t>
            </w:r>
            <w:r w:rsidRPr="00B76FE0">
              <w:rPr>
                <w:rFonts w:ascii="Verdana" w:hAnsi="Verdana"/>
                <w:color w:val="000000"/>
                <w:sz w:val="18"/>
                <w:szCs w:val="18"/>
                <w:lang w:val="en"/>
              </w:rPr>
              <w:t xml:space="preserve"> of </w:t>
            </w:r>
            <w:r w:rsidR="00053257" w:rsidRPr="00B76FE0">
              <w:rPr>
                <w:rFonts w:ascii="Verdana" w:hAnsi="Verdana"/>
                <w:color w:val="000000"/>
                <w:sz w:val="18"/>
                <w:szCs w:val="18"/>
                <w:lang w:val="en"/>
              </w:rPr>
              <w:t>optimal</w:t>
            </w:r>
            <w:r w:rsidRPr="00B76FE0">
              <w:rPr>
                <w:rFonts w:ascii="Verdana" w:hAnsi="Verdana"/>
                <w:color w:val="000000"/>
                <w:sz w:val="18"/>
                <w:szCs w:val="18"/>
                <w:lang w:val="en"/>
              </w:rPr>
              <w:t xml:space="preserve"> balance.</w:t>
            </w:r>
          </w:p>
          <w:p w14:paraId="18EC8276" w14:textId="77777777" w:rsidR="00B76FE0" w:rsidRPr="00B76FE0" w:rsidRDefault="00B76FE0" w:rsidP="00B76FE0">
            <w:pPr>
              <w:keepNext/>
              <w:keepLines/>
              <w:numPr>
                <w:ilvl w:val="0"/>
                <w:numId w:val="56"/>
              </w:numPr>
              <w:ind w:left="655" w:hanging="327"/>
              <w:jc w:val="both"/>
              <w:outlineLvl w:val="2"/>
              <w:rPr>
                <w:rFonts w:ascii="Verdana" w:eastAsia="Calibri" w:hAnsi="Verdana" w:cs="Calibri"/>
                <w:color w:val="000000"/>
                <w:sz w:val="18"/>
                <w:szCs w:val="18"/>
              </w:rPr>
            </w:pPr>
            <w:r w:rsidRPr="00B76FE0">
              <w:rPr>
                <w:rFonts w:ascii="Verdana" w:hAnsi="Verdana"/>
                <w:color w:val="000000"/>
                <w:sz w:val="18"/>
                <w:szCs w:val="18"/>
                <w:lang w:val="en"/>
              </w:rPr>
              <w:t>Collection and processing of secondary information and data on economic activity, cross-sectoral links and macroeconomic dynamics based on Eurostat and NSI data.</w:t>
            </w:r>
          </w:p>
          <w:p w14:paraId="4455A290" w14:textId="77777777" w:rsidR="00B76FE0" w:rsidRPr="00B76FE0" w:rsidRDefault="00B76FE0" w:rsidP="00B76FE0">
            <w:pPr>
              <w:keepNext/>
              <w:keepLines/>
              <w:numPr>
                <w:ilvl w:val="0"/>
                <w:numId w:val="56"/>
              </w:numPr>
              <w:ind w:left="655" w:hanging="327"/>
              <w:jc w:val="both"/>
              <w:outlineLvl w:val="2"/>
              <w:rPr>
                <w:rFonts w:ascii="Verdana" w:eastAsia="Calibri" w:hAnsi="Verdana" w:cs="Calibri"/>
                <w:color w:val="000000"/>
                <w:sz w:val="18"/>
                <w:szCs w:val="18"/>
              </w:rPr>
            </w:pPr>
            <w:r w:rsidRPr="00B76FE0">
              <w:rPr>
                <w:rFonts w:ascii="Verdana" w:hAnsi="Verdana"/>
                <w:color w:val="000000"/>
                <w:sz w:val="18"/>
                <w:szCs w:val="18"/>
                <w:lang w:val="en"/>
              </w:rPr>
              <w:t>Where applicable, collection of information on the balance between different transport modes in other EU Member States that could be used as a benchmark for the Bulgarian economy.</w:t>
            </w:r>
          </w:p>
          <w:p w14:paraId="244A42E9" w14:textId="77777777" w:rsidR="00B76FE0" w:rsidRPr="00B76FE0" w:rsidRDefault="00B76FE0" w:rsidP="00B76FE0">
            <w:pPr>
              <w:jc w:val="both"/>
              <w:rPr>
                <w:rFonts w:ascii="Verdana" w:eastAsia="Calibri" w:hAnsi="Verdana" w:cs="Calibri"/>
                <w:b/>
                <w:bCs/>
                <w:color w:val="000000"/>
                <w:sz w:val="18"/>
                <w:szCs w:val="18"/>
              </w:rPr>
            </w:pPr>
            <w:r w:rsidRPr="00B76FE0">
              <w:rPr>
                <w:rFonts w:ascii="Verdana" w:hAnsi="Verdana"/>
                <w:b/>
                <w:bCs/>
                <w:color w:val="000000"/>
                <w:sz w:val="18"/>
                <w:szCs w:val="18"/>
                <w:lang w:val="en"/>
              </w:rPr>
              <w:t>Evaluation methods</w:t>
            </w:r>
          </w:p>
          <w:p w14:paraId="4FF59AE4" w14:textId="77777777" w:rsidR="00B76FE0" w:rsidRPr="00B76FE0" w:rsidRDefault="00B76FE0" w:rsidP="00B76FE0">
            <w:pPr>
              <w:keepNext/>
              <w:keepLines/>
              <w:numPr>
                <w:ilvl w:val="0"/>
                <w:numId w:val="56"/>
              </w:numPr>
              <w:ind w:left="655" w:hanging="327"/>
              <w:jc w:val="both"/>
              <w:outlineLvl w:val="2"/>
              <w:rPr>
                <w:rFonts w:ascii="Verdana" w:eastAsia="Calibri" w:hAnsi="Verdana" w:cs="Calibri"/>
                <w:color w:val="000000"/>
                <w:sz w:val="18"/>
                <w:szCs w:val="18"/>
              </w:rPr>
            </w:pPr>
            <w:r w:rsidRPr="00B76FE0">
              <w:rPr>
                <w:rFonts w:ascii="Verdana" w:hAnsi="Verdana"/>
                <w:color w:val="000000"/>
                <w:sz w:val="18"/>
                <w:szCs w:val="18"/>
                <w:lang w:val="en"/>
              </w:rPr>
              <w:t>Comparative analysis of the intensity of use of the different transport modes and the balance achieved.</w:t>
            </w:r>
          </w:p>
          <w:p w14:paraId="1C440A27" w14:textId="77777777" w:rsidR="00B76FE0" w:rsidRPr="00B76FE0" w:rsidRDefault="00B76FE0" w:rsidP="00B76FE0">
            <w:pPr>
              <w:keepNext/>
              <w:keepLines/>
              <w:numPr>
                <w:ilvl w:val="0"/>
                <w:numId w:val="56"/>
              </w:numPr>
              <w:ind w:left="655" w:hanging="327"/>
              <w:jc w:val="both"/>
              <w:outlineLvl w:val="2"/>
              <w:rPr>
                <w:rFonts w:ascii="Verdana" w:eastAsia="Calibri" w:hAnsi="Verdana" w:cs="Calibri"/>
                <w:color w:val="000000"/>
                <w:sz w:val="18"/>
                <w:szCs w:val="18"/>
              </w:rPr>
            </w:pPr>
            <w:r w:rsidRPr="00B76FE0">
              <w:rPr>
                <w:rFonts w:ascii="Verdana" w:hAnsi="Verdana"/>
                <w:color w:val="000000"/>
                <w:sz w:val="18"/>
                <w:szCs w:val="18"/>
                <w:lang w:val="en"/>
              </w:rPr>
              <w:t>Causal analysis – macroeconomic analysis and cross-industry analysis as regards the relationship between traffic intensity and economic cycles.</w:t>
            </w:r>
          </w:p>
          <w:p w14:paraId="79462E2A" w14:textId="77777777" w:rsidR="00B76FE0" w:rsidRPr="00B76FE0" w:rsidRDefault="00B76FE0" w:rsidP="00B76FE0">
            <w:pPr>
              <w:keepNext/>
              <w:keepLines/>
              <w:numPr>
                <w:ilvl w:val="0"/>
                <w:numId w:val="56"/>
              </w:numPr>
              <w:ind w:left="655" w:hanging="327"/>
              <w:jc w:val="both"/>
              <w:outlineLvl w:val="2"/>
              <w:rPr>
                <w:rFonts w:ascii="Verdana" w:eastAsia="Calibri" w:hAnsi="Verdana" w:cs="Calibri"/>
                <w:color w:val="000000"/>
                <w:sz w:val="18"/>
                <w:szCs w:val="18"/>
              </w:rPr>
            </w:pPr>
            <w:r w:rsidRPr="00B76FE0">
              <w:rPr>
                <w:rFonts w:ascii="Verdana" w:hAnsi="Verdana"/>
                <w:color w:val="000000"/>
                <w:sz w:val="18"/>
                <w:szCs w:val="18"/>
                <w:lang w:val="en"/>
              </w:rPr>
              <w:t>Analytical-descriptive method, and expert evaluation to obtain evaluation results and conclusions.</w:t>
            </w:r>
          </w:p>
        </w:tc>
      </w:tr>
      <w:tr w:rsidR="00B76FE0" w:rsidRPr="00B76FE0" w14:paraId="1D87CA1A" w14:textId="77777777" w:rsidTr="00AC2E19">
        <w:trPr>
          <w:trHeight w:val="146"/>
          <w:jc w:val="center"/>
        </w:trPr>
        <w:tc>
          <w:tcPr>
            <w:tcW w:w="1329" w:type="pct"/>
            <w:shd w:val="clear" w:color="auto" w:fill="D9DFEF" w:themeFill="accent1" w:themeFillTint="33"/>
          </w:tcPr>
          <w:p w14:paraId="28A919BC" w14:textId="77777777" w:rsidR="00B76FE0" w:rsidRPr="00B76FE0" w:rsidRDefault="00B76FE0" w:rsidP="00B76FE0">
            <w:pPr>
              <w:jc w:val="both"/>
              <w:rPr>
                <w:rFonts w:ascii="Verdana" w:hAnsi="Verdana"/>
                <w:b/>
                <w:bCs/>
                <w:color w:val="000000"/>
                <w:sz w:val="18"/>
                <w:szCs w:val="18"/>
                <w:lang w:val="en"/>
              </w:rPr>
            </w:pPr>
            <w:r w:rsidRPr="00B76FE0">
              <w:rPr>
                <w:rFonts w:ascii="Verdana" w:hAnsi="Verdana"/>
                <w:color w:val="000000"/>
                <w:sz w:val="18"/>
                <w:szCs w:val="18"/>
                <w:lang w:val="en"/>
              </w:rPr>
              <w:t>7.</w:t>
            </w:r>
            <w:r w:rsidRPr="00B76FE0">
              <w:rPr>
                <w:rFonts w:ascii="Verdana" w:hAnsi="Verdana"/>
                <w:b/>
                <w:bCs/>
                <w:color w:val="000000"/>
                <w:sz w:val="18"/>
                <w:szCs w:val="18"/>
                <w:lang w:val="en"/>
              </w:rPr>
              <w:t xml:space="preserve">What are the economic and environmental benefits and effects for the transport sector? </w:t>
            </w:r>
          </w:p>
          <w:p w14:paraId="7A4D191C" w14:textId="77777777" w:rsidR="00B76FE0" w:rsidRPr="00B76FE0" w:rsidRDefault="00B76FE0" w:rsidP="00B76FE0">
            <w:pPr>
              <w:jc w:val="both"/>
              <w:rPr>
                <w:rFonts w:ascii="Verdana" w:eastAsia="Calibri" w:hAnsi="Verdana" w:cs="Calibri"/>
                <w:b/>
                <w:bCs/>
                <w:color w:val="000000"/>
                <w:sz w:val="18"/>
                <w:szCs w:val="18"/>
              </w:rPr>
            </w:pPr>
          </w:p>
          <w:p w14:paraId="7AC942E0" w14:textId="77777777" w:rsidR="00B76FE0" w:rsidRPr="00B76FE0" w:rsidRDefault="00B76FE0" w:rsidP="00B76FE0">
            <w:pPr>
              <w:jc w:val="both"/>
              <w:rPr>
                <w:rFonts w:ascii="Verdana" w:eastAsia="Calibri" w:hAnsi="Verdana" w:cs="Calibri"/>
                <w:b/>
                <w:color w:val="000000"/>
                <w:sz w:val="18"/>
                <w:szCs w:val="18"/>
              </w:rPr>
            </w:pPr>
          </w:p>
        </w:tc>
        <w:tc>
          <w:tcPr>
            <w:tcW w:w="3671" w:type="pct"/>
          </w:tcPr>
          <w:p w14:paraId="16178762" w14:textId="77777777" w:rsidR="00B76FE0" w:rsidRPr="00B76FE0" w:rsidRDefault="00B76FE0" w:rsidP="00B76FE0">
            <w:pPr>
              <w:jc w:val="both"/>
              <w:rPr>
                <w:rFonts w:ascii="Verdana" w:eastAsia="Calibri" w:hAnsi="Verdana" w:cs="Calibri"/>
                <w:b/>
                <w:bCs/>
                <w:color w:val="000000"/>
                <w:sz w:val="18"/>
                <w:szCs w:val="18"/>
              </w:rPr>
            </w:pPr>
            <w:r w:rsidRPr="00B76FE0">
              <w:rPr>
                <w:rFonts w:ascii="Verdana" w:hAnsi="Verdana"/>
                <w:b/>
                <w:bCs/>
                <w:color w:val="000000"/>
                <w:sz w:val="18"/>
                <w:szCs w:val="18"/>
                <w:lang w:val="en"/>
              </w:rPr>
              <w:t>Collection and processing of information and data</w:t>
            </w:r>
          </w:p>
          <w:p w14:paraId="1FB185C2" w14:textId="55132BD9" w:rsidR="00B76FE0" w:rsidRPr="00B76FE0" w:rsidRDefault="00B76FE0" w:rsidP="00B76FE0">
            <w:pPr>
              <w:jc w:val="both"/>
              <w:rPr>
                <w:rFonts w:ascii="Verdana" w:eastAsia="Calibri" w:hAnsi="Verdana" w:cs="Calibri"/>
                <w:b/>
                <w:bCs/>
                <w:color w:val="000000"/>
                <w:sz w:val="18"/>
                <w:szCs w:val="18"/>
                <w:lang w:val="en-GB"/>
              </w:rPr>
            </w:pPr>
            <w:proofErr w:type="spellStart"/>
            <w:r w:rsidRPr="00B76FE0">
              <w:rPr>
                <w:rFonts w:ascii="Verdana" w:hAnsi="Verdana" w:cs="Calibri"/>
                <w:b/>
                <w:bCs/>
                <w:color w:val="000000"/>
                <w:sz w:val="18"/>
                <w:szCs w:val="18"/>
              </w:rPr>
              <w:t>Desk</w:t>
            </w:r>
            <w:proofErr w:type="spellEnd"/>
            <w:r w:rsidRPr="00B76FE0">
              <w:rPr>
                <w:rFonts w:ascii="Verdana" w:hAnsi="Verdana" w:cs="Calibri"/>
                <w:b/>
                <w:bCs/>
                <w:color w:val="000000"/>
                <w:sz w:val="18"/>
                <w:szCs w:val="18"/>
              </w:rPr>
              <w:t xml:space="preserve"> </w:t>
            </w:r>
            <w:r w:rsidR="00053257">
              <w:rPr>
                <w:rFonts w:ascii="Verdana" w:hAnsi="Verdana" w:cs="Calibri"/>
                <w:b/>
                <w:bCs/>
                <w:color w:val="000000"/>
                <w:sz w:val="18"/>
                <w:szCs w:val="18"/>
                <w:lang w:val="en-US"/>
              </w:rPr>
              <w:t>R</w:t>
            </w:r>
            <w:proofErr w:type="spellStart"/>
            <w:r w:rsidRPr="00B76FE0">
              <w:rPr>
                <w:rFonts w:ascii="Verdana" w:hAnsi="Verdana" w:cs="Calibri"/>
                <w:b/>
                <w:bCs/>
                <w:color w:val="000000"/>
                <w:sz w:val="18"/>
                <w:szCs w:val="18"/>
              </w:rPr>
              <w:t>esearc</w:t>
            </w:r>
            <w:proofErr w:type="spellEnd"/>
            <w:r w:rsidRPr="00B76FE0">
              <w:rPr>
                <w:rFonts w:ascii="Verdana" w:hAnsi="Verdana" w:cs="Calibri"/>
                <w:b/>
                <w:bCs/>
                <w:color w:val="000000"/>
                <w:sz w:val="18"/>
                <w:szCs w:val="18"/>
                <w:lang w:val="en-GB"/>
              </w:rPr>
              <w:t>h</w:t>
            </w:r>
          </w:p>
          <w:p w14:paraId="78651E11" w14:textId="77777777" w:rsidR="00B76FE0" w:rsidRPr="00B76FE0" w:rsidRDefault="00B76FE0" w:rsidP="00B76FE0">
            <w:pPr>
              <w:numPr>
                <w:ilvl w:val="0"/>
                <w:numId w:val="53"/>
              </w:numPr>
              <w:ind w:left="655" w:hanging="327"/>
              <w:jc w:val="both"/>
              <w:rPr>
                <w:rFonts w:ascii="Verdana" w:eastAsia="Calibri" w:hAnsi="Verdana" w:cs="Calibri"/>
                <w:color w:val="000000"/>
                <w:sz w:val="18"/>
                <w:szCs w:val="18"/>
              </w:rPr>
            </w:pPr>
            <w:proofErr w:type="spellStart"/>
            <w:r w:rsidRPr="00B76FE0">
              <w:rPr>
                <w:rFonts w:ascii="Verdana" w:hAnsi="Verdana"/>
                <w:color w:val="000000"/>
                <w:sz w:val="18"/>
                <w:szCs w:val="18"/>
                <w:lang w:val="en"/>
              </w:rPr>
              <w:t>Sibilla</w:t>
            </w:r>
            <w:proofErr w:type="spellEnd"/>
            <w:r w:rsidRPr="00B76FE0">
              <w:rPr>
                <w:rFonts w:ascii="Verdana" w:hAnsi="Verdana"/>
                <w:color w:val="000000"/>
                <w:sz w:val="18"/>
                <w:szCs w:val="18"/>
                <w:lang w:val="en"/>
              </w:rPr>
              <w:t xml:space="preserve"> 2.0. was used to measure economic benefits as of 31.12.2019, published on the official website of the Ministry of Finance</w:t>
            </w:r>
            <w:r w:rsidRPr="00B76FE0">
              <w:rPr>
                <w:rFonts w:ascii="Verdana" w:hAnsi="Verdana"/>
                <w:sz w:val="18"/>
                <w:szCs w:val="18"/>
                <w:lang w:val="en"/>
              </w:rPr>
              <w:t xml:space="preserve">- </w:t>
            </w:r>
            <w:hyperlink r:id="rId14" w:history="1">
              <w:r w:rsidRPr="00B76FE0">
                <w:rPr>
                  <w:rFonts w:ascii="Verdana" w:hAnsi="Verdana"/>
                  <w:color w:val="9454C3" w:themeColor="hyperlink"/>
                  <w:sz w:val="18"/>
                  <w:szCs w:val="18"/>
                  <w:u w:val="single"/>
                  <w:lang w:val="en"/>
                </w:rPr>
                <w:t>https://www.minfin.bg/bg/1168</w:t>
              </w:r>
            </w:hyperlink>
            <w:r w:rsidRPr="00B76FE0">
              <w:rPr>
                <w:rFonts w:ascii="Verdana" w:hAnsi="Verdana"/>
                <w:color w:val="9454C3" w:themeColor="hyperlink"/>
                <w:sz w:val="18"/>
                <w:szCs w:val="18"/>
                <w:u w:val="single"/>
                <w:lang w:val="en"/>
              </w:rPr>
              <w:t>.</w:t>
            </w:r>
          </w:p>
          <w:p w14:paraId="5A3F7406" w14:textId="77777777" w:rsidR="00B76FE0" w:rsidRPr="00B76FE0" w:rsidRDefault="00B76FE0" w:rsidP="00B76FE0">
            <w:pPr>
              <w:numPr>
                <w:ilvl w:val="0"/>
                <w:numId w:val="53"/>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Review of data on projected environmental benefits from CBA of major projects.</w:t>
            </w:r>
          </w:p>
          <w:p w14:paraId="4F530224" w14:textId="77777777" w:rsidR="00B76FE0" w:rsidRPr="00B76FE0" w:rsidRDefault="00B76FE0" w:rsidP="00B76FE0">
            <w:pPr>
              <w:numPr>
                <w:ilvl w:val="0"/>
                <w:numId w:val="53"/>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Review of achieved values for indicators as of 2019 on the basis of assumptions and calculations in the CBA.</w:t>
            </w:r>
          </w:p>
          <w:p w14:paraId="3E85F180" w14:textId="56F9DB49" w:rsidR="00B76FE0" w:rsidRPr="00B76FE0" w:rsidRDefault="00B76FE0" w:rsidP="00B76FE0">
            <w:pPr>
              <w:numPr>
                <w:ilvl w:val="0"/>
                <w:numId w:val="53"/>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Reporting data as of 31.12.2019 on the values of indicators set out in t</w:t>
            </w:r>
            <w:r w:rsidR="00053257">
              <w:rPr>
                <w:rFonts w:ascii="Verdana" w:hAnsi="Verdana"/>
                <w:color w:val="000000"/>
                <w:sz w:val="18"/>
                <w:szCs w:val="18"/>
                <w:lang w:val="en"/>
              </w:rPr>
              <w:t>h</w:t>
            </w:r>
            <w:r w:rsidRPr="00B76FE0">
              <w:rPr>
                <w:rFonts w:ascii="Verdana" w:hAnsi="Verdana"/>
                <w:color w:val="000000"/>
                <w:sz w:val="18"/>
                <w:szCs w:val="18"/>
                <w:lang w:val="en"/>
              </w:rPr>
              <w:t>e CBA.</w:t>
            </w:r>
          </w:p>
          <w:p w14:paraId="338E8DD9" w14:textId="77777777" w:rsidR="00B76FE0" w:rsidRPr="00B76FE0" w:rsidRDefault="00B76FE0" w:rsidP="00B76FE0">
            <w:pPr>
              <w:jc w:val="both"/>
              <w:rPr>
                <w:rFonts w:ascii="Verdana" w:eastAsia="Calibri" w:hAnsi="Verdana" w:cs="Calibri"/>
                <w:b/>
                <w:bCs/>
                <w:color w:val="000000"/>
                <w:sz w:val="18"/>
                <w:szCs w:val="18"/>
              </w:rPr>
            </w:pPr>
            <w:r w:rsidRPr="00B76FE0">
              <w:rPr>
                <w:rFonts w:ascii="Verdana" w:hAnsi="Verdana"/>
                <w:b/>
                <w:bCs/>
                <w:color w:val="000000"/>
                <w:sz w:val="18"/>
                <w:szCs w:val="18"/>
                <w:lang w:val="en"/>
              </w:rPr>
              <w:lastRenderedPageBreak/>
              <w:t>Evaluation methods</w:t>
            </w:r>
          </w:p>
          <w:p w14:paraId="7EE48935" w14:textId="77777777" w:rsidR="00B76FE0" w:rsidRPr="00B76FE0" w:rsidRDefault="00B76FE0" w:rsidP="00B76FE0">
            <w:pPr>
              <w:numPr>
                <w:ilvl w:val="0"/>
                <w:numId w:val="53"/>
              </w:numPr>
              <w:ind w:left="655" w:hanging="327"/>
              <w:jc w:val="both"/>
              <w:rPr>
                <w:rFonts w:ascii="Verdana" w:eastAsia="Calibri" w:hAnsi="Verdana" w:cs="Helvetica"/>
                <w:bCs/>
                <w:color w:val="000000"/>
                <w:sz w:val="18"/>
                <w:szCs w:val="18"/>
              </w:rPr>
            </w:pPr>
            <w:r w:rsidRPr="00B76FE0">
              <w:rPr>
                <w:rFonts w:ascii="Verdana" w:hAnsi="Verdana"/>
                <w:bCs/>
                <w:color w:val="000000"/>
                <w:sz w:val="18"/>
                <w:szCs w:val="18"/>
                <w:lang w:val="en"/>
              </w:rPr>
              <w:t>Integration of applicable case study results.</w:t>
            </w:r>
          </w:p>
          <w:p w14:paraId="2070AC1E" w14:textId="77777777" w:rsidR="00B76FE0" w:rsidRPr="00B76FE0" w:rsidRDefault="00B76FE0" w:rsidP="00B76FE0">
            <w:pPr>
              <w:numPr>
                <w:ilvl w:val="0"/>
                <w:numId w:val="53"/>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Measuring key environmental benefits as of 31.12.2019 based on CBA models.</w:t>
            </w:r>
          </w:p>
        </w:tc>
      </w:tr>
      <w:tr w:rsidR="00B76FE0" w:rsidRPr="00B76FE0" w14:paraId="4ECAF3FC" w14:textId="77777777" w:rsidTr="00AC2E19">
        <w:trPr>
          <w:trHeight w:val="146"/>
          <w:jc w:val="center"/>
        </w:trPr>
        <w:tc>
          <w:tcPr>
            <w:tcW w:w="1329" w:type="pct"/>
            <w:shd w:val="clear" w:color="auto" w:fill="D9DFEF" w:themeFill="accent1" w:themeFillTint="33"/>
          </w:tcPr>
          <w:p w14:paraId="7D60FAB1" w14:textId="77777777" w:rsidR="00B76FE0" w:rsidRPr="00B76FE0" w:rsidRDefault="00B76FE0" w:rsidP="00B76FE0">
            <w:pPr>
              <w:jc w:val="both"/>
              <w:rPr>
                <w:rFonts w:ascii="Verdana" w:hAnsi="Verdana"/>
                <w:b/>
                <w:bCs/>
                <w:color w:val="000000"/>
                <w:sz w:val="18"/>
                <w:szCs w:val="18"/>
                <w:lang w:val="en"/>
              </w:rPr>
            </w:pPr>
            <w:r w:rsidRPr="00B76FE0">
              <w:rPr>
                <w:rFonts w:ascii="Verdana" w:hAnsi="Verdana"/>
                <w:color w:val="000000"/>
                <w:sz w:val="18"/>
                <w:szCs w:val="18"/>
                <w:lang w:val="en"/>
              </w:rPr>
              <w:lastRenderedPageBreak/>
              <w:t>8.</w:t>
            </w:r>
            <w:hyperlink w:anchor="_Toc50292575" w:history="1">
              <w:r w:rsidRPr="00B76FE0">
                <w:rPr>
                  <w:rFonts w:ascii="Verdana" w:hAnsi="Verdana"/>
                  <w:b/>
                  <w:bCs/>
                  <w:color w:val="000000"/>
                  <w:sz w:val="18"/>
                  <w:szCs w:val="18"/>
                  <w:lang w:val="en"/>
                </w:rPr>
                <w:t>What is the contribution of OPT to sustainable development policy?</w:t>
              </w:r>
            </w:hyperlink>
          </w:p>
          <w:p w14:paraId="0C7E61CC" w14:textId="77777777" w:rsidR="00B76FE0" w:rsidRPr="00B76FE0" w:rsidRDefault="00B76FE0" w:rsidP="00B76FE0">
            <w:pPr>
              <w:jc w:val="both"/>
              <w:rPr>
                <w:rFonts w:ascii="Verdana" w:eastAsia="Calibri" w:hAnsi="Verdana" w:cs="Calibri"/>
                <w:color w:val="000000"/>
                <w:sz w:val="18"/>
                <w:szCs w:val="18"/>
              </w:rPr>
            </w:pPr>
          </w:p>
          <w:p w14:paraId="677A8E92" w14:textId="77777777" w:rsidR="00B76FE0" w:rsidRPr="00B76FE0" w:rsidRDefault="00B76FE0" w:rsidP="00B76FE0">
            <w:pPr>
              <w:jc w:val="both"/>
              <w:rPr>
                <w:rFonts w:ascii="Verdana" w:eastAsia="Calibri" w:hAnsi="Verdana" w:cs="Calibri"/>
                <w:b/>
                <w:color w:val="000000"/>
                <w:sz w:val="18"/>
                <w:szCs w:val="18"/>
              </w:rPr>
            </w:pPr>
          </w:p>
        </w:tc>
        <w:tc>
          <w:tcPr>
            <w:tcW w:w="3671" w:type="pct"/>
          </w:tcPr>
          <w:p w14:paraId="63BC7178" w14:textId="77777777" w:rsidR="00B76FE0" w:rsidRPr="00B76FE0" w:rsidRDefault="00B76FE0" w:rsidP="00B76FE0">
            <w:pPr>
              <w:jc w:val="both"/>
              <w:rPr>
                <w:rFonts w:ascii="Verdana" w:eastAsia="Calibri" w:hAnsi="Verdana" w:cs="Calibri"/>
                <w:b/>
                <w:bCs/>
                <w:color w:val="000000"/>
                <w:sz w:val="18"/>
                <w:szCs w:val="18"/>
              </w:rPr>
            </w:pPr>
            <w:r w:rsidRPr="00B76FE0">
              <w:rPr>
                <w:rFonts w:ascii="Verdana" w:hAnsi="Verdana"/>
                <w:b/>
                <w:bCs/>
                <w:color w:val="000000"/>
                <w:sz w:val="18"/>
                <w:szCs w:val="18"/>
                <w:lang w:val="en"/>
              </w:rPr>
              <w:t>Collection and processing of information and data</w:t>
            </w:r>
          </w:p>
          <w:p w14:paraId="4F5A0127" w14:textId="3FFC8EAA" w:rsidR="00B76FE0" w:rsidRPr="00B76FE0" w:rsidRDefault="00B76FE0" w:rsidP="00B76FE0">
            <w:pPr>
              <w:jc w:val="both"/>
              <w:rPr>
                <w:rFonts w:ascii="Verdana" w:eastAsia="Calibri" w:hAnsi="Verdana" w:cs="Calibri"/>
                <w:b/>
                <w:bCs/>
                <w:color w:val="000000"/>
                <w:sz w:val="18"/>
                <w:szCs w:val="18"/>
              </w:rPr>
            </w:pPr>
            <w:proofErr w:type="spellStart"/>
            <w:r w:rsidRPr="00B76FE0">
              <w:rPr>
                <w:rFonts w:ascii="Verdana" w:hAnsi="Verdana" w:cs="Calibri"/>
                <w:b/>
                <w:bCs/>
                <w:color w:val="000000"/>
                <w:sz w:val="18"/>
                <w:szCs w:val="18"/>
              </w:rPr>
              <w:t>Desk</w:t>
            </w:r>
            <w:proofErr w:type="spellEnd"/>
            <w:r w:rsidRPr="00B76FE0">
              <w:rPr>
                <w:rFonts w:ascii="Verdana" w:hAnsi="Verdana" w:cs="Calibri"/>
                <w:b/>
                <w:bCs/>
                <w:color w:val="000000"/>
                <w:sz w:val="18"/>
                <w:szCs w:val="18"/>
              </w:rPr>
              <w:t xml:space="preserve"> </w:t>
            </w:r>
            <w:r w:rsidR="00053257">
              <w:rPr>
                <w:rFonts w:ascii="Verdana" w:hAnsi="Verdana" w:cs="Calibri"/>
                <w:b/>
                <w:bCs/>
                <w:color w:val="000000"/>
                <w:sz w:val="18"/>
                <w:szCs w:val="18"/>
                <w:lang w:val="en-US"/>
              </w:rPr>
              <w:t>R</w:t>
            </w:r>
            <w:proofErr w:type="spellStart"/>
            <w:r w:rsidRPr="00B76FE0">
              <w:rPr>
                <w:rFonts w:ascii="Verdana" w:hAnsi="Verdana" w:cs="Calibri"/>
                <w:b/>
                <w:bCs/>
                <w:color w:val="000000"/>
                <w:sz w:val="18"/>
                <w:szCs w:val="18"/>
              </w:rPr>
              <w:t>esearch</w:t>
            </w:r>
            <w:proofErr w:type="spellEnd"/>
          </w:p>
          <w:p w14:paraId="4AEB18F9" w14:textId="77777777" w:rsidR="00B76FE0" w:rsidRPr="00B76FE0" w:rsidRDefault="00B76FE0" w:rsidP="00B76FE0">
            <w:pPr>
              <w:numPr>
                <w:ilvl w:val="0"/>
                <w:numId w:val="54"/>
              </w:numPr>
              <w:ind w:left="655" w:hanging="327"/>
              <w:jc w:val="both"/>
              <w:rPr>
                <w:rFonts w:ascii="Verdana" w:eastAsia="Calibri" w:hAnsi="Verdana" w:cs="Helvetica"/>
                <w:color w:val="000000"/>
                <w:sz w:val="18"/>
                <w:szCs w:val="18"/>
              </w:rPr>
            </w:pPr>
            <w:r w:rsidRPr="00B76FE0">
              <w:rPr>
                <w:rFonts w:ascii="Verdana" w:hAnsi="Verdana"/>
                <w:color w:val="000000"/>
                <w:sz w:val="18"/>
                <w:szCs w:val="18"/>
                <w:lang w:val="en"/>
              </w:rPr>
              <w:t>Review of the situation analysis in OPT.</w:t>
            </w:r>
          </w:p>
          <w:p w14:paraId="3829E033" w14:textId="77777777" w:rsidR="00B76FE0" w:rsidRPr="00B76FE0" w:rsidRDefault="00B76FE0" w:rsidP="00B76FE0">
            <w:pPr>
              <w:numPr>
                <w:ilvl w:val="0"/>
                <w:numId w:val="54"/>
              </w:numPr>
              <w:ind w:left="655" w:hanging="327"/>
              <w:jc w:val="both"/>
              <w:rPr>
                <w:rFonts w:ascii="Verdana" w:eastAsia="Calibri" w:hAnsi="Verdana" w:cs="Helvetica"/>
                <w:color w:val="000000"/>
                <w:sz w:val="18"/>
                <w:szCs w:val="18"/>
              </w:rPr>
            </w:pPr>
            <w:r w:rsidRPr="00B76FE0">
              <w:rPr>
                <w:rFonts w:ascii="Verdana" w:hAnsi="Verdana"/>
                <w:color w:val="000000"/>
                <w:sz w:val="18"/>
                <w:szCs w:val="18"/>
                <w:lang w:val="en"/>
              </w:rPr>
              <w:t>Collection of data for 2017, 2018 and 2019, and calculation of product and result indicator values as of 31.12.2019.</w:t>
            </w:r>
          </w:p>
          <w:p w14:paraId="398AD2E7" w14:textId="77777777" w:rsidR="00B76FE0" w:rsidRPr="00B76FE0" w:rsidRDefault="00B76FE0" w:rsidP="00B76FE0">
            <w:pPr>
              <w:jc w:val="both"/>
              <w:rPr>
                <w:rFonts w:ascii="Verdana" w:eastAsia="Calibri" w:hAnsi="Verdana" w:cs="Helvetica"/>
                <w:b/>
                <w:bCs/>
                <w:color w:val="000000"/>
                <w:sz w:val="18"/>
                <w:szCs w:val="18"/>
              </w:rPr>
            </w:pPr>
            <w:r w:rsidRPr="00B76FE0">
              <w:rPr>
                <w:rFonts w:ascii="Verdana" w:hAnsi="Verdana"/>
                <w:b/>
                <w:bCs/>
                <w:color w:val="000000"/>
                <w:sz w:val="18"/>
                <w:szCs w:val="18"/>
                <w:lang w:val="en"/>
              </w:rPr>
              <w:t>Analysis Evaluation methods</w:t>
            </w:r>
          </w:p>
          <w:p w14:paraId="1DC9C19C" w14:textId="77777777" w:rsidR="00B76FE0" w:rsidRPr="00B76FE0" w:rsidRDefault="00B76FE0" w:rsidP="00B76FE0">
            <w:pPr>
              <w:numPr>
                <w:ilvl w:val="0"/>
                <w:numId w:val="54"/>
              </w:numPr>
              <w:ind w:left="655" w:hanging="327"/>
              <w:jc w:val="both"/>
              <w:rPr>
                <w:rFonts w:ascii="Verdana" w:hAnsi="Verdana"/>
                <w:bCs/>
                <w:color w:val="000000"/>
                <w:sz w:val="18"/>
                <w:szCs w:val="18"/>
                <w:lang w:val="en"/>
              </w:rPr>
            </w:pPr>
            <w:r w:rsidRPr="00B76FE0">
              <w:rPr>
                <w:rFonts w:ascii="Verdana" w:hAnsi="Verdana"/>
                <w:color w:val="000000"/>
                <w:sz w:val="18"/>
                <w:szCs w:val="18"/>
                <w:lang w:val="en"/>
              </w:rPr>
              <w:t>Contribution analysis</w:t>
            </w:r>
            <w:r w:rsidRPr="00B76FE0">
              <w:rPr>
                <w:rFonts w:ascii="Verdana" w:hAnsi="Verdana"/>
                <w:b/>
                <w:bCs/>
                <w:color w:val="000000"/>
                <w:sz w:val="18"/>
                <w:szCs w:val="18"/>
                <w:lang w:val="en"/>
              </w:rPr>
              <w:t xml:space="preserve"> - </w:t>
            </w:r>
            <w:r w:rsidRPr="00B76FE0">
              <w:rPr>
                <w:rFonts w:ascii="Verdana" w:hAnsi="Verdana"/>
                <w:bCs/>
                <w:color w:val="000000"/>
                <w:sz w:val="18"/>
                <w:szCs w:val="18"/>
                <w:lang w:val="en"/>
              </w:rPr>
              <w:t>assessment of causal links and influences and assessment of changes achieved.</w:t>
            </w:r>
          </w:p>
          <w:p w14:paraId="60154168" w14:textId="77777777" w:rsidR="00B76FE0" w:rsidRPr="00B76FE0" w:rsidRDefault="00B76FE0" w:rsidP="00B76FE0">
            <w:pPr>
              <w:numPr>
                <w:ilvl w:val="0"/>
                <w:numId w:val="54"/>
              </w:numPr>
              <w:ind w:left="655" w:hanging="327"/>
              <w:jc w:val="both"/>
              <w:rPr>
                <w:rFonts w:ascii="Verdana" w:eastAsia="Calibri" w:hAnsi="Verdana" w:cs="Helvetica"/>
                <w:bCs/>
                <w:color w:val="000000"/>
                <w:sz w:val="18"/>
                <w:szCs w:val="18"/>
              </w:rPr>
            </w:pPr>
            <w:r w:rsidRPr="00B76FE0">
              <w:rPr>
                <w:rFonts w:ascii="Verdana" w:hAnsi="Verdana"/>
                <w:bCs/>
                <w:color w:val="000000"/>
                <w:sz w:val="18"/>
                <w:szCs w:val="18"/>
                <w:lang w:val="en"/>
              </w:rPr>
              <w:t>Integration of applicable case study results.</w:t>
            </w:r>
          </w:p>
          <w:p w14:paraId="2A7B146A" w14:textId="77777777" w:rsidR="00B76FE0" w:rsidRPr="00B76FE0" w:rsidRDefault="00B76FE0" w:rsidP="00B76FE0">
            <w:pPr>
              <w:numPr>
                <w:ilvl w:val="0"/>
                <w:numId w:val="54"/>
              </w:numPr>
              <w:ind w:left="655" w:hanging="327"/>
              <w:jc w:val="both"/>
              <w:rPr>
                <w:rFonts w:ascii="Verdana" w:eastAsia="Calibri" w:hAnsi="Verdana"/>
                <w:bCs/>
                <w:color w:val="000000"/>
                <w:sz w:val="18"/>
                <w:szCs w:val="18"/>
              </w:rPr>
            </w:pPr>
            <w:r w:rsidRPr="00B76FE0">
              <w:rPr>
                <w:rFonts w:ascii="Verdana" w:hAnsi="Verdana"/>
                <w:bCs/>
                <w:color w:val="000000"/>
                <w:sz w:val="18"/>
                <w:szCs w:val="18"/>
                <w:lang w:val="en"/>
              </w:rPr>
              <w:t>Expert evaluation and conclusions.</w:t>
            </w:r>
          </w:p>
        </w:tc>
      </w:tr>
      <w:tr w:rsidR="00B76FE0" w:rsidRPr="00B76FE0" w14:paraId="0B7E470B" w14:textId="77777777" w:rsidTr="00AC2E19">
        <w:trPr>
          <w:trHeight w:val="146"/>
          <w:jc w:val="center"/>
        </w:trPr>
        <w:tc>
          <w:tcPr>
            <w:tcW w:w="1329" w:type="pct"/>
            <w:shd w:val="clear" w:color="auto" w:fill="D9DFEF" w:themeFill="accent1" w:themeFillTint="33"/>
          </w:tcPr>
          <w:p w14:paraId="5AFEDD57" w14:textId="04F7A886" w:rsidR="00B76FE0" w:rsidRPr="00B76FE0" w:rsidRDefault="00B76FE0" w:rsidP="00B76FE0">
            <w:pPr>
              <w:jc w:val="both"/>
              <w:rPr>
                <w:rFonts w:ascii="Verdana" w:hAnsi="Verdana"/>
                <w:b/>
                <w:bCs/>
                <w:color w:val="000000"/>
                <w:sz w:val="18"/>
                <w:szCs w:val="18"/>
                <w:lang w:val="en"/>
              </w:rPr>
            </w:pPr>
            <w:r w:rsidRPr="00B76FE0">
              <w:rPr>
                <w:rFonts w:ascii="Verdana" w:hAnsi="Verdana"/>
                <w:b/>
                <w:bCs/>
                <w:color w:val="000000"/>
                <w:sz w:val="18"/>
                <w:szCs w:val="18"/>
                <w:lang w:val="en"/>
              </w:rPr>
              <w:t>9.</w:t>
            </w:r>
            <w:hyperlink w:anchor="_Toc50292576" w:history="1">
              <w:r w:rsidRPr="00B76FE0">
                <w:rPr>
                  <w:rFonts w:ascii="Verdana" w:hAnsi="Verdana"/>
                  <w:b/>
                  <w:bCs/>
                  <w:color w:val="000000"/>
                  <w:sz w:val="18"/>
                  <w:szCs w:val="18"/>
                  <w:lang w:val="en"/>
                </w:rPr>
                <w:t xml:space="preserve">What were the main problems encountered in the process of preparation and </w:t>
              </w:r>
              <w:r w:rsidR="00053257" w:rsidRPr="00B76FE0">
                <w:rPr>
                  <w:rFonts w:ascii="Verdana" w:hAnsi="Verdana"/>
                  <w:b/>
                  <w:bCs/>
                  <w:color w:val="000000"/>
                  <w:sz w:val="18"/>
                  <w:szCs w:val="18"/>
                  <w:lang w:val="en"/>
                </w:rPr>
                <w:t>implementation</w:t>
              </w:r>
              <w:r w:rsidRPr="00B76FE0">
                <w:rPr>
                  <w:rFonts w:ascii="Verdana" w:hAnsi="Verdana"/>
                  <w:b/>
                  <w:bCs/>
                  <w:color w:val="000000"/>
                  <w:sz w:val="18"/>
                  <w:szCs w:val="18"/>
                  <w:lang w:val="en"/>
                </w:rPr>
                <w:t xml:space="preserve"> of projects?</w:t>
              </w:r>
            </w:hyperlink>
          </w:p>
          <w:p w14:paraId="7E7E47CA" w14:textId="77777777" w:rsidR="00B76FE0" w:rsidRPr="00B76FE0" w:rsidRDefault="00B76FE0" w:rsidP="00B76FE0">
            <w:pPr>
              <w:jc w:val="both"/>
              <w:rPr>
                <w:rFonts w:ascii="Verdana" w:eastAsia="Calibri" w:hAnsi="Verdana" w:cs="Calibri"/>
                <w:b/>
                <w:color w:val="000000"/>
                <w:sz w:val="18"/>
                <w:szCs w:val="18"/>
              </w:rPr>
            </w:pPr>
          </w:p>
        </w:tc>
        <w:tc>
          <w:tcPr>
            <w:tcW w:w="3671" w:type="pct"/>
          </w:tcPr>
          <w:p w14:paraId="4D9513E2" w14:textId="2120E9E3" w:rsidR="00B76FE0" w:rsidRPr="00B76FE0" w:rsidRDefault="00B76FE0" w:rsidP="00B76FE0">
            <w:pPr>
              <w:jc w:val="both"/>
              <w:rPr>
                <w:rFonts w:ascii="Verdana" w:eastAsia="Calibri" w:hAnsi="Verdana" w:cs="Calibri"/>
                <w:b/>
                <w:bCs/>
                <w:color w:val="000000"/>
                <w:sz w:val="18"/>
                <w:szCs w:val="18"/>
              </w:rPr>
            </w:pPr>
            <w:proofErr w:type="spellStart"/>
            <w:r w:rsidRPr="00B76FE0">
              <w:rPr>
                <w:rFonts w:ascii="Verdana" w:hAnsi="Verdana" w:cs="Calibri"/>
                <w:b/>
                <w:bCs/>
                <w:color w:val="000000"/>
                <w:sz w:val="18"/>
                <w:szCs w:val="18"/>
              </w:rPr>
              <w:t>Desk</w:t>
            </w:r>
            <w:proofErr w:type="spellEnd"/>
            <w:r w:rsidRPr="00B76FE0">
              <w:rPr>
                <w:rFonts w:ascii="Verdana" w:hAnsi="Verdana" w:cs="Calibri"/>
                <w:b/>
                <w:bCs/>
                <w:color w:val="000000"/>
                <w:sz w:val="18"/>
                <w:szCs w:val="18"/>
              </w:rPr>
              <w:t xml:space="preserve"> </w:t>
            </w:r>
            <w:r w:rsidR="00053257">
              <w:rPr>
                <w:rFonts w:ascii="Verdana" w:hAnsi="Verdana" w:cs="Calibri"/>
                <w:b/>
                <w:bCs/>
                <w:color w:val="000000"/>
                <w:sz w:val="18"/>
                <w:szCs w:val="18"/>
                <w:lang w:val="en-US"/>
              </w:rPr>
              <w:t>R</w:t>
            </w:r>
            <w:proofErr w:type="spellStart"/>
            <w:r w:rsidRPr="00B76FE0">
              <w:rPr>
                <w:rFonts w:ascii="Verdana" w:hAnsi="Verdana" w:cs="Calibri"/>
                <w:b/>
                <w:bCs/>
                <w:color w:val="000000"/>
                <w:sz w:val="18"/>
                <w:szCs w:val="18"/>
              </w:rPr>
              <w:t>esearch</w:t>
            </w:r>
            <w:proofErr w:type="spellEnd"/>
          </w:p>
          <w:p w14:paraId="6B28968C" w14:textId="77777777" w:rsidR="00B76FE0" w:rsidRPr="00B76FE0" w:rsidRDefault="00B76FE0" w:rsidP="00B76FE0">
            <w:pPr>
              <w:numPr>
                <w:ilvl w:val="0"/>
                <w:numId w:val="55"/>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 xml:space="preserve">Review of the </w:t>
            </w:r>
            <w:proofErr w:type="spellStart"/>
            <w:r w:rsidRPr="00B76FE0">
              <w:rPr>
                <w:rFonts w:ascii="Verdana" w:hAnsi="Verdana"/>
                <w:color w:val="000000"/>
                <w:sz w:val="18"/>
                <w:szCs w:val="18"/>
                <w:lang w:val="en"/>
              </w:rPr>
              <w:t>prorgamme</w:t>
            </w:r>
            <w:proofErr w:type="spellEnd"/>
            <w:r w:rsidRPr="00B76FE0">
              <w:rPr>
                <w:rFonts w:ascii="Verdana" w:hAnsi="Verdana"/>
                <w:color w:val="000000"/>
                <w:sz w:val="18"/>
                <w:szCs w:val="18"/>
                <w:lang w:val="en"/>
              </w:rPr>
              <w:t xml:space="preserve"> annual reports, protocols from MC meetings, final project reports, performed evaluations on final beneficiaries and interim evaluation of OPT.</w:t>
            </w:r>
          </w:p>
          <w:p w14:paraId="0F2463B6" w14:textId="77777777" w:rsidR="00B76FE0" w:rsidRPr="00B76FE0" w:rsidRDefault="00B76FE0" w:rsidP="00B76FE0">
            <w:pPr>
              <w:numPr>
                <w:ilvl w:val="0"/>
                <w:numId w:val="55"/>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Documentary analysis and highlighting the problems on main thematic areas at preparation and implementation phase;</w:t>
            </w:r>
          </w:p>
          <w:p w14:paraId="0211F17F" w14:textId="77777777" w:rsidR="00B76FE0" w:rsidRPr="00B76FE0" w:rsidRDefault="00B76FE0" w:rsidP="00B76FE0">
            <w:pPr>
              <w:jc w:val="both"/>
              <w:rPr>
                <w:rFonts w:ascii="Verdana" w:eastAsia="Calibri" w:hAnsi="Verdana" w:cs="Calibri"/>
                <w:b/>
                <w:bCs/>
                <w:color w:val="000000"/>
                <w:sz w:val="18"/>
                <w:szCs w:val="18"/>
              </w:rPr>
            </w:pPr>
            <w:r w:rsidRPr="00B76FE0">
              <w:rPr>
                <w:rFonts w:ascii="Verdana" w:hAnsi="Verdana"/>
                <w:b/>
                <w:bCs/>
                <w:color w:val="000000"/>
                <w:sz w:val="18"/>
                <w:szCs w:val="18"/>
                <w:lang w:val="en"/>
              </w:rPr>
              <w:t>Quantitative and qualitative study</w:t>
            </w:r>
          </w:p>
          <w:p w14:paraId="056A4758" w14:textId="77777777" w:rsidR="00B76FE0" w:rsidRPr="00B76FE0" w:rsidRDefault="00B76FE0" w:rsidP="00B76FE0">
            <w:pPr>
              <w:numPr>
                <w:ilvl w:val="0"/>
                <w:numId w:val="55"/>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Structuring questions aimed at problems measurement, included in the questionnaire for quantitative examination of stakeholders – MA, beneficiaries, including questions about the problems in ensuring the sustainability of projects – maintaining the infrastructure, achieving economic effects.</w:t>
            </w:r>
          </w:p>
          <w:p w14:paraId="593FA2E8" w14:textId="77777777" w:rsidR="00B76FE0" w:rsidRPr="00B76FE0" w:rsidRDefault="00B76FE0" w:rsidP="00B76FE0">
            <w:pPr>
              <w:numPr>
                <w:ilvl w:val="0"/>
                <w:numId w:val="55"/>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Conducting quantitative examination and processing of results.</w:t>
            </w:r>
          </w:p>
          <w:p w14:paraId="795987FE" w14:textId="77777777" w:rsidR="00B76FE0" w:rsidRPr="00B76FE0" w:rsidRDefault="00B76FE0" w:rsidP="00B76FE0">
            <w:pPr>
              <w:numPr>
                <w:ilvl w:val="0"/>
                <w:numId w:val="55"/>
              </w:numPr>
              <w:ind w:left="655" w:hanging="327"/>
              <w:jc w:val="both"/>
              <w:rPr>
                <w:rFonts w:ascii="Verdana" w:eastAsia="Calibri" w:hAnsi="Verdana" w:cs="Calibri"/>
                <w:color w:val="000000"/>
                <w:sz w:val="18"/>
                <w:szCs w:val="18"/>
              </w:rPr>
            </w:pPr>
            <w:r w:rsidRPr="00B76FE0">
              <w:rPr>
                <w:rFonts w:ascii="Verdana" w:hAnsi="Verdana"/>
                <w:bCs/>
                <w:color w:val="000000"/>
                <w:sz w:val="18"/>
                <w:szCs w:val="18"/>
                <w:lang w:val="en"/>
              </w:rPr>
              <w:t>Integration of applicable case study results.</w:t>
            </w:r>
          </w:p>
          <w:p w14:paraId="7AC31780" w14:textId="77777777" w:rsidR="00B76FE0" w:rsidRPr="00B76FE0" w:rsidRDefault="00B76FE0" w:rsidP="00B76FE0">
            <w:pPr>
              <w:jc w:val="both"/>
              <w:rPr>
                <w:rFonts w:ascii="Verdana" w:eastAsia="Calibri" w:hAnsi="Verdana" w:cs="Calibri"/>
                <w:b/>
                <w:bCs/>
                <w:color w:val="000000"/>
                <w:sz w:val="18"/>
                <w:szCs w:val="18"/>
              </w:rPr>
            </w:pPr>
            <w:r w:rsidRPr="00B76FE0">
              <w:rPr>
                <w:rFonts w:ascii="Verdana" w:hAnsi="Verdana"/>
                <w:b/>
                <w:bCs/>
                <w:color w:val="000000"/>
                <w:sz w:val="18"/>
                <w:szCs w:val="18"/>
                <w:lang w:val="en"/>
              </w:rPr>
              <w:t>Evaluation methods</w:t>
            </w:r>
          </w:p>
          <w:p w14:paraId="29698FFF" w14:textId="77777777" w:rsidR="00B76FE0" w:rsidRPr="00B76FE0" w:rsidRDefault="00B76FE0" w:rsidP="00B76FE0">
            <w:pPr>
              <w:numPr>
                <w:ilvl w:val="0"/>
                <w:numId w:val="55"/>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Causal analysis, expert evaluation and identification of main problems in the different phases of programme implementation and their importance, as well as their effect on achievement of programme impact.</w:t>
            </w:r>
          </w:p>
          <w:p w14:paraId="51C60546" w14:textId="77777777" w:rsidR="00B76FE0" w:rsidRPr="00B76FE0" w:rsidRDefault="00B76FE0" w:rsidP="00B76FE0">
            <w:pPr>
              <w:numPr>
                <w:ilvl w:val="0"/>
                <w:numId w:val="55"/>
              </w:numPr>
              <w:ind w:left="655" w:hanging="327"/>
              <w:jc w:val="both"/>
              <w:rPr>
                <w:rFonts w:ascii="Verdana" w:eastAsia="Calibri" w:hAnsi="Verdana" w:cs="Calibri"/>
                <w:color w:val="000000"/>
                <w:sz w:val="18"/>
                <w:szCs w:val="18"/>
              </w:rPr>
            </w:pPr>
            <w:r w:rsidRPr="00B76FE0">
              <w:rPr>
                <w:rFonts w:ascii="Verdana" w:hAnsi="Verdana"/>
                <w:color w:val="000000"/>
                <w:sz w:val="18"/>
                <w:szCs w:val="18"/>
                <w:lang w:val="en"/>
              </w:rPr>
              <w:t>Stakeholder analysis.</w:t>
            </w:r>
          </w:p>
          <w:p w14:paraId="34C52DE4" w14:textId="77777777" w:rsidR="00B76FE0" w:rsidRPr="00B76FE0" w:rsidRDefault="00B76FE0" w:rsidP="00B76FE0">
            <w:pPr>
              <w:numPr>
                <w:ilvl w:val="0"/>
                <w:numId w:val="55"/>
              </w:numPr>
              <w:ind w:left="655" w:hanging="327"/>
              <w:jc w:val="both"/>
              <w:rPr>
                <w:rFonts w:ascii="Verdana" w:eastAsia="Calibri" w:hAnsi="Verdana" w:cs="Calibri"/>
                <w:color w:val="000000"/>
                <w:sz w:val="18"/>
                <w:szCs w:val="18"/>
              </w:rPr>
            </w:pPr>
            <w:r w:rsidRPr="00B76FE0">
              <w:rPr>
                <w:rFonts w:ascii="Verdana" w:hAnsi="Verdana"/>
                <w:bCs/>
                <w:color w:val="000000"/>
                <w:sz w:val="18"/>
                <w:szCs w:val="18"/>
                <w:lang w:val="en"/>
              </w:rPr>
              <w:t>Integration of applicable results from case studies.</w:t>
            </w:r>
          </w:p>
        </w:tc>
      </w:tr>
    </w:tbl>
    <w:p w14:paraId="067821DA" w14:textId="77777777" w:rsidR="00B76FE0" w:rsidRPr="00B76FE0" w:rsidRDefault="00B76FE0" w:rsidP="00B76FE0">
      <w:pPr>
        <w:spacing w:before="120" w:after="120" w:line="240" w:lineRule="auto"/>
        <w:contextualSpacing/>
        <w:jc w:val="both"/>
        <w:rPr>
          <w:rFonts w:ascii="Verdana" w:eastAsia="Helvetica" w:hAnsi="Verdana" w:cs="Helvetica"/>
          <w:i/>
          <w:iCs/>
          <w:sz w:val="20"/>
          <w:szCs w:val="20"/>
          <w:lang w:val="bg-BG"/>
        </w:rPr>
      </w:pPr>
    </w:p>
    <w:p w14:paraId="49B76C28" w14:textId="5D23A057" w:rsidR="00B76FE0" w:rsidRDefault="00B76FE0" w:rsidP="00B76FE0">
      <w:pPr>
        <w:spacing w:before="120" w:after="120" w:line="240" w:lineRule="auto"/>
        <w:jc w:val="both"/>
        <w:rPr>
          <w:rFonts w:ascii="Verdana" w:hAnsi="Verdana"/>
          <w:color w:val="000000"/>
          <w:sz w:val="20"/>
          <w:szCs w:val="20"/>
          <w:lang w:val="en" w:eastAsia="en-GB"/>
        </w:rPr>
      </w:pPr>
      <w:r w:rsidRPr="00B76FE0">
        <w:rPr>
          <w:rFonts w:ascii="Verdana" w:hAnsi="Verdana"/>
          <w:color w:val="000000"/>
          <w:sz w:val="20"/>
          <w:szCs w:val="20"/>
          <w:lang w:val="en" w:eastAsia="en-GB"/>
        </w:rPr>
        <w:t xml:space="preserve">The information in this report is presented both in EUR and BGN currencies, depending on the currency used in the source of primary data. This approach was applied to ensure consistency between the different programme and project documents. </w:t>
      </w:r>
    </w:p>
    <w:p w14:paraId="3ACB23E4" w14:textId="77777777" w:rsidR="00B76FE0" w:rsidRPr="00B76FE0" w:rsidRDefault="00B76FE0" w:rsidP="00B76FE0">
      <w:pPr>
        <w:spacing w:before="120" w:after="120" w:line="240" w:lineRule="auto"/>
        <w:jc w:val="both"/>
        <w:rPr>
          <w:rFonts w:ascii="Verdana" w:eastAsia="Times New Roman" w:hAnsi="Verdana" w:cs="Times New Roman"/>
          <w:color w:val="000000"/>
          <w:sz w:val="20"/>
          <w:szCs w:val="20"/>
          <w:lang w:val="bg-BG" w:eastAsia="en-GB"/>
        </w:rPr>
      </w:pPr>
    </w:p>
    <w:p w14:paraId="79763845" w14:textId="1294DB17" w:rsidR="00054337" w:rsidRPr="00E035FA" w:rsidRDefault="00054337" w:rsidP="00B76FE0">
      <w:pPr>
        <w:pStyle w:val="Heading1"/>
        <w:numPr>
          <w:ilvl w:val="0"/>
          <w:numId w:val="58"/>
        </w:numPr>
        <w:ind w:left="284" w:hanging="284"/>
        <w:rPr>
          <w:rFonts w:ascii="Verdana" w:hAnsi="Verdana"/>
          <w:b/>
          <w:bCs/>
          <w:color w:val="143F6A" w:themeColor="accent3" w:themeShade="80"/>
          <w:sz w:val="22"/>
          <w:szCs w:val="22"/>
          <w:lang w:val="en"/>
        </w:rPr>
      </w:pPr>
      <w:bookmarkStart w:id="18" w:name="_Toc62724392"/>
      <w:r w:rsidRPr="00E035FA">
        <w:rPr>
          <w:rFonts w:ascii="Verdana" w:hAnsi="Verdana"/>
          <w:b/>
          <w:bCs/>
          <w:color w:val="143F6A" w:themeColor="accent3" w:themeShade="80"/>
          <w:sz w:val="22"/>
          <w:szCs w:val="22"/>
          <w:lang w:val="en"/>
        </w:rPr>
        <w:t>PROGRAMME OVERVIEW</w:t>
      </w:r>
      <w:bookmarkEnd w:id="18"/>
    </w:p>
    <w:p w14:paraId="4759A873" w14:textId="77777777" w:rsidR="00054337" w:rsidRPr="00F50700" w:rsidRDefault="00054337" w:rsidP="00054337">
      <w:pPr>
        <w:spacing w:after="0" w:line="240" w:lineRule="auto"/>
        <w:rPr>
          <w:rFonts w:ascii="Verdana" w:eastAsia="Calibri" w:hAnsi="Verdana"/>
          <w:b/>
          <w:i/>
          <w:color w:val="000000"/>
          <w:sz w:val="20"/>
          <w:szCs w:val="20"/>
          <w:lang w:val="bg-BG"/>
        </w:rPr>
      </w:pPr>
    </w:p>
    <w:p w14:paraId="1AA3F85F" w14:textId="77777777" w:rsidR="000F2668" w:rsidRPr="000F2668" w:rsidRDefault="000F2668" w:rsidP="000F2668">
      <w:pPr>
        <w:autoSpaceDE w:val="0"/>
        <w:autoSpaceDN w:val="0"/>
        <w:adjustRightInd w:val="0"/>
        <w:spacing w:before="120" w:after="120" w:line="240" w:lineRule="auto"/>
        <w:jc w:val="both"/>
        <w:rPr>
          <w:rFonts w:ascii="Verdana" w:hAnsi="Verdana" w:cs="Times New Roman"/>
          <w:sz w:val="20"/>
          <w:szCs w:val="20"/>
          <w:shd w:val="clear" w:color="auto" w:fill="FAF9F8"/>
          <w:lang w:val="bg-BG"/>
        </w:rPr>
      </w:pPr>
      <w:r w:rsidRPr="000F2668">
        <w:rPr>
          <w:rFonts w:ascii="Verdana" w:hAnsi="Verdana"/>
          <w:sz w:val="20"/>
          <w:szCs w:val="20"/>
          <w:shd w:val="clear" w:color="auto" w:fill="FAF9F8"/>
          <w:lang w:val="en"/>
        </w:rPr>
        <w:t xml:space="preserve">OP "Transport" was one of the seven operational programmes implemented in the Republic of Bulgaria for programming period 2007-2013, developed in accordance with </w:t>
      </w:r>
      <w:r w:rsidRPr="000F2668">
        <w:rPr>
          <w:rFonts w:ascii="Verdana" w:hAnsi="Verdana"/>
          <w:sz w:val="20"/>
          <w:szCs w:val="20"/>
          <w:lang w:val="en"/>
        </w:rPr>
        <w:t>the National Strategic Reference Framework</w:t>
      </w:r>
      <w:r w:rsidRPr="000F2668">
        <w:rPr>
          <w:rFonts w:ascii="Verdana" w:hAnsi="Verdana"/>
          <w:sz w:val="20"/>
          <w:lang w:val="en"/>
        </w:rPr>
        <w:t xml:space="preserve"> and financed by the European Regional Development</w:t>
      </w:r>
      <w:r w:rsidRPr="000F2668">
        <w:rPr>
          <w:rFonts w:ascii="Verdana" w:hAnsi="Verdana"/>
          <w:sz w:val="20"/>
          <w:szCs w:val="20"/>
          <w:shd w:val="clear" w:color="auto" w:fill="FAF9F8"/>
          <w:lang w:val="en"/>
        </w:rPr>
        <w:t xml:space="preserve"> Fund, Cohesion Fund and the State Budget of the Republic of Bulgaria.  The overall goal of the programme was the development of a sustainable transport system and its specific goals were integration of the national transport system into the EU Transport Network and achievement of balance between the transport modes. </w:t>
      </w:r>
    </w:p>
    <w:p w14:paraId="67BD4CB7" w14:textId="1F02A959" w:rsidR="002751DE" w:rsidRDefault="000F2668" w:rsidP="000F2668">
      <w:pPr>
        <w:autoSpaceDE w:val="0"/>
        <w:autoSpaceDN w:val="0"/>
        <w:adjustRightInd w:val="0"/>
        <w:spacing w:before="120" w:after="120" w:line="240" w:lineRule="auto"/>
        <w:jc w:val="both"/>
        <w:rPr>
          <w:rFonts w:ascii="Verdana" w:hAnsi="Verdana"/>
          <w:color w:val="000000"/>
          <w:sz w:val="20"/>
          <w:szCs w:val="20"/>
          <w:lang w:val="en"/>
        </w:rPr>
      </w:pPr>
      <w:r w:rsidRPr="000F2668">
        <w:rPr>
          <w:rFonts w:ascii="Verdana" w:hAnsi="Verdana"/>
          <w:sz w:val="20"/>
          <w:szCs w:val="20"/>
          <w:shd w:val="clear" w:color="auto" w:fill="FAF9F8"/>
          <w:lang w:val="en"/>
        </w:rPr>
        <w:t xml:space="preserve">The total amount of funds invested in the form of grants under the programme is appr. EUR 3,685 million or 98.58% of the programme budget. Support was provided for 120 projects, with main share focused on 25 investment projects, 11 of which were "major projects" (with budget over EUR 50 million), as per the meaning of Regulation (EC) No 1083/2006.  As a result of the programme implementation, 345 km of railway were rehabilitated on the territory of the Republic of Bulgaria, 310 km roads were built, 21 km </w:t>
      </w:r>
      <w:r w:rsidRPr="000F2668">
        <w:rPr>
          <w:rFonts w:ascii="Verdana" w:hAnsi="Verdana"/>
          <w:sz w:val="20"/>
          <w:szCs w:val="20"/>
          <w:shd w:val="clear" w:color="auto" w:fill="FAF9F8"/>
          <w:lang w:val="en"/>
        </w:rPr>
        <w:lastRenderedPageBreak/>
        <w:t>metro</w:t>
      </w:r>
      <w:r w:rsidR="00E035FA">
        <w:rPr>
          <w:rFonts w:ascii="Verdana" w:hAnsi="Verdana"/>
          <w:sz w:val="20"/>
          <w:szCs w:val="20"/>
          <w:shd w:val="clear" w:color="auto" w:fill="FAF9F8"/>
          <w:lang w:val="en"/>
        </w:rPr>
        <w:t xml:space="preserve"> </w:t>
      </w:r>
      <w:r w:rsidRPr="000F2668">
        <w:rPr>
          <w:rFonts w:ascii="Verdana" w:hAnsi="Verdana"/>
          <w:sz w:val="20"/>
          <w:szCs w:val="20"/>
          <w:shd w:val="clear" w:color="auto" w:fill="FAF9F8"/>
          <w:lang w:val="en"/>
        </w:rPr>
        <w:t xml:space="preserve">lines and 20 </w:t>
      </w:r>
      <w:r w:rsidR="00E035FA" w:rsidRPr="000F2668">
        <w:rPr>
          <w:rFonts w:ascii="Verdana" w:hAnsi="Verdana"/>
          <w:sz w:val="20"/>
          <w:szCs w:val="20"/>
          <w:shd w:val="clear" w:color="auto" w:fill="FAF9F8"/>
          <w:lang w:val="en"/>
        </w:rPr>
        <w:t>metro stations</w:t>
      </w:r>
      <w:r w:rsidRPr="000F2668">
        <w:rPr>
          <w:rFonts w:ascii="Verdana" w:hAnsi="Verdana"/>
          <w:sz w:val="20"/>
          <w:szCs w:val="20"/>
          <w:shd w:val="clear" w:color="auto" w:fill="FAF9F8"/>
          <w:lang w:val="en"/>
        </w:rPr>
        <w:t xml:space="preserve"> were constructed. As of programme closure in 2015, more than 38 million journeys in Sofia </w:t>
      </w:r>
      <w:r w:rsidR="00E035FA" w:rsidRPr="000F2668">
        <w:rPr>
          <w:rFonts w:ascii="Verdana" w:hAnsi="Verdana"/>
          <w:sz w:val="20"/>
          <w:szCs w:val="20"/>
          <w:shd w:val="clear" w:color="auto" w:fill="FAF9F8"/>
          <w:lang w:val="en"/>
        </w:rPr>
        <w:t>metro lines</w:t>
      </w:r>
      <w:r w:rsidRPr="000F2668">
        <w:rPr>
          <w:rFonts w:ascii="Verdana" w:hAnsi="Verdana"/>
          <w:sz w:val="20"/>
          <w:szCs w:val="20"/>
          <w:shd w:val="clear" w:color="auto" w:fill="FAF9F8"/>
          <w:lang w:val="en"/>
        </w:rPr>
        <w:t xml:space="preserve"> were made</w:t>
      </w:r>
      <w:r w:rsidRPr="000F2668">
        <w:rPr>
          <w:rFonts w:ascii="Verdana" w:hAnsi="Verdana"/>
          <w:color w:val="000000"/>
          <w:sz w:val="20"/>
          <w:szCs w:val="20"/>
          <w:lang w:val="en"/>
        </w:rPr>
        <w:t>.</w:t>
      </w:r>
    </w:p>
    <w:p w14:paraId="76A8420C" w14:textId="2A60F141" w:rsidR="00DC4E4C" w:rsidRPr="00DC4E4C" w:rsidRDefault="00DC4E4C" w:rsidP="00DC4E4C">
      <w:pPr>
        <w:pStyle w:val="Caption"/>
        <w:keepNext/>
        <w:jc w:val="both"/>
        <w:rPr>
          <w:rFonts w:ascii="Verdana" w:hAnsi="Verdana"/>
          <w:b/>
          <w:bCs/>
          <w:sz w:val="20"/>
          <w:szCs w:val="20"/>
        </w:rPr>
      </w:pPr>
      <w:bookmarkStart w:id="19" w:name="_Toc62724848"/>
      <w:r w:rsidRPr="00DC4E4C">
        <w:rPr>
          <w:rFonts w:ascii="Verdana" w:hAnsi="Verdana"/>
          <w:b/>
          <w:bCs/>
          <w:sz w:val="20"/>
          <w:szCs w:val="20"/>
        </w:rPr>
        <w:t xml:space="preserve">Figure </w:t>
      </w:r>
      <w:r w:rsidR="00134718">
        <w:rPr>
          <w:rFonts w:ascii="Verdana" w:hAnsi="Verdana"/>
          <w:b/>
          <w:bCs/>
          <w:sz w:val="20"/>
          <w:szCs w:val="20"/>
        </w:rPr>
        <w:fldChar w:fldCharType="begin"/>
      </w:r>
      <w:r w:rsidR="00134718">
        <w:rPr>
          <w:rFonts w:ascii="Verdana" w:hAnsi="Verdana"/>
          <w:b/>
          <w:bCs/>
          <w:sz w:val="20"/>
          <w:szCs w:val="20"/>
        </w:rPr>
        <w:instrText xml:space="preserve"> STYLEREF 1 \s </w:instrText>
      </w:r>
      <w:r w:rsidR="00134718">
        <w:rPr>
          <w:rFonts w:ascii="Verdana" w:hAnsi="Verdana"/>
          <w:b/>
          <w:bCs/>
          <w:sz w:val="20"/>
          <w:szCs w:val="20"/>
        </w:rPr>
        <w:fldChar w:fldCharType="separate"/>
      </w:r>
      <w:r w:rsidR="00134718">
        <w:rPr>
          <w:rFonts w:ascii="Verdana" w:hAnsi="Verdana"/>
          <w:b/>
          <w:bCs/>
          <w:noProof/>
          <w:sz w:val="20"/>
          <w:szCs w:val="20"/>
        </w:rPr>
        <w:t>III</w:t>
      </w:r>
      <w:r w:rsidR="00134718">
        <w:rPr>
          <w:rFonts w:ascii="Verdana" w:hAnsi="Verdana"/>
          <w:b/>
          <w:bCs/>
          <w:sz w:val="20"/>
          <w:szCs w:val="20"/>
        </w:rPr>
        <w:fldChar w:fldCharType="end"/>
      </w:r>
      <w:r w:rsidR="00134718">
        <w:rPr>
          <w:rFonts w:ascii="Verdana" w:hAnsi="Verdana"/>
          <w:b/>
          <w:bCs/>
          <w:sz w:val="20"/>
          <w:szCs w:val="20"/>
        </w:rPr>
        <w:noBreakHyphen/>
      </w:r>
      <w:r w:rsidR="00134718">
        <w:rPr>
          <w:rFonts w:ascii="Verdana" w:hAnsi="Verdana"/>
          <w:b/>
          <w:bCs/>
          <w:sz w:val="20"/>
          <w:szCs w:val="20"/>
        </w:rPr>
        <w:fldChar w:fldCharType="begin"/>
      </w:r>
      <w:r w:rsidR="00134718">
        <w:rPr>
          <w:rFonts w:ascii="Verdana" w:hAnsi="Verdana"/>
          <w:b/>
          <w:bCs/>
          <w:sz w:val="20"/>
          <w:szCs w:val="20"/>
        </w:rPr>
        <w:instrText xml:space="preserve"> SEQ Figure \* ARABIC \s 1 </w:instrText>
      </w:r>
      <w:r w:rsidR="00134718">
        <w:rPr>
          <w:rFonts w:ascii="Verdana" w:hAnsi="Verdana"/>
          <w:b/>
          <w:bCs/>
          <w:sz w:val="20"/>
          <w:szCs w:val="20"/>
        </w:rPr>
        <w:fldChar w:fldCharType="separate"/>
      </w:r>
      <w:r w:rsidR="00134718">
        <w:rPr>
          <w:rFonts w:ascii="Verdana" w:hAnsi="Verdana"/>
          <w:b/>
          <w:bCs/>
          <w:noProof/>
          <w:sz w:val="20"/>
          <w:szCs w:val="20"/>
        </w:rPr>
        <w:t>1</w:t>
      </w:r>
      <w:r w:rsidR="00134718">
        <w:rPr>
          <w:rFonts w:ascii="Verdana" w:hAnsi="Verdana"/>
          <w:b/>
          <w:bCs/>
          <w:sz w:val="20"/>
          <w:szCs w:val="20"/>
        </w:rPr>
        <w:fldChar w:fldCharType="end"/>
      </w:r>
      <w:r w:rsidRPr="00DC4E4C">
        <w:rPr>
          <w:rFonts w:ascii="Verdana" w:hAnsi="Verdana"/>
          <w:b/>
          <w:bCs/>
          <w:sz w:val="20"/>
          <w:szCs w:val="20"/>
        </w:rPr>
        <w:t xml:space="preserve"> Goals and priorities of OPT</w:t>
      </w:r>
      <w:bookmarkEnd w:id="19"/>
    </w:p>
    <w:p w14:paraId="5184817F" w14:textId="656D08B4" w:rsidR="002751DE" w:rsidRPr="007B2717" w:rsidRDefault="007B2717" w:rsidP="007B2717">
      <w:pPr>
        <w:jc w:val="both"/>
        <w:rPr>
          <w:rFonts w:ascii="Verdana" w:hAnsi="Verdana"/>
          <w:sz w:val="20"/>
          <w:lang w:val="en"/>
        </w:rPr>
      </w:pPr>
      <w:r w:rsidRPr="007B2717">
        <w:rPr>
          <w:rFonts w:ascii="Verdana" w:hAnsi="Verdana"/>
          <w:noProof/>
          <w:sz w:val="20"/>
          <w:lang w:val="bg-BG" w:eastAsia="bg-BG"/>
        </w:rPr>
        <w:drawing>
          <wp:inline distT="0" distB="0" distL="0" distR="0" wp14:anchorId="664E491F" wp14:editId="64580CF1">
            <wp:extent cx="5442256" cy="3894772"/>
            <wp:effectExtent l="0" t="0" r="6350" b="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443013" cy="3895314"/>
                    </a:xfrm>
                    <a:prstGeom prst="rect">
                      <a:avLst/>
                    </a:prstGeom>
                    <a:noFill/>
                    <a:ln>
                      <a:noFill/>
                    </a:ln>
                  </pic:spPr>
                </pic:pic>
              </a:graphicData>
            </a:graphic>
          </wp:inline>
        </w:drawing>
      </w:r>
    </w:p>
    <w:p w14:paraId="373D5D9C" w14:textId="0D9C46B8" w:rsidR="006B00E5" w:rsidRPr="00F50700" w:rsidRDefault="006B00E5" w:rsidP="00054337">
      <w:pPr>
        <w:autoSpaceDE w:val="0"/>
        <w:autoSpaceDN w:val="0"/>
        <w:adjustRightInd w:val="0"/>
        <w:spacing w:before="120" w:after="120" w:line="240" w:lineRule="auto"/>
        <w:jc w:val="both"/>
        <w:rPr>
          <w:rFonts w:ascii="Verdana" w:hAnsi="Verdana" w:cs="Times New Roman"/>
          <w:i/>
          <w:iCs/>
          <w:color w:val="000000"/>
          <w:sz w:val="20"/>
          <w:szCs w:val="20"/>
          <w:lang w:val="bg-BG"/>
        </w:rPr>
      </w:pPr>
      <w:r w:rsidRPr="00F50700">
        <w:rPr>
          <w:rFonts w:ascii="Verdana" w:hAnsi="Verdana"/>
          <w:i/>
          <w:iCs/>
          <w:color w:val="000000"/>
          <w:sz w:val="20"/>
          <w:szCs w:val="20"/>
          <w:lang w:val="en"/>
        </w:rPr>
        <w:t>Source: OPT</w:t>
      </w:r>
    </w:p>
    <w:p w14:paraId="3D42F6AB" w14:textId="77777777" w:rsidR="006B00E5" w:rsidRPr="00F50700" w:rsidRDefault="006B00E5" w:rsidP="00054337">
      <w:pPr>
        <w:autoSpaceDE w:val="0"/>
        <w:autoSpaceDN w:val="0"/>
        <w:adjustRightInd w:val="0"/>
        <w:spacing w:before="120" w:after="120" w:line="240" w:lineRule="auto"/>
        <w:jc w:val="both"/>
        <w:rPr>
          <w:rFonts w:ascii="Verdana" w:hAnsi="Verdana" w:cs="Times New Roman"/>
          <w:b/>
          <w:bCs/>
          <w:color w:val="000000"/>
          <w:sz w:val="20"/>
          <w:szCs w:val="20"/>
          <w:lang w:val="bg-BG"/>
        </w:rPr>
      </w:pPr>
    </w:p>
    <w:p w14:paraId="659BB144" w14:textId="3F51B96A" w:rsidR="00054337" w:rsidRPr="00F50700" w:rsidRDefault="00054337" w:rsidP="00054337">
      <w:pPr>
        <w:autoSpaceDE w:val="0"/>
        <w:autoSpaceDN w:val="0"/>
        <w:adjustRightInd w:val="0"/>
        <w:spacing w:before="120" w:after="120" w:line="240" w:lineRule="auto"/>
        <w:jc w:val="both"/>
        <w:rPr>
          <w:rFonts w:ascii="Verdana" w:hAnsi="Verdana" w:cs="Times New Roman"/>
          <w:b/>
          <w:bCs/>
          <w:color w:val="000000"/>
          <w:sz w:val="20"/>
          <w:szCs w:val="20"/>
          <w:lang w:val="bg-BG"/>
        </w:rPr>
      </w:pPr>
      <w:r w:rsidRPr="00F50700">
        <w:rPr>
          <w:rFonts w:ascii="Verdana" w:hAnsi="Verdana"/>
          <w:b/>
          <w:bCs/>
          <w:color w:val="000000"/>
          <w:sz w:val="20"/>
          <w:szCs w:val="20"/>
          <w:lang w:val="en"/>
        </w:rPr>
        <w:t>The programme includes 5 priority axes:</w:t>
      </w:r>
    </w:p>
    <w:p w14:paraId="6CF66534" w14:textId="2CA53F5D" w:rsidR="00127ED4" w:rsidRPr="00127ED4" w:rsidRDefault="00127ED4" w:rsidP="00127ED4">
      <w:pPr>
        <w:numPr>
          <w:ilvl w:val="0"/>
          <w:numId w:val="2"/>
        </w:numPr>
        <w:autoSpaceDE w:val="0"/>
        <w:autoSpaceDN w:val="0"/>
        <w:adjustRightInd w:val="0"/>
        <w:spacing w:before="120" w:after="120" w:line="240" w:lineRule="auto"/>
        <w:ind w:left="284" w:hanging="284"/>
        <w:jc w:val="both"/>
        <w:rPr>
          <w:rFonts w:ascii="Verdana" w:hAnsi="Verdana" w:cs="Times New Roman"/>
          <w:smallCaps/>
          <w:color w:val="374C80" w:themeColor="accent1" w:themeShade="BF"/>
          <w:sz w:val="20"/>
          <w:szCs w:val="20"/>
          <w:lang w:val="bg-BG"/>
        </w:rPr>
      </w:pPr>
      <w:r w:rsidRPr="00127ED4">
        <w:rPr>
          <w:rFonts w:ascii="Verdana" w:hAnsi="Verdana"/>
          <w:b/>
          <w:bCs/>
          <w:i/>
          <w:iCs/>
          <w:smallCaps/>
          <w:color w:val="374C80" w:themeColor="accent1" w:themeShade="BF"/>
          <w:sz w:val="20"/>
          <w:szCs w:val="20"/>
          <w:shd w:val="clear" w:color="auto" w:fill="FAF9F8"/>
          <w:lang w:val="en"/>
        </w:rPr>
        <w:t xml:space="preserve">Priority axis 1: Development of railway infrastructure along the Trans-European and </w:t>
      </w:r>
      <w:r w:rsidR="00C90CC7">
        <w:rPr>
          <w:rFonts w:ascii="Verdana" w:hAnsi="Verdana"/>
          <w:b/>
          <w:bCs/>
          <w:i/>
          <w:iCs/>
          <w:smallCaps/>
          <w:color w:val="374C80" w:themeColor="accent1" w:themeShade="BF"/>
          <w:sz w:val="20"/>
          <w:szCs w:val="20"/>
          <w:shd w:val="clear" w:color="auto" w:fill="FAF9F8"/>
          <w:lang w:val="en"/>
        </w:rPr>
        <w:t>major</w:t>
      </w:r>
      <w:r w:rsidRPr="00127ED4">
        <w:rPr>
          <w:rFonts w:ascii="Verdana" w:hAnsi="Verdana"/>
          <w:b/>
          <w:bCs/>
          <w:i/>
          <w:iCs/>
          <w:smallCaps/>
          <w:color w:val="374C80" w:themeColor="accent1" w:themeShade="BF"/>
          <w:sz w:val="20"/>
          <w:szCs w:val="20"/>
          <w:shd w:val="clear" w:color="auto" w:fill="FAF9F8"/>
        </w:rPr>
        <w:t xml:space="preserve"> national transport axes</w:t>
      </w:r>
      <w:bookmarkStart w:id="20" w:name="_Hlk38879286"/>
    </w:p>
    <w:p w14:paraId="43956444" w14:textId="3F150261" w:rsidR="00127ED4" w:rsidRDefault="00127ED4" w:rsidP="00127ED4">
      <w:pPr>
        <w:autoSpaceDE w:val="0"/>
        <w:autoSpaceDN w:val="0"/>
        <w:adjustRightInd w:val="0"/>
        <w:spacing w:before="120" w:after="120" w:line="240" w:lineRule="auto"/>
        <w:jc w:val="both"/>
        <w:rPr>
          <w:rFonts w:ascii="Verdana" w:hAnsi="Verdana"/>
          <w:color w:val="000000"/>
          <w:sz w:val="20"/>
          <w:szCs w:val="20"/>
          <w:lang w:val="en"/>
        </w:rPr>
      </w:pPr>
      <w:r w:rsidRPr="00127ED4">
        <w:rPr>
          <w:rFonts w:ascii="Verdana" w:hAnsi="Verdana"/>
          <w:color w:val="000000"/>
          <w:sz w:val="20"/>
          <w:szCs w:val="20"/>
          <w:lang w:val="en"/>
        </w:rPr>
        <w:t>This PA was implemented through 9 grant contracts with beneficiaries National Railway Infrastructure Company and Metropolitan JSC, including five</w:t>
      </w:r>
      <w:r w:rsidRPr="00127ED4">
        <w:rPr>
          <w:rFonts w:ascii="Verdana" w:hAnsi="Verdana"/>
          <w:sz w:val="20"/>
          <w:lang w:val="en"/>
        </w:rPr>
        <w:t xml:space="preserve"> investment projects, as a result of which 345 km of railway lines have been </w:t>
      </w:r>
      <w:r w:rsidRPr="00127ED4">
        <w:rPr>
          <w:rFonts w:ascii="Verdana" w:hAnsi="Verdana"/>
          <w:color w:val="000000"/>
          <w:sz w:val="20"/>
          <w:szCs w:val="20"/>
          <w:lang w:val="en"/>
        </w:rPr>
        <w:t>rehabilitated, 6.7 km of metro lines with 6 metro stations have been built</w:t>
      </w:r>
      <w:bookmarkEnd w:id="20"/>
      <w:r>
        <w:rPr>
          <w:rFonts w:ascii="Verdana" w:hAnsi="Verdana"/>
          <w:color w:val="000000"/>
          <w:sz w:val="20"/>
          <w:szCs w:val="20"/>
          <w:lang w:val="en"/>
        </w:rPr>
        <w:t>.</w:t>
      </w:r>
    </w:p>
    <w:p w14:paraId="24091224" w14:textId="0B09ACD3" w:rsidR="00127ED4" w:rsidRDefault="00127ED4" w:rsidP="00127ED4">
      <w:pPr>
        <w:autoSpaceDE w:val="0"/>
        <w:autoSpaceDN w:val="0"/>
        <w:adjustRightInd w:val="0"/>
        <w:spacing w:before="120" w:after="120" w:line="240" w:lineRule="auto"/>
        <w:jc w:val="both"/>
        <w:rPr>
          <w:rFonts w:ascii="Verdana" w:hAnsi="Verdana"/>
          <w:color w:val="000000"/>
          <w:sz w:val="20"/>
          <w:szCs w:val="20"/>
          <w:lang w:val="en"/>
        </w:rPr>
      </w:pPr>
    </w:p>
    <w:p w14:paraId="281AB5FC" w14:textId="77777777" w:rsidR="00127ED4" w:rsidRPr="00127ED4" w:rsidRDefault="00127ED4" w:rsidP="00127ED4">
      <w:pPr>
        <w:numPr>
          <w:ilvl w:val="0"/>
          <w:numId w:val="2"/>
        </w:numPr>
        <w:autoSpaceDE w:val="0"/>
        <w:autoSpaceDN w:val="0"/>
        <w:adjustRightInd w:val="0"/>
        <w:spacing w:before="120" w:after="120" w:line="240" w:lineRule="auto"/>
        <w:ind w:left="284" w:hanging="284"/>
        <w:jc w:val="both"/>
        <w:rPr>
          <w:rFonts w:ascii="Verdana" w:hAnsi="Verdana"/>
          <w:b/>
          <w:bCs/>
          <w:i/>
          <w:iCs/>
          <w:smallCaps/>
          <w:color w:val="374C80" w:themeColor="accent1" w:themeShade="BF"/>
          <w:sz w:val="20"/>
          <w:szCs w:val="20"/>
          <w:shd w:val="clear" w:color="auto" w:fill="FAF9F8"/>
          <w:lang w:val="en"/>
        </w:rPr>
      </w:pPr>
      <w:r w:rsidRPr="00127ED4">
        <w:rPr>
          <w:rFonts w:ascii="Verdana" w:hAnsi="Verdana"/>
          <w:b/>
          <w:bCs/>
          <w:i/>
          <w:iCs/>
          <w:smallCaps/>
          <w:color w:val="374C80" w:themeColor="accent1" w:themeShade="BF"/>
          <w:sz w:val="20"/>
          <w:szCs w:val="20"/>
          <w:shd w:val="clear" w:color="auto" w:fill="FAF9F8"/>
          <w:lang w:val="en"/>
        </w:rPr>
        <w:t>Priority axis 2: “Development of Road Infrastructure along the Trans-European and Major National Transport Axes”</w:t>
      </w:r>
    </w:p>
    <w:p w14:paraId="23C448BC" w14:textId="2DA013CB" w:rsidR="00127ED4" w:rsidRPr="00127ED4" w:rsidRDefault="00127ED4" w:rsidP="00127ED4">
      <w:pPr>
        <w:autoSpaceDE w:val="0"/>
        <w:autoSpaceDN w:val="0"/>
        <w:adjustRightInd w:val="0"/>
        <w:spacing w:before="120" w:after="120" w:line="240" w:lineRule="auto"/>
        <w:jc w:val="both"/>
        <w:rPr>
          <w:rFonts w:ascii="Verdana" w:hAnsi="Verdana"/>
          <w:sz w:val="20"/>
          <w:szCs w:val="20"/>
          <w:lang w:val="en"/>
        </w:rPr>
      </w:pPr>
      <w:r w:rsidRPr="00127ED4">
        <w:rPr>
          <w:rFonts w:ascii="Verdana" w:hAnsi="Verdana"/>
          <w:sz w:val="20"/>
          <w:szCs w:val="20"/>
          <w:lang w:val="en"/>
        </w:rPr>
        <w:t xml:space="preserve">This PA was implemented through 17 </w:t>
      </w:r>
      <w:r w:rsidRPr="00127ED4">
        <w:rPr>
          <w:rFonts w:ascii="Verdana" w:hAnsi="Verdana"/>
          <w:sz w:val="20"/>
          <w:lang w:val="en"/>
        </w:rPr>
        <w:t>grant</w:t>
      </w:r>
      <w:r w:rsidRPr="00127ED4">
        <w:rPr>
          <w:rFonts w:ascii="Verdana" w:hAnsi="Verdana"/>
          <w:sz w:val="20"/>
          <w:szCs w:val="20"/>
          <w:lang w:val="en"/>
        </w:rPr>
        <w:t xml:space="preserve"> contracts with beneficiary </w:t>
      </w:r>
      <w:r w:rsidRPr="00127ED4">
        <w:rPr>
          <w:rFonts w:ascii="Verdana" w:hAnsi="Verdana"/>
          <w:sz w:val="20"/>
          <w:szCs w:val="20"/>
          <w:lang w:eastAsia="bg-BG"/>
        </w:rPr>
        <w:t xml:space="preserve">Road Infrastructure Agency, including </w:t>
      </w:r>
      <w:r w:rsidRPr="00127ED4">
        <w:rPr>
          <w:rFonts w:ascii="Verdana" w:hAnsi="Verdana"/>
          <w:sz w:val="20"/>
          <w:szCs w:val="20"/>
          <w:lang w:val="en"/>
        </w:rPr>
        <w:t xml:space="preserve">12 </w:t>
      </w:r>
      <w:r w:rsidRPr="00127ED4">
        <w:rPr>
          <w:rFonts w:ascii="Verdana" w:hAnsi="Verdana"/>
          <w:sz w:val="20"/>
          <w:lang w:val="en"/>
        </w:rPr>
        <w:t>investment projects resulting in construction of 3</w:t>
      </w:r>
      <w:r w:rsidRPr="00127ED4">
        <w:rPr>
          <w:rFonts w:ascii="Verdana" w:hAnsi="Verdana"/>
          <w:sz w:val="20"/>
          <w:szCs w:val="20"/>
          <w:lang w:val="en"/>
        </w:rPr>
        <w:t xml:space="preserve">10 km of new roads and rehabilitation of 19 km </w:t>
      </w:r>
      <w:r w:rsidRPr="00127ED4">
        <w:rPr>
          <w:rFonts w:ascii="Verdana" w:hAnsi="Verdana"/>
          <w:sz w:val="20"/>
          <w:lang w:val="en"/>
        </w:rPr>
        <w:t>roads</w:t>
      </w:r>
      <w:r>
        <w:rPr>
          <w:rFonts w:ascii="Verdana" w:hAnsi="Verdana"/>
          <w:sz w:val="20"/>
          <w:szCs w:val="20"/>
          <w:lang w:val="en"/>
        </w:rPr>
        <w:t>.</w:t>
      </w:r>
    </w:p>
    <w:p w14:paraId="016F4DF8" w14:textId="41ADFA39" w:rsidR="00127ED4" w:rsidRPr="00127ED4" w:rsidRDefault="00127ED4" w:rsidP="00127ED4">
      <w:pPr>
        <w:numPr>
          <w:ilvl w:val="0"/>
          <w:numId w:val="2"/>
        </w:numPr>
        <w:autoSpaceDE w:val="0"/>
        <w:autoSpaceDN w:val="0"/>
        <w:adjustRightInd w:val="0"/>
        <w:spacing w:before="120" w:after="120" w:line="240" w:lineRule="auto"/>
        <w:ind w:left="284" w:hanging="284"/>
        <w:jc w:val="both"/>
        <w:rPr>
          <w:rFonts w:ascii="Verdana" w:hAnsi="Verdana"/>
          <w:b/>
          <w:bCs/>
          <w:i/>
          <w:iCs/>
          <w:smallCaps/>
          <w:color w:val="374C80" w:themeColor="accent1" w:themeShade="BF"/>
          <w:sz w:val="20"/>
          <w:szCs w:val="20"/>
          <w:shd w:val="clear" w:color="auto" w:fill="FAF9F8"/>
          <w:lang w:val="en"/>
        </w:rPr>
      </w:pPr>
      <w:r w:rsidRPr="00127ED4">
        <w:rPr>
          <w:rFonts w:ascii="Verdana" w:hAnsi="Verdana"/>
          <w:b/>
          <w:bCs/>
          <w:i/>
          <w:iCs/>
          <w:smallCaps/>
          <w:color w:val="374C80" w:themeColor="accent1" w:themeShade="BF"/>
          <w:sz w:val="20"/>
          <w:szCs w:val="20"/>
          <w:shd w:val="clear" w:color="auto" w:fill="FAF9F8"/>
          <w:lang w:val="en"/>
        </w:rPr>
        <w:t xml:space="preserve">Priority axis 3: “Improvement of </w:t>
      </w:r>
      <w:proofErr w:type="spellStart"/>
      <w:r w:rsidRPr="00127ED4">
        <w:rPr>
          <w:rFonts w:ascii="Verdana" w:hAnsi="Verdana"/>
          <w:b/>
          <w:bCs/>
          <w:i/>
          <w:iCs/>
          <w:smallCaps/>
          <w:color w:val="374C80" w:themeColor="accent1" w:themeShade="BF"/>
          <w:sz w:val="20"/>
          <w:szCs w:val="20"/>
          <w:shd w:val="clear" w:color="auto" w:fill="FAF9F8"/>
          <w:lang w:val="en"/>
        </w:rPr>
        <w:t>Intermodality</w:t>
      </w:r>
      <w:proofErr w:type="spellEnd"/>
      <w:r w:rsidRPr="00127ED4">
        <w:rPr>
          <w:rFonts w:ascii="Verdana" w:hAnsi="Verdana"/>
          <w:b/>
          <w:bCs/>
          <w:i/>
          <w:iCs/>
          <w:smallCaps/>
          <w:color w:val="374C80" w:themeColor="accent1" w:themeShade="BF"/>
          <w:sz w:val="20"/>
          <w:szCs w:val="20"/>
          <w:shd w:val="clear" w:color="auto" w:fill="FAF9F8"/>
          <w:lang w:val="en"/>
        </w:rPr>
        <w:t xml:space="preserve"> for Passengers and Freight”</w:t>
      </w:r>
    </w:p>
    <w:p w14:paraId="260EC975" w14:textId="60D0B49E" w:rsidR="00127ED4" w:rsidRPr="00127ED4" w:rsidRDefault="00127ED4" w:rsidP="00127ED4">
      <w:pPr>
        <w:tabs>
          <w:tab w:val="num" w:pos="0"/>
          <w:tab w:val="num" w:pos="800"/>
        </w:tabs>
        <w:jc w:val="both"/>
        <w:rPr>
          <w:rFonts w:ascii="Verdana" w:hAnsi="Verdana"/>
          <w:sz w:val="20"/>
          <w:szCs w:val="20"/>
          <w:lang w:val="bg-BG"/>
        </w:rPr>
      </w:pPr>
      <w:r w:rsidRPr="00127ED4">
        <w:rPr>
          <w:rFonts w:ascii="Verdana" w:hAnsi="Verdana"/>
          <w:sz w:val="20"/>
          <w:szCs w:val="20"/>
          <w:lang w:val="en"/>
        </w:rPr>
        <w:t>This PA was implemented through</w:t>
      </w:r>
      <w:r w:rsidRPr="00127ED4">
        <w:rPr>
          <w:rFonts w:ascii="Verdana" w:hAnsi="Verdana"/>
          <w:sz w:val="20"/>
          <w:lang w:val="en"/>
        </w:rPr>
        <w:t xml:space="preserve"> </w:t>
      </w:r>
      <w:r w:rsidRPr="00127ED4">
        <w:rPr>
          <w:rFonts w:ascii="Verdana" w:hAnsi="Verdana"/>
          <w:sz w:val="20"/>
          <w:szCs w:val="20"/>
          <w:lang w:val="en"/>
        </w:rPr>
        <w:t>7 grant contracts, including five investment projects</w:t>
      </w:r>
      <w:r w:rsidR="0061067F">
        <w:rPr>
          <w:rFonts w:ascii="Verdana" w:hAnsi="Verdana"/>
          <w:sz w:val="20"/>
          <w:szCs w:val="20"/>
          <w:lang w:val="en"/>
        </w:rPr>
        <w:t>.</w:t>
      </w:r>
    </w:p>
    <w:p w14:paraId="139EE615" w14:textId="77777777" w:rsidR="00127ED4" w:rsidRPr="00127ED4" w:rsidRDefault="00127ED4" w:rsidP="00127ED4">
      <w:pPr>
        <w:numPr>
          <w:ilvl w:val="0"/>
          <w:numId w:val="2"/>
        </w:numPr>
        <w:autoSpaceDE w:val="0"/>
        <w:autoSpaceDN w:val="0"/>
        <w:adjustRightInd w:val="0"/>
        <w:spacing w:before="120" w:after="120" w:line="240" w:lineRule="auto"/>
        <w:ind w:left="284" w:hanging="284"/>
        <w:jc w:val="both"/>
        <w:rPr>
          <w:rFonts w:ascii="Verdana" w:hAnsi="Verdana"/>
          <w:b/>
          <w:bCs/>
          <w:i/>
          <w:iCs/>
          <w:smallCaps/>
          <w:color w:val="374C80" w:themeColor="accent1" w:themeShade="BF"/>
          <w:sz w:val="20"/>
          <w:szCs w:val="20"/>
          <w:shd w:val="clear" w:color="auto" w:fill="FAF9F8"/>
          <w:lang w:val="en"/>
        </w:rPr>
      </w:pPr>
      <w:r w:rsidRPr="00127ED4">
        <w:rPr>
          <w:rFonts w:ascii="Verdana" w:hAnsi="Verdana"/>
          <w:b/>
          <w:bCs/>
          <w:i/>
          <w:iCs/>
          <w:smallCaps/>
          <w:color w:val="374C80" w:themeColor="accent1" w:themeShade="BF"/>
          <w:sz w:val="20"/>
          <w:szCs w:val="20"/>
          <w:shd w:val="clear" w:color="auto" w:fill="FAF9F8"/>
          <w:lang w:val="en"/>
        </w:rPr>
        <w:t>Priority axis 4: “Improvement of the Maritime And Inland Waterway Navigation”;</w:t>
      </w:r>
    </w:p>
    <w:p w14:paraId="51ED7304" w14:textId="5FE8A72E" w:rsidR="00127ED4" w:rsidRPr="00127ED4" w:rsidRDefault="00127ED4" w:rsidP="00127ED4">
      <w:pPr>
        <w:jc w:val="both"/>
        <w:rPr>
          <w:rFonts w:ascii="Verdana" w:hAnsi="Verdana"/>
          <w:bCs/>
          <w:sz w:val="20"/>
          <w:szCs w:val="20"/>
          <w:lang w:val="bg-BG"/>
        </w:rPr>
      </w:pPr>
      <w:r w:rsidRPr="00127ED4">
        <w:rPr>
          <w:rFonts w:ascii="Verdana" w:hAnsi="Verdana"/>
          <w:sz w:val="20"/>
          <w:szCs w:val="20"/>
          <w:lang w:val="en"/>
        </w:rPr>
        <w:t>Five grant contracts were implemented within this priority axis,</w:t>
      </w:r>
      <w:r w:rsidRPr="00127ED4">
        <w:rPr>
          <w:rFonts w:ascii="Verdana" w:hAnsi="Verdana"/>
          <w:sz w:val="20"/>
          <w:lang w:val="en"/>
        </w:rPr>
        <w:t xml:space="preserve"> including three </w:t>
      </w:r>
      <w:r w:rsidRPr="00127ED4">
        <w:rPr>
          <w:rFonts w:ascii="Verdana" w:hAnsi="Verdana"/>
          <w:sz w:val="20"/>
          <w:szCs w:val="20"/>
          <w:lang w:val="en"/>
        </w:rPr>
        <w:t>investment projects</w:t>
      </w:r>
      <w:r w:rsidR="00E21239">
        <w:rPr>
          <w:rFonts w:ascii="Verdana" w:hAnsi="Verdana"/>
          <w:sz w:val="20"/>
          <w:szCs w:val="20"/>
          <w:lang w:val="en"/>
        </w:rPr>
        <w:t>.</w:t>
      </w:r>
    </w:p>
    <w:p w14:paraId="74B9CB1F" w14:textId="77777777" w:rsidR="00127ED4" w:rsidRPr="00127ED4" w:rsidRDefault="00127ED4" w:rsidP="00127ED4">
      <w:pPr>
        <w:numPr>
          <w:ilvl w:val="0"/>
          <w:numId w:val="2"/>
        </w:numPr>
        <w:autoSpaceDE w:val="0"/>
        <w:autoSpaceDN w:val="0"/>
        <w:adjustRightInd w:val="0"/>
        <w:spacing w:before="120" w:after="120" w:line="240" w:lineRule="auto"/>
        <w:ind w:left="284" w:hanging="284"/>
        <w:jc w:val="both"/>
        <w:rPr>
          <w:rFonts w:ascii="Verdana" w:hAnsi="Verdana" w:cs="Times New Roman"/>
          <w:b/>
          <w:bCs/>
          <w:i/>
          <w:iCs/>
          <w:smallCaps/>
          <w:color w:val="374C80" w:themeColor="accent1" w:themeShade="BF"/>
          <w:sz w:val="20"/>
          <w:szCs w:val="20"/>
          <w:shd w:val="clear" w:color="auto" w:fill="FAF9F8"/>
        </w:rPr>
      </w:pPr>
      <w:r w:rsidRPr="00127ED4">
        <w:rPr>
          <w:rFonts w:ascii="Verdana" w:hAnsi="Verdana"/>
          <w:b/>
          <w:bCs/>
          <w:i/>
          <w:iCs/>
          <w:smallCaps/>
          <w:color w:val="374C80" w:themeColor="accent1" w:themeShade="BF"/>
          <w:sz w:val="20"/>
          <w:szCs w:val="20"/>
          <w:shd w:val="clear" w:color="auto" w:fill="FAF9F8"/>
          <w:lang w:val="en"/>
        </w:rPr>
        <w:lastRenderedPageBreak/>
        <w:t>Priority axis 5: 'Technical assistance'</w:t>
      </w:r>
    </w:p>
    <w:p w14:paraId="54775E65" w14:textId="77777777" w:rsidR="00127ED4" w:rsidRPr="00127ED4" w:rsidRDefault="00127ED4" w:rsidP="00127ED4">
      <w:pPr>
        <w:spacing w:after="0" w:line="240" w:lineRule="auto"/>
        <w:jc w:val="both"/>
        <w:rPr>
          <w:rFonts w:ascii="Verdana" w:hAnsi="Verdana"/>
          <w:sz w:val="20"/>
          <w:szCs w:val="20"/>
          <w:shd w:val="clear" w:color="auto" w:fill="FAF9F8"/>
          <w:lang w:val="en"/>
        </w:rPr>
      </w:pPr>
      <w:r w:rsidRPr="00127ED4">
        <w:rPr>
          <w:rFonts w:ascii="Verdana" w:hAnsi="Verdana"/>
          <w:sz w:val="20"/>
          <w:szCs w:val="20"/>
          <w:shd w:val="clear" w:color="auto" w:fill="FAF9F8"/>
          <w:lang w:val="en"/>
        </w:rPr>
        <w:t>P</w:t>
      </w:r>
      <w:r w:rsidRPr="00127ED4">
        <w:rPr>
          <w:rFonts w:ascii="Verdana" w:hAnsi="Verdana"/>
          <w:sz w:val="20"/>
          <w:szCs w:val="20"/>
          <w:shd w:val="clear" w:color="auto" w:fill="FAF9F8"/>
        </w:rPr>
        <w:t>A</w:t>
      </w:r>
      <w:r w:rsidRPr="00127ED4">
        <w:rPr>
          <w:rFonts w:ascii="Verdana" w:hAnsi="Verdana"/>
          <w:sz w:val="20"/>
          <w:szCs w:val="20"/>
          <w:shd w:val="clear" w:color="auto" w:fill="FAF9F8"/>
          <w:lang w:val="en"/>
        </w:rPr>
        <w:t xml:space="preserve"> 5 provided funding for technical assistance projects for programme implementation and for project preparation for programming period 2014-2020, including Geographic Information Systems, strategic planning and analyses, development of a </w:t>
      </w:r>
      <w:r w:rsidRPr="00127ED4">
        <w:rPr>
          <w:rFonts w:ascii="Verdana" w:hAnsi="Verdana"/>
          <w:sz w:val="20"/>
          <w:szCs w:val="20"/>
          <w:lang w:val="en" w:eastAsia="bg-BG"/>
        </w:rPr>
        <w:t xml:space="preserve">General Transport </w:t>
      </w:r>
      <w:r w:rsidRPr="00127ED4">
        <w:rPr>
          <w:rFonts w:ascii="Verdana" w:hAnsi="Verdana"/>
          <w:sz w:val="20"/>
          <w:szCs w:val="20"/>
          <w:shd w:val="clear" w:color="auto" w:fill="FAF9F8"/>
          <w:lang w:val="en"/>
        </w:rPr>
        <w:t xml:space="preserve">Master Plan, General Environment Monitoring Plan, etc. </w:t>
      </w:r>
    </w:p>
    <w:p w14:paraId="670AC501" w14:textId="36274F37" w:rsidR="001D0F66" w:rsidRPr="00F50700" w:rsidRDefault="002311BF" w:rsidP="001D0F66">
      <w:pPr>
        <w:autoSpaceDE w:val="0"/>
        <w:autoSpaceDN w:val="0"/>
        <w:adjustRightInd w:val="0"/>
        <w:spacing w:before="120" w:after="120" w:line="240" w:lineRule="auto"/>
        <w:jc w:val="both"/>
        <w:rPr>
          <w:rFonts w:ascii="Verdana" w:hAnsi="Verdana" w:cs="Times New Roman"/>
          <w:sz w:val="20"/>
          <w:szCs w:val="20"/>
          <w:shd w:val="clear" w:color="auto" w:fill="FAF9F8"/>
          <w:lang w:val="bg-BG"/>
        </w:rPr>
      </w:pPr>
      <w:r w:rsidRPr="00F50700">
        <w:rPr>
          <w:rFonts w:ascii="Verdana" w:hAnsi="Verdana"/>
          <w:sz w:val="20"/>
          <w:szCs w:val="20"/>
          <w:shd w:val="clear" w:color="auto" w:fill="FAF9F8"/>
          <w:lang w:val="en"/>
        </w:rPr>
        <w:t xml:space="preserve">The initial budget of the </w:t>
      </w:r>
      <w:proofErr w:type="spellStart"/>
      <w:r w:rsidRPr="00F50700">
        <w:rPr>
          <w:rFonts w:ascii="Verdana" w:hAnsi="Verdana"/>
          <w:sz w:val="20"/>
          <w:szCs w:val="20"/>
          <w:shd w:val="clear" w:color="auto" w:fill="FAF9F8"/>
          <w:lang w:val="en"/>
        </w:rPr>
        <w:t>programme</w:t>
      </w:r>
      <w:proofErr w:type="spellEnd"/>
      <w:r w:rsidRPr="00F50700">
        <w:rPr>
          <w:rFonts w:ascii="Verdana" w:hAnsi="Verdana"/>
          <w:sz w:val="20"/>
          <w:szCs w:val="20"/>
          <w:shd w:val="clear" w:color="auto" w:fill="FAF9F8"/>
          <w:lang w:val="en"/>
        </w:rPr>
        <w:t xml:space="preserve"> amounts to EUR 2 003 481 166 and its allocation is shown in</w:t>
      </w:r>
      <w:r w:rsidR="006071A4">
        <w:rPr>
          <w:rFonts w:ascii="Verdana" w:hAnsi="Verdana"/>
          <w:sz w:val="20"/>
          <w:szCs w:val="20"/>
          <w:shd w:val="clear" w:color="auto" w:fill="FAF9F8"/>
          <w:lang w:val="en"/>
        </w:rPr>
        <w:t xml:space="preserve"> </w:t>
      </w:r>
      <w:r w:rsidR="006071A4" w:rsidRPr="00DC4E4C">
        <w:rPr>
          <w:rFonts w:ascii="Verdana" w:hAnsi="Verdana"/>
          <w:color w:val="374C80" w:themeColor="accent1" w:themeShade="BF"/>
          <w:sz w:val="20"/>
          <w:szCs w:val="20"/>
          <w:shd w:val="clear" w:color="auto" w:fill="FAF9F8"/>
          <w:lang w:val="en"/>
        </w:rPr>
        <w:fldChar w:fldCharType="begin"/>
      </w:r>
      <w:r w:rsidR="006071A4" w:rsidRPr="00DC4E4C">
        <w:rPr>
          <w:rFonts w:ascii="Verdana" w:hAnsi="Verdana"/>
          <w:color w:val="374C80" w:themeColor="accent1" w:themeShade="BF"/>
          <w:sz w:val="20"/>
          <w:szCs w:val="20"/>
          <w:shd w:val="clear" w:color="auto" w:fill="FAF9F8"/>
          <w:lang w:val="en"/>
        </w:rPr>
        <w:instrText xml:space="preserve"> REF _Ref62567759 \h </w:instrText>
      </w:r>
      <w:r w:rsidR="006071A4" w:rsidRPr="00DC4E4C">
        <w:rPr>
          <w:rFonts w:ascii="Verdana" w:hAnsi="Verdana"/>
          <w:color w:val="374C80" w:themeColor="accent1" w:themeShade="BF"/>
          <w:sz w:val="20"/>
          <w:szCs w:val="20"/>
          <w:shd w:val="clear" w:color="auto" w:fill="FAF9F8"/>
          <w:lang w:val="en"/>
        </w:rPr>
      </w:r>
      <w:r w:rsidR="006071A4" w:rsidRPr="00DC4E4C">
        <w:rPr>
          <w:rFonts w:ascii="Verdana" w:hAnsi="Verdana"/>
          <w:color w:val="374C80" w:themeColor="accent1" w:themeShade="BF"/>
          <w:sz w:val="20"/>
          <w:szCs w:val="20"/>
          <w:shd w:val="clear" w:color="auto" w:fill="FAF9F8"/>
          <w:lang w:val="en"/>
        </w:rPr>
        <w:fldChar w:fldCharType="separate"/>
      </w:r>
      <w:r w:rsidR="00DC4E4C" w:rsidRPr="00DC4E4C">
        <w:rPr>
          <w:rFonts w:ascii="Verdana" w:hAnsi="Verdana"/>
          <w:color w:val="374C80" w:themeColor="accent1" w:themeShade="BF"/>
          <w:sz w:val="20"/>
          <w:szCs w:val="20"/>
        </w:rPr>
        <w:t xml:space="preserve">Figure </w:t>
      </w:r>
      <w:r w:rsidR="00DC4E4C" w:rsidRPr="00DC4E4C">
        <w:rPr>
          <w:rFonts w:ascii="Verdana" w:hAnsi="Verdana"/>
          <w:noProof/>
          <w:color w:val="374C80" w:themeColor="accent1" w:themeShade="BF"/>
          <w:sz w:val="20"/>
          <w:szCs w:val="20"/>
        </w:rPr>
        <w:t>III</w:t>
      </w:r>
      <w:r w:rsidR="00DC4E4C" w:rsidRPr="00DC4E4C">
        <w:rPr>
          <w:rFonts w:ascii="Verdana" w:hAnsi="Verdana"/>
          <w:color w:val="374C80" w:themeColor="accent1" w:themeShade="BF"/>
          <w:sz w:val="20"/>
          <w:szCs w:val="20"/>
        </w:rPr>
        <w:noBreakHyphen/>
      </w:r>
      <w:r w:rsidR="00DC4E4C" w:rsidRPr="00DC4E4C">
        <w:rPr>
          <w:rFonts w:ascii="Verdana" w:hAnsi="Verdana"/>
          <w:noProof/>
          <w:color w:val="374C80" w:themeColor="accent1" w:themeShade="BF"/>
          <w:sz w:val="20"/>
          <w:szCs w:val="20"/>
        </w:rPr>
        <w:t>2</w:t>
      </w:r>
      <w:r w:rsidR="006071A4" w:rsidRPr="00DC4E4C">
        <w:rPr>
          <w:rFonts w:ascii="Verdana" w:hAnsi="Verdana"/>
          <w:color w:val="374C80" w:themeColor="accent1" w:themeShade="BF"/>
          <w:sz w:val="20"/>
          <w:szCs w:val="20"/>
          <w:shd w:val="clear" w:color="auto" w:fill="FAF9F8"/>
          <w:lang w:val="en"/>
        </w:rPr>
        <w:fldChar w:fldCharType="end"/>
      </w:r>
      <w:r w:rsidR="006071A4">
        <w:rPr>
          <w:rFonts w:ascii="Verdana" w:hAnsi="Verdana"/>
          <w:sz w:val="20"/>
          <w:szCs w:val="20"/>
          <w:shd w:val="clear" w:color="auto" w:fill="FAF9F8"/>
          <w:lang w:val="en"/>
        </w:rPr>
        <w:t>.</w:t>
      </w:r>
      <w:r w:rsidRPr="00F50700">
        <w:rPr>
          <w:rFonts w:ascii="Verdana" w:hAnsi="Verdana"/>
          <w:sz w:val="20"/>
          <w:szCs w:val="20"/>
          <w:lang w:val="en"/>
        </w:rPr>
        <w:t xml:space="preserve"> </w:t>
      </w:r>
      <w:r w:rsidRPr="00F50700">
        <w:rPr>
          <w:rFonts w:ascii="Verdana" w:hAnsi="Verdana"/>
          <w:sz w:val="20"/>
          <w:szCs w:val="20"/>
          <w:shd w:val="clear" w:color="auto" w:fill="FAF9F8"/>
          <w:lang w:val="en"/>
        </w:rPr>
        <w:t>The amount and distribution of payments made</w:t>
      </w:r>
      <w:r w:rsidR="00C02B66">
        <w:rPr>
          <w:rFonts w:ascii="Verdana" w:hAnsi="Verdana"/>
          <w:sz w:val="20"/>
          <w:szCs w:val="20"/>
          <w:shd w:val="clear" w:color="auto" w:fill="FAF9F8"/>
          <w:lang w:val="en"/>
        </w:rPr>
        <w:t xml:space="preserve">, reported in </w:t>
      </w:r>
      <w:r w:rsidRPr="00F50700">
        <w:rPr>
          <w:rFonts w:ascii="Verdana" w:hAnsi="Verdana"/>
          <w:sz w:val="20"/>
          <w:szCs w:val="20"/>
          <w:shd w:val="clear" w:color="auto" w:fill="FAF9F8"/>
          <w:lang w:val="en"/>
        </w:rPr>
        <w:t xml:space="preserve">the Final </w:t>
      </w:r>
      <w:proofErr w:type="spellStart"/>
      <w:r w:rsidRPr="00F50700">
        <w:rPr>
          <w:rFonts w:ascii="Verdana" w:hAnsi="Verdana"/>
          <w:sz w:val="20"/>
          <w:szCs w:val="20"/>
          <w:shd w:val="clear" w:color="auto" w:fill="FAF9F8"/>
          <w:lang w:val="en"/>
        </w:rPr>
        <w:t>Programme</w:t>
      </w:r>
      <w:proofErr w:type="spellEnd"/>
      <w:r w:rsidRPr="00F50700">
        <w:rPr>
          <w:rFonts w:ascii="Verdana" w:hAnsi="Verdana"/>
          <w:sz w:val="20"/>
          <w:szCs w:val="20"/>
          <w:shd w:val="clear" w:color="auto" w:fill="FAF9F8"/>
          <w:lang w:val="en"/>
        </w:rPr>
        <w:t xml:space="preserve"> </w:t>
      </w:r>
      <w:r w:rsidR="00F50700">
        <w:rPr>
          <w:rFonts w:ascii="Verdana" w:hAnsi="Verdana"/>
          <w:sz w:val="20"/>
          <w:szCs w:val="20"/>
          <w:shd w:val="clear" w:color="auto" w:fill="FAF9F8"/>
          <w:lang w:val="en"/>
        </w:rPr>
        <w:t>Implementation Report</w:t>
      </w:r>
      <w:r w:rsidR="00C02B66">
        <w:rPr>
          <w:rFonts w:ascii="Verdana" w:hAnsi="Verdana"/>
          <w:sz w:val="20"/>
          <w:szCs w:val="20"/>
          <w:shd w:val="clear" w:color="auto" w:fill="FAF9F8"/>
          <w:lang w:val="en"/>
        </w:rPr>
        <w:t>,</w:t>
      </w:r>
      <w:r w:rsidR="00F50700">
        <w:rPr>
          <w:rFonts w:ascii="Verdana" w:hAnsi="Verdana"/>
          <w:sz w:val="20"/>
          <w:szCs w:val="20"/>
          <w:shd w:val="clear" w:color="auto" w:fill="FAF9F8"/>
          <w:lang w:val="en"/>
        </w:rPr>
        <w:t xml:space="preserve"> are shown</w:t>
      </w:r>
      <w:r w:rsidRPr="00F50700">
        <w:rPr>
          <w:rFonts w:ascii="Verdana" w:hAnsi="Verdana"/>
          <w:sz w:val="20"/>
          <w:szCs w:val="20"/>
          <w:lang w:val="en"/>
        </w:rPr>
        <w:t xml:space="preserve"> </w:t>
      </w:r>
      <w:r w:rsidRPr="00F50700">
        <w:rPr>
          <w:rFonts w:ascii="Verdana" w:hAnsi="Verdana"/>
          <w:sz w:val="20"/>
          <w:szCs w:val="20"/>
          <w:shd w:val="clear" w:color="auto" w:fill="FAF9F8"/>
          <w:lang w:val="en"/>
        </w:rPr>
        <w:t>in</w:t>
      </w:r>
      <w:r w:rsidR="006071A4">
        <w:rPr>
          <w:rFonts w:ascii="Verdana" w:hAnsi="Verdana"/>
          <w:sz w:val="20"/>
          <w:szCs w:val="20"/>
          <w:shd w:val="clear" w:color="auto" w:fill="FAF9F8"/>
          <w:lang w:val="en"/>
        </w:rPr>
        <w:t xml:space="preserve"> </w:t>
      </w:r>
      <w:r w:rsidR="006071A4" w:rsidRPr="00DC4E4C">
        <w:rPr>
          <w:rFonts w:ascii="Verdana" w:hAnsi="Verdana"/>
          <w:color w:val="374C80" w:themeColor="accent1" w:themeShade="BF"/>
          <w:sz w:val="20"/>
          <w:szCs w:val="20"/>
          <w:shd w:val="clear" w:color="auto" w:fill="FAF9F8"/>
          <w:lang w:val="en"/>
        </w:rPr>
        <w:fldChar w:fldCharType="begin"/>
      </w:r>
      <w:r w:rsidR="006071A4" w:rsidRPr="00DC4E4C">
        <w:rPr>
          <w:rFonts w:ascii="Verdana" w:hAnsi="Verdana"/>
          <w:color w:val="374C80" w:themeColor="accent1" w:themeShade="BF"/>
          <w:sz w:val="20"/>
          <w:szCs w:val="20"/>
          <w:shd w:val="clear" w:color="auto" w:fill="FAF9F8"/>
          <w:lang w:val="en"/>
        </w:rPr>
        <w:instrText xml:space="preserve"> REF _Ref62567767 \h </w:instrText>
      </w:r>
      <w:r w:rsidR="006071A4" w:rsidRPr="00DC4E4C">
        <w:rPr>
          <w:rFonts w:ascii="Verdana" w:hAnsi="Verdana"/>
          <w:color w:val="374C80" w:themeColor="accent1" w:themeShade="BF"/>
          <w:sz w:val="20"/>
          <w:szCs w:val="20"/>
          <w:shd w:val="clear" w:color="auto" w:fill="FAF9F8"/>
          <w:lang w:val="en"/>
        </w:rPr>
      </w:r>
      <w:r w:rsidR="006071A4" w:rsidRPr="00DC4E4C">
        <w:rPr>
          <w:rFonts w:ascii="Verdana" w:hAnsi="Verdana"/>
          <w:color w:val="374C80" w:themeColor="accent1" w:themeShade="BF"/>
          <w:sz w:val="20"/>
          <w:szCs w:val="20"/>
          <w:shd w:val="clear" w:color="auto" w:fill="FAF9F8"/>
          <w:lang w:val="en"/>
        </w:rPr>
        <w:fldChar w:fldCharType="separate"/>
      </w:r>
      <w:r w:rsidR="00DC4E4C" w:rsidRPr="00DC4E4C">
        <w:rPr>
          <w:rFonts w:ascii="Verdana" w:hAnsi="Verdana"/>
          <w:color w:val="374C80" w:themeColor="accent1" w:themeShade="BF"/>
          <w:sz w:val="20"/>
          <w:szCs w:val="20"/>
        </w:rPr>
        <w:t xml:space="preserve">Figure </w:t>
      </w:r>
      <w:r w:rsidR="00DC4E4C" w:rsidRPr="00DC4E4C">
        <w:rPr>
          <w:rFonts w:ascii="Verdana" w:hAnsi="Verdana"/>
          <w:noProof/>
          <w:color w:val="374C80" w:themeColor="accent1" w:themeShade="BF"/>
          <w:sz w:val="20"/>
          <w:szCs w:val="20"/>
        </w:rPr>
        <w:t>III</w:t>
      </w:r>
      <w:r w:rsidR="00DC4E4C" w:rsidRPr="00DC4E4C">
        <w:rPr>
          <w:rFonts w:ascii="Verdana" w:hAnsi="Verdana"/>
          <w:color w:val="374C80" w:themeColor="accent1" w:themeShade="BF"/>
          <w:sz w:val="20"/>
          <w:szCs w:val="20"/>
        </w:rPr>
        <w:noBreakHyphen/>
      </w:r>
      <w:r w:rsidR="00DC4E4C" w:rsidRPr="00DC4E4C">
        <w:rPr>
          <w:rFonts w:ascii="Verdana" w:hAnsi="Verdana"/>
          <w:noProof/>
          <w:color w:val="374C80" w:themeColor="accent1" w:themeShade="BF"/>
          <w:sz w:val="20"/>
          <w:szCs w:val="20"/>
        </w:rPr>
        <w:t>3</w:t>
      </w:r>
      <w:r w:rsidR="006071A4" w:rsidRPr="00DC4E4C">
        <w:rPr>
          <w:rFonts w:ascii="Verdana" w:hAnsi="Verdana"/>
          <w:color w:val="374C80" w:themeColor="accent1" w:themeShade="BF"/>
          <w:sz w:val="20"/>
          <w:szCs w:val="20"/>
          <w:shd w:val="clear" w:color="auto" w:fill="FAF9F8"/>
          <w:lang w:val="en"/>
        </w:rPr>
        <w:fldChar w:fldCharType="end"/>
      </w:r>
      <w:r w:rsidR="006071A4">
        <w:rPr>
          <w:rFonts w:ascii="Verdana" w:hAnsi="Verdana"/>
          <w:sz w:val="20"/>
          <w:szCs w:val="20"/>
          <w:shd w:val="clear" w:color="auto" w:fill="FAF9F8"/>
          <w:lang w:val="en"/>
        </w:rPr>
        <w:t>.</w:t>
      </w:r>
    </w:p>
    <w:p w14:paraId="3C3ED861" w14:textId="77777777" w:rsidR="00C810F7" w:rsidRPr="00C810F7" w:rsidRDefault="00C810F7" w:rsidP="00C810F7">
      <w:pPr>
        <w:spacing w:after="0" w:line="240" w:lineRule="auto"/>
        <w:jc w:val="both"/>
        <w:rPr>
          <w:rFonts w:ascii="Verdana" w:hAnsi="Verdana"/>
          <w:sz w:val="20"/>
          <w:szCs w:val="20"/>
          <w:lang w:val="en"/>
        </w:rPr>
      </w:pPr>
      <w:r w:rsidRPr="00C810F7">
        <w:rPr>
          <w:rFonts w:ascii="Verdana" w:hAnsi="Verdana"/>
          <w:b/>
          <w:bCs/>
          <w:sz w:val="20"/>
          <w:szCs w:val="20"/>
          <w:lang w:val="en"/>
        </w:rPr>
        <w:t>The main</w:t>
      </w:r>
      <w:r w:rsidRPr="00C810F7">
        <w:rPr>
          <w:rFonts w:ascii="Verdana" w:hAnsi="Verdana"/>
          <w:sz w:val="20"/>
          <w:szCs w:val="20"/>
          <w:lang w:val="en"/>
        </w:rPr>
        <w:t xml:space="preserve"> </w:t>
      </w:r>
      <w:r w:rsidRPr="00C810F7">
        <w:rPr>
          <w:rFonts w:ascii="Verdana" w:hAnsi="Verdana"/>
          <w:b/>
          <w:bCs/>
          <w:sz w:val="20"/>
          <w:szCs w:val="20"/>
          <w:lang w:val="en"/>
        </w:rPr>
        <w:t>programme beneficiaries</w:t>
      </w:r>
      <w:r w:rsidRPr="00C810F7">
        <w:rPr>
          <w:rFonts w:ascii="Verdana" w:hAnsi="Verdana"/>
          <w:sz w:val="20"/>
          <w:szCs w:val="20"/>
          <w:lang w:val="en"/>
        </w:rPr>
        <w:t xml:space="preserve"> include the National Railway Infrastructure Company, Road Infrastructure Agency, Metropolitan JSC, Bulgarian Ports Infrastructure Company, Executive Agency for Exploration and Maintenance of the Danube River, as well as structures of MA and MTITC.</w:t>
      </w:r>
    </w:p>
    <w:p w14:paraId="62740694" w14:textId="77777777" w:rsidR="00B94F4E" w:rsidRPr="00B94F4E" w:rsidRDefault="00B94F4E" w:rsidP="00B94F4E">
      <w:pPr>
        <w:spacing w:before="120" w:after="120" w:line="240" w:lineRule="auto"/>
        <w:jc w:val="both"/>
        <w:rPr>
          <w:rFonts w:ascii="Verdana" w:hAnsi="Verdana" w:cs="Times New Roman"/>
          <w:color w:val="000000"/>
          <w:sz w:val="20"/>
          <w:szCs w:val="20"/>
        </w:rPr>
      </w:pPr>
      <w:r w:rsidRPr="00B94F4E">
        <w:rPr>
          <w:rFonts w:ascii="Verdana" w:hAnsi="Verdana"/>
          <w:color w:val="000000"/>
          <w:sz w:val="20"/>
          <w:szCs w:val="20"/>
          <w:lang w:val="en"/>
        </w:rPr>
        <w:t>In order to promote the achieved results,</w:t>
      </w:r>
      <w:r w:rsidRPr="00B94F4E">
        <w:rPr>
          <w:rFonts w:ascii="Verdana" w:hAnsi="Verdana"/>
          <w:b/>
          <w:bCs/>
          <w:color w:val="000000"/>
          <w:sz w:val="20"/>
          <w:szCs w:val="20"/>
          <w:lang w:val="en"/>
        </w:rPr>
        <w:t xml:space="preserve"> a Communication Plan </w:t>
      </w:r>
      <w:r w:rsidRPr="00B94F4E">
        <w:rPr>
          <w:rFonts w:ascii="Verdana" w:hAnsi="Verdana"/>
          <w:color w:val="000000"/>
          <w:sz w:val="20"/>
          <w:szCs w:val="20"/>
          <w:lang w:val="en"/>
        </w:rPr>
        <w:t>was developed and implemented as per</w:t>
      </w:r>
      <w:r w:rsidRPr="00B94F4E">
        <w:rPr>
          <w:rFonts w:ascii="Verdana" w:hAnsi="Verdana"/>
          <w:sz w:val="20"/>
          <w:lang w:val="en"/>
        </w:rPr>
        <w:t xml:space="preserve"> Article</w:t>
      </w:r>
      <w:r w:rsidRPr="00B94F4E">
        <w:rPr>
          <w:rFonts w:ascii="Verdana" w:hAnsi="Verdana"/>
          <w:color w:val="000000"/>
          <w:sz w:val="20"/>
          <w:szCs w:val="20"/>
          <w:lang w:val="en"/>
        </w:rPr>
        <w:t xml:space="preserve"> 2 of Regulation 1828/2006, containing various measures to inform citizens about the meaning, objectives </w:t>
      </w:r>
      <w:r w:rsidRPr="00B94F4E">
        <w:rPr>
          <w:rFonts w:ascii="Verdana" w:hAnsi="Verdana"/>
          <w:sz w:val="20"/>
          <w:lang w:val="en"/>
        </w:rPr>
        <w:t xml:space="preserve">and </w:t>
      </w:r>
      <w:r w:rsidRPr="00B94F4E">
        <w:rPr>
          <w:rFonts w:ascii="Verdana" w:hAnsi="Verdana"/>
          <w:sz w:val="20"/>
          <w:lang w:val="en-US"/>
        </w:rPr>
        <w:t>achievements</w:t>
      </w:r>
      <w:r w:rsidRPr="00B94F4E">
        <w:rPr>
          <w:rFonts w:ascii="Verdana" w:hAnsi="Verdana"/>
          <w:sz w:val="20"/>
          <w:lang w:val="en"/>
        </w:rPr>
        <w:t xml:space="preserve"> of the </w:t>
      </w:r>
      <w:r w:rsidRPr="00B94F4E">
        <w:rPr>
          <w:rFonts w:ascii="Verdana" w:hAnsi="Verdana"/>
          <w:color w:val="000000"/>
          <w:sz w:val="20"/>
          <w:szCs w:val="20"/>
          <w:lang w:val="en"/>
        </w:rPr>
        <w:t xml:space="preserve">programme through presentations, discussions, debates, round tables, trainings, seminars, photo exhibitions, open days, annual information events, opening ceremonies, etc. </w:t>
      </w:r>
    </w:p>
    <w:p w14:paraId="35E3F91E" w14:textId="77777777" w:rsidR="001B215F" w:rsidRPr="00F50700" w:rsidRDefault="001B215F" w:rsidP="001B215F">
      <w:pPr>
        <w:jc w:val="center"/>
        <w:rPr>
          <w:rFonts w:ascii="Verdana" w:hAnsi="Verdana"/>
          <w:lang w:val="bg-BG"/>
        </w:rPr>
      </w:pPr>
    </w:p>
    <w:p w14:paraId="05D8D72F" w14:textId="77777777" w:rsidR="001B215F" w:rsidRPr="00F50700" w:rsidRDefault="001B215F" w:rsidP="001B215F">
      <w:pPr>
        <w:rPr>
          <w:rFonts w:ascii="Verdana" w:hAnsi="Verdana"/>
          <w:lang w:val="bg-BG"/>
        </w:rPr>
        <w:sectPr w:rsidR="001B215F" w:rsidRPr="00F50700" w:rsidSect="00FE0E3B">
          <w:headerReference w:type="default" r:id="rId16"/>
          <w:footerReference w:type="default" r:id="rId17"/>
          <w:headerReference w:type="first" r:id="rId18"/>
          <w:pgSz w:w="11906" w:h="16838"/>
          <w:pgMar w:top="1411" w:right="1411" w:bottom="1411" w:left="1411" w:header="720" w:footer="720" w:gutter="0"/>
          <w:cols w:space="720"/>
          <w:titlePg/>
          <w:docGrid w:linePitch="360"/>
        </w:sectPr>
      </w:pPr>
    </w:p>
    <w:p w14:paraId="21CA1903" w14:textId="77777777" w:rsidR="00093DFF" w:rsidRDefault="00093DFF" w:rsidP="002B2054">
      <w:pPr>
        <w:pStyle w:val="Caption"/>
        <w:keepNext/>
        <w:rPr>
          <w:rFonts w:ascii="Verdana" w:hAnsi="Verdana"/>
          <w:sz w:val="20"/>
          <w:szCs w:val="20"/>
        </w:rPr>
      </w:pPr>
      <w:bookmarkStart w:id="21" w:name="_Ref62567759"/>
      <w:bookmarkStart w:id="22" w:name="_Toc62724849"/>
    </w:p>
    <w:p w14:paraId="59BEB01A" w14:textId="5500FBD6" w:rsidR="002B2054" w:rsidRPr="002B2054" w:rsidRDefault="002B2054" w:rsidP="002B2054">
      <w:pPr>
        <w:pStyle w:val="Caption"/>
        <w:keepNext/>
        <w:rPr>
          <w:rFonts w:ascii="Verdana" w:hAnsi="Verdana"/>
          <w:sz w:val="20"/>
          <w:szCs w:val="20"/>
        </w:rPr>
      </w:pPr>
      <w:r w:rsidRPr="002B2054">
        <w:rPr>
          <w:rFonts w:ascii="Verdana" w:hAnsi="Verdana"/>
          <w:sz w:val="20"/>
          <w:szCs w:val="20"/>
        </w:rPr>
        <w:t xml:space="preserve">Figure </w:t>
      </w:r>
      <w:r w:rsidR="00134718">
        <w:rPr>
          <w:rFonts w:ascii="Verdana" w:hAnsi="Verdana"/>
          <w:sz w:val="20"/>
          <w:szCs w:val="20"/>
        </w:rPr>
        <w:fldChar w:fldCharType="begin"/>
      </w:r>
      <w:r w:rsidR="00134718">
        <w:rPr>
          <w:rFonts w:ascii="Verdana" w:hAnsi="Verdana"/>
          <w:sz w:val="20"/>
          <w:szCs w:val="20"/>
        </w:rPr>
        <w:instrText xml:space="preserve"> STYLEREF 1 \s </w:instrText>
      </w:r>
      <w:r w:rsidR="00134718">
        <w:rPr>
          <w:rFonts w:ascii="Verdana" w:hAnsi="Verdana"/>
          <w:sz w:val="20"/>
          <w:szCs w:val="20"/>
        </w:rPr>
        <w:fldChar w:fldCharType="separate"/>
      </w:r>
      <w:r w:rsidR="00134718">
        <w:rPr>
          <w:rFonts w:ascii="Verdana" w:hAnsi="Verdana"/>
          <w:noProof/>
          <w:sz w:val="20"/>
          <w:szCs w:val="20"/>
        </w:rPr>
        <w:t>III</w:t>
      </w:r>
      <w:r w:rsidR="00134718">
        <w:rPr>
          <w:rFonts w:ascii="Verdana" w:hAnsi="Verdana"/>
          <w:sz w:val="20"/>
          <w:szCs w:val="20"/>
        </w:rPr>
        <w:fldChar w:fldCharType="end"/>
      </w:r>
      <w:r w:rsidR="00134718">
        <w:rPr>
          <w:rFonts w:ascii="Verdana" w:hAnsi="Verdana"/>
          <w:sz w:val="20"/>
          <w:szCs w:val="20"/>
        </w:rPr>
        <w:noBreakHyphen/>
      </w:r>
      <w:r w:rsidR="00134718">
        <w:rPr>
          <w:rFonts w:ascii="Verdana" w:hAnsi="Verdana"/>
          <w:sz w:val="20"/>
          <w:szCs w:val="20"/>
        </w:rPr>
        <w:fldChar w:fldCharType="begin"/>
      </w:r>
      <w:r w:rsidR="00134718">
        <w:rPr>
          <w:rFonts w:ascii="Verdana" w:hAnsi="Verdana"/>
          <w:sz w:val="20"/>
          <w:szCs w:val="20"/>
        </w:rPr>
        <w:instrText xml:space="preserve"> SEQ Figure \* ARABIC \s 1 </w:instrText>
      </w:r>
      <w:r w:rsidR="00134718">
        <w:rPr>
          <w:rFonts w:ascii="Verdana" w:hAnsi="Verdana"/>
          <w:sz w:val="20"/>
          <w:szCs w:val="20"/>
        </w:rPr>
        <w:fldChar w:fldCharType="separate"/>
      </w:r>
      <w:r w:rsidR="00134718">
        <w:rPr>
          <w:rFonts w:ascii="Verdana" w:hAnsi="Verdana"/>
          <w:noProof/>
          <w:sz w:val="20"/>
          <w:szCs w:val="20"/>
        </w:rPr>
        <w:t>2</w:t>
      </w:r>
      <w:r w:rsidR="00134718">
        <w:rPr>
          <w:rFonts w:ascii="Verdana" w:hAnsi="Verdana"/>
          <w:sz w:val="20"/>
          <w:szCs w:val="20"/>
        </w:rPr>
        <w:fldChar w:fldCharType="end"/>
      </w:r>
      <w:bookmarkEnd w:id="21"/>
      <w:r w:rsidRPr="002B2054">
        <w:rPr>
          <w:rFonts w:ascii="Verdana" w:hAnsi="Verdana"/>
          <w:sz w:val="20"/>
          <w:szCs w:val="20"/>
          <w:lang w:val="bg-BG"/>
        </w:rPr>
        <w:t xml:space="preserve">: </w:t>
      </w:r>
      <w:r w:rsidRPr="002B2054">
        <w:rPr>
          <w:rFonts w:ascii="Verdana" w:hAnsi="Verdana"/>
          <w:sz w:val="20"/>
          <w:szCs w:val="20"/>
        </w:rPr>
        <w:t>Initial budget of the programme (EUR)</w:t>
      </w:r>
      <w:bookmarkEnd w:id="22"/>
    </w:p>
    <w:p w14:paraId="106CAEE6" w14:textId="77777777" w:rsidR="002B2054" w:rsidRPr="002B2054" w:rsidRDefault="002B2054" w:rsidP="002B2054">
      <w:pPr>
        <w:autoSpaceDE w:val="0"/>
        <w:autoSpaceDN w:val="0"/>
        <w:adjustRightInd w:val="0"/>
        <w:spacing w:before="120" w:after="120" w:line="240" w:lineRule="auto"/>
        <w:jc w:val="center"/>
        <w:rPr>
          <w:rFonts w:ascii="Verdana" w:hAnsi="Verdana" w:cs="Times New Roman"/>
          <w:sz w:val="20"/>
          <w:szCs w:val="20"/>
          <w:shd w:val="clear" w:color="auto" w:fill="FAF9F8"/>
          <w:lang w:val="bg-BG"/>
        </w:rPr>
      </w:pPr>
      <w:r w:rsidRPr="002B2054">
        <w:rPr>
          <w:rFonts w:ascii="Verdana" w:hAnsi="Verdana"/>
          <w:noProof/>
          <w:sz w:val="20"/>
          <w:lang w:val="bg-BG" w:eastAsia="bg-BG"/>
        </w:rPr>
        <w:drawing>
          <wp:inline distT="0" distB="0" distL="0" distR="0" wp14:anchorId="61DCE2E1" wp14:editId="7515DEBF">
            <wp:extent cx="5057775" cy="3190875"/>
            <wp:effectExtent l="0" t="0" r="9525" b="9525"/>
            <wp:docPr id="11" name="Chart 11">
              <a:extLst xmlns:a="http://schemas.openxmlformats.org/drawingml/2006/main">
                <a:ext uri="{FF2B5EF4-FFF2-40B4-BE49-F238E27FC236}">
                  <a16:creationId xmlns:a16="http://schemas.microsoft.com/office/drawing/2014/main" id="{A9CB592E-876F-4A21-9FC1-FEAB18B1765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347E71C7" w14:textId="77777777" w:rsidR="002B2054" w:rsidRPr="002B2054" w:rsidRDefault="002B2054" w:rsidP="002B2054">
      <w:pPr>
        <w:autoSpaceDE w:val="0"/>
        <w:autoSpaceDN w:val="0"/>
        <w:adjustRightInd w:val="0"/>
        <w:spacing w:before="120" w:after="120" w:line="240" w:lineRule="auto"/>
        <w:jc w:val="both"/>
        <w:rPr>
          <w:rFonts w:ascii="Verdana" w:hAnsi="Verdana" w:cs="Times New Roman"/>
          <w:sz w:val="18"/>
          <w:szCs w:val="18"/>
          <w:shd w:val="clear" w:color="auto" w:fill="FAF9F8"/>
          <w:lang w:val="bg-BG"/>
        </w:rPr>
      </w:pPr>
      <w:r w:rsidRPr="002B2054">
        <w:rPr>
          <w:rFonts w:ascii="Verdana" w:hAnsi="Verdana"/>
          <w:i/>
          <w:iCs/>
          <w:sz w:val="18"/>
          <w:szCs w:val="18"/>
          <w:shd w:val="clear" w:color="auto" w:fill="FAF9F8"/>
          <w:lang w:val="en"/>
        </w:rPr>
        <w:t>Source: Initial version of OPT</w:t>
      </w:r>
    </w:p>
    <w:p w14:paraId="1843563F" w14:textId="77777777" w:rsidR="002B2054" w:rsidRPr="002B2054" w:rsidRDefault="002B2054" w:rsidP="002B2054">
      <w:pPr>
        <w:autoSpaceDE w:val="0"/>
        <w:autoSpaceDN w:val="0"/>
        <w:adjustRightInd w:val="0"/>
        <w:spacing w:before="120" w:after="120" w:line="240" w:lineRule="auto"/>
        <w:jc w:val="both"/>
        <w:rPr>
          <w:rFonts w:ascii="Verdana" w:hAnsi="Verdana" w:cs="Times New Roman"/>
          <w:sz w:val="20"/>
          <w:szCs w:val="20"/>
          <w:shd w:val="clear" w:color="auto" w:fill="FAF9F8"/>
          <w:lang w:val="bg-BG"/>
        </w:rPr>
      </w:pPr>
    </w:p>
    <w:p w14:paraId="65235EB9" w14:textId="7E87BCCF" w:rsidR="002B2054" w:rsidRPr="002B2054" w:rsidRDefault="002B2054" w:rsidP="002B2054">
      <w:pPr>
        <w:pStyle w:val="Caption"/>
        <w:keepNext/>
        <w:rPr>
          <w:rFonts w:ascii="Verdana" w:hAnsi="Verdana"/>
          <w:sz w:val="20"/>
          <w:szCs w:val="20"/>
        </w:rPr>
      </w:pPr>
      <w:bookmarkStart w:id="23" w:name="_Ref62567767"/>
      <w:bookmarkStart w:id="24" w:name="_Toc62724850"/>
      <w:r w:rsidRPr="002B2054">
        <w:rPr>
          <w:rFonts w:ascii="Verdana" w:hAnsi="Verdana"/>
          <w:sz w:val="20"/>
          <w:szCs w:val="20"/>
        </w:rPr>
        <w:t xml:space="preserve">Figure </w:t>
      </w:r>
      <w:r w:rsidR="00134718">
        <w:rPr>
          <w:rFonts w:ascii="Verdana" w:hAnsi="Verdana"/>
          <w:sz w:val="20"/>
          <w:szCs w:val="20"/>
        </w:rPr>
        <w:fldChar w:fldCharType="begin"/>
      </w:r>
      <w:r w:rsidR="00134718">
        <w:rPr>
          <w:rFonts w:ascii="Verdana" w:hAnsi="Verdana"/>
          <w:sz w:val="20"/>
          <w:szCs w:val="20"/>
        </w:rPr>
        <w:instrText xml:space="preserve"> STYLEREF 1 \s </w:instrText>
      </w:r>
      <w:r w:rsidR="00134718">
        <w:rPr>
          <w:rFonts w:ascii="Verdana" w:hAnsi="Verdana"/>
          <w:sz w:val="20"/>
          <w:szCs w:val="20"/>
        </w:rPr>
        <w:fldChar w:fldCharType="separate"/>
      </w:r>
      <w:r w:rsidR="00134718">
        <w:rPr>
          <w:rFonts w:ascii="Verdana" w:hAnsi="Verdana"/>
          <w:noProof/>
          <w:sz w:val="20"/>
          <w:szCs w:val="20"/>
        </w:rPr>
        <w:t>III</w:t>
      </w:r>
      <w:r w:rsidR="00134718">
        <w:rPr>
          <w:rFonts w:ascii="Verdana" w:hAnsi="Verdana"/>
          <w:sz w:val="20"/>
          <w:szCs w:val="20"/>
        </w:rPr>
        <w:fldChar w:fldCharType="end"/>
      </w:r>
      <w:r w:rsidR="00134718">
        <w:rPr>
          <w:rFonts w:ascii="Verdana" w:hAnsi="Verdana"/>
          <w:sz w:val="20"/>
          <w:szCs w:val="20"/>
        </w:rPr>
        <w:noBreakHyphen/>
      </w:r>
      <w:r w:rsidR="00134718">
        <w:rPr>
          <w:rFonts w:ascii="Verdana" w:hAnsi="Verdana"/>
          <w:sz w:val="20"/>
          <w:szCs w:val="20"/>
        </w:rPr>
        <w:fldChar w:fldCharType="begin"/>
      </w:r>
      <w:r w:rsidR="00134718">
        <w:rPr>
          <w:rFonts w:ascii="Verdana" w:hAnsi="Verdana"/>
          <w:sz w:val="20"/>
          <w:szCs w:val="20"/>
        </w:rPr>
        <w:instrText xml:space="preserve"> SEQ Figure \* ARABIC \s 1 </w:instrText>
      </w:r>
      <w:r w:rsidR="00134718">
        <w:rPr>
          <w:rFonts w:ascii="Verdana" w:hAnsi="Verdana"/>
          <w:sz w:val="20"/>
          <w:szCs w:val="20"/>
        </w:rPr>
        <w:fldChar w:fldCharType="separate"/>
      </w:r>
      <w:r w:rsidR="00134718">
        <w:rPr>
          <w:rFonts w:ascii="Verdana" w:hAnsi="Verdana"/>
          <w:noProof/>
          <w:sz w:val="20"/>
          <w:szCs w:val="20"/>
        </w:rPr>
        <w:t>3</w:t>
      </w:r>
      <w:r w:rsidR="00134718">
        <w:rPr>
          <w:rFonts w:ascii="Verdana" w:hAnsi="Verdana"/>
          <w:sz w:val="20"/>
          <w:szCs w:val="20"/>
        </w:rPr>
        <w:fldChar w:fldCharType="end"/>
      </w:r>
      <w:bookmarkEnd w:id="23"/>
      <w:r w:rsidRPr="002B2054">
        <w:rPr>
          <w:rFonts w:ascii="Verdana" w:hAnsi="Verdana"/>
          <w:sz w:val="20"/>
          <w:szCs w:val="20"/>
        </w:rPr>
        <w:t>: Expenditures paid by Priority Axes, in EUR</w:t>
      </w:r>
      <w:bookmarkEnd w:id="24"/>
    </w:p>
    <w:p w14:paraId="29EE4F0B" w14:textId="77777777" w:rsidR="002B2054" w:rsidRPr="002B2054" w:rsidRDefault="002B2054" w:rsidP="002B2054">
      <w:pPr>
        <w:autoSpaceDE w:val="0"/>
        <w:autoSpaceDN w:val="0"/>
        <w:adjustRightInd w:val="0"/>
        <w:spacing w:before="120" w:after="120" w:line="240" w:lineRule="auto"/>
        <w:jc w:val="center"/>
        <w:rPr>
          <w:rFonts w:ascii="Verdana" w:eastAsia="Times New Roman" w:hAnsi="Verdana" w:cs="Times New Roman"/>
          <w:i/>
          <w:iCs/>
          <w:sz w:val="20"/>
          <w:szCs w:val="20"/>
          <w:lang w:eastAsia="bg-BG"/>
        </w:rPr>
      </w:pPr>
      <w:r w:rsidRPr="002B2054">
        <w:rPr>
          <w:rFonts w:ascii="Verdana" w:hAnsi="Verdana"/>
          <w:noProof/>
          <w:sz w:val="20"/>
          <w:lang w:val="bg-BG" w:eastAsia="bg-BG"/>
        </w:rPr>
        <w:drawing>
          <wp:inline distT="0" distB="0" distL="0" distR="0" wp14:anchorId="7092681E" wp14:editId="0FE004B4">
            <wp:extent cx="5105400" cy="2857500"/>
            <wp:effectExtent l="0" t="0" r="0" b="0"/>
            <wp:docPr id="16" name="Chart 16">
              <a:extLst xmlns:a="http://schemas.openxmlformats.org/drawingml/2006/main">
                <a:ext uri="{FF2B5EF4-FFF2-40B4-BE49-F238E27FC236}">
                  <a16:creationId xmlns:a16="http://schemas.microsoft.com/office/drawing/2014/main" id="{28784939-9490-4A5E-BE4D-221685AAF4F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365B2666" w14:textId="77777777" w:rsidR="002B2054" w:rsidRPr="002B2054" w:rsidRDefault="002B2054" w:rsidP="00C90CC7">
      <w:pPr>
        <w:spacing w:before="120" w:after="120" w:line="240" w:lineRule="auto"/>
        <w:ind w:firstLine="360"/>
        <w:jc w:val="both"/>
        <w:rPr>
          <w:rFonts w:ascii="Verdana" w:hAnsi="Verdana" w:cs="Times New Roman"/>
          <w:i/>
          <w:iCs/>
          <w:sz w:val="18"/>
          <w:szCs w:val="18"/>
          <w:lang w:val="bg-BG"/>
        </w:rPr>
      </w:pPr>
      <w:r w:rsidRPr="002B2054">
        <w:rPr>
          <w:rFonts w:ascii="Verdana" w:hAnsi="Verdana"/>
          <w:i/>
          <w:iCs/>
          <w:sz w:val="18"/>
          <w:szCs w:val="18"/>
          <w:lang w:val="en"/>
        </w:rPr>
        <w:t>Source: Final Report of OPT</w:t>
      </w:r>
    </w:p>
    <w:p w14:paraId="0C1A58A4" w14:textId="69C74F9C" w:rsidR="002B2054" w:rsidRDefault="002B2054" w:rsidP="002B1D0C">
      <w:pPr>
        <w:spacing w:before="120" w:after="120" w:line="240" w:lineRule="auto"/>
        <w:ind w:firstLine="567"/>
        <w:jc w:val="both"/>
        <w:rPr>
          <w:rFonts w:ascii="Verdana" w:hAnsi="Verdana" w:cs="Times New Roman"/>
          <w:b/>
          <w:bCs/>
          <w:sz w:val="20"/>
          <w:szCs w:val="20"/>
          <w:lang w:val="bg-BG"/>
        </w:rPr>
      </w:pPr>
    </w:p>
    <w:p w14:paraId="1E46112E" w14:textId="77777777" w:rsidR="002B2054" w:rsidRPr="00F50700" w:rsidRDefault="002B2054" w:rsidP="002B1D0C">
      <w:pPr>
        <w:spacing w:before="120" w:after="120" w:line="240" w:lineRule="auto"/>
        <w:ind w:firstLine="567"/>
        <w:jc w:val="both"/>
        <w:rPr>
          <w:rFonts w:ascii="Verdana" w:hAnsi="Verdana" w:cs="Times New Roman"/>
          <w:b/>
          <w:bCs/>
          <w:sz w:val="20"/>
          <w:szCs w:val="20"/>
          <w:lang w:val="bg-BG"/>
        </w:rPr>
      </w:pPr>
    </w:p>
    <w:p w14:paraId="200172A5" w14:textId="6DB3B246" w:rsidR="00D778BF" w:rsidRPr="0024309C" w:rsidRDefault="00F72597" w:rsidP="0024309C">
      <w:pPr>
        <w:pStyle w:val="Heading1"/>
        <w:numPr>
          <w:ilvl w:val="0"/>
          <w:numId w:val="58"/>
        </w:numPr>
        <w:rPr>
          <w:rFonts w:ascii="Verdana" w:hAnsi="Verdana"/>
          <w:b/>
          <w:bCs/>
          <w:color w:val="auto"/>
          <w:sz w:val="20"/>
          <w:szCs w:val="20"/>
          <w:lang w:val="en"/>
        </w:rPr>
      </w:pPr>
      <w:bookmarkStart w:id="25" w:name="_Toc62724393"/>
      <w:bookmarkStart w:id="26" w:name="_Ref50291495"/>
      <w:r w:rsidRPr="0024309C">
        <w:rPr>
          <w:rFonts w:ascii="Verdana" w:hAnsi="Verdana"/>
          <w:b/>
          <w:bCs/>
          <w:color w:val="auto"/>
          <w:sz w:val="20"/>
          <w:szCs w:val="20"/>
          <w:lang w:val="en"/>
        </w:rPr>
        <w:lastRenderedPageBreak/>
        <w:t>EVALUATION RESULTS</w:t>
      </w:r>
      <w:bookmarkEnd w:id="25"/>
      <w:r w:rsidRPr="0024309C">
        <w:rPr>
          <w:rFonts w:ascii="Verdana" w:hAnsi="Verdana"/>
          <w:b/>
          <w:bCs/>
          <w:color w:val="auto"/>
          <w:sz w:val="20"/>
          <w:szCs w:val="20"/>
          <w:lang w:val="en"/>
        </w:rPr>
        <w:t xml:space="preserve"> </w:t>
      </w:r>
      <w:bookmarkEnd w:id="26"/>
    </w:p>
    <w:p w14:paraId="072A878F" w14:textId="622C0B6E" w:rsidR="0048262D" w:rsidRPr="0024309C" w:rsidRDefault="00343945" w:rsidP="0024309C">
      <w:pPr>
        <w:pStyle w:val="Heading1"/>
        <w:numPr>
          <w:ilvl w:val="1"/>
          <w:numId w:val="58"/>
        </w:numPr>
        <w:shd w:val="clear" w:color="auto" w:fill="374C80" w:themeFill="accent1" w:themeFillShade="BF"/>
        <w:ind w:left="0" w:firstLine="0"/>
        <w:rPr>
          <w:rFonts w:ascii="Verdana" w:eastAsia="Calibri" w:hAnsi="Verdana" w:cs="Calibri"/>
          <w:b/>
          <w:bCs/>
          <w:color w:val="FFFFFF" w:themeColor="background1"/>
          <w:sz w:val="20"/>
          <w:szCs w:val="20"/>
          <w:lang w:val="bg-BG"/>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bookmarkStart w:id="27" w:name="_Ref50388074"/>
      <w:bookmarkStart w:id="28" w:name="_Ref50388313"/>
      <w:bookmarkStart w:id="29" w:name="_Ref50409833"/>
      <w:bookmarkStart w:id="30" w:name="_Ref50410609"/>
      <w:bookmarkStart w:id="31" w:name="_Toc62724394"/>
      <w:r w:rsidRPr="00F50700">
        <w:rPr>
          <w:rFonts w:ascii="Verdana" w:hAnsi="Verdana"/>
          <w:b/>
          <w:bCs/>
          <w:color w:val="FFFFFF" w:themeColor="background1"/>
          <w:sz w:val="20"/>
          <w:szCs w:val="20"/>
          <w:lang w:val="en"/>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Is there a difference with the intervention? How have investments led to change?</w:t>
      </w:r>
      <w:bookmarkStart w:id="32" w:name="_Toc55295804"/>
      <w:bookmarkStart w:id="33" w:name="_Toc55551328"/>
      <w:bookmarkStart w:id="34" w:name="_Toc55551506"/>
      <w:bookmarkEnd w:id="27"/>
      <w:bookmarkEnd w:id="28"/>
      <w:bookmarkEnd w:id="29"/>
      <w:bookmarkEnd w:id="30"/>
      <w:bookmarkEnd w:id="31"/>
    </w:p>
    <w:p w14:paraId="2E8D45ED" w14:textId="70A2ADEC" w:rsidR="000272DD" w:rsidRPr="003E7FC9" w:rsidRDefault="000272DD" w:rsidP="003E7FC9">
      <w:pPr>
        <w:pStyle w:val="Heading4"/>
        <w:numPr>
          <w:ilvl w:val="2"/>
          <w:numId w:val="58"/>
        </w:numPr>
        <w:ind w:left="567" w:hanging="141"/>
        <w:rPr>
          <w:rFonts w:ascii="Verdana" w:hAnsi="Verdana"/>
          <w:b/>
          <w:bCs/>
          <w:i w:val="0"/>
          <w:iCs w:val="0"/>
          <w:color w:val="374C80" w:themeColor="accent1" w:themeShade="BF"/>
          <w:sz w:val="20"/>
          <w:szCs w:val="20"/>
          <w:lang w:val="bg-BG"/>
        </w:rPr>
      </w:pPr>
      <w:r w:rsidRPr="003E7FC9">
        <w:rPr>
          <w:rFonts w:ascii="Verdana" w:hAnsi="Verdana"/>
          <w:b/>
          <w:bCs/>
          <w:i w:val="0"/>
          <w:iCs w:val="0"/>
          <w:color w:val="374C80" w:themeColor="accent1" w:themeShade="BF"/>
          <w:sz w:val="20"/>
          <w:szCs w:val="20"/>
          <w:lang w:val="en"/>
        </w:rPr>
        <w:t>Monitoring the impact of OPT investments through the application of S</w:t>
      </w:r>
      <w:r w:rsidR="00784A79" w:rsidRPr="003E7FC9">
        <w:rPr>
          <w:rFonts w:ascii="Verdana" w:hAnsi="Verdana"/>
          <w:b/>
          <w:bCs/>
          <w:i w:val="0"/>
          <w:iCs w:val="0"/>
          <w:color w:val="374C80" w:themeColor="accent1" w:themeShade="BF"/>
          <w:sz w:val="20"/>
          <w:szCs w:val="20"/>
          <w:lang w:val="en"/>
        </w:rPr>
        <w:t>I</w:t>
      </w:r>
      <w:r w:rsidRPr="003E7FC9">
        <w:rPr>
          <w:rFonts w:ascii="Verdana" w:hAnsi="Verdana"/>
          <w:b/>
          <w:bCs/>
          <w:i w:val="0"/>
          <w:iCs w:val="0"/>
          <w:color w:val="374C80" w:themeColor="accent1" w:themeShade="BF"/>
          <w:sz w:val="20"/>
          <w:szCs w:val="20"/>
          <w:lang w:val="en"/>
        </w:rPr>
        <w:t>BILLA 2.0 model</w:t>
      </w:r>
      <w:bookmarkEnd w:id="32"/>
      <w:bookmarkEnd w:id="33"/>
      <w:bookmarkEnd w:id="34"/>
    </w:p>
    <w:p w14:paraId="05237873" w14:textId="1060AFC6" w:rsidR="00B81A3B" w:rsidRPr="008453B1" w:rsidRDefault="00B81A3B" w:rsidP="00B81A3B">
      <w:pPr>
        <w:spacing w:before="120" w:after="120" w:line="240" w:lineRule="auto"/>
        <w:jc w:val="both"/>
        <w:rPr>
          <w:rFonts w:ascii="Verdana" w:hAnsi="Verdana"/>
          <w:sz w:val="20"/>
          <w:szCs w:val="20"/>
          <w:lang w:val="bg-BG"/>
        </w:rPr>
      </w:pPr>
      <w:r w:rsidRPr="008453B1">
        <w:rPr>
          <w:rFonts w:ascii="Verdana" w:hAnsi="Verdana"/>
          <w:sz w:val="20"/>
          <w:szCs w:val="20"/>
          <w:lang w:val="en"/>
        </w:rPr>
        <w:t>The SIBILA</w:t>
      </w:r>
      <w:r w:rsidRPr="008453B1">
        <w:rPr>
          <w:rStyle w:val="FootnoteReference"/>
          <w:rFonts w:ascii="Verdana" w:hAnsi="Verdana"/>
          <w:sz w:val="20"/>
          <w:szCs w:val="20"/>
          <w:lang w:val="en"/>
        </w:rPr>
        <w:footnoteReference w:id="2"/>
      </w:r>
      <w:r w:rsidRPr="008453B1">
        <w:rPr>
          <w:rFonts w:ascii="Verdana" w:hAnsi="Verdana"/>
          <w:sz w:val="20"/>
          <w:szCs w:val="20"/>
          <w:lang w:val="en"/>
        </w:rPr>
        <w:t xml:space="preserve"> model allows for the impact assessment of certain specific capital investments. The precise modelling of aggregate supply and demand enables the tracking of both direct and indirect interconnections between public expenditure and the key economic growth indicators. The method used incorporates the Cobb-Douglas production function. For all the operational programmes interventions to be considered, the productions function used includes a technological level factor, in addition to the three typical components of physical capital, human capital, and </w:t>
      </w:r>
      <w:r w:rsidR="00174F36" w:rsidRPr="008453B1">
        <w:rPr>
          <w:rFonts w:ascii="Verdana" w:hAnsi="Verdana"/>
          <w:sz w:val="20"/>
          <w:szCs w:val="20"/>
          <w:lang w:val="en"/>
        </w:rPr>
        <w:t>labor</w:t>
      </w:r>
      <w:r w:rsidRPr="008453B1">
        <w:rPr>
          <w:rFonts w:ascii="Verdana" w:hAnsi="Verdana"/>
          <w:sz w:val="20"/>
          <w:szCs w:val="20"/>
          <w:lang w:val="en"/>
        </w:rPr>
        <w:t>.</w:t>
      </w:r>
    </w:p>
    <w:p w14:paraId="3CD07CD7" w14:textId="77777777" w:rsidR="00B81A3B" w:rsidRPr="008453B1" w:rsidRDefault="00B81A3B" w:rsidP="00B81A3B">
      <w:pPr>
        <w:spacing w:before="120" w:after="120" w:line="240" w:lineRule="auto"/>
        <w:jc w:val="both"/>
        <w:rPr>
          <w:rFonts w:ascii="Verdana" w:hAnsi="Verdana"/>
          <w:sz w:val="20"/>
          <w:szCs w:val="20"/>
          <w:lang w:val="bg-BG"/>
        </w:rPr>
      </w:pPr>
      <w:r w:rsidRPr="008453B1">
        <w:rPr>
          <w:rFonts w:ascii="Verdana" w:hAnsi="Verdana"/>
          <w:i/>
          <w:iCs/>
          <w:sz w:val="20"/>
          <w:szCs w:val="20"/>
          <w:lang w:val="en"/>
        </w:rPr>
        <w:t xml:space="preserve">Investments in technological capital </w:t>
      </w:r>
      <w:r w:rsidRPr="008453B1">
        <w:rPr>
          <w:rFonts w:ascii="Verdana" w:hAnsi="Verdana"/>
          <w:sz w:val="20"/>
          <w:szCs w:val="20"/>
          <w:lang w:val="en"/>
        </w:rPr>
        <w:t>(these including information and communication technologies) play an important role for increasing the level of production in the short and medium run.</w:t>
      </w:r>
    </w:p>
    <w:p w14:paraId="25520C43" w14:textId="77777777" w:rsidR="00B81A3B" w:rsidRPr="008453B1" w:rsidRDefault="00B81A3B" w:rsidP="00B81A3B">
      <w:pPr>
        <w:spacing w:before="120" w:after="120" w:line="240" w:lineRule="auto"/>
        <w:jc w:val="both"/>
        <w:rPr>
          <w:rFonts w:ascii="Verdana" w:hAnsi="Verdana"/>
          <w:sz w:val="20"/>
          <w:szCs w:val="20"/>
          <w:lang w:val="en-US"/>
        </w:rPr>
      </w:pPr>
      <w:r w:rsidRPr="008453B1">
        <w:rPr>
          <w:rFonts w:ascii="Verdana" w:hAnsi="Verdana"/>
          <w:sz w:val="20"/>
          <w:szCs w:val="20"/>
          <w:lang w:val="en-US"/>
        </w:rPr>
        <w:t>Next, the important OPT-related investments in infrastructure capital (transport infrastructure, etc.) are considered. These investments, under both the OPT, and the national budget, lead to the increase/expansion/improvement of the available infrastructure, and this in turn affects economic processes in short, medium and long term.</w:t>
      </w:r>
    </w:p>
    <w:p w14:paraId="57AD3D1B" w14:textId="1443E277" w:rsidR="00B81A3B" w:rsidRPr="008453B1" w:rsidRDefault="00B81A3B" w:rsidP="00B81A3B">
      <w:pPr>
        <w:spacing w:before="120" w:after="120" w:line="240" w:lineRule="auto"/>
        <w:jc w:val="both"/>
        <w:rPr>
          <w:rFonts w:ascii="Verdana" w:hAnsi="Verdana"/>
          <w:sz w:val="20"/>
          <w:szCs w:val="20"/>
          <w:lang w:val="en-US"/>
        </w:rPr>
      </w:pPr>
      <w:r w:rsidRPr="008453B1">
        <w:rPr>
          <w:rFonts w:ascii="Verdana" w:hAnsi="Verdana"/>
          <w:sz w:val="20"/>
          <w:szCs w:val="20"/>
          <w:lang w:val="en-US"/>
        </w:rPr>
        <w:t xml:space="preserve">This determines the main mechanism of impact of the OPT investments on macroeconomic development – these affect production levels directly. Higher production in turn is related to the improvement of the </w:t>
      </w:r>
      <w:r w:rsidR="00174F36" w:rsidRPr="008453B1">
        <w:rPr>
          <w:rFonts w:ascii="Verdana" w:hAnsi="Verdana"/>
          <w:sz w:val="20"/>
          <w:szCs w:val="20"/>
          <w:lang w:val="en-US"/>
        </w:rPr>
        <w:t>labor</w:t>
      </w:r>
      <w:r w:rsidRPr="008453B1">
        <w:rPr>
          <w:rFonts w:ascii="Verdana" w:hAnsi="Verdana"/>
          <w:sz w:val="20"/>
          <w:szCs w:val="20"/>
          <w:lang w:val="en-US"/>
        </w:rPr>
        <w:t xml:space="preserve"> market, of the investment activity, consumption, budget revenues and the budget balance, etc. In the short term, the benefits of infrastructural projects are related mainly to the increase in employment, predominantly for the underlying construction works. This leads to the (temporary) decrease in the number of unemployed persons and the increase of the average nominal wages, and respectively, of the private consumption at the national and regional levels (e.g. there is an increased demand of goods and services from different economic activities such as ‘Construction’, ‘Transport, Storage and Communication’, ‘Legal, Accounting, Architectural and Engineering Activities, Technical Testing and Analysis’, etc.).</w:t>
      </w:r>
    </w:p>
    <w:p w14:paraId="2C0E1BB0" w14:textId="77777777" w:rsidR="00B81A3B" w:rsidRPr="008453B1" w:rsidRDefault="00B81A3B" w:rsidP="00B81A3B">
      <w:pPr>
        <w:spacing w:before="120" w:after="120" w:line="240" w:lineRule="auto"/>
        <w:jc w:val="both"/>
        <w:rPr>
          <w:rFonts w:ascii="Verdana" w:hAnsi="Verdana"/>
          <w:sz w:val="20"/>
          <w:szCs w:val="20"/>
          <w:lang w:val="bg-BG"/>
        </w:rPr>
      </w:pPr>
      <w:r w:rsidRPr="008453B1">
        <w:rPr>
          <w:rFonts w:ascii="Verdana" w:hAnsi="Verdana"/>
          <w:sz w:val="20"/>
          <w:szCs w:val="20"/>
          <w:lang w:val="en-US"/>
        </w:rPr>
        <w:t>In the medium and in the long term, when infrastructure projects are completed and put into operation, there is a sustainable positive impact as a result of the improved economic activity conditions.</w:t>
      </w:r>
      <w:r w:rsidRPr="008453B1">
        <w:rPr>
          <w:rFonts w:ascii="Verdana" w:hAnsi="Verdana"/>
          <w:sz w:val="20"/>
          <w:szCs w:val="20"/>
          <w:lang w:val="en"/>
        </w:rPr>
        <w:t xml:space="preserve"> </w:t>
      </w:r>
    </w:p>
    <w:p w14:paraId="3448F17A" w14:textId="77777777" w:rsidR="00B81A3B" w:rsidRPr="008453B1" w:rsidRDefault="00B81A3B" w:rsidP="00B81A3B">
      <w:pPr>
        <w:spacing w:before="120" w:after="120" w:line="240" w:lineRule="auto"/>
        <w:jc w:val="both"/>
        <w:rPr>
          <w:rFonts w:ascii="Verdana" w:hAnsi="Verdana"/>
          <w:sz w:val="20"/>
          <w:szCs w:val="20"/>
          <w:lang w:val="bg-BG"/>
        </w:rPr>
      </w:pPr>
      <w:r w:rsidRPr="008453B1">
        <w:rPr>
          <w:rFonts w:ascii="Verdana" w:hAnsi="Verdana"/>
          <w:sz w:val="20"/>
          <w:szCs w:val="20"/>
          <w:lang w:val="en"/>
        </w:rPr>
        <w:t xml:space="preserve">An important point in the </w:t>
      </w:r>
      <w:r w:rsidRPr="008453B1">
        <w:rPr>
          <w:rFonts w:ascii="Verdana" w:hAnsi="Verdana"/>
          <w:i/>
          <w:iCs/>
          <w:sz w:val="20"/>
          <w:szCs w:val="20"/>
          <w:lang w:val="en"/>
        </w:rPr>
        <w:t xml:space="preserve">follow-up </w:t>
      </w:r>
      <w:r w:rsidRPr="008453B1">
        <w:rPr>
          <w:rFonts w:ascii="Verdana" w:hAnsi="Verdana"/>
          <w:sz w:val="20"/>
          <w:szCs w:val="20"/>
          <w:lang w:val="en"/>
        </w:rPr>
        <w:t>of macroeconomic effects is the impact on imports of goods, including those of investment goods. In the short and medium term, the increased demand for raw materials, equipment, machinery, etc., which are necessary for the construction of infrastructure sites is palpable – the Bulgarian economy is small, open and dependent on external markets, especially with regard to the import of these specific goods.</w:t>
      </w:r>
    </w:p>
    <w:p w14:paraId="6D64942F" w14:textId="77777777" w:rsidR="00B81A3B" w:rsidRPr="008453B1" w:rsidRDefault="00B81A3B" w:rsidP="008453B1">
      <w:pPr>
        <w:spacing w:before="120" w:after="120" w:line="240" w:lineRule="auto"/>
        <w:jc w:val="both"/>
        <w:rPr>
          <w:rFonts w:ascii="Verdana" w:hAnsi="Verdana"/>
          <w:sz w:val="20"/>
          <w:szCs w:val="20"/>
          <w:lang w:val="bg-BG"/>
        </w:rPr>
      </w:pPr>
      <w:r w:rsidRPr="008453B1">
        <w:rPr>
          <w:rFonts w:ascii="Verdana" w:hAnsi="Verdana"/>
          <w:sz w:val="20"/>
          <w:szCs w:val="20"/>
          <w:lang w:val="en"/>
        </w:rPr>
        <w:t xml:space="preserve">In the framework of this evaluation of the OPT, an independent extension to the simulation framework of the SIBILA 2.0 model has been made in order to evaluate the impact of </w:t>
      </w:r>
      <w:r w:rsidRPr="008453B1">
        <w:rPr>
          <w:rFonts w:ascii="Verdana" w:hAnsi="Verdana"/>
          <w:sz w:val="20"/>
          <w:szCs w:val="20"/>
          <w:lang w:val="en"/>
        </w:rPr>
        <w:lastRenderedPageBreak/>
        <w:t>specific projects. This extension allows for the quantitative assessment of the net impact of certain projects on key macroeconomic indicators.</w:t>
      </w:r>
    </w:p>
    <w:p w14:paraId="73A2AE78" w14:textId="77777777" w:rsidR="00185B74" w:rsidRPr="00F50700" w:rsidRDefault="00185B74" w:rsidP="00532C7B">
      <w:pPr>
        <w:spacing w:before="120" w:after="120" w:line="240" w:lineRule="auto"/>
        <w:jc w:val="both"/>
        <w:rPr>
          <w:rFonts w:ascii="Verdana" w:hAnsi="Verdana"/>
          <w:sz w:val="20"/>
          <w:szCs w:val="20"/>
          <w:lang w:val="bg-BG"/>
        </w:rPr>
      </w:pPr>
    </w:p>
    <w:p w14:paraId="7F6DBD09" w14:textId="417D7270" w:rsidR="00E665E8" w:rsidRPr="003E7FC9" w:rsidRDefault="00E665E8" w:rsidP="003E7FC9">
      <w:pPr>
        <w:pStyle w:val="Heading4"/>
        <w:numPr>
          <w:ilvl w:val="2"/>
          <w:numId w:val="58"/>
        </w:numPr>
        <w:ind w:left="426" w:hanging="142"/>
        <w:rPr>
          <w:rFonts w:ascii="Verdana" w:hAnsi="Verdana"/>
          <w:b/>
          <w:bCs/>
          <w:i w:val="0"/>
          <w:iCs w:val="0"/>
          <w:color w:val="374C80" w:themeColor="accent1" w:themeShade="BF"/>
          <w:sz w:val="20"/>
          <w:szCs w:val="20"/>
          <w:lang w:val="en"/>
        </w:rPr>
      </w:pPr>
      <w:r w:rsidRPr="003E7FC9">
        <w:rPr>
          <w:rFonts w:ascii="Verdana" w:hAnsi="Verdana"/>
          <w:b/>
          <w:bCs/>
          <w:i w:val="0"/>
          <w:iCs w:val="0"/>
          <w:color w:val="374C80" w:themeColor="accent1" w:themeShade="BF"/>
          <w:sz w:val="20"/>
          <w:szCs w:val="20"/>
          <w:lang w:val="en"/>
        </w:rPr>
        <w:t>Dynamics of the net effects of OPT interventions in the first programming period (2007-2013). Net impact of the implementation of interventions</w:t>
      </w:r>
    </w:p>
    <w:p w14:paraId="387AE3C5" w14:textId="73220650" w:rsidR="000272DD" w:rsidRDefault="000272DD" w:rsidP="00B870D7">
      <w:pPr>
        <w:pStyle w:val="Heading4"/>
        <w:numPr>
          <w:ilvl w:val="0"/>
          <w:numId w:val="37"/>
        </w:numPr>
        <w:spacing w:before="120" w:after="120" w:line="240" w:lineRule="auto"/>
        <w:jc w:val="both"/>
        <w:rPr>
          <w:rFonts w:ascii="Verdana" w:hAnsi="Verdana"/>
          <w:b/>
          <w:bCs/>
          <w:sz w:val="20"/>
          <w:szCs w:val="20"/>
          <w:lang w:val="en"/>
        </w:rPr>
      </w:pPr>
      <w:r w:rsidRPr="00F50700">
        <w:rPr>
          <w:rFonts w:ascii="Verdana" w:hAnsi="Verdana"/>
          <w:b/>
          <w:bCs/>
          <w:sz w:val="20"/>
          <w:szCs w:val="20"/>
          <w:lang w:val="en"/>
        </w:rPr>
        <w:t>Macroeconomic effects</w:t>
      </w:r>
    </w:p>
    <w:p w14:paraId="0C4BBA89" w14:textId="77777777" w:rsidR="003F1FB7" w:rsidRPr="003F1FB7" w:rsidRDefault="003F1FB7" w:rsidP="003F1FB7">
      <w:pPr>
        <w:spacing w:before="120" w:after="120" w:line="240" w:lineRule="auto"/>
        <w:jc w:val="both"/>
        <w:rPr>
          <w:rFonts w:ascii="Verdana" w:hAnsi="Verdana"/>
          <w:sz w:val="20"/>
          <w:szCs w:val="20"/>
          <w:lang w:val="bg-BG"/>
        </w:rPr>
      </w:pPr>
      <w:r w:rsidRPr="003F1FB7">
        <w:rPr>
          <w:rFonts w:ascii="Verdana" w:hAnsi="Verdana"/>
          <w:sz w:val="20"/>
          <w:szCs w:val="20"/>
          <w:lang w:val="en"/>
        </w:rPr>
        <w:t>The net impact of the implementation of OPT interventions is positive. Despite that improved infrastructure determines economic development mainly in the medium and long term, there are some tangible short-term effects even after the increase in absorption intensity towards the middle of the programming period. These effects continue to occur in the medium run, even after the end of the funding period.</w:t>
      </w:r>
    </w:p>
    <w:p w14:paraId="503FD82F" w14:textId="4D1BFBE6" w:rsidR="003F1FB7" w:rsidRPr="003F1FB7" w:rsidRDefault="003F1FB7" w:rsidP="003F1FB7">
      <w:pPr>
        <w:spacing w:before="120" w:after="120" w:line="240" w:lineRule="auto"/>
        <w:jc w:val="both"/>
        <w:rPr>
          <w:rFonts w:ascii="Verdana" w:hAnsi="Verdana"/>
          <w:sz w:val="20"/>
          <w:szCs w:val="20"/>
          <w:lang w:val="bg-BG"/>
        </w:rPr>
      </w:pPr>
      <w:r w:rsidRPr="003F1FB7">
        <w:rPr>
          <w:rFonts w:ascii="Verdana" w:hAnsi="Verdana"/>
          <w:sz w:val="20"/>
          <w:szCs w:val="20"/>
          <w:lang w:val="en"/>
        </w:rPr>
        <w:t xml:space="preserve">Some of the most significant effects of OPT are manifested on </w:t>
      </w:r>
      <w:r w:rsidRPr="003F1FB7">
        <w:rPr>
          <w:rFonts w:ascii="Verdana" w:hAnsi="Verdana"/>
          <w:i/>
          <w:iCs/>
          <w:sz w:val="20"/>
          <w:szCs w:val="20"/>
          <w:lang w:val="en"/>
        </w:rPr>
        <w:t xml:space="preserve">the </w:t>
      </w:r>
      <w:r w:rsidR="00174F36" w:rsidRPr="003F1FB7">
        <w:rPr>
          <w:rFonts w:ascii="Verdana" w:hAnsi="Verdana"/>
          <w:i/>
          <w:iCs/>
          <w:sz w:val="20"/>
          <w:szCs w:val="20"/>
          <w:lang w:val="en"/>
        </w:rPr>
        <w:t>labor</w:t>
      </w:r>
      <w:r w:rsidRPr="003F1FB7">
        <w:rPr>
          <w:rFonts w:ascii="Verdana" w:hAnsi="Verdana"/>
          <w:i/>
          <w:iCs/>
          <w:sz w:val="20"/>
          <w:szCs w:val="20"/>
          <w:lang w:val="en"/>
        </w:rPr>
        <w:t xml:space="preserve"> market</w:t>
      </w:r>
      <w:r w:rsidRPr="003F1FB7">
        <w:rPr>
          <w:rFonts w:ascii="Verdana" w:hAnsi="Verdana"/>
          <w:sz w:val="20"/>
          <w:szCs w:val="20"/>
          <w:lang w:val="en"/>
        </w:rPr>
        <w:t xml:space="preserve"> – the net effect increased from 0.6% at the end of 2012 to 1.1% by the end of 2015, and to 1.2% by the end of 2016. The interpretation of this effect is that without the OPT by the end of 2015 would have been 1.1% lower. The number of employed persons who have found a job as the direct or indirect result of the impact of the implemented projects amounts to 28.8 thousand people. Accordingly, the impact of these projects on the rate of employment is also </w:t>
      </w:r>
      <w:r w:rsidR="00174F36" w:rsidRPr="003F1FB7">
        <w:rPr>
          <w:rFonts w:ascii="Verdana" w:hAnsi="Verdana"/>
          <w:sz w:val="20"/>
          <w:szCs w:val="20"/>
          <w:lang w:val="en"/>
        </w:rPr>
        <w:t>favorable</w:t>
      </w:r>
      <w:r w:rsidRPr="003F1FB7">
        <w:rPr>
          <w:rFonts w:ascii="Verdana" w:hAnsi="Verdana"/>
          <w:sz w:val="20"/>
          <w:szCs w:val="20"/>
          <w:lang w:val="en"/>
        </w:rPr>
        <w:t xml:space="preserve"> for the </w:t>
      </w:r>
      <w:r w:rsidR="00174F36" w:rsidRPr="003F1FB7">
        <w:rPr>
          <w:rFonts w:ascii="Verdana" w:hAnsi="Verdana"/>
          <w:sz w:val="20"/>
          <w:szCs w:val="20"/>
          <w:lang w:val="en"/>
        </w:rPr>
        <w:t>labor</w:t>
      </w:r>
      <w:r w:rsidRPr="003F1FB7">
        <w:rPr>
          <w:rFonts w:ascii="Verdana" w:hAnsi="Verdana"/>
          <w:sz w:val="20"/>
          <w:szCs w:val="20"/>
          <w:lang w:val="en"/>
        </w:rPr>
        <w:t xml:space="preserve"> market – at the end of 2015, the coefficient was 0.5 percentage points lower than it would have been without the implementation of the OPT. The impact of these infrastructure investments on the average wages is moderately positive – the net effect amounts to approximately 1%.</w:t>
      </w:r>
    </w:p>
    <w:p w14:paraId="3C5568AD" w14:textId="77777777" w:rsidR="003F1FB7" w:rsidRPr="003F1FB7" w:rsidRDefault="003F1FB7" w:rsidP="003F1FB7">
      <w:pPr>
        <w:spacing w:before="120" w:after="120" w:line="240" w:lineRule="auto"/>
        <w:jc w:val="both"/>
        <w:rPr>
          <w:rFonts w:ascii="Verdana" w:hAnsi="Verdana"/>
          <w:sz w:val="20"/>
          <w:szCs w:val="20"/>
          <w:lang w:val="bg-BG"/>
        </w:rPr>
      </w:pPr>
      <w:r w:rsidRPr="003F1FB7">
        <w:rPr>
          <w:rFonts w:ascii="Verdana" w:hAnsi="Verdana"/>
          <w:sz w:val="20"/>
          <w:szCs w:val="20"/>
          <w:lang w:val="en"/>
        </w:rPr>
        <w:t>Positive net effects on the real sector of the economy in the short term are also present. Bulgaria's real GDP is slightly above 1% higher than the non-OPT scenario after the completion of the projects’ implementation. Private consumption was also positively affected, with a net effect at the end of 2015 of 1.3%.</w:t>
      </w:r>
    </w:p>
    <w:p w14:paraId="339D9A60" w14:textId="77777777" w:rsidR="003F1FB7" w:rsidRPr="003F1FB7" w:rsidRDefault="003F1FB7" w:rsidP="003F1FB7">
      <w:pPr>
        <w:spacing w:before="120" w:after="120" w:line="240" w:lineRule="auto"/>
        <w:jc w:val="both"/>
        <w:rPr>
          <w:rFonts w:ascii="Verdana" w:hAnsi="Verdana"/>
          <w:sz w:val="20"/>
          <w:szCs w:val="20"/>
          <w:lang w:val="bg-BG"/>
        </w:rPr>
      </w:pPr>
      <w:r w:rsidRPr="003F1FB7">
        <w:rPr>
          <w:rFonts w:ascii="Verdana" w:hAnsi="Verdana"/>
          <w:sz w:val="20"/>
          <w:szCs w:val="20"/>
          <w:lang w:val="en"/>
        </w:rPr>
        <w:t>The observed effect on investments in the country is significant. In particular, the impact on public investments is tangible – by the end of 2012, the public expenditure on acquisition of the fixed assets would have been 15.2% lower without the realization of the OPT, and 15.7% lower for the end of 2015, respectively. Despite this, the net effect of these infrastructure investments on budget balance amounted to 0.2 percentage points after the end of the first programming period – i.e. as the result of the improved economic activity, there is an increase in budget revenues which manage to offset the incurred expenditures from the national budget funds.</w:t>
      </w:r>
    </w:p>
    <w:p w14:paraId="4038336F" w14:textId="77777777" w:rsidR="003F1FB7" w:rsidRPr="003F1FB7" w:rsidRDefault="003F1FB7" w:rsidP="003F1FB7">
      <w:pPr>
        <w:spacing w:before="120" w:after="120" w:line="240" w:lineRule="auto"/>
        <w:jc w:val="both"/>
        <w:rPr>
          <w:rFonts w:ascii="Verdana" w:hAnsi="Verdana"/>
          <w:sz w:val="20"/>
          <w:szCs w:val="20"/>
          <w:lang w:val="bg-BG"/>
        </w:rPr>
      </w:pPr>
      <w:r w:rsidRPr="003F1FB7">
        <w:rPr>
          <w:rFonts w:ascii="Verdana" w:hAnsi="Verdana"/>
          <w:i/>
          <w:iCs/>
          <w:sz w:val="20"/>
          <w:szCs w:val="20"/>
          <w:lang w:val="en"/>
        </w:rPr>
        <w:t>The volume of private</w:t>
      </w:r>
      <w:r w:rsidRPr="003F1FB7">
        <w:rPr>
          <w:rFonts w:ascii="Verdana" w:hAnsi="Verdana"/>
          <w:sz w:val="20"/>
          <w:szCs w:val="20"/>
          <w:lang w:val="en"/>
        </w:rPr>
        <w:t xml:space="preserve"> investment is 2.4% higher than it would have been without the infrastructure projects – these private investments are the result of the induced higher levels of business activity, especially in the regions where the projects have been implemented.</w:t>
      </w:r>
    </w:p>
    <w:p w14:paraId="4D4B64AB" w14:textId="4DEB6835" w:rsidR="003F1FB7" w:rsidRPr="003F1FB7" w:rsidRDefault="003F1FB7" w:rsidP="003F1FB7">
      <w:pPr>
        <w:spacing w:before="120" w:after="120" w:line="240" w:lineRule="auto"/>
        <w:jc w:val="both"/>
        <w:rPr>
          <w:rFonts w:ascii="Verdana" w:hAnsi="Verdana"/>
          <w:sz w:val="20"/>
          <w:szCs w:val="20"/>
          <w:lang w:val="bg-BG"/>
        </w:rPr>
      </w:pPr>
      <w:r w:rsidRPr="003F1FB7">
        <w:rPr>
          <w:rFonts w:ascii="Verdana" w:hAnsi="Verdana"/>
          <w:i/>
          <w:iCs/>
          <w:sz w:val="20"/>
          <w:szCs w:val="20"/>
          <w:lang w:val="en"/>
        </w:rPr>
        <w:t xml:space="preserve">The impact on the current accounts is moderately negative – </w:t>
      </w:r>
      <w:r w:rsidRPr="003F1FB7">
        <w:rPr>
          <w:rFonts w:ascii="Verdana" w:hAnsi="Verdana"/>
          <w:sz w:val="20"/>
          <w:szCs w:val="20"/>
          <w:lang w:val="en"/>
        </w:rPr>
        <w:t>the implementation of the OPT projects is related to higher imports which cannot compensate for the positive effect on exports. The net effect on imports at the end of 2015 amounted to 2.2% and the respective value for exports was 0.1%.</w:t>
      </w:r>
      <w:r w:rsidRPr="003F1FB7">
        <w:rPr>
          <w:rFonts w:ascii="Verdana" w:hAnsi="Verdana"/>
          <w:sz w:val="20"/>
          <w:szCs w:val="20"/>
        </w:rPr>
        <w:t xml:space="preserve"> </w:t>
      </w:r>
      <w:r w:rsidRPr="003F1FB7">
        <w:rPr>
          <w:rFonts w:ascii="Verdana" w:hAnsi="Verdana"/>
          <w:sz w:val="20"/>
          <w:szCs w:val="20"/>
          <w:lang w:val="en"/>
        </w:rPr>
        <w:t>OPT’s impact on price dynamics is rather weak, with a net effect at the end of 2015 of 0.3%.</w:t>
      </w:r>
    </w:p>
    <w:p w14:paraId="601DC79E" w14:textId="3294B629" w:rsidR="003F1FB7" w:rsidRPr="003F1FB7" w:rsidRDefault="003F1FB7" w:rsidP="003F1FB7">
      <w:pPr>
        <w:pStyle w:val="Caption"/>
        <w:keepNext/>
        <w:rPr>
          <w:rFonts w:ascii="Verdana" w:hAnsi="Verdana"/>
          <w:sz w:val="20"/>
          <w:szCs w:val="20"/>
        </w:rPr>
      </w:pPr>
      <w:bookmarkStart w:id="36" w:name="_Toc62724729"/>
      <w:r w:rsidRPr="003F1FB7">
        <w:rPr>
          <w:rFonts w:ascii="Verdana" w:hAnsi="Verdana"/>
          <w:sz w:val="20"/>
          <w:szCs w:val="20"/>
        </w:rPr>
        <w:t xml:space="preserve">Table </w:t>
      </w:r>
      <w:r w:rsidR="002A60EF">
        <w:rPr>
          <w:rFonts w:ascii="Verdana" w:hAnsi="Verdana"/>
          <w:sz w:val="20"/>
          <w:szCs w:val="20"/>
        </w:rPr>
        <w:fldChar w:fldCharType="begin"/>
      </w:r>
      <w:r w:rsidR="002A60EF">
        <w:rPr>
          <w:rFonts w:ascii="Verdana" w:hAnsi="Verdana"/>
          <w:sz w:val="20"/>
          <w:szCs w:val="20"/>
        </w:rPr>
        <w:instrText xml:space="preserve"> STYLEREF 1 \s </w:instrText>
      </w:r>
      <w:r w:rsidR="002A60EF">
        <w:rPr>
          <w:rFonts w:ascii="Verdana" w:hAnsi="Verdana"/>
          <w:sz w:val="20"/>
          <w:szCs w:val="20"/>
        </w:rPr>
        <w:fldChar w:fldCharType="separate"/>
      </w:r>
      <w:r w:rsidR="002A60EF">
        <w:rPr>
          <w:rFonts w:ascii="Verdana" w:hAnsi="Verdana"/>
          <w:noProof/>
          <w:sz w:val="20"/>
          <w:szCs w:val="20"/>
        </w:rPr>
        <w:t>IV.1</w:t>
      </w:r>
      <w:r w:rsidR="002A60EF">
        <w:rPr>
          <w:rFonts w:ascii="Verdana" w:hAnsi="Verdana"/>
          <w:sz w:val="20"/>
          <w:szCs w:val="20"/>
        </w:rPr>
        <w:fldChar w:fldCharType="end"/>
      </w:r>
      <w:r w:rsidR="002A60EF">
        <w:rPr>
          <w:rFonts w:ascii="Verdana" w:hAnsi="Verdana"/>
          <w:sz w:val="20"/>
          <w:szCs w:val="20"/>
        </w:rPr>
        <w:noBreakHyphen/>
      </w:r>
      <w:r w:rsidR="002A60EF">
        <w:rPr>
          <w:rFonts w:ascii="Verdana" w:hAnsi="Verdana"/>
          <w:sz w:val="20"/>
          <w:szCs w:val="20"/>
        </w:rPr>
        <w:fldChar w:fldCharType="begin"/>
      </w:r>
      <w:r w:rsidR="002A60EF">
        <w:rPr>
          <w:rFonts w:ascii="Verdana" w:hAnsi="Verdana"/>
          <w:sz w:val="20"/>
          <w:szCs w:val="20"/>
        </w:rPr>
        <w:instrText xml:space="preserve"> SEQ Table \* ARABIC \s 1 </w:instrText>
      </w:r>
      <w:r w:rsidR="002A60EF">
        <w:rPr>
          <w:rFonts w:ascii="Verdana" w:hAnsi="Verdana"/>
          <w:sz w:val="20"/>
          <w:szCs w:val="20"/>
        </w:rPr>
        <w:fldChar w:fldCharType="separate"/>
      </w:r>
      <w:r w:rsidR="002A60EF">
        <w:rPr>
          <w:rFonts w:ascii="Verdana" w:hAnsi="Verdana"/>
          <w:noProof/>
          <w:sz w:val="20"/>
          <w:szCs w:val="20"/>
        </w:rPr>
        <w:t>1</w:t>
      </w:r>
      <w:r w:rsidR="002A60EF">
        <w:rPr>
          <w:rFonts w:ascii="Verdana" w:hAnsi="Verdana"/>
          <w:sz w:val="20"/>
          <w:szCs w:val="20"/>
        </w:rPr>
        <w:fldChar w:fldCharType="end"/>
      </w:r>
      <w:r w:rsidRPr="003F1FB7">
        <w:rPr>
          <w:rFonts w:ascii="Verdana" w:hAnsi="Verdana"/>
          <w:sz w:val="20"/>
          <w:szCs w:val="20"/>
        </w:rPr>
        <w:t xml:space="preserve">: </w:t>
      </w:r>
      <w:r w:rsidRPr="003F1FB7">
        <w:rPr>
          <w:rFonts w:ascii="Verdana" w:hAnsi="Verdana"/>
          <w:sz w:val="20"/>
          <w:szCs w:val="20"/>
          <w:lang w:val="en"/>
        </w:rPr>
        <w:t>OPT on key macroeconomic indicators in Bulgaria, mid-term and at the end of the programming period</w:t>
      </w:r>
      <w:bookmarkEnd w:id="36"/>
    </w:p>
    <w:tbl>
      <w:tblPr>
        <w:tblStyle w:val="TableGridLight"/>
        <w:tblW w:w="9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55"/>
        <w:gridCol w:w="1728"/>
        <w:gridCol w:w="1728"/>
        <w:gridCol w:w="1728"/>
        <w:gridCol w:w="9"/>
      </w:tblGrid>
      <w:tr w:rsidR="003F1FB7" w:rsidRPr="00A40D60" w14:paraId="0280FDDB" w14:textId="77777777" w:rsidTr="00AC2E19">
        <w:trPr>
          <w:gridAfter w:val="1"/>
          <w:wAfter w:w="9" w:type="dxa"/>
          <w:trHeight w:val="288"/>
        </w:trPr>
        <w:tc>
          <w:tcPr>
            <w:tcW w:w="3955" w:type="dxa"/>
            <w:shd w:val="clear" w:color="auto" w:fill="374C80" w:themeFill="accent1" w:themeFillShade="BF"/>
          </w:tcPr>
          <w:p w14:paraId="1C3A0F88" w14:textId="77777777" w:rsidR="003F1FB7" w:rsidRPr="003F1FB7" w:rsidRDefault="003F1FB7" w:rsidP="00AC2E19">
            <w:pPr>
              <w:pStyle w:val="TableParagraph"/>
              <w:spacing w:before="0"/>
              <w:ind w:left="69"/>
              <w:rPr>
                <w:rFonts w:ascii="Verdana" w:hAnsi="Verdana"/>
                <w:b/>
                <w:bCs/>
                <w:color w:val="FFFFFF" w:themeColor="background1"/>
                <w:sz w:val="18"/>
                <w:szCs w:val="18"/>
              </w:rPr>
            </w:pPr>
            <w:r w:rsidRPr="003F1FB7">
              <w:rPr>
                <w:rFonts w:ascii="Verdana" w:hAnsi="Verdana"/>
                <w:b/>
                <w:bCs/>
                <w:color w:val="FFFFFF" w:themeColor="background1"/>
                <w:sz w:val="18"/>
                <w:szCs w:val="18"/>
                <w:lang w:val="en"/>
              </w:rPr>
              <w:t>Macroeconomic indicator</w:t>
            </w:r>
          </w:p>
        </w:tc>
        <w:tc>
          <w:tcPr>
            <w:tcW w:w="1728" w:type="dxa"/>
            <w:shd w:val="clear" w:color="auto" w:fill="374C80" w:themeFill="accent1" w:themeFillShade="BF"/>
          </w:tcPr>
          <w:p w14:paraId="7A7291D8" w14:textId="77777777" w:rsidR="003F1FB7" w:rsidRPr="00A40D60" w:rsidRDefault="003F1FB7" w:rsidP="00AC2E19">
            <w:pPr>
              <w:pStyle w:val="TableParagraph"/>
              <w:spacing w:before="0"/>
              <w:ind w:right="73"/>
              <w:jc w:val="center"/>
              <w:rPr>
                <w:rFonts w:ascii="Verdana" w:hAnsi="Verdana"/>
                <w:b/>
                <w:bCs/>
                <w:color w:val="FFFFFF" w:themeColor="background1"/>
                <w:sz w:val="18"/>
                <w:szCs w:val="18"/>
              </w:rPr>
            </w:pPr>
            <w:r w:rsidRPr="00A40D60">
              <w:rPr>
                <w:b/>
                <w:bCs/>
                <w:color w:val="FFFFFF" w:themeColor="background1"/>
                <w:sz w:val="18"/>
                <w:szCs w:val="18"/>
                <w:lang w:val="en"/>
              </w:rPr>
              <w:t>Effect as of 31.12. 2012</w:t>
            </w:r>
            <w:r w:rsidRPr="00A40D60">
              <w:rPr>
                <w:rStyle w:val="FootnoteReference"/>
                <w:b/>
                <w:bCs/>
                <w:color w:val="FFFFFF" w:themeColor="background1"/>
                <w:sz w:val="18"/>
                <w:szCs w:val="18"/>
                <w:lang w:val="en"/>
              </w:rPr>
              <w:footnoteReference w:id="3"/>
            </w:r>
          </w:p>
        </w:tc>
        <w:tc>
          <w:tcPr>
            <w:tcW w:w="1728" w:type="dxa"/>
            <w:shd w:val="clear" w:color="auto" w:fill="374C80" w:themeFill="accent1" w:themeFillShade="BF"/>
          </w:tcPr>
          <w:p w14:paraId="18520993" w14:textId="77777777" w:rsidR="003F1FB7" w:rsidRPr="00A40D60" w:rsidRDefault="003F1FB7" w:rsidP="00AC2E19">
            <w:pPr>
              <w:pStyle w:val="TableParagraph"/>
              <w:spacing w:before="0"/>
              <w:ind w:right="73"/>
              <w:jc w:val="center"/>
              <w:rPr>
                <w:rFonts w:ascii="Verdana" w:hAnsi="Verdana"/>
                <w:b/>
                <w:bCs/>
                <w:color w:val="FFFFFF" w:themeColor="background1"/>
                <w:sz w:val="18"/>
                <w:szCs w:val="18"/>
              </w:rPr>
            </w:pPr>
            <w:r w:rsidRPr="00A40D60">
              <w:rPr>
                <w:b/>
                <w:bCs/>
                <w:color w:val="FFFFFF" w:themeColor="background1"/>
                <w:sz w:val="18"/>
                <w:szCs w:val="18"/>
                <w:lang w:val="en"/>
              </w:rPr>
              <w:t>Effect as of 31.12. 2015</w:t>
            </w:r>
            <w:r w:rsidRPr="00A40D60">
              <w:rPr>
                <w:rStyle w:val="FootnoteReference"/>
                <w:b/>
                <w:bCs/>
                <w:color w:val="FFFFFF" w:themeColor="background1"/>
                <w:sz w:val="18"/>
                <w:szCs w:val="18"/>
                <w:lang w:val="en"/>
              </w:rPr>
              <w:footnoteReference w:id="4"/>
            </w:r>
          </w:p>
        </w:tc>
        <w:tc>
          <w:tcPr>
            <w:tcW w:w="1728" w:type="dxa"/>
            <w:shd w:val="clear" w:color="auto" w:fill="374C80" w:themeFill="accent1" w:themeFillShade="BF"/>
          </w:tcPr>
          <w:p w14:paraId="1E461ADB" w14:textId="77777777" w:rsidR="003F1FB7" w:rsidRPr="00A40D60" w:rsidRDefault="003F1FB7" w:rsidP="00AC2E19">
            <w:pPr>
              <w:pStyle w:val="TableParagraph"/>
              <w:spacing w:before="0"/>
              <w:ind w:right="73"/>
              <w:jc w:val="center"/>
              <w:rPr>
                <w:rFonts w:ascii="Verdana" w:hAnsi="Verdana"/>
                <w:b/>
                <w:bCs/>
                <w:color w:val="FFFFFF" w:themeColor="background1"/>
                <w:sz w:val="18"/>
                <w:szCs w:val="18"/>
              </w:rPr>
            </w:pPr>
            <w:r w:rsidRPr="00A40D60">
              <w:rPr>
                <w:b/>
                <w:bCs/>
                <w:color w:val="FFFFFF" w:themeColor="background1"/>
                <w:sz w:val="18"/>
                <w:szCs w:val="18"/>
                <w:lang w:val="en"/>
              </w:rPr>
              <w:t xml:space="preserve">Effect as of 30.06. </w:t>
            </w:r>
            <w:r w:rsidRPr="00A40D60">
              <w:rPr>
                <w:b/>
                <w:bCs/>
                <w:color w:val="FFFFFF" w:themeColor="background1"/>
                <w:sz w:val="18"/>
                <w:szCs w:val="18"/>
                <w:lang w:val="en"/>
              </w:rPr>
              <w:lastRenderedPageBreak/>
              <w:t>2016</w:t>
            </w:r>
            <w:r w:rsidRPr="00A40D60">
              <w:rPr>
                <w:rStyle w:val="FootnoteReference"/>
                <w:b/>
                <w:bCs/>
                <w:color w:val="FFFFFF" w:themeColor="background1"/>
                <w:sz w:val="18"/>
                <w:szCs w:val="18"/>
                <w:lang w:val="en"/>
              </w:rPr>
              <w:footnoteReference w:id="5"/>
            </w:r>
          </w:p>
        </w:tc>
      </w:tr>
      <w:tr w:rsidR="003F1FB7" w:rsidRPr="00A40D60" w14:paraId="10140942" w14:textId="77777777" w:rsidTr="00AC2E19">
        <w:trPr>
          <w:gridAfter w:val="1"/>
          <w:wAfter w:w="9" w:type="dxa"/>
          <w:trHeight w:val="288"/>
        </w:trPr>
        <w:tc>
          <w:tcPr>
            <w:tcW w:w="3955" w:type="dxa"/>
            <w:shd w:val="clear" w:color="auto" w:fill="D9DFEF" w:themeFill="accent1" w:themeFillTint="33"/>
          </w:tcPr>
          <w:p w14:paraId="29977A2D" w14:textId="4DA342B7" w:rsidR="003F1FB7" w:rsidRPr="003F1FB7" w:rsidRDefault="00174F36" w:rsidP="00AC2E19">
            <w:pPr>
              <w:pStyle w:val="TableParagraph"/>
              <w:spacing w:before="0"/>
              <w:rPr>
                <w:rFonts w:ascii="Verdana" w:hAnsi="Verdana"/>
                <w:b/>
                <w:bCs/>
                <w:i/>
                <w:iCs/>
                <w:color w:val="4A66AC" w:themeColor="accent1"/>
                <w:sz w:val="18"/>
                <w:szCs w:val="18"/>
              </w:rPr>
            </w:pPr>
            <w:r w:rsidRPr="003F1FB7">
              <w:rPr>
                <w:rFonts w:ascii="Verdana" w:hAnsi="Verdana"/>
                <w:b/>
                <w:bCs/>
                <w:i/>
                <w:iCs/>
                <w:color w:val="253356" w:themeColor="accent1" w:themeShade="80"/>
                <w:sz w:val="18"/>
                <w:szCs w:val="18"/>
                <w:lang w:val="en"/>
              </w:rPr>
              <w:lastRenderedPageBreak/>
              <w:t>Labor</w:t>
            </w:r>
            <w:r w:rsidR="003F1FB7" w:rsidRPr="003F1FB7">
              <w:rPr>
                <w:rFonts w:ascii="Verdana" w:hAnsi="Verdana"/>
                <w:b/>
                <w:bCs/>
                <w:i/>
                <w:iCs/>
                <w:color w:val="253356" w:themeColor="accent1" w:themeShade="80"/>
                <w:sz w:val="18"/>
                <w:szCs w:val="18"/>
                <w:lang w:val="en"/>
              </w:rPr>
              <w:t xml:space="preserve"> market</w:t>
            </w:r>
          </w:p>
        </w:tc>
        <w:tc>
          <w:tcPr>
            <w:tcW w:w="1728" w:type="dxa"/>
          </w:tcPr>
          <w:p w14:paraId="3336CBFE" w14:textId="77777777" w:rsidR="003F1FB7" w:rsidRPr="00A40D60" w:rsidRDefault="003F1FB7" w:rsidP="00AC2E19">
            <w:pPr>
              <w:pStyle w:val="TableParagraph"/>
              <w:spacing w:before="0"/>
              <w:ind w:left="848" w:right="829"/>
              <w:jc w:val="center"/>
              <w:rPr>
                <w:rFonts w:ascii="Verdana" w:hAnsi="Verdana"/>
                <w:i/>
                <w:iCs/>
                <w:color w:val="4A66AC" w:themeColor="accent1"/>
                <w:sz w:val="18"/>
                <w:szCs w:val="18"/>
              </w:rPr>
            </w:pPr>
          </w:p>
        </w:tc>
        <w:tc>
          <w:tcPr>
            <w:tcW w:w="1728" w:type="dxa"/>
          </w:tcPr>
          <w:p w14:paraId="583CB03B" w14:textId="77777777" w:rsidR="003F1FB7" w:rsidRPr="00A40D60" w:rsidRDefault="003F1FB7" w:rsidP="00AC2E19">
            <w:pPr>
              <w:pStyle w:val="TableParagraph"/>
              <w:spacing w:before="0"/>
              <w:ind w:left="848" w:right="829"/>
              <w:jc w:val="center"/>
              <w:rPr>
                <w:rFonts w:ascii="Verdana" w:hAnsi="Verdana"/>
                <w:i/>
                <w:iCs/>
                <w:color w:val="4A66AC" w:themeColor="accent1"/>
                <w:sz w:val="18"/>
                <w:szCs w:val="18"/>
              </w:rPr>
            </w:pPr>
          </w:p>
        </w:tc>
        <w:tc>
          <w:tcPr>
            <w:tcW w:w="1728" w:type="dxa"/>
          </w:tcPr>
          <w:p w14:paraId="2B41A2EC" w14:textId="77777777" w:rsidR="003F1FB7" w:rsidRPr="00A40D60" w:rsidRDefault="003F1FB7" w:rsidP="00AC2E19">
            <w:pPr>
              <w:pStyle w:val="TableParagraph"/>
              <w:spacing w:before="0"/>
              <w:ind w:left="848" w:right="829"/>
              <w:jc w:val="center"/>
              <w:rPr>
                <w:rFonts w:ascii="Verdana" w:hAnsi="Verdana"/>
                <w:i/>
                <w:iCs/>
                <w:color w:val="4A66AC" w:themeColor="accent1"/>
                <w:sz w:val="18"/>
                <w:szCs w:val="18"/>
              </w:rPr>
            </w:pPr>
          </w:p>
        </w:tc>
      </w:tr>
      <w:tr w:rsidR="003F1FB7" w:rsidRPr="00A40D60" w14:paraId="39FADF22" w14:textId="77777777" w:rsidTr="00AC2E19">
        <w:trPr>
          <w:gridAfter w:val="1"/>
          <w:wAfter w:w="9" w:type="dxa"/>
          <w:trHeight w:val="288"/>
        </w:trPr>
        <w:tc>
          <w:tcPr>
            <w:tcW w:w="3955" w:type="dxa"/>
            <w:shd w:val="clear" w:color="auto" w:fill="D9DFEF" w:themeFill="accent1" w:themeFillTint="33"/>
          </w:tcPr>
          <w:p w14:paraId="6BB3F46D" w14:textId="77777777" w:rsidR="003F1FB7" w:rsidRPr="003F1FB7" w:rsidRDefault="003F1FB7" w:rsidP="00AC2E19">
            <w:pPr>
              <w:pStyle w:val="TableParagraph"/>
              <w:spacing w:before="0"/>
              <w:rPr>
                <w:rFonts w:ascii="Verdana" w:hAnsi="Verdana"/>
                <w:sz w:val="18"/>
                <w:szCs w:val="18"/>
              </w:rPr>
            </w:pPr>
            <w:r w:rsidRPr="003F1FB7">
              <w:rPr>
                <w:rFonts w:ascii="Verdana" w:hAnsi="Verdana"/>
                <w:sz w:val="18"/>
                <w:szCs w:val="18"/>
                <w:lang w:val="en"/>
              </w:rPr>
              <w:t>Employment (15-64), thousand</w:t>
            </w:r>
          </w:p>
        </w:tc>
        <w:tc>
          <w:tcPr>
            <w:tcW w:w="1728" w:type="dxa"/>
          </w:tcPr>
          <w:p w14:paraId="71B4F66D"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0.6%</w:t>
            </w:r>
          </w:p>
        </w:tc>
        <w:tc>
          <w:tcPr>
            <w:tcW w:w="1728" w:type="dxa"/>
          </w:tcPr>
          <w:p w14:paraId="465EA51D"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1.1%</w:t>
            </w:r>
          </w:p>
        </w:tc>
        <w:tc>
          <w:tcPr>
            <w:tcW w:w="1728" w:type="dxa"/>
          </w:tcPr>
          <w:p w14:paraId="37F12A91"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1.2%</w:t>
            </w:r>
          </w:p>
        </w:tc>
      </w:tr>
      <w:tr w:rsidR="003F1FB7" w:rsidRPr="00A40D60" w14:paraId="17C58B74" w14:textId="77777777" w:rsidTr="00AC2E19">
        <w:trPr>
          <w:gridAfter w:val="1"/>
          <w:wAfter w:w="9" w:type="dxa"/>
          <w:trHeight w:val="288"/>
        </w:trPr>
        <w:tc>
          <w:tcPr>
            <w:tcW w:w="3955" w:type="dxa"/>
            <w:shd w:val="clear" w:color="auto" w:fill="D9DFEF" w:themeFill="accent1" w:themeFillTint="33"/>
          </w:tcPr>
          <w:p w14:paraId="684EE8C0" w14:textId="77777777" w:rsidR="003F1FB7" w:rsidRPr="003F1FB7" w:rsidRDefault="003F1FB7" w:rsidP="00AC2E19">
            <w:pPr>
              <w:pStyle w:val="TableParagraph"/>
              <w:spacing w:before="0"/>
              <w:rPr>
                <w:rFonts w:ascii="Verdana" w:hAnsi="Verdana"/>
                <w:sz w:val="18"/>
                <w:szCs w:val="18"/>
              </w:rPr>
            </w:pPr>
            <w:r w:rsidRPr="003F1FB7">
              <w:rPr>
                <w:rFonts w:ascii="Verdana" w:hAnsi="Verdana"/>
                <w:sz w:val="18"/>
                <w:szCs w:val="18"/>
                <w:lang w:val="en"/>
              </w:rPr>
              <w:t>Unemployment rate (15-64), %</w:t>
            </w:r>
          </w:p>
        </w:tc>
        <w:tc>
          <w:tcPr>
            <w:tcW w:w="1728" w:type="dxa"/>
          </w:tcPr>
          <w:p w14:paraId="3643FFF1"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-0.4 BC</w:t>
            </w:r>
          </w:p>
        </w:tc>
        <w:tc>
          <w:tcPr>
            <w:tcW w:w="1728" w:type="dxa"/>
          </w:tcPr>
          <w:p w14:paraId="69BE937F"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-0.5 BC</w:t>
            </w:r>
          </w:p>
        </w:tc>
        <w:tc>
          <w:tcPr>
            <w:tcW w:w="1728" w:type="dxa"/>
          </w:tcPr>
          <w:p w14:paraId="4F2D4BE6"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-0.6 BC</w:t>
            </w:r>
          </w:p>
        </w:tc>
      </w:tr>
      <w:tr w:rsidR="003F1FB7" w:rsidRPr="00A40D60" w14:paraId="14958EB0" w14:textId="77777777" w:rsidTr="00AC2E19">
        <w:trPr>
          <w:gridAfter w:val="1"/>
          <w:wAfter w:w="9" w:type="dxa"/>
          <w:trHeight w:val="288"/>
        </w:trPr>
        <w:tc>
          <w:tcPr>
            <w:tcW w:w="3955" w:type="dxa"/>
            <w:shd w:val="clear" w:color="auto" w:fill="D9DFEF" w:themeFill="accent1" w:themeFillTint="33"/>
          </w:tcPr>
          <w:p w14:paraId="10838CE7" w14:textId="77777777" w:rsidR="003F1FB7" w:rsidRPr="003F1FB7" w:rsidRDefault="003F1FB7" w:rsidP="00AC2E19">
            <w:pPr>
              <w:pStyle w:val="TableParagraph"/>
              <w:spacing w:before="0"/>
              <w:rPr>
                <w:rFonts w:ascii="Verdana" w:hAnsi="Verdana"/>
                <w:sz w:val="18"/>
                <w:szCs w:val="18"/>
              </w:rPr>
            </w:pPr>
            <w:r w:rsidRPr="003F1FB7">
              <w:rPr>
                <w:rFonts w:ascii="Verdana" w:hAnsi="Verdana"/>
                <w:sz w:val="18"/>
                <w:szCs w:val="18"/>
                <w:lang w:val="en"/>
              </w:rPr>
              <w:t>Average wage</w:t>
            </w:r>
          </w:p>
        </w:tc>
        <w:tc>
          <w:tcPr>
            <w:tcW w:w="1728" w:type="dxa"/>
          </w:tcPr>
          <w:p w14:paraId="21C13065"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1.0%</w:t>
            </w:r>
          </w:p>
        </w:tc>
        <w:tc>
          <w:tcPr>
            <w:tcW w:w="1728" w:type="dxa"/>
          </w:tcPr>
          <w:p w14:paraId="0B6A4832"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0.8%</w:t>
            </w:r>
          </w:p>
        </w:tc>
        <w:tc>
          <w:tcPr>
            <w:tcW w:w="1728" w:type="dxa"/>
          </w:tcPr>
          <w:p w14:paraId="07604DCE"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0.9%</w:t>
            </w:r>
          </w:p>
        </w:tc>
      </w:tr>
      <w:tr w:rsidR="003F1FB7" w:rsidRPr="00A40D60" w14:paraId="787670DB" w14:textId="77777777" w:rsidTr="00AC2E19">
        <w:trPr>
          <w:gridAfter w:val="1"/>
          <w:wAfter w:w="9" w:type="dxa"/>
          <w:trHeight w:val="288"/>
        </w:trPr>
        <w:tc>
          <w:tcPr>
            <w:tcW w:w="3955" w:type="dxa"/>
            <w:shd w:val="clear" w:color="auto" w:fill="D9DFEF" w:themeFill="accent1" w:themeFillTint="33"/>
          </w:tcPr>
          <w:p w14:paraId="488FA7EA" w14:textId="77777777" w:rsidR="003F1FB7" w:rsidRPr="003F1FB7" w:rsidRDefault="003F1FB7" w:rsidP="00AC2E19">
            <w:pPr>
              <w:pStyle w:val="TableParagraph"/>
              <w:spacing w:before="0"/>
              <w:rPr>
                <w:rFonts w:ascii="Verdana" w:hAnsi="Verdana"/>
                <w:b/>
                <w:bCs/>
                <w:i/>
                <w:iCs/>
                <w:color w:val="253356" w:themeColor="accent1" w:themeShade="80"/>
                <w:sz w:val="18"/>
                <w:szCs w:val="18"/>
              </w:rPr>
            </w:pPr>
            <w:r w:rsidRPr="003F1FB7">
              <w:rPr>
                <w:rFonts w:ascii="Verdana" w:hAnsi="Verdana"/>
                <w:b/>
                <w:bCs/>
                <w:i/>
                <w:iCs/>
                <w:color w:val="253356" w:themeColor="accent1" w:themeShade="80"/>
                <w:sz w:val="18"/>
                <w:szCs w:val="18"/>
                <w:lang w:val="en"/>
              </w:rPr>
              <w:t>GDP and selected components of GDP</w:t>
            </w:r>
          </w:p>
        </w:tc>
        <w:tc>
          <w:tcPr>
            <w:tcW w:w="1728" w:type="dxa"/>
          </w:tcPr>
          <w:p w14:paraId="4A299BC4" w14:textId="77777777" w:rsidR="003F1FB7" w:rsidRPr="00A40D60" w:rsidRDefault="003F1FB7" w:rsidP="00AC2E19">
            <w:pPr>
              <w:pStyle w:val="TableParagraph"/>
              <w:spacing w:before="0"/>
              <w:ind w:left="848" w:right="829"/>
              <w:jc w:val="center"/>
              <w:rPr>
                <w:rFonts w:ascii="Verdana" w:hAnsi="Verdana"/>
                <w:i/>
                <w:iCs/>
                <w:color w:val="4A66AC" w:themeColor="accent1"/>
                <w:sz w:val="18"/>
                <w:szCs w:val="18"/>
              </w:rPr>
            </w:pPr>
          </w:p>
        </w:tc>
        <w:tc>
          <w:tcPr>
            <w:tcW w:w="1728" w:type="dxa"/>
          </w:tcPr>
          <w:p w14:paraId="39498D4A" w14:textId="77777777" w:rsidR="003F1FB7" w:rsidRPr="00A40D60" w:rsidRDefault="003F1FB7" w:rsidP="00AC2E19">
            <w:pPr>
              <w:pStyle w:val="TableParagraph"/>
              <w:spacing w:before="0"/>
              <w:ind w:left="848" w:right="829"/>
              <w:jc w:val="center"/>
              <w:rPr>
                <w:rFonts w:ascii="Verdana" w:hAnsi="Verdana"/>
                <w:i/>
                <w:iCs/>
                <w:color w:val="4A66AC" w:themeColor="accent1"/>
                <w:sz w:val="18"/>
                <w:szCs w:val="18"/>
              </w:rPr>
            </w:pPr>
          </w:p>
        </w:tc>
        <w:tc>
          <w:tcPr>
            <w:tcW w:w="1728" w:type="dxa"/>
          </w:tcPr>
          <w:p w14:paraId="55BE169D" w14:textId="77777777" w:rsidR="003F1FB7" w:rsidRPr="00A40D60" w:rsidRDefault="003F1FB7" w:rsidP="00AC2E19">
            <w:pPr>
              <w:pStyle w:val="TableParagraph"/>
              <w:spacing w:before="0"/>
              <w:ind w:left="848" w:right="829"/>
              <w:jc w:val="center"/>
              <w:rPr>
                <w:rFonts w:ascii="Verdana" w:hAnsi="Verdana"/>
                <w:i/>
                <w:iCs/>
                <w:color w:val="4A66AC" w:themeColor="accent1"/>
                <w:sz w:val="18"/>
                <w:szCs w:val="18"/>
              </w:rPr>
            </w:pPr>
          </w:p>
        </w:tc>
      </w:tr>
      <w:tr w:rsidR="003F1FB7" w:rsidRPr="00A40D60" w14:paraId="019C0E60" w14:textId="77777777" w:rsidTr="00AC2E19">
        <w:trPr>
          <w:gridAfter w:val="1"/>
          <w:wAfter w:w="9" w:type="dxa"/>
          <w:trHeight w:val="288"/>
        </w:trPr>
        <w:tc>
          <w:tcPr>
            <w:tcW w:w="3955" w:type="dxa"/>
            <w:shd w:val="clear" w:color="auto" w:fill="D9DFEF" w:themeFill="accent1" w:themeFillTint="33"/>
          </w:tcPr>
          <w:p w14:paraId="72D46A02" w14:textId="77777777" w:rsidR="003F1FB7" w:rsidRPr="003F1FB7" w:rsidRDefault="003F1FB7" w:rsidP="00AC2E19">
            <w:pPr>
              <w:pStyle w:val="TableParagraph"/>
              <w:spacing w:before="0"/>
              <w:rPr>
                <w:rFonts w:ascii="Verdana" w:hAnsi="Verdana"/>
                <w:sz w:val="18"/>
                <w:szCs w:val="18"/>
              </w:rPr>
            </w:pPr>
            <w:r w:rsidRPr="003F1FB7">
              <w:rPr>
                <w:rFonts w:ascii="Verdana" w:hAnsi="Verdana"/>
                <w:sz w:val="18"/>
                <w:szCs w:val="18"/>
                <w:lang w:val="en"/>
              </w:rPr>
              <w:t>GDP</w:t>
            </w:r>
          </w:p>
        </w:tc>
        <w:tc>
          <w:tcPr>
            <w:tcW w:w="1728" w:type="dxa"/>
          </w:tcPr>
          <w:p w14:paraId="59F3B0A8"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0.6%</w:t>
            </w:r>
          </w:p>
        </w:tc>
        <w:tc>
          <w:tcPr>
            <w:tcW w:w="1728" w:type="dxa"/>
          </w:tcPr>
          <w:p w14:paraId="74CD0674"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1.1%</w:t>
            </w:r>
          </w:p>
        </w:tc>
        <w:tc>
          <w:tcPr>
            <w:tcW w:w="1728" w:type="dxa"/>
          </w:tcPr>
          <w:p w14:paraId="787D7FC8"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1.2%</w:t>
            </w:r>
          </w:p>
        </w:tc>
      </w:tr>
      <w:tr w:rsidR="003F1FB7" w:rsidRPr="00A40D60" w14:paraId="51AE6528" w14:textId="77777777" w:rsidTr="00AC2E19">
        <w:trPr>
          <w:gridAfter w:val="1"/>
          <w:wAfter w:w="9" w:type="dxa"/>
          <w:trHeight w:val="288"/>
        </w:trPr>
        <w:tc>
          <w:tcPr>
            <w:tcW w:w="3955" w:type="dxa"/>
            <w:shd w:val="clear" w:color="auto" w:fill="D9DFEF" w:themeFill="accent1" w:themeFillTint="33"/>
          </w:tcPr>
          <w:p w14:paraId="5AE02FF2" w14:textId="77777777" w:rsidR="003F1FB7" w:rsidRPr="003F1FB7" w:rsidRDefault="003F1FB7" w:rsidP="00AC2E19">
            <w:pPr>
              <w:pStyle w:val="TableParagraph"/>
              <w:spacing w:before="0"/>
              <w:rPr>
                <w:rFonts w:ascii="Verdana" w:hAnsi="Verdana"/>
                <w:sz w:val="18"/>
                <w:szCs w:val="18"/>
              </w:rPr>
            </w:pPr>
            <w:r w:rsidRPr="003F1FB7">
              <w:rPr>
                <w:rFonts w:ascii="Verdana" w:hAnsi="Verdana"/>
                <w:sz w:val="18"/>
                <w:szCs w:val="18"/>
                <w:lang w:val="en"/>
              </w:rPr>
              <w:t>Export of goods and services</w:t>
            </w:r>
          </w:p>
        </w:tc>
        <w:tc>
          <w:tcPr>
            <w:tcW w:w="1728" w:type="dxa"/>
          </w:tcPr>
          <w:p w14:paraId="659C4429"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0.1%</w:t>
            </w:r>
          </w:p>
        </w:tc>
        <w:tc>
          <w:tcPr>
            <w:tcW w:w="1728" w:type="dxa"/>
          </w:tcPr>
          <w:p w14:paraId="36EFB7C1"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0.1%</w:t>
            </w:r>
          </w:p>
        </w:tc>
        <w:tc>
          <w:tcPr>
            <w:tcW w:w="1728" w:type="dxa"/>
          </w:tcPr>
          <w:p w14:paraId="25693F4E"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0.04%</w:t>
            </w:r>
          </w:p>
        </w:tc>
      </w:tr>
      <w:tr w:rsidR="003F1FB7" w:rsidRPr="00A40D60" w14:paraId="72DEFC9E" w14:textId="77777777" w:rsidTr="00AC2E19">
        <w:trPr>
          <w:gridAfter w:val="1"/>
          <w:wAfter w:w="9" w:type="dxa"/>
          <w:trHeight w:val="288"/>
        </w:trPr>
        <w:tc>
          <w:tcPr>
            <w:tcW w:w="3955" w:type="dxa"/>
            <w:shd w:val="clear" w:color="auto" w:fill="D9DFEF" w:themeFill="accent1" w:themeFillTint="33"/>
          </w:tcPr>
          <w:p w14:paraId="2A6B96DC" w14:textId="77777777" w:rsidR="003F1FB7" w:rsidRPr="003F1FB7" w:rsidRDefault="003F1FB7" w:rsidP="00AC2E19">
            <w:pPr>
              <w:pStyle w:val="TableParagraph"/>
              <w:spacing w:before="0"/>
              <w:rPr>
                <w:rFonts w:ascii="Verdana" w:hAnsi="Verdana"/>
                <w:sz w:val="18"/>
                <w:szCs w:val="18"/>
              </w:rPr>
            </w:pPr>
            <w:r w:rsidRPr="003F1FB7">
              <w:rPr>
                <w:rFonts w:ascii="Verdana" w:hAnsi="Verdana"/>
                <w:sz w:val="18"/>
                <w:szCs w:val="18"/>
                <w:lang w:val="en"/>
              </w:rPr>
              <w:t>Import of goods and services</w:t>
            </w:r>
          </w:p>
        </w:tc>
        <w:tc>
          <w:tcPr>
            <w:tcW w:w="1728" w:type="dxa"/>
          </w:tcPr>
          <w:p w14:paraId="7C873BE7"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1.4%</w:t>
            </w:r>
          </w:p>
        </w:tc>
        <w:tc>
          <w:tcPr>
            <w:tcW w:w="1728" w:type="dxa"/>
          </w:tcPr>
          <w:p w14:paraId="6B11FFC8"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2.2%</w:t>
            </w:r>
          </w:p>
        </w:tc>
        <w:tc>
          <w:tcPr>
            <w:tcW w:w="1728" w:type="dxa"/>
          </w:tcPr>
          <w:p w14:paraId="2C8E8708"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1.1%</w:t>
            </w:r>
          </w:p>
        </w:tc>
      </w:tr>
      <w:tr w:rsidR="003F1FB7" w:rsidRPr="00A40D60" w14:paraId="3BD30297" w14:textId="77777777" w:rsidTr="00AC2E19">
        <w:trPr>
          <w:gridAfter w:val="1"/>
          <w:wAfter w:w="9" w:type="dxa"/>
          <w:trHeight w:val="288"/>
        </w:trPr>
        <w:tc>
          <w:tcPr>
            <w:tcW w:w="3955" w:type="dxa"/>
            <w:shd w:val="clear" w:color="auto" w:fill="D9DFEF" w:themeFill="accent1" w:themeFillTint="33"/>
          </w:tcPr>
          <w:p w14:paraId="6F8E3ADF" w14:textId="77777777" w:rsidR="003F1FB7" w:rsidRPr="003F1FB7" w:rsidRDefault="003F1FB7" w:rsidP="00AC2E19">
            <w:pPr>
              <w:pStyle w:val="TableParagraph"/>
              <w:spacing w:before="0"/>
              <w:rPr>
                <w:rFonts w:ascii="Verdana" w:hAnsi="Verdana"/>
                <w:sz w:val="18"/>
                <w:szCs w:val="18"/>
              </w:rPr>
            </w:pPr>
            <w:r w:rsidRPr="003F1FB7">
              <w:rPr>
                <w:rFonts w:ascii="Verdana" w:hAnsi="Verdana"/>
                <w:sz w:val="18"/>
                <w:szCs w:val="18"/>
                <w:lang w:val="en"/>
              </w:rPr>
              <w:t>Private consumption</w:t>
            </w:r>
          </w:p>
        </w:tc>
        <w:tc>
          <w:tcPr>
            <w:tcW w:w="1728" w:type="dxa"/>
          </w:tcPr>
          <w:p w14:paraId="3E75786B"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0.7%</w:t>
            </w:r>
          </w:p>
        </w:tc>
        <w:tc>
          <w:tcPr>
            <w:tcW w:w="1728" w:type="dxa"/>
          </w:tcPr>
          <w:p w14:paraId="3B998101"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1.3%</w:t>
            </w:r>
          </w:p>
        </w:tc>
        <w:tc>
          <w:tcPr>
            <w:tcW w:w="1728" w:type="dxa"/>
          </w:tcPr>
          <w:p w14:paraId="0AF6DEEE"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1.4%</w:t>
            </w:r>
          </w:p>
        </w:tc>
      </w:tr>
      <w:tr w:rsidR="003F1FB7" w:rsidRPr="00A40D60" w14:paraId="3C8FE59E" w14:textId="77777777" w:rsidTr="00AC2E19">
        <w:trPr>
          <w:gridAfter w:val="1"/>
          <w:wAfter w:w="9" w:type="dxa"/>
          <w:trHeight w:val="288"/>
        </w:trPr>
        <w:tc>
          <w:tcPr>
            <w:tcW w:w="3955" w:type="dxa"/>
            <w:shd w:val="clear" w:color="auto" w:fill="D9DFEF" w:themeFill="accent1" w:themeFillTint="33"/>
          </w:tcPr>
          <w:p w14:paraId="29172230" w14:textId="77777777" w:rsidR="003F1FB7" w:rsidRPr="003F1FB7" w:rsidRDefault="003F1FB7" w:rsidP="00AC2E19">
            <w:pPr>
              <w:pStyle w:val="TableParagraph"/>
              <w:spacing w:before="0"/>
              <w:rPr>
                <w:rFonts w:ascii="Verdana" w:hAnsi="Verdana"/>
                <w:sz w:val="18"/>
                <w:szCs w:val="18"/>
              </w:rPr>
            </w:pPr>
            <w:r w:rsidRPr="003F1FB7">
              <w:rPr>
                <w:rFonts w:ascii="Verdana" w:hAnsi="Verdana"/>
                <w:sz w:val="18"/>
                <w:szCs w:val="18"/>
                <w:lang w:val="en"/>
              </w:rPr>
              <w:t>Private investment</w:t>
            </w:r>
          </w:p>
        </w:tc>
        <w:tc>
          <w:tcPr>
            <w:tcW w:w="1728" w:type="dxa"/>
          </w:tcPr>
          <w:p w14:paraId="77876247"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1.0%</w:t>
            </w:r>
          </w:p>
        </w:tc>
        <w:tc>
          <w:tcPr>
            <w:tcW w:w="1728" w:type="dxa"/>
          </w:tcPr>
          <w:p w14:paraId="1FD22BA4"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2.4%</w:t>
            </w:r>
          </w:p>
        </w:tc>
        <w:tc>
          <w:tcPr>
            <w:tcW w:w="1728" w:type="dxa"/>
          </w:tcPr>
          <w:p w14:paraId="5CE0F124"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2.4%</w:t>
            </w:r>
          </w:p>
        </w:tc>
      </w:tr>
      <w:tr w:rsidR="003F1FB7" w:rsidRPr="00A40D60" w14:paraId="4DF9F679" w14:textId="77777777" w:rsidTr="00AC2E19">
        <w:trPr>
          <w:gridAfter w:val="1"/>
          <w:wAfter w:w="9" w:type="dxa"/>
          <w:trHeight w:val="288"/>
        </w:trPr>
        <w:tc>
          <w:tcPr>
            <w:tcW w:w="3955" w:type="dxa"/>
            <w:shd w:val="clear" w:color="auto" w:fill="D9DFEF" w:themeFill="accent1" w:themeFillTint="33"/>
          </w:tcPr>
          <w:p w14:paraId="7768BBAE" w14:textId="77777777" w:rsidR="003F1FB7" w:rsidRPr="003F1FB7" w:rsidRDefault="003F1FB7" w:rsidP="00AC2E19">
            <w:pPr>
              <w:pStyle w:val="TableParagraph"/>
              <w:spacing w:before="0"/>
              <w:rPr>
                <w:rFonts w:ascii="Verdana" w:hAnsi="Verdana"/>
                <w:b/>
                <w:bCs/>
                <w:i/>
                <w:iCs/>
                <w:color w:val="253356" w:themeColor="accent1" w:themeShade="80"/>
                <w:sz w:val="18"/>
                <w:szCs w:val="18"/>
              </w:rPr>
            </w:pPr>
            <w:r w:rsidRPr="003F1FB7">
              <w:rPr>
                <w:rFonts w:ascii="Verdana" w:hAnsi="Verdana"/>
                <w:b/>
                <w:bCs/>
                <w:i/>
                <w:iCs/>
                <w:color w:val="253356" w:themeColor="accent1" w:themeShade="80"/>
                <w:sz w:val="18"/>
                <w:szCs w:val="18"/>
                <w:lang w:val="en"/>
              </w:rPr>
              <w:t>Price dynamics</w:t>
            </w:r>
          </w:p>
        </w:tc>
        <w:tc>
          <w:tcPr>
            <w:tcW w:w="1728" w:type="dxa"/>
          </w:tcPr>
          <w:p w14:paraId="07F507E3" w14:textId="77777777" w:rsidR="003F1FB7" w:rsidRPr="00A40D60" w:rsidRDefault="003F1FB7" w:rsidP="00AC2E19">
            <w:pPr>
              <w:pStyle w:val="TableParagraph"/>
              <w:spacing w:before="0"/>
              <w:ind w:left="848" w:right="829"/>
              <w:jc w:val="center"/>
              <w:rPr>
                <w:rFonts w:ascii="Verdana" w:hAnsi="Verdana"/>
                <w:sz w:val="18"/>
                <w:szCs w:val="18"/>
              </w:rPr>
            </w:pPr>
          </w:p>
        </w:tc>
        <w:tc>
          <w:tcPr>
            <w:tcW w:w="1728" w:type="dxa"/>
          </w:tcPr>
          <w:p w14:paraId="5E3C44BD" w14:textId="77777777" w:rsidR="003F1FB7" w:rsidRPr="00A40D60" w:rsidRDefault="003F1FB7" w:rsidP="00AC2E19">
            <w:pPr>
              <w:pStyle w:val="TableParagraph"/>
              <w:spacing w:before="0"/>
              <w:ind w:left="848" w:right="829"/>
              <w:jc w:val="center"/>
              <w:rPr>
                <w:rFonts w:ascii="Verdana" w:hAnsi="Verdana"/>
                <w:sz w:val="18"/>
                <w:szCs w:val="18"/>
              </w:rPr>
            </w:pPr>
          </w:p>
        </w:tc>
        <w:tc>
          <w:tcPr>
            <w:tcW w:w="1728" w:type="dxa"/>
          </w:tcPr>
          <w:p w14:paraId="4925E61E" w14:textId="77777777" w:rsidR="003F1FB7" w:rsidRPr="00A40D60" w:rsidRDefault="003F1FB7" w:rsidP="00AC2E19">
            <w:pPr>
              <w:pStyle w:val="TableParagraph"/>
              <w:spacing w:before="0"/>
              <w:ind w:left="848" w:right="829"/>
              <w:jc w:val="center"/>
              <w:rPr>
                <w:rFonts w:ascii="Verdana" w:hAnsi="Verdana"/>
                <w:sz w:val="18"/>
                <w:szCs w:val="18"/>
              </w:rPr>
            </w:pPr>
          </w:p>
        </w:tc>
      </w:tr>
      <w:tr w:rsidR="003F1FB7" w:rsidRPr="00A40D60" w14:paraId="48824054" w14:textId="77777777" w:rsidTr="00AC2E19">
        <w:trPr>
          <w:gridAfter w:val="1"/>
          <w:wAfter w:w="9" w:type="dxa"/>
          <w:trHeight w:val="288"/>
        </w:trPr>
        <w:tc>
          <w:tcPr>
            <w:tcW w:w="3955" w:type="dxa"/>
            <w:shd w:val="clear" w:color="auto" w:fill="D9DFEF" w:themeFill="accent1" w:themeFillTint="33"/>
          </w:tcPr>
          <w:p w14:paraId="0971572D" w14:textId="77777777" w:rsidR="003F1FB7" w:rsidRPr="003F1FB7" w:rsidRDefault="003F1FB7" w:rsidP="00AC2E19">
            <w:pPr>
              <w:pStyle w:val="TableParagraph"/>
              <w:spacing w:before="0"/>
              <w:rPr>
                <w:rFonts w:ascii="Verdana" w:hAnsi="Verdana"/>
                <w:sz w:val="18"/>
                <w:szCs w:val="18"/>
              </w:rPr>
            </w:pPr>
            <w:r w:rsidRPr="003F1FB7">
              <w:rPr>
                <w:rFonts w:ascii="Verdana" w:hAnsi="Verdana"/>
                <w:sz w:val="18"/>
                <w:szCs w:val="18"/>
                <w:lang w:val="en"/>
              </w:rPr>
              <w:t>Inflation, HCPI</w:t>
            </w:r>
          </w:p>
        </w:tc>
        <w:tc>
          <w:tcPr>
            <w:tcW w:w="1728" w:type="dxa"/>
          </w:tcPr>
          <w:p w14:paraId="5C2A1D4E"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0.1%</w:t>
            </w:r>
          </w:p>
        </w:tc>
        <w:tc>
          <w:tcPr>
            <w:tcW w:w="1728" w:type="dxa"/>
          </w:tcPr>
          <w:p w14:paraId="56B32FDF" w14:textId="77777777" w:rsidR="003F1FB7" w:rsidRPr="00A40D60" w:rsidRDefault="003F1FB7" w:rsidP="00AC2E19">
            <w:pPr>
              <w:pStyle w:val="TableParagraph"/>
              <w:spacing w:before="0"/>
              <w:ind w:left="340" w:right="433"/>
              <w:jc w:val="center"/>
              <w:rPr>
                <w:rFonts w:ascii="Verdana" w:hAnsi="Verdana"/>
                <w:sz w:val="18"/>
                <w:szCs w:val="18"/>
                <w:lang w:val="en-US"/>
              </w:rPr>
            </w:pPr>
            <w:r w:rsidRPr="00A40D60">
              <w:rPr>
                <w:sz w:val="18"/>
                <w:szCs w:val="18"/>
                <w:lang w:val="en"/>
              </w:rPr>
              <w:t>0.3%</w:t>
            </w:r>
          </w:p>
        </w:tc>
        <w:tc>
          <w:tcPr>
            <w:tcW w:w="1728" w:type="dxa"/>
          </w:tcPr>
          <w:p w14:paraId="3340657D"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0.4%</w:t>
            </w:r>
          </w:p>
        </w:tc>
      </w:tr>
      <w:tr w:rsidR="003F1FB7" w:rsidRPr="00A40D60" w14:paraId="517F58A5" w14:textId="77777777" w:rsidTr="00AC2E19">
        <w:trPr>
          <w:gridAfter w:val="1"/>
          <w:wAfter w:w="9" w:type="dxa"/>
          <w:trHeight w:val="288"/>
        </w:trPr>
        <w:tc>
          <w:tcPr>
            <w:tcW w:w="3955" w:type="dxa"/>
            <w:shd w:val="clear" w:color="auto" w:fill="D9DFEF" w:themeFill="accent1" w:themeFillTint="33"/>
          </w:tcPr>
          <w:p w14:paraId="47EAC123" w14:textId="77777777" w:rsidR="003F1FB7" w:rsidRPr="003F1FB7" w:rsidRDefault="003F1FB7" w:rsidP="00AC2E19">
            <w:pPr>
              <w:pStyle w:val="TableParagraph"/>
              <w:spacing w:before="0"/>
              <w:rPr>
                <w:rFonts w:ascii="Verdana" w:hAnsi="Verdana"/>
                <w:i/>
                <w:iCs/>
                <w:sz w:val="18"/>
                <w:szCs w:val="18"/>
              </w:rPr>
            </w:pPr>
            <w:r w:rsidRPr="003F1FB7">
              <w:rPr>
                <w:rFonts w:ascii="Verdana" w:hAnsi="Verdana"/>
                <w:b/>
                <w:bCs/>
                <w:i/>
                <w:iCs/>
                <w:color w:val="253356" w:themeColor="accent1" w:themeShade="80"/>
                <w:sz w:val="18"/>
                <w:szCs w:val="18"/>
                <w:lang w:val="en"/>
              </w:rPr>
              <w:t>Fiscal sector</w:t>
            </w:r>
          </w:p>
        </w:tc>
        <w:tc>
          <w:tcPr>
            <w:tcW w:w="1728" w:type="dxa"/>
          </w:tcPr>
          <w:p w14:paraId="140047C4" w14:textId="77777777" w:rsidR="003F1FB7" w:rsidRPr="00A40D60" w:rsidRDefault="003F1FB7" w:rsidP="00AC2E19">
            <w:pPr>
              <w:pStyle w:val="TableParagraph"/>
              <w:spacing w:before="0"/>
              <w:ind w:left="848" w:right="829"/>
              <w:jc w:val="center"/>
              <w:rPr>
                <w:rFonts w:ascii="Verdana" w:hAnsi="Verdana"/>
                <w:sz w:val="18"/>
                <w:szCs w:val="18"/>
              </w:rPr>
            </w:pPr>
          </w:p>
        </w:tc>
        <w:tc>
          <w:tcPr>
            <w:tcW w:w="1728" w:type="dxa"/>
          </w:tcPr>
          <w:p w14:paraId="69CDDAD4" w14:textId="77777777" w:rsidR="003F1FB7" w:rsidRPr="00A40D60" w:rsidRDefault="003F1FB7" w:rsidP="00AC2E19">
            <w:pPr>
              <w:pStyle w:val="TableParagraph"/>
              <w:spacing w:before="0"/>
              <w:ind w:left="848" w:right="829"/>
              <w:jc w:val="center"/>
              <w:rPr>
                <w:rFonts w:ascii="Verdana" w:hAnsi="Verdana"/>
                <w:sz w:val="18"/>
                <w:szCs w:val="18"/>
              </w:rPr>
            </w:pPr>
          </w:p>
        </w:tc>
        <w:tc>
          <w:tcPr>
            <w:tcW w:w="1728" w:type="dxa"/>
          </w:tcPr>
          <w:p w14:paraId="1950F2CD" w14:textId="77777777" w:rsidR="003F1FB7" w:rsidRPr="00A40D60" w:rsidRDefault="003F1FB7" w:rsidP="00AC2E19">
            <w:pPr>
              <w:pStyle w:val="TableParagraph"/>
              <w:spacing w:before="0"/>
              <w:ind w:left="848" w:right="829"/>
              <w:jc w:val="center"/>
              <w:rPr>
                <w:rFonts w:ascii="Verdana" w:hAnsi="Verdana"/>
                <w:sz w:val="18"/>
                <w:szCs w:val="18"/>
              </w:rPr>
            </w:pPr>
          </w:p>
        </w:tc>
      </w:tr>
      <w:tr w:rsidR="003F1FB7" w:rsidRPr="00A40D60" w14:paraId="1FE8639B" w14:textId="77777777" w:rsidTr="00AC2E19">
        <w:trPr>
          <w:gridAfter w:val="1"/>
          <w:wAfter w:w="9" w:type="dxa"/>
          <w:trHeight w:val="288"/>
        </w:trPr>
        <w:tc>
          <w:tcPr>
            <w:tcW w:w="3955" w:type="dxa"/>
            <w:shd w:val="clear" w:color="auto" w:fill="D9DFEF" w:themeFill="accent1" w:themeFillTint="33"/>
          </w:tcPr>
          <w:p w14:paraId="1D78984C" w14:textId="77777777" w:rsidR="003F1FB7" w:rsidRPr="003F1FB7" w:rsidRDefault="003F1FB7" w:rsidP="00AC2E19">
            <w:pPr>
              <w:pStyle w:val="TableParagraph"/>
              <w:spacing w:before="0"/>
              <w:rPr>
                <w:rFonts w:ascii="Verdana" w:hAnsi="Verdana"/>
                <w:sz w:val="18"/>
                <w:szCs w:val="18"/>
              </w:rPr>
            </w:pPr>
            <w:r w:rsidRPr="003F1FB7">
              <w:rPr>
                <w:rFonts w:ascii="Verdana" w:hAnsi="Verdana"/>
                <w:sz w:val="18"/>
                <w:szCs w:val="18"/>
                <w:lang w:val="en"/>
              </w:rPr>
              <w:t>Budget balance, % of GDP</w:t>
            </w:r>
          </w:p>
        </w:tc>
        <w:tc>
          <w:tcPr>
            <w:tcW w:w="1728" w:type="dxa"/>
          </w:tcPr>
          <w:p w14:paraId="367753BB"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0.0 BC</w:t>
            </w:r>
          </w:p>
        </w:tc>
        <w:tc>
          <w:tcPr>
            <w:tcW w:w="1728" w:type="dxa"/>
          </w:tcPr>
          <w:p w14:paraId="1AD408A6"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0.1 BC</w:t>
            </w:r>
          </w:p>
        </w:tc>
        <w:tc>
          <w:tcPr>
            <w:tcW w:w="1728" w:type="dxa"/>
          </w:tcPr>
          <w:p w14:paraId="535C885E" w14:textId="77777777" w:rsidR="003F1FB7" w:rsidRPr="00A40D60" w:rsidRDefault="003F1FB7" w:rsidP="00AC2E19">
            <w:pPr>
              <w:pStyle w:val="TableParagraph"/>
              <w:spacing w:before="0"/>
              <w:ind w:left="340" w:right="433"/>
              <w:jc w:val="center"/>
              <w:rPr>
                <w:rFonts w:ascii="Verdana" w:hAnsi="Verdana"/>
                <w:sz w:val="18"/>
                <w:szCs w:val="18"/>
              </w:rPr>
            </w:pPr>
            <w:r w:rsidRPr="00A40D60">
              <w:rPr>
                <w:sz w:val="18"/>
                <w:szCs w:val="18"/>
                <w:lang w:val="en"/>
              </w:rPr>
              <w:t>0.2 BC</w:t>
            </w:r>
          </w:p>
        </w:tc>
      </w:tr>
      <w:tr w:rsidR="003F1FB7" w:rsidRPr="003F1FB7" w14:paraId="479C8892" w14:textId="77777777" w:rsidTr="00AC2E19">
        <w:trPr>
          <w:trHeight w:val="288"/>
        </w:trPr>
        <w:tc>
          <w:tcPr>
            <w:tcW w:w="9148" w:type="dxa"/>
            <w:gridSpan w:val="5"/>
            <w:tcBorders>
              <w:top w:val="nil"/>
              <w:left w:val="nil"/>
              <w:bottom w:val="nil"/>
              <w:right w:val="nil"/>
            </w:tcBorders>
          </w:tcPr>
          <w:p w14:paraId="3141E28A" w14:textId="77777777" w:rsidR="003F1FB7" w:rsidRPr="00174F36" w:rsidRDefault="003F1FB7" w:rsidP="00AC2E19">
            <w:pPr>
              <w:pStyle w:val="Caption"/>
              <w:spacing w:before="120" w:after="120"/>
              <w:rPr>
                <w:rFonts w:ascii="Verdana" w:hAnsi="Verdana"/>
                <w:sz w:val="16"/>
                <w:szCs w:val="16"/>
                <w:lang w:val="bg-BG"/>
              </w:rPr>
            </w:pPr>
            <w:bookmarkStart w:id="40" w:name="_Hlk55202035"/>
            <w:r w:rsidRPr="00174F36">
              <w:rPr>
                <w:rFonts w:ascii="Verdana" w:hAnsi="Verdana"/>
                <w:color w:val="auto"/>
                <w:sz w:val="16"/>
                <w:szCs w:val="16"/>
                <w:lang w:val="en"/>
              </w:rPr>
              <w:t xml:space="preserve">Source: </w:t>
            </w:r>
            <w:proofErr w:type="spellStart"/>
            <w:r w:rsidRPr="00174F36">
              <w:rPr>
                <w:rFonts w:ascii="Verdana" w:hAnsi="Verdana"/>
                <w:color w:val="auto"/>
                <w:sz w:val="16"/>
                <w:szCs w:val="16"/>
                <w:lang w:val="en"/>
              </w:rPr>
              <w:t>CoM</w:t>
            </w:r>
            <w:proofErr w:type="spellEnd"/>
            <w:r w:rsidRPr="00174F36">
              <w:rPr>
                <w:rFonts w:ascii="Verdana" w:hAnsi="Verdana"/>
                <w:color w:val="auto"/>
                <w:sz w:val="16"/>
                <w:szCs w:val="16"/>
                <w:lang w:val="en"/>
              </w:rPr>
              <w:t>, MF (SIBILA 1.0 and SIBILA 2.0)</w:t>
            </w:r>
            <w:bookmarkEnd w:id="40"/>
          </w:p>
        </w:tc>
      </w:tr>
    </w:tbl>
    <w:p w14:paraId="0E7DD471" w14:textId="77777777" w:rsidR="003F1FB7" w:rsidRPr="003F1FB7" w:rsidRDefault="003F1FB7" w:rsidP="003F1FB7">
      <w:pPr>
        <w:rPr>
          <w:lang w:val="en"/>
        </w:rPr>
      </w:pPr>
    </w:p>
    <w:p w14:paraId="65D88AA9" w14:textId="77777777" w:rsidR="000272DD" w:rsidRPr="00F50700" w:rsidRDefault="000272DD" w:rsidP="00B870D7">
      <w:pPr>
        <w:pStyle w:val="Heading4"/>
        <w:numPr>
          <w:ilvl w:val="0"/>
          <w:numId w:val="37"/>
        </w:numPr>
        <w:spacing w:before="120" w:after="120" w:line="240" w:lineRule="auto"/>
        <w:jc w:val="both"/>
        <w:rPr>
          <w:rFonts w:ascii="Verdana" w:hAnsi="Verdana"/>
          <w:b/>
          <w:bCs/>
          <w:sz w:val="20"/>
          <w:szCs w:val="20"/>
          <w:lang w:val="bg-BG"/>
        </w:rPr>
      </w:pPr>
      <w:r w:rsidRPr="00F50700">
        <w:rPr>
          <w:rFonts w:ascii="Verdana" w:hAnsi="Verdana"/>
          <w:b/>
          <w:bCs/>
          <w:sz w:val="20"/>
          <w:szCs w:val="20"/>
          <w:lang w:val="en"/>
        </w:rPr>
        <w:t xml:space="preserve">Decomposition analysis – effects by priority axes </w:t>
      </w:r>
    </w:p>
    <w:p w14:paraId="322E1677" w14:textId="77777777" w:rsidR="001725BA" w:rsidRPr="00A75B45" w:rsidRDefault="001725BA" w:rsidP="001725BA">
      <w:pPr>
        <w:spacing w:before="120" w:after="120" w:line="240" w:lineRule="auto"/>
        <w:rPr>
          <w:rFonts w:ascii="Verdana" w:hAnsi="Verdana"/>
          <w:sz w:val="20"/>
          <w:szCs w:val="20"/>
          <w:lang w:val="en"/>
        </w:rPr>
      </w:pPr>
      <w:r w:rsidRPr="00A75B45">
        <w:rPr>
          <w:rFonts w:ascii="Verdana" w:hAnsi="Verdana"/>
          <w:sz w:val="20"/>
          <w:szCs w:val="20"/>
          <w:lang w:val="en"/>
        </w:rPr>
        <w:t>A decomposition analysis of the effects on the individual priority axes of the OPT by the end of 2015 has been made, based on the funds spent. The results show that:</w:t>
      </w:r>
    </w:p>
    <w:p w14:paraId="2D209698" w14:textId="198C192E" w:rsidR="001725BA" w:rsidRPr="00A75B45" w:rsidRDefault="001725BA" w:rsidP="001725BA">
      <w:pPr>
        <w:pStyle w:val="ListParagraph"/>
        <w:numPr>
          <w:ilvl w:val="0"/>
          <w:numId w:val="34"/>
        </w:numPr>
        <w:spacing w:before="120" w:after="120" w:line="240" w:lineRule="auto"/>
        <w:jc w:val="both"/>
        <w:rPr>
          <w:rFonts w:ascii="Verdana" w:hAnsi="Verdana"/>
          <w:sz w:val="20"/>
          <w:szCs w:val="20"/>
          <w:lang w:val="bg-BG"/>
        </w:rPr>
      </w:pPr>
      <w:r w:rsidRPr="00A75B45">
        <w:rPr>
          <w:rFonts w:ascii="Verdana" w:hAnsi="Verdana"/>
          <w:sz w:val="20"/>
          <w:szCs w:val="20"/>
          <w:lang w:val="en"/>
        </w:rPr>
        <w:t xml:space="preserve">The most significant effects are observed from the implementation of </w:t>
      </w:r>
      <w:r w:rsidRPr="00A75B45">
        <w:rPr>
          <w:rFonts w:ascii="Verdana" w:hAnsi="Verdana"/>
          <w:i/>
          <w:iCs/>
          <w:sz w:val="20"/>
          <w:szCs w:val="20"/>
          <w:lang w:val="en"/>
        </w:rPr>
        <w:t>Priority</w:t>
      </w:r>
      <w:r w:rsidRPr="00A75B45">
        <w:rPr>
          <w:rFonts w:ascii="Verdana" w:hAnsi="Verdana"/>
          <w:sz w:val="20"/>
          <w:szCs w:val="20"/>
          <w:lang w:val="en"/>
        </w:rPr>
        <w:t xml:space="preserve"> </w:t>
      </w:r>
      <w:r w:rsidRPr="00A75B45">
        <w:rPr>
          <w:rFonts w:ascii="Verdana" w:hAnsi="Verdana"/>
          <w:i/>
          <w:iCs/>
          <w:sz w:val="20"/>
          <w:szCs w:val="20"/>
          <w:lang w:val="en"/>
        </w:rPr>
        <w:t>Axis 2 ‘Development of road infrastructure along the major national and Pan-European transport axes’</w:t>
      </w:r>
      <w:r w:rsidRPr="00A75B45">
        <w:rPr>
          <w:rFonts w:ascii="Verdana" w:hAnsi="Verdana"/>
          <w:sz w:val="20"/>
          <w:szCs w:val="20"/>
          <w:lang w:val="en"/>
        </w:rPr>
        <w:t xml:space="preserve"> – the net effect of the implementation of projects for this axis on real GDP amounts to 0.47%; the net effect on employment is approximately the same; this axis is, to the greatest extent, related to the import of goods and services for the implementation of the activities, and the net effect there was 0.93%; by the end of the period, the impact on private investments amounted to 0.83%. On the one hand, the leading role of these projects is explained by the predominant part of expenditures for this PA is related to direct costs for construction: 79% (including 70.7% for the costs related to construction works, and 6.4% for the purchase of machinery and equipment). On the other hand, the axis budget is significantly larger, when compared to the remaining axes of the programme.</w:t>
      </w:r>
    </w:p>
    <w:p w14:paraId="563E0402" w14:textId="77777777" w:rsidR="001725BA" w:rsidRPr="00A75B45" w:rsidRDefault="001725BA" w:rsidP="001725BA">
      <w:pPr>
        <w:pStyle w:val="ListParagraph"/>
        <w:numPr>
          <w:ilvl w:val="0"/>
          <w:numId w:val="34"/>
        </w:numPr>
        <w:spacing w:before="120" w:after="120" w:line="240" w:lineRule="auto"/>
        <w:jc w:val="both"/>
        <w:rPr>
          <w:rFonts w:ascii="Verdana" w:hAnsi="Verdana"/>
          <w:sz w:val="20"/>
          <w:szCs w:val="20"/>
          <w:lang w:val="bg-BG"/>
        </w:rPr>
      </w:pPr>
      <w:r w:rsidRPr="00A75B45">
        <w:rPr>
          <w:rFonts w:ascii="Verdana" w:hAnsi="Verdana"/>
          <w:sz w:val="20"/>
          <w:szCs w:val="20"/>
          <w:lang w:val="en-US"/>
        </w:rPr>
        <w:t xml:space="preserve">The second largest net effects are related to the implementation of projects under </w:t>
      </w:r>
      <w:r w:rsidRPr="00A75B45">
        <w:rPr>
          <w:rFonts w:ascii="Verdana" w:hAnsi="Verdana"/>
          <w:i/>
          <w:iCs/>
          <w:sz w:val="20"/>
          <w:szCs w:val="20"/>
          <w:lang w:val="en-US"/>
        </w:rPr>
        <w:t>Priority Axis 1: ‘Development of railway infrastructure along the major national and Pan-European transport axes’</w:t>
      </w:r>
      <w:r w:rsidRPr="00A75B45">
        <w:rPr>
          <w:rFonts w:ascii="Verdana" w:hAnsi="Verdana"/>
          <w:sz w:val="20"/>
          <w:szCs w:val="20"/>
          <w:lang w:val="en-US"/>
        </w:rPr>
        <w:t xml:space="preserve"> – the effect on employment and GDP amounts to 0.38%, and on imports and private investments it was respectively 0.76% and 0.83%.</w:t>
      </w:r>
    </w:p>
    <w:p w14:paraId="242CA2CF" w14:textId="77777777" w:rsidR="001725BA" w:rsidRPr="00A75B45" w:rsidRDefault="001725BA" w:rsidP="001725BA">
      <w:pPr>
        <w:pStyle w:val="ListParagraph"/>
        <w:numPr>
          <w:ilvl w:val="0"/>
          <w:numId w:val="34"/>
        </w:numPr>
        <w:spacing w:before="120" w:after="120" w:line="240" w:lineRule="auto"/>
        <w:jc w:val="both"/>
        <w:rPr>
          <w:rFonts w:ascii="Verdana" w:hAnsi="Verdana"/>
          <w:sz w:val="20"/>
          <w:szCs w:val="20"/>
          <w:lang w:val="bg-BG"/>
        </w:rPr>
      </w:pPr>
      <w:r w:rsidRPr="00A75B45">
        <w:rPr>
          <w:rFonts w:ascii="Verdana" w:hAnsi="Verdana"/>
          <w:sz w:val="20"/>
          <w:szCs w:val="20"/>
          <w:lang w:val="en-US"/>
        </w:rPr>
        <w:t xml:space="preserve">Third of size is the impact of the implementation of </w:t>
      </w:r>
      <w:r w:rsidRPr="00A75B45">
        <w:rPr>
          <w:rFonts w:ascii="Verdana" w:hAnsi="Verdana"/>
          <w:i/>
          <w:iCs/>
          <w:sz w:val="20"/>
          <w:szCs w:val="20"/>
          <w:lang w:val="en-US"/>
        </w:rPr>
        <w:t xml:space="preserve">Priority Axis 3: ‘Improvement of </w:t>
      </w:r>
      <w:proofErr w:type="spellStart"/>
      <w:r w:rsidRPr="00A75B45">
        <w:rPr>
          <w:rFonts w:ascii="Verdana" w:hAnsi="Verdana"/>
          <w:i/>
          <w:iCs/>
          <w:sz w:val="20"/>
          <w:szCs w:val="20"/>
          <w:lang w:val="en-US"/>
        </w:rPr>
        <w:t>intermodality</w:t>
      </w:r>
      <w:proofErr w:type="spellEnd"/>
      <w:r w:rsidRPr="00A75B45">
        <w:rPr>
          <w:rFonts w:ascii="Verdana" w:hAnsi="Verdana"/>
          <w:i/>
          <w:iCs/>
          <w:sz w:val="20"/>
          <w:szCs w:val="20"/>
          <w:lang w:val="en-US"/>
        </w:rPr>
        <w:t xml:space="preserve"> for passenger and freight’ </w:t>
      </w:r>
      <w:r w:rsidRPr="00A75B45">
        <w:rPr>
          <w:rFonts w:ascii="Verdana" w:hAnsi="Verdana"/>
          <w:sz w:val="20"/>
          <w:szCs w:val="20"/>
          <w:lang w:val="en-US"/>
        </w:rPr>
        <w:t>– the net effect on employment and GDP amounted to 0.21%, and on imports and private investment it was 0.42% and 0.46%, respectively.</w:t>
      </w:r>
    </w:p>
    <w:p w14:paraId="5F6EB01F" w14:textId="77777777" w:rsidR="001725BA" w:rsidRPr="00A75B45" w:rsidRDefault="001725BA" w:rsidP="001725BA">
      <w:pPr>
        <w:pStyle w:val="ListParagraph"/>
        <w:numPr>
          <w:ilvl w:val="0"/>
          <w:numId w:val="34"/>
        </w:numPr>
        <w:spacing w:before="120" w:after="120" w:line="240" w:lineRule="auto"/>
        <w:jc w:val="both"/>
        <w:rPr>
          <w:rFonts w:ascii="Verdana" w:hAnsi="Verdana"/>
          <w:sz w:val="20"/>
          <w:szCs w:val="20"/>
          <w:lang w:val="bg-BG"/>
        </w:rPr>
      </w:pPr>
      <w:r w:rsidRPr="00A75B45">
        <w:rPr>
          <w:rFonts w:ascii="Verdana" w:hAnsi="Verdana"/>
          <w:sz w:val="20"/>
          <w:szCs w:val="20"/>
          <w:lang w:val="en-US"/>
        </w:rPr>
        <w:t xml:space="preserve">Lastly, there is the observed impact under </w:t>
      </w:r>
      <w:r w:rsidRPr="00A75B45">
        <w:rPr>
          <w:rFonts w:ascii="Verdana" w:hAnsi="Verdana"/>
          <w:i/>
          <w:iCs/>
          <w:sz w:val="20"/>
          <w:szCs w:val="20"/>
          <w:lang w:val="en-US"/>
        </w:rPr>
        <w:t>Priority Axes 4 and 5: ‘Improvement of the maritime and inland-waterway navigation’ and ‘Technical assistance’ –</w:t>
      </w:r>
      <w:r w:rsidRPr="00A75B45">
        <w:rPr>
          <w:rFonts w:ascii="Verdana" w:hAnsi="Verdana"/>
          <w:sz w:val="20"/>
          <w:szCs w:val="20"/>
          <w:lang w:val="en-US"/>
        </w:rPr>
        <w:t xml:space="preserve"> the net effect of each of the axes on GDP and employment amounts to </w:t>
      </w:r>
      <w:r w:rsidRPr="00A75B45">
        <w:rPr>
          <w:rFonts w:ascii="Verdana" w:hAnsi="Verdana"/>
          <w:sz w:val="20"/>
          <w:szCs w:val="20"/>
          <w:lang w:val="en"/>
        </w:rPr>
        <w:t>0.05%, and the respective values for imports of goods and services, and for private investment are 0.08% and 0.1%.</w:t>
      </w:r>
    </w:p>
    <w:p w14:paraId="346775B2" w14:textId="4980E6E2" w:rsidR="001725BA" w:rsidRPr="00A75B45" w:rsidRDefault="001725BA" w:rsidP="001725BA">
      <w:pPr>
        <w:pStyle w:val="Caption"/>
        <w:spacing w:before="120" w:after="120"/>
        <w:jc w:val="both"/>
        <w:rPr>
          <w:rFonts w:ascii="Verdana" w:hAnsi="Verdana"/>
          <w:color w:val="374E81"/>
          <w:sz w:val="20"/>
          <w:szCs w:val="20"/>
          <w:lang w:val="bg-BG"/>
        </w:rPr>
      </w:pPr>
    </w:p>
    <w:p w14:paraId="153DC02B" w14:textId="4D75D4CC" w:rsidR="00174F36" w:rsidRPr="00174F36" w:rsidRDefault="00174F36" w:rsidP="00174F36">
      <w:pPr>
        <w:pStyle w:val="Caption"/>
        <w:keepNext/>
        <w:rPr>
          <w:rFonts w:ascii="Verdana" w:hAnsi="Verdana"/>
          <w:sz w:val="20"/>
          <w:szCs w:val="20"/>
        </w:rPr>
      </w:pPr>
      <w:bookmarkStart w:id="41" w:name="_Toc62724730"/>
      <w:r w:rsidRPr="00174F36">
        <w:rPr>
          <w:rFonts w:ascii="Verdana" w:hAnsi="Verdana"/>
          <w:sz w:val="20"/>
          <w:szCs w:val="20"/>
        </w:rPr>
        <w:t xml:space="preserve">Table </w:t>
      </w:r>
      <w:r w:rsidR="002A60EF">
        <w:rPr>
          <w:rFonts w:ascii="Verdana" w:hAnsi="Verdana"/>
          <w:sz w:val="20"/>
          <w:szCs w:val="20"/>
        </w:rPr>
        <w:fldChar w:fldCharType="begin"/>
      </w:r>
      <w:r w:rsidR="002A60EF">
        <w:rPr>
          <w:rFonts w:ascii="Verdana" w:hAnsi="Verdana"/>
          <w:sz w:val="20"/>
          <w:szCs w:val="20"/>
        </w:rPr>
        <w:instrText xml:space="preserve"> STYLEREF 1 \s </w:instrText>
      </w:r>
      <w:r w:rsidR="002A60EF">
        <w:rPr>
          <w:rFonts w:ascii="Verdana" w:hAnsi="Verdana"/>
          <w:sz w:val="20"/>
          <w:szCs w:val="20"/>
        </w:rPr>
        <w:fldChar w:fldCharType="separate"/>
      </w:r>
      <w:r w:rsidR="002A60EF">
        <w:rPr>
          <w:rFonts w:ascii="Verdana" w:hAnsi="Verdana"/>
          <w:noProof/>
          <w:sz w:val="20"/>
          <w:szCs w:val="20"/>
        </w:rPr>
        <w:t>IV.1</w:t>
      </w:r>
      <w:r w:rsidR="002A60EF">
        <w:rPr>
          <w:rFonts w:ascii="Verdana" w:hAnsi="Verdana"/>
          <w:sz w:val="20"/>
          <w:szCs w:val="20"/>
        </w:rPr>
        <w:fldChar w:fldCharType="end"/>
      </w:r>
      <w:r w:rsidR="002A60EF">
        <w:rPr>
          <w:rFonts w:ascii="Verdana" w:hAnsi="Verdana"/>
          <w:sz w:val="20"/>
          <w:szCs w:val="20"/>
        </w:rPr>
        <w:noBreakHyphen/>
      </w:r>
      <w:r w:rsidR="002A60EF">
        <w:rPr>
          <w:rFonts w:ascii="Verdana" w:hAnsi="Verdana"/>
          <w:sz w:val="20"/>
          <w:szCs w:val="20"/>
        </w:rPr>
        <w:fldChar w:fldCharType="begin"/>
      </w:r>
      <w:r w:rsidR="002A60EF">
        <w:rPr>
          <w:rFonts w:ascii="Verdana" w:hAnsi="Verdana"/>
          <w:sz w:val="20"/>
          <w:szCs w:val="20"/>
        </w:rPr>
        <w:instrText xml:space="preserve"> SEQ Table \* ARABIC \s 1 </w:instrText>
      </w:r>
      <w:r w:rsidR="002A60EF">
        <w:rPr>
          <w:rFonts w:ascii="Verdana" w:hAnsi="Verdana"/>
          <w:sz w:val="20"/>
          <w:szCs w:val="20"/>
        </w:rPr>
        <w:fldChar w:fldCharType="separate"/>
      </w:r>
      <w:r w:rsidR="002A60EF">
        <w:rPr>
          <w:rFonts w:ascii="Verdana" w:hAnsi="Verdana"/>
          <w:noProof/>
          <w:sz w:val="20"/>
          <w:szCs w:val="20"/>
        </w:rPr>
        <w:t>2</w:t>
      </w:r>
      <w:r w:rsidR="002A60EF">
        <w:rPr>
          <w:rFonts w:ascii="Verdana" w:hAnsi="Verdana"/>
          <w:sz w:val="20"/>
          <w:szCs w:val="20"/>
        </w:rPr>
        <w:fldChar w:fldCharType="end"/>
      </w:r>
      <w:r w:rsidRPr="00174F36">
        <w:rPr>
          <w:rFonts w:ascii="Verdana" w:hAnsi="Verdana"/>
          <w:sz w:val="20"/>
          <w:szCs w:val="20"/>
        </w:rPr>
        <w:t xml:space="preserve"> Decomposed net effects by priority axis of the OPT at the end of 2015, %</w:t>
      </w:r>
      <w:bookmarkEnd w:id="41"/>
    </w:p>
    <w:tbl>
      <w:tblPr>
        <w:tblStyle w:val="TableGridLight"/>
        <w:tblW w:w="8984" w:type="dxa"/>
        <w:tblBorders>
          <w:top w:val="double" w:sz="4" w:space="0" w:color="1E5E9F" w:themeColor="accent3" w:themeShade="BF"/>
          <w:left w:val="double" w:sz="4" w:space="0" w:color="1E5E9F" w:themeColor="accent3" w:themeShade="BF"/>
          <w:bottom w:val="double" w:sz="4" w:space="0" w:color="1E5E9F" w:themeColor="accent3" w:themeShade="BF"/>
          <w:right w:val="double" w:sz="4" w:space="0" w:color="1E5E9F" w:themeColor="accent3" w:themeShade="BF"/>
          <w:insideH w:val="double" w:sz="4" w:space="0" w:color="1E5E9F" w:themeColor="accent3" w:themeShade="BF"/>
          <w:insideV w:val="double" w:sz="4" w:space="0" w:color="1E5E9F" w:themeColor="accent3" w:themeShade="BF"/>
        </w:tblBorders>
        <w:tblLayout w:type="fixed"/>
        <w:tblLook w:val="04A0" w:firstRow="1" w:lastRow="0" w:firstColumn="1" w:lastColumn="0" w:noHBand="0" w:noVBand="1"/>
      </w:tblPr>
      <w:tblGrid>
        <w:gridCol w:w="1101"/>
        <w:gridCol w:w="953"/>
        <w:gridCol w:w="844"/>
        <w:gridCol w:w="1272"/>
        <w:gridCol w:w="1770"/>
        <w:gridCol w:w="1521"/>
        <w:gridCol w:w="1523"/>
      </w:tblGrid>
      <w:tr w:rsidR="001725BA" w:rsidRPr="00A75B45" w14:paraId="477018D5" w14:textId="77777777" w:rsidTr="00C90CC7">
        <w:trPr>
          <w:trHeight w:val="244"/>
        </w:trPr>
        <w:tc>
          <w:tcPr>
            <w:tcW w:w="1101" w:type="dxa"/>
            <w:tcBorders>
              <w:bottom w:val="single" w:sz="4" w:space="0" w:color="1E5E9F" w:themeColor="accent3" w:themeShade="BF"/>
              <w:right w:val="single" w:sz="4" w:space="0" w:color="1E5E9F" w:themeColor="accent3" w:themeShade="BF"/>
            </w:tcBorders>
            <w:shd w:val="clear" w:color="auto" w:fill="374C80" w:themeFill="accent1" w:themeFillShade="BF"/>
            <w:noWrap/>
            <w:vAlign w:val="center"/>
            <w:hideMark/>
          </w:tcPr>
          <w:p w14:paraId="001AFEBE" w14:textId="77777777" w:rsidR="001725BA" w:rsidRPr="00174F36" w:rsidRDefault="001725BA" w:rsidP="00AC2E19">
            <w:pPr>
              <w:jc w:val="center"/>
              <w:rPr>
                <w:rFonts w:ascii="Verdana" w:eastAsia="Times New Roman" w:hAnsi="Verdana" w:cs="Calibri"/>
                <w:b/>
                <w:bCs/>
                <w:color w:val="FFFFFF" w:themeColor="background1"/>
                <w:sz w:val="18"/>
                <w:szCs w:val="18"/>
                <w:lang w:val="bg-BG"/>
              </w:rPr>
            </w:pPr>
            <w:r w:rsidRPr="00174F36">
              <w:rPr>
                <w:rFonts w:ascii="Verdana" w:hAnsi="Verdana"/>
                <w:b/>
                <w:bCs/>
                <w:color w:val="FFFFFF" w:themeColor="background1"/>
                <w:sz w:val="18"/>
                <w:szCs w:val="18"/>
                <w:lang w:val="en"/>
              </w:rPr>
              <w:t>Priority axis</w:t>
            </w:r>
          </w:p>
        </w:tc>
        <w:tc>
          <w:tcPr>
            <w:tcW w:w="953" w:type="dxa"/>
            <w:tcBorders>
              <w:left w:val="single" w:sz="4" w:space="0" w:color="1E5E9F" w:themeColor="accent3" w:themeShade="BF"/>
              <w:bottom w:val="single" w:sz="4" w:space="0" w:color="1E5E9F" w:themeColor="accent3" w:themeShade="BF"/>
              <w:right w:val="single" w:sz="4" w:space="0" w:color="1E5E9F" w:themeColor="accent3" w:themeShade="BF"/>
            </w:tcBorders>
            <w:shd w:val="clear" w:color="auto" w:fill="374C80" w:themeFill="accent1" w:themeFillShade="BF"/>
            <w:noWrap/>
            <w:vAlign w:val="center"/>
            <w:hideMark/>
          </w:tcPr>
          <w:p w14:paraId="26AB60AB" w14:textId="77777777" w:rsidR="001725BA" w:rsidRPr="00174F36" w:rsidRDefault="001725BA" w:rsidP="00AC2E19">
            <w:pPr>
              <w:jc w:val="center"/>
              <w:rPr>
                <w:rFonts w:ascii="Verdana" w:eastAsia="Times New Roman" w:hAnsi="Verdana" w:cs="Calibri"/>
                <w:b/>
                <w:bCs/>
                <w:color w:val="FFFFFF" w:themeColor="background1"/>
                <w:sz w:val="18"/>
                <w:szCs w:val="18"/>
                <w:lang w:val="bg-BG"/>
              </w:rPr>
            </w:pPr>
            <w:r w:rsidRPr="00174F36">
              <w:rPr>
                <w:rFonts w:ascii="Verdana" w:hAnsi="Verdana"/>
                <w:b/>
                <w:bCs/>
                <w:color w:val="FFFFFF" w:themeColor="background1"/>
                <w:sz w:val="18"/>
                <w:szCs w:val="18"/>
                <w:lang w:val="en"/>
              </w:rPr>
              <w:t>Employment</w:t>
            </w:r>
          </w:p>
        </w:tc>
        <w:tc>
          <w:tcPr>
            <w:tcW w:w="844" w:type="dxa"/>
            <w:tcBorders>
              <w:left w:val="single" w:sz="4" w:space="0" w:color="1E5E9F" w:themeColor="accent3" w:themeShade="BF"/>
              <w:bottom w:val="single" w:sz="4" w:space="0" w:color="1E5E9F" w:themeColor="accent3" w:themeShade="BF"/>
              <w:right w:val="single" w:sz="4" w:space="0" w:color="1E5E9F" w:themeColor="accent3" w:themeShade="BF"/>
            </w:tcBorders>
            <w:shd w:val="clear" w:color="auto" w:fill="374C80" w:themeFill="accent1" w:themeFillShade="BF"/>
            <w:noWrap/>
            <w:vAlign w:val="center"/>
            <w:hideMark/>
          </w:tcPr>
          <w:p w14:paraId="17A848F5" w14:textId="77777777" w:rsidR="001725BA" w:rsidRPr="00174F36" w:rsidRDefault="001725BA" w:rsidP="00AC2E19">
            <w:pPr>
              <w:jc w:val="center"/>
              <w:rPr>
                <w:rFonts w:ascii="Verdana" w:eastAsia="Times New Roman" w:hAnsi="Verdana" w:cs="Calibri"/>
                <w:b/>
                <w:bCs/>
                <w:color w:val="FFFFFF" w:themeColor="background1"/>
                <w:sz w:val="18"/>
                <w:szCs w:val="18"/>
                <w:lang w:val="bg-BG"/>
              </w:rPr>
            </w:pPr>
            <w:r w:rsidRPr="00174F36">
              <w:rPr>
                <w:rFonts w:ascii="Verdana" w:hAnsi="Verdana"/>
                <w:b/>
                <w:bCs/>
                <w:color w:val="FFFFFF" w:themeColor="background1"/>
                <w:sz w:val="18"/>
                <w:szCs w:val="18"/>
                <w:lang w:val="en"/>
              </w:rPr>
              <w:t>GDP</w:t>
            </w:r>
          </w:p>
        </w:tc>
        <w:tc>
          <w:tcPr>
            <w:tcW w:w="1272" w:type="dxa"/>
            <w:tcBorders>
              <w:left w:val="single" w:sz="4" w:space="0" w:color="1E5E9F" w:themeColor="accent3" w:themeShade="BF"/>
              <w:bottom w:val="single" w:sz="4" w:space="0" w:color="1E5E9F" w:themeColor="accent3" w:themeShade="BF"/>
              <w:right w:val="single" w:sz="4" w:space="0" w:color="1E5E9F" w:themeColor="accent3" w:themeShade="BF"/>
            </w:tcBorders>
            <w:shd w:val="clear" w:color="auto" w:fill="374C80" w:themeFill="accent1" w:themeFillShade="BF"/>
            <w:noWrap/>
            <w:vAlign w:val="center"/>
            <w:hideMark/>
          </w:tcPr>
          <w:p w14:paraId="2E038FC9" w14:textId="77777777" w:rsidR="001725BA" w:rsidRPr="00174F36" w:rsidRDefault="001725BA" w:rsidP="00AC2E19">
            <w:pPr>
              <w:jc w:val="center"/>
              <w:rPr>
                <w:rFonts w:ascii="Verdana" w:eastAsia="Times New Roman" w:hAnsi="Verdana" w:cs="Calibri"/>
                <w:b/>
                <w:bCs/>
                <w:color w:val="FFFFFF" w:themeColor="background1"/>
                <w:sz w:val="18"/>
                <w:szCs w:val="18"/>
                <w:lang w:val="bg-BG"/>
              </w:rPr>
            </w:pPr>
            <w:r w:rsidRPr="00174F36">
              <w:rPr>
                <w:rFonts w:ascii="Verdana" w:hAnsi="Verdana"/>
                <w:b/>
                <w:bCs/>
                <w:color w:val="FFFFFF" w:themeColor="background1"/>
                <w:sz w:val="18"/>
                <w:szCs w:val="18"/>
                <w:lang w:val="en"/>
              </w:rPr>
              <w:t>Export of goods and services</w:t>
            </w:r>
          </w:p>
        </w:tc>
        <w:tc>
          <w:tcPr>
            <w:tcW w:w="1770" w:type="dxa"/>
            <w:tcBorders>
              <w:left w:val="single" w:sz="4" w:space="0" w:color="1E5E9F" w:themeColor="accent3" w:themeShade="BF"/>
              <w:bottom w:val="single" w:sz="4" w:space="0" w:color="1E5E9F" w:themeColor="accent3" w:themeShade="BF"/>
              <w:right w:val="single" w:sz="4" w:space="0" w:color="1E5E9F" w:themeColor="accent3" w:themeShade="BF"/>
            </w:tcBorders>
            <w:shd w:val="clear" w:color="auto" w:fill="374C80" w:themeFill="accent1" w:themeFillShade="BF"/>
            <w:noWrap/>
            <w:vAlign w:val="center"/>
            <w:hideMark/>
          </w:tcPr>
          <w:p w14:paraId="59AFCF03" w14:textId="77777777" w:rsidR="001725BA" w:rsidRPr="00174F36" w:rsidRDefault="001725BA" w:rsidP="00AC2E19">
            <w:pPr>
              <w:jc w:val="center"/>
              <w:rPr>
                <w:rFonts w:ascii="Verdana" w:eastAsia="Times New Roman" w:hAnsi="Verdana" w:cs="Calibri"/>
                <w:b/>
                <w:bCs/>
                <w:color w:val="FFFFFF" w:themeColor="background1"/>
                <w:sz w:val="18"/>
                <w:szCs w:val="18"/>
                <w:lang w:val="bg-BG"/>
              </w:rPr>
            </w:pPr>
            <w:r w:rsidRPr="00174F36">
              <w:rPr>
                <w:rFonts w:ascii="Verdana" w:hAnsi="Verdana"/>
                <w:b/>
                <w:bCs/>
                <w:color w:val="FFFFFF" w:themeColor="background1"/>
                <w:sz w:val="18"/>
                <w:szCs w:val="18"/>
                <w:lang w:val="en"/>
              </w:rPr>
              <w:t>Import of goods and services</w:t>
            </w:r>
          </w:p>
        </w:tc>
        <w:tc>
          <w:tcPr>
            <w:tcW w:w="1521" w:type="dxa"/>
            <w:tcBorders>
              <w:left w:val="single" w:sz="4" w:space="0" w:color="1E5E9F" w:themeColor="accent3" w:themeShade="BF"/>
              <w:bottom w:val="single" w:sz="4" w:space="0" w:color="1E5E9F" w:themeColor="accent3" w:themeShade="BF"/>
              <w:right w:val="single" w:sz="4" w:space="0" w:color="1E5E9F" w:themeColor="accent3" w:themeShade="BF"/>
            </w:tcBorders>
            <w:shd w:val="clear" w:color="auto" w:fill="374C80" w:themeFill="accent1" w:themeFillShade="BF"/>
            <w:noWrap/>
            <w:vAlign w:val="center"/>
            <w:hideMark/>
          </w:tcPr>
          <w:p w14:paraId="48A57A62" w14:textId="77777777" w:rsidR="001725BA" w:rsidRPr="00174F36" w:rsidRDefault="001725BA" w:rsidP="00AC2E19">
            <w:pPr>
              <w:jc w:val="center"/>
              <w:rPr>
                <w:rFonts w:ascii="Verdana" w:eastAsia="Times New Roman" w:hAnsi="Verdana" w:cs="Calibri"/>
                <w:b/>
                <w:bCs/>
                <w:color w:val="FFFFFF" w:themeColor="background1"/>
                <w:sz w:val="18"/>
                <w:szCs w:val="18"/>
                <w:lang w:val="bg-BG"/>
              </w:rPr>
            </w:pPr>
            <w:r w:rsidRPr="00174F36">
              <w:rPr>
                <w:rFonts w:ascii="Verdana" w:hAnsi="Verdana"/>
                <w:b/>
                <w:bCs/>
                <w:color w:val="FFFFFF" w:themeColor="background1"/>
                <w:sz w:val="18"/>
                <w:szCs w:val="18"/>
                <w:lang w:val="en"/>
              </w:rPr>
              <w:t>Private consumption</w:t>
            </w:r>
          </w:p>
        </w:tc>
        <w:tc>
          <w:tcPr>
            <w:tcW w:w="1521" w:type="dxa"/>
            <w:tcBorders>
              <w:left w:val="single" w:sz="4" w:space="0" w:color="1E5E9F" w:themeColor="accent3" w:themeShade="BF"/>
              <w:bottom w:val="single" w:sz="4" w:space="0" w:color="1E5E9F" w:themeColor="accent3" w:themeShade="BF"/>
            </w:tcBorders>
            <w:shd w:val="clear" w:color="auto" w:fill="374C80" w:themeFill="accent1" w:themeFillShade="BF"/>
            <w:noWrap/>
            <w:vAlign w:val="center"/>
            <w:hideMark/>
          </w:tcPr>
          <w:p w14:paraId="0F54E8B5" w14:textId="77777777" w:rsidR="001725BA" w:rsidRPr="00174F36" w:rsidRDefault="001725BA" w:rsidP="00AC2E19">
            <w:pPr>
              <w:jc w:val="center"/>
              <w:rPr>
                <w:rFonts w:ascii="Verdana" w:eastAsia="Times New Roman" w:hAnsi="Verdana" w:cs="Calibri"/>
                <w:b/>
                <w:bCs/>
                <w:color w:val="FFFFFF" w:themeColor="background1"/>
                <w:sz w:val="18"/>
                <w:szCs w:val="18"/>
                <w:lang w:val="bg-BG"/>
              </w:rPr>
            </w:pPr>
            <w:r w:rsidRPr="00174F36">
              <w:rPr>
                <w:rFonts w:ascii="Verdana" w:hAnsi="Verdana"/>
                <w:b/>
                <w:bCs/>
                <w:color w:val="FFFFFF" w:themeColor="background1"/>
                <w:sz w:val="18"/>
                <w:szCs w:val="18"/>
                <w:lang w:val="en"/>
              </w:rPr>
              <w:t>Private investments</w:t>
            </w:r>
          </w:p>
        </w:tc>
      </w:tr>
      <w:tr w:rsidR="001725BA" w:rsidRPr="00A75B45" w14:paraId="5F563046" w14:textId="77777777" w:rsidTr="00C90CC7">
        <w:trPr>
          <w:trHeight w:val="244"/>
        </w:trPr>
        <w:tc>
          <w:tcPr>
            <w:tcW w:w="1101" w:type="dxa"/>
            <w:tcBorders>
              <w:top w:val="single" w:sz="4" w:space="0" w:color="1E5E9F" w:themeColor="accent3" w:themeShade="BF"/>
              <w:bottom w:val="single" w:sz="4" w:space="0" w:color="1E5E9F" w:themeColor="accent3" w:themeShade="BF"/>
              <w:right w:val="single" w:sz="4" w:space="0" w:color="1E5E9F" w:themeColor="accent3" w:themeShade="BF"/>
            </w:tcBorders>
            <w:shd w:val="clear" w:color="auto" w:fill="D9DFEF" w:themeFill="accent1" w:themeFillTint="33"/>
            <w:noWrap/>
            <w:hideMark/>
          </w:tcPr>
          <w:p w14:paraId="602C40B2" w14:textId="1C340D01" w:rsidR="001725BA" w:rsidRPr="00A75B45" w:rsidRDefault="001725BA" w:rsidP="00174F36">
            <w:pPr>
              <w:rPr>
                <w:rFonts w:ascii="Verdana" w:eastAsia="Times New Roman" w:hAnsi="Verdana" w:cs="Calibri"/>
                <w:color w:val="000000"/>
                <w:sz w:val="20"/>
                <w:szCs w:val="20"/>
                <w:lang w:val="bg-BG"/>
              </w:rPr>
            </w:pPr>
            <w:r w:rsidRPr="00A75B45">
              <w:rPr>
                <w:rFonts w:ascii="Verdana" w:hAnsi="Verdana"/>
                <w:color w:val="000000"/>
                <w:sz w:val="20"/>
                <w:szCs w:val="20"/>
                <w:lang w:val="en"/>
              </w:rPr>
              <w:t xml:space="preserve">PA1: </w:t>
            </w:r>
          </w:p>
        </w:tc>
        <w:tc>
          <w:tcPr>
            <w:tcW w:w="953" w:type="dxa"/>
            <w:tcBorders>
              <w:top w:val="single" w:sz="4" w:space="0" w:color="1E5E9F" w:themeColor="accent3" w:themeShade="BF"/>
              <w:left w:val="single" w:sz="4" w:space="0" w:color="1E5E9F" w:themeColor="accent3" w:themeShade="BF"/>
              <w:bottom w:val="single" w:sz="4" w:space="0" w:color="1E5E9F" w:themeColor="accent3" w:themeShade="BF"/>
              <w:right w:val="single" w:sz="4" w:space="0" w:color="1E5E9F" w:themeColor="accent3" w:themeShade="BF"/>
            </w:tcBorders>
            <w:noWrap/>
            <w:hideMark/>
          </w:tcPr>
          <w:p w14:paraId="1CBAD544"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0.38</w:t>
            </w:r>
          </w:p>
        </w:tc>
        <w:tc>
          <w:tcPr>
            <w:tcW w:w="844" w:type="dxa"/>
            <w:tcBorders>
              <w:top w:val="single" w:sz="4" w:space="0" w:color="1E5E9F" w:themeColor="accent3" w:themeShade="BF"/>
              <w:left w:val="single" w:sz="4" w:space="0" w:color="1E5E9F" w:themeColor="accent3" w:themeShade="BF"/>
              <w:bottom w:val="single" w:sz="4" w:space="0" w:color="1E5E9F" w:themeColor="accent3" w:themeShade="BF"/>
              <w:right w:val="single" w:sz="4" w:space="0" w:color="1E5E9F" w:themeColor="accent3" w:themeShade="BF"/>
            </w:tcBorders>
            <w:noWrap/>
            <w:hideMark/>
          </w:tcPr>
          <w:p w14:paraId="46945B0F"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0.38</w:t>
            </w:r>
          </w:p>
        </w:tc>
        <w:tc>
          <w:tcPr>
            <w:tcW w:w="1272" w:type="dxa"/>
            <w:tcBorders>
              <w:top w:val="single" w:sz="4" w:space="0" w:color="1E5E9F" w:themeColor="accent3" w:themeShade="BF"/>
              <w:left w:val="single" w:sz="4" w:space="0" w:color="1E5E9F" w:themeColor="accent3" w:themeShade="BF"/>
              <w:bottom w:val="single" w:sz="4" w:space="0" w:color="1E5E9F" w:themeColor="accent3" w:themeShade="BF"/>
              <w:right w:val="single" w:sz="4" w:space="0" w:color="1E5E9F" w:themeColor="accent3" w:themeShade="BF"/>
            </w:tcBorders>
            <w:noWrap/>
            <w:hideMark/>
          </w:tcPr>
          <w:p w14:paraId="4476219F"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0.03</w:t>
            </w:r>
          </w:p>
        </w:tc>
        <w:tc>
          <w:tcPr>
            <w:tcW w:w="1770" w:type="dxa"/>
            <w:tcBorders>
              <w:top w:val="single" w:sz="4" w:space="0" w:color="1E5E9F" w:themeColor="accent3" w:themeShade="BF"/>
              <w:left w:val="single" w:sz="4" w:space="0" w:color="1E5E9F" w:themeColor="accent3" w:themeShade="BF"/>
              <w:bottom w:val="single" w:sz="4" w:space="0" w:color="1E5E9F" w:themeColor="accent3" w:themeShade="BF"/>
              <w:right w:val="single" w:sz="4" w:space="0" w:color="1E5E9F" w:themeColor="accent3" w:themeShade="BF"/>
            </w:tcBorders>
            <w:noWrap/>
            <w:hideMark/>
          </w:tcPr>
          <w:p w14:paraId="02F49C12"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0.76</w:t>
            </w:r>
          </w:p>
        </w:tc>
        <w:tc>
          <w:tcPr>
            <w:tcW w:w="1521" w:type="dxa"/>
            <w:tcBorders>
              <w:top w:val="single" w:sz="4" w:space="0" w:color="1E5E9F" w:themeColor="accent3" w:themeShade="BF"/>
              <w:left w:val="single" w:sz="4" w:space="0" w:color="1E5E9F" w:themeColor="accent3" w:themeShade="BF"/>
              <w:bottom w:val="single" w:sz="4" w:space="0" w:color="1E5E9F" w:themeColor="accent3" w:themeShade="BF"/>
              <w:right w:val="single" w:sz="4" w:space="0" w:color="1E5E9F" w:themeColor="accent3" w:themeShade="BF"/>
            </w:tcBorders>
            <w:noWrap/>
            <w:hideMark/>
          </w:tcPr>
          <w:p w14:paraId="7D1400B4"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0.45</w:t>
            </w:r>
          </w:p>
        </w:tc>
        <w:tc>
          <w:tcPr>
            <w:tcW w:w="1521" w:type="dxa"/>
            <w:tcBorders>
              <w:top w:val="single" w:sz="4" w:space="0" w:color="1E5E9F" w:themeColor="accent3" w:themeShade="BF"/>
              <w:left w:val="single" w:sz="4" w:space="0" w:color="1E5E9F" w:themeColor="accent3" w:themeShade="BF"/>
              <w:bottom w:val="single" w:sz="4" w:space="0" w:color="1E5E9F" w:themeColor="accent3" w:themeShade="BF"/>
            </w:tcBorders>
            <w:noWrap/>
            <w:hideMark/>
          </w:tcPr>
          <w:p w14:paraId="036BF301"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0.83</w:t>
            </w:r>
          </w:p>
        </w:tc>
      </w:tr>
      <w:tr w:rsidR="001725BA" w:rsidRPr="00A75B45" w14:paraId="23078F98" w14:textId="77777777" w:rsidTr="00C90CC7">
        <w:trPr>
          <w:trHeight w:val="244"/>
        </w:trPr>
        <w:tc>
          <w:tcPr>
            <w:tcW w:w="1101" w:type="dxa"/>
            <w:tcBorders>
              <w:top w:val="single" w:sz="4" w:space="0" w:color="1E5E9F" w:themeColor="accent3" w:themeShade="BF"/>
              <w:bottom w:val="single" w:sz="4" w:space="0" w:color="1E5E9F" w:themeColor="accent3" w:themeShade="BF"/>
              <w:right w:val="single" w:sz="4" w:space="0" w:color="1E5E9F" w:themeColor="accent3" w:themeShade="BF"/>
            </w:tcBorders>
            <w:shd w:val="clear" w:color="auto" w:fill="D9DFEF" w:themeFill="accent1" w:themeFillTint="33"/>
            <w:noWrap/>
            <w:hideMark/>
          </w:tcPr>
          <w:p w14:paraId="0886CF24" w14:textId="4BE3CC0D" w:rsidR="001725BA" w:rsidRPr="00A75B45" w:rsidRDefault="001725BA" w:rsidP="00AC2E19">
            <w:pPr>
              <w:rPr>
                <w:rFonts w:ascii="Verdana" w:eastAsia="Times New Roman" w:hAnsi="Verdana" w:cs="Calibri"/>
                <w:color w:val="000000"/>
                <w:sz w:val="20"/>
                <w:szCs w:val="20"/>
                <w:lang w:val="bg-BG"/>
              </w:rPr>
            </w:pPr>
            <w:bookmarkStart w:id="42" w:name="RANGE!A38"/>
            <w:r w:rsidRPr="00A75B45">
              <w:rPr>
                <w:rFonts w:ascii="Verdana" w:hAnsi="Verdana"/>
                <w:color w:val="000000"/>
                <w:sz w:val="20"/>
                <w:szCs w:val="20"/>
                <w:lang w:val="en"/>
              </w:rPr>
              <w:t xml:space="preserve">PA2: </w:t>
            </w:r>
            <w:bookmarkEnd w:id="42"/>
          </w:p>
          <w:p w14:paraId="36C54629" w14:textId="77777777" w:rsidR="001725BA" w:rsidRPr="00A75B45" w:rsidRDefault="001725BA" w:rsidP="00AC2E19">
            <w:pPr>
              <w:rPr>
                <w:rFonts w:ascii="Verdana" w:eastAsia="Times New Roman" w:hAnsi="Verdana" w:cs="Calibri"/>
                <w:color w:val="000000"/>
                <w:sz w:val="20"/>
                <w:szCs w:val="20"/>
                <w:lang w:val="bg-BG"/>
              </w:rPr>
            </w:pPr>
          </w:p>
        </w:tc>
        <w:tc>
          <w:tcPr>
            <w:tcW w:w="953" w:type="dxa"/>
            <w:tcBorders>
              <w:top w:val="single" w:sz="4" w:space="0" w:color="1E5E9F" w:themeColor="accent3" w:themeShade="BF"/>
              <w:left w:val="single" w:sz="4" w:space="0" w:color="1E5E9F" w:themeColor="accent3" w:themeShade="BF"/>
              <w:bottom w:val="single" w:sz="4" w:space="0" w:color="1E5E9F" w:themeColor="accent3" w:themeShade="BF"/>
              <w:right w:val="single" w:sz="4" w:space="0" w:color="1E5E9F" w:themeColor="accent3" w:themeShade="BF"/>
            </w:tcBorders>
            <w:noWrap/>
            <w:hideMark/>
          </w:tcPr>
          <w:p w14:paraId="49216192"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0.47</w:t>
            </w:r>
          </w:p>
        </w:tc>
        <w:tc>
          <w:tcPr>
            <w:tcW w:w="844" w:type="dxa"/>
            <w:tcBorders>
              <w:top w:val="single" w:sz="4" w:space="0" w:color="1E5E9F" w:themeColor="accent3" w:themeShade="BF"/>
              <w:left w:val="single" w:sz="4" w:space="0" w:color="1E5E9F" w:themeColor="accent3" w:themeShade="BF"/>
              <w:bottom w:val="single" w:sz="4" w:space="0" w:color="1E5E9F" w:themeColor="accent3" w:themeShade="BF"/>
              <w:right w:val="single" w:sz="4" w:space="0" w:color="1E5E9F" w:themeColor="accent3" w:themeShade="BF"/>
            </w:tcBorders>
            <w:noWrap/>
            <w:hideMark/>
          </w:tcPr>
          <w:p w14:paraId="20A8ED3E"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0.47</w:t>
            </w:r>
          </w:p>
        </w:tc>
        <w:tc>
          <w:tcPr>
            <w:tcW w:w="1272" w:type="dxa"/>
            <w:tcBorders>
              <w:top w:val="single" w:sz="4" w:space="0" w:color="1E5E9F" w:themeColor="accent3" w:themeShade="BF"/>
              <w:left w:val="single" w:sz="4" w:space="0" w:color="1E5E9F" w:themeColor="accent3" w:themeShade="BF"/>
              <w:bottom w:val="single" w:sz="4" w:space="0" w:color="1E5E9F" w:themeColor="accent3" w:themeShade="BF"/>
              <w:right w:val="single" w:sz="4" w:space="0" w:color="1E5E9F" w:themeColor="accent3" w:themeShade="BF"/>
            </w:tcBorders>
            <w:noWrap/>
            <w:hideMark/>
          </w:tcPr>
          <w:p w14:paraId="0BA216C7"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0.04</w:t>
            </w:r>
          </w:p>
        </w:tc>
        <w:tc>
          <w:tcPr>
            <w:tcW w:w="1770" w:type="dxa"/>
            <w:tcBorders>
              <w:top w:val="single" w:sz="4" w:space="0" w:color="1E5E9F" w:themeColor="accent3" w:themeShade="BF"/>
              <w:left w:val="single" w:sz="4" w:space="0" w:color="1E5E9F" w:themeColor="accent3" w:themeShade="BF"/>
              <w:bottom w:val="single" w:sz="4" w:space="0" w:color="1E5E9F" w:themeColor="accent3" w:themeShade="BF"/>
              <w:right w:val="single" w:sz="4" w:space="0" w:color="1E5E9F" w:themeColor="accent3" w:themeShade="BF"/>
            </w:tcBorders>
            <w:noWrap/>
            <w:hideMark/>
          </w:tcPr>
          <w:p w14:paraId="64508D0F"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0.93</w:t>
            </w:r>
          </w:p>
        </w:tc>
        <w:tc>
          <w:tcPr>
            <w:tcW w:w="1521" w:type="dxa"/>
            <w:tcBorders>
              <w:top w:val="single" w:sz="4" w:space="0" w:color="1E5E9F" w:themeColor="accent3" w:themeShade="BF"/>
              <w:left w:val="single" w:sz="4" w:space="0" w:color="1E5E9F" w:themeColor="accent3" w:themeShade="BF"/>
              <w:bottom w:val="single" w:sz="4" w:space="0" w:color="1E5E9F" w:themeColor="accent3" w:themeShade="BF"/>
              <w:right w:val="single" w:sz="4" w:space="0" w:color="1E5E9F" w:themeColor="accent3" w:themeShade="BF"/>
            </w:tcBorders>
            <w:noWrap/>
            <w:hideMark/>
          </w:tcPr>
          <w:p w14:paraId="01405E35"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0.55</w:t>
            </w:r>
          </w:p>
        </w:tc>
        <w:tc>
          <w:tcPr>
            <w:tcW w:w="1521" w:type="dxa"/>
            <w:tcBorders>
              <w:top w:val="single" w:sz="4" w:space="0" w:color="1E5E9F" w:themeColor="accent3" w:themeShade="BF"/>
              <w:left w:val="single" w:sz="4" w:space="0" w:color="1E5E9F" w:themeColor="accent3" w:themeShade="BF"/>
              <w:bottom w:val="single" w:sz="4" w:space="0" w:color="1E5E9F" w:themeColor="accent3" w:themeShade="BF"/>
            </w:tcBorders>
            <w:noWrap/>
            <w:hideMark/>
          </w:tcPr>
          <w:p w14:paraId="1D6ABDFF"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1.02</w:t>
            </w:r>
          </w:p>
        </w:tc>
      </w:tr>
      <w:tr w:rsidR="001725BA" w:rsidRPr="00A75B45" w14:paraId="2C5951BD" w14:textId="77777777" w:rsidTr="00C90CC7">
        <w:trPr>
          <w:trHeight w:val="244"/>
        </w:trPr>
        <w:tc>
          <w:tcPr>
            <w:tcW w:w="1101" w:type="dxa"/>
            <w:tcBorders>
              <w:top w:val="single" w:sz="4" w:space="0" w:color="1E5E9F" w:themeColor="accent3" w:themeShade="BF"/>
              <w:bottom w:val="single" w:sz="4" w:space="0" w:color="1E5E9F" w:themeColor="accent3" w:themeShade="BF"/>
              <w:right w:val="single" w:sz="4" w:space="0" w:color="1E5E9F" w:themeColor="accent3" w:themeShade="BF"/>
            </w:tcBorders>
            <w:shd w:val="clear" w:color="auto" w:fill="D9DFEF" w:themeFill="accent1" w:themeFillTint="33"/>
            <w:noWrap/>
            <w:hideMark/>
          </w:tcPr>
          <w:p w14:paraId="741C82C9" w14:textId="12FFF9B2" w:rsidR="001725BA" w:rsidRPr="00A75B45" w:rsidRDefault="001725BA" w:rsidP="00AC2E19">
            <w:pPr>
              <w:rPr>
                <w:rFonts w:ascii="Verdana" w:eastAsia="Times New Roman" w:hAnsi="Verdana" w:cs="Calibri"/>
                <w:color w:val="000000"/>
                <w:sz w:val="20"/>
                <w:szCs w:val="20"/>
                <w:lang w:val="bg-BG"/>
              </w:rPr>
            </w:pPr>
            <w:bookmarkStart w:id="43" w:name="RANGE!A39"/>
            <w:r w:rsidRPr="00A75B45">
              <w:rPr>
                <w:rFonts w:ascii="Verdana" w:hAnsi="Verdana"/>
                <w:color w:val="000000"/>
                <w:sz w:val="20"/>
                <w:szCs w:val="20"/>
                <w:lang w:val="en"/>
              </w:rPr>
              <w:t xml:space="preserve">PA3: </w:t>
            </w:r>
            <w:bookmarkEnd w:id="43"/>
          </w:p>
          <w:p w14:paraId="04D242EF" w14:textId="77777777" w:rsidR="001725BA" w:rsidRPr="00A75B45" w:rsidRDefault="001725BA" w:rsidP="00AC2E19">
            <w:pPr>
              <w:rPr>
                <w:rFonts w:ascii="Verdana" w:eastAsia="Times New Roman" w:hAnsi="Verdana" w:cs="Calibri"/>
                <w:color w:val="000000"/>
                <w:sz w:val="20"/>
                <w:szCs w:val="20"/>
                <w:lang w:val="bg-BG"/>
              </w:rPr>
            </w:pPr>
          </w:p>
        </w:tc>
        <w:tc>
          <w:tcPr>
            <w:tcW w:w="953" w:type="dxa"/>
            <w:tcBorders>
              <w:top w:val="single" w:sz="4" w:space="0" w:color="1E5E9F" w:themeColor="accent3" w:themeShade="BF"/>
              <w:left w:val="single" w:sz="4" w:space="0" w:color="1E5E9F" w:themeColor="accent3" w:themeShade="BF"/>
              <w:bottom w:val="single" w:sz="4" w:space="0" w:color="1E5E9F" w:themeColor="accent3" w:themeShade="BF"/>
              <w:right w:val="single" w:sz="4" w:space="0" w:color="1E5E9F" w:themeColor="accent3" w:themeShade="BF"/>
            </w:tcBorders>
            <w:noWrap/>
            <w:hideMark/>
          </w:tcPr>
          <w:p w14:paraId="115E87E5"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0.21</w:t>
            </w:r>
          </w:p>
        </w:tc>
        <w:tc>
          <w:tcPr>
            <w:tcW w:w="844" w:type="dxa"/>
            <w:tcBorders>
              <w:top w:val="single" w:sz="4" w:space="0" w:color="1E5E9F" w:themeColor="accent3" w:themeShade="BF"/>
              <w:left w:val="single" w:sz="4" w:space="0" w:color="1E5E9F" w:themeColor="accent3" w:themeShade="BF"/>
              <w:bottom w:val="single" w:sz="4" w:space="0" w:color="1E5E9F" w:themeColor="accent3" w:themeShade="BF"/>
              <w:right w:val="single" w:sz="4" w:space="0" w:color="1E5E9F" w:themeColor="accent3" w:themeShade="BF"/>
            </w:tcBorders>
            <w:noWrap/>
            <w:hideMark/>
          </w:tcPr>
          <w:p w14:paraId="72901117"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0.21</w:t>
            </w:r>
          </w:p>
        </w:tc>
        <w:tc>
          <w:tcPr>
            <w:tcW w:w="1272" w:type="dxa"/>
            <w:tcBorders>
              <w:top w:val="single" w:sz="4" w:space="0" w:color="1E5E9F" w:themeColor="accent3" w:themeShade="BF"/>
              <w:left w:val="single" w:sz="4" w:space="0" w:color="1E5E9F" w:themeColor="accent3" w:themeShade="BF"/>
              <w:bottom w:val="single" w:sz="4" w:space="0" w:color="1E5E9F" w:themeColor="accent3" w:themeShade="BF"/>
              <w:right w:val="single" w:sz="4" w:space="0" w:color="1E5E9F" w:themeColor="accent3" w:themeShade="BF"/>
            </w:tcBorders>
            <w:noWrap/>
            <w:hideMark/>
          </w:tcPr>
          <w:p w14:paraId="1BEC8257"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0.02</w:t>
            </w:r>
          </w:p>
        </w:tc>
        <w:tc>
          <w:tcPr>
            <w:tcW w:w="1770" w:type="dxa"/>
            <w:tcBorders>
              <w:top w:val="single" w:sz="4" w:space="0" w:color="1E5E9F" w:themeColor="accent3" w:themeShade="BF"/>
              <w:left w:val="single" w:sz="4" w:space="0" w:color="1E5E9F" w:themeColor="accent3" w:themeShade="BF"/>
              <w:bottom w:val="single" w:sz="4" w:space="0" w:color="1E5E9F" w:themeColor="accent3" w:themeShade="BF"/>
              <w:right w:val="single" w:sz="4" w:space="0" w:color="1E5E9F" w:themeColor="accent3" w:themeShade="BF"/>
            </w:tcBorders>
            <w:noWrap/>
            <w:hideMark/>
          </w:tcPr>
          <w:p w14:paraId="5B50F522"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0.42</w:t>
            </w:r>
          </w:p>
        </w:tc>
        <w:tc>
          <w:tcPr>
            <w:tcW w:w="1521" w:type="dxa"/>
            <w:tcBorders>
              <w:top w:val="single" w:sz="4" w:space="0" w:color="1E5E9F" w:themeColor="accent3" w:themeShade="BF"/>
              <w:left w:val="single" w:sz="4" w:space="0" w:color="1E5E9F" w:themeColor="accent3" w:themeShade="BF"/>
              <w:bottom w:val="single" w:sz="4" w:space="0" w:color="1E5E9F" w:themeColor="accent3" w:themeShade="BF"/>
              <w:right w:val="single" w:sz="4" w:space="0" w:color="1E5E9F" w:themeColor="accent3" w:themeShade="BF"/>
            </w:tcBorders>
            <w:noWrap/>
            <w:hideMark/>
          </w:tcPr>
          <w:p w14:paraId="4BD8F5AA"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0.25</w:t>
            </w:r>
          </w:p>
        </w:tc>
        <w:tc>
          <w:tcPr>
            <w:tcW w:w="1521" w:type="dxa"/>
            <w:tcBorders>
              <w:top w:val="single" w:sz="4" w:space="0" w:color="1E5E9F" w:themeColor="accent3" w:themeShade="BF"/>
              <w:left w:val="single" w:sz="4" w:space="0" w:color="1E5E9F" w:themeColor="accent3" w:themeShade="BF"/>
              <w:bottom w:val="single" w:sz="4" w:space="0" w:color="1E5E9F" w:themeColor="accent3" w:themeShade="BF"/>
            </w:tcBorders>
            <w:noWrap/>
            <w:hideMark/>
          </w:tcPr>
          <w:p w14:paraId="5D554C34"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0.46</w:t>
            </w:r>
          </w:p>
        </w:tc>
      </w:tr>
      <w:tr w:rsidR="001725BA" w:rsidRPr="00A75B45" w14:paraId="2492F6A4" w14:textId="77777777" w:rsidTr="00C90CC7">
        <w:trPr>
          <w:trHeight w:val="244"/>
        </w:trPr>
        <w:tc>
          <w:tcPr>
            <w:tcW w:w="1101" w:type="dxa"/>
            <w:tcBorders>
              <w:top w:val="single" w:sz="4" w:space="0" w:color="1E5E9F" w:themeColor="accent3" w:themeShade="BF"/>
              <w:bottom w:val="single" w:sz="4" w:space="0" w:color="1E5E9F" w:themeColor="accent3" w:themeShade="BF"/>
              <w:right w:val="single" w:sz="4" w:space="0" w:color="1E5E9F" w:themeColor="accent3" w:themeShade="BF"/>
            </w:tcBorders>
            <w:shd w:val="clear" w:color="auto" w:fill="D9DFEF" w:themeFill="accent1" w:themeFillTint="33"/>
            <w:noWrap/>
            <w:hideMark/>
          </w:tcPr>
          <w:p w14:paraId="47A753E1" w14:textId="4CAF09C7" w:rsidR="001725BA" w:rsidRPr="00A75B45" w:rsidRDefault="001725BA" w:rsidP="00174F36">
            <w:pPr>
              <w:rPr>
                <w:rFonts w:ascii="Verdana" w:eastAsia="Times New Roman" w:hAnsi="Verdana" w:cs="Calibri"/>
                <w:color w:val="000000"/>
                <w:sz w:val="20"/>
                <w:szCs w:val="20"/>
                <w:lang w:val="bg-BG"/>
              </w:rPr>
            </w:pPr>
            <w:r w:rsidRPr="00A75B45">
              <w:rPr>
                <w:rFonts w:ascii="Verdana" w:hAnsi="Verdana"/>
                <w:color w:val="000000"/>
                <w:sz w:val="20"/>
                <w:szCs w:val="20"/>
                <w:lang w:val="en"/>
              </w:rPr>
              <w:t xml:space="preserve">PA4: </w:t>
            </w:r>
          </w:p>
        </w:tc>
        <w:tc>
          <w:tcPr>
            <w:tcW w:w="953" w:type="dxa"/>
            <w:tcBorders>
              <w:top w:val="single" w:sz="4" w:space="0" w:color="1E5E9F" w:themeColor="accent3" w:themeShade="BF"/>
              <w:left w:val="single" w:sz="4" w:space="0" w:color="1E5E9F" w:themeColor="accent3" w:themeShade="BF"/>
              <w:bottom w:val="single" w:sz="4" w:space="0" w:color="1E5E9F" w:themeColor="accent3" w:themeShade="BF"/>
              <w:right w:val="single" w:sz="4" w:space="0" w:color="1E5E9F" w:themeColor="accent3" w:themeShade="BF"/>
            </w:tcBorders>
            <w:noWrap/>
            <w:hideMark/>
          </w:tcPr>
          <w:p w14:paraId="7949B547"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0.02</w:t>
            </w:r>
          </w:p>
        </w:tc>
        <w:tc>
          <w:tcPr>
            <w:tcW w:w="844" w:type="dxa"/>
            <w:tcBorders>
              <w:top w:val="single" w:sz="4" w:space="0" w:color="1E5E9F" w:themeColor="accent3" w:themeShade="BF"/>
              <w:left w:val="single" w:sz="4" w:space="0" w:color="1E5E9F" w:themeColor="accent3" w:themeShade="BF"/>
              <w:bottom w:val="single" w:sz="4" w:space="0" w:color="1E5E9F" w:themeColor="accent3" w:themeShade="BF"/>
              <w:right w:val="single" w:sz="4" w:space="0" w:color="1E5E9F" w:themeColor="accent3" w:themeShade="BF"/>
            </w:tcBorders>
            <w:noWrap/>
            <w:hideMark/>
          </w:tcPr>
          <w:p w14:paraId="1BBC5D21"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0.02</w:t>
            </w:r>
          </w:p>
        </w:tc>
        <w:tc>
          <w:tcPr>
            <w:tcW w:w="1272" w:type="dxa"/>
            <w:tcBorders>
              <w:top w:val="single" w:sz="4" w:space="0" w:color="1E5E9F" w:themeColor="accent3" w:themeShade="BF"/>
              <w:left w:val="single" w:sz="4" w:space="0" w:color="1E5E9F" w:themeColor="accent3" w:themeShade="BF"/>
              <w:bottom w:val="single" w:sz="4" w:space="0" w:color="1E5E9F" w:themeColor="accent3" w:themeShade="BF"/>
              <w:right w:val="single" w:sz="4" w:space="0" w:color="1E5E9F" w:themeColor="accent3" w:themeShade="BF"/>
            </w:tcBorders>
            <w:noWrap/>
            <w:hideMark/>
          </w:tcPr>
          <w:p w14:paraId="244D8A0A"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0.00</w:t>
            </w:r>
          </w:p>
        </w:tc>
        <w:tc>
          <w:tcPr>
            <w:tcW w:w="1770" w:type="dxa"/>
            <w:tcBorders>
              <w:top w:val="single" w:sz="4" w:space="0" w:color="1E5E9F" w:themeColor="accent3" w:themeShade="BF"/>
              <w:left w:val="single" w:sz="4" w:space="0" w:color="1E5E9F" w:themeColor="accent3" w:themeShade="BF"/>
              <w:bottom w:val="single" w:sz="4" w:space="0" w:color="1E5E9F" w:themeColor="accent3" w:themeShade="BF"/>
              <w:right w:val="single" w:sz="4" w:space="0" w:color="1E5E9F" w:themeColor="accent3" w:themeShade="BF"/>
            </w:tcBorders>
            <w:noWrap/>
            <w:hideMark/>
          </w:tcPr>
          <w:p w14:paraId="4DB56D4F"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0.03</w:t>
            </w:r>
          </w:p>
        </w:tc>
        <w:tc>
          <w:tcPr>
            <w:tcW w:w="1521" w:type="dxa"/>
            <w:tcBorders>
              <w:top w:val="single" w:sz="4" w:space="0" w:color="1E5E9F" w:themeColor="accent3" w:themeShade="BF"/>
              <w:left w:val="single" w:sz="4" w:space="0" w:color="1E5E9F" w:themeColor="accent3" w:themeShade="BF"/>
              <w:bottom w:val="single" w:sz="4" w:space="0" w:color="1E5E9F" w:themeColor="accent3" w:themeShade="BF"/>
              <w:right w:val="single" w:sz="4" w:space="0" w:color="1E5E9F" w:themeColor="accent3" w:themeShade="BF"/>
            </w:tcBorders>
            <w:noWrap/>
            <w:hideMark/>
          </w:tcPr>
          <w:p w14:paraId="442F5B12"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0.02</w:t>
            </w:r>
          </w:p>
        </w:tc>
        <w:tc>
          <w:tcPr>
            <w:tcW w:w="1521" w:type="dxa"/>
            <w:tcBorders>
              <w:top w:val="single" w:sz="4" w:space="0" w:color="1E5E9F" w:themeColor="accent3" w:themeShade="BF"/>
              <w:left w:val="single" w:sz="4" w:space="0" w:color="1E5E9F" w:themeColor="accent3" w:themeShade="BF"/>
              <w:bottom w:val="single" w:sz="4" w:space="0" w:color="1E5E9F" w:themeColor="accent3" w:themeShade="BF"/>
            </w:tcBorders>
            <w:noWrap/>
            <w:hideMark/>
          </w:tcPr>
          <w:p w14:paraId="67C5A68A"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0.04</w:t>
            </w:r>
          </w:p>
        </w:tc>
      </w:tr>
      <w:tr w:rsidR="001725BA" w:rsidRPr="00A75B45" w14:paraId="3842A1A8" w14:textId="77777777" w:rsidTr="00C90CC7">
        <w:trPr>
          <w:trHeight w:val="244"/>
        </w:trPr>
        <w:tc>
          <w:tcPr>
            <w:tcW w:w="1101" w:type="dxa"/>
            <w:tcBorders>
              <w:top w:val="single" w:sz="4" w:space="0" w:color="1E5E9F" w:themeColor="accent3" w:themeShade="BF"/>
              <w:bottom w:val="double" w:sz="4" w:space="0" w:color="1E5E9F" w:themeColor="accent3" w:themeShade="BF"/>
              <w:right w:val="single" w:sz="4" w:space="0" w:color="1E5E9F" w:themeColor="accent3" w:themeShade="BF"/>
            </w:tcBorders>
            <w:shd w:val="clear" w:color="auto" w:fill="D9DFEF" w:themeFill="accent1" w:themeFillTint="33"/>
            <w:noWrap/>
          </w:tcPr>
          <w:p w14:paraId="350CCABE" w14:textId="7216E84A" w:rsidR="001725BA" w:rsidRPr="00A75B45" w:rsidRDefault="001725BA" w:rsidP="00AC2E19">
            <w:pPr>
              <w:rPr>
                <w:rFonts w:ascii="Verdana" w:eastAsia="Times New Roman" w:hAnsi="Verdana" w:cs="Calibri"/>
                <w:color w:val="000000"/>
                <w:sz w:val="20"/>
                <w:szCs w:val="20"/>
                <w:lang w:val="bg-BG"/>
              </w:rPr>
            </w:pPr>
            <w:r w:rsidRPr="00A75B45">
              <w:rPr>
                <w:rFonts w:ascii="Verdana" w:hAnsi="Verdana"/>
                <w:color w:val="000000"/>
                <w:sz w:val="20"/>
                <w:szCs w:val="20"/>
                <w:lang w:val="en"/>
              </w:rPr>
              <w:t xml:space="preserve">PA5: </w:t>
            </w:r>
          </w:p>
        </w:tc>
        <w:tc>
          <w:tcPr>
            <w:tcW w:w="953" w:type="dxa"/>
            <w:tcBorders>
              <w:top w:val="single" w:sz="4" w:space="0" w:color="1E5E9F" w:themeColor="accent3" w:themeShade="BF"/>
              <w:left w:val="single" w:sz="4" w:space="0" w:color="1E5E9F" w:themeColor="accent3" w:themeShade="BF"/>
              <w:bottom w:val="double" w:sz="4" w:space="0" w:color="1E5E9F" w:themeColor="accent3" w:themeShade="BF"/>
              <w:right w:val="single" w:sz="4" w:space="0" w:color="1E5E9F" w:themeColor="accent3" w:themeShade="BF"/>
            </w:tcBorders>
            <w:noWrap/>
          </w:tcPr>
          <w:p w14:paraId="46CABAB5"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0.03</w:t>
            </w:r>
          </w:p>
        </w:tc>
        <w:tc>
          <w:tcPr>
            <w:tcW w:w="844" w:type="dxa"/>
            <w:tcBorders>
              <w:top w:val="single" w:sz="4" w:space="0" w:color="1E5E9F" w:themeColor="accent3" w:themeShade="BF"/>
              <w:left w:val="single" w:sz="4" w:space="0" w:color="1E5E9F" w:themeColor="accent3" w:themeShade="BF"/>
              <w:bottom w:val="double" w:sz="4" w:space="0" w:color="1E5E9F" w:themeColor="accent3" w:themeShade="BF"/>
              <w:right w:val="single" w:sz="4" w:space="0" w:color="1E5E9F" w:themeColor="accent3" w:themeShade="BF"/>
            </w:tcBorders>
            <w:noWrap/>
          </w:tcPr>
          <w:p w14:paraId="6A6989DE"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0.03</w:t>
            </w:r>
          </w:p>
        </w:tc>
        <w:tc>
          <w:tcPr>
            <w:tcW w:w="1272" w:type="dxa"/>
            <w:tcBorders>
              <w:top w:val="single" w:sz="4" w:space="0" w:color="1E5E9F" w:themeColor="accent3" w:themeShade="BF"/>
              <w:left w:val="single" w:sz="4" w:space="0" w:color="1E5E9F" w:themeColor="accent3" w:themeShade="BF"/>
              <w:bottom w:val="double" w:sz="4" w:space="0" w:color="1E5E9F" w:themeColor="accent3" w:themeShade="BF"/>
              <w:right w:val="single" w:sz="4" w:space="0" w:color="1E5E9F" w:themeColor="accent3" w:themeShade="BF"/>
            </w:tcBorders>
            <w:noWrap/>
          </w:tcPr>
          <w:p w14:paraId="6DDAFADD"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0.00</w:t>
            </w:r>
          </w:p>
        </w:tc>
        <w:tc>
          <w:tcPr>
            <w:tcW w:w="1770" w:type="dxa"/>
            <w:tcBorders>
              <w:top w:val="single" w:sz="4" w:space="0" w:color="1E5E9F" w:themeColor="accent3" w:themeShade="BF"/>
              <w:left w:val="single" w:sz="4" w:space="0" w:color="1E5E9F" w:themeColor="accent3" w:themeShade="BF"/>
              <w:bottom w:val="double" w:sz="4" w:space="0" w:color="1E5E9F" w:themeColor="accent3" w:themeShade="BF"/>
              <w:right w:val="single" w:sz="4" w:space="0" w:color="1E5E9F" w:themeColor="accent3" w:themeShade="BF"/>
            </w:tcBorders>
            <w:noWrap/>
          </w:tcPr>
          <w:p w14:paraId="04D6DBBC"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0.05</w:t>
            </w:r>
          </w:p>
        </w:tc>
        <w:tc>
          <w:tcPr>
            <w:tcW w:w="1521" w:type="dxa"/>
            <w:tcBorders>
              <w:top w:val="single" w:sz="4" w:space="0" w:color="1E5E9F" w:themeColor="accent3" w:themeShade="BF"/>
              <w:left w:val="single" w:sz="4" w:space="0" w:color="1E5E9F" w:themeColor="accent3" w:themeShade="BF"/>
              <w:bottom w:val="double" w:sz="4" w:space="0" w:color="1E5E9F" w:themeColor="accent3" w:themeShade="BF"/>
              <w:right w:val="single" w:sz="4" w:space="0" w:color="1E5E9F" w:themeColor="accent3" w:themeShade="BF"/>
            </w:tcBorders>
            <w:noWrap/>
          </w:tcPr>
          <w:p w14:paraId="41B8810E"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0.03</w:t>
            </w:r>
          </w:p>
        </w:tc>
        <w:tc>
          <w:tcPr>
            <w:tcW w:w="1521" w:type="dxa"/>
            <w:tcBorders>
              <w:top w:val="single" w:sz="4" w:space="0" w:color="1E5E9F" w:themeColor="accent3" w:themeShade="BF"/>
              <w:left w:val="single" w:sz="4" w:space="0" w:color="1E5E9F" w:themeColor="accent3" w:themeShade="BF"/>
              <w:bottom w:val="double" w:sz="4" w:space="0" w:color="1E5E9F" w:themeColor="accent3" w:themeShade="BF"/>
            </w:tcBorders>
            <w:noWrap/>
          </w:tcPr>
          <w:p w14:paraId="5E3BD40B" w14:textId="77777777" w:rsidR="001725BA" w:rsidRPr="00A75B45" w:rsidRDefault="001725BA" w:rsidP="00AC2E19">
            <w:pPr>
              <w:jc w:val="center"/>
              <w:rPr>
                <w:rFonts w:ascii="Verdana" w:eastAsia="Times New Roman" w:hAnsi="Verdana" w:cs="Calibri"/>
                <w:color w:val="000000"/>
                <w:sz w:val="20"/>
                <w:szCs w:val="20"/>
                <w:lang w:val="bg-BG"/>
              </w:rPr>
            </w:pPr>
            <w:r w:rsidRPr="00A75B45">
              <w:rPr>
                <w:rFonts w:ascii="Verdana" w:hAnsi="Verdana"/>
                <w:sz w:val="20"/>
                <w:szCs w:val="20"/>
                <w:lang w:val="en"/>
              </w:rPr>
              <w:t>0.06</w:t>
            </w:r>
          </w:p>
        </w:tc>
      </w:tr>
      <w:tr w:rsidR="001725BA" w:rsidRPr="00A75B45" w14:paraId="1985AE62" w14:textId="77777777" w:rsidTr="00C90CC7">
        <w:trPr>
          <w:trHeight w:val="244"/>
        </w:trPr>
        <w:tc>
          <w:tcPr>
            <w:tcW w:w="8984" w:type="dxa"/>
            <w:gridSpan w:val="7"/>
            <w:tcBorders>
              <w:top w:val="double" w:sz="4" w:space="0" w:color="1E5E9F" w:themeColor="accent3" w:themeShade="BF"/>
              <w:left w:val="nil"/>
              <w:bottom w:val="nil"/>
              <w:right w:val="nil"/>
            </w:tcBorders>
            <w:noWrap/>
          </w:tcPr>
          <w:p w14:paraId="6F4086F1" w14:textId="77777777" w:rsidR="001725BA" w:rsidRPr="00C90CC7" w:rsidRDefault="001725BA" w:rsidP="00AC2E19">
            <w:pPr>
              <w:rPr>
                <w:rFonts w:ascii="Verdana" w:hAnsi="Verdana"/>
                <w:sz w:val="16"/>
                <w:szCs w:val="16"/>
              </w:rPr>
            </w:pPr>
            <w:r w:rsidRPr="00C90CC7">
              <w:rPr>
                <w:rFonts w:ascii="Verdana" w:hAnsi="Verdana"/>
                <w:i/>
                <w:iCs/>
                <w:color w:val="000000"/>
                <w:sz w:val="16"/>
                <w:szCs w:val="16"/>
                <w:lang w:val="en"/>
              </w:rPr>
              <w:t>Source: Own Calculations</w:t>
            </w:r>
          </w:p>
        </w:tc>
      </w:tr>
    </w:tbl>
    <w:p w14:paraId="387FAF8E" w14:textId="77777777" w:rsidR="001725BA" w:rsidRPr="00A75B45" w:rsidRDefault="001725BA" w:rsidP="001725BA">
      <w:pPr>
        <w:pStyle w:val="Heading4"/>
        <w:numPr>
          <w:ilvl w:val="0"/>
          <w:numId w:val="37"/>
        </w:numPr>
        <w:spacing w:before="120" w:after="120" w:line="240" w:lineRule="auto"/>
        <w:jc w:val="both"/>
        <w:rPr>
          <w:rFonts w:ascii="Verdana" w:hAnsi="Verdana"/>
          <w:b/>
          <w:bCs/>
          <w:sz w:val="20"/>
          <w:szCs w:val="20"/>
          <w:lang w:val="bg-BG"/>
        </w:rPr>
      </w:pPr>
      <w:r w:rsidRPr="00A75B45">
        <w:rPr>
          <w:rFonts w:ascii="Verdana" w:hAnsi="Verdana"/>
          <w:b/>
          <w:bCs/>
          <w:sz w:val="20"/>
          <w:szCs w:val="20"/>
          <w:lang w:val="en"/>
        </w:rPr>
        <w:t>Qualitative assessments of the net impact of selected projects on key macroeconomic indicators</w:t>
      </w:r>
    </w:p>
    <w:p w14:paraId="157EBF25" w14:textId="77777777" w:rsidR="001725BA" w:rsidRPr="00A75B45" w:rsidRDefault="001725BA" w:rsidP="001725BA">
      <w:pPr>
        <w:spacing w:before="120" w:after="120" w:line="240" w:lineRule="auto"/>
        <w:jc w:val="both"/>
        <w:rPr>
          <w:rFonts w:ascii="Verdana" w:hAnsi="Verdana"/>
          <w:sz w:val="20"/>
          <w:szCs w:val="20"/>
          <w:lang w:val="bg-BG"/>
        </w:rPr>
      </w:pPr>
      <w:r w:rsidRPr="00A75B45">
        <w:rPr>
          <w:rFonts w:ascii="Verdana" w:hAnsi="Verdana"/>
          <w:sz w:val="20"/>
          <w:szCs w:val="20"/>
          <w:lang w:val="en"/>
        </w:rPr>
        <w:t xml:space="preserve">Within the framework of this evaluation issue, an assessment of the 10 most significant projects in the programme has been carried out, taking into account the costs and reported benefits of each project, as well as the qualitative assessment of each project's contribution to the achieved impact on a seven-point scale </w:t>
      </w:r>
      <w:r w:rsidRPr="00A75B45">
        <w:rPr>
          <w:rFonts w:ascii="Verdana" w:hAnsi="Verdana"/>
          <w:i/>
          <w:iCs/>
          <w:sz w:val="20"/>
          <w:szCs w:val="20"/>
          <w:lang w:val="en"/>
        </w:rPr>
        <w:t xml:space="preserve">in terms of their </w:t>
      </w:r>
      <w:r w:rsidRPr="00A75B45">
        <w:rPr>
          <w:rFonts w:ascii="Verdana" w:hAnsi="Verdana"/>
          <w:sz w:val="20"/>
          <w:szCs w:val="20"/>
          <w:lang w:val="en"/>
        </w:rPr>
        <w:t>impact on the macroeconomic environment.</w:t>
      </w:r>
    </w:p>
    <w:p w14:paraId="3A7798C7" w14:textId="77777777" w:rsidR="001725BA" w:rsidRPr="00A75B45" w:rsidRDefault="001725BA" w:rsidP="001725BA">
      <w:pPr>
        <w:pStyle w:val="ListParagraph"/>
        <w:numPr>
          <w:ilvl w:val="0"/>
          <w:numId w:val="35"/>
        </w:numPr>
        <w:spacing w:before="120" w:after="120" w:line="240" w:lineRule="auto"/>
        <w:jc w:val="both"/>
        <w:rPr>
          <w:rFonts w:ascii="Verdana" w:hAnsi="Verdana"/>
          <w:sz w:val="20"/>
          <w:szCs w:val="20"/>
          <w:lang w:val="en"/>
        </w:rPr>
      </w:pPr>
      <w:r w:rsidRPr="00A75B45">
        <w:rPr>
          <w:rFonts w:ascii="Verdana" w:hAnsi="Verdana"/>
          <w:sz w:val="20"/>
          <w:szCs w:val="20"/>
          <w:lang w:val="en"/>
        </w:rPr>
        <w:t xml:space="preserve">BG161PO004-1.0.01-0006 </w:t>
      </w:r>
      <w:r w:rsidRPr="00A75B45">
        <w:rPr>
          <w:rFonts w:ascii="Verdana" w:hAnsi="Verdana"/>
          <w:i/>
          <w:iCs/>
          <w:sz w:val="20"/>
          <w:szCs w:val="20"/>
          <w:lang w:val="en"/>
        </w:rPr>
        <w:t xml:space="preserve">‘Project for extension of Sofia Metropolitan: Phase II, lot 1 – </w:t>
      </w:r>
      <w:proofErr w:type="spellStart"/>
      <w:r w:rsidRPr="00A75B45">
        <w:rPr>
          <w:rFonts w:ascii="Verdana" w:hAnsi="Verdana"/>
          <w:i/>
          <w:iCs/>
          <w:sz w:val="20"/>
          <w:szCs w:val="20"/>
          <w:lang w:val="en"/>
        </w:rPr>
        <w:t>Obelya</w:t>
      </w:r>
      <w:proofErr w:type="spellEnd"/>
      <w:r w:rsidRPr="00A75B45">
        <w:rPr>
          <w:rFonts w:ascii="Verdana" w:hAnsi="Verdana"/>
          <w:i/>
          <w:iCs/>
          <w:sz w:val="20"/>
          <w:szCs w:val="20"/>
          <w:lang w:val="en"/>
        </w:rPr>
        <w:t xml:space="preserve"> – </w:t>
      </w:r>
      <w:proofErr w:type="spellStart"/>
      <w:r w:rsidRPr="00A75B45">
        <w:rPr>
          <w:rFonts w:ascii="Verdana" w:hAnsi="Verdana"/>
          <w:i/>
          <w:iCs/>
          <w:sz w:val="20"/>
          <w:szCs w:val="20"/>
          <w:lang w:val="en"/>
        </w:rPr>
        <w:t>Nadezhda</w:t>
      </w:r>
      <w:proofErr w:type="spellEnd"/>
      <w:r w:rsidRPr="00A75B45">
        <w:rPr>
          <w:rFonts w:ascii="Verdana" w:hAnsi="Verdana"/>
          <w:i/>
          <w:iCs/>
          <w:sz w:val="20"/>
          <w:szCs w:val="20"/>
          <w:lang w:val="en"/>
        </w:rPr>
        <w:t xml:space="preserve"> and Lot 2 – </w:t>
      </w:r>
      <w:proofErr w:type="spellStart"/>
      <w:r w:rsidRPr="00A75B45">
        <w:rPr>
          <w:rFonts w:ascii="Verdana" w:hAnsi="Verdana"/>
          <w:i/>
          <w:iCs/>
          <w:sz w:val="20"/>
          <w:szCs w:val="20"/>
          <w:lang w:val="en"/>
        </w:rPr>
        <w:t>Mladost</w:t>
      </w:r>
      <w:proofErr w:type="spellEnd"/>
      <w:r w:rsidRPr="00A75B45">
        <w:rPr>
          <w:rFonts w:ascii="Verdana" w:hAnsi="Verdana"/>
          <w:i/>
          <w:iCs/>
          <w:sz w:val="20"/>
          <w:szCs w:val="20"/>
          <w:lang w:val="en"/>
        </w:rPr>
        <w:t xml:space="preserve"> – </w:t>
      </w:r>
      <w:proofErr w:type="spellStart"/>
      <w:r w:rsidRPr="00A75B45">
        <w:rPr>
          <w:rFonts w:ascii="Verdana" w:hAnsi="Verdana"/>
          <w:i/>
          <w:iCs/>
          <w:sz w:val="20"/>
          <w:szCs w:val="20"/>
          <w:lang w:val="en"/>
        </w:rPr>
        <w:t>Tsarigradsko</w:t>
      </w:r>
      <w:proofErr w:type="spellEnd"/>
      <w:r w:rsidRPr="00A75B45">
        <w:rPr>
          <w:rFonts w:ascii="Verdana" w:hAnsi="Verdana"/>
          <w:i/>
          <w:iCs/>
          <w:sz w:val="20"/>
          <w:szCs w:val="20"/>
          <w:lang w:val="en"/>
        </w:rPr>
        <w:t xml:space="preserve"> </w:t>
      </w:r>
      <w:proofErr w:type="spellStart"/>
      <w:r w:rsidRPr="00A75B45">
        <w:rPr>
          <w:rFonts w:ascii="Verdana" w:hAnsi="Verdana"/>
          <w:i/>
          <w:iCs/>
          <w:sz w:val="20"/>
          <w:szCs w:val="20"/>
          <w:lang w:val="en"/>
        </w:rPr>
        <w:t>shose</w:t>
      </w:r>
      <w:proofErr w:type="spellEnd"/>
      <w:r w:rsidRPr="00A75B45">
        <w:rPr>
          <w:rFonts w:ascii="Verdana" w:hAnsi="Verdana"/>
          <w:i/>
          <w:iCs/>
          <w:sz w:val="20"/>
          <w:szCs w:val="20"/>
          <w:lang w:val="en"/>
        </w:rPr>
        <w:t xml:space="preserve">’ </w:t>
      </w:r>
      <w:r w:rsidRPr="00A75B45">
        <w:rPr>
          <w:rFonts w:ascii="Verdana" w:hAnsi="Verdana"/>
          <w:sz w:val="20"/>
          <w:szCs w:val="20"/>
          <w:lang w:val="en"/>
        </w:rPr>
        <w:t>has the most significant role in the achieved impact under the priority axis of ‘Development of railway infrastructure along the major national and Pan-European transport axes’ and on the results achieved from the overall implementation of the OPT, and this role falls into the ‘moderate’ category of the above-introduced scale (****).</w:t>
      </w:r>
    </w:p>
    <w:p w14:paraId="192CD5D3" w14:textId="77777777" w:rsidR="001725BA" w:rsidRPr="00A75B45" w:rsidRDefault="001725BA" w:rsidP="001725BA">
      <w:pPr>
        <w:pStyle w:val="ListParagraph"/>
        <w:numPr>
          <w:ilvl w:val="0"/>
          <w:numId w:val="35"/>
        </w:numPr>
        <w:spacing w:before="120" w:after="120" w:line="240" w:lineRule="auto"/>
        <w:jc w:val="both"/>
        <w:rPr>
          <w:rFonts w:ascii="Verdana" w:hAnsi="Verdana"/>
          <w:sz w:val="20"/>
          <w:szCs w:val="20"/>
          <w:lang w:val="bg-BG"/>
        </w:rPr>
      </w:pPr>
      <w:r w:rsidRPr="00A75B45">
        <w:rPr>
          <w:rFonts w:ascii="Verdana" w:hAnsi="Verdana"/>
          <w:sz w:val="20"/>
          <w:szCs w:val="20"/>
          <w:lang w:val="en"/>
        </w:rPr>
        <w:t xml:space="preserve">Projects BG161PO004-2.0.01-0004 </w:t>
      </w:r>
      <w:r w:rsidRPr="00A75B45">
        <w:rPr>
          <w:rFonts w:ascii="Verdana" w:hAnsi="Verdana"/>
          <w:i/>
          <w:iCs/>
          <w:sz w:val="20"/>
          <w:szCs w:val="20"/>
          <w:lang w:val="en"/>
        </w:rPr>
        <w:t>‘Completion of Trakya Motorway, Lots 2, 3 and 4’</w:t>
      </w:r>
      <w:r w:rsidRPr="00A75B45">
        <w:rPr>
          <w:rFonts w:ascii="Verdana" w:hAnsi="Verdana"/>
          <w:sz w:val="20"/>
          <w:szCs w:val="20"/>
          <w:lang w:val="en"/>
        </w:rPr>
        <w:t xml:space="preserve"> and BG161PO004-2.0.01-0009 </w:t>
      </w:r>
      <w:r w:rsidRPr="00A75B45">
        <w:rPr>
          <w:rFonts w:ascii="Verdana" w:hAnsi="Verdana"/>
          <w:i/>
          <w:iCs/>
          <w:sz w:val="20"/>
          <w:szCs w:val="20"/>
          <w:lang w:val="en"/>
        </w:rPr>
        <w:t>‘Struma Motorway, Lots 1, 2 and 4’</w:t>
      </w:r>
      <w:r w:rsidRPr="00A75B45">
        <w:rPr>
          <w:rFonts w:ascii="Verdana" w:hAnsi="Verdana"/>
          <w:sz w:val="20"/>
          <w:szCs w:val="20"/>
          <w:lang w:val="en"/>
        </w:rPr>
        <w:t xml:space="preserve"> have an important role in the achieved impact under </w:t>
      </w:r>
      <w:r w:rsidRPr="00A75B45">
        <w:rPr>
          <w:rFonts w:ascii="Verdana" w:hAnsi="Verdana"/>
          <w:i/>
          <w:iCs/>
          <w:sz w:val="20"/>
          <w:szCs w:val="20"/>
          <w:lang w:val="en"/>
        </w:rPr>
        <w:t xml:space="preserve">Priority Axis 2: ‘Development of road infrastructure along the major national and Pan-European transport axes’ </w:t>
      </w:r>
      <w:r w:rsidRPr="00A75B45">
        <w:rPr>
          <w:rFonts w:ascii="Verdana" w:hAnsi="Verdana"/>
          <w:sz w:val="20"/>
          <w:szCs w:val="20"/>
          <w:lang w:val="en"/>
        </w:rPr>
        <w:t>and under the overall implementation of the OPT, and the individual effect of each of these projects is also ‘moderate’ (****).</w:t>
      </w:r>
    </w:p>
    <w:p w14:paraId="6813B6B9" w14:textId="77777777" w:rsidR="001725BA" w:rsidRPr="00A75B45" w:rsidRDefault="001725BA" w:rsidP="001725BA">
      <w:pPr>
        <w:pStyle w:val="ListParagraph"/>
        <w:numPr>
          <w:ilvl w:val="0"/>
          <w:numId w:val="35"/>
        </w:numPr>
        <w:spacing w:before="120" w:after="120" w:line="240" w:lineRule="auto"/>
        <w:jc w:val="both"/>
        <w:rPr>
          <w:rFonts w:ascii="Verdana" w:hAnsi="Verdana"/>
          <w:sz w:val="20"/>
          <w:szCs w:val="20"/>
          <w:lang w:val="bg-BG"/>
        </w:rPr>
      </w:pPr>
      <w:r w:rsidRPr="00A75B45">
        <w:rPr>
          <w:rFonts w:ascii="Verdana" w:hAnsi="Verdana"/>
          <w:sz w:val="20"/>
          <w:szCs w:val="20"/>
          <w:lang w:val="en-US"/>
        </w:rPr>
        <w:t xml:space="preserve">The project of BG161PО004-3.0.01-0001 for the extension of Sofia Metro: ‘Stage 1 - ІІ Metro diameter: Section “Road Junction Nadezhda (MS 5-II) - </w:t>
      </w:r>
      <w:proofErr w:type="spellStart"/>
      <w:r w:rsidRPr="00A75B45">
        <w:rPr>
          <w:rFonts w:ascii="Verdana" w:hAnsi="Verdana"/>
          <w:sz w:val="20"/>
          <w:szCs w:val="20"/>
          <w:lang w:val="en-US"/>
        </w:rPr>
        <w:t>Cherni</w:t>
      </w:r>
      <w:proofErr w:type="spellEnd"/>
      <w:r w:rsidRPr="00A75B45">
        <w:rPr>
          <w:rFonts w:ascii="Verdana" w:hAnsi="Verdana"/>
          <w:sz w:val="20"/>
          <w:szCs w:val="20"/>
          <w:lang w:val="en-US"/>
        </w:rPr>
        <w:t xml:space="preserve"> </w:t>
      </w:r>
      <w:proofErr w:type="spellStart"/>
      <w:r w:rsidRPr="00A75B45">
        <w:rPr>
          <w:rFonts w:ascii="Verdana" w:hAnsi="Verdana"/>
          <w:sz w:val="20"/>
          <w:szCs w:val="20"/>
          <w:lang w:val="en-US"/>
        </w:rPr>
        <w:t>Vrah</w:t>
      </w:r>
      <w:proofErr w:type="spellEnd"/>
      <w:r w:rsidRPr="00A75B45">
        <w:rPr>
          <w:rFonts w:ascii="Verdana" w:hAnsi="Verdana"/>
          <w:sz w:val="20"/>
          <w:szCs w:val="20"/>
          <w:lang w:val="en-US"/>
        </w:rPr>
        <w:t xml:space="preserve"> Blvd.”’ plays a significant role in the achieved net effects under </w:t>
      </w:r>
      <w:r w:rsidRPr="00A75B45">
        <w:rPr>
          <w:rFonts w:ascii="Verdana" w:hAnsi="Verdana"/>
          <w:i/>
          <w:iCs/>
          <w:sz w:val="20"/>
          <w:szCs w:val="20"/>
          <w:lang w:val="en-US"/>
        </w:rPr>
        <w:t xml:space="preserve">Priority Axis 3: ‘Improvement of </w:t>
      </w:r>
      <w:proofErr w:type="spellStart"/>
      <w:r w:rsidRPr="00A75B45">
        <w:rPr>
          <w:rFonts w:ascii="Verdana" w:hAnsi="Verdana"/>
          <w:i/>
          <w:iCs/>
          <w:sz w:val="20"/>
          <w:szCs w:val="20"/>
          <w:lang w:val="en-US"/>
        </w:rPr>
        <w:t>intermodality</w:t>
      </w:r>
      <w:proofErr w:type="spellEnd"/>
      <w:r w:rsidRPr="00A75B45">
        <w:rPr>
          <w:rFonts w:ascii="Verdana" w:hAnsi="Verdana"/>
          <w:i/>
          <w:iCs/>
          <w:sz w:val="20"/>
          <w:szCs w:val="20"/>
          <w:lang w:val="en-US"/>
        </w:rPr>
        <w:t xml:space="preserve"> for passenger and freight’ </w:t>
      </w:r>
      <w:r w:rsidRPr="00A75B45">
        <w:rPr>
          <w:rFonts w:ascii="Verdana" w:hAnsi="Verdana"/>
          <w:sz w:val="20"/>
          <w:szCs w:val="20"/>
          <w:lang w:val="en-US"/>
        </w:rPr>
        <w:t>and under the OPT overall, and this role is again estimated to be ‘moderate’ (****).</w:t>
      </w:r>
    </w:p>
    <w:p w14:paraId="5755C474" w14:textId="77777777" w:rsidR="001725BA" w:rsidRPr="00A75B45" w:rsidRDefault="001725BA" w:rsidP="001725BA">
      <w:pPr>
        <w:pStyle w:val="ListParagraph"/>
        <w:spacing w:before="120" w:after="120" w:line="240" w:lineRule="auto"/>
        <w:ind w:left="766"/>
        <w:jc w:val="both"/>
        <w:rPr>
          <w:rFonts w:ascii="Verdana" w:hAnsi="Verdana"/>
          <w:sz w:val="20"/>
          <w:szCs w:val="20"/>
          <w:lang w:val="bg-BG"/>
        </w:rPr>
      </w:pPr>
    </w:p>
    <w:p w14:paraId="0A36DEAC" w14:textId="6B97AA45" w:rsidR="006348FD" w:rsidRPr="006348FD" w:rsidRDefault="006348FD" w:rsidP="006348FD">
      <w:pPr>
        <w:spacing w:before="120" w:after="120" w:line="240" w:lineRule="auto"/>
        <w:jc w:val="both"/>
        <w:rPr>
          <w:rFonts w:ascii="Verdana" w:hAnsi="Verdana"/>
          <w:i/>
          <w:iCs/>
          <w:color w:val="242852" w:themeColor="text2"/>
          <w:sz w:val="20"/>
          <w:szCs w:val="20"/>
          <w:lang w:val="bg-BG"/>
        </w:rPr>
      </w:pPr>
      <w:bookmarkStart w:id="44" w:name="_Toc62724731"/>
      <w:r w:rsidRPr="006348FD">
        <w:rPr>
          <w:rFonts w:ascii="Verdana" w:hAnsi="Verdana"/>
          <w:color w:val="242852" w:themeColor="text2"/>
          <w:sz w:val="20"/>
          <w:szCs w:val="20"/>
        </w:rPr>
        <w:t xml:space="preserve">Table </w:t>
      </w:r>
      <w:r w:rsidR="002A60EF">
        <w:rPr>
          <w:rFonts w:ascii="Verdana" w:hAnsi="Verdana"/>
          <w:color w:val="242852" w:themeColor="text2"/>
          <w:sz w:val="20"/>
          <w:szCs w:val="20"/>
        </w:rPr>
        <w:fldChar w:fldCharType="begin"/>
      </w:r>
      <w:r w:rsidR="002A60EF">
        <w:rPr>
          <w:rFonts w:ascii="Verdana" w:hAnsi="Verdana"/>
          <w:color w:val="242852" w:themeColor="text2"/>
          <w:sz w:val="20"/>
          <w:szCs w:val="20"/>
        </w:rPr>
        <w:instrText xml:space="preserve"> STYLEREF 1 \s </w:instrText>
      </w:r>
      <w:r w:rsidR="002A60EF">
        <w:rPr>
          <w:rFonts w:ascii="Verdana" w:hAnsi="Verdana"/>
          <w:color w:val="242852" w:themeColor="text2"/>
          <w:sz w:val="20"/>
          <w:szCs w:val="20"/>
        </w:rPr>
        <w:fldChar w:fldCharType="separate"/>
      </w:r>
      <w:r w:rsidR="002A60EF">
        <w:rPr>
          <w:rFonts w:ascii="Verdana" w:hAnsi="Verdana"/>
          <w:noProof/>
          <w:color w:val="242852" w:themeColor="text2"/>
          <w:sz w:val="20"/>
          <w:szCs w:val="20"/>
        </w:rPr>
        <w:t>IV.1</w:t>
      </w:r>
      <w:r w:rsidR="002A60EF">
        <w:rPr>
          <w:rFonts w:ascii="Verdana" w:hAnsi="Verdana"/>
          <w:color w:val="242852" w:themeColor="text2"/>
          <w:sz w:val="20"/>
          <w:szCs w:val="20"/>
        </w:rPr>
        <w:fldChar w:fldCharType="end"/>
      </w:r>
      <w:r w:rsidR="002A60EF">
        <w:rPr>
          <w:rFonts w:ascii="Verdana" w:hAnsi="Verdana"/>
          <w:color w:val="242852" w:themeColor="text2"/>
          <w:sz w:val="20"/>
          <w:szCs w:val="20"/>
        </w:rPr>
        <w:noBreakHyphen/>
      </w:r>
      <w:r w:rsidR="002A60EF">
        <w:rPr>
          <w:rFonts w:ascii="Verdana" w:hAnsi="Verdana"/>
          <w:color w:val="242852" w:themeColor="text2"/>
          <w:sz w:val="20"/>
          <w:szCs w:val="20"/>
        </w:rPr>
        <w:fldChar w:fldCharType="begin"/>
      </w:r>
      <w:r w:rsidR="002A60EF">
        <w:rPr>
          <w:rFonts w:ascii="Verdana" w:hAnsi="Verdana"/>
          <w:color w:val="242852" w:themeColor="text2"/>
          <w:sz w:val="20"/>
          <w:szCs w:val="20"/>
        </w:rPr>
        <w:instrText xml:space="preserve"> SEQ Table \* ARABIC \s 1 </w:instrText>
      </w:r>
      <w:r w:rsidR="002A60EF">
        <w:rPr>
          <w:rFonts w:ascii="Verdana" w:hAnsi="Verdana"/>
          <w:color w:val="242852" w:themeColor="text2"/>
          <w:sz w:val="20"/>
          <w:szCs w:val="20"/>
        </w:rPr>
        <w:fldChar w:fldCharType="separate"/>
      </w:r>
      <w:r w:rsidR="002A60EF">
        <w:rPr>
          <w:rFonts w:ascii="Verdana" w:hAnsi="Verdana"/>
          <w:noProof/>
          <w:color w:val="242852" w:themeColor="text2"/>
          <w:sz w:val="20"/>
          <w:szCs w:val="20"/>
        </w:rPr>
        <w:t>3</w:t>
      </w:r>
      <w:r w:rsidR="002A60EF">
        <w:rPr>
          <w:rFonts w:ascii="Verdana" w:hAnsi="Verdana"/>
          <w:color w:val="242852" w:themeColor="text2"/>
          <w:sz w:val="20"/>
          <w:szCs w:val="20"/>
        </w:rPr>
        <w:fldChar w:fldCharType="end"/>
      </w:r>
      <w:r w:rsidRPr="006348FD">
        <w:rPr>
          <w:rFonts w:ascii="Verdana" w:hAnsi="Verdana"/>
          <w:color w:val="242852" w:themeColor="text2"/>
          <w:sz w:val="20"/>
          <w:szCs w:val="20"/>
        </w:rPr>
        <w:t xml:space="preserve"> Qualitative assessments of the net impact of the 10 most significant projects on key macroeconomic indicators at the end of 2015</w:t>
      </w:r>
      <w:r w:rsidRPr="006348FD">
        <w:rPr>
          <w:rStyle w:val="FootnoteReference"/>
          <w:rFonts w:ascii="Verdana" w:hAnsi="Verdana"/>
          <w:i/>
          <w:iCs/>
          <w:color w:val="242852" w:themeColor="text2"/>
          <w:sz w:val="20"/>
          <w:szCs w:val="20"/>
          <w:lang w:val="en"/>
        </w:rPr>
        <w:footnoteReference w:id="6"/>
      </w:r>
      <w:bookmarkEnd w:id="44"/>
    </w:p>
    <w:p w14:paraId="0F545DD8" w14:textId="76092979" w:rsidR="006348FD" w:rsidRPr="006348FD" w:rsidRDefault="006348FD" w:rsidP="006348FD">
      <w:pPr>
        <w:pStyle w:val="Caption"/>
        <w:keepNext/>
        <w:rPr>
          <w:lang w:val="bg-BG"/>
        </w:rPr>
      </w:pPr>
    </w:p>
    <w:tbl>
      <w:tblPr>
        <w:tblStyle w:val="TableGridLight"/>
        <w:tblpPr w:leftFromText="180" w:rightFromText="180" w:vertAnchor="text" w:horzAnchor="margin" w:tblpY="179"/>
        <w:tblW w:w="8977" w:type="dxa"/>
        <w:tblBorders>
          <w:top w:val="double" w:sz="4" w:space="0" w:color="374C80" w:themeColor="accent1" w:themeShade="BF"/>
          <w:left w:val="double" w:sz="4" w:space="0" w:color="374C80" w:themeColor="accent1" w:themeShade="BF"/>
          <w:bottom w:val="double" w:sz="4" w:space="0" w:color="374C80" w:themeColor="accent1" w:themeShade="BF"/>
          <w:right w:val="double" w:sz="4" w:space="0" w:color="374C80" w:themeColor="accent1" w:themeShade="BF"/>
          <w:insideH w:val="single" w:sz="4" w:space="0" w:color="374C80" w:themeColor="accent1" w:themeShade="BF"/>
          <w:insideV w:val="single" w:sz="4" w:space="0" w:color="374C80" w:themeColor="accent1" w:themeShade="BF"/>
        </w:tblBorders>
        <w:tblLook w:val="04A0" w:firstRow="1" w:lastRow="0" w:firstColumn="1" w:lastColumn="0" w:noHBand="0" w:noVBand="1"/>
      </w:tblPr>
      <w:tblGrid>
        <w:gridCol w:w="639"/>
        <w:gridCol w:w="1759"/>
        <w:gridCol w:w="1337"/>
        <w:gridCol w:w="222"/>
        <w:gridCol w:w="670"/>
        <w:gridCol w:w="805"/>
        <w:gridCol w:w="845"/>
        <w:gridCol w:w="1375"/>
        <w:gridCol w:w="1325"/>
      </w:tblGrid>
      <w:tr w:rsidR="00174F36" w:rsidRPr="00174F36" w14:paraId="0BF8C6AC" w14:textId="77777777" w:rsidTr="006348FD">
        <w:trPr>
          <w:trHeight w:val="143"/>
        </w:trPr>
        <w:tc>
          <w:tcPr>
            <w:tcW w:w="2398" w:type="dxa"/>
            <w:gridSpan w:val="2"/>
            <w:shd w:val="clear" w:color="auto" w:fill="374C80" w:themeFill="accent1" w:themeFillShade="BF"/>
            <w:noWrap/>
            <w:hideMark/>
          </w:tcPr>
          <w:p w14:paraId="11038CFB" w14:textId="77777777" w:rsidR="00174F36" w:rsidRPr="00174F36" w:rsidRDefault="00174F36" w:rsidP="00AC2E19">
            <w:pPr>
              <w:rPr>
                <w:rFonts w:ascii="Verdana" w:eastAsia="Times New Roman" w:hAnsi="Verdana" w:cstheme="majorHAnsi"/>
                <w:b/>
                <w:bCs/>
                <w:color w:val="FFFFFF" w:themeColor="background1"/>
                <w:sz w:val="14"/>
                <w:szCs w:val="14"/>
                <w:lang w:val="en-US"/>
              </w:rPr>
            </w:pPr>
            <w:r w:rsidRPr="00174F36">
              <w:rPr>
                <w:rFonts w:ascii="Verdana" w:hAnsi="Verdana"/>
                <w:b/>
                <w:bCs/>
                <w:color w:val="FFFFFF" w:themeColor="background1"/>
                <w:sz w:val="14"/>
                <w:szCs w:val="14"/>
                <w:lang w:val="en"/>
              </w:rPr>
              <w:t>Short project name</w:t>
            </w:r>
          </w:p>
        </w:tc>
        <w:tc>
          <w:tcPr>
            <w:tcW w:w="1337" w:type="dxa"/>
            <w:shd w:val="clear" w:color="auto" w:fill="374C80" w:themeFill="accent1" w:themeFillShade="BF"/>
            <w:noWrap/>
            <w:hideMark/>
          </w:tcPr>
          <w:p w14:paraId="5044355A" w14:textId="77777777" w:rsidR="00174F36" w:rsidRPr="00174F36" w:rsidRDefault="00174F36" w:rsidP="00AC2E19">
            <w:pPr>
              <w:jc w:val="right"/>
              <w:rPr>
                <w:rFonts w:ascii="Verdana" w:eastAsia="Times New Roman" w:hAnsi="Verdana" w:cstheme="majorHAnsi"/>
                <w:b/>
                <w:bCs/>
                <w:color w:val="FFFFFF" w:themeColor="background1"/>
                <w:sz w:val="14"/>
                <w:szCs w:val="14"/>
                <w:lang w:val="en-US"/>
              </w:rPr>
            </w:pPr>
            <w:r w:rsidRPr="00174F36">
              <w:rPr>
                <w:rFonts w:ascii="Verdana" w:hAnsi="Verdana"/>
                <w:b/>
                <w:bCs/>
                <w:color w:val="FFFFFF" w:themeColor="background1"/>
                <w:sz w:val="14"/>
                <w:szCs w:val="14"/>
                <w:lang w:val="en"/>
              </w:rPr>
              <w:t>Employment</w:t>
            </w:r>
          </w:p>
        </w:tc>
        <w:tc>
          <w:tcPr>
            <w:tcW w:w="222" w:type="dxa"/>
            <w:shd w:val="clear" w:color="auto" w:fill="374C80" w:themeFill="accent1" w:themeFillShade="BF"/>
          </w:tcPr>
          <w:p w14:paraId="56EAAF8E" w14:textId="77777777" w:rsidR="00174F36" w:rsidRPr="00174F36" w:rsidRDefault="00174F36" w:rsidP="00AC2E19">
            <w:pPr>
              <w:jc w:val="right"/>
              <w:rPr>
                <w:rFonts w:ascii="Verdana" w:hAnsi="Verdana"/>
                <w:b/>
                <w:bCs/>
                <w:color w:val="FFFFFF" w:themeColor="background1"/>
                <w:sz w:val="14"/>
                <w:szCs w:val="14"/>
                <w:lang w:val="en"/>
              </w:rPr>
            </w:pPr>
          </w:p>
        </w:tc>
        <w:tc>
          <w:tcPr>
            <w:tcW w:w="670" w:type="dxa"/>
            <w:shd w:val="clear" w:color="auto" w:fill="374C80" w:themeFill="accent1" w:themeFillShade="BF"/>
            <w:noWrap/>
            <w:hideMark/>
          </w:tcPr>
          <w:p w14:paraId="63BF9210" w14:textId="5718365F" w:rsidR="00174F36" w:rsidRPr="00174F36" w:rsidRDefault="00174F36" w:rsidP="00AC2E19">
            <w:pPr>
              <w:jc w:val="right"/>
              <w:rPr>
                <w:rFonts w:ascii="Verdana" w:eastAsia="Times New Roman" w:hAnsi="Verdana" w:cstheme="majorHAnsi"/>
                <w:b/>
                <w:bCs/>
                <w:color w:val="FFFFFF" w:themeColor="background1"/>
                <w:sz w:val="14"/>
                <w:szCs w:val="14"/>
                <w:lang w:val="en-US"/>
              </w:rPr>
            </w:pPr>
            <w:r w:rsidRPr="00174F36">
              <w:rPr>
                <w:rFonts w:ascii="Verdana" w:hAnsi="Verdana"/>
                <w:b/>
                <w:bCs/>
                <w:color w:val="FFFFFF" w:themeColor="background1"/>
                <w:sz w:val="14"/>
                <w:szCs w:val="14"/>
                <w:lang w:val="en"/>
              </w:rPr>
              <w:t>GDP</w:t>
            </w:r>
          </w:p>
        </w:tc>
        <w:tc>
          <w:tcPr>
            <w:tcW w:w="805" w:type="dxa"/>
            <w:shd w:val="clear" w:color="auto" w:fill="374C80" w:themeFill="accent1" w:themeFillShade="BF"/>
            <w:noWrap/>
            <w:hideMark/>
          </w:tcPr>
          <w:p w14:paraId="47535DE2" w14:textId="77777777" w:rsidR="00174F36" w:rsidRPr="00174F36" w:rsidRDefault="00174F36" w:rsidP="00AC2E19">
            <w:pPr>
              <w:jc w:val="right"/>
              <w:rPr>
                <w:rFonts w:ascii="Verdana" w:eastAsia="Times New Roman" w:hAnsi="Verdana" w:cstheme="majorHAnsi"/>
                <w:b/>
                <w:bCs/>
                <w:color w:val="FFFFFF" w:themeColor="background1"/>
                <w:sz w:val="14"/>
                <w:szCs w:val="14"/>
                <w:lang w:val="en-US"/>
              </w:rPr>
            </w:pPr>
            <w:r w:rsidRPr="00174F36">
              <w:rPr>
                <w:rFonts w:ascii="Verdana" w:hAnsi="Verdana"/>
                <w:b/>
                <w:bCs/>
                <w:color w:val="FFFFFF" w:themeColor="background1"/>
                <w:sz w:val="14"/>
                <w:szCs w:val="14"/>
                <w:lang w:val="en"/>
              </w:rPr>
              <w:t>Export</w:t>
            </w:r>
          </w:p>
        </w:tc>
        <w:tc>
          <w:tcPr>
            <w:tcW w:w="845" w:type="dxa"/>
            <w:shd w:val="clear" w:color="auto" w:fill="374C80" w:themeFill="accent1" w:themeFillShade="BF"/>
            <w:noWrap/>
            <w:hideMark/>
          </w:tcPr>
          <w:p w14:paraId="64457A6C" w14:textId="77777777" w:rsidR="00174F36" w:rsidRPr="00174F36" w:rsidRDefault="00174F36" w:rsidP="00AC2E19">
            <w:pPr>
              <w:jc w:val="right"/>
              <w:rPr>
                <w:rFonts w:ascii="Verdana" w:eastAsia="Times New Roman" w:hAnsi="Verdana" w:cstheme="majorHAnsi"/>
                <w:b/>
                <w:bCs/>
                <w:color w:val="FFFFFF" w:themeColor="background1"/>
                <w:sz w:val="14"/>
                <w:szCs w:val="14"/>
                <w:lang w:val="en-US"/>
              </w:rPr>
            </w:pPr>
            <w:r w:rsidRPr="00174F36">
              <w:rPr>
                <w:rFonts w:ascii="Verdana" w:hAnsi="Verdana"/>
                <w:b/>
                <w:bCs/>
                <w:color w:val="FFFFFF" w:themeColor="background1"/>
                <w:sz w:val="14"/>
                <w:szCs w:val="14"/>
                <w:lang w:val="en"/>
              </w:rPr>
              <w:t>Import</w:t>
            </w:r>
          </w:p>
        </w:tc>
        <w:tc>
          <w:tcPr>
            <w:tcW w:w="1375" w:type="dxa"/>
            <w:shd w:val="clear" w:color="auto" w:fill="374C80" w:themeFill="accent1" w:themeFillShade="BF"/>
            <w:noWrap/>
            <w:hideMark/>
          </w:tcPr>
          <w:p w14:paraId="58765A79" w14:textId="77777777" w:rsidR="00174F36" w:rsidRPr="00174F36" w:rsidRDefault="00174F36" w:rsidP="00AC2E19">
            <w:pPr>
              <w:jc w:val="right"/>
              <w:rPr>
                <w:rFonts w:ascii="Verdana" w:eastAsia="Times New Roman" w:hAnsi="Verdana" w:cstheme="majorHAnsi"/>
                <w:b/>
                <w:bCs/>
                <w:color w:val="FFFFFF" w:themeColor="background1"/>
                <w:sz w:val="14"/>
                <w:szCs w:val="14"/>
                <w:lang w:val="en-US"/>
              </w:rPr>
            </w:pPr>
            <w:r w:rsidRPr="00174F36">
              <w:rPr>
                <w:rFonts w:ascii="Verdana" w:hAnsi="Verdana"/>
                <w:b/>
                <w:bCs/>
                <w:color w:val="FFFFFF" w:themeColor="background1"/>
                <w:sz w:val="14"/>
                <w:szCs w:val="14"/>
                <w:lang w:val="en"/>
              </w:rPr>
              <w:t>Private consumption</w:t>
            </w:r>
          </w:p>
        </w:tc>
        <w:tc>
          <w:tcPr>
            <w:tcW w:w="1325" w:type="dxa"/>
            <w:shd w:val="clear" w:color="auto" w:fill="374C80" w:themeFill="accent1" w:themeFillShade="BF"/>
            <w:noWrap/>
            <w:hideMark/>
          </w:tcPr>
          <w:p w14:paraId="4F79BA9C" w14:textId="77777777" w:rsidR="00174F36" w:rsidRPr="00174F36" w:rsidRDefault="00174F36" w:rsidP="00AC2E19">
            <w:pPr>
              <w:jc w:val="right"/>
              <w:rPr>
                <w:rFonts w:ascii="Verdana" w:eastAsia="Times New Roman" w:hAnsi="Verdana" w:cstheme="majorHAnsi"/>
                <w:b/>
                <w:bCs/>
                <w:color w:val="FFFFFF" w:themeColor="background1"/>
                <w:sz w:val="14"/>
                <w:szCs w:val="14"/>
                <w:lang w:val="bg-BG"/>
              </w:rPr>
            </w:pPr>
            <w:r w:rsidRPr="00174F36">
              <w:rPr>
                <w:rFonts w:ascii="Verdana" w:hAnsi="Verdana"/>
                <w:b/>
                <w:bCs/>
                <w:color w:val="FFFFFF" w:themeColor="background1"/>
                <w:sz w:val="14"/>
                <w:szCs w:val="14"/>
                <w:lang w:val="en"/>
              </w:rPr>
              <w:t>Private investments</w:t>
            </w:r>
          </w:p>
        </w:tc>
      </w:tr>
      <w:tr w:rsidR="00174F36" w:rsidRPr="00174F36" w14:paraId="79909551" w14:textId="77777777" w:rsidTr="006348FD">
        <w:trPr>
          <w:trHeight w:val="143"/>
        </w:trPr>
        <w:tc>
          <w:tcPr>
            <w:tcW w:w="2398" w:type="dxa"/>
            <w:gridSpan w:val="2"/>
            <w:shd w:val="clear" w:color="auto" w:fill="D9DFEF" w:themeFill="accent1" w:themeFillTint="33"/>
            <w:noWrap/>
            <w:hideMark/>
          </w:tcPr>
          <w:p w14:paraId="61EA5959" w14:textId="77777777" w:rsidR="00174F36" w:rsidRPr="00174F36" w:rsidRDefault="00174F36" w:rsidP="00AC2E19">
            <w:pPr>
              <w:rPr>
                <w:rFonts w:ascii="Verdana" w:eastAsia="Times New Roman" w:hAnsi="Verdana" w:cstheme="majorHAnsi"/>
                <w:b/>
                <w:bCs/>
                <w:color w:val="000000"/>
                <w:sz w:val="14"/>
                <w:szCs w:val="14"/>
                <w:lang w:val="en-US"/>
              </w:rPr>
            </w:pPr>
            <w:r w:rsidRPr="00174F36">
              <w:rPr>
                <w:rFonts w:ascii="Verdana" w:hAnsi="Verdana"/>
                <w:b/>
                <w:bCs/>
                <w:color w:val="000000"/>
                <w:sz w:val="14"/>
                <w:szCs w:val="14"/>
                <w:lang w:val="en"/>
              </w:rPr>
              <w:t xml:space="preserve">Plovdiv – </w:t>
            </w:r>
            <w:proofErr w:type="spellStart"/>
            <w:r w:rsidRPr="00174F36">
              <w:rPr>
                <w:rFonts w:ascii="Verdana" w:hAnsi="Verdana"/>
                <w:b/>
                <w:bCs/>
                <w:color w:val="000000"/>
                <w:sz w:val="14"/>
                <w:szCs w:val="14"/>
                <w:lang w:val="en"/>
              </w:rPr>
              <w:t>Svilengrad</w:t>
            </w:r>
            <w:proofErr w:type="spellEnd"/>
            <w:r w:rsidRPr="00174F36">
              <w:rPr>
                <w:rFonts w:ascii="Verdana" w:hAnsi="Verdana"/>
                <w:b/>
                <w:bCs/>
                <w:color w:val="000000"/>
                <w:sz w:val="14"/>
                <w:szCs w:val="14"/>
                <w:lang w:val="en"/>
              </w:rPr>
              <w:t xml:space="preserve"> Railway</w:t>
            </w:r>
          </w:p>
        </w:tc>
        <w:tc>
          <w:tcPr>
            <w:tcW w:w="1337" w:type="dxa"/>
            <w:noWrap/>
            <w:hideMark/>
          </w:tcPr>
          <w:p w14:paraId="76729341"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222" w:type="dxa"/>
          </w:tcPr>
          <w:p w14:paraId="1ACE208A" w14:textId="77777777" w:rsidR="00174F36" w:rsidRPr="00174F36" w:rsidRDefault="00174F36" w:rsidP="00AC2E19">
            <w:pPr>
              <w:jc w:val="right"/>
              <w:rPr>
                <w:rFonts w:ascii="Verdana" w:hAnsi="Verdana"/>
                <w:b/>
                <w:bCs/>
                <w:sz w:val="14"/>
                <w:szCs w:val="14"/>
                <w:lang w:val="en"/>
              </w:rPr>
            </w:pPr>
          </w:p>
        </w:tc>
        <w:tc>
          <w:tcPr>
            <w:tcW w:w="670" w:type="dxa"/>
            <w:noWrap/>
            <w:hideMark/>
          </w:tcPr>
          <w:p w14:paraId="24882258" w14:textId="045DBAA6"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805" w:type="dxa"/>
            <w:noWrap/>
            <w:hideMark/>
          </w:tcPr>
          <w:p w14:paraId="159A5C05"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845" w:type="dxa"/>
            <w:noWrap/>
            <w:hideMark/>
          </w:tcPr>
          <w:p w14:paraId="5DC8DB52"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1375" w:type="dxa"/>
            <w:noWrap/>
            <w:hideMark/>
          </w:tcPr>
          <w:p w14:paraId="7D92B8C5"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1325" w:type="dxa"/>
            <w:noWrap/>
            <w:hideMark/>
          </w:tcPr>
          <w:p w14:paraId="00C7518F"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r>
      <w:tr w:rsidR="00174F36" w:rsidRPr="00174F36" w14:paraId="5CE37C29" w14:textId="77777777" w:rsidTr="006348FD">
        <w:trPr>
          <w:trHeight w:val="143"/>
        </w:trPr>
        <w:tc>
          <w:tcPr>
            <w:tcW w:w="2398" w:type="dxa"/>
            <w:gridSpan w:val="2"/>
            <w:shd w:val="clear" w:color="auto" w:fill="D9DFEF" w:themeFill="accent1" w:themeFillTint="33"/>
            <w:noWrap/>
            <w:hideMark/>
          </w:tcPr>
          <w:p w14:paraId="3ABD3160" w14:textId="77777777" w:rsidR="00174F36" w:rsidRPr="00174F36" w:rsidRDefault="00174F36" w:rsidP="00AC2E19">
            <w:pPr>
              <w:rPr>
                <w:rFonts w:ascii="Verdana" w:eastAsia="Times New Roman" w:hAnsi="Verdana" w:cstheme="majorHAnsi"/>
                <w:b/>
                <w:bCs/>
                <w:color w:val="000000"/>
                <w:sz w:val="14"/>
                <w:szCs w:val="14"/>
                <w:lang w:val="en-US"/>
              </w:rPr>
            </w:pPr>
            <w:r w:rsidRPr="00174F36">
              <w:rPr>
                <w:rFonts w:ascii="Verdana" w:hAnsi="Verdana"/>
                <w:b/>
                <w:bCs/>
                <w:color w:val="000000"/>
                <w:sz w:val="14"/>
                <w:szCs w:val="14"/>
                <w:lang w:val="en"/>
              </w:rPr>
              <w:t>Metro extension, Stage II, Lots 1 and 2</w:t>
            </w:r>
          </w:p>
        </w:tc>
        <w:tc>
          <w:tcPr>
            <w:tcW w:w="1337" w:type="dxa"/>
            <w:noWrap/>
            <w:hideMark/>
          </w:tcPr>
          <w:p w14:paraId="071BF2F1"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222" w:type="dxa"/>
          </w:tcPr>
          <w:p w14:paraId="048BEA90" w14:textId="77777777" w:rsidR="00174F36" w:rsidRPr="00174F36" w:rsidRDefault="00174F36" w:rsidP="00AC2E19">
            <w:pPr>
              <w:jc w:val="right"/>
              <w:rPr>
                <w:rFonts w:ascii="Verdana" w:hAnsi="Verdana"/>
                <w:b/>
                <w:bCs/>
                <w:sz w:val="14"/>
                <w:szCs w:val="14"/>
                <w:lang w:val="en"/>
              </w:rPr>
            </w:pPr>
          </w:p>
        </w:tc>
        <w:tc>
          <w:tcPr>
            <w:tcW w:w="670" w:type="dxa"/>
            <w:noWrap/>
            <w:hideMark/>
          </w:tcPr>
          <w:p w14:paraId="5643AA77" w14:textId="70C30461"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805" w:type="dxa"/>
            <w:noWrap/>
            <w:hideMark/>
          </w:tcPr>
          <w:p w14:paraId="7CEF89CB"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845" w:type="dxa"/>
            <w:noWrap/>
            <w:hideMark/>
          </w:tcPr>
          <w:p w14:paraId="0C862689"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1375" w:type="dxa"/>
            <w:noWrap/>
            <w:hideMark/>
          </w:tcPr>
          <w:p w14:paraId="11811DEE"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1325" w:type="dxa"/>
            <w:noWrap/>
            <w:hideMark/>
          </w:tcPr>
          <w:p w14:paraId="2165E3DE"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r>
      <w:tr w:rsidR="00174F36" w:rsidRPr="00174F36" w14:paraId="501AD885" w14:textId="77777777" w:rsidTr="006348FD">
        <w:trPr>
          <w:trHeight w:val="143"/>
        </w:trPr>
        <w:tc>
          <w:tcPr>
            <w:tcW w:w="2398" w:type="dxa"/>
            <w:gridSpan w:val="2"/>
            <w:shd w:val="clear" w:color="auto" w:fill="D9DFEF" w:themeFill="accent1" w:themeFillTint="33"/>
            <w:noWrap/>
            <w:hideMark/>
          </w:tcPr>
          <w:p w14:paraId="1E1F19CC" w14:textId="77777777" w:rsidR="00174F36" w:rsidRPr="00174F36" w:rsidRDefault="00174F36" w:rsidP="00AC2E19">
            <w:pPr>
              <w:rPr>
                <w:rFonts w:ascii="Verdana" w:eastAsia="Times New Roman" w:hAnsi="Verdana" w:cstheme="majorHAnsi"/>
                <w:b/>
                <w:bCs/>
                <w:color w:val="000000"/>
                <w:sz w:val="14"/>
                <w:szCs w:val="14"/>
                <w:lang w:val="en-US"/>
              </w:rPr>
            </w:pPr>
            <w:proofErr w:type="spellStart"/>
            <w:r w:rsidRPr="00174F36">
              <w:rPr>
                <w:rFonts w:ascii="Verdana" w:hAnsi="Verdana"/>
                <w:b/>
                <w:bCs/>
                <w:color w:val="000000"/>
                <w:sz w:val="14"/>
                <w:szCs w:val="14"/>
                <w:lang w:val="en"/>
              </w:rPr>
              <w:t>Plodviv</w:t>
            </w:r>
            <w:proofErr w:type="spellEnd"/>
            <w:r w:rsidRPr="00174F36">
              <w:rPr>
                <w:rFonts w:ascii="Verdana" w:hAnsi="Verdana"/>
                <w:b/>
                <w:bCs/>
                <w:color w:val="000000"/>
                <w:sz w:val="14"/>
                <w:szCs w:val="14"/>
                <w:lang w:val="en"/>
              </w:rPr>
              <w:t xml:space="preserve"> – </w:t>
            </w:r>
            <w:proofErr w:type="spellStart"/>
            <w:r w:rsidRPr="00174F36">
              <w:rPr>
                <w:rFonts w:ascii="Verdana" w:hAnsi="Verdana"/>
                <w:b/>
                <w:bCs/>
                <w:color w:val="000000"/>
                <w:sz w:val="14"/>
                <w:szCs w:val="14"/>
                <w:lang w:val="en"/>
              </w:rPr>
              <w:t>Burgas</w:t>
            </w:r>
            <w:proofErr w:type="spellEnd"/>
            <w:r w:rsidRPr="00174F36">
              <w:rPr>
                <w:rFonts w:ascii="Verdana" w:hAnsi="Verdana"/>
                <w:b/>
                <w:bCs/>
                <w:color w:val="000000"/>
                <w:sz w:val="14"/>
                <w:szCs w:val="14"/>
                <w:lang w:val="en"/>
              </w:rPr>
              <w:t xml:space="preserve"> Railway</w:t>
            </w:r>
          </w:p>
        </w:tc>
        <w:tc>
          <w:tcPr>
            <w:tcW w:w="1337" w:type="dxa"/>
            <w:noWrap/>
            <w:hideMark/>
          </w:tcPr>
          <w:p w14:paraId="2A2D65FA"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222" w:type="dxa"/>
          </w:tcPr>
          <w:p w14:paraId="00DC9B06" w14:textId="77777777" w:rsidR="00174F36" w:rsidRPr="00174F36" w:rsidRDefault="00174F36" w:rsidP="00AC2E19">
            <w:pPr>
              <w:jc w:val="right"/>
              <w:rPr>
                <w:rFonts w:ascii="Verdana" w:hAnsi="Verdana"/>
                <w:b/>
                <w:bCs/>
                <w:sz w:val="14"/>
                <w:szCs w:val="14"/>
                <w:lang w:val="en"/>
              </w:rPr>
            </w:pPr>
          </w:p>
        </w:tc>
        <w:tc>
          <w:tcPr>
            <w:tcW w:w="670" w:type="dxa"/>
            <w:noWrap/>
            <w:hideMark/>
          </w:tcPr>
          <w:p w14:paraId="2AADEA82" w14:textId="06B24A64"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805" w:type="dxa"/>
            <w:noWrap/>
            <w:hideMark/>
          </w:tcPr>
          <w:p w14:paraId="6D0A4A07"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845" w:type="dxa"/>
            <w:noWrap/>
            <w:hideMark/>
          </w:tcPr>
          <w:p w14:paraId="3EC6CF5A"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1375" w:type="dxa"/>
            <w:noWrap/>
            <w:hideMark/>
          </w:tcPr>
          <w:p w14:paraId="6C0D7D3E"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1325" w:type="dxa"/>
            <w:noWrap/>
            <w:hideMark/>
          </w:tcPr>
          <w:p w14:paraId="5C8AB3A6"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r>
      <w:tr w:rsidR="00174F36" w:rsidRPr="00174F36" w14:paraId="33EA859E" w14:textId="77777777" w:rsidTr="006348FD">
        <w:trPr>
          <w:trHeight w:val="143"/>
        </w:trPr>
        <w:tc>
          <w:tcPr>
            <w:tcW w:w="2398" w:type="dxa"/>
            <w:gridSpan w:val="2"/>
            <w:shd w:val="clear" w:color="auto" w:fill="D9DFEF" w:themeFill="accent1" w:themeFillTint="33"/>
            <w:noWrap/>
            <w:hideMark/>
          </w:tcPr>
          <w:p w14:paraId="30F151C4" w14:textId="77777777" w:rsidR="00174F36" w:rsidRPr="00174F36" w:rsidRDefault="00174F36" w:rsidP="00AC2E19">
            <w:pPr>
              <w:rPr>
                <w:rFonts w:ascii="Verdana" w:eastAsia="Times New Roman" w:hAnsi="Verdana" w:cstheme="majorHAnsi"/>
                <w:b/>
                <w:bCs/>
                <w:color w:val="000000"/>
                <w:sz w:val="14"/>
                <w:szCs w:val="14"/>
                <w:lang w:val="bg-BG"/>
              </w:rPr>
            </w:pPr>
            <w:r w:rsidRPr="00174F36">
              <w:rPr>
                <w:rFonts w:ascii="Verdana" w:hAnsi="Verdana"/>
                <w:b/>
                <w:bCs/>
                <w:color w:val="000000"/>
                <w:sz w:val="14"/>
                <w:szCs w:val="14"/>
                <w:lang w:val="en"/>
              </w:rPr>
              <w:lastRenderedPageBreak/>
              <w:t xml:space="preserve">Railway </w:t>
            </w:r>
            <w:proofErr w:type="spellStart"/>
            <w:r w:rsidRPr="00174F36">
              <w:rPr>
                <w:rFonts w:ascii="Verdana" w:hAnsi="Verdana"/>
                <w:b/>
                <w:bCs/>
                <w:color w:val="000000"/>
                <w:sz w:val="14"/>
                <w:szCs w:val="14"/>
                <w:lang w:val="en"/>
              </w:rPr>
              <w:t>Septemvri</w:t>
            </w:r>
            <w:proofErr w:type="spellEnd"/>
            <w:r w:rsidRPr="00174F36">
              <w:rPr>
                <w:rFonts w:ascii="Verdana" w:hAnsi="Verdana"/>
                <w:b/>
                <w:bCs/>
                <w:color w:val="000000"/>
                <w:sz w:val="14"/>
                <w:szCs w:val="14"/>
                <w:lang w:val="en"/>
              </w:rPr>
              <w:t xml:space="preserve"> - Plovdiv</w:t>
            </w:r>
          </w:p>
        </w:tc>
        <w:tc>
          <w:tcPr>
            <w:tcW w:w="1337" w:type="dxa"/>
            <w:noWrap/>
            <w:hideMark/>
          </w:tcPr>
          <w:p w14:paraId="34DA91D0"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222" w:type="dxa"/>
          </w:tcPr>
          <w:p w14:paraId="252EFE2C" w14:textId="77777777" w:rsidR="00174F36" w:rsidRPr="00174F36" w:rsidRDefault="00174F36" w:rsidP="00AC2E19">
            <w:pPr>
              <w:jc w:val="right"/>
              <w:rPr>
                <w:rFonts w:ascii="Verdana" w:hAnsi="Verdana"/>
                <w:b/>
                <w:bCs/>
                <w:sz w:val="14"/>
                <w:szCs w:val="14"/>
                <w:lang w:val="en"/>
              </w:rPr>
            </w:pPr>
          </w:p>
        </w:tc>
        <w:tc>
          <w:tcPr>
            <w:tcW w:w="670" w:type="dxa"/>
            <w:noWrap/>
            <w:hideMark/>
          </w:tcPr>
          <w:p w14:paraId="4018A896" w14:textId="2A33ED9A"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805" w:type="dxa"/>
            <w:noWrap/>
            <w:hideMark/>
          </w:tcPr>
          <w:p w14:paraId="0D085C09"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845" w:type="dxa"/>
            <w:noWrap/>
            <w:hideMark/>
          </w:tcPr>
          <w:p w14:paraId="14BF7B12"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1375" w:type="dxa"/>
            <w:noWrap/>
            <w:hideMark/>
          </w:tcPr>
          <w:p w14:paraId="10E1250D"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1325" w:type="dxa"/>
            <w:noWrap/>
            <w:hideMark/>
          </w:tcPr>
          <w:p w14:paraId="28573073"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r>
      <w:tr w:rsidR="00174F36" w:rsidRPr="00174F36" w14:paraId="0B341CCC" w14:textId="77777777" w:rsidTr="006348FD">
        <w:trPr>
          <w:trHeight w:val="143"/>
        </w:trPr>
        <w:tc>
          <w:tcPr>
            <w:tcW w:w="2398" w:type="dxa"/>
            <w:gridSpan w:val="2"/>
            <w:shd w:val="clear" w:color="auto" w:fill="D9DFEF" w:themeFill="accent1" w:themeFillTint="33"/>
            <w:noWrap/>
            <w:hideMark/>
          </w:tcPr>
          <w:p w14:paraId="4714D012" w14:textId="77777777" w:rsidR="00174F36" w:rsidRPr="00174F36" w:rsidRDefault="00174F36" w:rsidP="00AC2E19">
            <w:pPr>
              <w:rPr>
                <w:rFonts w:ascii="Verdana" w:eastAsia="Times New Roman" w:hAnsi="Verdana" w:cstheme="majorHAnsi"/>
                <w:b/>
                <w:bCs/>
                <w:color w:val="000000"/>
                <w:sz w:val="14"/>
                <w:szCs w:val="14"/>
                <w:lang w:val="en-US"/>
              </w:rPr>
            </w:pPr>
            <w:proofErr w:type="spellStart"/>
            <w:r w:rsidRPr="00174F36">
              <w:rPr>
                <w:rFonts w:ascii="Verdana" w:hAnsi="Verdana"/>
                <w:b/>
                <w:bCs/>
                <w:color w:val="000000"/>
                <w:sz w:val="14"/>
                <w:szCs w:val="14"/>
                <w:lang w:val="en"/>
              </w:rPr>
              <w:t>Trakia</w:t>
            </w:r>
            <w:proofErr w:type="spellEnd"/>
            <w:r w:rsidRPr="00174F36">
              <w:rPr>
                <w:rFonts w:ascii="Verdana" w:hAnsi="Verdana"/>
                <w:b/>
                <w:bCs/>
                <w:color w:val="000000"/>
                <w:sz w:val="14"/>
                <w:szCs w:val="14"/>
                <w:lang w:val="en"/>
              </w:rPr>
              <w:t xml:space="preserve"> Motorway</w:t>
            </w:r>
          </w:p>
        </w:tc>
        <w:tc>
          <w:tcPr>
            <w:tcW w:w="1337" w:type="dxa"/>
            <w:noWrap/>
            <w:hideMark/>
          </w:tcPr>
          <w:p w14:paraId="047F1BEF"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222" w:type="dxa"/>
          </w:tcPr>
          <w:p w14:paraId="34D1F06A" w14:textId="77777777" w:rsidR="00174F36" w:rsidRPr="00174F36" w:rsidRDefault="00174F36" w:rsidP="00AC2E19">
            <w:pPr>
              <w:jc w:val="right"/>
              <w:rPr>
                <w:rFonts w:ascii="Verdana" w:hAnsi="Verdana"/>
                <w:b/>
                <w:bCs/>
                <w:sz w:val="14"/>
                <w:szCs w:val="14"/>
                <w:lang w:val="en"/>
              </w:rPr>
            </w:pPr>
          </w:p>
        </w:tc>
        <w:tc>
          <w:tcPr>
            <w:tcW w:w="670" w:type="dxa"/>
            <w:noWrap/>
            <w:hideMark/>
          </w:tcPr>
          <w:p w14:paraId="1B5F47B0" w14:textId="16D99911"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805" w:type="dxa"/>
            <w:noWrap/>
            <w:hideMark/>
          </w:tcPr>
          <w:p w14:paraId="314DF6B1"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845" w:type="dxa"/>
            <w:noWrap/>
            <w:hideMark/>
          </w:tcPr>
          <w:p w14:paraId="16FDB048"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1375" w:type="dxa"/>
            <w:noWrap/>
            <w:hideMark/>
          </w:tcPr>
          <w:p w14:paraId="1D6074AD"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1325" w:type="dxa"/>
            <w:noWrap/>
            <w:hideMark/>
          </w:tcPr>
          <w:p w14:paraId="1868E55F"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r>
      <w:tr w:rsidR="00174F36" w:rsidRPr="00174F36" w14:paraId="3C4BB6DC" w14:textId="77777777" w:rsidTr="006348FD">
        <w:trPr>
          <w:trHeight w:val="143"/>
        </w:trPr>
        <w:tc>
          <w:tcPr>
            <w:tcW w:w="2398" w:type="dxa"/>
            <w:gridSpan w:val="2"/>
            <w:shd w:val="clear" w:color="auto" w:fill="D9DFEF" w:themeFill="accent1" w:themeFillTint="33"/>
            <w:noWrap/>
            <w:hideMark/>
          </w:tcPr>
          <w:p w14:paraId="694162D2" w14:textId="77777777" w:rsidR="00174F36" w:rsidRPr="00174F36" w:rsidRDefault="00174F36" w:rsidP="00AC2E19">
            <w:pPr>
              <w:rPr>
                <w:rFonts w:ascii="Verdana" w:eastAsia="Times New Roman" w:hAnsi="Verdana" w:cstheme="majorHAnsi"/>
                <w:b/>
                <w:bCs/>
                <w:color w:val="000000"/>
                <w:sz w:val="14"/>
                <w:szCs w:val="14"/>
                <w:lang w:val="en-US"/>
              </w:rPr>
            </w:pPr>
            <w:r w:rsidRPr="00174F36">
              <w:rPr>
                <w:rFonts w:ascii="Verdana" w:hAnsi="Verdana"/>
                <w:b/>
                <w:bCs/>
                <w:color w:val="000000"/>
                <w:sz w:val="14"/>
                <w:szCs w:val="14"/>
                <w:lang w:val="en"/>
              </w:rPr>
              <w:t>Maritsa Motorway</w:t>
            </w:r>
          </w:p>
        </w:tc>
        <w:tc>
          <w:tcPr>
            <w:tcW w:w="1337" w:type="dxa"/>
            <w:noWrap/>
            <w:hideMark/>
          </w:tcPr>
          <w:p w14:paraId="0C7912A5"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222" w:type="dxa"/>
          </w:tcPr>
          <w:p w14:paraId="3D150F7C" w14:textId="77777777" w:rsidR="00174F36" w:rsidRPr="00174F36" w:rsidRDefault="00174F36" w:rsidP="00AC2E19">
            <w:pPr>
              <w:jc w:val="right"/>
              <w:rPr>
                <w:rFonts w:ascii="Verdana" w:hAnsi="Verdana"/>
                <w:b/>
                <w:bCs/>
                <w:sz w:val="14"/>
                <w:szCs w:val="14"/>
                <w:lang w:val="en"/>
              </w:rPr>
            </w:pPr>
          </w:p>
        </w:tc>
        <w:tc>
          <w:tcPr>
            <w:tcW w:w="670" w:type="dxa"/>
            <w:noWrap/>
            <w:hideMark/>
          </w:tcPr>
          <w:p w14:paraId="1BCCFD30" w14:textId="7500DC6C"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805" w:type="dxa"/>
            <w:noWrap/>
            <w:hideMark/>
          </w:tcPr>
          <w:p w14:paraId="2219EB96"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845" w:type="dxa"/>
            <w:noWrap/>
            <w:hideMark/>
          </w:tcPr>
          <w:p w14:paraId="576FA877"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1375" w:type="dxa"/>
            <w:noWrap/>
            <w:hideMark/>
          </w:tcPr>
          <w:p w14:paraId="719EC84D"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1325" w:type="dxa"/>
            <w:noWrap/>
            <w:hideMark/>
          </w:tcPr>
          <w:p w14:paraId="73772177"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r>
      <w:tr w:rsidR="00174F36" w:rsidRPr="00174F36" w14:paraId="32641B8E" w14:textId="77777777" w:rsidTr="006348FD">
        <w:trPr>
          <w:trHeight w:val="143"/>
        </w:trPr>
        <w:tc>
          <w:tcPr>
            <w:tcW w:w="2398" w:type="dxa"/>
            <w:gridSpan w:val="2"/>
            <w:shd w:val="clear" w:color="auto" w:fill="D9DFEF" w:themeFill="accent1" w:themeFillTint="33"/>
            <w:noWrap/>
            <w:hideMark/>
          </w:tcPr>
          <w:p w14:paraId="3FB2EDAA" w14:textId="77777777" w:rsidR="00174F36" w:rsidRPr="00174F36" w:rsidRDefault="00174F36" w:rsidP="00AC2E19">
            <w:pPr>
              <w:rPr>
                <w:rFonts w:ascii="Verdana" w:eastAsia="Times New Roman" w:hAnsi="Verdana" w:cstheme="majorHAnsi"/>
                <w:b/>
                <w:bCs/>
                <w:color w:val="000000"/>
                <w:sz w:val="14"/>
                <w:szCs w:val="14"/>
                <w:lang w:val="en-US"/>
              </w:rPr>
            </w:pPr>
            <w:r w:rsidRPr="00174F36">
              <w:rPr>
                <w:rFonts w:ascii="Verdana" w:hAnsi="Verdana"/>
                <w:b/>
                <w:bCs/>
                <w:color w:val="000000"/>
                <w:sz w:val="14"/>
                <w:szCs w:val="14"/>
                <w:lang w:val="en"/>
              </w:rPr>
              <w:t>Struma Motorway</w:t>
            </w:r>
          </w:p>
        </w:tc>
        <w:tc>
          <w:tcPr>
            <w:tcW w:w="1337" w:type="dxa"/>
            <w:noWrap/>
            <w:hideMark/>
          </w:tcPr>
          <w:p w14:paraId="4E546122"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222" w:type="dxa"/>
          </w:tcPr>
          <w:p w14:paraId="545B3E2F" w14:textId="77777777" w:rsidR="00174F36" w:rsidRPr="00174F36" w:rsidRDefault="00174F36" w:rsidP="00AC2E19">
            <w:pPr>
              <w:jc w:val="right"/>
              <w:rPr>
                <w:rFonts w:ascii="Verdana" w:hAnsi="Verdana"/>
                <w:b/>
                <w:bCs/>
                <w:sz w:val="14"/>
                <w:szCs w:val="14"/>
                <w:lang w:val="en"/>
              </w:rPr>
            </w:pPr>
          </w:p>
        </w:tc>
        <w:tc>
          <w:tcPr>
            <w:tcW w:w="670" w:type="dxa"/>
            <w:noWrap/>
            <w:hideMark/>
          </w:tcPr>
          <w:p w14:paraId="161F2F0B" w14:textId="6BFFEE06"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805" w:type="dxa"/>
            <w:noWrap/>
            <w:hideMark/>
          </w:tcPr>
          <w:p w14:paraId="455C7CBB"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845" w:type="dxa"/>
            <w:noWrap/>
            <w:hideMark/>
          </w:tcPr>
          <w:p w14:paraId="0829F392"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1375" w:type="dxa"/>
            <w:noWrap/>
            <w:hideMark/>
          </w:tcPr>
          <w:p w14:paraId="4C71CF27"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1325" w:type="dxa"/>
            <w:noWrap/>
            <w:hideMark/>
          </w:tcPr>
          <w:p w14:paraId="4524DDF7"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r>
      <w:tr w:rsidR="00174F36" w:rsidRPr="00174F36" w14:paraId="38FC41F7" w14:textId="77777777" w:rsidTr="006348FD">
        <w:trPr>
          <w:trHeight w:val="143"/>
        </w:trPr>
        <w:tc>
          <w:tcPr>
            <w:tcW w:w="2398" w:type="dxa"/>
            <w:gridSpan w:val="2"/>
            <w:shd w:val="clear" w:color="auto" w:fill="D9DFEF" w:themeFill="accent1" w:themeFillTint="33"/>
            <w:noWrap/>
            <w:hideMark/>
          </w:tcPr>
          <w:p w14:paraId="4581F3B9" w14:textId="77777777" w:rsidR="00174F36" w:rsidRPr="00174F36" w:rsidRDefault="00174F36" w:rsidP="00AC2E19">
            <w:pPr>
              <w:rPr>
                <w:rFonts w:ascii="Verdana" w:eastAsia="Times New Roman" w:hAnsi="Verdana" w:cstheme="majorHAnsi"/>
                <w:b/>
                <w:bCs/>
                <w:color w:val="000000"/>
                <w:sz w:val="14"/>
                <w:szCs w:val="14"/>
                <w:lang w:val="en-US"/>
              </w:rPr>
            </w:pPr>
            <w:r w:rsidRPr="00174F36">
              <w:rPr>
                <w:rFonts w:ascii="Verdana" w:hAnsi="Verdana"/>
                <w:b/>
                <w:bCs/>
                <w:color w:val="000000"/>
                <w:sz w:val="14"/>
                <w:szCs w:val="14"/>
                <w:lang w:val="en"/>
              </w:rPr>
              <w:t>Western Arc of SRR</w:t>
            </w:r>
          </w:p>
        </w:tc>
        <w:tc>
          <w:tcPr>
            <w:tcW w:w="1337" w:type="dxa"/>
            <w:noWrap/>
            <w:hideMark/>
          </w:tcPr>
          <w:p w14:paraId="256FD195"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222" w:type="dxa"/>
          </w:tcPr>
          <w:p w14:paraId="4309BDE2" w14:textId="77777777" w:rsidR="00174F36" w:rsidRPr="00174F36" w:rsidRDefault="00174F36" w:rsidP="00AC2E19">
            <w:pPr>
              <w:jc w:val="right"/>
              <w:rPr>
                <w:rFonts w:ascii="Verdana" w:hAnsi="Verdana"/>
                <w:b/>
                <w:bCs/>
                <w:sz w:val="14"/>
                <w:szCs w:val="14"/>
                <w:lang w:val="en"/>
              </w:rPr>
            </w:pPr>
          </w:p>
        </w:tc>
        <w:tc>
          <w:tcPr>
            <w:tcW w:w="670" w:type="dxa"/>
            <w:noWrap/>
            <w:hideMark/>
          </w:tcPr>
          <w:p w14:paraId="4DC7FEA5" w14:textId="4B6D8164"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805" w:type="dxa"/>
            <w:noWrap/>
            <w:hideMark/>
          </w:tcPr>
          <w:p w14:paraId="0C80DEA7"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845" w:type="dxa"/>
            <w:noWrap/>
            <w:hideMark/>
          </w:tcPr>
          <w:p w14:paraId="46EA76EC"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1375" w:type="dxa"/>
            <w:noWrap/>
            <w:hideMark/>
          </w:tcPr>
          <w:p w14:paraId="2BE115CD"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1325" w:type="dxa"/>
            <w:noWrap/>
            <w:hideMark/>
          </w:tcPr>
          <w:p w14:paraId="750E19AF"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r>
      <w:tr w:rsidR="00174F36" w:rsidRPr="00174F36" w14:paraId="5D51B825" w14:textId="77777777" w:rsidTr="006348FD">
        <w:trPr>
          <w:trHeight w:val="143"/>
        </w:trPr>
        <w:tc>
          <w:tcPr>
            <w:tcW w:w="2398" w:type="dxa"/>
            <w:gridSpan w:val="2"/>
            <w:shd w:val="clear" w:color="auto" w:fill="D9DFEF" w:themeFill="accent1" w:themeFillTint="33"/>
            <w:noWrap/>
            <w:hideMark/>
          </w:tcPr>
          <w:p w14:paraId="407B7014" w14:textId="77777777" w:rsidR="00174F36" w:rsidRPr="00174F36" w:rsidRDefault="00174F36" w:rsidP="00AC2E19">
            <w:pPr>
              <w:rPr>
                <w:rFonts w:ascii="Verdana" w:eastAsia="Times New Roman" w:hAnsi="Verdana" w:cstheme="majorHAnsi"/>
                <w:b/>
                <w:bCs/>
                <w:color w:val="000000"/>
                <w:sz w:val="14"/>
                <w:szCs w:val="14"/>
                <w:lang w:val="en-US"/>
              </w:rPr>
            </w:pPr>
            <w:r w:rsidRPr="00174F36">
              <w:rPr>
                <w:rFonts w:ascii="Verdana" w:hAnsi="Verdana"/>
                <w:b/>
                <w:bCs/>
                <w:color w:val="000000"/>
                <w:sz w:val="14"/>
                <w:szCs w:val="14"/>
                <w:lang w:val="en"/>
              </w:rPr>
              <w:t>Metro Extension, Line 2, Stage I</w:t>
            </w:r>
          </w:p>
        </w:tc>
        <w:tc>
          <w:tcPr>
            <w:tcW w:w="1337" w:type="dxa"/>
            <w:noWrap/>
            <w:hideMark/>
          </w:tcPr>
          <w:p w14:paraId="5A8796D1"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222" w:type="dxa"/>
          </w:tcPr>
          <w:p w14:paraId="3F231F00" w14:textId="77777777" w:rsidR="00174F36" w:rsidRPr="00174F36" w:rsidRDefault="00174F36" w:rsidP="00AC2E19">
            <w:pPr>
              <w:jc w:val="right"/>
              <w:rPr>
                <w:rFonts w:ascii="Verdana" w:hAnsi="Verdana"/>
                <w:b/>
                <w:bCs/>
                <w:sz w:val="14"/>
                <w:szCs w:val="14"/>
                <w:lang w:val="en"/>
              </w:rPr>
            </w:pPr>
          </w:p>
        </w:tc>
        <w:tc>
          <w:tcPr>
            <w:tcW w:w="670" w:type="dxa"/>
            <w:noWrap/>
            <w:hideMark/>
          </w:tcPr>
          <w:p w14:paraId="1EB1AAD1" w14:textId="67C657CC"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805" w:type="dxa"/>
            <w:noWrap/>
            <w:hideMark/>
          </w:tcPr>
          <w:p w14:paraId="20F2D411"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845" w:type="dxa"/>
            <w:noWrap/>
            <w:hideMark/>
          </w:tcPr>
          <w:p w14:paraId="1EBE563C"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1375" w:type="dxa"/>
            <w:noWrap/>
            <w:hideMark/>
          </w:tcPr>
          <w:p w14:paraId="06FF0F45"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1325" w:type="dxa"/>
            <w:noWrap/>
            <w:hideMark/>
          </w:tcPr>
          <w:p w14:paraId="01F98AE2"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r>
      <w:tr w:rsidR="00174F36" w:rsidRPr="00174F36" w14:paraId="506AC596" w14:textId="77777777" w:rsidTr="006348FD">
        <w:trPr>
          <w:trHeight w:val="143"/>
        </w:trPr>
        <w:tc>
          <w:tcPr>
            <w:tcW w:w="2398" w:type="dxa"/>
            <w:gridSpan w:val="2"/>
            <w:shd w:val="clear" w:color="auto" w:fill="D9DFEF" w:themeFill="accent1" w:themeFillTint="33"/>
            <w:noWrap/>
            <w:hideMark/>
          </w:tcPr>
          <w:p w14:paraId="23125E8E" w14:textId="77777777" w:rsidR="00174F36" w:rsidRPr="00174F36" w:rsidRDefault="00174F36" w:rsidP="00AC2E19">
            <w:pPr>
              <w:rPr>
                <w:rFonts w:ascii="Verdana" w:eastAsia="Times New Roman" w:hAnsi="Verdana" w:cstheme="majorHAnsi"/>
                <w:b/>
                <w:bCs/>
                <w:color w:val="000000"/>
                <w:sz w:val="14"/>
                <w:szCs w:val="14"/>
                <w:lang w:val="en-US"/>
              </w:rPr>
            </w:pPr>
            <w:r w:rsidRPr="00174F36">
              <w:rPr>
                <w:rFonts w:ascii="Verdana" w:hAnsi="Verdana"/>
                <w:b/>
                <w:bCs/>
                <w:color w:val="000000"/>
                <w:sz w:val="14"/>
                <w:szCs w:val="14"/>
                <w:lang w:val="en"/>
              </w:rPr>
              <w:t>Metro Extension, Line 1, Stage III</w:t>
            </w:r>
          </w:p>
        </w:tc>
        <w:tc>
          <w:tcPr>
            <w:tcW w:w="1337" w:type="dxa"/>
            <w:noWrap/>
            <w:hideMark/>
          </w:tcPr>
          <w:p w14:paraId="12C2226A"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222" w:type="dxa"/>
          </w:tcPr>
          <w:p w14:paraId="790E2F91" w14:textId="77777777" w:rsidR="00174F36" w:rsidRPr="00174F36" w:rsidRDefault="00174F36" w:rsidP="00AC2E19">
            <w:pPr>
              <w:jc w:val="right"/>
              <w:rPr>
                <w:rFonts w:ascii="Verdana" w:hAnsi="Verdana"/>
                <w:b/>
                <w:bCs/>
                <w:sz w:val="14"/>
                <w:szCs w:val="14"/>
                <w:lang w:val="en"/>
              </w:rPr>
            </w:pPr>
          </w:p>
        </w:tc>
        <w:tc>
          <w:tcPr>
            <w:tcW w:w="670" w:type="dxa"/>
            <w:noWrap/>
            <w:hideMark/>
          </w:tcPr>
          <w:p w14:paraId="3CAEF228" w14:textId="41692070"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805" w:type="dxa"/>
            <w:noWrap/>
            <w:hideMark/>
          </w:tcPr>
          <w:p w14:paraId="1E8CC478"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845" w:type="dxa"/>
            <w:noWrap/>
            <w:hideMark/>
          </w:tcPr>
          <w:p w14:paraId="195A0491"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1375" w:type="dxa"/>
            <w:noWrap/>
            <w:hideMark/>
          </w:tcPr>
          <w:p w14:paraId="2D6DE167"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c>
          <w:tcPr>
            <w:tcW w:w="1325" w:type="dxa"/>
            <w:noWrap/>
            <w:hideMark/>
          </w:tcPr>
          <w:p w14:paraId="6B6D0521" w14:textId="77777777" w:rsidR="00174F36" w:rsidRPr="00174F36" w:rsidRDefault="00174F36" w:rsidP="00AC2E19">
            <w:pPr>
              <w:jc w:val="right"/>
              <w:rPr>
                <w:rFonts w:ascii="Verdana" w:eastAsia="Times New Roman" w:hAnsi="Verdana" w:cstheme="majorHAnsi"/>
                <w:b/>
                <w:bCs/>
                <w:sz w:val="14"/>
                <w:szCs w:val="14"/>
                <w:lang w:val="en-US"/>
              </w:rPr>
            </w:pPr>
            <w:r w:rsidRPr="00174F36">
              <w:rPr>
                <w:rFonts w:ascii="Verdana" w:hAnsi="Verdana"/>
                <w:b/>
                <w:bCs/>
                <w:sz w:val="14"/>
                <w:szCs w:val="14"/>
                <w:lang w:val="en"/>
              </w:rPr>
              <w:t>****</w:t>
            </w:r>
          </w:p>
        </w:tc>
      </w:tr>
      <w:tr w:rsidR="00174F36" w:rsidRPr="00174F36" w14:paraId="2B2217B8" w14:textId="77777777" w:rsidTr="00174F36">
        <w:trPr>
          <w:trHeight w:val="47"/>
        </w:trPr>
        <w:tc>
          <w:tcPr>
            <w:tcW w:w="639" w:type="dxa"/>
          </w:tcPr>
          <w:p w14:paraId="3346CD9C" w14:textId="77777777" w:rsidR="00174F36" w:rsidRPr="00174F36" w:rsidRDefault="00174F36" w:rsidP="00AC2E19">
            <w:pPr>
              <w:rPr>
                <w:rFonts w:ascii="Verdana" w:hAnsi="Verdana"/>
                <w:i/>
                <w:iCs/>
                <w:color w:val="000000"/>
                <w:sz w:val="14"/>
                <w:szCs w:val="14"/>
                <w:lang w:val="en"/>
              </w:rPr>
            </w:pPr>
          </w:p>
        </w:tc>
        <w:tc>
          <w:tcPr>
            <w:tcW w:w="8338" w:type="dxa"/>
            <w:gridSpan w:val="8"/>
            <w:shd w:val="clear" w:color="auto" w:fill="auto"/>
            <w:noWrap/>
          </w:tcPr>
          <w:p w14:paraId="2B2AFC69" w14:textId="3043C76F" w:rsidR="00174F36" w:rsidRPr="00174F36" w:rsidRDefault="00174F36" w:rsidP="00AC2E19">
            <w:pPr>
              <w:rPr>
                <w:rFonts w:ascii="Verdana" w:eastAsia="Times New Roman" w:hAnsi="Verdana" w:cstheme="majorHAnsi"/>
                <w:i/>
                <w:iCs/>
                <w:sz w:val="14"/>
                <w:szCs w:val="14"/>
                <w:lang w:val="en-US"/>
              </w:rPr>
            </w:pPr>
            <w:r w:rsidRPr="00174F36">
              <w:rPr>
                <w:rFonts w:ascii="Verdana" w:hAnsi="Verdana"/>
                <w:i/>
                <w:iCs/>
                <w:color w:val="000000"/>
                <w:sz w:val="14"/>
                <w:szCs w:val="14"/>
                <w:lang w:val="en"/>
              </w:rPr>
              <w:t>Source: Own calculations</w:t>
            </w:r>
          </w:p>
        </w:tc>
      </w:tr>
    </w:tbl>
    <w:p w14:paraId="55F4C3EF" w14:textId="77777777" w:rsidR="001725BA" w:rsidRPr="00A75B45" w:rsidRDefault="001725BA" w:rsidP="001725BA">
      <w:pPr>
        <w:spacing w:before="120" w:after="120" w:line="240" w:lineRule="auto"/>
        <w:jc w:val="both"/>
        <w:rPr>
          <w:rFonts w:ascii="Verdana" w:hAnsi="Verdana"/>
          <w:i/>
          <w:iCs/>
          <w:sz w:val="20"/>
          <w:szCs w:val="20"/>
          <w:lang w:val="bg-BG"/>
        </w:rPr>
      </w:pPr>
    </w:p>
    <w:p w14:paraId="2A0D9CB7" w14:textId="77777777" w:rsidR="001725BA" w:rsidRPr="00A75B45" w:rsidRDefault="001725BA" w:rsidP="001725BA">
      <w:pPr>
        <w:pStyle w:val="Heading4"/>
        <w:numPr>
          <w:ilvl w:val="0"/>
          <w:numId w:val="37"/>
        </w:numPr>
        <w:spacing w:before="120" w:after="120" w:line="240" w:lineRule="auto"/>
        <w:jc w:val="both"/>
        <w:rPr>
          <w:rFonts w:ascii="Verdana" w:hAnsi="Verdana"/>
          <w:b/>
          <w:bCs/>
          <w:sz w:val="20"/>
          <w:szCs w:val="20"/>
          <w:lang w:val="bg-BG"/>
        </w:rPr>
      </w:pPr>
      <w:r w:rsidRPr="00A75B45">
        <w:rPr>
          <w:rFonts w:ascii="Verdana" w:hAnsi="Verdana"/>
          <w:b/>
          <w:bCs/>
          <w:sz w:val="20"/>
          <w:szCs w:val="20"/>
          <w:lang w:val="en"/>
        </w:rPr>
        <w:t>Regional effects based on difference-in-difference approach</w:t>
      </w:r>
    </w:p>
    <w:p w14:paraId="6741D9BE" w14:textId="0D5609EF" w:rsidR="001725BA" w:rsidRPr="00A75B45" w:rsidRDefault="001725BA" w:rsidP="001725BA">
      <w:pPr>
        <w:spacing w:before="120" w:after="120" w:line="240" w:lineRule="auto"/>
        <w:jc w:val="both"/>
        <w:rPr>
          <w:rFonts w:ascii="Verdana" w:hAnsi="Verdana"/>
          <w:sz w:val="20"/>
          <w:szCs w:val="20"/>
          <w:lang w:val="en"/>
        </w:rPr>
      </w:pPr>
      <w:r w:rsidRPr="00A75B45">
        <w:rPr>
          <w:rFonts w:ascii="Verdana" w:hAnsi="Verdana"/>
          <w:sz w:val="20"/>
          <w:szCs w:val="20"/>
          <w:lang w:val="en"/>
        </w:rPr>
        <w:t>The assessment of the net impact of OPT infrastructure projects on regional development is based on the application of the difference-in-differences method. For this purpose, the results from the development and implementation of the regional impact assessment model have been used.</w:t>
      </w:r>
      <w:r w:rsidRPr="00A75B45">
        <w:rPr>
          <w:rStyle w:val="FootnoteReference"/>
          <w:rFonts w:ascii="Verdana" w:hAnsi="Verdana"/>
          <w:sz w:val="20"/>
          <w:szCs w:val="20"/>
          <w:lang w:val="bg-BG"/>
        </w:rPr>
        <w:footnoteReference w:id="7"/>
      </w:r>
      <w:r w:rsidRPr="00A75B45">
        <w:rPr>
          <w:rFonts w:ascii="Verdana" w:hAnsi="Verdana"/>
          <w:sz w:val="20"/>
          <w:szCs w:val="20"/>
          <w:lang w:val="en"/>
        </w:rPr>
        <w:t xml:space="preserve"> The evaluation has been carried out in the framework of a targeted regional panel analysis, based on the regional business statistics for the 2005-2014 period, as well as on the detailed information from ISMM for the SCF funding of municipalities. Results show that despite the highly uneven regional distribution of OPT funds, in the favor our Southern Bulgaria, there are still some regional effects in the less economically developed regions. The magnitude of these effects is due to the insufficient levels of business indicators in the underdeveloped regions, and mostly to the relatively low amounts invested. It can be thus concluded that OPT has contributed to some extent to the overcoming of regional differences in terms of socio-economic development, and that it has a significant potential to contribute greatly in the recovery of lagging regions – in particular, for the case of Northern Bulgaria, in the case of an intensive infrastructure investment there.</w:t>
      </w:r>
    </w:p>
    <w:p w14:paraId="644B2FE1" w14:textId="77777777" w:rsidR="001725BA" w:rsidRPr="00A75B45" w:rsidRDefault="001725BA" w:rsidP="00056933">
      <w:pPr>
        <w:spacing w:before="120" w:after="120" w:line="240" w:lineRule="auto"/>
        <w:jc w:val="both"/>
        <w:rPr>
          <w:rFonts w:ascii="Verdana" w:hAnsi="Verdana"/>
          <w:sz w:val="20"/>
          <w:szCs w:val="20"/>
          <w:lang w:val="en"/>
        </w:rPr>
      </w:pPr>
      <w:r w:rsidRPr="00A75B45">
        <w:rPr>
          <w:rFonts w:ascii="Verdana" w:hAnsi="Verdana"/>
          <w:sz w:val="20"/>
          <w:szCs w:val="20"/>
          <w:lang w:val="en"/>
        </w:rPr>
        <w:t>The comparison of regional business development in municipalities with intensive OPT investments with those with relatively low participation rates in the programme shows the net impact of the analyzed projects on regional business development. In that case, by applying the counterfactual method</w:t>
      </w:r>
      <w:r w:rsidRPr="00A75B45">
        <w:rPr>
          <w:rStyle w:val="FootnoteReference"/>
          <w:rFonts w:ascii="Verdana" w:hAnsi="Verdana"/>
          <w:sz w:val="20"/>
          <w:szCs w:val="20"/>
          <w:lang w:val="bg-BG"/>
        </w:rPr>
        <w:footnoteReference w:id="8"/>
      </w:r>
      <w:r w:rsidRPr="00A75B45">
        <w:rPr>
          <w:rFonts w:ascii="Verdana" w:hAnsi="Verdana"/>
          <w:sz w:val="20"/>
          <w:szCs w:val="20"/>
          <w:lang w:val="en"/>
        </w:rPr>
        <w:t xml:space="preserve">, one could make the following conclusions about the net impact of the OPT: </w:t>
      </w:r>
    </w:p>
    <w:p w14:paraId="3378AD1F" w14:textId="77777777" w:rsidR="001725BA" w:rsidRPr="00A75B45" w:rsidRDefault="001725BA" w:rsidP="001725BA">
      <w:pPr>
        <w:pStyle w:val="ListParagraph"/>
        <w:numPr>
          <w:ilvl w:val="0"/>
          <w:numId w:val="36"/>
        </w:numPr>
        <w:spacing w:before="120" w:after="120" w:line="240" w:lineRule="auto"/>
        <w:jc w:val="both"/>
        <w:rPr>
          <w:rFonts w:ascii="Verdana" w:hAnsi="Verdana"/>
          <w:sz w:val="20"/>
          <w:szCs w:val="20"/>
          <w:lang w:val="bg-BG"/>
        </w:rPr>
      </w:pPr>
      <w:r w:rsidRPr="00A75B45">
        <w:rPr>
          <w:rFonts w:ascii="Verdana" w:hAnsi="Verdana"/>
          <w:i/>
          <w:iCs/>
          <w:sz w:val="20"/>
          <w:szCs w:val="20"/>
          <w:lang w:val="en-US"/>
        </w:rPr>
        <w:t>Overall, the impact of the OPT is observed the most in Southern Bulgaria, and in the Southeastern and the Southwestern regions.</w:t>
      </w:r>
      <w:r w:rsidRPr="00A75B45">
        <w:rPr>
          <w:rFonts w:ascii="Verdana" w:hAnsi="Verdana"/>
          <w:sz w:val="20"/>
          <w:szCs w:val="20"/>
          <w:lang w:val="en-US"/>
        </w:rPr>
        <w:t xml:space="preserve"> On the one hand, that is due to the investments’ size, and on the other – on the positive impact on business environment in the Southeastern region of some key projects, such as the project of </w:t>
      </w:r>
      <w:r w:rsidRPr="00A75B45">
        <w:rPr>
          <w:rFonts w:ascii="Verdana" w:hAnsi="Verdana"/>
          <w:sz w:val="20"/>
          <w:szCs w:val="20"/>
          <w:lang w:val="bg-BG"/>
        </w:rPr>
        <w:t>BG161PO004-2.0.01-0004</w:t>
      </w:r>
      <w:r w:rsidRPr="00A75B45">
        <w:rPr>
          <w:rFonts w:ascii="Verdana" w:hAnsi="Verdana"/>
          <w:sz w:val="20"/>
          <w:szCs w:val="20"/>
          <w:lang w:val="en-US"/>
        </w:rPr>
        <w:t xml:space="preserve"> </w:t>
      </w:r>
      <w:proofErr w:type="spellStart"/>
      <w:r w:rsidRPr="00A75B45">
        <w:rPr>
          <w:rFonts w:ascii="Verdana" w:hAnsi="Verdana"/>
          <w:i/>
          <w:iCs/>
          <w:sz w:val="20"/>
          <w:szCs w:val="20"/>
          <w:lang w:val="en-US"/>
        </w:rPr>
        <w:t>Trakia</w:t>
      </w:r>
      <w:proofErr w:type="spellEnd"/>
      <w:r w:rsidRPr="00A75B45">
        <w:rPr>
          <w:rFonts w:ascii="Verdana" w:hAnsi="Verdana"/>
          <w:i/>
          <w:iCs/>
          <w:sz w:val="20"/>
          <w:szCs w:val="20"/>
          <w:lang w:val="en-US"/>
        </w:rPr>
        <w:t xml:space="preserve"> Motorway</w:t>
      </w:r>
      <w:r w:rsidRPr="00A75B45">
        <w:rPr>
          <w:rFonts w:ascii="Verdana" w:hAnsi="Verdana"/>
          <w:sz w:val="20"/>
          <w:szCs w:val="20"/>
          <w:lang w:val="en-US"/>
        </w:rPr>
        <w:t>. The relatively lower effects for the Southern Central region observed owe to business environment being well-developed and sustained there. The latter significantly limits the role of OPT interventions for regional economic growth.</w:t>
      </w:r>
    </w:p>
    <w:p w14:paraId="379644B2" w14:textId="77777777" w:rsidR="001725BA" w:rsidRPr="00A75B45" w:rsidRDefault="001725BA" w:rsidP="001725BA">
      <w:pPr>
        <w:pStyle w:val="ListParagraph"/>
        <w:numPr>
          <w:ilvl w:val="0"/>
          <w:numId w:val="36"/>
        </w:numPr>
        <w:spacing w:before="120" w:after="120" w:line="240" w:lineRule="auto"/>
        <w:jc w:val="both"/>
        <w:rPr>
          <w:rFonts w:ascii="Verdana" w:hAnsi="Verdana"/>
          <w:sz w:val="20"/>
          <w:szCs w:val="20"/>
          <w:lang w:val="bg-BG"/>
        </w:rPr>
      </w:pPr>
      <w:r w:rsidRPr="00A75B45">
        <w:rPr>
          <w:rFonts w:ascii="Verdana" w:hAnsi="Verdana"/>
          <w:i/>
          <w:iCs/>
          <w:sz w:val="20"/>
          <w:szCs w:val="20"/>
          <w:lang w:val="en-US"/>
        </w:rPr>
        <w:t>OPT impact is lowest in Northern Bulgaria, and in the Northwestern and Northeastern regions in particular.</w:t>
      </w:r>
    </w:p>
    <w:p w14:paraId="1AD6309D" w14:textId="77777777" w:rsidR="001725BA" w:rsidRPr="00A75B45" w:rsidRDefault="001725BA" w:rsidP="001725BA">
      <w:pPr>
        <w:pStyle w:val="ListParagraph"/>
        <w:numPr>
          <w:ilvl w:val="0"/>
          <w:numId w:val="36"/>
        </w:numPr>
        <w:spacing w:before="120" w:after="120" w:line="240" w:lineRule="auto"/>
        <w:jc w:val="both"/>
        <w:rPr>
          <w:rFonts w:ascii="Verdana" w:hAnsi="Verdana"/>
          <w:i/>
          <w:iCs/>
          <w:sz w:val="20"/>
          <w:szCs w:val="20"/>
          <w:lang w:val="bg-BG"/>
        </w:rPr>
      </w:pPr>
      <w:r w:rsidRPr="00A75B45">
        <w:rPr>
          <w:rFonts w:ascii="Verdana" w:hAnsi="Verdana"/>
          <w:sz w:val="20"/>
          <w:szCs w:val="20"/>
          <w:lang w:val="en-US"/>
        </w:rPr>
        <w:t xml:space="preserve">The net effect on the </w:t>
      </w:r>
      <w:r w:rsidRPr="00A75B45">
        <w:rPr>
          <w:rFonts w:ascii="Verdana" w:hAnsi="Verdana"/>
          <w:sz w:val="20"/>
          <w:szCs w:val="20"/>
          <w:lang w:val="en"/>
        </w:rPr>
        <w:t xml:space="preserve">number of enterprises is most significant in </w:t>
      </w:r>
      <w:r w:rsidRPr="00A75B45">
        <w:rPr>
          <w:rFonts w:ascii="Verdana" w:hAnsi="Verdana"/>
          <w:i/>
          <w:iCs/>
          <w:sz w:val="20"/>
          <w:szCs w:val="20"/>
          <w:lang w:val="en"/>
        </w:rPr>
        <w:t xml:space="preserve">the Southwestern region: 29.9%. </w:t>
      </w:r>
    </w:p>
    <w:p w14:paraId="2613C99C" w14:textId="77777777" w:rsidR="001725BA" w:rsidRPr="00A75B45" w:rsidRDefault="001725BA" w:rsidP="001725BA">
      <w:pPr>
        <w:pStyle w:val="ListParagraph"/>
        <w:numPr>
          <w:ilvl w:val="0"/>
          <w:numId w:val="36"/>
        </w:numPr>
        <w:spacing w:before="120" w:after="120" w:line="240" w:lineRule="auto"/>
        <w:jc w:val="both"/>
        <w:rPr>
          <w:rFonts w:ascii="Verdana" w:hAnsi="Verdana"/>
          <w:sz w:val="20"/>
          <w:szCs w:val="20"/>
          <w:lang w:val="bg-BG"/>
        </w:rPr>
      </w:pPr>
      <w:r w:rsidRPr="00A75B45">
        <w:rPr>
          <w:rFonts w:ascii="Verdana" w:hAnsi="Verdana"/>
          <w:sz w:val="20"/>
          <w:szCs w:val="20"/>
          <w:lang w:val="en-US"/>
        </w:rPr>
        <w:t xml:space="preserve">In the Southwestern and Southeastern regions, the remuneration costs in the municipalities which had an intensive direct/indirect involvement in the OPT implementation were at times higher than the those for municipalities with lower participation rates. In the Southwestern region, the net effect amounts to more than 600%, which makes the remuneration costs seven times higher for the employed persons in enterprises, and in the Southeastern region, this effect amounts to three times higher for the same costs. The lowest impact value is </w:t>
      </w:r>
      <w:r w:rsidRPr="00A75B45">
        <w:rPr>
          <w:rFonts w:ascii="Verdana" w:hAnsi="Verdana"/>
          <w:sz w:val="20"/>
          <w:szCs w:val="20"/>
          <w:lang w:val="en-US"/>
        </w:rPr>
        <w:lastRenderedPageBreak/>
        <w:t>observed at the Northeastern and the Southern Central regions. In the Northwestern and the Northern Central regions, the remuneration costs were two times higher as a result of OPT’s implementation.</w:t>
      </w:r>
    </w:p>
    <w:p w14:paraId="602A1F97" w14:textId="77777777" w:rsidR="001725BA" w:rsidRPr="00A75B45" w:rsidRDefault="001725BA" w:rsidP="001725BA">
      <w:pPr>
        <w:pStyle w:val="ListParagraph"/>
        <w:numPr>
          <w:ilvl w:val="0"/>
          <w:numId w:val="36"/>
        </w:numPr>
        <w:spacing w:before="120" w:after="120" w:line="240" w:lineRule="auto"/>
        <w:jc w:val="both"/>
        <w:rPr>
          <w:rFonts w:ascii="Verdana" w:hAnsi="Verdana"/>
          <w:sz w:val="20"/>
          <w:szCs w:val="20"/>
          <w:lang w:val="bg-BG"/>
        </w:rPr>
      </w:pPr>
      <w:r w:rsidRPr="00A75B45">
        <w:rPr>
          <w:rFonts w:ascii="Verdana" w:hAnsi="Verdana"/>
          <w:sz w:val="20"/>
          <w:szCs w:val="20"/>
          <w:lang w:val="en"/>
        </w:rPr>
        <w:t>The impact on the OPT expenses for acquiring fixed tangible assets is similar to the one described above. The largest net effects are observed in the case of the Southeastern region (with almost five times larger expenditures for the acquisition of fixed tangible assets), and the Southwestern (with almost three times higher expenditures for the acquisition of fixed tangible assets). Once again, the lowest net impact is for the case of Southern Central and the Southeastern regions – the investments there have grown by between 50 and 60% as a result from the implemented projects.</w:t>
      </w:r>
    </w:p>
    <w:p w14:paraId="4B0ACD5B" w14:textId="77777777" w:rsidR="001725BA" w:rsidRPr="00A75B45" w:rsidRDefault="001725BA" w:rsidP="001725BA">
      <w:pPr>
        <w:pStyle w:val="ListParagraph"/>
        <w:numPr>
          <w:ilvl w:val="0"/>
          <w:numId w:val="36"/>
        </w:numPr>
        <w:spacing w:before="120" w:after="120" w:line="240" w:lineRule="auto"/>
        <w:jc w:val="both"/>
        <w:rPr>
          <w:rFonts w:ascii="Verdana" w:hAnsi="Verdana"/>
          <w:sz w:val="20"/>
          <w:szCs w:val="20"/>
          <w:lang w:val="bg-BG"/>
        </w:rPr>
      </w:pPr>
      <w:r w:rsidRPr="00A75B45">
        <w:rPr>
          <w:rFonts w:ascii="Verdana" w:hAnsi="Verdana"/>
          <w:sz w:val="20"/>
          <w:szCs w:val="20"/>
          <w:lang w:val="en-US"/>
        </w:rPr>
        <w:t>In terms of operating and production revenues, the situation is to a large extent analogous to the one above – business results are from three to four times better in the Southwestern region, and from five to seven times – in the Southeastern one. In this case, however, the Northwestern region is the least affected region from these investments: there, the net effect is significantly smaller at 24.4% on operating income and at 33.1% on production.</w:t>
      </w:r>
    </w:p>
    <w:p w14:paraId="7874EC4E" w14:textId="32A622DB" w:rsidR="001725BA" w:rsidRDefault="001725BA" w:rsidP="001725BA">
      <w:pPr>
        <w:spacing w:before="120" w:after="120" w:line="240" w:lineRule="auto"/>
        <w:jc w:val="both"/>
        <w:rPr>
          <w:rFonts w:ascii="Verdana" w:hAnsi="Verdana"/>
          <w:sz w:val="20"/>
          <w:szCs w:val="20"/>
          <w:lang w:val="en"/>
        </w:rPr>
      </w:pPr>
      <w:r w:rsidRPr="00A75B45">
        <w:rPr>
          <w:rFonts w:ascii="Verdana" w:hAnsi="Verdana"/>
          <w:sz w:val="20"/>
          <w:szCs w:val="20"/>
          <w:lang w:val="en"/>
        </w:rPr>
        <w:t>With the reported profit of the enterprises, there is once again a set of two distinct regional categories: Southeastern and Southwestern regions, with significant net effects; and the rest of Bulgarian regions, with much lower impact shown.</w:t>
      </w:r>
    </w:p>
    <w:p w14:paraId="2A940360" w14:textId="77777777" w:rsidR="000E7847" w:rsidRPr="00A75B45" w:rsidRDefault="000E7847" w:rsidP="001725BA">
      <w:pPr>
        <w:spacing w:before="120" w:after="120" w:line="240" w:lineRule="auto"/>
        <w:jc w:val="both"/>
        <w:rPr>
          <w:rFonts w:ascii="Verdana" w:hAnsi="Verdana"/>
          <w:sz w:val="20"/>
          <w:szCs w:val="20"/>
          <w:lang w:val="bg-BG"/>
        </w:rPr>
      </w:pPr>
    </w:p>
    <w:p w14:paraId="389A5AC8" w14:textId="77777777" w:rsidR="001725BA" w:rsidRPr="00A75B45" w:rsidRDefault="001725BA" w:rsidP="001725BA">
      <w:pPr>
        <w:pStyle w:val="Heading4"/>
        <w:numPr>
          <w:ilvl w:val="0"/>
          <w:numId w:val="37"/>
        </w:numPr>
        <w:spacing w:before="120" w:after="120" w:line="240" w:lineRule="auto"/>
        <w:jc w:val="both"/>
        <w:rPr>
          <w:rFonts w:ascii="Verdana" w:hAnsi="Verdana"/>
          <w:b/>
          <w:bCs/>
          <w:sz w:val="20"/>
          <w:szCs w:val="20"/>
          <w:lang w:val="bg-BG"/>
        </w:rPr>
      </w:pPr>
      <w:r w:rsidRPr="00A75B45">
        <w:rPr>
          <w:rFonts w:ascii="Verdana" w:hAnsi="Verdana"/>
          <w:b/>
          <w:bCs/>
          <w:sz w:val="20"/>
          <w:szCs w:val="20"/>
          <w:lang w:val="en"/>
        </w:rPr>
        <w:t xml:space="preserve">Continuing impact of OPT – net effects at the end of 2019 </w:t>
      </w:r>
    </w:p>
    <w:p w14:paraId="14997A9C" w14:textId="77777777" w:rsidR="001725BA" w:rsidRPr="00A75B45" w:rsidRDefault="001725BA" w:rsidP="001725BA">
      <w:pPr>
        <w:spacing w:before="120" w:after="120" w:line="240" w:lineRule="auto"/>
        <w:jc w:val="both"/>
        <w:rPr>
          <w:rFonts w:ascii="Verdana" w:hAnsi="Verdana"/>
          <w:sz w:val="20"/>
          <w:szCs w:val="20"/>
          <w:lang w:val="bg-BG"/>
        </w:rPr>
      </w:pPr>
      <w:r w:rsidRPr="00A75B45">
        <w:rPr>
          <w:rFonts w:ascii="Verdana" w:hAnsi="Verdana"/>
          <w:sz w:val="20"/>
          <w:szCs w:val="20"/>
          <w:lang w:val="en"/>
        </w:rPr>
        <w:t>The impact of the projects implemented under the OPT is, above all, observed in the medium and in the long run, with net effects gradually fading after the end of the first programming period. There is a continuing impact of the OPT at the end of 2019 (with the conditional assumption that after the end of this period any SCF investment activity in infrastructure is ceased). This lasting effect of project implementation on GDP and employment approximately amounts to 0.1%, and the respective values for the impact on the import of goods and services, and on private investments are 0.4% and 0.2%. However weakly, private consumption is still affected by the investments made, and amounts to 0.1%. The effects on the export of goods as well as on the budget balance have now faded away, being almost zero.</w:t>
      </w:r>
    </w:p>
    <w:p w14:paraId="5F015EE1" w14:textId="69247938" w:rsidR="001725BA" w:rsidRPr="00A75B45" w:rsidRDefault="001725BA" w:rsidP="001725BA">
      <w:pPr>
        <w:spacing w:before="120" w:after="120" w:line="240" w:lineRule="auto"/>
        <w:jc w:val="both"/>
        <w:rPr>
          <w:rFonts w:ascii="Verdana" w:hAnsi="Verdana"/>
          <w:color w:val="121428" w:themeColor="text2" w:themeShade="80"/>
          <w:sz w:val="20"/>
          <w:szCs w:val="20"/>
          <w:lang w:val="bg-BG"/>
        </w:rPr>
      </w:pPr>
      <w:r w:rsidRPr="00A75B45">
        <w:rPr>
          <w:rFonts w:ascii="Verdana" w:hAnsi="Verdana"/>
          <w:color w:val="121428" w:themeColor="text2" w:themeShade="80"/>
          <w:sz w:val="20"/>
          <w:szCs w:val="20"/>
          <w:lang w:val="en-US"/>
        </w:rPr>
        <w:t>The economic benefits (e.g. time saved, environmental benefits, reduction in the number of transport accidents) projected in the CBA have the potential to increase on an annual basis in the reference periods of the projects of 30 years, in so far as they all stem from the volume of traffic realized on the railway and road networks, as well as on the metro lines of the Sofia Metro. According to the case studies data, which has been described in Annex</w:t>
      </w:r>
      <w:r w:rsidR="00A75B45" w:rsidRPr="00A75B45">
        <w:rPr>
          <w:rFonts w:ascii="Verdana" w:hAnsi="Verdana"/>
          <w:color w:val="121428" w:themeColor="text2" w:themeShade="80"/>
          <w:sz w:val="20"/>
          <w:szCs w:val="20"/>
          <w:lang w:val="en-US"/>
        </w:rPr>
        <w:t xml:space="preserve"> 4 to the current</w:t>
      </w:r>
      <w:r w:rsidRPr="00A75B45">
        <w:rPr>
          <w:rFonts w:ascii="Verdana" w:hAnsi="Verdana"/>
          <w:color w:val="121428" w:themeColor="text2" w:themeShade="80"/>
          <w:sz w:val="20"/>
          <w:szCs w:val="20"/>
          <w:lang w:val="en-US"/>
        </w:rPr>
        <w:t xml:space="preserve"> report</w:t>
      </w:r>
      <w:r w:rsidR="00A75B45" w:rsidRPr="00A75B45">
        <w:rPr>
          <w:rFonts w:ascii="Verdana" w:hAnsi="Verdana"/>
          <w:color w:val="121428" w:themeColor="text2" w:themeShade="80"/>
          <w:sz w:val="20"/>
          <w:szCs w:val="20"/>
          <w:lang w:val="en-US"/>
        </w:rPr>
        <w:t xml:space="preserve">, </w:t>
      </w:r>
      <w:r w:rsidRPr="00A75B45">
        <w:rPr>
          <w:rFonts w:ascii="Verdana" w:hAnsi="Verdana"/>
          <w:color w:val="121428" w:themeColor="text2" w:themeShade="80"/>
          <w:sz w:val="20"/>
          <w:szCs w:val="20"/>
          <w:lang w:val="en-US"/>
        </w:rPr>
        <w:t>for the 2016-2019 period, there is an increasing trend in railway transportation (both freight and passenger), in the number travels with the Sofia Metro, and in the traffic observed on the road network.</w:t>
      </w:r>
      <w:r w:rsidRPr="00A75B45">
        <w:rPr>
          <w:rFonts w:ascii="Verdana" w:hAnsi="Verdana"/>
          <w:color w:val="121428" w:themeColor="text2" w:themeShade="80"/>
          <w:sz w:val="20"/>
          <w:szCs w:val="20"/>
          <w:lang w:val="en"/>
        </w:rPr>
        <w:t xml:space="preserve"> </w:t>
      </w:r>
    </w:p>
    <w:p w14:paraId="52A1BE05" w14:textId="77777777" w:rsidR="001725BA" w:rsidRPr="00A75B45" w:rsidRDefault="001725BA" w:rsidP="001725BA">
      <w:pPr>
        <w:spacing w:before="120" w:after="120" w:line="240" w:lineRule="auto"/>
        <w:jc w:val="both"/>
        <w:rPr>
          <w:rFonts w:ascii="Verdana" w:hAnsi="Verdana"/>
          <w:color w:val="121428" w:themeColor="text2" w:themeShade="80"/>
          <w:sz w:val="20"/>
          <w:szCs w:val="20"/>
          <w:lang w:val="bg-BG"/>
        </w:rPr>
      </w:pPr>
    </w:p>
    <w:p w14:paraId="54FCF455" w14:textId="14E55195" w:rsidR="006348FD" w:rsidRPr="006348FD" w:rsidRDefault="006348FD" w:rsidP="006348FD">
      <w:pPr>
        <w:pStyle w:val="Caption"/>
        <w:keepNext/>
        <w:rPr>
          <w:rFonts w:ascii="Verdana" w:hAnsi="Verdana"/>
          <w:sz w:val="20"/>
          <w:szCs w:val="20"/>
        </w:rPr>
      </w:pPr>
      <w:bookmarkStart w:id="45" w:name="_Toc62724732"/>
      <w:r w:rsidRPr="006348FD">
        <w:rPr>
          <w:rFonts w:ascii="Verdana" w:hAnsi="Verdana"/>
          <w:sz w:val="20"/>
          <w:szCs w:val="20"/>
        </w:rPr>
        <w:t xml:space="preserve">Table </w:t>
      </w:r>
      <w:r w:rsidR="002A60EF">
        <w:rPr>
          <w:rFonts w:ascii="Verdana" w:hAnsi="Verdana"/>
          <w:sz w:val="20"/>
          <w:szCs w:val="20"/>
        </w:rPr>
        <w:fldChar w:fldCharType="begin"/>
      </w:r>
      <w:r w:rsidR="002A60EF">
        <w:rPr>
          <w:rFonts w:ascii="Verdana" w:hAnsi="Verdana"/>
          <w:sz w:val="20"/>
          <w:szCs w:val="20"/>
        </w:rPr>
        <w:instrText xml:space="preserve"> STYLEREF 1 \s </w:instrText>
      </w:r>
      <w:r w:rsidR="002A60EF">
        <w:rPr>
          <w:rFonts w:ascii="Verdana" w:hAnsi="Verdana"/>
          <w:sz w:val="20"/>
          <w:szCs w:val="20"/>
        </w:rPr>
        <w:fldChar w:fldCharType="separate"/>
      </w:r>
      <w:r w:rsidR="002A60EF">
        <w:rPr>
          <w:rFonts w:ascii="Verdana" w:hAnsi="Verdana"/>
          <w:noProof/>
          <w:sz w:val="20"/>
          <w:szCs w:val="20"/>
        </w:rPr>
        <w:t>IV.1</w:t>
      </w:r>
      <w:r w:rsidR="002A60EF">
        <w:rPr>
          <w:rFonts w:ascii="Verdana" w:hAnsi="Verdana"/>
          <w:sz w:val="20"/>
          <w:szCs w:val="20"/>
        </w:rPr>
        <w:fldChar w:fldCharType="end"/>
      </w:r>
      <w:r w:rsidR="002A60EF">
        <w:rPr>
          <w:rFonts w:ascii="Verdana" w:hAnsi="Verdana"/>
          <w:sz w:val="20"/>
          <w:szCs w:val="20"/>
        </w:rPr>
        <w:noBreakHyphen/>
      </w:r>
      <w:r w:rsidR="002A60EF">
        <w:rPr>
          <w:rFonts w:ascii="Verdana" w:hAnsi="Verdana"/>
          <w:sz w:val="20"/>
          <w:szCs w:val="20"/>
        </w:rPr>
        <w:fldChar w:fldCharType="begin"/>
      </w:r>
      <w:r w:rsidR="002A60EF">
        <w:rPr>
          <w:rFonts w:ascii="Verdana" w:hAnsi="Verdana"/>
          <w:sz w:val="20"/>
          <w:szCs w:val="20"/>
        </w:rPr>
        <w:instrText xml:space="preserve"> SEQ Table \* ARABIC \s 1 </w:instrText>
      </w:r>
      <w:r w:rsidR="002A60EF">
        <w:rPr>
          <w:rFonts w:ascii="Verdana" w:hAnsi="Verdana"/>
          <w:sz w:val="20"/>
          <w:szCs w:val="20"/>
        </w:rPr>
        <w:fldChar w:fldCharType="separate"/>
      </w:r>
      <w:r w:rsidR="002A60EF">
        <w:rPr>
          <w:rFonts w:ascii="Verdana" w:hAnsi="Verdana"/>
          <w:noProof/>
          <w:sz w:val="20"/>
          <w:szCs w:val="20"/>
        </w:rPr>
        <w:t>4</w:t>
      </w:r>
      <w:r w:rsidR="002A60EF">
        <w:rPr>
          <w:rFonts w:ascii="Verdana" w:hAnsi="Verdana"/>
          <w:sz w:val="20"/>
          <w:szCs w:val="20"/>
        </w:rPr>
        <w:fldChar w:fldCharType="end"/>
      </w:r>
      <w:r w:rsidRPr="006348FD">
        <w:rPr>
          <w:rFonts w:ascii="Verdana" w:hAnsi="Verdana"/>
          <w:sz w:val="20"/>
          <w:szCs w:val="20"/>
        </w:rPr>
        <w:t xml:space="preserve"> Net impact of the OPT on main macroeconomic indicators in Bulgaria at the end of 2019</w:t>
      </w:r>
      <w:bookmarkEnd w:id="45"/>
    </w:p>
    <w:tbl>
      <w:tblPr>
        <w:tblStyle w:val="TableGridLight"/>
        <w:tblW w:w="90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775"/>
        <w:gridCol w:w="1890"/>
        <w:gridCol w:w="1800"/>
        <w:gridCol w:w="1535"/>
      </w:tblGrid>
      <w:tr w:rsidR="001725BA" w:rsidRPr="00A75B45" w14:paraId="7C92DC3C" w14:textId="77777777" w:rsidTr="006348FD">
        <w:trPr>
          <w:trHeight w:val="332"/>
        </w:trPr>
        <w:tc>
          <w:tcPr>
            <w:tcW w:w="3775" w:type="dxa"/>
            <w:shd w:val="clear" w:color="auto" w:fill="374C80" w:themeFill="accent1" w:themeFillShade="BF"/>
          </w:tcPr>
          <w:p w14:paraId="026986AE" w14:textId="77777777" w:rsidR="001725BA" w:rsidRPr="00A75B45" w:rsidRDefault="001725BA" w:rsidP="00AC2E19">
            <w:pPr>
              <w:jc w:val="center"/>
              <w:rPr>
                <w:rFonts w:ascii="Verdana" w:eastAsia="Times New Roman" w:hAnsi="Verdana" w:cstheme="majorHAnsi"/>
                <w:b/>
                <w:bCs/>
                <w:color w:val="FFFFFF" w:themeColor="background1"/>
                <w:sz w:val="18"/>
                <w:szCs w:val="18"/>
                <w:lang w:val="bg-BG"/>
              </w:rPr>
            </w:pPr>
          </w:p>
          <w:p w14:paraId="256062EE" w14:textId="77777777" w:rsidR="001725BA" w:rsidRPr="00A75B45" w:rsidRDefault="001725BA" w:rsidP="00AC2E19">
            <w:pPr>
              <w:jc w:val="center"/>
              <w:rPr>
                <w:rFonts w:ascii="Verdana" w:eastAsia="Times New Roman" w:hAnsi="Verdana" w:cstheme="majorHAnsi"/>
                <w:b/>
                <w:bCs/>
                <w:color w:val="FFFFFF" w:themeColor="background1"/>
                <w:sz w:val="18"/>
                <w:szCs w:val="18"/>
                <w:lang w:val="bg-BG"/>
              </w:rPr>
            </w:pPr>
            <w:r w:rsidRPr="00A75B45">
              <w:rPr>
                <w:rFonts w:ascii="Verdana" w:hAnsi="Verdana"/>
                <w:b/>
                <w:bCs/>
                <w:color w:val="FFFFFF" w:themeColor="background1"/>
                <w:sz w:val="18"/>
                <w:szCs w:val="18"/>
                <w:lang w:val="en"/>
              </w:rPr>
              <w:t>Macroeconomic indicator</w:t>
            </w:r>
          </w:p>
        </w:tc>
        <w:tc>
          <w:tcPr>
            <w:tcW w:w="1890" w:type="dxa"/>
            <w:shd w:val="clear" w:color="auto" w:fill="374C80" w:themeFill="accent1" w:themeFillShade="BF"/>
          </w:tcPr>
          <w:p w14:paraId="7DC01442" w14:textId="77777777" w:rsidR="001725BA" w:rsidRPr="00A75B45" w:rsidRDefault="001725BA" w:rsidP="00AC2E19">
            <w:pPr>
              <w:jc w:val="center"/>
              <w:rPr>
                <w:rFonts w:ascii="Verdana" w:eastAsia="Times New Roman" w:hAnsi="Verdana" w:cstheme="majorHAnsi"/>
                <w:b/>
                <w:bCs/>
                <w:color w:val="FFFFFF" w:themeColor="background1"/>
                <w:sz w:val="18"/>
                <w:szCs w:val="18"/>
                <w:lang w:val="bg-BG"/>
              </w:rPr>
            </w:pPr>
            <w:r w:rsidRPr="00A75B45">
              <w:rPr>
                <w:rFonts w:ascii="Verdana" w:hAnsi="Verdana"/>
                <w:b/>
                <w:bCs/>
                <w:color w:val="FFFFFF" w:themeColor="background1"/>
                <w:sz w:val="18"/>
                <w:szCs w:val="18"/>
                <w:lang w:val="en"/>
              </w:rPr>
              <w:t>Expected effect for 2019, estimated in 2012</w:t>
            </w:r>
            <w:r w:rsidRPr="00A75B45">
              <w:rPr>
                <w:rFonts w:ascii="Verdana" w:hAnsi="Verdana"/>
                <w:color w:val="FFFFFF" w:themeColor="background1"/>
                <w:sz w:val="18"/>
                <w:szCs w:val="18"/>
                <w:vertAlign w:val="superscript"/>
                <w:lang w:val="en"/>
              </w:rPr>
              <w:footnoteReference w:id="9"/>
            </w:r>
          </w:p>
        </w:tc>
        <w:tc>
          <w:tcPr>
            <w:tcW w:w="1800" w:type="dxa"/>
            <w:shd w:val="clear" w:color="auto" w:fill="374C80" w:themeFill="accent1" w:themeFillShade="BF"/>
          </w:tcPr>
          <w:p w14:paraId="4CD629FA" w14:textId="77777777" w:rsidR="001725BA" w:rsidRPr="00A75B45" w:rsidRDefault="001725BA" w:rsidP="00AC2E19">
            <w:pPr>
              <w:jc w:val="center"/>
              <w:rPr>
                <w:rFonts w:ascii="Verdana" w:eastAsia="Times New Roman" w:hAnsi="Verdana" w:cstheme="majorHAnsi"/>
                <w:b/>
                <w:bCs/>
                <w:color w:val="FFFFFF" w:themeColor="background1"/>
                <w:sz w:val="18"/>
                <w:szCs w:val="18"/>
                <w:lang w:val="bg-BG"/>
              </w:rPr>
            </w:pPr>
            <w:r w:rsidRPr="00A75B45">
              <w:rPr>
                <w:rFonts w:ascii="Verdana" w:hAnsi="Verdana"/>
                <w:b/>
                <w:bCs/>
                <w:color w:val="FFFFFF" w:themeColor="background1"/>
                <w:sz w:val="18"/>
                <w:szCs w:val="18"/>
                <w:lang w:val="en"/>
              </w:rPr>
              <w:t xml:space="preserve">Expected effect for 2019, </w:t>
            </w:r>
            <w:r w:rsidRPr="00A75B45">
              <w:rPr>
                <w:rFonts w:ascii="Verdana" w:hAnsi="Verdana"/>
                <w:b/>
                <w:bCs/>
                <w:color w:val="FFFFFF" w:themeColor="background1"/>
                <w:sz w:val="18"/>
                <w:szCs w:val="18"/>
                <w:lang w:val="en"/>
              </w:rPr>
              <w:lastRenderedPageBreak/>
              <w:t>estimated in 2015</w:t>
            </w:r>
            <w:r w:rsidRPr="00A75B45">
              <w:rPr>
                <w:rFonts w:ascii="Verdana" w:hAnsi="Verdana"/>
                <w:color w:val="FFFFFF" w:themeColor="background1"/>
                <w:sz w:val="18"/>
                <w:szCs w:val="18"/>
                <w:vertAlign w:val="superscript"/>
                <w:lang w:val="en"/>
              </w:rPr>
              <w:footnoteReference w:id="10"/>
            </w:r>
          </w:p>
        </w:tc>
        <w:tc>
          <w:tcPr>
            <w:tcW w:w="1535" w:type="dxa"/>
            <w:shd w:val="clear" w:color="auto" w:fill="374C80" w:themeFill="accent1" w:themeFillShade="BF"/>
          </w:tcPr>
          <w:p w14:paraId="4F153B5A" w14:textId="77777777" w:rsidR="001725BA" w:rsidRPr="00A75B45" w:rsidRDefault="001725BA" w:rsidP="00AC2E19">
            <w:pPr>
              <w:jc w:val="center"/>
              <w:rPr>
                <w:rFonts w:ascii="Verdana" w:eastAsia="Times New Roman" w:hAnsi="Verdana" w:cstheme="majorHAnsi"/>
                <w:b/>
                <w:bCs/>
                <w:color w:val="FFFFFF" w:themeColor="background1"/>
                <w:sz w:val="18"/>
                <w:szCs w:val="18"/>
                <w:lang w:val="bg-BG"/>
              </w:rPr>
            </w:pPr>
            <w:r w:rsidRPr="00A75B45">
              <w:rPr>
                <w:rFonts w:ascii="Verdana" w:hAnsi="Verdana"/>
                <w:b/>
                <w:bCs/>
                <w:color w:val="FFFFFF" w:themeColor="background1"/>
                <w:sz w:val="18"/>
                <w:szCs w:val="18"/>
                <w:lang w:val="en"/>
              </w:rPr>
              <w:lastRenderedPageBreak/>
              <w:t xml:space="preserve">Current expert </w:t>
            </w:r>
            <w:r w:rsidRPr="00A75B45">
              <w:rPr>
                <w:rFonts w:ascii="Verdana" w:hAnsi="Verdana"/>
                <w:b/>
                <w:bCs/>
                <w:color w:val="FFFFFF" w:themeColor="background1"/>
                <w:sz w:val="18"/>
                <w:szCs w:val="18"/>
                <w:lang w:val="en"/>
              </w:rPr>
              <w:lastRenderedPageBreak/>
              <w:t>assessment</w:t>
            </w:r>
            <w:r w:rsidRPr="00A75B45">
              <w:rPr>
                <w:rFonts w:ascii="Verdana" w:hAnsi="Verdana"/>
                <w:color w:val="FFFFFF" w:themeColor="background1"/>
                <w:sz w:val="18"/>
                <w:szCs w:val="18"/>
                <w:vertAlign w:val="superscript"/>
                <w:lang w:val="en"/>
              </w:rPr>
              <w:footnoteReference w:id="11"/>
            </w:r>
          </w:p>
        </w:tc>
      </w:tr>
      <w:tr w:rsidR="001725BA" w:rsidRPr="00A75B45" w14:paraId="3AC0F1B1" w14:textId="77777777" w:rsidTr="006348FD">
        <w:trPr>
          <w:trHeight w:hRule="exact" w:val="288"/>
        </w:trPr>
        <w:tc>
          <w:tcPr>
            <w:tcW w:w="3775" w:type="dxa"/>
            <w:shd w:val="clear" w:color="auto" w:fill="D9DFEF" w:themeFill="accent1" w:themeFillTint="33"/>
          </w:tcPr>
          <w:p w14:paraId="2917E342" w14:textId="43F3E3A3" w:rsidR="001725BA" w:rsidRPr="00A75B45" w:rsidRDefault="006348FD" w:rsidP="00AC2E19">
            <w:pPr>
              <w:pStyle w:val="TableParagraph"/>
              <w:spacing w:before="0"/>
              <w:rPr>
                <w:rFonts w:ascii="Verdana" w:hAnsi="Verdana"/>
                <w:b/>
                <w:bCs/>
                <w:i/>
                <w:iCs/>
                <w:color w:val="253356" w:themeColor="accent1" w:themeShade="80"/>
                <w:sz w:val="18"/>
                <w:szCs w:val="18"/>
              </w:rPr>
            </w:pPr>
            <w:r w:rsidRPr="00A75B45">
              <w:rPr>
                <w:rFonts w:ascii="Verdana" w:hAnsi="Verdana"/>
                <w:b/>
                <w:bCs/>
                <w:i/>
                <w:iCs/>
                <w:color w:val="253356" w:themeColor="accent1" w:themeShade="80"/>
                <w:sz w:val="18"/>
                <w:szCs w:val="18"/>
                <w:lang w:val="en"/>
              </w:rPr>
              <w:lastRenderedPageBreak/>
              <w:t>Labor</w:t>
            </w:r>
            <w:r w:rsidR="001725BA" w:rsidRPr="00A75B45">
              <w:rPr>
                <w:rFonts w:ascii="Verdana" w:hAnsi="Verdana"/>
                <w:b/>
                <w:bCs/>
                <w:i/>
                <w:iCs/>
                <w:color w:val="253356" w:themeColor="accent1" w:themeShade="80"/>
                <w:sz w:val="18"/>
                <w:szCs w:val="18"/>
                <w:lang w:val="en"/>
              </w:rPr>
              <w:t xml:space="preserve"> market</w:t>
            </w:r>
          </w:p>
        </w:tc>
        <w:tc>
          <w:tcPr>
            <w:tcW w:w="1890" w:type="dxa"/>
          </w:tcPr>
          <w:p w14:paraId="14761F64" w14:textId="77777777" w:rsidR="001725BA" w:rsidRPr="00A75B45" w:rsidRDefault="001725BA" w:rsidP="00AC2E19">
            <w:pPr>
              <w:pStyle w:val="TableParagraph"/>
              <w:spacing w:before="0"/>
              <w:ind w:left="848" w:right="829"/>
              <w:jc w:val="center"/>
              <w:rPr>
                <w:rFonts w:ascii="Verdana" w:hAnsi="Verdana"/>
                <w:i/>
                <w:iCs/>
                <w:color w:val="4A66AC" w:themeColor="accent1"/>
                <w:sz w:val="18"/>
                <w:szCs w:val="18"/>
              </w:rPr>
            </w:pPr>
          </w:p>
        </w:tc>
        <w:tc>
          <w:tcPr>
            <w:tcW w:w="1800" w:type="dxa"/>
          </w:tcPr>
          <w:p w14:paraId="129EEC97" w14:textId="77777777" w:rsidR="001725BA" w:rsidRPr="00A75B45" w:rsidRDefault="001725BA" w:rsidP="00AC2E19">
            <w:pPr>
              <w:pStyle w:val="TableParagraph"/>
              <w:spacing w:before="0"/>
              <w:ind w:left="848" w:right="829"/>
              <w:jc w:val="center"/>
              <w:rPr>
                <w:rFonts w:ascii="Verdana" w:hAnsi="Verdana"/>
                <w:i/>
                <w:iCs/>
                <w:color w:val="4A66AC" w:themeColor="accent1"/>
                <w:sz w:val="18"/>
                <w:szCs w:val="18"/>
              </w:rPr>
            </w:pPr>
          </w:p>
        </w:tc>
        <w:tc>
          <w:tcPr>
            <w:tcW w:w="1535" w:type="dxa"/>
          </w:tcPr>
          <w:p w14:paraId="75E7053D" w14:textId="77777777" w:rsidR="001725BA" w:rsidRPr="00A75B45" w:rsidRDefault="001725BA" w:rsidP="00AC2E19">
            <w:pPr>
              <w:pStyle w:val="TableParagraph"/>
              <w:spacing w:before="0"/>
              <w:ind w:left="848" w:right="829"/>
              <w:jc w:val="center"/>
              <w:rPr>
                <w:rFonts w:ascii="Verdana" w:hAnsi="Verdana"/>
                <w:i/>
                <w:iCs/>
                <w:color w:val="4A66AC" w:themeColor="accent1"/>
                <w:sz w:val="18"/>
                <w:szCs w:val="18"/>
              </w:rPr>
            </w:pPr>
          </w:p>
        </w:tc>
      </w:tr>
      <w:tr w:rsidR="001725BA" w:rsidRPr="00A75B45" w14:paraId="0A14486E" w14:textId="77777777" w:rsidTr="006348FD">
        <w:trPr>
          <w:trHeight w:hRule="exact" w:val="288"/>
        </w:trPr>
        <w:tc>
          <w:tcPr>
            <w:tcW w:w="3775" w:type="dxa"/>
            <w:shd w:val="clear" w:color="auto" w:fill="D9DFEF" w:themeFill="accent1" w:themeFillTint="33"/>
          </w:tcPr>
          <w:p w14:paraId="1704E8F2" w14:textId="77777777" w:rsidR="001725BA" w:rsidRPr="00A75B45" w:rsidRDefault="001725BA" w:rsidP="00AC2E19">
            <w:pPr>
              <w:pStyle w:val="TableParagraph"/>
              <w:spacing w:before="0"/>
              <w:rPr>
                <w:rFonts w:ascii="Verdana" w:hAnsi="Verdana"/>
                <w:sz w:val="18"/>
                <w:szCs w:val="18"/>
              </w:rPr>
            </w:pPr>
            <w:r w:rsidRPr="00A75B45">
              <w:rPr>
                <w:rFonts w:ascii="Verdana" w:hAnsi="Verdana"/>
                <w:sz w:val="18"/>
                <w:szCs w:val="18"/>
                <w:lang w:val="en"/>
              </w:rPr>
              <w:t>Employment (15-64), thousand</w:t>
            </w:r>
          </w:p>
        </w:tc>
        <w:tc>
          <w:tcPr>
            <w:tcW w:w="1890" w:type="dxa"/>
          </w:tcPr>
          <w:p w14:paraId="326956FE" w14:textId="77777777" w:rsidR="001725BA" w:rsidRPr="00A75B45" w:rsidRDefault="001725BA" w:rsidP="00AC2E19">
            <w:pPr>
              <w:pStyle w:val="TableParagraph"/>
              <w:spacing w:before="0"/>
              <w:ind w:left="340" w:right="433"/>
              <w:jc w:val="center"/>
              <w:rPr>
                <w:rFonts w:ascii="Verdana" w:hAnsi="Verdana"/>
                <w:sz w:val="18"/>
                <w:szCs w:val="18"/>
              </w:rPr>
            </w:pPr>
            <w:r w:rsidRPr="00A75B45">
              <w:rPr>
                <w:rFonts w:ascii="Verdana" w:hAnsi="Verdana"/>
                <w:sz w:val="18"/>
                <w:szCs w:val="18"/>
                <w:lang w:val="en"/>
              </w:rPr>
              <w:t>1.8%</w:t>
            </w:r>
          </w:p>
        </w:tc>
        <w:tc>
          <w:tcPr>
            <w:tcW w:w="1800" w:type="dxa"/>
          </w:tcPr>
          <w:p w14:paraId="0E3B2844" w14:textId="77777777" w:rsidR="001725BA" w:rsidRPr="00A75B45" w:rsidRDefault="001725BA" w:rsidP="00AC2E19">
            <w:pPr>
              <w:pStyle w:val="TableParagraph"/>
              <w:spacing w:before="0"/>
              <w:ind w:left="340" w:right="433"/>
              <w:jc w:val="center"/>
              <w:rPr>
                <w:rFonts w:ascii="Verdana" w:hAnsi="Verdana"/>
                <w:sz w:val="18"/>
                <w:szCs w:val="18"/>
              </w:rPr>
            </w:pPr>
            <w:r w:rsidRPr="00A75B45">
              <w:rPr>
                <w:rFonts w:ascii="Verdana" w:hAnsi="Verdana"/>
                <w:sz w:val="18"/>
                <w:szCs w:val="18"/>
                <w:lang w:val="en"/>
              </w:rPr>
              <w:t>0.3%</w:t>
            </w:r>
          </w:p>
        </w:tc>
        <w:tc>
          <w:tcPr>
            <w:tcW w:w="1535" w:type="dxa"/>
          </w:tcPr>
          <w:p w14:paraId="0E8471F4" w14:textId="77777777" w:rsidR="001725BA" w:rsidRPr="00A75B45" w:rsidRDefault="001725BA" w:rsidP="00AC2E19">
            <w:pPr>
              <w:pStyle w:val="TableParagraph"/>
              <w:spacing w:before="0"/>
              <w:ind w:left="340" w:right="433"/>
              <w:jc w:val="center"/>
              <w:rPr>
                <w:rFonts w:ascii="Verdana" w:hAnsi="Verdana"/>
                <w:sz w:val="18"/>
                <w:szCs w:val="18"/>
              </w:rPr>
            </w:pPr>
            <w:r w:rsidRPr="00A75B45">
              <w:rPr>
                <w:rFonts w:ascii="Verdana" w:hAnsi="Verdana"/>
                <w:sz w:val="18"/>
                <w:szCs w:val="18"/>
                <w:lang w:val="en"/>
              </w:rPr>
              <w:t>0.09%</w:t>
            </w:r>
          </w:p>
        </w:tc>
      </w:tr>
      <w:tr w:rsidR="001725BA" w:rsidRPr="00A75B45" w14:paraId="0FCAC4A2" w14:textId="77777777" w:rsidTr="006348FD">
        <w:trPr>
          <w:trHeight w:hRule="exact" w:val="266"/>
        </w:trPr>
        <w:tc>
          <w:tcPr>
            <w:tcW w:w="3775" w:type="dxa"/>
            <w:shd w:val="clear" w:color="auto" w:fill="D9DFEF" w:themeFill="accent1" w:themeFillTint="33"/>
          </w:tcPr>
          <w:p w14:paraId="472B4C92" w14:textId="77777777" w:rsidR="001725BA" w:rsidRPr="00A75B45" w:rsidRDefault="001725BA" w:rsidP="00AC2E19">
            <w:pPr>
              <w:pStyle w:val="TableParagraph"/>
              <w:spacing w:before="0"/>
              <w:rPr>
                <w:rFonts w:ascii="Verdana" w:hAnsi="Verdana"/>
                <w:i/>
                <w:iCs/>
                <w:color w:val="4A66AC" w:themeColor="accent1"/>
                <w:sz w:val="18"/>
                <w:szCs w:val="18"/>
              </w:rPr>
            </w:pPr>
            <w:r w:rsidRPr="00A75B45">
              <w:rPr>
                <w:rFonts w:ascii="Verdana" w:hAnsi="Verdana"/>
                <w:b/>
                <w:bCs/>
                <w:i/>
                <w:iCs/>
                <w:color w:val="253356" w:themeColor="accent1" w:themeShade="80"/>
                <w:sz w:val="18"/>
                <w:szCs w:val="18"/>
                <w:lang w:val="en"/>
              </w:rPr>
              <w:t>GDP and selected components of GDP</w:t>
            </w:r>
          </w:p>
        </w:tc>
        <w:tc>
          <w:tcPr>
            <w:tcW w:w="1890" w:type="dxa"/>
          </w:tcPr>
          <w:p w14:paraId="6325681C" w14:textId="77777777" w:rsidR="001725BA" w:rsidRPr="00A75B45" w:rsidRDefault="001725BA" w:rsidP="00AC2E19">
            <w:pPr>
              <w:pStyle w:val="TableParagraph"/>
              <w:spacing w:before="0"/>
              <w:ind w:left="848" w:right="829"/>
              <w:jc w:val="center"/>
              <w:rPr>
                <w:rFonts w:ascii="Verdana" w:hAnsi="Verdana"/>
                <w:i/>
                <w:iCs/>
                <w:color w:val="4A66AC" w:themeColor="accent1"/>
                <w:sz w:val="18"/>
                <w:szCs w:val="18"/>
              </w:rPr>
            </w:pPr>
          </w:p>
        </w:tc>
        <w:tc>
          <w:tcPr>
            <w:tcW w:w="1800" w:type="dxa"/>
          </w:tcPr>
          <w:p w14:paraId="2D17E9AB" w14:textId="77777777" w:rsidR="001725BA" w:rsidRPr="00A75B45" w:rsidRDefault="001725BA" w:rsidP="00AC2E19">
            <w:pPr>
              <w:pStyle w:val="TableParagraph"/>
              <w:spacing w:before="0"/>
              <w:ind w:left="848" w:right="829"/>
              <w:jc w:val="center"/>
              <w:rPr>
                <w:rFonts w:ascii="Verdana" w:hAnsi="Verdana"/>
                <w:i/>
                <w:iCs/>
                <w:color w:val="4A66AC" w:themeColor="accent1"/>
                <w:sz w:val="18"/>
                <w:szCs w:val="18"/>
              </w:rPr>
            </w:pPr>
          </w:p>
        </w:tc>
        <w:tc>
          <w:tcPr>
            <w:tcW w:w="1535" w:type="dxa"/>
          </w:tcPr>
          <w:p w14:paraId="096C0364" w14:textId="77777777" w:rsidR="001725BA" w:rsidRPr="00A75B45" w:rsidRDefault="001725BA" w:rsidP="00AC2E19">
            <w:pPr>
              <w:pStyle w:val="TableParagraph"/>
              <w:spacing w:before="0"/>
              <w:ind w:left="848" w:right="829"/>
              <w:jc w:val="center"/>
              <w:rPr>
                <w:rFonts w:ascii="Verdana" w:hAnsi="Verdana"/>
                <w:i/>
                <w:iCs/>
                <w:color w:val="4A66AC" w:themeColor="accent1"/>
                <w:sz w:val="18"/>
                <w:szCs w:val="18"/>
              </w:rPr>
            </w:pPr>
          </w:p>
        </w:tc>
      </w:tr>
      <w:tr w:rsidR="001725BA" w:rsidRPr="00A75B45" w14:paraId="2083B56E" w14:textId="77777777" w:rsidTr="006348FD">
        <w:trPr>
          <w:trHeight w:hRule="exact" w:val="288"/>
        </w:trPr>
        <w:tc>
          <w:tcPr>
            <w:tcW w:w="3775" w:type="dxa"/>
            <w:shd w:val="clear" w:color="auto" w:fill="D9DFEF" w:themeFill="accent1" w:themeFillTint="33"/>
          </w:tcPr>
          <w:p w14:paraId="70E64241" w14:textId="77777777" w:rsidR="001725BA" w:rsidRPr="00A75B45" w:rsidRDefault="001725BA" w:rsidP="00AC2E19">
            <w:pPr>
              <w:pStyle w:val="TableParagraph"/>
              <w:spacing w:before="0"/>
              <w:rPr>
                <w:rFonts w:ascii="Verdana" w:hAnsi="Verdana"/>
                <w:sz w:val="18"/>
                <w:szCs w:val="18"/>
              </w:rPr>
            </w:pPr>
            <w:r w:rsidRPr="00A75B45">
              <w:rPr>
                <w:rFonts w:ascii="Verdana" w:hAnsi="Verdana"/>
                <w:sz w:val="18"/>
                <w:szCs w:val="18"/>
                <w:lang w:val="en"/>
              </w:rPr>
              <w:t>GDP</w:t>
            </w:r>
          </w:p>
        </w:tc>
        <w:tc>
          <w:tcPr>
            <w:tcW w:w="1890" w:type="dxa"/>
          </w:tcPr>
          <w:p w14:paraId="4C88BBC9" w14:textId="77777777" w:rsidR="001725BA" w:rsidRPr="00A75B45" w:rsidRDefault="001725BA" w:rsidP="00AC2E19">
            <w:pPr>
              <w:pStyle w:val="TableParagraph"/>
              <w:spacing w:before="0"/>
              <w:ind w:left="340" w:right="433"/>
              <w:jc w:val="center"/>
              <w:rPr>
                <w:rFonts w:ascii="Verdana" w:hAnsi="Verdana"/>
                <w:sz w:val="18"/>
                <w:szCs w:val="18"/>
              </w:rPr>
            </w:pPr>
            <w:r w:rsidRPr="00A75B45">
              <w:rPr>
                <w:rFonts w:ascii="Verdana" w:hAnsi="Verdana"/>
                <w:sz w:val="18"/>
                <w:szCs w:val="18"/>
                <w:lang w:val="en"/>
              </w:rPr>
              <w:t>1.8%</w:t>
            </w:r>
          </w:p>
        </w:tc>
        <w:tc>
          <w:tcPr>
            <w:tcW w:w="1800" w:type="dxa"/>
          </w:tcPr>
          <w:p w14:paraId="3498F7BF" w14:textId="77777777" w:rsidR="001725BA" w:rsidRPr="00A75B45" w:rsidRDefault="001725BA" w:rsidP="00AC2E19">
            <w:pPr>
              <w:pStyle w:val="TableParagraph"/>
              <w:spacing w:before="0"/>
              <w:ind w:left="340" w:right="433"/>
              <w:jc w:val="center"/>
              <w:rPr>
                <w:rFonts w:ascii="Verdana" w:hAnsi="Verdana"/>
                <w:sz w:val="18"/>
                <w:szCs w:val="18"/>
              </w:rPr>
            </w:pPr>
            <w:r w:rsidRPr="00A75B45">
              <w:rPr>
                <w:rFonts w:ascii="Verdana" w:hAnsi="Verdana"/>
                <w:sz w:val="18"/>
                <w:szCs w:val="18"/>
                <w:lang w:val="en"/>
              </w:rPr>
              <w:t>0.3%</w:t>
            </w:r>
          </w:p>
        </w:tc>
        <w:tc>
          <w:tcPr>
            <w:tcW w:w="1535" w:type="dxa"/>
          </w:tcPr>
          <w:p w14:paraId="6B65192D" w14:textId="77777777" w:rsidR="001725BA" w:rsidRPr="00A75B45" w:rsidRDefault="001725BA" w:rsidP="00AC2E19">
            <w:pPr>
              <w:pStyle w:val="TableParagraph"/>
              <w:spacing w:before="0"/>
              <w:ind w:left="340" w:right="433"/>
              <w:jc w:val="center"/>
              <w:rPr>
                <w:rFonts w:ascii="Verdana" w:hAnsi="Verdana"/>
                <w:sz w:val="18"/>
                <w:szCs w:val="18"/>
              </w:rPr>
            </w:pPr>
            <w:r w:rsidRPr="00A75B45">
              <w:rPr>
                <w:rFonts w:ascii="Verdana" w:hAnsi="Verdana"/>
                <w:sz w:val="18"/>
                <w:szCs w:val="18"/>
                <w:lang w:val="en"/>
              </w:rPr>
              <w:t>0.09%</w:t>
            </w:r>
          </w:p>
        </w:tc>
      </w:tr>
      <w:tr w:rsidR="001725BA" w:rsidRPr="00A75B45" w14:paraId="33A42185" w14:textId="77777777" w:rsidTr="006348FD">
        <w:trPr>
          <w:trHeight w:hRule="exact" w:val="288"/>
        </w:trPr>
        <w:tc>
          <w:tcPr>
            <w:tcW w:w="3775" w:type="dxa"/>
            <w:shd w:val="clear" w:color="auto" w:fill="D9DFEF" w:themeFill="accent1" w:themeFillTint="33"/>
          </w:tcPr>
          <w:p w14:paraId="77D40DF5" w14:textId="77777777" w:rsidR="001725BA" w:rsidRPr="00A75B45" w:rsidRDefault="001725BA" w:rsidP="00AC2E19">
            <w:pPr>
              <w:pStyle w:val="TableParagraph"/>
              <w:spacing w:before="0"/>
              <w:rPr>
                <w:rFonts w:ascii="Verdana" w:hAnsi="Verdana"/>
                <w:sz w:val="18"/>
                <w:szCs w:val="18"/>
              </w:rPr>
            </w:pPr>
            <w:r w:rsidRPr="00A75B45">
              <w:rPr>
                <w:rFonts w:ascii="Verdana" w:hAnsi="Verdana"/>
                <w:sz w:val="18"/>
                <w:szCs w:val="18"/>
                <w:lang w:val="en"/>
              </w:rPr>
              <w:t>Export of goods and services</w:t>
            </w:r>
          </w:p>
        </w:tc>
        <w:tc>
          <w:tcPr>
            <w:tcW w:w="1890" w:type="dxa"/>
          </w:tcPr>
          <w:p w14:paraId="1D285768" w14:textId="77777777" w:rsidR="001725BA" w:rsidRPr="00A75B45" w:rsidRDefault="001725BA" w:rsidP="00AC2E19">
            <w:pPr>
              <w:pStyle w:val="TableParagraph"/>
              <w:spacing w:before="0"/>
              <w:ind w:left="340" w:right="433"/>
              <w:jc w:val="center"/>
              <w:rPr>
                <w:rFonts w:ascii="Verdana" w:hAnsi="Verdana"/>
                <w:sz w:val="18"/>
                <w:szCs w:val="18"/>
              </w:rPr>
            </w:pPr>
            <w:r w:rsidRPr="00A75B45">
              <w:rPr>
                <w:rFonts w:ascii="Verdana" w:hAnsi="Verdana"/>
                <w:sz w:val="18"/>
                <w:szCs w:val="18"/>
                <w:lang w:val="en"/>
              </w:rPr>
              <w:t>4.4%</w:t>
            </w:r>
          </w:p>
        </w:tc>
        <w:tc>
          <w:tcPr>
            <w:tcW w:w="1800" w:type="dxa"/>
          </w:tcPr>
          <w:p w14:paraId="2FADFDBC" w14:textId="77777777" w:rsidR="001725BA" w:rsidRPr="00A75B45" w:rsidRDefault="001725BA" w:rsidP="00AC2E19">
            <w:pPr>
              <w:pStyle w:val="TableParagraph"/>
              <w:spacing w:before="0"/>
              <w:ind w:left="340" w:right="433"/>
              <w:jc w:val="center"/>
              <w:rPr>
                <w:rFonts w:ascii="Verdana" w:hAnsi="Verdana"/>
                <w:sz w:val="18"/>
                <w:szCs w:val="18"/>
              </w:rPr>
            </w:pPr>
            <w:r w:rsidRPr="00A75B45">
              <w:rPr>
                <w:rFonts w:ascii="Verdana" w:hAnsi="Verdana"/>
                <w:sz w:val="18"/>
                <w:szCs w:val="18"/>
                <w:lang w:val="en"/>
              </w:rPr>
              <w:t>0.8%</w:t>
            </w:r>
          </w:p>
        </w:tc>
        <w:tc>
          <w:tcPr>
            <w:tcW w:w="1535" w:type="dxa"/>
          </w:tcPr>
          <w:p w14:paraId="40EBDDAE" w14:textId="77777777" w:rsidR="001725BA" w:rsidRPr="00A75B45" w:rsidRDefault="001725BA" w:rsidP="00AC2E19">
            <w:pPr>
              <w:pStyle w:val="TableParagraph"/>
              <w:spacing w:before="0"/>
              <w:ind w:left="340" w:right="433"/>
              <w:jc w:val="center"/>
              <w:rPr>
                <w:rFonts w:ascii="Verdana" w:hAnsi="Verdana"/>
                <w:sz w:val="18"/>
                <w:szCs w:val="18"/>
              </w:rPr>
            </w:pPr>
            <w:r w:rsidRPr="00A75B45">
              <w:rPr>
                <w:rFonts w:ascii="Verdana" w:hAnsi="Verdana"/>
                <w:sz w:val="18"/>
                <w:szCs w:val="18"/>
                <w:lang w:val="en"/>
              </w:rPr>
              <w:t>0.0%</w:t>
            </w:r>
          </w:p>
        </w:tc>
      </w:tr>
      <w:tr w:rsidR="001725BA" w:rsidRPr="00A75B45" w14:paraId="5075EEAD" w14:textId="77777777" w:rsidTr="006348FD">
        <w:trPr>
          <w:trHeight w:hRule="exact" w:val="288"/>
        </w:trPr>
        <w:tc>
          <w:tcPr>
            <w:tcW w:w="3775" w:type="dxa"/>
            <w:shd w:val="clear" w:color="auto" w:fill="D9DFEF" w:themeFill="accent1" w:themeFillTint="33"/>
          </w:tcPr>
          <w:p w14:paraId="3AA6C5D5" w14:textId="77777777" w:rsidR="001725BA" w:rsidRPr="00A75B45" w:rsidRDefault="001725BA" w:rsidP="00AC2E19">
            <w:pPr>
              <w:pStyle w:val="TableParagraph"/>
              <w:spacing w:before="0"/>
              <w:rPr>
                <w:rFonts w:ascii="Verdana" w:hAnsi="Verdana"/>
                <w:sz w:val="18"/>
                <w:szCs w:val="18"/>
              </w:rPr>
            </w:pPr>
            <w:r w:rsidRPr="00A75B45">
              <w:rPr>
                <w:rFonts w:ascii="Verdana" w:hAnsi="Verdana"/>
                <w:sz w:val="18"/>
                <w:szCs w:val="18"/>
                <w:lang w:val="en"/>
              </w:rPr>
              <w:t>Import of goods and services</w:t>
            </w:r>
          </w:p>
        </w:tc>
        <w:tc>
          <w:tcPr>
            <w:tcW w:w="1890" w:type="dxa"/>
          </w:tcPr>
          <w:p w14:paraId="2B00400A" w14:textId="77777777" w:rsidR="001725BA" w:rsidRPr="00A75B45" w:rsidRDefault="001725BA" w:rsidP="00AC2E19">
            <w:pPr>
              <w:pStyle w:val="TableParagraph"/>
              <w:spacing w:before="0"/>
              <w:ind w:left="340" w:right="433"/>
              <w:jc w:val="center"/>
              <w:rPr>
                <w:rFonts w:ascii="Verdana" w:hAnsi="Verdana"/>
                <w:sz w:val="18"/>
                <w:szCs w:val="18"/>
              </w:rPr>
            </w:pPr>
            <w:r w:rsidRPr="00A75B45">
              <w:rPr>
                <w:rFonts w:ascii="Verdana" w:hAnsi="Verdana"/>
                <w:sz w:val="18"/>
                <w:szCs w:val="18"/>
                <w:lang w:val="en"/>
              </w:rPr>
              <w:t>4.6%</w:t>
            </w:r>
          </w:p>
        </w:tc>
        <w:tc>
          <w:tcPr>
            <w:tcW w:w="1800" w:type="dxa"/>
          </w:tcPr>
          <w:p w14:paraId="43A59A4C" w14:textId="77777777" w:rsidR="001725BA" w:rsidRPr="00A75B45" w:rsidRDefault="001725BA" w:rsidP="00AC2E19">
            <w:pPr>
              <w:pStyle w:val="TableParagraph"/>
              <w:spacing w:before="0"/>
              <w:ind w:left="340" w:right="433"/>
              <w:jc w:val="center"/>
              <w:rPr>
                <w:rFonts w:ascii="Verdana" w:hAnsi="Verdana"/>
                <w:sz w:val="18"/>
                <w:szCs w:val="18"/>
              </w:rPr>
            </w:pPr>
            <w:r w:rsidRPr="00A75B45">
              <w:rPr>
                <w:rFonts w:ascii="Verdana" w:hAnsi="Verdana"/>
                <w:sz w:val="18"/>
                <w:szCs w:val="18"/>
                <w:lang w:val="en"/>
              </w:rPr>
              <w:t>0.9%</w:t>
            </w:r>
          </w:p>
        </w:tc>
        <w:tc>
          <w:tcPr>
            <w:tcW w:w="1535" w:type="dxa"/>
          </w:tcPr>
          <w:p w14:paraId="431D2735" w14:textId="77777777" w:rsidR="001725BA" w:rsidRPr="00A75B45" w:rsidRDefault="001725BA" w:rsidP="00AC2E19">
            <w:pPr>
              <w:pStyle w:val="TableParagraph"/>
              <w:spacing w:before="0"/>
              <w:ind w:left="340" w:right="433"/>
              <w:jc w:val="center"/>
              <w:rPr>
                <w:rFonts w:ascii="Verdana" w:hAnsi="Verdana"/>
                <w:sz w:val="18"/>
                <w:szCs w:val="18"/>
              </w:rPr>
            </w:pPr>
            <w:r w:rsidRPr="00A75B45">
              <w:rPr>
                <w:rFonts w:ascii="Verdana" w:hAnsi="Verdana"/>
                <w:sz w:val="18"/>
                <w:szCs w:val="18"/>
                <w:lang w:val="en"/>
              </w:rPr>
              <w:t>0.4%</w:t>
            </w:r>
          </w:p>
        </w:tc>
      </w:tr>
      <w:tr w:rsidR="001725BA" w:rsidRPr="00A75B45" w14:paraId="580E897C" w14:textId="77777777" w:rsidTr="006348FD">
        <w:trPr>
          <w:trHeight w:val="288"/>
        </w:trPr>
        <w:tc>
          <w:tcPr>
            <w:tcW w:w="3775" w:type="dxa"/>
            <w:shd w:val="clear" w:color="auto" w:fill="D9DFEF" w:themeFill="accent1" w:themeFillTint="33"/>
          </w:tcPr>
          <w:p w14:paraId="57523531" w14:textId="77777777" w:rsidR="001725BA" w:rsidRPr="00A75B45" w:rsidRDefault="001725BA" w:rsidP="00AC2E19">
            <w:pPr>
              <w:pStyle w:val="TableParagraph"/>
              <w:spacing w:before="0"/>
              <w:rPr>
                <w:rFonts w:ascii="Verdana" w:hAnsi="Verdana"/>
                <w:sz w:val="18"/>
                <w:szCs w:val="18"/>
              </w:rPr>
            </w:pPr>
            <w:r w:rsidRPr="00A75B45">
              <w:rPr>
                <w:rFonts w:ascii="Verdana" w:hAnsi="Verdana"/>
                <w:sz w:val="18"/>
                <w:szCs w:val="18"/>
                <w:lang w:val="en"/>
              </w:rPr>
              <w:t>Private consumption</w:t>
            </w:r>
          </w:p>
        </w:tc>
        <w:tc>
          <w:tcPr>
            <w:tcW w:w="1890" w:type="dxa"/>
          </w:tcPr>
          <w:p w14:paraId="07CF8A8C" w14:textId="77777777" w:rsidR="001725BA" w:rsidRPr="00A75B45" w:rsidRDefault="001725BA" w:rsidP="00AC2E19">
            <w:pPr>
              <w:pStyle w:val="TableParagraph"/>
              <w:spacing w:before="0"/>
              <w:ind w:left="340" w:right="433"/>
              <w:jc w:val="center"/>
              <w:rPr>
                <w:rFonts w:ascii="Verdana" w:hAnsi="Verdana"/>
                <w:sz w:val="18"/>
                <w:szCs w:val="18"/>
              </w:rPr>
            </w:pPr>
            <w:r w:rsidRPr="00A75B45">
              <w:rPr>
                <w:rFonts w:ascii="Verdana" w:hAnsi="Verdana"/>
                <w:sz w:val="18"/>
                <w:szCs w:val="18"/>
                <w:lang w:val="en"/>
              </w:rPr>
              <w:t>1.5%</w:t>
            </w:r>
          </w:p>
        </w:tc>
        <w:tc>
          <w:tcPr>
            <w:tcW w:w="1800" w:type="dxa"/>
          </w:tcPr>
          <w:p w14:paraId="4002C5FF" w14:textId="77777777" w:rsidR="001725BA" w:rsidRPr="00A75B45" w:rsidRDefault="001725BA" w:rsidP="00AC2E19">
            <w:pPr>
              <w:pStyle w:val="TableParagraph"/>
              <w:spacing w:before="0"/>
              <w:ind w:left="340" w:right="433"/>
              <w:jc w:val="center"/>
              <w:rPr>
                <w:rFonts w:ascii="Verdana" w:hAnsi="Verdana"/>
                <w:sz w:val="18"/>
                <w:szCs w:val="18"/>
              </w:rPr>
            </w:pPr>
            <w:r w:rsidRPr="00A75B45">
              <w:rPr>
                <w:rFonts w:ascii="Verdana" w:hAnsi="Verdana"/>
                <w:sz w:val="18"/>
                <w:szCs w:val="18"/>
                <w:lang w:val="en"/>
              </w:rPr>
              <w:t>0.0%</w:t>
            </w:r>
          </w:p>
        </w:tc>
        <w:tc>
          <w:tcPr>
            <w:tcW w:w="1535" w:type="dxa"/>
          </w:tcPr>
          <w:p w14:paraId="457296C3" w14:textId="77777777" w:rsidR="001725BA" w:rsidRPr="00A75B45" w:rsidRDefault="001725BA" w:rsidP="00AC2E19">
            <w:pPr>
              <w:pStyle w:val="TableParagraph"/>
              <w:spacing w:before="0"/>
              <w:ind w:left="340" w:right="433"/>
              <w:jc w:val="center"/>
              <w:rPr>
                <w:rFonts w:ascii="Verdana" w:hAnsi="Verdana"/>
                <w:sz w:val="18"/>
                <w:szCs w:val="18"/>
              </w:rPr>
            </w:pPr>
            <w:r w:rsidRPr="00A75B45">
              <w:rPr>
                <w:rFonts w:ascii="Verdana" w:hAnsi="Verdana"/>
                <w:sz w:val="18"/>
                <w:szCs w:val="18"/>
                <w:lang w:val="en"/>
              </w:rPr>
              <w:t>0.1%</w:t>
            </w:r>
          </w:p>
        </w:tc>
      </w:tr>
      <w:tr w:rsidR="001725BA" w:rsidRPr="00A75B45" w14:paraId="73029712" w14:textId="77777777" w:rsidTr="006348FD">
        <w:trPr>
          <w:trHeight w:hRule="exact" w:val="288"/>
        </w:trPr>
        <w:tc>
          <w:tcPr>
            <w:tcW w:w="3775" w:type="dxa"/>
            <w:shd w:val="clear" w:color="auto" w:fill="D9DFEF" w:themeFill="accent1" w:themeFillTint="33"/>
          </w:tcPr>
          <w:p w14:paraId="40BD414C" w14:textId="77777777" w:rsidR="001725BA" w:rsidRPr="00A75B45" w:rsidRDefault="001725BA" w:rsidP="00AC2E19">
            <w:pPr>
              <w:pStyle w:val="TableParagraph"/>
              <w:spacing w:before="0"/>
              <w:rPr>
                <w:rFonts w:ascii="Verdana" w:hAnsi="Verdana"/>
                <w:sz w:val="18"/>
                <w:szCs w:val="18"/>
              </w:rPr>
            </w:pPr>
            <w:r w:rsidRPr="00A75B45">
              <w:rPr>
                <w:rFonts w:ascii="Verdana" w:hAnsi="Verdana"/>
                <w:sz w:val="18"/>
                <w:szCs w:val="18"/>
                <w:lang w:val="en"/>
              </w:rPr>
              <w:t>Private investment</w:t>
            </w:r>
          </w:p>
        </w:tc>
        <w:tc>
          <w:tcPr>
            <w:tcW w:w="1890" w:type="dxa"/>
          </w:tcPr>
          <w:p w14:paraId="377EE5FD" w14:textId="77777777" w:rsidR="001725BA" w:rsidRPr="00A75B45" w:rsidRDefault="001725BA" w:rsidP="00AC2E19">
            <w:pPr>
              <w:pStyle w:val="TableParagraph"/>
              <w:spacing w:before="0"/>
              <w:ind w:left="340" w:right="433"/>
              <w:jc w:val="center"/>
              <w:rPr>
                <w:rFonts w:ascii="Verdana" w:hAnsi="Verdana"/>
                <w:sz w:val="18"/>
                <w:szCs w:val="18"/>
              </w:rPr>
            </w:pPr>
            <w:r w:rsidRPr="00A75B45">
              <w:rPr>
                <w:rFonts w:ascii="Verdana" w:hAnsi="Verdana"/>
                <w:sz w:val="18"/>
                <w:szCs w:val="18"/>
                <w:lang w:val="en"/>
              </w:rPr>
              <w:t>4.4%</w:t>
            </w:r>
          </w:p>
        </w:tc>
        <w:tc>
          <w:tcPr>
            <w:tcW w:w="1800" w:type="dxa"/>
          </w:tcPr>
          <w:p w14:paraId="1A49EB89" w14:textId="77777777" w:rsidR="001725BA" w:rsidRPr="00A75B45" w:rsidRDefault="001725BA" w:rsidP="00AC2E19">
            <w:pPr>
              <w:pStyle w:val="TableParagraph"/>
              <w:spacing w:before="0"/>
              <w:ind w:left="340" w:right="433"/>
              <w:jc w:val="center"/>
              <w:rPr>
                <w:rFonts w:ascii="Verdana" w:hAnsi="Verdana"/>
                <w:sz w:val="18"/>
                <w:szCs w:val="18"/>
              </w:rPr>
            </w:pPr>
            <w:r w:rsidRPr="00A75B45">
              <w:rPr>
                <w:rFonts w:ascii="Verdana" w:hAnsi="Verdana"/>
                <w:sz w:val="18"/>
                <w:szCs w:val="18"/>
                <w:lang w:val="en"/>
              </w:rPr>
              <w:t>0.1%</w:t>
            </w:r>
          </w:p>
        </w:tc>
        <w:tc>
          <w:tcPr>
            <w:tcW w:w="1535" w:type="dxa"/>
          </w:tcPr>
          <w:p w14:paraId="20DDAB55" w14:textId="77777777" w:rsidR="001725BA" w:rsidRPr="00A75B45" w:rsidRDefault="001725BA" w:rsidP="00AC2E19">
            <w:pPr>
              <w:pStyle w:val="TableParagraph"/>
              <w:spacing w:before="0"/>
              <w:ind w:left="340" w:right="433"/>
              <w:jc w:val="center"/>
              <w:rPr>
                <w:rFonts w:ascii="Verdana" w:hAnsi="Verdana"/>
                <w:sz w:val="18"/>
                <w:szCs w:val="18"/>
              </w:rPr>
            </w:pPr>
            <w:r w:rsidRPr="00A75B45">
              <w:rPr>
                <w:rFonts w:ascii="Verdana" w:hAnsi="Verdana"/>
                <w:sz w:val="18"/>
                <w:szCs w:val="18"/>
                <w:lang w:val="en"/>
              </w:rPr>
              <w:t>0.2%</w:t>
            </w:r>
          </w:p>
        </w:tc>
      </w:tr>
      <w:tr w:rsidR="001725BA" w:rsidRPr="00A75B45" w14:paraId="674CBBD1" w14:textId="77777777" w:rsidTr="006348FD">
        <w:trPr>
          <w:trHeight w:hRule="exact" w:val="288"/>
        </w:trPr>
        <w:tc>
          <w:tcPr>
            <w:tcW w:w="3775" w:type="dxa"/>
            <w:tcBorders>
              <w:bottom w:val="single" w:sz="4" w:space="0" w:color="auto"/>
            </w:tcBorders>
            <w:shd w:val="clear" w:color="auto" w:fill="D9DFEF" w:themeFill="accent1" w:themeFillTint="33"/>
          </w:tcPr>
          <w:p w14:paraId="456A7A69" w14:textId="77777777" w:rsidR="001725BA" w:rsidRPr="00A75B45" w:rsidRDefault="001725BA" w:rsidP="00AC2E19">
            <w:pPr>
              <w:pStyle w:val="TableParagraph"/>
              <w:spacing w:before="0"/>
              <w:rPr>
                <w:rFonts w:ascii="Verdana" w:hAnsi="Verdana"/>
                <w:i/>
                <w:iCs/>
                <w:sz w:val="18"/>
                <w:szCs w:val="18"/>
              </w:rPr>
            </w:pPr>
            <w:r w:rsidRPr="00A75B45">
              <w:rPr>
                <w:rFonts w:ascii="Verdana" w:hAnsi="Verdana"/>
                <w:b/>
                <w:bCs/>
                <w:i/>
                <w:iCs/>
                <w:color w:val="253356" w:themeColor="accent1" w:themeShade="80"/>
                <w:sz w:val="18"/>
                <w:szCs w:val="18"/>
                <w:lang w:val="en"/>
              </w:rPr>
              <w:t>Fiscal sector</w:t>
            </w:r>
          </w:p>
        </w:tc>
        <w:tc>
          <w:tcPr>
            <w:tcW w:w="1890" w:type="dxa"/>
            <w:tcBorders>
              <w:bottom w:val="single" w:sz="4" w:space="0" w:color="auto"/>
            </w:tcBorders>
          </w:tcPr>
          <w:p w14:paraId="20E6E523" w14:textId="77777777" w:rsidR="001725BA" w:rsidRPr="00A75B45" w:rsidRDefault="001725BA" w:rsidP="00AC2E19">
            <w:pPr>
              <w:pStyle w:val="TableParagraph"/>
              <w:spacing w:before="0"/>
              <w:ind w:left="848" w:right="829"/>
              <w:jc w:val="center"/>
              <w:rPr>
                <w:rFonts w:ascii="Verdana" w:hAnsi="Verdana"/>
                <w:sz w:val="18"/>
                <w:szCs w:val="18"/>
              </w:rPr>
            </w:pPr>
          </w:p>
        </w:tc>
        <w:tc>
          <w:tcPr>
            <w:tcW w:w="1800" w:type="dxa"/>
            <w:tcBorders>
              <w:bottom w:val="single" w:sz="4" w:space="0" w:color="auto"/>
            </w:tcBorders>
          </w:tcPr>
          <w:p w14:paraId="54F14522" w14:textId="77777777" w:rsidR="001725BA" w:rsidRPr="00A75B45" w:rsidRDefault="001725BA" w:rsidP="00AC2E19">
            <w:pPr>
              <w:pStyle w:val="TableParagraph"/>
              <w:spacing w:before="0"/>
              <w:ind w:left="848" w:right="829"/>
              <w:jc w:val="center"/>
              <w:rPr>
                <w:rFonts w:ascii="Verdana" w:hAnsi="Verdana"/>
                <w:sz w:val="18"/>
                <w:szCs w:val="18"/>
              </w:rPr>
            </w:pPr>
          </w:p>
        </w:tc>
        <w:tc>
          <w:tcPr>
            <w:tcW w:w="1535" w:type="dxa"/>
            <w:tcBorders>
              <w:bottom w:val="single" w:sz="4" w:space="0" w:color="auto"/>
            </w:tcBorders>
          </w:tcPr>
          <w:p w14:paraId="46F605E3" w14:textId="77777777" w:rsidR="001725BA" w:rsidRPr="00A75B45" w:rsidRDefault="001725BA" w:rsidP="00AC2E19">
            <w:pPr>
              <w:pStyle w:val="TableParagraph"/>
              <w:spacing w:before="0"/>
              <w:ind w:left="848" w:right="829"/>
              <w:jc w:val="center"/>
              <w:rPr>
                <w:rFonts w:ascii="Verdana" w:hAnsi="Verdana"/>
                <w:sz w:val="18"/>
                <w:szCs w:val="18"/>
              </w:rPr>
            </w:pPr>
          </w:p>
        </w:tc>
      </w:tr>
      <w:tr w:rsidR="001725BA" w:rsidRPr="00A75B45" w14:paraId="7FD12D96" w14:textId="77777777" w:rsidTr="006348FD">
        <w:trPr>
          <w:trHeight w:hRule="exact" w:val="424"/>
        </w:trPr>
        <w:tc>
          <w:tcPr>
            <w:tcW w:w="3775" w:type="dxa"/>
            <w:tcBorders>
              <w:bottom w:val="single" w:sz="4" w:space="0" w:color="auto"/>
            </w:tcBorders>
            <w:shd w:val="clear" w:color="auto" w:fill="D9DFEF" w:themeFill="accent1" w:themeFillTint="33"/>
          </w:tcPr>
          <w:p w14:paraId="05CE1F6A" w14:textId="77777777" w:rsidR="001725BA" w:rsidRPr="00A75B45" w:rsidRDefault="001725BA" w:rsidP="00AC2E19">
            <w:pPr>
              <w:pStyle w:val="TableParagraph"/>
              <w:spacing w:before="0"/>
              <w:rPr>
                <w:rFonts w:ascii="Verdana" w:hAnsi="Verdana"/>
                <w:sz w:val="18"/>
                <w:szCs w:val="18"/>
              </w:rPr>
            </w:pPr>
            <w:r w:rsidRPr="00A75B45">
              <w:rPr>
                <w:rFonts w:ascii="Verdana" w:hAnsi="Verdana"/>
                <w:sz w:val="18"/>
                <w:szCs w:val="18"/>
                <w:lang w:val="en"/>
              </w:rPr>
              <w:t>Budget balance, % of GDP</w:t>
            </w:r>
          </w:p>
        </w:tc>
        <w:tc>
          <w:tcPr>
            <w:tcW w:w="1890" w:type="dxa"/>
            <w:tcBorders>
              <w:bottom w:val="single" w:sz="4" w:space="0" w:color="auto"/>
            </w:tcBorders>
          </w:tcPr>
          <w:p w14:paraId="4F97DADB" w14:textId="77777777" w:rsidR="001725BA" w:rsidRPr="00A75B45" w:rsidRDefault="001725BA" w:rsidP="00AC2E19">
            <w:pPr>
              <w:pStyle w:val="TableParagraph"/>
              <w:spacing w:before="0"/>
              <w:ind w:left="340" w:right="433"/>
              <w:jc w:val="center"/>
              <w:rPr>
                <w:rFonts w:ascii="Verdana" w:hAnsi="Verdana"/>
                <w:sz w:val="18"/>
                <w:szCs w:val="18"/>
              </w:rPr>
            </w:pPr>
            <w:r w:rsidRPr="00A75B45">
              <w:rPr>
                <w:rFonts w:ascii="Verdana" w:hAnsi="Verdana"/>
                <w:sz w:val="18"/>
                <w:szCs w:val="18"/>
                <w:lang w:val="en"/>
              </w:rPr>
              <w:t>0.0 BC</w:t>
            </w:r>
          </w:p>
        </w:tc>
        <w:tc>
          <w:tcPr>
            <w:tcW w:w="1800" w:type="dxa"/>
            <w:tcBorders>
              <w:bottom w:val="single" w:sz="4" w:space="0" w:color="auto"/>
            </w:tcBorders>
          </w:tcPr>
          <w:p w14:paraId="0FB3E9FD" w14:textId="77777777" w:rsidR="001725BA" w:rsidRPr="00A75B45" w:rsidRDefault="001725BA" w:rsidP="00AC2E19">
            <w:pPr>
              <w:pStyle w:val="TableParagraph"/>
              <w:spacing w:before="0"/>
              <w:ind w:left="340" w:right="433"/>
              <w:jc w:val="center"/>
              <w:rPr>
                <w:rFonts w:ascii="Verdana" w:hAnsi="Verdana"/>
                <w:sz w:val="18"/>
                <w:szCs w:val="18"/>
              </w:rPr>
            </w:pPr>
            <w:r w:rsidRPr="00A75B45">
              <w:rPr>
                <w:rFonts w:ascii="Verdana" w:hAnsi="Verdana"/>
                <w:sz w:val="18"/>
                <w:szCs w:val="18"/>
                <w:lang w:val="en"/>
              </w:rPr>
              <w:t>0.0 BC</w:t>
            </w:r>
          </w:p>
        </w:tc>
        <w:tc>
          <w:tcPr>
            <w:tcW w:w="1535" w:type="dxa"/>
            <w:tcBorders>
              <w:bottom w:val="single" w:sz="4" w:space="0" w:color="auto"/>
            </w:tcBorders>
          </w:tcPr>
          <w:p w14:paraId="04244E01" w14:textId="77777777" w:rsidR="001725BA" w:rsidRPr="00A75B45" w:rsidRDefault="001725BA" w:rsidP="00AC2E19">
            <w:pPr>
              <w:pStyle w:val="TableParagraph"/>
              <w:spacing w:before="0"/>
              <w:ind w:left="340" w:right="433"/>
              <w:jc w:val="center"/>
              <w:rPr>
                <w:rFonts w:ascii="Verdana" w:hAnsi="Verdana"/>
                <w:sz w:val="18"/>
                <w:szCs w:val="18"/>
              </w:rPr>
            </w:pPr>
            <w:r w:rsidRPr="00A75B45">
              <w:rPr>
                <w:rFonts w:ascii="Verdana" w:hAnsi="Verdana"/>
                <w:sz w:val="18"/>
                <w:szCs w:val="18"/>
                <w:lang w:val="en"/>
              </w:rPr>
              <w:t>0.0 BC</w:t>
            </w:r>
          </w:p>
        </w:tc>
      </w:tr>
      <w:tr w:rsidR="001725BA" w:rsidRPr="00A75B45" w14:paraId="198D6EF7" w14:textId="77777777" w:rsidTr="00AC2E19">
        <w:trPr>
          <w:trHeight w:hRule="exact" w:val="271"/>
        </w:trPr>
        <w:tc>
          <w:tcPr>
            <w:tcW w:w="9000" w:type="dxa"/>
            <w:gridSpan w:val="4"/>
            <w:tcBorders>
              <w:top w:val="single" w:sz="4" w:space="0" w:color="auto"/>
              <w:left w:val="nil"/>
              <w:bottom w:val="nil"/>
              <w:right w:val="nil"/>
            </w:tcBorders>
          </w:tcPr>
          <w:p w14:paraId="16CEE0A9" w14:textId="77777777" w:rsidR="001725BA" w:rsidRPr="00A75B45" w:rsidRDefault="001725BA" w:rsidP="00AC2E19">
            <w:pPr>
              <w:pStyle w:val="Caption"/>
              <w:spacing w:after="0"/>
              <w:rPr>
                <w:rFonts w:ascii="Verdana" w:hAnsi="Verdana"/>
              </w:rPr>
            </w:pPr>
            <w:r w:rsidRPr="00A75B45">
              <w:rPr>
                <w:rFonts w:ascii="Verdana" w:hAnsi="Verdana"/>
                <w:lang w:val="en"/>
              </w:rPr>
              <w:t xml:space="preserve">Source: </w:t>
            </w:r>
            <w:proofErr w:type="spellStart"/>
            <w:r w:rsidRPr="00A75B45">
              <w:rPr>
                <w:rFonts w:ascii="Verdana" w:hAnsi="Verdana"/>
                <w:lang w:val="en"/>
              </w:rPr>
              <w:t>MoC</w:t>
            </w:r>
            <w:proofErr w:type="spellEnd"/>
            <w:r w:rsidRPr="00A75B45">
              <w:rPr>
                <w:rFonts w:ascii="Verdana" w:hAnsi="Verdana"/>
                <w:lang w:val="en"/>
              </w:rPr>
              <w:t>, own calculations</w:t>
            </w:r>
          </w:p>
        </w:tc>
      </w:tr>
    </w:tbl>
    <w:p w14:paraId="61E6BCB7" w14:textId="77777777" w:rsidR="001725BA" w:rsidRPr="00A75B45" w:rsidRDefault="001725BA" w:rsidP="001725BA">
      <w:pPr>
        <w:spacing w:line="240" w:lineRule="auto"/>
        <w:jc w:val="both"/>
        <w:rPr>
          <w:rFonts w:ascii="Verdana" w:hAnsi="Verdana"/>
          <w:color w:val="FF0000"/>
          <w:sz w:val="20"/>
          <w:szCs w:val="20"/>
          <w:lang w:val="bg-BG"/>
        </w:rPr>
      </w:pPr>
    </w:p>
    <w:p w14:paraId="01A07D8D" w14:textId="77777777" w:rsidR="003D6542" w:rsidRPr="00F50700" w:rsidRDefault="003D6542" w:rsidP="006E2FC7">
      <w:pPr>
        <w:spacing w:line="240" w:lineRule="auto"/>
        <w:jc w:val="both"/>
        <w:rPr>
          <w:rFonts w:ascii="Verdana" w:hAnsi="Verdana"/>
          <w:color w:val="FF0000"/>
          <w:sz w:val="18"/>
          <w:szCs w:val="18"/>
          <w:lang w:val="bg-BG"/>
        </w:rPr>
      </w:pPr>
    </w:p>
    <w:p w14:paraId="20490543" w14:textId="044D73F1" w:rsidR="007502B1" w:rsidRPr="00F50700" w:rsidRDefault="007502B1" w:rsidP="0048262D">
      <w:pPr>
        <w:pStyle w:val="Heading1"/>
        <w:numPr>
          <w:ilvl w:val="1"/>
          <w:numId w:val="58"/>
        </w:numPr>
        <w:shd w:val="clear" w:color="auto" w:fill="374C80" w:themeFill="accent1" w:themeFillShade="BF"/>
        <w:spacing w:before="120" w:after="120" w:line="240" w:lineRule="auto"/>
        <w:ind w:left="360"/>
        <w:jc w:val="both"/>
        <w:rPr>
          <w:rFonts w:ascii="Verdana" w:eastAsia="Calibri" w:hAnsi="Verdana" w:cs="Calibri"/>
          <w:b/>
          <w:bCs/>
          <w:color w:val="FFFFFF" w:themeColor="background1"/>
          <w:sz w:val="20"/>
          <w:szCs w:val="20"/>
          <w:lang w:val="bg-BG"/>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bookmarkStart w:id="46" w:name="_Ref50387995"/>
      <w:bookmarkStart w:id="47" w:name="_Toc62724395"/>
      <w:r w:rsidRPr="00F50700">
        <w:rPr>
          <w:rFonts w:ascii="Verdana" w:hAnsi="Verdana"/>
          <w:b/>
          <w:bCs/>
          <w:color w:val="FFFFFF" w:themeColor="background1"/>
          <w:sz w:val="20"/>
          <w:szCs w:val="20"/>
          <w:lang w:val="en"/>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What/how much is the contribution </w:t>
      </w:r>
      <w:r w:rsidR="008D7055">
        <w:rPr>
          <w:rFonts w:ascii="Verdana" w:hAnsi="Verdana"/>
          <w:b/>
          <w:bCs/>
          <w:color w:val="FFFFFF" w:themeColor="background1"/>
          <w:sz w:val="20"/>
          <w:szCs w:val="20"/>
          <w:lang w:val="en"/>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of</w:t>
      </w:r>
      <w:r w:rsidRPr="00F50700">
        <w:rPr>
          <w:rFonts w:ascii="Verdana" w:hAnsi="Verdana"/>
          <w:b/>
          <w:bCs/>
          <w:color w:val="FFFFFF" w:themeColor="background1"/>
          <w:sz w:val="20"/>
          <w:szCs w:val="20"/>
          <w:lang w:val="en"/>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the intervention? Is there added value </w:t>
      </w:r>
      <w:r w:rsidR="008D7055">
        <w:rPr>
          <w:rFonts w:ascii="Verdana" w:hAnsi="Verdana"/>
          <w:b/>
          <w:bCs/>
          <w:color w:val="FFFFFF" w:themeColor="background1"/>
          <w:sz w:val="20"/>
          <w:szCs w:val="20"/>
          <w:lang w:val="en"/>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of</w:t>
      </w:r>
      <w:r w:rsidRPr="00F50700">
        <w:rPr>
          <w:rFonts w:ascii="Verdana" w:hAnsi="Verdana"/>
          <w:b/>
          <w:bCs/>
          <w:color w:val="FFFFFF" w:themeColor="background1"/>
          <w:sz w:val="20"/>
          <w:szCs w:val="20"/>
          <w:lang w:val="en"/>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the intervention?</w:t>
      </w:r>
      <w:bookmarkEnd w:id="46"/>
      <w:bookmarkEnd w:id="47"/>
    </w:p>
    <w:p w14:paraId="115DEDDB" w14:textId="5B7AB749" w:rsidR="00F97907" w:rsidRPr="00F50700" w:rsidRDefault="00F97907" w:rsidP="006E2FC7">
      <w:pPr>
        <w:shd w:val="clear" w:color="auto" w:fill="FFFFFF" w:themeFill="background1"/>
        <w:spacing w:line="240" w:lineRule="auto"/>
        <w:ind w:left="426"/>
        <w:jc w:val="both"/>
        <w:rPr>
          <w:rFonts w:ascii="Verdana" w:eastAsia="Calibri" w:hAnsi="Verdana" w:cs="Calibri"/>
          <w:sz w:val="20"/>
          <w:szCs w:val="20"/>
          <w:lang w:val="bg-BG"/>
        </w:rPr>
      </w:pPr>
    </w:p>
    <w:p w14:paraId="29B356D4" w14:textId="4A3D0876" w:rsidR="00316E5B" w:rsidRPr="00A11E40" w:rsidRDefault="00316E5B" w:rsidP="0048262D">
      <w:pPr>
        <w:pStyle w:val="ListParagraph"/>
        <w:numPr>
          <w:ilvl w:val="2"/>
          <w:numId w:val="58"/>
        </w:numPr>
        <w:rPr>
          <w:rFonts w:ascii="Verdana" w:eastAsia="Times New Roman" w:hAnsi="Verdana"/>
          <w:b/>
          <w:bCs/>
          <w:smallCaps/>
          <w:color w:val="374C80" w:themeColor="accent1" w:themeShade="BF"/>
          <w:sz w:val="20"/>
          <w:szCs w:val="20"/>
          <w:lang w:val="bg-BG" w:eastAsia="bg-BG"/>
        </w:rPr>
      </w:pPr>
      <w:r w:rsidRPr="00A11E40">
        <w:rPr>
          <w:rFonts w:ascii="Verdana" w:hAnsi="Verdana"/>
          <w:b/>
          <w:bCs/>
          <w:smallCaps/>
          <w:color w:val="374C80" w:themeColor="accent1" w:themeShade="BF"/>
          <w:sz w:val="20"/>
          <w:szCs w:val="20"/>
          <w:lang w:val="en" w:eastAsia="bg-BG"/>
        </w:rPr>
        <w:t xml:space="preserve">Financial implementation of THE </w:t>
      </w:r>
      <w:r w:rsidR="00A11E40" w:rsidRPr="00A11E40">
        <w:rPr>
          <w:rFonts w:ascii="Verdana" w:hAnsi="Verdana"/>
          <w:b/>
          <w:bCs/>
          <w:smallCaps/>
          <w:color w:val="374C80" w:themeColor="accent1" w:themeShade="BF"/>
          <w:sz w:val="20"/>
          <w:szCs w:val="20"/>
          <w:lang w:val="en" w:eastAsia="bg-BG"/>
        </w:rPr>
        <w:t>opt</w:t>
      </w:r>
    </w:p>
    <w:p w14:paraId="3290ED46" w14:textId="2CB4F12F" w:rsidR="002D3685" w:rsidRPr="00B20D17" w:rsidRDefault="002D3685" w:rsidP="00B20D17">
      <w:pPr>
        <w:jc w:val="both"/>
        <w:rPr>
          <w:rFonts w:ascii="Verdana" w:eastAsia="Times New Roman" w:hAnsi="Verdana" w:cs="Times New Roman"/>
          <w:sz w:val="20"/>
          <w:szCs w:val="20"/>
          <w:lang w:val="bg-BG" w:eastAsia="bg-BG"/>
        </w:rPr>
      </w:pPr>
      <w:r w:rsidRPr="006348FD">
        <w:rPr>
          <w:rFonts w:ascii="Verdana" w:hAnsi="Verdana"/>
          <w:sz w:val="20"/>
          <w:szCs w:val="20"/>
          <w:lang w:val="en" w:eastAsia="bg-BG"/>
        </w:rPr>
        <w:t xml:space="preserve">Despite the delays in the financial implementation at the beginning of the programming period, the achieved financial implementation demonstrates a high degree of </w:t>
      </w:r>
      <w:r w:rsidRPr="00B20D17">
        <w:rPr>
          <w:rFonts w:ascii="Verdana" w:hAnsi="Verdana"/>
          <w:sz w:val="20"/>
          <w:szCs w:val="20"/>
          <w:lang w:val="en" w:eastAsia="bg-BG"/>
        </w:rPr>
        <w:t>effectiveness, with the highest performance ratio of PA 1 and 2. These results were achieved due to the applied changes and measures within the programme modif</w:t>
      </w:r>
      <w:r w:rsidR="00B20D17">
        <w:rPr>
          <w:rFonts w:ascii="Verdana" w:hAnsi="Verdana"/>
          <w:sz w:val="20"/>
          <w:szCs w:val="20"/>
          <w:lang w:val="en" w:eastAsia="bg-BG"/>
        </w:rPr>
        <w:t>i</w:t>
      </w:r>
      <w:r w:rsidRPr="00B20D17">
        <w:rPr>
          <w:rFonts w:ascii="Verdana" w:hAnsi="Verdana"/>
          <w:sz w:val="20"/>
          <w:szCs w:val="20"/>
          <w:lang w:val="en" w:eastAsia="bg-BG"/>
        </w:rPr>
        <w:t>cations, including:</w:t>
      </w:r>
    </w:p>
    <w:p w14:paraId="7CEB70DD" w14:textId="77777777" w:rsidR="002D3685" w:rsidRPr="00B20D17" w:rsidRDefault="002D3685" w:rsidP="00B20D17">
      <w:pPr>
        <w:numPr>
          <w:ilvl w:val="0"/>
          <w:numId w:val="42"/>
        </w:numPr>
        <w:contextualSpacing/>
        <w:jc w:val="both"/>
        <w:rPr>
          <w:rFonts w:ascii="Verdana" w:eastAsia="Times New Roman" w:hAnsi="Verdana" w:cs="Times New Roman"/>
          <w:i/>
          <w:iCs/>
          <w:sz w:val="20"/>
          <w:szCs w:val="20"/>
          <w:lang w:val="bg-BG" w:eastAsia="bg-BG"/>
        </w:rPr>
      </w:pPr>
      <w:r w:rsidRPr="00B20D17">
        <w:rPr>
          <w:rFonts w:ascii="Verdana" w:hAnsi="Verdana"/>
          <w:i/>
          <w:iCs/>
          <w:sz w:val="20"/>
          <w:szCs w:val="20"/>
          <w:lang w:val="en" w:eastAsia="bg-BG"/>
        </w:rPr>
        <w:t>Inclusion of additional projects and exclusion of high-risk projects;</w:t>
      </w:r>
    </w:p>
    <w:p w14:paraId="6F55D7B3" w14:textId="77777777" w:rsidR="002D3685" w:rsidRPr="00B20D17" w:rsidRDefault="002D3685" w:rsidP="00B20D17">
      <w:pPr>
        <w:numPr>
          <w:ilvl w:val="0"/>
          <w:numId w:val="42"/>
        </w:numPr>
        <w:contextualSpacing/>
        <w:jc w:val="both"/>
        <w:rPr>
          <w:rFonts w:ascii="Verdana" w:eastAsia="Times New Roman" w:hAnsi="Verdana" w:cs="Times New Roman"/>
          <w:i/>
          <w:iCs/>
          <w:sz w:val="20"/>
          <w:szCs w:val="20"/>
          <w:lang w:val="bg-BG" w:eastAsia="bg-BG"/>
        </w:rPr>
      </w:pPr>
      <w:r w:rsidRPr="00B20D17">
        <w:rPr>
          <w:rFonts w:ascii="Verdana" w:hAnsi="Verdana"/>
          <w:i/>
          <w:iCs/>
          <w:sz w:val="20"/>
          <w:szCs w:val="20"/>
          <w:lang w:val="en" w:eastAsia="bg-BG"/>
        </w:rPr>
        <w:t>Overbooking of programme budget under PA 1 and 2;</w:t>
      </w:r>
    </w:p>
    <w:p w14:paraId="4B40F353" w14:textId="77777777" w:rsidR="002D3685" w:rsidRPr="00B20D17" w:rsidRDefault="002D3685" w:rsidP="00B20D17">
      <w:pPr>
        <w:numPr>
          <w:ilvl w:val="0"/>
          <w:numId w:val="42"/>
        </w:numPr>
        <w:contextualSpacing/>
        <w:jc w:val="both"/>
        <w:rPr>
          <w:rFonts w:ascii="Verdana" w:eastAsia="Times New Roman" w:hAnsi="Verdana" w:cs="Times New Roman"/>
          <w:i/>
          <w:iCs/>
          <w:sz w:val="20"/>
          <w:szCs w:val="20"/>
          <w:lang w:val="bg-BG" w:eastAsia="bg-BG"/>
        </w:rPr>
      </w:pPr>
      <w:r w:rsidRPr="00B20D17">
        <w:rPr>
          <w:rFonts w:ascii="Verdana" w:hAnsi="Verdana"/>
          <w:i/>
          <w:iCs/>
          <w:sz w:val="20"/>
          <w:szCs w:val="20"/>
          <w:lang w:val="en" w:eastAsia="bg-BG"/>
        </w:rPr>
        <w:t xml:space="preserve">Phasing-out of projects and implementation of additional projects to utilize the budget savings, including </w:t>
      </w:r>
      <w:r w:rsidRPr="00B20D17">
        <w:rPr>
          <w:rFonts w:ascii="Verdana" w:hAnsi="Verdana"/>
          <w:i/>
          <w:iCs/>
          <w:sz w:val="20"/>
          <w:szCs w:val="20"/>
          <w:lang w:eastAsia="bg-BG"/>
        </w:rPr>
        <w:t xml:space="preserve">back phasing of </w:t>
      </w:r>
      <w:r w:rsidRPr="00B20D17">
        <w:rPr>
          <w:rFonts w:ascii="Verdana" w:hAnsi="Verdana"/>
          <w:i/>
          <w:iCs/>
          <w:sz w:val="20"/>
          <w:szCs w:val="20"/>
          <w:lang w:val="en" w:eastAsia="bg-BG"/>
        </w:rPr>
        <w:t>projects initially foreseen for OPTTI funding;</w:t>
      </w:r>
    </w:p>
    <w:p w14:paraId="15C39664" w14:textId="77777777" w:rsidR="002D3685" w:rsidRPr="00B20D17" w:rsidRDefault="002D3685" w:rsidP="00B20D17">
      <w:pPr>
        <w:numPr>
          <w:ilvl w:val="0"/>
          <w:numId w:val="42"/>
        </w:numPr>
        <w:contextualSpacing/>
        <w:jc w:val="both"/>
        <w:rPr>
          <w:rFonts w:ascii="Verdana" w:eastAsia="Times New Roman" w:hAnsi="Verdana" w:cs="Times New Roman"/>
          <w:i/>
          <w:iCs/>
          <w:sz w:val="20"/>
          <w:szCs w:val="20"/>
          <w:lang w:val="bg-BG" w:eastAsia="bg-BG"/>
        </w:rPr>
      </w:pPr>
      <w:r w:rsidRPr="00B20D17">
        <w:rPr>
          <w:rFonts w:ascii="Verdana" w:hAnsi="Verdana"/>
          <w:i/>
          <w:iCs/>
          <w:sz w:val="20"/>
          <w:szCs w:val="20"/>
          <w:lang w:val="en" w:eastAsia="bg-BG"/>
        </w:rPr>
        <w:t>Optimizing the level of CF funding from 80% to 85%;</w:t>
      </w:r>
    </w:p>
    <w:p w14:paraId="0B6D28A3" w14:textId="77777777" w:rsidR="002D3685" w:rsidRPr="00B20D17" w:rsidRDefault="002D3685" w:rsidP="00B20D17">
      <w:pPr>
        <w:numPr>
          <w:ilvl w:val="0"/>
          <w:numId w:val="42"/>
        </w:numPr>
        <w:contextualSpacing/>
        <w:jc w:val="both"/>
        <w:rPr>
          <w:rFonts w:ascii="Verdana" w:eastAsia="Times New Roman" w:hAnsi="Verdana" w:cs="Times New Roman"/>
          <w:i/>
          <w:iCs/>
          <w:sz w:val="20"/>
          <w:szCs w:val="20"/>
          <w:lang w:val="bg-BG" w:eastAsia="bg-BG"/>
        </w:rPr>
      </w:pPr>
      <w:r w:rsidRPr="00B20D17">
        <w:rPr>
          <w:rFonts w:ascii="Verdana" w:hAnsi="Verdana"/>
          <w:i/>
          <w:iCs/>
          <w:sz w:val="20"/>
          <w:szCs w:val="20"/>
          <w:lang w:val="en" w:eastAsia="bg-BG"/>
        </w:rPr>
        <w:t>The risk of automatic loss of funds during programme implementation / automatic decommitment under Art. 96(c) of the General Regulation (Regulation (EC) No 1083/2006)</w:t>
      </w:r>
      <w:bookmarkStart w:id="48" w:name="_Toc478559764"/>
      <w:bookmarkStart w:id="49" w:name="_Hlk46665298"/>
      <w:bookmarkEnd w:id="48"/>
      <w:r w:rsidRPr="00B20D17">
        <w:rPr>
          <w:rFonts w:ascii="Verdana" w:hAnsi="Verdana"/>
          <w:i/>
          <w:iCs/>
          <w:sz w:val="20"/>
          <w:szCs w:val="20"/>
          <w:lang w:val="en" w:eastAsia="bg-BG"/>
        </w:rPr>
        <w:t>/ was eliminated.</w:t>
      </w:r>
    </w:p>
    <w:bookmarkEnd w:id="49"/>
    <w:p w14:paraId="68AB67BE" w14:textId="77777777" w:rsidR="00316E5B" w:rsidRPr="00B20D17" w:rsidRDefault="00316E5B" w:rsidP="00B20D17">
      <w:pPr>
        <w:contextualSpacing/>
        <w:jc w:val="both"/>
        <w:rPr>
          <w:rFonts w:ascii="Verdana" w:eastAsia="Times New Roman" w:hAnsi="Verdana" w:cs="Times New Roman"/>
          <w:i/>
          <w:iCs/>
          <w:sz w:val="20"/>
          <w:szCs w:val="20"/>
          <w:highlight w:val="yellow"/>
          <w:lang w:val="bg-BG" w:eastAsia="bg-BG"/>
        </w:rPr>
      </w:pPr>
    </w:p>
    <w:p w14:paraId="14CCB9BD" w14:textId="77777777" w:rsidR="00B94B6D" w:rsidRPr="00B20D17" w:rsidRDefault="00A5348F" w:rsidP="00B20D17">
      <w:pPr>
        <w:jc w:val="both"/>
        <w:rPr>
          <w:rFonts w:ascii="Verdana" w:hAnsi="Verdana"/>
          <w:sz w:val="20"/>
          <w:szCs w:val="20"/>
          <w:lang w:val="en" w:eastAsia="bg-BG"/>
        </w:rPr>
      </w:pPr>
      <w:r w:rsidRPr="00B20D17">
        <w:rPr>
          <w:rFonts w:ascii="Verdana" w:hAnsi="Verdana"/>
          <w:sz w:val="20"/>
          <w:szCs w:val="20"/>
          <w:lang w:val="en" w:eastAsia="bg-BG"/>
        </w:rPr>
        <w:t>Both values of grants awarded, and commercial contracts have been subject to monitoring in the course of programme implementation, which proved to be a good practice and instrument for risk management, recommended to be continued in the next programming perio</w:t>
      </w:r>
      <w:r w:rsidR="00B94B6D" w:rsidRPr="00B20D17">
        <w:rPr>
          <w:rFonts w:ascii="Verdana" w:hAnsi="Verdana"/>
          <w:sz w:val="20"/>
          <w:szCs w:val="20"/>
          <w:lang w:val="en" w:eastAsia="bg-BG"/>
        </w:rPr>
        <w:t>d.</w:t>
      </w:r>
    </w:p>
    <w:p w14:paraId="4E0AEC30" w14:textId="77777777" w:rsidR="00AE29E6" w:rsidRPr="00B20D17" w:rsidRDefault="00B94B6D" w:rsidP="00B20D17">
      <w:pPr>
        <w:jc w:val="both"/>
        <w:rPr>
          <w:rFonts w:ascii="Verdana" w:hAnsi="Verdana"/>
          <w:sz w:val="20"/>
          <w:szCs w:val="20"/>
          <w:lang w:val="en" w:eastAsia="bg-BG"/>
        </w:rPr>
      </w:pPr>
      <w:r w:rsidRPr="00B20D17">
        <w:rPr>
          <w:rFonts w:ascii="Verdana" w:hAnsi="Verdana"/>
          <w:sz w:val="20"/>
          <w:szCs w:val="20"/>
          <w:lang w:val="en" w:eastAsia="bg-BG"/>
        </w:rPr>
        <w:t xml:space="preserve">The overbooking practice was applied mainly to PA 1 and 2 funds by 11,7% and 5.83% respectively, as well as within PA 5 by nearly 1%. </w:t>
      </w:r>
      <w:r w:rsidR="00AE29E6" w:rsidRPr="00B20D17">
        <w:rPr>
          <w:rFonts w:ascii="Verdana" w:hAnsi="Verdana"/>
          <w:sz w:val="20"/>
          <w:szCs w:val="20"/>
          <w:lang w:val="en" w:eastAsia="bg-BG"/>
        </w:rPr>
        <w:t>The total programme over-booking rate for the entire implementation period is 5.96%, according to data from programme Annual Implementation Report for 2015.</w:t>
      </w:r>
    </w:p>
    <w:p w14:paraId="2139CE92" w14:textId="618FF7C9" w:rsidR="0062426C" w:rsidRPr="00B20D17" w:rsidRDefault="0062426C" w:rsidP="0062426C">
      <w:pPr>
        <w:pStyle w:val="Caption"/>
        <w:keepNext/>
        <w:jc w:val="both"/>
        <w:rPr>
          <w:rFonts w:ascii="Verdana" w:hAnsi="Verdana"/>
          <w:sz w:val="20"/>
          <w:szCs w:val="20"/>
        </w:rPr>
      </w:pPr>
      <w:bookmarkStart w:id="50" w:name="_Toc62724851"/>
      <w:r w:rsidRPr="00B20D17">
        <w:rPr>
          <w:rFonts w:ascii="Verdana" w:hAnsi="Verdana"/>
          <w:sz w:val="20"/>
          <w:szCs w:val="20"/>
        </w:rPr>
        <w:lastRenderedPageBreak/>
        <w:t xml:space="preserve">Figure </w:t>
      </w:r>
      <w:r w:rsidR="00134718">
        <w:rPr>
          <w:rFonts w:ascii="Verdana" w:hAnsi="Verdana"/>
          <w:sz w:val="20"/>
          <w:szCs w:val="20"/>
        </w:rPr>
        <w:fldChar w:fldCharType="begin"/>
      </w:r>
      <w:r w:rsidR="00134718">
        <w:rPr>
          <w:rFonts w:ascii="Verdana" w:hAnsi="Verdana"/>
          <w:sz w:val="20"/>
          <w:szCs w:val="20"/>
        </w:rPr>
        <w:instrText xml:space="preserve"> STYLEREF 1 \s </w:instrText>
      </w:r>
      <w:r w:rsidR="00134718">
        <w:rPr>
          <w:rFonts w:ascii="Verdana" w:hAnsi="Verdana"/>
          <w:sz w:val="20"/>
          <w:szCs w:val="20"/>
        </w:rPr>
        <w:fldChar w:fldCharType="separate"/>
      </w:r>
      <w:r w:rsidR="00134718">
        <w:rPr>
          <w:rFonts w:ascii="Verdana" w:hAnsi="Verdana"/>
          <w:noProof/>
          <w:sz w:val="20"/>
          <w:szCs w:val="20"/>
        </w:rPr>
        <w:t>IV.2</w:t>
      </w:r>
      <w:r w:rsidR="00134718">
        <w:rPr>
          <w:rFonts w:ascii="Verdana" w:hAnsi="Verdana"/>
          <w:sz w:val="20"/>
          <w:szCs w:val="20"/>
        </w:rPr>
        <w:fldChar w:fldCharType="end"/>
      </w:r>
      <w:r w:rsidR="00134718">
        <w:rPr>
          <w:rFonts w:ascii="Verdana" w:hAnsi="Verdana"/>
          <w:sz w:val="20"/>
          <w:szCs w:val="20"/>
        </w:rPr>
        <w:noBreakHyphen/>
      </w:r>
      <w:r w:rsidR="00134718">
        <w:rPr>
          <w:rFonts w:ascii="Verdana" w:hAnsi="Verdana"/>
          <w:sz w:val="20"/>
          <w:szCs w:val="20"/>
        </w:rPr>
        <w:fldChar w:fldCharType="begin"/>
      </w:r>
      <w:r w:rsidR="00134718">
        <w:rPr>
          <w:rFonts w:ascii="Verdana" w:hAnsi="Verdana"/>
          <w:sz w:val="20"/>
          <w:szCs w:val="20"/>
        </w:rPr>
        <w:instrText xml:space="preserve"> SEQ Figure \* ARABIC \s 1 </w:instrText>
      </w:r>
      <w:r w:rsidR="00134718">
        <w:rPr>
          <w:rFonts w:ascii="Verdana" w:hAnsi="Verdana"/>
          <w:sz w:val="20"/>
          <w:szCs w:val="20"/>
        </w:rPr>
        <w:fldChar w:fldCharType="separate"/>
      </w:r>
      <w:r w:rsidR="00134718">
        <w:rPr>
          <w:rFonts w:ascii="Verdana" w:hAnsi="Verdana"/>
          <w:noProof/>
          <w:sz w:val="20"/>
          <w:szCs w:val="20"/>
        </w:rPr>
        <w:t>1</w:t>
      </w:r>
      <w:r w:rsidR="00134718">
        <w:rPr>
          <w:rFonts w:ascii="Verdana" w:hAnsi="Verdana"/>
          <w:sz w:val="20"/>
          <w:szCs w:val="20"/>
        </w:rPr>
        <w:fldChar w:fldCharType="end"/>
      </w:r>
      <w:r w:rsidRPr="00B20D17">
        <w:rPr>
          <w:rFonts w:ascii="Verdana" w:hAnsi="Verdana"/>
          <w:sz w:val="20"/>
          <w:szCs w:val="20"/>
        </w:rPr>
        <w:t>: Annual financial progress</w:t>
      </w:r>
      <w:bookmarkEnd w:id="50"/>
    </w:p>
    <w:p w14:paraId="755B4256" w14:textId="77777777" w:rsidR="0062426C" w:rsidRPr="0062426C" w:rsidRDefault="0062426C" w:rsidP="0062426C">
      <w:pPr>
        <w:jc w:val="both"/>
        <w:rPr>
          <w:rFonts w:ascii="Verdana" w:eastAsia="Times New Roman" w:hAnsi="Verdana" w:cs="Times New Roman"/>
          <w:i/>
          <w:iCs/>
          <w:sz w:val="18"/>
          <w:szCs w:val="18"/>
          <w:lang w:val="bg-BG" w:eastAsia="bg-BG"/>
        </w:rPr>
      </w:pPr>
      <w:r w:rsidRPr="0062426C">
        <w:rPr>
          <w:rFonts w:ascii="Verdana" w:eastAsiaTheme="minorHAnsi" w:hAnsi="Verdana"/>
          <w:noProof/>
          <w:sz w:val="20"/>
          <w:lang w:val="bg-BG" w:eastAsia="bg-BG"/>
        </w:rPr>
        <w:drawing>
          <wp:inline distT="0" distB="0" distL="0" distR="0" wp14:anchorId="0A0EB8D4" wp14:editId="06D13E3C">
            <wp:extent cx="5314950" cy="3133725"/>
            <wp:effectExtent l="0" t="0" r="0" b="9525"/>
            <wp:docPr id="47" name="Chart 47">
              <a:extLst xmlns:a="http://schemas.openxmlformats.org/drawingml/2006/main">
                <a:ext uri="{FF2B5EF4-FFF2-40B4-BE49-F238E27FC236}">
                  <a16:creationId xmlns:a16="http://schemas.microsoft.com/office/drawing/2014/main" id="{30991D44-106D-4EC6-9745-B5019AA4C9C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490CC5D8" w14:textId="77777777" w:rsidR="0062426C" w:rsidRPr="0062426C" w:rsidRDefault="0062426C" w:rsidP="0062426C">
      <w:pPr>
        <w:jc w:val="both"/>
        <w:rPr>
          <w:rFonts w:ascii="Verdana" w:eastAsia="Times New Roman" w:hAnsi="Verdana" w:cs="Times New Roman"/>
          <w:i/>
          <w:iCs/>
          <w:sz w:val="18"/>
          <w:szCs w:val="18"/>
          <w:lang w:val="bg-BG" w:eastAsia="bg-BG"/>
        </w:rPr>
      </w:pPr>
      <w:r w:rsidRPr="0062426C">
        <w:rPr>
          <w:rFonts w:ascii="Verdana" w:hAnsi="Verdana"/>
          <w:i/>
          <w:iCs/>
          <w:sz w:val="18"/>
          <w:szCs w:val="18"/>
          <w:lang w:val="en" w:eastAsia="bg-BG"/>
        </w:rPr>
        <w:t>Source: Annual Implementation Reports of OPT</w:t>
      </w:r>
    </w:p>
    <w:p w14:paraId="13E4F428" w14:textId="51775D93" w:rsidR="00497762" w:rsidRDefault="00497762" w:rsidP="00316E5B">
      <w:pPr>
        <w:spacing w:after="0" w:line="240" w:lineRule="auto"/>
        <w:rPr>
          <w:rFonts w:ascii="Verdana" w:eastAsia="Times New Roman" w:hAnsi="Verdana" w:cs="Times New Roman"/>
          <w:b/>
          <w:bCs/>
          <w:color w:val="000000"/>
          <w:sz w:val="18"/>
          <w:szCs w:val="18"/>
          <w:highlight w:val="yellow"/>
          <w:lang w:val="bg-BG" w:eastAsia="bg-BG"/>
        </w:rPr>
      </w:pPr>
    </w:p>
    <w:p w14:paraId="61AB3930" w14:textId="312C49D6" w:rsidR="00AA5911" w:rsidRPr="00B20D17" w:rsidRDefault="00AA5911" w:rsidP="00AA5911">
      <w:pPr>
        <w:keepNext/>
        <w:spacing w:after="200" w:line="240" w:lineRule="auto"/>
        <w:jc w:val="both"/>
        <w:rPr>
          <w:rFonts w:ascii="Verdana" w:hAnsi="Verdana"/>
          <w:i/>
          <w:iCs/>
          <w:color w:val="242852" w:themeColor="text2"/>
          <w:sz w:val="20"/>
          <w:szCs w:val="20"/>
        </w:rPr>
      </w:pPr>
      <w:bookmarkStart w:id="51" w:name="_Ref62568781"/>
      <w:bookmarkStart w:id="52" w:name="_Toc62724733"/>
      <w:r w:rsidRPr="00B20D17">
        <w:rPr>
          <w:rFonts w:ascii="Verdana" w:hAnsi="Verdana"/>
          <w:color w:val="242852" w:themeColor="text2"/>
          <w:sz w:val="20"/>
          <w:szCs w:val="20"/>
        </w:rPr>
        <w:t xml:space="preserve">Table </w:t>
      </w:r>
      <w:r w:rsidR="002A60EF">
        <w:rPr>
          <w:rFonts w:ascii="Verdana" w:hAnsi="Verdana"/>
          <w:color w:val="242852" w:themeColor="text2"/>
          <w:sz w:val="20"/>
          <w:szCs w:val="20"/>
        </w:rPr>
        <w:fldChar w:fldCharType="begin"/>
      </w:r>
      <w:r w:rsidR="002A60EF">
        <w:rPr>
          <w:rFonts w:ascii="Verdana" w:hAnsi="Verdana"/>
          <w:color w:val="242852" w:themeColor="text2"/>
          <w:sz w:val="20"/>
          <w:szCs w:val="20"/>
        </w:rPr>
        <w:instrText xml:space="preserve"> STYLEREF 1 \s </w:instrText>
      </w:r>
      <w:r w:rsidR="002A60EF">
        <w:rPr>
          <w:rFonts w:ascii="Verdana" w:hAnsi="Verdana"/>
          <w:color w:val="242852" w:themeColor="text2"/>
          <w:sz w:val="20"/>
          <w:szCs w:val="20"/>
        </w:rPr>
        <w:fldChar w:fldCharType="separate"/>
      </w:r>
      <w:r w:rsidR="002A60EF">
        <w:rPr>
          <w:rFonts w:ascii="Verdana" w:hAnsi="Verdana"/>
          <w:noProof/>
          <w:color w:val="242852" w:themeColor="text2"/>
          <w:sz w:val="20"/>
          <w:szCs w:val="20"/>
        </w:rPr>
        <w:t>IV.2</w:t>
      </w:r>
      <w:r w:rsidR="002A60EF">
        <w:rPr>
          <w:rFonts w:ascii="Verdana" w:hAnsi="Verdana"/>
          <w:color w:val="242852" w:themeColor="text2"/>
          <w:sz w:val="20"/>
          <w:szCs w:val="20"/>
        </w:rPr>
        <w:fldChar w:fldCharType="end"/>
      </w:r>
      <w:r w:rsidR="002A60EF">
        <w:rPr>
          <w:rFonts w:ascii="Verdana" w:hAnsi="Verdana"/>
          <w:color w:val="242852" w:themeColor="text2"/>
          <w:sz w:val="20"/>
          <w:szCs w:val="20"/>
        </w:rPr>
        <w:noBreakHyphen/>
      </w:r>
      <w:r w:rsidR="002A60EF">
        <w:rPr>
          <w:rFonts w:ascii="Verdana" w:hAnsi="Verdana"/>
          <w:color w:val="242852" w:themeColor="text2"/>
          <w:sz w:val="20"/>
          <w:szCs w:val="20"/>
        </w:rPr>
        <w:fldChar w:fldCharType="begin"/>
      </w:r>
      <w:r w:rsidR="002A60EF">
        <w:rPr>
          <w:rFonts w:ascii="Verdana" w:hAnsi="Verdana"/>
          <w:color w:val="242852" w:themeColor="text2"/>
          <w:sz w:val="20"/>
          <w:szCs w:val="20"/>
        </w:rPr>
        <w:instrText xml:space="preserve"> SEQ Table \* ARABIC \s 1 </w:instrText>
      </w:r>
      <w:r w:rsidR="002A60EF">
        <w:rPr>
          <w:rFonts w:ascii="Verdana" w:hAnsi="Verdana"/>
          <w:color w:val="242852" w:themeColor="text2"/>
          <w:sz w:val="20"/>
          <w:szCs w:val="20"/>
        </w:rPr>
        <w:fldChar w:fldCharType="separate"/>
      </w:r>
      <w:r w:rsidR="002A60EF">
        <w:rPr>
          <w:rFonts w:ascii="Verdana" w:hAnsi="Verdana"/>
          <w:noProof/>
          <w:color w:val="242852" w:themeColor="text2"/>
          <w:sz w:val="20"/>
          <w:szCs w:val="20"/>
        </w:rPr>
        <w:t>1</w:t>
      </w:r>
      <w:r w:rsidR="002A60EF">
        <w:rPr>
          <w:rFonts w:ascii="Verdana" w:hAnsi="Verdana"/>
          <w:color w:val="242852" w:themeColor="text2"/>
          <w:sz w:val="20"/>
          <w:szCs w:val="20"/>
        </w:rPr>
        <w:fldChar w:fldCharType="end"/>
      </w:r>
      <w:bookmarkEnd w:id="51"/>
      <w:r w:rsidRPr="00B20D17">
        <w:rPr>
          <w:rFonts w:ascii="Verdana" w:hAnsi="Verdana"/>
          <w:color w:val="242852" w:themeColor="text2"/>
          <w:sz w:val="20"/>
          <w:szCs w:val="20"/>
        </w:rPr>
        <w:t>:</w:t>
      </w:r>
      <w:r w:rsidRPr="00B20D17">
        <w:rPr>
          <w:rFonts w:ascii="Verdana" w:hAnsi="Verdana"/>
          <w:i/>
          <w:iCs/>
          <w:color w:val="242852" w:themeColor="text2"/>
          <w:sz w:val="20"/>
          <w:szCs w:val="20"/>
        </w:rPr>
        <w:t>Financial implementation of OPT in EUR on the basis of declared and certified eligible costs</w:t>
      </w:r>
      <w:bookmarkEnd w:id="52"/>
    </w:p>
    <w:tbl>
      <w:tblPr>
        <w:tblW w:w="5114" w:type="pct"/>
        <w:tblBorders>
          <w:top w:val="double" w:sz="4" w:space="0" w:color="3476B1" w:themeColor="accent2" w:themeShade="BF"/>
          <w:left w:val="double" w:sz="4" w:space="0" w:color="3476B1" w:themeColor="accent2" w:themeShade="BF"/>
          <w:bottom w:val="double" w:sz="4" w:space="0" w:color="3476B1" w:themeColor="accent2" w:themeShade="BF"/>
          <w:right w:val="double" w:sz="4" w:space="0" w:color="3476B1" w:themeColor="accent2" w:themeShade="BF"/>
          <w:insideH w:val="single" w:sz="4" w:space="0" w:color="1E5E9F" w:themeColor="accent3" w:themeShade="BF"/>
          <w:insideV w:val="single" w:sz="4" w:space="0" w:color="1E5E9F" w:themeColor="accent3" w:themeShade="BF"/>
        </w:tblBorders>
        <w:shd w:val="clear" w:color="auto" w:fill="FFFFFF" w:themeFill="background1"/>
        <w:tblLayout w:type="fixed"/>
        <w:tblCellMar>
          <w:left w:w="70" w:type="dxa"/>
          <w:right w:w="70" w:type="dxa"/>
        </w:tblCellMar>
        <w:tblLook w:val="04A0" w:firstRow="1" w:lastRow="0" w:firstColumn="1" w:lastColumn="0" w:noHBand="0" w:noVBand="1"/>
      </w:tblPr>
      <w:tblGrid>
        <w:gridCol w:w="722"/>
        <w:gridCol w:w="1817"/>
        <w:gridCol w:w="1775"/>
        <w:gridCol w:w="1833"/>
        <w:gridCol w:w="1975"/>
        <w:gridCol w:w="1126"/>
      </w:tblGrid>
      <w:tr w:rsidR="004E5ED7" w:rsidRPr="00497762" w14:paraId="1F303E97" w14:textId="77777777" w:rsidTr="004E5ED7">
        <w:trPr>
          <w:trHeight w:val="150"/>
        </w:trPr>
        <w:tc>
          <w:tcPr>
            <w:tcW w:w="390" w:type="pct"/>
            <w:shd w:val="clear" w:color="auto" w:fill="374C80" w:themeFill="accent1" w:themeFillShade="BF"/>
            <w:vAlign w:val="center"/>
            <w:hideMark/>
          </w:tcPr>
          <w:p w14:paraId="71751E44" w14:textId="77777777" w:rsidR="00497762" w:rsidRPr="00497762" w:rsidRDefault="00497762" w:rsidP="00497762">
            <w:pPr>
              <w:spacing w:after="0" w:line="240" w:lineRule="auto"/>
              <w:jc w:val="both"/>
              <w:rPr>
                <w:rFonts w:ascii="Verdana" w:eastAsia="Times New Roman" w:hAnsi="Verdana" w:cs="Times New Roman"/>
                <w:color w:val="FFFFFF" w:themeColor="background1"/>
                <w:sz w:val="16"/>
                <w:szCs w:val="16"/>
                <w:lang w:val="bg-BG" w:eastAsia="bg-BG"/>
              </w:rPr>
            </w:pPr>
            <w:r w:rsidRPr="00497762">
              <w:rPr>
                <w:rFonts w:ascii="Verdana" w:hAnsi="Verdana"/>
                <w:color w:val="FFFFFF" w:themeColor="background1"/>
                <w:sz w:val="16"/>
                <w:szCs w:val="16"/>
                <w:lang w:val="en" w:eastAsia="bg-BG"/>
              </w:rPr>
              <w:t xml:space="preserve">Priority Axis </w:t>
            </w:r>
          </w:p>
        </w:tc>
        <w:tc>
          <w:tcPr>
            <w:tcW w:w="982" w:type="pct"/>
            <w:shd w:val="clear" w:color="auto" w:fill="374C80" w:themeFill="accent1" w:themeFillShade="BF"/>
          </w:tcPr>
          <w:p w14:paraId="35170C57" w14:textId="77777777" w:rsidR="00497762" w:rsidRPr="00497762" w:rsidRDefault="00497762" w:rsidP="00497762">
            <w:pPr>
              <w:spacing w:after="0" w:line="240" w:lineRule="auto"/>
              <w:jc w:val="center"/>
              <w:rPr>
                <w:rFonts w:ascii="Verdana" w:eastAsia="Times New Roman" w:hAnsi="Verdana" w:cs="Times New Roman"/>
                <w:color w:val="FFFFFF" w:themeColor="background1"/>
                <w:sz w:val="16"/>
                <w:szCs w:val="16"/>
                <w:lang w:val="bg-BG" w:eastAsia="bg-BG"/>
              </w:rPr>
            </w:pPr>
            <w:r w:rsidRPr="00497762">
              <w:rPr>
                <w:rFonts w:ascii="Verdana" w:hAnsi="Verdana"/>
                <w:color w:val="FFFFFF" w:themeColor="background1"/>
                <w:sz w:val="16"/>
                <w:szCs w:val="16"/>
                <w:lang w:val="en" w:eastAsia="bg-BG"/>
              </w:rPr>
              <w:t>Initial budget – Total funding of OP /EU and national/ according to the first version of the OPT</w:t>
            </w:r>
          </w:p>
        </w:tc>
        <w:tc>
          <w:tcPr>
            <w:tcW w:w="959" w:type="pct"/>
            <w:shd w:val="clear" w:color="auto" w:fill="374C80" w:themeFill="accent1" w:themeFillShade="BF"/>
            <w:vAlign w:val="center"/>
            <w:hideMark/>
          </w:tcPr>
          <w:p w14:paraId="50414656" w14:textId="77777777" w:rsidR="00497762" w:rsidRPr="00497762" w:rsidRDefault="00497762" w:rsidP="00497762">
            <w:pPr>
              <w:spacing w:after="0" w:line="240" w:lineRule="auto"/>
              <w:jc w:val="center"/>
              <w:rPr>
                <w:rFonts w:ascii="Verdana" w:eastAsia="Times New Roman" w:hAnsi="Verdana" w:cs="Times New Roman"/>
                <w:color w:val="FFFFFF" w:themeColor="background1"/>
                <w:sz w:val="16"/>
                <w:szCs w:val="16"/>
                <w:lang w:val="bg-BG" w:eastAsia="bg-BG"/>
              </w:rPr>
            </w:pPr>
            <w:r w:rsidRPr="00497762">
              <w:rPr>
                <w:rFonts w:ascii="Verdana" w:hAnsi="Verdana"/>
                <w:color w:val="FFFFFF" w:themeColor="background1"/>
                <w:sz w:val="16"/>
                <w:szCs w:val="16"/>
                <w:lang w:val="en" w:eastAsia="bg-BG"/>
              </w:rPr>
              <w:t>Total funding of OP (EU and national) – third modification of OPT</w:t>
            </w:r>
          </w:p>
        </w:tc>
        <w:tc>
          <w:tcPr>
            <w:tcW w:w="991" w:type="pct"/>
            <w:shd w:val="clear" w:color="auto" w:fill="374C80" w:themeFill="accent1" w:themeFillShade="BF"/>
            <w:vAlign w:val="center"/>
            <w:hideMark/>
          </w:tcPr>
          <w:p w14:paraId="73343E2F" w14:textId="379D471C" w:rsidR="00497762" w:rsidRPr="00497762" w:rsidRDefault="00333A1A" w:rsidP="00497762">
            <w:pPr>
              <w:spacing w:after="0" w:line="240" w:lineRule="auto"/>
              <w:jc w:val="center"/>
              <w:rPr>
                <w:rFonts w:ascii="Verdana" w:eastAsia="Times New Roman" w:hAnsi="Verdana" w:cs="Times New Roman"/>
                <w:color w:val="FFFFFF" w:themeColor="background1"/>
                <w:sz w:val="16"/>
                <w:szCs w:val="16"/>
                <w:lang w:val="bg-BG" w:eastAsia="bg-BG"/>
              </w:rPr>
            </w:pPr>
            <w:hyperlink r:id="rId22" w:anchor="RANGE!_ftn1" w:history="1">
              <w:r w:rsidR="00497762" w:rsidRPr="00497762">
                <w:rPr>
                  <w:rFonts w:ascii="Verdana" w:hAnsi="Verdana"/>
                  <w:color w:val="FFFFFF" w:themeColor="background1"/>
                  <w:sz w:val="16"/>
                  <w:szCs w:val="16"/>
                  <w:lang w:val="en" w:eastAsia="bg-BG"/>
                </w:rPr>
                <w:t xml:space="preserve">Total amount of certified eligible expenditures paid by </w:t>
              </w:r>
              <w:r w:rsidR="004E5ED7" w:rsidRPr="00497762">
                <w:rPr>
                  <w:rFonts w:ascii="Verdana" w:hAnsi="Verdana"/>
                  <w:color w:val="FFFFFF" w:themeColor="background1"/>
                  <w:sz w:val="16"/>
                  <w:szCs w:val="16"/>
                  <w:lang w:val="en" w:eastAsia="bg-BG"/>
                </w:rPr>
                <w:t>beneficiaries [</w:t>
              </w:r>
              <w:r w:rsidR="00497762" w:rsidRPr="00497762">
                <w:rPr>
                  <w:rFonts w:ascii="Verdana" w:hAnsi="Verdana"/>
                  <w:color w:val="FFFFFF" w:themeColor="background1"/>
                  <w:sz w:val="16"/>
                  <w:szCs w:val="16"/>
                  <w:lang w:val="en" w:eastAsia="bg-BG"/>
                </w:rPr>
                <w:t>1]</w:t>
              </w:r>
            </w:hyperlink>
          </w:p>
        </w:tc>
        <w:tc>
          <w:tcPr>
            <w:tcW w:w="1068" w:type="pct"/>
            <w:shd w:val="clear" w:color="auto" w:fill="374C80" w:themeFill="accent1" w:themeFillShade="BF"/>
            <w:vAlign w:val="center"/>
            <w:hideMark/>
          </w:tcPr>
          <w:p w14:paraId="36429553" w14:textId="77777777" w:rsidR="00497762" w:rsidRPr="00497762" w:rsidRDefault="00497762" w:rsidP="00497762">
            <w:pPr>
              <w:spacing w:after="0" w:line="240" w:lineRule="auto"/>
              <w:jc w:val="center"/>
              <w:rPr>
                <w:rFonts w:ascii="Verdana" w:eastAsia="Times New Roman" w:hAnsi="Verdana" w:cs="Times New Roman"/>
                <w:color w:val="FFFFFF" w:themeColor="background1"/>
                <w:sz w:val="16"/>
                <w:szCs w:val="16"/>
                <w:lang w:val="bg-BG" w:eastAsia="bg-BG"/>
              </w:rPr>
            </w:pPr>
            <w:r w:rsidRPr="00497762">
              <w:rPr>
                <w:rFonts w:ascii="Verdana" w:hAnsi="Verdana"/>
                <w:color w:val="FFFFFF" w:themeColor="background1"/>
                <w:sz w:val="16"/>
                <w:szCs w:val="16"/>
                <w:lang w:val="en" w:eastAsia="bg-BG"/>
              </w:rPr>
              <w:t>Corresponding public contribution</w:t>
            </w:r>
          </w:p>
        </w:tc>
        <w:tc>
          <w:tcPr>
            <w:tcW w:w="609" w:type="pct"/>
            <w:shd w:val="clear" w:color="auto" w:fill="374C80" w:themeFill="accent1" w:themeFillShade="BF"/>
            <w:vAlign w:val="center"/>
            <w:hideMark/>
          </w:tcPr>
          <w:p w14:paraId="33675B8F" w14:textId="77777777" w:rsidR="00497762" w:rsidRPr="00497762" w:rsidRDefault="00497762" w:rsidP="00497762">
            <w:pPr>
              <w:spacing w:after="0" w:line="240" w:lineRule="auto"/>
              <w:jc w:val="center"/>
              <w:rPr>
                <w:rFonts w:ascii="Verdana" w:eastAsia="Times New Roman" w:hAnsi="Verdana" w:cs="Times New Roman"/>
                <w:color w:val="FFFFFF" w:themeColor="background1"/>
                <w:sz w:val="16"/>
                <w:szCs w:val="16"/>
                <w:lang w:val="bg-BG" w:eastAsia="bg-BG"/>
              </w:rPr>
            </w:pPr>
            <w:r w:rsidRPr="00497762">
              <w:rPr>
                <w:rFonts w:ascii="Verdana" w:hAnsi="Verdana"/>
                <w:color w:val="FFFFFF" w:themeColor="background1"/>
                <w:sz w:val="16"/>
                <w:szCs w:val="16"/>
                <w:lang w:val="en" w:eastAsia="bg-BG"/>
              </w:rPr>
              <w:t>Implementation Rate in %</w:t>
            </w:r>
          </w:p>
        </w:tc>
      </w:tr>
      <w:tr w:rsidR="004E5ED7" w:rsidRPr="00497762" w14:paraId="22226FAD" w14:textId="77777777" w:rsidTr="004E5ED7">
        <w:trPr>
          <w:trHeight w:val="397"/>
        </w:trPr>
        <w:tc>
          <w:tcPr>
            <w:tcW w:w="390" w:type="pct"/>
            <w:shd w:val="clear" w:color="auto" w:fill="D9DFEF" w:themeFill="accent1" w:themeFillTint="33"/>
            <w:vAlign w:val="center"/>
            <w:hideMark/>
          </w:tcPr>
          <w:p w14:paraId="0D218C0E" w14:textId="617B27A1" w:rsidR="00497762" w:rsidRPr="00CA5647" w:rsidRDefault="00497762" w:rsidP="00497762">
            <w:pPr>
              <w:spacing w:after="0" w:line="240" w:lineRule="auto"/>
              <w:jc w:val="both"/>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P</w:t>
            </w:r>
            <w:r w:rsidR="00CA5647" w:rsidRPr="00CA5647">
              <w:rPr>
                <w:rFonts w:ascii="Verdana" w:hAnsi="Verdana"/>
                <w:color w:val="000000"/>
                <w:sz w:val="16"/>
                <w:szCs w:val="16"/>
                <w:lang w:val="en" w:eastAsia="bg-BG"/>
              </w:rPr>
              <w:t>A1</w:t>
            </w:r>
          </w:p>
        </w:tc>
        <w:tc>
          <w:tcPr>
            <w:tcW w:w="982" w:type="pct"/>
            <w:shd w:val="clear" w:color="auto" w:fill="FFFFFF" w:themeFill="background1"/>
            <w:vAlign w:val="center"/>
          </w:tcPr>
          <w:p w14:paraId="5B06B36D" w14:textId="77777777" w:rsidR="00497762" w:rsidRPr="00CA5647" w:rsidRDefault="00497762" w:rsidP="004E5ED7">
            <w:pPr>
              <w:spacing w:after="0" w:line="240" w:lineRule="auto"/>
              <w:jc w:val="right"/>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580 000 000,00</w:t>
            </w:r>
          </w:p>
        </w:tc>
        <w:tc>
          <w:tcPr>
            <w:tcW w:w="959" w:type="pct"/>
            <w:shd w:val="clear" w:color="auto" w:fill="FFFFFF" w:themeFill="background1"/>
            <w:vAlign w:val="center"/>
            <w:hideMark/>
          </w:tcPr>
          <w:p w14:paraId="2B1E3B3C" w14:textId="77777777" w:rsidR="00497762" w:rsidRPr="00CA5647" w:rsidRDefault="00497762" w:rsidP="004E5ED7">
            <w:pPr>
              <w:spacing w:after="0" w:line="240" w:lineRule="auto"/>
              <w:jc w:val="right"/>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621 176 471,00</w:t>
            </w:r>
          </w:p>
        </w:tc>
        <w:tc>
          <w:tcPr>
            <w:tcW w:w="991" w:type="pct"/>
            <w:shd w:val="clear" w:color="auto" w:fill="FFFFFF" w:themeFill="background1"/>
            <w:vAlign w:val="center"/>
            <w:hideMark/>
          </w:tcPr>
          <w:p w14:paraId="41D33015" w14:textId="77777777" w:rsidR="00497762" w:rsidRPr="00CA5647" w:rsidRDefault="00497762" w:rsidP="004E5ED7">
            <w:pPr>
              <w:spacing w:after="0" w:line="240" w:lineRule="auto"/>
              <w:jc w:val="right"/>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714 987 129,52</w:t>
            </w:r>
          </w:p>
        </w:tc>
        <w:tc>
          <w:tcPr>
            <w:tcW w:w="1068" w:type="pct"/>
            <w:shd w:val="clear" w:color="auto" w:fill="FFFFFF" w:themeFill="background1"/>
            <w:vAlign w:val="center"/>
            <w:hideMark/>
          </w:tcPr>
          <w:p w14:paraId="5DE873D0" w14:textId="77777777" w:rsidR="00497762" w:rsidRPr="00CA5647" w:rsidRDefault="00497762" w:rsidP="004E5ED7">
            <w:pPr>
              <w:spacing w:after="0" w:line="240" w:lineRule="auto"/>
              <w:jc w:val="right"/>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597 928 463,02</w:t>
            </w:r>
          </w:p>
        </w:tc>
        <w:tc>
          <w:tcPr>
            <w:tcW w:w="609" w:type="pct"/>
            <w:shd w:val="clear" w:color="auto" w:fill="D9DFEF" w:themeFill="accent1" w:themeFillTint="33"/>
            <w:vAlign w:val="center"/>
            <w:hideMark/>
          </w:tcPr>
          <w:p w14:paraId="01FF54B5" w14:textId="77777777" w:rsidR="00497762" w:rsidRPr="00CA5647" w:rsidRDefault="00497762" w:rsidP="00497762">
            <w:pPr>
              <w:spacing w:after="0" w:line="240" w:lineRule="auto"/>
              <w:jc w:val="center"/>
              <w:rPr>
                <w:rFonts w:ascii="Verdana" w:eastAsia="Times New Roman" w:hAnsi="Verdana" w:cs="Times New Roman"/>
                <w:color w:val="000000"/>
                <w:sz w:val="16"/>
                <w:szCs w:val="16"/>
                <w:lang w:val="bg-BG" w:eastAsia="bg-BG"/>
              </w:rPr>
            </w:pPr>
            <w:r w:rsidRPr="00CA5647">
              <w:rPr>
                <w:rFonts w:ascii="Verdana" w:hAnsi="Verdana"/>
                <w:sz w:val="16"/>
                <w:szCs w:val="16"/>
                <w:lang w:val="en"/>
              </w:rPr>
              <w:t>96.26%</w:t>
            </w:r>
          </w:p>
          <w:p w14:paraId="3B616312" w14:textId="77777777" w:rsidR="00497762" w:rsidRPr="00CA5647" w:rsidRDefault="00497762" w:rsidP="00497762">
            <w:pPr>
              <w:spacing w:after="0" w:line="240" w:lineRule="auto"/>
              <w:jc w:val="center"/>
              <w:rPr>
                <w:rFonts w:ascii="Verdana" w:eastAsia="Times New Roman" w:hAnsi="Verdana" w:cs="Times New Roman"/>
                <w:color w:val="000000"/>
                <w:sz w:val="16"/>
                <w:szCs w:val="16"/>
                <w:lang w:val="bg-BG" w:eastAsia="bg-BG"/>
              </w:rPr>
            </w:pPr>
          </w:p>
        </w:tc>
      </w:tr>
      <w:tr w:rsidR="004E5ED7" w:rsidRPr="00497762" w14:paraId="7E7D95F0" w14:textId="77777777" w:rsidTr="004E5ED7">
        <w:trPr>
          <w:trHeight w:val="247"/>
        </w:trPr>
        <w:tc>
          <w:tcPr>
            <w:tcW w:w="390" w:type="pct"/>
            <w:shd w:val="clear" w:color="auto" w:fill="D9DFEF" w:themeFill="accent1" w:themeFillTint="33"/>
            <w:vAlign w:val="center"/>
            <w:hideMark/>
          </w:tcPr>
          <w:p w14:paraId="41670016" w14:textId="23028D4B" w:rsidR="00497762" w:rsidRPr="00CA5647" w:rsidRDefault="00497762" w:rsidP="00497762">
            <w:pPr>
              <w:spacing w:after="0" w:line="240" w:lineRule="auto"/>
              <w:jc w:val="both"/>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P</w:t>
            </w:r>
            <w:r w:rsidR="00CA5647" w:rsidRPr="00CA5647">
              <w:rPr>
                <w:rFonts w:ascii="Verdana" w:hAnsi="Verdana"/>
                <w:color w:val="000000"/>
                <w:sz w:val="16"/>
                <w:szCs w:val="16"/>
                <w:lang w:val="en" w:eastAsia="bg-BG"/>
              </w:rPr>
              <w:t>A2</w:t>
            </w:r>
          </w:p>
        </w:tc>
        <w:tc>
          <w:tcPr>
            <w:tcW w:w="982" w:type="pct"/>
            <w:shd w:val="clear" w:color="auto" w:fill="FFFFFF" w:themeFill="background1"/>
            <w:vAlign w:val="center"/>
          </w:tcPr>
          <w:p w14:paraId="277B2B9A" w14:textId="77777777" w:rsidR="00497762" w:rsidRPr="00CA5647" w:rsidRDefault="00497762" w:rsidP="004E5ED7">
            <w:pPr>
              <w:spacing w:after="0" w:line="240" w:lineRule="auto"/>
              <w:jc w:val="right"/>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989 587 365,00</w:t>
            </w:r>
          </w:p>
        </w:tc>
        <w:tc>
          <w:tcPr>
            <w:tcW w:w="959" w:type="pct"/>
            <w:shd w:val="clear" w:color="auto" w:fill="FFFFFF" w:themeFill="background1"/>
            <w:vAlign w:val="center"/>
            <w:hideMark/>
          </w:tcPr>
          <w:p w14:paraId="3B448418" w14:textId="77777777" w:rsidR="00497762" w:rsidRPr="00CA5647" w:rsidRDefault="00497762" w:rsidP="004E5ED7">
            <w:pPr>
              <w:spacing w:after="0" w:line="240" w:lineRule="auto"/>
              <w:jc w:val="right"/>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856 082 226,00</w:t>
            </w:r>
          </w:p>
        </w:tc>
        <w:tc>
          <w:tcPr>
            <w:tcW w:w="991" w:type="pct"/>
            <w:shd w:val="clear" w:color="auto" w:fill="FFFFFF" w:themeFill="background1"/>
            <w:vAlign w:val="center"/>
            <w:hideMark/>
          </w:tcPr>
          <w:p w14:paraId="4E8C5BB1" w14:textId="77777777" w:rsidR="00497762" w:rsidRPr="00CA5647" w:rsidRDefault="00497762" w:rsidP="004E5ED7">
            <w:pPr>
              <w:spacing w:after="0" w:line="240" w:lineRule="auto"/>
              <w:jc w:val="right"/>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 xml:space="preserve">878 450 624,28 </w:t>
            </w:r>
          </w:p>
        </w:tc>
        <w:tc>
          <w:tcPr>
            <w:tcW w:w="1068" w:type="pct"/>
            <w:shd w:val="clear" w:color="auto" w:fill="FFFFFF" w:themeFill="background1"/>
            <w:vAlign w:val="center"/>
            <w:hideMark/>
          </w:tcPr>
          <w:p w14:paraId="79A6805F" w14:textId="77777777" w:rsidR="00497762" w:rsidRPr="00CA5647" w:rsidRDefault="00497762" w:rsidP="004E5ED7">
            <w:pPr>
              <w:spacing w:after="0" w:line="240" w:lineRule="auto"/>
              <w:jc w:val="right"/>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878 450 624,28</w:t>
            </w:r>
          </w:p>
        </w:tc>
        <w:tc>
          <w:tcPr>
            <w:tcW w:w="609" w:type="pct"/>
            <w:shd w:val="clear" w:color="auto" w:fill="D9DFEF" w:themeFill="accent1" w:themeFillTint="33"/>
            <w:vAlign w:val="center"/>
            <w:hideMark/>
          </w:tcPr>
          <w:p w14:paraId="0397AC02" w14:textId="77777777" w:rsidR="00497762" w:rsidRPr="00CA5647" w:rsidRDefault="00497762" w:rsidP="00497762">
            <w:pPr>
              <w:spacing w:after="0" w:line="240" w:lineRule="auto"/>
              <w:jc w:val="center"/>
              <w:rPr>
                <w:rFonts w:ascii="Verdana" w:eastAsia="Times New Roman" w:hAnsi="Verdana" w:cs="Times New Roman"/>
                <w:color w:val="000000"/>
                <w:sz w:val="16"/>
                <w:szCs w:val="16"/>
                <w:lang w:val="bg-BG" w:eastAsia="bg-BG"/>
              </w:rPr>
            </w:pPr>
            <w:r w:rsidRPr="00CA5647">
              <w:rPr>
                <w:rFonts w:ascii="Verdana" w:hAnsi="Verdana"/>
                <w:sz w:val="16"/>
                <w:szCs w:val="16"/>
                <w:lang w:val="en"/>
              </w:rPr>
              <w:t>102.61%</w:t>
            </w:r>
          </w:p>
          <w:p w14:paraId="6CAE86FD" w14:textId="77777777" w:rsidR="00497762" w:rsidRPr="00CA5647" w:rsidRDefault="00497762" w:rsidP="00497762">
            <w:pPr>
              <w:spacing w:after="0" w:line="240" w:lineRule="auto"/>
              <w:jc w:val="center"/>
              <w:rPr>
                <w:rFonts w:ascii="Verdana" w:eastAsia="Times New Roman" w:hAnsi="Verdana" w:cs="Times New Roman"/>
                <w:color w:val="000000"/>
                <w:sz w:val="16"/>
                <w:szCs w:val="16"/>
                <w:lang w:val="bg-BG" w:eastAsia="bg-BG"/>
              </w:rPr>
            </w:pPr>
          </w:p>
        </w:tc>
      </w:tr>
      <w:tr w:rsidR="004E5ED7" w:rsidRPr="00497762" w14:paraId="1B0A47DD" w14:textId="77777777" w:rsidTr="004E5ED7">
        <w:trPr>
          <w:trHeight w:val="247"/>
        </w:trPr>
        <w:tc>
          <w:tcPr>
            <w:tcW w:w="390" w:type="pct"/>
            <w:shd w:val="clear" w:color="auto" w:fill="D9DFEF" w:themeFill="accent1" w:themeFillTint="33"/>
            <w:vAlign w:val="center"/>
            <w:hideMark/>
          </w:tcPr>
          <w:p w14:paraId="706D25A1" w14:textId="084AF775" w:rsidR="00497762" w:rsidRPr="00CA5647" w:rsidRDefault="00497762" w:rsidP="00497762">
            <w:pPr>
              <w:spacing w:after="0" w:line="240" w:lineRule="auto"/>
              <w:jc w:val="both"/>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P</w:t>
            </w:r>
            <w:r w:rsidR="00CA5647" w:rsidRPr="00CA5647">
              <w:rPr>
                <w:rFonts w:ascii="Verdana" w:hAnsi="Verdana"/>
                <w:color w:val="000000"/>
                <w:sz w:val="16"/>
                <w:szCs w:val="16"/>
                <w:lang w:val="en" w:eastAsia="bg-BG"/>
              </w:rPr>
              <w:t>A3</w:t>
            </w:r>
          </w:p>
        </w:tc>
        <w:tc>
          <w:tcPr>
            <w:tcW w:w="982" w:type="pct"/>
            <w:shd w:val="clear" w:color="auto" w:fill="FFFFFF" w:themeFill="background1"/>
            <w:vAlign w:val="center"/>
          </w:tcPr>
          <w:p w14:paraId="264979F1" w14:textId="77777777" w:rsidR="00497762" w:rsidRPr="00CA5647" w:rsidRDefault="00497762" w:rsidP="004E5ED7">
            <w:pPr>
              <w:spacing w:after="0" w:line="240" w:lineRule="auto"/>
              <w:jc w:val="right"/>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211 093 801,00</w:t>
            </w:r>
          </w:p>
        </w:tc>
        <w:tc>
          <w:tcPr>
            <w:tcW w:w="959" w:type="pct"/>
            <w:shd w:val="clear" w:color="auto" w:fill="FFFFFF" w:themeFill="background1"/>
            <w:vAlign w:val="center"/>
            <w:hideMark/>
          </w:tcPr>
          <w:p w14:paraId="6BD7CE1E" w14:textId="77777777" w:rsidR="00497762" w:rsidRPr="00CA5647" w:rsidRDefault="00497762" w:rsidP="004E5ED7">
            <w:pPr>
              <w:spacing w:after="0" w:line="240" w:lineRule="auto"/>
              <w:jc w:val="right"/>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343 193 801,00</w:t>
            </w:r>
          </w:p>
        </w:tc>
        <w:tc>
          <w:tcPr>
            <w:tcW w:w="991" w:type="pct"/>
            <w:shd w:val="clear" w:color="auto" w:fill="FFFFFF" w:themeFill="background1"/>
            <w:vAlign w:val="center"/>
            <w:hideMark/>
          </w:tcPr>
          <w:p w14:paraId="510B3E3F" w14:textId="77777777" w:rsidR="00497762" w:rsidRPr="00CA5647" w:rsidRDefault="00497762" w:rsidP="004E5ED7">
            <w:pPr>
              <w:spacing w:after="0" w:line="240" w:lineRule="auto"/>
              <w:jc w:val="right"/>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399 101 907,57</w:t>
            </w:r>
          </w:p>
        </w:tc>
        <w:tc>
          <w:tcPr>
            <w:tcW w:w="1068" w:type="pct"/>
            <w:shd w:val="clear" w:color="auto" w:fill="FFFFFF" w:themeFill="background1"/>
            <w:vAlign w:val="center"/>
            <w:hideMark/>
          </w:tcPr>
          <w:p w14:paraId="375FDFB6" w14:textId="77777777" w:rsidR="00497762" w:rsidRPr="00CA5647" w:rsidRDefault="00497762" w:rsidP="004E5ED7">
            <w:pPr>
              <w:spacing w:after="0" w:line="240" w:lineRule="auto"/>
              <w:jc w:val="right"/>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326 553 009,89</w:t>
            </w:r>
          </w:p>
        </w:tc>
        <w:tc>
          <w:tcPr>
            <w:tcW w:w="609" w:type="pct"/>
            <w:shd w:val="clear" w:color="auto" w:fill="D9DFEF" w:themeFill="accent1" w:themeFillTint="33"/>
            <w:vAlign w:val="center"/>
            <w:hideMark/>
          </w:tcPr>
          <w:p w14:paraId="74162760" w14:textId="77777777" w:rsidR="00497762" w:rsidRPr="00CA5647" w:rsidRDefault="00497762" w:rsidP="00497762">
            <w:pPr>
              <w:spacing w:after="0" w:line="240" w:lineRule="auto"/>
              <w:jc w:val="center"/>
              <w:rPr>
                <w:rFonts w:ascii="Verdana" w:eastAsia="Times New Roman" w:hAnsi="Verdana" w:cs="Times New Roman"/>
                <w:color w:val="000000"/>
                <w:sz w:val="16"/>
                <w:szCs w:val="16"/>
                <w:lang w:val="bg-BG" w:eastAsia="bg-BG"/>
              </w:rPr>
            </w:pPr>
            <w:r w:rsidRPr="00CA5647">
              <w:rPr>
                <w:rFonts w:ascii="Verdana" w:hAnsi="Verdana"/>
                <w:sz w:val="16"/>
                <w:szCs w:val="16"/>
                <w:lang w:val="en"/>
              </w:rPr>
              <w:t>95.15%</w:t>
            </w:r>
          </w:p>
          <w:p w14:paraId="10F17B0C" w14:textId="77777777" w:rsidR="00497762" w:rsidRPr="00CA5647" w:rsidRDefault="00497762" w:rsidP="00497762">
            <w:pPr>
              <w:spacing w:after="0" w:line="240" w:lineRule="auto"/>
              <w:jc w:val="center"/>
              <w:rPr>
                <w:rFonts w:ascii="Verdana" w:eastAsia="Times New Roman" w:hAnsi="Verdana" w:cs="Times New Roman"/>
                <w:color w:val="000000"/>
                <w:sz w:val="16"/>
                <w:szCs w:val="16"/>
                <w:lang w:val="bg-BG" w:eastAsia="bg-BG"/>
              </w:rPr>
            </w:pPr>
          </w:p>
        </w:tc>
      </w:tr>
      <w:tr w:rsidR="004E5ED7" w:rsidRPr="00497762" w14:paraId="7B71CA1B" w14:textId="77777777" w:rsidTr="004E5ED7">
        <w:trPr>
          <w:trHeight w:val="222"/>
        </w:trPr>
        <w:tc>
          <w:tcPr>
            <w:tcW w:w="390" w:type="pct"/>
            <w:shd w:val="clear" w:color="auto" w:fill="D9DFEF" w:themeFill="accent1" w:themeFillTint="33"/>
            <w:vAlign w:val="center"/>
            <w:hideMark/>
          </w:tcPr>
          <w:p w14:paraId="14EF7862" w14:textId="1DC6F951" w:rsidR="00497762" w:rsidRPr="00CA5647" w:rsidRDefault="00497762" w:rsidP="00497762">
            <w:pPr>
              <w:spacing w:after="0" w:line="240" w:lineRule="auto"/>
              <w:jc w:val="both"/>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P</w:t>
            </w:r>
            <w:r w:rsidR="00CA5647" w:rsidRPr="00CA5647">
              <w:rPr>
                <w:rFonts w:ascii="Verdana" w:hAnsi="Verdana"/>
                <w:color w:val="000000"/>
                <w:sz w:val="16"/>
                <w:szCs w:val="16"/>
                <w:lang w:val="en" w:eastAsia="bg-BG"/>
              </w:rPr>
              <w:t>A4</w:t>
            </w:r>
          </w:p>
        </w:tc>
        <w:tc>
          <w:tcPr>
            <w:tcW w:w="982" w:type="pct"/>
            <w:shd w:val="clear" w:color="auto" w:fill="FFFFFF" w:themeFill="background1"/>
            <w:vAlign w:val="center"/>
          </w:tcPr>
          <w:p w14:paraId="41E9F994" w14:textId="77777777" w:rsidR="00497762" w:rsidRPr="00CA5647" w:rsidRDefault="00497762" w:rsidP="004E5ED7">
            <w:pPr>
              <w:spacing w:after="0" w:line="240" w:lineRule="auto"/>
              <w:jc w:val="right"/>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156 850 000,00</w:t>
            </w:r>
          </w:p>
        </w:tc>
        <w:tc>
          <w:tcPr>
            <w:tcW w:w="959" w:type="pct"/>
            <w:shd w:val="clear" w:color="auto" w:fill="FFFFFF" w:themeFill="background1"/>
            <w:vAlign w:val="center"/>
            <w:hideMark/>
          </w:tcPr>
          <w:p w14:paraId="48188286" w14:textId="77777777" w:rsidR="00497762" w:rsidRPr="00CA5647" w:rsidRDefault="00497762" w:rsidP="004E5ED7">
            <w:pPr>
              <w:spacing w:after="0" w:line="240" w:lineRule="auto"/>
              <w:jc w:val="right"/>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34 750 000,00</w:t>
            </w:r>
          </w:p>
        </w:tc>
        <w:tc>
          <w:tcPr>
            <w:tcW w:w="991" w:type="pct"/>
            <w:shd w:val="clear" w:color="auto" w:fill="FFFFFF" w:themeFill="background1"/>
            <w:vAlign w:val="center"/>
            <w:hideMark/>
          </w:tcPr>
          <w:p w14:paraId="6F542DC3" w14:textId="77777777" w:rsidR="00497762" w:rsidRPr="00CA5647" w:rsidRDefault="00497762" w:rsidP="004E5ED7">
            <w:pPr>
              <w:spacing w:after="0" w:line="240" w:lineRule="auto"/>
              <w:jc w:val="right"/>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 xml:space="preserve">31 482 883,73 </w:t>
            </w:r>
          </w:p>
        </w:tc>
        <w:tc>
          <w:tcPr>
            <w:tcW w:w="1068" w:type="pct"/>
            <w:shd w:val="clear" w:color="auto" w:fill="FFFFFF" w:themeFill="background1"/>
            <w:vAlign w:val="center"/>
            <w:hideMark/>
          </w:tcPr>
          <w:p w14:paraId="0B6C7EF0" w14:textId="77777777" w:rsidR="00497762" w:rsidRPr="00CA5647" w:rsidRDefault="00497762" w:rsidP="004E5ED7">
            <w:pPr>
              <w:spacing w:after="0" w:line="240" w:lineRule="auto"/>
              <w:jc w:val="right"/>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31 482 883,73</w:t>
            </w:r>
          </w:p>
        </w:tc>
        <w:tc>
          <w:tcPr>
            <w:tcW w:w="609" w:type="pct"/>
            <w:shd w:val="clear" w:color="auto" w:fill="D9DFEF" w:themeFill="accent1" w:themeFillTint="33"/>
            <w:vAlign w:val="center"/>
            <w:hideMark/>
          </w:tcPr>
          <w:p w14:paraId="5C4E82A5" w14:textId="77777777" w:rsidR="00497762" w:rsidRPr="00CA5647" w:rsidRDefault="00497762" w:rsidP="00497762">
            <w:pPr>
              <w:spacing w:after="0" w:line="240" w:lineRule="auto"/>
              <w:jc w:val="center"/>
              <w:rPr>
                <w:rFonts w:ascii="Verdana" w:eastAsia="Times New Roman" w:hAnsi="Verdana" w:cs="Times New Roman"/>
                <w:color w:val="000000"/>
                <w:sz w:val="16"/>
                <w:szCs w:val="16"/>
                <w:lang w:val="bg-BG" w:eastAsia="bg-BG"/>
              </w:rPr>
            </w:pPr>
            <w:r w:rsidRPr="00CA5647">
              <w:rPr>
                <w:rFonts w:ascii="Verdana" w:hAnsi="Verdana"/>
                <w:sz w:val="16"/>
                <w:szCs w:val="16"/>
                <w:lang w:val="en"/>
              </w:rPr>
              <w:t>90.60%</w:t>
            </w:r>
          </w:p>
          <w:p w14:paraId="4AF6DC64" w14:textId="77777777" w:rsidR="00497762" w:rsidRPr="00CA5647" w:rsidRDefault="00497762" w:rsidP="00497762">
            <w:pPr>
              <w:spacing w:after="0" w:line="240" w:lineRule="auto"/>
              <w:jc w:val="center"/>
              <w:rPr>
                <w:rFonts w:ascii="Verdana" w:eastAsia="Times New Roman" w:hAnsi="Verdana" w:cs="Times New Roman"/>
                <w:color w:val="000000"/>
                <w:sz w:val="16"/>
                <w:szCs w:val="16"/>
                <w:lang w:val="bg-BG" w:eastAsia="bg-BG"/>
              </w:rPr>
            </w:pPr>
          </w:p>
        </w:tc>
      </w:tr>
      <w:tr w:rsidR="004E5ED7" w:rsidRPr="00497762" w14:paraId="58D45009" w14:textId="77777777" w:rsidTr="004E5ED7">
        <w:trPr>
          <w:trHeight w:val="212"/>
        </w:trPr>
        <w:tc>
          <w:tcPr>
            <w:tcW w:w="390" w:type="pct"/>
            <w:shd w:val="clear" w:color="auto" w:fill="D9DFEF" w:themeFill="accent1" w:themeFillTint="33"/>
            <w:vAlign w:val="center"/>
            <w:hideMark/>
          </w:tcPr>
          <w:p w14:paraId="1CBC980C" w14:textId="0D9EE37B" w:rsidR="00497762" w:rsidRPr="00CA5647" w:rsidRDefault="00497762" w:rsidP="00497762">
            <w:pPr>
              <w:spacing w:after="0" w:line="240" w:lineRule="auto"/>
              <w:jc w:val="both"/>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P</w:t>
            </w:r>
            <w:r w:rsidR="00CA5647" w:rsidRPr="00CA5647">
              <w:rPr>
                <w:rFonts w:ascii="Verdana" w:hAnsi="Verdana"/>
                <w:color w:val="000000"/>
                <w:sz w:val="16"/>
                <w:szCs w:val="16"/>
                <w:lang w:val="en" w:eastAsia="bg-BG"/>
              </w:rPr>
              <w:t>A5</w:t>
            </w:r>
            <w:r w:rsidRPr="00CA5647">
              <w:rPr>
                <w:rFonts w:ascii="Verdana" w:hAnsi="Verdana"/>
                <w:color w:val="000000"/>
                <w:sz w:val="16"/>
                <w:szCs w:val="16"/>
                <w:lang w:val="en" w:eastAsia="bg-BG"/>
              </w:rPr>
              <w:t xml:space="preserve"> </w:t>
            </w:r>
          </w:p>
        </w:tc>
        <w:tc>
          <w:tcPr>
            <w:tcW w:w="982" w:type="pct"/>
            <w:shd w:val="clear" w:color="auto" w:fill="FFFFFF" w:themeFill="background1"/>
            <w:vAlign w:val="center"/>
          </w:tcPr>
          <w:p w14:paraId="0A21D3F0" w14:textId="77777777" w:rsidR="00497762" w:rsidRPr="00CA5647" w:rsidRDefault="00497762" w:rsidP="004E5ED7">
            <w:pPr>
              <w:spacing w:after="0" w:line="240" w:lineRule="auto"/>
              <w:jc w:val="right"/>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659 500 00,00</w:t>
            </w:r>
          </w:p>
        </w:tc>
        <w:tc>
          <w:tcPr>
            <w:tcW w:w="959" w:type="pct"/>
            <w:shd w:val="clear" w:color="auto" w:fill="FFFFFF" w:themeFill="background1"/>
            <w:vAlign w:val="center"/>
            <w:hideMark/>
          </w:tcPr>
          <w:p w14:paraId="4ECC4DEB" w14:textId="77777777" w:rsidR="00497762" w:rsidRPr="00CA5647" w:rsidRDefault="00497762" w:rsidP="004E5ED7">
            <w:pPr>
              <w:spacing w:after="0" w:line="240" w:lineRule="auto"/>
              <w:jc w:val="right"/>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55 950 000,00</w:t>
            </w:r>
          </w:p>
        </w:tc>
        <w:tc>
          <w:tcPr>
            <w:tcW w:w="991" w:type="pct"/>
            <w:shd w:val="clear" w:color="auto" w:fill="FFFFFF" w:themeFill="background1"/>
            <w:vAlign w:val="center"/>
            <w:hideMark/>
          </w:tcPr>
          <w:p w14:paraId="0ED5FEE6" w14:textId="77777777" w:rsidR="00497762" w:rsidRPr="00CA5647" w:rsidRDefault="00497762" w:rsidP="004E5ED7">
            <w:pPr>
              <w:spacing w:after="0" w:line="240" w:lineRule="auto"/>
              <w:jc w:val="right"/>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49 526 945,27</w:t>
            </w:r>
          </w:p>
        </w:tc>
        <w:tc>
          <w:tcPr>
            <w:tcW w:w="1068" w:type="pct"/>
            <w:shd w:val="clear" w:color="auto" w:fill="FFFFFF" w:themeFill="background1"/>
            <w:vAlign w:val="center"/>
            <w:hideMark/>
          </w:tcPr>
          <w:p w14:paraId="42A07ED1" w14:textId="77777777" w:rsidR="00497762" w:rsidRPr="00CA5647" w:rsidRDefault="00497762" w:rsidP="004E5ED7">
            <w:pPr>
              <w:spacing w:after="0" w:line="240" w:lineRule="auto"/>
              <w:jc w:val="right"/>
              <w:rPr>
                <w:rFonts w:ascii="Verdana" w:eastAsia="Times New Roman" w:hAnsi="Verdana" w:cs="Times New Roman"/>
                <w:color w:val="000000"/>
                <w:sz w:val="16"/>
                <w:szCs w:val="16"/>
                <w:lang w:val="bg-BG" w:eastAsia="bg-BG"/>
              </w:rPr>
            </w:pPr>
            <w:r w:rsidRPr="00CA5647">
              <w:rPr>
                <w:rFonts w:ascii="Verdana" w:hAnsi="Verdana"/>
                <w:color w:val="000000"/>
                <w:sz w:val="16"/>
                <w:szCs w:val="16"/>
                <w:lang w:val="en" w:eastAsia="bg-BG"/>
              </w:rPr>
              <w:t>49 526 945,27</w:t>
            </w:r>
          </w:p>
        </w:tc>
        <w:tc>
          <w:tcPr>
            <w:tcW w:w="609" w:type="pct"/>
            <w:shd w:val="clear" w:color="auto" w:fill="D9DFEF" w:themeFill="accent1" w:themeFillTint="33"/>
            <w:vAlign w:val="center"/>
            <w:hideMark/>
          </w:tcPr>
          <w:p w14:paraId="222DF9C9" w14:textId="77777777" w:rsidR="00497762" w:rsidRPr="00CA5647" w:rsidRDefault="00497762" w:rsidP="00497762">
            <w:pPr>
              <w:spacing w:after="0" w:line="240" w:lineRule="auto"/>
              <w:jc w:val="center"/>
              <w:rPr>
                <w:rFonts w:ascii="Verdana" w:eastAsia="Times New Roman" w:hAnsi="Verdana" w:cs="Times New Roman"/>
                <w:color w:val="000000"/>
                <w:sz w:val="16"/>
                <w:szCs w:val="16"/>
                <w:lang w:val="bg-BG" w:eastAsia="bg-BG"/>
              </w:rPr>
            </w:pPr>
            <w:r w:rsidRPr="00CA5647">
              <w:rPr>
                <w:rFonts w:ascii="Verdana" w:hAnsi="Verdana"/>
                <w:sz w:val="16"/>
                <w:szCs w:val="16"/>
                <w:lang w:val="en"/>
              </w:rPr>
              <w:t>88.52%</w:t>
            </w:r>
          </w:p>
        </w:tc>
      </w:tr>
      <w:tr w:rsidR="004E5ED7" w:rsidRPr="00497762" w14:paraId="08D473A1" w14:textId="77777777" w:rsidTr="004E5ED7">
        <w:trPr>
          <w:trHeight w:val="55"/>
        </w:trPr>
        <w:tc>
          <w:tcPr>
            <w:tcW w:w="390" w:type="pct"/>
            <w:shd w:val="clear" w:color="auto" w:fill="D9DFEF" w:themeFill="accent1" w:themeFillTint="33"/>
            <w:vAlign w:val="center"/>
            <w:hideMark/>
          </w:tcPr>
          <w:p w14:paraId="640F5610" w14:textId="77777777" w:rsidR="00497762" w:rsidRPr="00CA5647" w:rsidRDefault="00497762" w:rsidP="00497762">
            <w:pPr>
              <w:spacing w:after="0" w:line="240" w:lineRule="auto"/>
              <w:jc w:val="both"/>
              <w:rPr>
                <w:rFonts w:ascii="Verdana" w:eastAsia="Times New Roman" w:hAnsi="Verdana" w:cs="Times New Roman"/>
                <w:b/>
                <w:bCs/>
                <w:color w:val="000000"/>
                <w:sz w:val="16"/>
                <w:szCs w:val="16"/>
                <w:lang w:val="bg-BG" w:eastAsia="bg-BG"/>
              </w:rPr>
            </w:pPr>
            <w:r w:rsidRPr="00CA5647">
              <w:rPr>
                <w:rFonts w:ascii="Verdana" w:hAnsi="Verdana"/>
                <w:b/>
                <w:bCs/>
                <w:color w:val="000000"/>
                <w:sz w:val="16"/>
                <w:szCs w:val="16"/>
                <w:lang w:val="en" w:eastAsia="bg-BG"/>
              </w:rPr>
              <w:t xml:space="preserve">Total </w:t>
            </w:r>
          </w:p>
        </w:tc>
        <w:tc>
          <w:tcPr>
            <w:tcW w:w="982" w:type="pct"/>
            <w:shd w:val="clear" w:color="auto" w:fill="FFFFFF" w:themeFill="background1"/>
            <w:vAlign w:val="center"/>
          </w:tcPr>
          <w:p w14:paraId="3B659A20" w14:textId="77777777" w:rsidR="00497762" w:rsidRPr="004E5ED7" w:rsidRDefault="00497762" w:rsidP="004E5ED7">
            <w:pPr>
              <w:spacing w:after="145"/>
              <w:jc w:val="right"/>
              <w:rPr>
                <w:rFonts w:ascii="Verdana" w:hAnsi="Verdana" w:cs="Calibri"/>
                <w:b/>
                <w:bCs/>
                <w:color w:val="000000"/>
                <w:sz w:val="16"/>
                <w:szCs w:val="16"/>
              </w:rPr>
            </w:pPr>
            <w:r w:rsidRPr="004E5ED7">
              <w:rPr>
                <w:rFonts w:ascii="Verdana" w:hAnsi="Verdana" w:cs="Calibri"/>
                <w:b/>
                <w:bCs/>
                <w:color w:val="000000"/>
                <w:sz w:val="16"/>
                <w:szCs w:val="16"/>
              </w:rPr>
              <w:t xml:space="preserve">      </w:t>
            </w:r>
          </w:p>
          <w:p w14:paraId="43D69032" w14:textId="77777777" w:rsidR="00497762" w:rsidRPr="004E5ED7" w:rsidRDefault="00497762" w:rsidP="004E5ED7">
            <w:pPr>
              <w:spacing w:after="145"/>
              <w:jc w:val="right"/>
              <w:rPr>
                <w:rFonts w:ascii="Verdana" w:hAnsi="Verdana" w:cs="Calibri"/>
                <w:b/>
                <w:bCs/>
                <w:color w:val="000000"/>
                <w:sz w:val="16"/>
                <w:szCs w:val="16"/>
              </w:rPr>
            </w:pPr>
            <w:r w:rsidRPr="004E5ED7">
              <w:rPr>
                <w:rFonts w:ascii="Verdana" w:hAnsi="Verdana"/>
                <w:b/>
                <w:bCs/>
                <w:color w:val="000000"/>
                <w:sz w:val="16"/>
                <w:szCs w:val="16"/>
                <w:lang w:val="en"/>
              </w:rPr>
              <w:t xml:space="preserve">2,003,481,166.00 </w:t>
            </w:r>
          </w:p>
          <w:p w14:paraId="1966AE73" w14:textId="77777777" w:rsidR="00497762" w:rsidRPr="004E5ED7" w:rsidRDefault="00497762" w:rsidP="004E5ED7">
            <w:pPr>
              <w:spacing w:after="0" w:line="240" w:lineRule="auto"/>
              <w:jc w:val="right"/>
              <w:rPr>
                <w:rFonts w:ascii="Verdana" w:eastAsia="Times New Roman" w:hAnsi="Verdana" w:cs="Times New Roman"/>
                <w:b/>
                <w:bCs/>
                <w:color w:val="000000"/>
                <w:sz w:val="16"/>
                <w:szCs w:val="16"/>
                <w:lang w:val="bg-BG" w:eastAsia="bg-BG"/>
              </w:rPr>
            </w:pPr>
          </w:p>
        </w:tc>
        <w:tc>
          <w:tcPr>
            <w:tcW w:w="959" w:type="pct"/>
            <w:shd w:val="clear" w:color="auto" w:fill="FFFFFF" w:themeFill="background1"/>
            <w:vAlign w:val="center"/>
            <w:hideMark/>
          </w:tcPr>
          <w:p w14:paraId="133F34EB" w14:textId="77777777" w:rsidR="00497762" w:rsidRPr="004E5ED7" w:rsidRDefault="00497762" w:rsidP="004E5ED7">
            <w:pPr>
              <w:spacing w:after="0" w:line="240" w:lineRule="auto"/>
              <w:jc w:val="right"/>
              <w:rPr>
                <w:rFonts w:ascii="Verdana" w:eastAsia="Times New Roman" w:hAnsi="Verdana" w:cs="Times New Roman"/>
                <w:b/>
                <w:bCs/>
                <w:color w:val="000000"/>
                <w:sz w:val="16"/>
                <w:szCs w:val="16"/>
                <w:lang w:val="bg-BG" w:eastAsia="bg-BG"/>
              </w:rPr>
            </w:pPr>
            <w:r w:rsidRPr="004E5ED7">
              <w:rPr>
                <w:rFonts w:ascii="Verdana" w:hAnsi="Verdana"/>
                <w:b/>
                <w:bCs/>
                <w:color w:val="000000"/>
                <w:sz w:val="16"/>
                <w:szCs w:val="16"/>
                <w:lang w:val="en" w:eastAsia="bg-BG"/>
              </w:rPr>
              <w:t>1 911 152 498,00</w:t>
            </w:r>
          </w:p>
        </w:tc>
        <w:tc>
          <w:tcPr>
            <w:tcW w:w="991" w:type="pct"/>
            <w:shd w:val="clear" w:color="auto" w:fill="FFFFFF" w:themeFill="background1"/>
            <w:vAlign w:val="center"/>
            <w:hideMark/>
          </w:tcPr>
          <w:p w14:paraId="7ADDC541" w14:textId="77777777" w:rsidR="00497762" w:rsidRPr="004E5ED7" w:rsidRDefault="00497762" w:rsidP="004E5ED7">
            <w:pPr>
              <w:spacing w:after="0" w:line="240" w:lineRule="auto"/>
              <w:jc w:val="right"/>
              <w:rPr>
                <w:rFonts w:ascii="Verdana" w:eastAsia="Times New Roman" w:hAnsi="Verdana" w:cs="Times New Roman"/>
                <w:b/>
                <w:bCs/>
                <w:color w:val="000000"/>
                <w:sz w:val="16"/>
                <w:szCs w:val="16"/>
                <w:lang w:val="bg-BG" w:eastAsia="bg-BG"/>
              </w:rPr>
            </w:pPr>
            <w:r w:rsidRPr="004E5ED7">
              <w:rPr>
                <w:rFonts w:ascii="Verdana" w:hAnsi="Verdana"/>
                <w:b/>
                <w:bCs/>
                <w:color w:val="000000"/>
                <w:sz w:val="16"/>
                <w:szCs w:val="16"/>
                <w:lang w:val="en" w:eastAsia="bg-BG"/>
              </w:rPr>
              <w:t>2 073 549 490,37</w:t>
            </w:r>
          </w:p>
        </w:tc>
        <w:tc>
          <w:tcPr>
            <w:tcW w:w="1068" w:type="pct"/>
            <w:shd w:val="clear" w:color="auto" w:fill="FFFFFF" w:themeFill="background1"/>
            <w:vAlign w:val="center"/>
            <w:hideMark/>
          </w:tcPr>
          <w:p w14:paraId="28E53D0F" w14:textId="77777777" w:rsidR="00497762" w:rsidRPr="004E5ED7" w:rsidRDefault="00497762" w:rsidP="004E5ED7">
            <w:pPr>
              <w:spacing w:after="0" w:line="240" w:lineRule="auto"/>
              <w:jc w:val="right"/>
              <w:rPr>
                <w:rFonts w:ascii="Verdana" w:eastAsia="Times New Roman" w:hAnsi="Verdana" w:cs="Times New Roman"/>
                <w:b/>
                <w:bCs/>
                <w:color w:val="000000"/>
                <w:sz w:val="16"/>
                <w:szCs w:val="16"/>
                <w:lang w:val="bg-BG" w:eastAsia="bg-BG"/>
              </w:rPr>
            </w:pPr>
            <w:r w:rsidRPr="004E5ED7">
              <w:rPr>
                <w:rFonts w:ascii="Verdana" w:hAnsi="Verdana"/>
                <w:b/>
                <w:bCs/>
                <w:color w:val="000000"/>
                <w:sz w:val="16"/>
                <w:szCs w:val="16"/>
                <w:lang w:val="en" w:eastAsia="bg-BG"/>
              </w:rPr>
              <w:t>1 883 941 926,19</w:t>
            </w:r>
          </w:p>
        </w:tc>
        <w:tc>
          <w:tcPr>
            <w:tcW w:w="609" w:type="pct"/>
            <w:shd w:val="clear" w:color="auto" w:fill="D9DFEF" w:themeFill="accent1" w:themeFillTint="33"/>
            <w:vAlign w:val="center"/>
            <w:hideMark/>
          </w:tcPr>
          <w:p w14:paraId="7D643865" w14:textId="77777777" w:rsidR="00497762" w:rsidRPr="004E5ED7" w:rsidRDefault="00497762" w:rsidP="00497762">
            <w:pPr>
              <w:spacing w:after="0" w:line="240" w:lineRule="auto"/>
              <w:jc w:val="center"/>
              <w:rPr>
                <w:rFonts w:ascii="Verdana" w:eastAsia="Times New Roman" w:hAnsi="Verdana" w:cs="Times New Roman"/>
                <w:b/>
                <w:bCs/>
                <w:color w:val="000000"/>
                <w:sz w:val="16"/>
                <w:szCs w:val="16"/>
                <w:lang w:val="bg-BG" w:eastAsia="bg-BG"/>
              </w:rPr>
            </w:pPr>
            <w:r w:rsidRPr="004E5ED7">
              <w:rPr>
                <w:rFonts w:ascii="Verdana" w:hAnsi="Verdana"/>
                <w:b/>
                <w:bCs/>
                <w:color w:val="000000"/>
                <w:sz w:val="16"/>
                <w:szCs w:val="16"/>
                <w:lang w:val="en" w:eastAsia="bg-BG"/>
              </w:rPr>
              <w:t>98,57%</w:t>
            </w:r>
          </w:p>
        </w:tc>
      </w:tr>
    </w:tbl>
    <w:p w14:paraId="5964A18E" w14:textId="77777777" w:rsidR="00497762" w:rsidRPr="00CA5647" w:rsidRDefault="00497762" w:rsidP="00497762">
      <w:pPr>
        <w:jc w:val="both"/>
        <w:rPr>
          <w:rFonts w:ascii="Verdana" w:eastAsia="Times New Roman" w:hAnsi="Verdana" w:cs="Times New Roman"/>
          <w:i/>
          <w:iCs/>
          <w:sz w:val="16"/>
          <w:szCs w:val="16"/>
          <w:lang w:val="bg-BG" w:eastAsia="bg-BG"/>
        </w:rPr>
      </w:pPr>
      <w:r w:rsidRPr="00CA5647">
        <w:rPr>
          <w:rFonts w:ascii="Verdana" w:hAnsi="Verdana"/>
          <w:i/>
          <w:iCs/>
          <w:sz w:val="16"/>
          <w:szCs w:val="16"/>
          <w:lang w:val="en" w:eastAsia="bg-BG"/>
        </w:rPr>
        <w:t>Source: OPT initial version, OPT Final Report</w:t>
      </w:r>
    </w:p>
    <w:p w14:paraId="00C57A11"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1D8A97F7"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0DF3AAD1"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30DE7546"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4D505A37"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40A5A501"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030C5C52"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4ED82437"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6CA6A8FE"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42554D69"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3642B72D"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3A7075F4"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020EE6CE"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27AC5F2A"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0D900BB6"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1CA29C33"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67F3F702"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6CE48AC0"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5BE88DA5"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1A892CDA"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2A853374"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3593E6BB"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64E8C3A9"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372B6BFD"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391597C2"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1F3D0F6B"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0536D258"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0918ADED"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15AFA922"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6513C88D"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365CCEFC"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6627BE78"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5AA1FDE1"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697526F6"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576F169D" w14:textId="77777777" w:rsidR="004E5ED7" w:rsidRDefault="004E5ED7" w:rsidP="00316E5B">
      <w:pPr>
        <w:spacing w:after="0" w:line="240" w:lineRule="auto"/>
        <w:rPr>
          <w:rFonts w:ascii="Verdana" w:eastAsia="Times New Roman" w:hAnsi="Verdana" w:cs="Times New Roman"/>
          <w:b/>
          <w:bCs/>
          <w:color w:val="000000"/>
          <w:sz w:val="18"/>
          <w:szCs w:val="18"/>
          <w:lang w:val="bg-BG" w:eastAsia="bg-BG"/>
        </w:rPr>
      </w:pPr>
    </w:p>
    <w:p w14:paraId="59AF6FC4" w14:textId="43FF9D34" w:rsidR="004E5ED7" w:rsidRPr="004E5ED7" w:rsidRDefault="005C0BCA" w:rsidP="004E5ED7">
      <w:pPr>
        <w:spacing w:after="0" w:line="240" w:lineRule="auto"/>
        <w:rPr>
          <w:rFonts w:ascii="Verdana" w:eastAsia="Times New Roman" w:hAnsi="Verdana" w:cs="Times New Roman"/>
          <w:b/>
          <w:bCs/>
          <w:color w:val="000000"/>
          <w:sz w:val="18"/>
          <w:szCs w:val="18"/>
          <w:highlight w:val="yellow"/>
          <w:lang w:val="bg-BG" w:eastAsia="bg-BG"/>
        </w:rPr>
      </w:pPr>
      <w:r>
        <w:rPr>
          <w:noProof/>
          <w:lang w:val="bg-BG" w:eastAsia="bg-BG"/>
        </w:rPr>
        <w:lastRenderedPageBreak/>
        <mc:AlternateContent>
          <mc:Choice Requires="wps">
            <w:drawing>
              <wp:anchor distT="0" distB="0" distL="114300" distR="114300" simplePos="0" relativeHeight="251667968" behindDoc="0" locked="0" layoutInCell="1" allowOverlap="1" wp14:anchorId="1C2E700C" wp14:editId="6728166B">
                <wp:simplePos x="0" y="0"/>
                <wp:positionH relativeFrom="margin">
                  <wp:posOffset>-33020</wp:posOffset>
                </wp:positionH>
                <wp:positionV relativeFrom="paragraph">
                  <wp:posOffset>0</wp:posOffset>
                </wp:positionV>
                <wp:extent cx="5909945" cy="457200"/>
                <wp:effectExtent l="0" t="0" r="0" b="0"/>
                <wp:wrapSquare wrapText="bothSides"/>
                <wp:docPr id="1" name="Text Box 1"/>
                <wp:cNvGraphicFramePr/>
                <a:graphic xmlns:a="http://schemas.openxmlformats.org/drawingml/2006/main">
                  <a:graphicData uri="http://schemas.microsoft.com/office/word/2010/wordprocessingShape">
                    <wps:wsp>
                      <wps:cNvSpPr txBox="1"/>
                      <wps:spPr>
                        <a:xfrm>
                          <a:off x="0" y="0"/>
                          <a:ext cx="5909945" cy="457200"/>
                        </a:xfrm>
                        <a:prstGeom prst="rect">
                          <a:avLst/>
                        </a:prstGeom>
                        <a:solidFill>
                          <a:prstClr val="white"/>
                        </a:solidFill>
                        <a:ln>
                          <a:noFill/>
                        </a:ln>
                      </wps:spPr>
                      <wps:txbx>
                        <w:txbxContent>
                          <w:p w14:paraId="627447AF" w14:textId="4AD40613" w:rsidR="00424BA0" w:rsidRPr="005C0BCA" w:rsidRDefault="00424BA0" w:rsidP="005C0BCA">
                            <w:pPr>
                              <w:pStyle w:val="Caption"/>
                              <w:rPr>
                                <w:rFonts w:ascii="Verdana" w:hAnsi="Verdana"/>
                                <w:noProof/>
                                <w:color w:val="374E81"/>
                                <w:sz w:val="20"/>
                                <w:szCs w:val="20"/>
                              </w:rPr>
                            </w:pPr>
                            <w:bookmarkStart w:id="53" w:name="_Toc62724852"/>
                            <w:r w:rsidRPr="005C0BCA">
                              <w:rPr>
                                <w:rFonts w:ascii="Verdana" w:hAnsi="Verdana"/>
                                <w:sz w:val="20"/>
                                <w:szCs w:val="20"/>
                              </w:rPr>
                              <w:t xml:space="preserve">Figure </w:t>
                            </w:r>
                            <w:r>
                              <w:rPr>
                                <w:rFonts w:ascii="Verdana" w:hAnsi="Verdana"/>
                                <w:sz w:val="20"/>
                                <w:szCs w:val="20"/>
                              </w:rPr>
                              <w:fldChar w:fldCharType="begin"/>
                            </w:r>
                            <w:r>
                              <w:rPr>
                                <w:rFonts w:ascii="Verdana" w:hAnsi="Verdana"/>
                                <w:sz w:val="20"/>
                                <w:szCs w:val="20"/>
                              </w:rPr>
                              <w:instrText xml:space="preserve"> STYLEREF 1 \s </w:instrText>
                            </w:r>
                            <w:r>
                              <w:rPr>
                                <w:rFonts w:ascii="Verdana" w:hAnsi="Verdana"/>
                                <w:sz w:val="20"/>
                                <w:szCs w:val="20"/>
                              </w:rPr>
                              <w:fldChar w:fldCharType="separate"/>
                            </w:r>
                            <w:r>
                              <w:rPr>
                                <w:rFonts w:ascii="Verdana" w:hAnsi="Verdana"/>
                                <w:noProof/>
                                <w:sz w:val="20"/>
                                <w:szCs w:val="20"/>
                              </w:rPr>
                              <w:t>IV.2</w:t>
                            </w:r>
                            <w:r>
                              <w:rPr>
                                <w:rFonts w:ascii="Verdana" w:hAnsi="Verdana"/>
                                <w:sz w:val="20"/>
                                <w:szCs w:val="20"/>
                              </w:rPr>
                              <w:fldChar w:fldCharType="end"/>
                            </w:r>
                            <w:r>
                              <w:rPr>
                                <w:rFonts w:ascii="Verdana" w:hAnsi="Verdana"/>
                                <w:sz w:val="20"/>
                                <w:szCs w:val="20"/>
                              </w:rPr>
                              <w:noBreakHyphen/>
                            </w:r>
                            <w:r>
                              <w:rPr>
                                <w:rFonts w:ascii="Verdana" w:hAnsi="Verdana"/>
                                <w:sz w:val="20"/>
                                <w:szCs w:val="20"/>
                              </w:rPr>
                              <w:fldChar w:fldCharType="begin"/>
                            </w:r>
                            <w:r>
                              <w:rPr>
                                <w:rFonts w:ascii="Verdana" w:hAnsi="Verdana"/>
                                <w:sz w:val="20"/>
                                <w:szCs w:val="20"/>
                              </w:rPr>
                              <w:instrText xml:space="preserve"> SEQ Figure \* ARABIC \s 1 </w:instrText>
                            </w:r>
                            <w:r>
                              <w:rPr>
                                <w:rFonts w:ascii="Verdana" w:hAnsi="Verdana"/>
                                <w:sz w:val="20"/>
                                <w:szCs w:val="20"/>
                              </w:rPr>
                              <w:fldChar w:fldCharType="separate"/>
                            </w:r>
                            <w:r>
                              <w:rPr>
                                <w:rFonts w:ascii="Verdana" w:hAnsi="Verdana"/>
                                <w:noProof/>
                                <w:sz w:val="20"/>
                                <w:szCs w:val="20"/>
                              </w:rPr>
                              <w:t>2</w:t>
                            </w:r>
                            <w:r>
                              <w:rPr>
                                <w:rFonts w:ascii="Verdana" w:hAnsi="Verdana"/>
                                <w:sz w:val="20"/>
                                <w:szCs w:val="20"/>
                              </w:rPr>
                              <w:fldChar w:fldCharType="end"/>
                            </w:r>
                            <w:r w:rsidRPr="005C0BCA">
                              <w:rPr>
                                <w:rFonts w:ascii="Verdana" w:hAnsi="Verdana"/>
                                <w:sz w:val="20"/>
                                <w:szCs w:val="20"/>
                              </w:rPr>
                              <w:t>: Payments made by MA by priority theme</w:t>
                            </w:r>
                            <w:bookmarkEnd w:id="53"/>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w:pict>
              <v:shapetype w14:anchorId="1C2E700C" id="_x0000_t202" coordsize="21600,21600" o:spt="202" path="m,l,21600r21600,l21600,xe">
                <v:stroke joinstyle="miter"/>
                <v:path gradientshapeok="t" o:connecttype="rect"/>
              </v:shapetype>
              <v:shape id="Text Box 1" o:spid="_x0000_s1031" type="#_x0000_t202" style="position:absolute;margin-left:-2.6pt;margin-top:0;width:465.35pt;height:36pt;z-index:251667968;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" stroked="f">
                <v:textbox inset="0,0,0,0">
                  <w:txbxContent>
                    <w:p w14:paraId="627447AF" w14:textId="4AD40613" w:rsidR="00424BA0" w:rsidRPr="005C0BCA" w:rsidRDefault="00424BA0" w:rsidP="005C0BCA">
                      <w:pPr>
                        <w:pStyle w:val="Caption"/>
                        <w:rPr>
                          <w:rFonts w:ascii="Verdana" w:hAnsi="Verdana"/>
                          <w:noProof/>
                          <w:color w:val="374E81"/>
                          <w:sz w:val="20"/>
                          <w:szCs w:val="20"/>
                        </w:rPr>
                      </w:pPr>
                      <w:bookmarkStart w:id="54" w:name="_Toc62724852"/>
                      <w:r w:rsidRPr="005C0BCA">
                        <w:rPr>
                          <w:rFonts w:ascii="Verdana" w:hAnsi="Verdana"/>
                          <w:sz w:val="20"/>
                          <w:szCs w:val="20"/>
                        </w:rPr>
                        <w:t xml:space="preserve">Figure </w:t>
                      </w:r>
                      <w:r>
                        <w:rPr>
                          <w:rFonts w:ascii="Verdana" w:hAnsi="Verdana"/>
                          <w:sz w:val="20"/>
                          <w:szCs w:val="20"/>
                        </w:rPr>
                        <w:fldChar w:fldCharType="begin"/>
                      </w:r>
                      <w:r>
                        <w:rPr>
                          <w:rFonts w:ascii="Verdana" w:hAnsi="Verdana"/>
                          <w:sz w:val="20"/>
                          <w:szCs w:val="20"/>
                        </w:rPr>
                        <w:instrText xml:space="preserve"> STYLEREF 1 \s </w:instrText>
                      </w:r>
                      <w:r>
                        <w:rPr>
                          <w:rFonts w:ascii="Verdana" w:hAnsi="Verdana"/>
                          <w:sz w:val="20"/>
                          <w:szCs w:val="20"/>
                        </w:rPr>
                        <w:fldChar w:fldCharType="separate"/>
                      </w:r>
                      <w:r>
                        <w:rPr>
                          <w:rFonts w:ascii="Verdana" w:hAnsi="Verdana"/>
                          <w:noProof/>
                          <w:sz w:val="20"/>
                          <w:szCs w:val="20"/>
                        </w:rPr>
                        <w:t>IV.2</w:t>
                      </w:r>
                      <w:r>
                        <w:rPr>
                          <w:rFonts w:ascii="Verdana" w:hAnsi="Verdana"/>
                          <w:sz w:val="20"/>
                          <w:szCs w:val="20"/>
                        </w:rPr>
                        <w:fldChar w:fldCharType="end"/>
                      </w:r>
                      <w:r>
                        <w:rPr>
                          <w:rFonts w:ascii="Verdana" w:hAnsi="Verdana"/>
                          <w:sz w:val="20"/>
                          <w:szCs w:val="20"/>
                        </w:rPr>
                        <w:noBreakHyphen/>
                      </w:r>
                      <w:r>
                        <w:rPr>
                          <w:rFonts w:ascii="Verdana" w:hAnsi="Verdana"/>
                          <w:sz w:val="20"/>
                          <w:szCs w:val="20"/>
                        </w:rPr>
                        <w:fldChar w:fldCharType="begin"/>
                      </w:r>
                      <w:r>
                        <w:rPr>
                          <w:rFonts w:ascii="Verdana" w:hAnsi="Verdana"/>
                          <w:sz w:val="20"/>
                          <w:szCs w:val="20"/>
                        </w:rPr>
                        <w:instrText xml:space="preserve"> SEQ Figure \* ARABIC \s 1 </w:instrText>
                      </w:r>
                      <w:r>
                        <w:rPr>
                          <w:rFonts w:ascii="Verdana" w:hAnsi="Verdana"/>
                          <w:sz w:val="20"/>
                          <w:szCs w:val="20"/>
                        </w:rPr>
                        <w:fldChar w:fldCharType="separate"/>
                      </w:r>
                      <w:r>
                        <w:rPr>
                          <w:rFonts w:ascii="Verdana" w:hAnsi="Verdana"/>
                          <w:noProof/>
                          <w:sz w:val="20"/>
                          <w:szCs w:val="20"/>
                        </w:rPr>
                        <w:t>2</w:t>
                      </w:r>
                      <w:r>
                        <w:rPr>
                          <w:rFonts w:ascii="Verdana" w:hAnsi="Verdana"/>
                          <w:sz w:val="20"/>
                          <w:szCs w:val="20"/>
                        </w:rPr>
                        <w:fldChar w:fldCharType="end"/>
                      </w:r>
                      <w:r w:rsidRPr="005C0BCA">
                        <w:rPr>
                          <w:rFonts w:ascii="Verdana" w:hAnsi="Verdana"/>
                          <w:sz w:val="20"/>
                          <w:szCs w:val="20"/>
                        </w:rPr>
                        <w:t>: Payments made by MA by priority theme</w:t>
                      </w:r>
                      <w:bookmarkEnd w:id="54"/>
                    </w:p>
                  </w:txbxContent>
                </v:textbox>
                <w10:wrap type="square" anchorx="margin"/>
              </v:shape>
            </w:pict>
          </mc:Fallback>
        </mc:AlternateContent>
      </w:r>
      <w:r w:rsidRPr="005C0BCA">
        <w:rPr>
          <w:rFonts w:ascii="Verdana" w:hAnsi="Verdana"/>
          <w:i/>
          <w:iCs/>
          <w:noProof/>
          <w:color w:val="374E81"/>
          <w:sz w:val="18"/>
          <w:szCs w:val="18"/>
          <w:lang w:val="bg-BG" w:eastAsia="bg-BG"/>
        </w:rPr>
        <w:drawing>
          <wp:anchor distT="0" distB="0" distL="114300" distR="114300" simplePos="0" relativeHeight="251663872" behindDoc="0" locked="0" layoutInCell="1" allowOverlap="1" wp14:anchorId="3CB0E1A5" wp14:editId="7F9E2E08">
            <wp:simplePos x="0" y="0"/>
            <wp:positionH relativeFrom="margin">
              <wp:align>left</wp:align>
            </wp:positionH>
            <wp:positionV relativeFrom="paragraph">
              <wp:posOffset>584835</wp:posOffset>
            </wp:positionV>
            <wp:extent cx="5909945" cy="5295900"/>
            <wp:effectExtent l="0" t="0" r="14605" b="0"/>
            <wp:wrapSquare wrapText="bothSides"/>
            <wp:docPr id="10" name="Chart 10">
              <a:extLst xmlns:a="http://schemas.openxmlformats.org/drawingml/2006/main">
                <a:ext uri="{FF2B5EF4-FFF2-40B4-BE49-F238E27FC236}">
                  <a16:creationId xmlns:a16="http://schemas.microsoft.com/office/drawing/2014/main" id="{FEA61330-9A11-4380-BABD-72740CD69DC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14:sizeRelH relativeFrom="margin">
              <wp14:pctWidth>0</wp14:pctWidth>
            </wp14:sizeRelH>
            <wp14:sizeRelV relativeFrom="margin">
              <wp14:pctHeight>0</wp14:pctHeight>
            </wp14:sizeRelV>
          </wp:anchor>
        </w:drawing>
      </w:r>
    </w:p>
    <w:p w14:paraId="5AE92157" w14:textId="14A00368" w:rsidR="005C0BCA" w:rsidRDefault="005C0BCA" w:rsidP="005C0BCA">
      <w:pPr>
        <w:jc w:val="both"/>
        <w:rPr>
          <w:rFonts w:ascii="Verdana" w:hAnsi="Verdana"/>
          <w:i/>
          <w:iCs/>
          <w:sz w:val="18"/>
          <w:szCs w:val="18"/>
          <w:lang w:val="en" w:eastAsia="bg-BG"/>
        </w:rPr>
      </w:pPr>
      <w:r w:rsidRPr="005C0BCA">
        <w:rPr>
          <w:rFonts w:ascii="Verdana" w:hAnsi="Verdana"/>
          <w:i/>
          <w:iCs/>
          <w:sz w:val="18"/>
          <w:szCs w:val="18"/>
          <w:lang w:val="en" w:eastAsia="bg-BG"/>
        </w:rPr>
        <w:t>Source: Final Report of OPT</w:t>
      </w:r>
    </w:p>
    <w:p w14:paraId="6006C507" w14:textId="77777777" w:rsidR="005C0BCA" w:rsidRDefault="005C0BCA" w:rsidP="005C0BCA">
      <w:pPr>
        <w:jc w:val="both"/>
        <w:rPr>
          <w:rFonts w:ascii="Verdana" w:hAnsi="Verdana"/>
          <w:i/>
          <w:iCs/>
          <w:sz w:val="18"/>
          <w:szCs w:val="18"/>
          <w:lang w:val="en" w:eastAsia="bg-BG"/>
        </w:rPr>
      </w:pPr>
    </w:p>
    <w:p w14:paraId="51D67F23" w14:textId="77777777" w:rsidR="00316E5B" w:rsidRPr="00F50700" w:rsidRDefault="00316E5B" w:rsidP="00316E5B">
      <w:pPr>
        <w:rPr>
          <w:rFonts w:ascii="Verdana" w:eastAsiaTheme="minorHAnsi" w:hAnsi="Verdana"/>
          <w:sz w:val="18"/>
          <w:szCs w:val="18"/>
          <w:highlight w:val="yellow"/>
          <w:lang w:val="bg-BG"/>
        </w:rPr>
      </w:pPr>
    </w:p>
    <w:p w14:paraId="6C53008A" w14:textId="77777777" w:rsidR="001E376A" w:rsidRPr="001E376A" w:rsidRDefault="001E376A" w:rsidP="001E376A">
      <w:pPr>
        <w:ind w:right="-2"/>
        <w:jc w:val="both"/>
        <w:rPr>
          <w:rFonts w:ascii="Verdana" w:eastAsiaTheme="minorHAnsi" w:hAnsi="Verdana"/>
          <w:b/>
          <w:bCs/>
          <w:sz w:val="20"/>
          <w:szCs w:val="20"/>
          <w:lang w:val="bg-BG"/>
        </w:rPr>
      </w:pPr>
      <w:r w:rsidRPr="001E376A">
        <w:rPr>
          <w:rFonts w:ascii="Verdana" w:hAnsi="Verdana"/>
          <w:sz w:val="20"/>
          <w:szCs w:val="20"/>
          <w:lang w:val="en"/>
        </w:rPr>
        <w:t xml:space="preserve">As regards the allocation of contributions by priority theme, the following changes have been </w:t>
      </w:r>
      <w:r w:rsidRPr="001E376A">
        <w:rPr>
          <w:rFonts w:ascii="Verdana" w:hAnsi="Verdana"/>
          <w:sz w:val="20"/>
          <w:szCs w:val="20"/>
        </w:rPr>
        <w:t>made</w:t>
      </w:r>
      <w:r w:rsidRPr="001E376A">
        <w:rPr>
          <w:rFonts w:ascii="Verdana" w:hAnsi="Verdana"/>
          <w:sz w:val="20"/>
          <w:szCs w:val="20"/>
          <w:lang w:val="en"/>
        </w:rPr>
        <w:t xml:space="preserve"> in the course of the </w:t>
      </w:r>
      <w:r w:rsidRPr="001E376A">
        <w:rPr>
          <w:rFonts w:ascii="Verdana" w:hAnsi="Verdana"/>
          <w:b/>
          <w:bCs/>
          <w:sz w:val="20"/>
          <w:szCs w:val="20"/>
          <w:lang w:val="en"/>
        </w:rPr>
        <w:t>programme modifications:</w:t>
      </w:r>
    </w:p>
    <w:p w14:paraId="4748960F" w14:textId="77777777" w:rsidR="001E376A" w:rsidRPr="001E376A" w:rsidRDefault="001E376A" w:rsidP="001E376A">
      <w:pPr>
        <w:numPr>
          <w:ilvl w:val="0"/>
          <w:numId w:val="23"/>
        </w:numPr>
        <w:spacing w:after="0" w:line="240" w:lineRule="auto"/>
        <w:ind w:right="-2"/>
        <w:contextualSpacing/>
        <w:jc w:val="both"/>
        <w:rPr>
          <w:rFonts w:ascii="Verdana" w:eastAsia="Times New Roman" w:hAnsi="Verdana" w:cs="Times New Roman"/>
          <w:bCs/>
          <w:sz w:val="20"/>
          <w:szCs w:val="20"/>
          <w:lang w:val="bg-BG" w:eastAsia="bg-BG"/>
        </w:rPr>
      </w:pPr>
      <w:r w:rsidRPr="001E376A">
        <w:rPr>
          <w:rFonts w:ascii="Verdana" w:hAnsi="Verdana"/>
          <w:bCs/>
          <w:sz w:val="20"/>
          <w:szCs w:val="20"/>
          <w:lang w:val="en" w:eastAsia="bg-BG"/>
        </w:rPr>
        <w:t xml:space="preserve">Significant decrease was reported in the categories Railways TEN-T /from EUR 464 million to EUR 341.3 million or by 26%/, national roads /from EUR 144,6 million to EUR 53.4 or by 63%/ and Inland waterways - TENT/from EUR 117,3 million to EUR 1.6 million, or 99%/. </w:t>
      </w:r>
    </w:p>
    <w:p w14:paraId="46B194E4" w14:textId="19BC6A62" w:rsidR="001E376A" w:rsidRPr="001E376A" w:rsidRDefault="001E376A" w:rsidP="001E376A">
      <w:pPr>
        <w:numPr>
          <w:ilvl w:val="0"/>
          <w:numId w:val="23"/>
        </w:numPr>
        <w:spacing w:after="0" w:line="240" w:lineRule="auto"/>
        <w:ind w:right="-2"/>
        <w:contextualSpacing/>
        <w:jc w:val="both"/>
        <w:rPr>
          <w:rFonts w:ascii="Verdana" w:eastAsia="Times New Roman" w:hAnsi="Verdana" w:cs="Times New Roman"/>
          <w:bCs/>
          <w:sz w:val="20"/>
          <w:szCs w:val="20"/>
          <w:lang w:val="bg-BG" w:eastAsia="bg-BG"/>
        </w:rPr>
      </w:pPr>
      <w:r w:rsidRPr="001E376A">
        <w:rPr>
          <w:rFonts w:ascii="Verdana" w:hAnsi="Verdana"/>
          <w:bCs/>
          <w:sz w:val="20"/>
          <w:szCs w:val="20"/>
          <w:lang w:val="en" w:eastAsia="bg-BG"/>
        </w:rPr>
        <w:t>Increases were observed in category Multimodal transport – by 183%, from EUR 157.4 m</w:t>
      </w:r>
      <w:r w:rsidR="004E5ED7">
        <w:rPr>
          <w:rFonts w:ascii="Verdana" w:hAnsi="Verdana"/>
          <w:bCs/>
          <w:sz w:val="20"/>
          <w:szCs w:val="20"/>
          <w:lang w:val="en" w:eastAsia="bg-BG"/>
        </w:rPr>
        <w:t>i</w:t>
      </w:r>
      <w:r w:rsidRPr="001E376A">
        <w:rPr>
          <w:rFonts w:ascii="Verdana" w:hAnsi="Verdana"/>
          <w:bCs/>
          <w:sz w:val="20"/>
          <w:szCs w:val="20"/>
          <w:lang w:val="en" w:eastAsia="bg-BG"/>
        </w:rPr>
        <w:t>l</w:t>
      </w:r>
      <w:r w:rsidR="004E5ED7">
        <w:rPr>
          <w:rFonts w:ascii="Verdana" w:hAnsi="Verdana"/>
          <w:bCs/>
          <w:sz w:val="20"/>
          <w:szCs w:val="20"/>
          <w:lang w:val="en" w:eastAsia="bg-BG"/>
        </w:rPr>
        <w:t>lio</w:t>
      </w:r>
      <w:r w:rsidRPr="001E376A">
        <w:rPr>
          <w:rFonts w:ascii="Verdana" w:hAnsi="Verdana"/>
          <w:bCs/>
          <w:sz w:val="20"/>
          <w:szCs w:val="20"/>
          <w:lang w:val="en" w:eastAsia="bg-BG"/>
        </w:rPr>
        <w:t xml:space="preserve">n to EUR 446 million, multimodal transport TEN-T /from EUR 22 million to EUR 32.3 million euro or by 47%/ and Intelligent Transport Systems /from EUR 16 million to EUR 27.9 million or by 75%/. </w:t>
      </w:r>
    </w:p>
    <w:p w14:paraId="25A9C7B2" w14:textId="77777777" w:rsidR="001E376A" w:rsidRPr="001E376A" w:rsidRDefault="001E376A" w:rsidP="001E376A">
      <w:pPr>
        <w:ind w:right="-2"/>
        <w:jc w:val="both"/>
        <w:rPr>
          <w:rFonts w:ascii="Verdana" w:hAnsi="Verdana"/>
          <w:bCs/>
          <w:sz w:val="20"/>
          <w:szCs w:val="20"/>
          <w:lang w:val="en" w:eastAsia="bg-BG"/>
        </w:rPr>
      </w:pPr>
    </w:p>
    <w:p w14:paraId="7D5EBB79" w14:textId="77777777" w:rsidR="001E376A" w:rsidRPr="001E376A" w:rsidRDefault="001E376A" w:rsidP="001E376A">
      <w:pPr>
        <w:ind w:right="-2"/>
        <w:jc w:val="both"/>
        <w:rPr>
          <w:rFonts w:ascii="Verdana" w:eastAsia="Times New Roman" w:hAnsi="Verdana" w:cs="Times New Roman"/>
          <w:bCs/>
          <w:sz w:val="20"/>
          <w:szCs w:val="20"/>
          <w:lang w:val="bg-BG" w:eastAsia="bg-BG"/>
        </w:rPr>
      </w:pPr>
      <w:r w:rsidRPr="001E376A">
        <w:rPr>
          <w:rFonts w:ascii="Verdana" w:hAnsi="Verdana"/>
          <w:bCs/>
          <w:sz w:val="20"/>
          <w:szCs w:val="20"/>
          <w:lang w:val="en" w:eastAsia="bg-BG"/>
        </w:rPr>
        <w:lastRenderedPageBreak/>
        <w:t>The significant redistributions were caused by exclusion of major projects in the railway and inland waterways sectors under PA 1 and 3, as well as including additional projects for extension of Sofia metro. The investments under TEN-T motorway theme retained its share compared to the initial version of the programme (about 40%) with EUR 673.2 million invested.</w:t>
      </w:r>
    </w:p>
    <w:p w14:paraId="5D2DA793" w14:textId="63B04361" w:rsidR="00316E5B" w:rsidRPr="004E5ED7" w:rsidRDefault="001D1645" w:rsidP="0048262D">
      <w:pPr>
        <w:pStyle w:val="ListParagraph"/>
        <w:numPr>
          <w:ilvl w:val="2"/>
          <w:numId w:val="58"/>
        </w:numPr>
        <w:rPr>
          <w:rFonts w:ascii="Verdana" w:eastAsia="Times New Roman" w:hAnsi="Verdana"/>
          <w:b/>
          <w:bCs/>
          <w:smallCaps/>
          <w:color w:val="374C80" w:themeColor="accent1" w:themeShade="BF"/>
          <w:lang w:val="bg-BG" w:eastAsia="bg-BG"/>
        </w:rPr>
      </w:pPr>
      <w:r w:rsidRPr="004E5ED7">
        <w:rPr>
          <w:rFonts w:ascii="Verdana" w:hAnsi="Verdana"/>
          <w:b/>
          <w:bCs/>
          <w:smallCaps/>
          <w:color w:val="374C80" w:themeColor="accent1" w:themeShade="BF"/>
          <w:lang w:val="en" w:eastAsia="bg-BG"/>
        </w:rPr>
        <w:t>Evaluation of the</w:t>
      </w:r>
      <w:r w:rsidR="001C68DE" w:rsidRPr="004E5ED7">
        <w:rPr>
          <w:rFonts w:ascii="Verdana" w:hAnsi="Verdana"/>
          <w:b/>
          <w:bCs/>
          <w:smallCaps/>
          <w:color w:val="374C80" w:themeColor="accent1" w:themeShade="BF"/>
          <w:lang w:val="en" w:eastAsia="bg-BG"/>
        </w:rPr>
        <w:t xml:space="preserve"> achievement of target indicators</w:t>
      </w:r>
    </w:p>
    <w:p w14:paraId="33C01422" w14:textId="77777777" w:rsidR="00BC4BCB" w:rsidRPr="00BC4BCB" w:rsidRDefault="00BC4BCB" w:rsidP="00BC4BCB">
      <w:pPr>
        <w:ind w:right="-2"/>
        <w:jc w:val="both"/>
        <w:rPr>
          <w:rFonts w:ascii="Verdana" w:hAnsi="Verdana"/>
          <w:bCs/>
          <w:sz w:val="20"/>
          <w:szCs w:val="20"/>
          <w:lang w:val="en" w:eastAsia="bg-BG"/>
        </w:rPr>
      </w:pPr>
      <w:r w:rsidRPr="00BC4BCB">
        <w:rPr>
          <w:rFonts w:ascii="Verdana" w:hAnsi="Verdana"/>
          <w:bCs/>
          <w:sz w:val="20"/>
          <w:szCs w:val="20"/>
          <w:lang w:val="en" w:eastAsia="bg-BG"/>
        </w:rPr>
        <w:t xml:space="preserve">The programme demonstrates a high degree of achievement of the values of target indicators set out in the third programme modification. </w:t>
      </w:r>
    </w:p>
    <w:p w14:paraId="132AF343" w14:textId="0FE90B25" w:rsidR="006443C1" w:rsidRPr="006443C1" w:rsidRDefault="002A55D5" w:rsidP="006443C1">
      <w:pPr>
        <w:ind w:right="-18"/>
        <w:jc w:val="both"/>
        <w:rPr>
          <w:rFonts w:ascii="Verdana" w:hAnsi="Verdana"/>
          <w:sz w:val="20"/>
          <w:szCs w:val="20"/>
          <w:highlight w:val="yellow"/>
          <w:lang w:val="en"/>
        </w:rPr>
      </w:pPr>
      <w:r w:rsidRPr="006443C1">
        <w:rPr>
          <w:rFonts w:ascii="Verdana" w:hAnsi="Verdana"/>
          <w:sz w:val="20"/>
          <w:szCs w:val="20"/>
          <w:lang w:val="en"/>
        </w:rPr>
        <w:t xml:space="preserve">As a result of the </w:t>
      </w:r>
      <w:r w:rsidR="003F2B3A" w:rsidRPr="006443C1">
        <w:rPr>
          <w:rFonts w:ascii="Verdana" w:hAnsi="Verdana"/>
          <w:sz w:val="20"/>
          <w:szCs w:val="20"/>
          <w:lang w:val="en"/>
        </w:rPr>
        <w:t>implemented</w:t>
      </w:r>
      <w:r w:rsidRPr="006443C1">
        <w:rPr>
          <w:rFonts w:ascii="Verdana" w:hAnsi="Verdana"/>
          <w:sz w:val="20"/>
          <w:szCs w:val="20"/>
          <w:lang w:val="en"/>
        </w:rPr>
        <w:t xml:space="preserve"> projects, 345 km of railway lines have been rehabilitated, 310 km of new roads have been built and 19 km of roads have been rehabilitated, 20.7 km of metro lines and 20 new metro stations </w:t>
      </w:r>
      <w:r w:rsidR="00300D24" w:rsidRPr="006443C1">
        <w:rPr>
          <w:rFonts w:ascii="Verdana" w:hAnsi="Verdana"/>
          <w:sz w:val="20"/>
          <w:szCs w:val="20"/>
          <w:lang w:val="en"/>
        </w:rPr>
        <w:t>have been built</w:t>
      </w:r>
      <w:r w:rsidRPr="006443C1">
        <w:rPr>
          <w:rFonts w:ascii="Verdana" w:hAnsi="Verdana"/>
          <w:sz w:val="20"/>
          <w:szCs w:val="20"/>
          <w:lang w:val="en"/>
        </w:rPr>
        <w:t>.</w:t>
      </w:r>
      <w:r w:rsidR="006443C1" w:rsidRPr="006443C1">
        <w:rPr>
          <w:rFonts w:ascii="Verdana" w:hAnsi="Verdana"/>
          <w:sz w:val="20"/>
          <w:szCs w:val="20"/>
          <w:lang w:val="en"/>
        </w:rPr>
        <w:t xml:space="preserve"> </w:t>
      </w:r>
      <w:proofErr w:type="gramStart"/>
      <w:r w:rsidR="006443C1" w:rsidRPr="006443C1">
        <w:rPr>
          <w:rFonts w:ascii="Verdana" w:hAnsi="Verdana"/>
          <w:sz w:val="20"/>
          <w:szCs w:val="20"/>
          <w:lang w:val="en"/>
        </w:rPr>
        <w:t>As a result</w:t>
      </w:r>
      <w:proofErr w:type="gramEnd"/>
      <w:r w:rsidR="006443C1" w:rsidRPr="006443C1">
        <w:rPr>
          <w:rFonts w:ascii="Verdana" w:hAnsi="Verdana"/>
          <w:sz w:val="20"/>
          <w:szCs w:val="20"/>
          <w:lang w:val="en"/>
        </w:rPr>
        <w:t xml:space="preserve"> of the revision of indicators, a high implementation rate was reported on most product and result indicators as</w:t>
      </w:r>
      <w:r w:rsidR="006443C1" w:rsidRPr="006443C1">
        <w:rPr>
          <w:rFonts w:ascii="Verdana" w:hAnsi="Verdana"/>
          <w:sz w:val="20"/>
          <w:szCs w:val="20"/>
          <w:lang w:val="en"/>
        </w:rPr>
        <w:fldChar w:fldCharType="begin"/>
      </w:r>
      <w:r w:rsidR="006443C1" w:rsidRPr="006443C1">
        <w:rPr>
          <w:rFonts w:ascii="Verdana" w:hAnsi="Verdana"/>
          <w:sz w:val="20"/>
          <w:szCs w:val="20"/>
          <w:lang w:val="en"/>
        </w:rPr>
        <w:instrText xml:space="preserve"> REF _Ref50464327 \h  \* MERGEFORMAT </w:instrText>
      </w:r>
      <w:r w:rsidR="006443C1" w:rsidRPr="006443C1">
        <w:rPr>
          <w:rFonts w:ascii="Verdana" w:hAnsi="Verdana"/>
          <w:sz w:val="20"/>
          <w:szCs w:val="20"/>
          <w:lang w:val="en"/>
        </w:rPr>
      </w:r>
      <w:r w:rsidR="006443C1" w:rsidRPr="006443C1">
        <w:rPr>
          <w:rFonts w:ascii="Verdana" w:hAnsi="Verdana"/>
          <w:sz w:val="20"/>
          <w:szCs w:val="20"/>
          <w:lang w:val="en"/>
        </w:rPr>
        <w:fldChar w:fldCharType="separate"/>
      </w:r>
      <w:r w:rsidR="006443C1" w:rsidRPr="006443C1">
        <w:rPr>
          <w:rFonts w:ascii="Verdana" w:hAnsi="Verdana"/>
          <w:color w:val="242852" w:themeColor="text2"/>
          <w:sz w:val="20"/>
          <w:szCs w:val="20"/>
          <w:lang w:val="en"/>
        </w:rPr>
        <w:t xml:space="preserve"> </w:t>
      </w:r>
      <w:r w:rsidR="006443C1" w:rsidRPr="006443C1">
        <w:rPr>
          <w:rFonts w:ascii="Verdana" w:hAnsi="Verdana"/>
          <w:sz w:val="20"/>
          <w:szCs w:val="20"/>
          <w:lang w:val="en"/>
        </w:rPr>
        <w:fldChar w:fldCharType="end"/>
      </w:r>
      <w:r w:rsidR="006443C1" w:rsidRPr="006443C1">
        <w:rPr>
          <w:rFonts w:ascii="Verdana" w:hAnsi="Verdana"/>
          <w:sz w:val="20"/>
          <w:szCs w:val="20"/>
          <w:lang w:val="en"/>
        </w:rPr>
        <w:t xml:space="preserve">shown in </w:t>
      </w:r>
      <w:r w:rsidR="006443C1" w:rsidRPr="006443C1">
        <w:rPr>
          <w:rFonts w:ascii="Verdana" w:hAnsi="Verdana"/>
          <w:sz w:val="20"/>
          <w:szCs w:val="20"/>
          <w:lang w:val="en"/>
        </w:rPr>
        <w:fldChar w:fldCharType="begin"/>
      </w:r>
      <w:r w:rsidR="006443C1" w:rsidRPr="006443C1">
        <w:rPr>
          <w:rFonts w:ascii="Verdana" w:hAnsi="Verdana"/>
          <w:sz w:val="20"/>
          <w:szCs w:val="20"/>
          <w:lang w:val="en"/>
        </w:rPr>
        <w:instrText xml:space="preserve"> REF _Ref61793691 \h </w:instrText>
      </w:r>
      <w:r w:rsidR="006443C1" w:rsidRPr="006443C1">
        <w:rPr>
          <w:rFonts w:ascii="Verdana" w:hAnsi="Verdana"/>
          <w:sz w:val="20"/>
          <w:szCs w:val="20"/>
          <w:lang w:val="en"/>
        </w:rPr>
      </w:r>
      <w:r w:rsidR="006443C1" w:rsidRPr="006443C1">
        <w:rPr>
          <w:rFonts w:ascii="Verdana" w:hAnsi="Verdana"/>
          <w:sz w:val="20"/>
          <w:szCs w:val="20"/>
          <w:lang w:val="en"/>
        </w:rPr>
        <w:fldChar w:fldCharType="separate"/>
      </w:r>
      <w:r w:rsidR="006443C1" w:rsidRPr="006443C1">
        <w:rPr>
          <w:rFonts w:ascii="Verdana" w:hAnsi="Verdana"/>
          <w:sz w:val="20"/>
          <w:szCs w:val="20"/>
        </w:rPr>
        <w:t xml:space="preserve">Table </w:t>
      </w:r>
      <w:r w:rsidR="006443C1" w:rsidRPr="006443C1">
        <w:rPr>
          <w:rFonts w:ascii="Verdana" w:hAnsi="Verdana"/>
          <w:noProof/>
          <w:sz w:val="20"/>
          <w:szCs w:val="20"/>
        </w:rPr>
        <w:t>IV.2</w:t>
      </w:r>
      <w:r w:rsidR="006443C1" w:rsidRPr="006443C1">
        <w:rPr>
          <w:rFonts w:ascii="Verdana" w:hAnsi="Verdana"/>
          <w:sz w:val="20"/>
          <w:szCs w:val="20"/>
        </w:rPr>
        <w:noBreakHyphen/>
      </w:r>
      <w:r w:rsidR="006443C1" w:rsidRPr="006443C1">
        <w:rPr>
          <w:rFonts w:ascii="Verdana" w:hAnsi="Verdana"/>
          <w:noProof/>
          <w:sz w:val="20"/>
          <w:szCs w:val="20"/>
        </w:rPr>
        <w:t>2</w:t>
      </w:r>
      <w:r w:rsidR="006443C1" w:rsidRPr="006443C1">
        <w:rPr>
          <w:rFonts w:ascii="Verdana" w:hAnsi="Verdana"/>
          <w:sz w:val="20"/>
          <w:szCs w:val="20"/>
          <w:lang w:val="en"/>
        </w:rPr>
        <w:fldChar w:fldCharType="end"/>
      </w:r>
      <w:r w:rsidR="006443C1" w:rsidRPr="006443C1">
        <w:rPr>
          <w:rFonts w:ascii="Verdana" w:hAnsi="Verdana"/>
          <w:sz w:val="20"/>
          <w:szCs w:val="20"/>
          <w:lang w:val="en"/>
        </w:rPr>
        <w:t>.  Some failures to achieve the targets were observed for the following indicators:</w:t>
      </w:r>
    </w:p>
    <w:p w14:paraId="71C3027D" w14:textId="77777777" w:rsidR="006443C1" w:rsidRPr="006443C1" w:rsidRDefault="006443C1" w:rsidP="006443C1">
      <w:pPr>
        <w:numPr>
          <w:ilvl w:val="0"/>
          <w:numId w:val="23"/>
        </w:numPr>
        <w:ind w:right="-2"/>
        <w:contextualSpacing/>
        <w:jc w:val="both"/>
        <w:rPr>
          <w:rFonts w:ascii="Verdana" w:eastAsia="Calibri" w:hAnsi="Verdana"/>
          <w:iCs/>
          <w:sz w:val="20"/>
          <w:szCs w:val="20"/>
          <w:lang w:val="bg-BG"/>
        </w:rPr>
      </w:pPr>
      <w:r w:rsidRPr="006443C1">
        <w:rPr>
          <w:rFonts w:ascii="Verdana" w:hAnsi="Verdana"/>
          <w:i/>
          <w:sz w:val="20"/>
          <w:szCs w:val="20"/>
          <w:lang w:val="en"/>
        </w:rPr>
        <w:t xml:space="preserve">The reported values of core indicators "Value of saved travel time in railroads" and "value of saved travel time on roads" </w:t>
      </w:r>
      <w:r w:rsidRPr="006443C1">
        <w:rPr>
          <w:rFonts w:ascii="Verdana" w:hAnsi="Verdana"/>
          <w:iCs/>
          <w:sz w:val="20"/>
          <w:szCs w:val="20"/>
          <w:lang w:val="en"/>
        </w:rPr>
        <w:t xml:space="preserve">are lower than the target values set. The Final Report of the programme states that the reasons for the lower values achieved are related to the global economic crisis which has led to a slowdown in economic development. The other reason is the demographic situation in the country and the declining population, especially in rural areas and smaller towns. Both factors have a direct impact on consumption, with a reduced number of business, daily, private and freight journeys. In addition, it was mentioned that most of the projects were put into operation in 2015 and at the time of programme closure were still deploying their capacity. The traffic they generate was still under the forecasted values. In this sense, time efficiency in project implementation is essential for the achievement of the indicators. </w:t>
      </w:r>
    </w:p>
    <w:p w14:paraId="61437B9B" w14:textId="77777777" w:rsidR="006443C1" w:rsidRPr="006443C1" w:rsidRDefault="006443C1" w:rsidP="006443C1">
      <w:pPr>
        <w:numPr>
          <w:ilvl w:val="0"/>
          <w:numId w:val="23"/>
        </w:numPr>
        <w:ind w:right="-2"/>
        <w:contextualSpacing/>
        <w:jc w:val="both"/>
        <w:rPr>
          <w:rFonts w:ascii="Verdana" w:eastAsia="Calibri" w:hAnsi="Verdana"/>
          <w:iCs/>
          <w:sz w:val="20"/>
          <w:szCs w:val="20"/>
          <w:lang w:val="bg-BG"/>
        </w:rPr>
      </w:pPr>
      <w:r w:rsidRPr="006443C1">
        <w:rPr>
          <w:rFonts w:ascii="Verdana" w:hAnsi="Verdana"/>
          <w:iCs/>
          <w:sz w:val="20"/>
          <w:szCs w:val="20"/>
          <w:lang w:val="en"/>
        </w:rPr>
        <w:t>The difference between the estimated number of trips compared to the actual journeys made for each project of the Sofia metro extension is explained by the need for a longer period of operation in order to achieve the projected effects.</w:t>
      </w:r>
    </w:p>
    <w:p w14:paraId="74E9CF6F" w14:textId="77777777" w:rsidR="006443C1" w:rsidRPr="006443C1" w:rsidRDefault="006443C1" w:rsidP="006443C1">
      <w:pPr>
        <w:tabs>
          <w:tab w:val="left" w:pos="2495"/>
        </w:tabs>
        <w:ind w:right="-2"/>
        <w:jc w:val="both"/>
        <w:rPr>
          <w:rFonts w:ascii="Verdana" w:hAnsi="Verdana"/>
          <w:sz w:val="20"/>
          <w:szCs w:val="20"/>
          <w:lang w:val="en"/>
        </w:rPr>
      </w:pPr>
    </w:p>
    <w:p w14:paraId="3F7750C9" w14:textId="0729997D" w:rsidR="00341306" w:rsidRDefault="00C35FCA" w:rsidP="00C35FCA">
      <w:pPr>
        <w:tabs>
          <w:tab w:val="left" w:pos="2495"/>
        </w:tabs>
        <w:ind w:right="-2"/>
        <w:jc w:val="both"/>
        <w:rPr>
          <w:rFonts w:ascii="Verdana" w:hAnsi="Verdana"/>
          <w:sz w:val="20"/>
          <w:szCs w:val="20"/>
          <w:lang w:val="en"/>
        </w:rPr>
      </w:pPr>
      <w:r w:rsidRPr="00C35FCA">
        <w:rPr>
          <w:rFonts w:ascii="Verdana" w:hAnsi="Verdana"/>
          <w:sz w:val="20"/>
          <w:szCs w:val="20"/>
          <w:lang w:val="en"/>
        </w:rPr>
        <w:t>The time savings are the main result indicator under Priority Axes 1, 2 and 3</w:t>
      </w:r>
      <w:r w:rsidR="00341306">
        <w:rPr>
          <w:rFonts w:ascii="Verdana" w:hAnsi="Verdana"/>
          <w:sz w:val="20"/>
          <w:szCs w:val="20"/>
          <w:lang w:val="en"/>
        </w:rPr>
        <w:t xml:space="preserve">. </w:t>
      </w:r>
      <w:r w:rsidR="009523E9">
        <w:rPr>
          <w:rFonts w:ascii="Verdana" w:hAnsi="Verdana"/>
          <w:sz w:val="20"/>
          <w:szCs w:val="20"/>
          <w:lang w:val="en"/>
        </w:rPr>
        <w:t xml:space="preserve">The evaluation of time efficiency included analysis of average </w:t>
      </w:r>
      <w:r w:rsidR="009402FD">
        <w:rPr>
          <w:rFonts w:ascii="Verdana" w:hAnsi="Verdana"/>
          <w:sz w:val="20"/>
          <w:szCs w:val="20"/>
          <w:lang w:val="en"/>
        </w:rPr>
        <w:t xml:space="preserve">implementation periods within the Priority axes and average delays. </w:t>
      </w:r>
      <w:r w:rsidR="00766A96">
        <w:rPr>
          <w:rFonts w:ascii="Verdana" w:hAnsi="Verdana"/>
          <w:sz w:val="20"/>
          <w:szCs w:val="20"/>
          <w:lang w:val="en"/>
        </w:rPr>
        <w:t xml:space="preserve">The results show longest implementation periods in projects under PA 1, followed by projects under PA 2 and 3. </w:t>
      </w:r>
      <w:r w:rsidR="00B97169">
        <w:rPr>
          <w:rFonts w:ascii="Verdana" w:hAnsi="Verdana"/>
          <w:sz w:val="20"/>
          <w:szCs w:val="20"/>
          <w:lang w:val="en"/>
        </w:rPr>
        <w:t>The main time deviations have been observed in projects implemented by NRIC (25% longer implementation periods than planned), followed by RIA (</w:t>
      </w:r>
      <w:r w:rsidR="00BD3179">
        <w:rPr>
          <w:rFonts w:ascii="Verdana" w:hAnsi="Verdana"/>
          <w:sz w:val="20"/>
          <w:szCs w:val="20"/>
          <w:lang w:val="en"/>
        </w:rPr>
        <w:t xml:space="preserve">22% average delay). The projects implemented by Metropolitan JSC did not report deviations in </w:t>
      </w:r>
      <w:r w:rsidR="00A8024E">
        <w:rPr>
          <w:rFonts w:ascii="Verdana" w:hAnsi="Verdana"/>
          <w:sz w:val="20"/>
          <w:szCs w:val="20"/>
          <w:lang w:val="en"/>
        </w:rPr>
        <w:t xml:space="preserve">implementation </w:t>
      </w:r>
      <w:r w:rsidR="00CB6FCD">
        <w:rPr>
          <w:rFonts w:ascii="Verdana" w:hAnsi="Verdana"/>
          <w:sz w:val="20"/>
          <w:szCs w:val="20"/>
          <w:lang w:val="en"/>
        </w:rPr>
        <w:t>schedules</w:t>
      </w:r>
      <w:r w:rsidR="00A8024E">
        <w:rPr>
          <w:rFonts w:ascii="Verdana" w:hAnsi="Verdana"/>
          <w:sz w:val="20"/>
          <w:szCs w:val="20"/>
          <w:lang w:val="en"/>
        </w:rPr>
        <w:t>.</w:t>
      </w:r>
      <w:r w:rsidR="00CB6FCD">
        <w:rPr>
          <w:rFonts w:ascii="Verdana" w:hAnsi="Verdana"/>
          <w:sz w:val="20"/>
          <w:szCs w:val="20"/>
          <w:lang w:val="en"/>
        </w:rPr>
        <w:t xml:space="preserve"> </w:t>
      </w:r>
      <w:r w:rsidR="00CB6FCD" w:rsidRPr="00CB6FCD">
        <w:rPr>
          <w:rFonts w:ascii="Verdana" w:hAnsi="Verdana"/>
          <w:sz w:val="20"/>
          <w:szCs w:val="20"/>
          <w:lang w:val="en"/>
        </w:rPr>
        <w:t>As regards investment costs, a comparison was made between the investment costs initially planned for the implementation of the 25 investment projects and the paid expenditures reported. The results show a decrease in financial implementation between 20 and 30% for investment projects under the different Priority Axes</w:t>
      </w:r>
      <w:r w:rsidR="00CB6FCD">
        <w:rPr>
          <w:rFonts w:ascii="Verdana" w:hAnsi="Verdana"/>
          <w:sz w:val="20"/>
          <w:szCs w:val="20"/>
          <w:lang w:val="en"/>
        </w:rPr>
        <w:t>.</w:t>
      </w:r>
    </w:p>
    <w:p w14:paraId="195F1F13" w14:textId="77777777" w:rsidR="00316E5B" w:rsidRPr="00F50700" w:rsidRDefault="00316E5B" w:rsidP="00A40D60">
      <w:pPr>
        <w:jc w:val="both"/>
        <w:rPr>
          <w:rFonts w:ascii="Verdana" w:eastAsiaTheme="minorHAnsi" w:hAnsi="Verdana"/>
          <w:lang w:val="bg-BG"/>
        </w:rPr>
      </w:pPr>
    </w:p>
    <w:p w14:paraId="16650F61" w14:textId="25AD775B" w:rsidR="00316E5B" w:rsidRPr="001B3ABE" w:rsidRDefault="001D1645" w:rsidP="0048262D">
      <w:pPr>
        <w:pStyle w:val="ListParagraph"/>
        <w:numPr>
          <w:ilvl w:val="2"/>
          <w:numId w:val="58"/>
        </w:numPr>
        <w:rPr>
          <w:rFonts w:ascii="Verdana" w:eastAsia="Times New Roman" w:hAnsi="Verdana"/>
          <w:b/>
          <w:bCs/>
          <w:smallCaps/>
          <w:color w:val="374C80" w:themeColor="accent1" w:themeShade="BF"/>
          <w:sz w:val="20"/>
          <w:szCs w:val="20"/>
          <w:lang w:val="bg-BG" w:eastAsia="bg-BG"/>
        </w:rPr>
      </w:pPr>
      <w:r w:rsidRPr="001B3ABE">
        <w:rPr>
          <w:rFonts w:ascii="Verdana" w:hAnsi="Verdana"/>
          <w:b/>
          <w:bCs/>
          <w:smallCaps/>
          <w:color w:val="374C80" w:themeColor="accent1" w:themeShade="BF"/>
          <w:sz w:val="20"/>
          <w:szCs w:val="20"/>
          <w:lang w:val="en" w:eastAsia="bg-BG"/>
        </w:rPr>
        <w:t>assessment of the contribution of the intervention</w:t>
      </w:r>
    </w:p>
    <w:p w14:paraId="54EC63F4" w14:textId="77777777" w:rsidR="00332DDB" w:rsidRPr="00332DDB" w:rsidRDefault="00332DDB" w:rsidP="00332DDB">
      <w:pPr>
        <w:tabs>
          <w:tab w:val="left" w:pos="2495"/>
        </w:tabs>
        <w:ind w:right="-2"/>
        <w:jc w:val="both"/>
        <w:rPr>
          <w:rFonts w:ascii="Verdana" w:hAnsi="Verdana"/>
          <w:sz w:val="20"/>
          <w:szCs w:val="20"/>
          <w:lang w:val="en"/>
        </w:rPr>
      </w:pPr>
      <w:r w:rsidRPr="00332DDB">
        <w:rPr>
          <w:rFonts w:ascii="Verdana" w:hAnsi="Verdana"/>
          <w:sz w:val="20"/>
          <w:szCs w:val="20"/>
          <w:lang w:val="en"/>
        </w:rPr>
        <w:t xml:space="preserve">The main objective of the OPT is the development of railway, road and water infrastructure, as well as stimulating the development of combined transport in accordance with the EU transport policy and the established development requirements for the Trans-European Transport Network (TEN-T) to achieve the sustainability of the Bulgarian transport system, </w:t>
      </w:r>
      <w:r w:rsidRPr="00332DDB">
        <w:rPr>
          <w:rFonts w:ascii="Verdana" w:hAnsi="Verdana"/>
          <w:sz w:val="20"/>
          <w:szCs w:val="20"/>
          <w:lang w:val="en"/>
        </w:rPr>
        <w:lastRenderedPageBreak/>
        <w:t xml:space="preserve">according to the Annual Progress Report data for the end of 2015. The results of the project implementation are the rehabilitation of 345 km of railway lines; the construction of 308 km of new roads and the rehabilitation of 19 km of roads; in addition, 20.7 km of metro lines currently operating and the creation of 20 new metro stations. The above results determine the substantial contribution of the OPT towards the achievement of the impact objectives of the implemented investment projects, as assessed </w:t>
      </w:r>
      <w:r w:rsidRPr="00E84FDB">
        <w:rPr>
          <w:rFonts w:ascii="Verdana" w:hAnsi="Verdana"/>
          <w:sz w:val="20"/>
          <w:szCs w:val="20"/>
          <w:lang w:val="en"/>
        </w:rPr>
        <w:t xml:space="preserve">in Section </w:t>
      </w:r>
      <w:r w:rsidRPr="00E84FDB">
        <w:rPr>
          <w:rFonts w:ascii="Verdana" w:hAnsi="Verdana"/>
          <w:sz w:val="20"/>
          <w:szCs w:val="20"/>
          <w:lang w:val="en"/>
        </w:rPr>
        <w:fldChar w:fldCharType="begin"/>
      </w:r>
      <w:r w:rsidRPr="00E84FDB">
        <w:rPr>
          <w:rFonts w:ascii="Verdana" w:hAnsi="Verdana"/>
          <w:sz w:val="20"/>
          <w:szCs w:val="20"/>
          <w:lang w:val="en"/>
        </w:rPr>
        <w:instrText xml:space="preserve"> REF _Ref50464954 \r \h  \* MERGEFORMAT </w:instrText>
      </w:r>
      <w:r w:rsidRPr="00E84FDB">
        <w:rPr>
          <w:rFonts w:ascii="Verdana" w:hAnsi="Verdana"/>
          <w:sz w:val="20"/>
          <w:szCs w:val="20"/>
          <w:lang w:val="en"/>
        </w:rPr>
      </w:r>
      <w:r w:rsidRPr="00E84FDB">
        <w:rPr>
          <w:rFonts w:ascii="Verdana" w:hAnsi="Verdana"/>
          <w:sz w:val="20"/>
          <w:szCs w:val="20"/>
          <w:lang w:val="en"/>
        </w:rPr>
        <w:fldChar w:fldCharType="separate"/>
      </w:r>
      <w:r w:rsidRPr="00E84FDB">
        <w:rPr>
          <w:rFonts w:ascii="Verdana" w:hAnsi="Verdana"/>
          <w:sz w:val="20"/>
          <w:szCs w:val="20"/>
          <w:lang w:val="en"/>
        </w:rPr>
        <w:t>IV.7</w:t>
      </w:r>
      <w:r w:rsidRPr="00E84FDB">
        <w:rPr>
          <w:rFonts w:ascii="Verdana" w:hAnsi="Verdana"/>
          <w:sz w:val="20"/>
          <w:szCs w:val="20"/>
          <w:lang w:val="en"/>
        </w:rPr>
        <w:fldChar w:fldCharType="end"/>
      </w:r>
      <w:r w:rsidRPr="00E84FDB">
        <w:rPr>
          <w:rFonts w:ascii="Verdana" w:hAnsi="Verdana"/>
          <w:sz w:val="20"/>
          <w:szCs w:val="20"/>
          <w:lang w:val="en"/>
        </w:rPr>
        <w:t xml:space="preserve"> of this report: time saved; reduction of operating costs (VOC, i.e. the reduction of operating costs for vehicles); reduction in the number of accidents; environmental benefits. Among the</w:t>
      </w:r>
      <w:r w:rsidRPr="00332DDB">
        <w:rPr>
          <w:rFonts w:ascii="Verdana" w:hAnsi="Verdana"/>
          <w:sz w:val="20"/>
          <w:szCs w:val="20"/>
          <w:lang w:val="en"/>
        </w:rPr>
        <w:t xml:space="preserve"> individual main economic benefits and effects formulated in the programme are the increase of competitiveness in the country’s economy, the achievement of sustainable economic development, and the improvement of international trade and tourism conditions.</w:t>
      </w:r>
    </w:p>
    <w:p w14:paraId="0BC35FD6" w14:textId="67F4B988" w:rsidR="00332DDB" w:rsidRPr="00332DDB" w:rsidRDefault="00332DDB" w:rsidP="00332DDB">
      <w:pPr>
        <w:tabs>
          <w:tab w:val="left" w:pos="2495"/>
        </w:tabs>
        <w:ind w:right="-2"/>
        <w:jc w:val="both"/>
        <w:rPr>
          <w:rFonts w:ascii="Verdana" w:hAnsi="Verdana"/>
          <w:sz w:val="20"/>
          <w:szCs w:val="20"/>
          <w:lang w:val="en"/>
        </w:rPr>
      </w:pPr>
      <w:r w:rsidRPr="00332DDB">
        <w:rPr>
          <w:rFonts w:ascii="Verdana" w:hAnsi="Verdana"/>
          <w:sz w:val="20"/>
          <w:szCs w:val="20"/>
          <w:lang w:val="en"/>
        </w:rPr>
        <w:t>The positive contribution to economic activity can be traced through the net effect on real GDP, which amounts to 1.2%, through the contribution of 1.4% to private consumption, as well as through the impact on private investment, which is 2.4% higher as a result of the pr</w:t>
      </w:r>
      <w:r w:rsidR="00357062">
        <w:rPr>
          <w:rFonts w:ascii="Verdana" w:hAnsi="Verdana"/>
          <w:sz w:val="20"/>
          <w:szCs w:val="20"/>
          <w:lang w:val="en"/>
        </w:rPr>
        <w:t>ogramme</w:t>
      </w:r>
      <w:r w:rsidRPr="00332DDB">
        <w:rPr>
          <w:rFonts w:ascii="Verdana" w:hAnsi="Verdana"/>
          <w:sz w:val="20"/>
          <w:szCs w:val="20"/>
          <w:lang w:val="en"/>
        </w:rPr>
        <w:t xml:space="preserve"> implementation. The contribution to international trade can be traced back to the higher levels of imports and exports – by 1.1% and 0.04%, respectively. Increased competitiveness affects the higher number of jobs created, and consequently, on the higher number of employed persons – the overall effect on employment amounts to 1.2%.</w:t>
      </w:r>
    </w:p>
    <w:p w14:paraId="69ADD2CF" w14:textId="4ACBECF1" w:rsidR="00332DDB" w:rsidRPr="00357062" w:rsidRDefault="00332DDB" w:rsidP="00332DDB">
      <w:pPr>
        <w:pStyle w:val="Caption"/>
        <w:keepNext/>
        <w:jc w:val="both"/>
        <w:rPr>
          <w:rFonts w:ascii="Verdana" w:hAnsi="Verdana"/>
          <w:sz w:val="20"/>
          <w:szCs w:val="20"/>
        </w:rPr>
      </w:pPr>
      <w:bookmarkStart w:id="55" w:name="_Toc62724853"/>
      <w:r w:rsidRPr="00357062">
        <w:rPr>
          <w:rFonts w:ascii="Verdana" w:hAnsi="Verdana"/>
          <w:sz w:val="20"/>
          <w:szCs w:val="20"/>
        </w:rPr>
        <w:t xml:space="preserve">Figure </w:t>
      </w:r>
      <w:r w:rsidR="00134718">
        <w:rPr>
          <w:rFonts w:ascii="Verdana" w:hAnsi="Verdana"/>
          <w:sz w:val="20"/>
          <w:szCs w:val="20"/>
        </w:rPr>
        <w:fldChar w:fldCharType="begin"/>
      </w:r>
      <w:r w:rsidR="00134718">
        <w:rPr>
          <w:rFonts w:ascii="Verdana" w:hAnsi="Verdana"/>
          <w:sz w:val="20"/>
          <w:szCs w:val="20"/>
        </w:rPr>
        <w:instrText xml:space="preserve"> STYLEREF 1 \s </w:instrText>
      </w:r>
      <w:r w:rsidR="00134718">
        <w:rPr>
          <w:rFonts w:ascii="Verdana" w:hAnsi="Verdana"/>
          <w:sz w:val="20"/>
          <w:szCs w:val="20"/>
        </w:rPr>
        <w:fldChar w:fldCharType="separate"/>
      </w:r>
      <w:r w:rsidR="00134718">
        <w:rPr>
          <w:rFonts w:ascii="Verdana" w:hAnsi="Verdana"/>
          <w:noProof/>
          <w:sz w:val="20"/>
          <w:szCs w:val="20"/>
        </w:rPr>
        <w:t>IV.2</w:t>
      </w:r>
      <w:r w:rsidR="00134718">
        <w:rPr>
          <w:rFonts w:ascii="Verdana" w:hAnsi="Verdana"/>
          <w:sz w:val="20"/>
          <w:szCs w:val="20"/>
        </w:rPr>
        <w:fldChar w:fldCharType="end"/>
      </w:r>
      <w:r w:rsidR="00134718">
        <w:rPr>
          <w:rFonts w:ascii="Verdana" w:hAnsi="Verdana"/>
          <w:sz w:val="20"/>
          <w:szCs w:val="20"/>
        </w:rPr>
        <w:noBreakHyphen/>
      </w:r>
      <w:r w:rsidR="00134718">
        <w:rPr>
          <w:rFonts w:ascii="Verdana" w:hAnsi="Verdana"/>
          <w:sz w:val="20"/>
          <w:szCs w:val="20"/>
        </w:rPr>
        <w:fldChar w:fldCharType="begin"/>
      </w:r>
      <w:r w:rsidR="00134718">
        <w:rPr>
          <w:rFonts w:ascii="Verdana" w:hAnsi="Verdana"/>
          <w:sz w:val="20"/>
          <w:szCs w:val="20"/>
        </w:rPr>
        <w:instrText xml:space="preserve"> SEQ Figure \* ARABIC \s 1 </w:instrText>
      </w:r>
      <w:r w:rsidR="00134718">
        <w:rPr>
          <w:rFonts w:ascii="Verdana" w:hAnsi="Verdana"/>
          <w:sz w:val="20"/>
          <w:szCs w:val="20"/>
        </w:rPr>
        <w:fldChar w:fldCharType="separate"/>
      </w:r>
      <w:r w:rsidR="00134718">
        <w:rPr>
          <w:rFonts w:ascii="Verdana" w:hAnsi="Verdana"/>
          <w:noProof/>
          <w:sz w:val="20"/>
          <w:szCs w:val="20"/>
        </w:rPr>
        <w:t>3</w:t>
      </w:r>
      <w:r w:rsidR="00134718">
        <w:rPr>
          <w:rFonts w:ascii="Verdana" w:hAnsi="Verdana"/>
          <w:sz w:val="20"/>
          <w:szCs w:val="20"/>
        </w:rPr>
        <w:fldChar w:fldCharType="end"/>
      </w:r>
      <w:r w:rsidRPr="00357062">
        <w:rPr>
          <w:rFonts w:ascii="Verdana" w:hAnsi="Verdana"/>
          <w:sz w:val="20"/>
          <w:szCs w:val="20"/>
        </w:rPr>
        <w:t xml:space="preserve">: OPT contribution to key macroeconomic indicators as of </w:t>
      </w:r>
      <w:r w:rsidR="00357062" w:rsidRPr="00357062">
        <w:rPr>
          <w:rFonts w:ascii="Verdana" w:hAnsi="Verdana"/>
          <w:sz w:val="20"/>
          <w:szCs w:val="20"/>
        </w:rPr>
        <w:t>30 June 2016</w:t>
      </w:r>
      <w:bookmarkEnd w:id="55"/>
    </w:p>
    <w:p w14:paraId="78EBCBDA" w14:textId="77777777" w:rsidR="00332DDB" w:rsidRPr="002B1D0C" w:rsidRDefault="00332DDB" w:rsidP="00332DDB">
      <w:pPr>
        <w:spacing w:after="0" w:line="240" w:lineRule="auto"/>
        <w:jc w:val="both"/>
        <w:rPr>
          <w:rFonts w:ascii="Verdana" w:eastAsiaTheme="minorHAnsi" w:hAnsi="Verdana"/>
          <w:sz w:val="20"/>
          <w:szCs w:val="20"/>
          <w:lang w:val="bg-BG"/>
        </w:rPr>
      </w:pPr>
      <w:r>
        <w:rPr>
          <w:noProof/>
          <w:lang w:val="bg-BG" w:eastAsia="bg-BG"/>
        </w:rPr>
        <w:drawing>
          <wp:inline distT="0" distB="0" distL="0" distR="0" wp14:anchorId="156B2080" wp14:editId="49CA9515">
            <wp:extent cx="5760720" cy="1842135"/>
            <wp:effectExtent l="0" t="0" r="11430" b="5715"/>
            <wp:docPr id="12" name="Chart 12">
              <a:extLst xmlns:a="http://schemas.openxmlformats.org/drawingml/2006/main">
                <a:ext uri="{FF2B5EF4-FFF2-40B4-BE49-F238E27FC236}">
                  <a16:creationId xmlns:a16="http://schemas.microsoft.com/office/drawing/2014/main" id="{E5E9C6A7-B02B-4F73-8D4A-94FE31DC2E9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08F8568C" w14:textId="77777777" w:rsidR="00332DDB" w:rsidRPr="00203988" w:rsidRDefault="00332DDB" w:rsidP="00332DDB">
      <w:pPr>
        <w:spacing w:after="200" w:line="240" w:lineRule="auto"/>
        <w:jc w:val="both"/>
        <w:rPr>
          <w:rFonts w:ascii="Verdana" w:eastAsiaTheme="minorHAnsi" w:hAnsi="Verdana"/>
          <w:i/>
          <w:iCs/>
          <w:sz w:val="18"/>
          <w:szCs w:val="18"/>
          <w:lang w:val="bg-BG"/>
        </w:rPr>
      </w:pPr>
      <w:r w:rsidRPr="00203988">
        <w:rPr>
          <w:rFonts w:ascii="Verdana" w:hAnsi="Verdana"/>
          <w:i/>
          <w:iCs/>
          <w:sz w:val="18"/>
          <w:szCs w:val="18"/>
          <w:lang w:val="en"/>
        </w:rPr>
        <w:t>Source: MF, SIBILA 2.0</w:t>
      </w:r>
    </w:p>
    <w:p w14:paraId="686D9277" w14:textId="77777777" w:rsidR="004E5ED7" w:rsidRDefault="004E5ED7" w:rsidP="00332DDB">
      <w:pPr>
        <w:jc w:val="both"/>
        <w:rPr>
          <w:rFonts w:ascii="Verdana" w:hAnsi="Verdana"/>
          <w:sz w:val="20"/>
          <w:szCs w:val="20"/>
          <w:lang w:val="en"/>
        </w:rPr>
      </w:pPr>
    </w:p>
    <w:p w14:paraId="3A1CDF26" w14:textId="1D51DBE5" w:rsidR="00332DDB" w:rsidRPr="00203988" w:rsidRDefault="00332DDB" w:rsidP="00332DDB">
      <w:pPr>
        <w:jc w:val="both"/>
        <w:rPr>
          <w:rFonts w:ascii="Verdana" w:eastAsiaTheme="minorHAnsi" w:hAnsi="Verdana"/>
          <w:sz w:val="20"/>
          <w:szCs w:val="20"/>
          <w:lang w:val="bg-BG"/>
        </w:rPr>
      </w:pPr>
      <w:r w:rsidRPr="00203988">
        <w:rPr>
          <w:rFonts w:ascii="Verdana" w:hAnsi="Verdana"/>
          <w:sz w:val="20"/>
          <w:szCs w:val="20"/>
          <w:lang w:val="en"/>
        </w:rPr>
        <w:t>The first two priority axes of ‘Development of railway infrastructure along the major national and Pan-European transport axes’ and ‘Development of road infrastructure along the major national and Pan-European transport axes’ serve the most significant contribution here. On the one hand, that owes to the fact that budget expenditures for the related programmes are the highest. On the other hand, it is because better Pan-European and major national transport axes lead to improved economic activity. The positive contribution towards the achievement of higher private investment levels of approximately 1% under the first two priority axes leads to further indirect positive effects. Namely, those are the improved competitiveness, the increased production, and the greater resilience of the economy, both at the national, and at the regional level.</w:t>
      </w:r>
    </w:p>
    <w:p w14:paraId="2497370B" w14:textId="749CBC80" w:rsidR="00203988" w:rsidRPr="00203988" w:rsidRDefault="00203988" w:rsidP="00203988">
      <w:pPr>
        <w:pStyle w:val="Caption"/>
        <w:keepNext/>
        <w:jc w:val="both"/>
        <w:rPr>
          <w:rFonts w:ascii="Verdana" w:hAnsi="Verdana"/>
          <w:sz w:val="20"/>
          <w:szCs w:val="20"/>
        </w:rPr>
      </w:pPr>
      <w:bookmarkStart w:id="56" w:name="_Toc62724854"/>
      <w:r w:rsidRPr="00203988">
        <w:rPr>
          <w:rFonts w:ascii="Verdana" w:hAnsi="Verdana"/>
          <w:sz w:val="20"/>
          <w:szCs w:val="20"/>
        </w:rPr>
        <w:lastRenderedPageBreak/>
        <w:t xml:space="preserve">Figure </w:t>
      </w:r>
      <w:r w:rsidR="00134718">
        <w:rPr>
          <w:rFonts w:ascii="Verdana" w:hAnsi="Verdana"/>
          <w:sz w:val="20"/>
          <w:szCs w:val="20"/>
        </w:rPr>
        <w:fldChar w:fldCharType="begin"/>
      </w:r>
      <w:r w:rsidR="00134718">
        <w:rPr>
          <w:rFonts w:ascii="Verdana" w:hAnsi="Verdana"/>
          <w:sz w:val="20"/>
          <w:szCs w:val="20"/>
        </w:rPr>
        <w:instrText xml:space="preserve"> STYLEREF 1 \s </w:instrText>
      </w:r>
      <w:r w:rsidR="00134718">
        <w:rPr>
          <w:rFonts w:ascii="Verdana" w:hAnsi="Verdana"/>
          <w:sz w:val="20"/>
          <w:szCs w:val="20"/>
        </w:rPr>
        <w:fldChar w:fldCharType="separate"/>
      </w:r>
      <w:r w:rsidR="00134718">
        <w:rPr>
          <w:rFonts w:ascii="Verdana" w:hAnsi="Verdana"/>
          <w:noProof/>
          <w:sz w:val="20"/>
          <w:szCs w:val="20"/>
        </w:rPr>
        <w:t>IV.2</w:t>
      </w:r>
      <w:r w:rsidR="00134718">
        <w:rPr>
          <w:rFonts w:ascii="Verdana" w:hAnsi="Verdana"/>
          <w:sz w:val="20"/>
          <w:szCs w:val="20"/>
        </w:rPr>
        <w:fldChar w:fldCharType="end"/>
      </w:r>
      <w:r w:rsidR="00134718">
        <w:rPr>
          <w:rFonts w:ascii="Verdana" w:hAnsi="Verdana"/>
          <w:sz w:val="20"/>
          <w:szCs w:val="20"/>
        </w:rPr>
        <w:noBreakHyphen/>
      </w:r>
      <w:r w:rsidR="00134718">
        <w:rPr>
          <w:rFonts w:ascii="Verdana" w:hAnsi="Verdana"/>
          <w:sz w:val="20"/>
          <w:szCs w:val="20"/>
        </w:rPr>
        <w:fldChar w:fldCharType="begin"/>
      </w:r>
      <w:r w:rsidR="00134718">
        <w:rPr>
          <w:rFonts w:ascii="Verdana" w:hAnsi="Verdana"/>
          <w:sz w:val="20"/>
          <w:szCs w:val="20"/>
        </w:rPr>
        <w:instrText xml:space="preserve"> SEQ Figure \* ARABIC \s 1 </w:instrText>
      </w:r>
      <w:r w:rsidR="00134718">
        <w:rPr>
          <w:rFonts w:ascii="Verdana" w:hAnsi="Verdana"/>
          <w:sz w:val="20"/>
          <w:szCs w:val="20"/>
        </w:rPr>
        <w:fldChar w:fldCharType="separate"/>
      </w:r>
      <w:r w:rsidR="00134718">
        <w:rPr>
          <w:rFonts w:ascii="Verdana" w:hAnsi="Verdana"/>
          <w:noProof/>
          <w:sz w:val="20"/>
          <w:szCs w:val="20"/>
        </w:rPr>
        <w:t>4</w:t>
      </w:r>
      <w:r w:rsidR="00134718">
        <w:rPr>
          <w:rFonts w:ascii="Verdana" w:hAnsi="Verdana"/>
          <w:sz w:val="20"/>
          <w:szCs w:val="20"/>
        </w:rPr>
        <w:fldChar w:fldCharType="end"/>
      </w:r>
      <w:r w:rsidRPr="00203988">
        <w:rPr>
          <w:rFonts w:ascii="Verdana" w:hAnsi="Verdana"/>
          <w:sz w:val="20"/>
          <w:szCs w:val="20"/>
        </w:rPr>
        <w:t xml:space="preserve">: </w:t>
      </w:r>
      <w:r w:rsidRPr="00203988">
        <w:rPr>
          <w:rFonts w:ascii="Verdana" w:hAnsi="Verdana"/>
          <w:sz w:val="20"/>
          <w:szCs w:val="20"/>
          <w:lang w:val="en"/>
        </w:rPr>
        <w:t>Contribution of the OPT priority axes to employment and private investment as of 30 June 2016</w:t>
      </w:r>
      <w:bookmarkEnd w:id="56"/>
    </w:p>
    <w:p w14:paraId="02C6CDA5" w14:textId="77777777" w:rsidR="00332DDB" w:rsidRPr="002B1D0C" w:rsidRDefault="00332DDB" w:rsidP="00332DDB">
      <w:pPr>
        <w:spacing w:after="0" w:line="240" w:lineRule="auto"/>
        <w:jc w:val="both"/>
        <w:rPr>
          <w:rFonts w:ascii="Verdana" w:eastAsiaTheme="minorHAnsi" w:hAnsi="Verdana"/>
          <w:lang w:val="bg-BG"/>
        </w:rPr>
      </w:pPr>
      <w:r>
        <w:rPr>
          <w:noProof/>
          <w:lang w:val="bg-BG" w:eastAsia="bg-BG"/>
        </w:rPr>
        <w:drawing>
          <wp:inline distT="0" distB="0" distL="0" distR="0" wp14:anchorId="7BC62483" wp14:editId="7B73A647">
            <wp:extent cx="5760720" cy="3531235"/>
            <wp:effectExtent l="0" t="0" r="11430" b="12065"/>
            <wp:docPr id="14" name="Chart 14">
              <a:extLst xmlns:a="http://schemas.openxmlformats.org/drawingml/2006/main">
                <a:ext uri="{FF2B5EF4-FFF2-40B4-BE49-F238E27FC236}">
                  <a16:creationId xmlns:a16="http://schemas.microsoft.com/office/drawing/2014/main" id="{5E185194-F3B0-48D3-A4DC-7425FEBDC09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1FCBE599" w14:textId="77777777" w:rsidR="00332DDB" w:rsidRPr="00203988" w:rsidRDefault="00332DDB" w:rsidP="00332DDB">
      <w:pPr>
        <w:spacing w:after="200" w:line="240" w:lineRule="auto"/>
        <w:jc w:val="both"/>
        <w:rPr>
          <w:rFonts w:ascii="Verdana" w:eastAsiaTheme="minorHAnsi" w:hAnsi="Verdana"/>
          <w:i/>
          <w:iCs/>
          <w:color w:val="242852" w:themeColor="text2"/>
          <w:sz w:val="20"/>
          <w:szCs w:val="20"/>
          <w:lang w:val="bg-BG"/>
        </w:rPr>
      </w:pPr>
      <w:r w:rsidRPr="00203988">
        <w:rPr>
          <w:rFonts w:ascii="Verdana" w:hAnsi="Verdana"/>
          <w:i/>
          <w:iCs/>
          <w:color w:val="242852" w:themeColor="text2"/>
          <w:sz w:val="20"/>
          <w:szCs w:val="20"/>
          <w:lang w:val="en"/>
        </w:rPr>
        <w:t>Source: MF, SIBILA 2.0</w:t>
      </w:r>
    </w:p>
    <w:p w14:paraId="6C33D576" w14:textId="77777777" w:rsidR="00332DDB" w:rsidRPr="003E1421" w:rsidRDefault="00332DDB" w:rsidP="003E1421">
      <w:pPr>
        <w:pStyle w:val="ListParagraph"/>
        <w:numPr>
          <w:ilvl w:val="2"/>
          <w:numId w:val="58"/>
        </w:numPr>
        <w:rPr>
          <w:rFonts w:ascii="Verdana" w:hAnsi="Verdana"/>
          <w:b/>
          <w:bCs/>
          <w:smallCaps/>
          <w:color w:val="374C80" w:themeColor="accent1" w:themeShade="BF"/>
          <w:sz w:val="20"/>
          <w:szCs w:val="20"/>
          <w:lang w:val="en" w:eastAsia="bg-BG"/>
        </w:rPr>
      </w:pPr>
      <w:r w:rsidRPr="003E1421">
        <w:rPr>
          <w:rFonts w:ascii="Verdana" w:hAnsi="Verdana"/>
          <w:b/>
          <w:bCs/>
          <w:smallCaps/>
          <w:color w:val="374C80" w:themeColor="accent1" w:themeShade="BF"/>
          <w:sz w:val="20"/>
          <w:szCs w:val="20"/>
          <w:lang w:val="en" w:eastAsia="bg-BG"/>
        </w:rPr>
        <w:t>Cost efficiency analysis</w:t>
      </w:r>
    </w:p>
    <w:p w14:paraId="1B910E3C" w14:textId="7D46D778" w:rsidR="00332DDB" w:rsidRPr="003E1421" w:rsidRDefault="00332DDB" w:rsidP="00332DDB">
      <w:pPr>
        <w:jc w:val="both"/>
        <w:rPr>
          <w:rFonts w:ascii="Verdana" w:eastAsiaTheme="minorHAnsi" w:hAnsi="Verdana"/>
          <w:sz w:val="20"/>
          <w:szCs w:val="20"/>
          <w:lang w:val="bg-BG"/>
        </w:rPr>
      </w:pPr>
      <w:bookmarkStart w:id="57" w:name="_Hlk61197844"/>
      <w:r w:rsidRPr="003E1421">
        <w:rPr>
          <w:rFonts w:ascii="Verdana" w:hAnsi="Verdana"/>
          <w:sz w:val="20"/>
          <w:szCs w:val="20"/>
          <w:lang w:val="en"/>
        </w:rPr>
        <w:t xml:space="preserve">Efficiency shows the ratio of the result achieved to the expenditure invested. The efficiency analysis answers the question of whether the implementation of projects followed principles of economy and the achievement of results at fair, market prices. Efficacy assessments should be interpreted with caution. On the one hand, rational </w:t>
      </w:r>
      <w:r w:rsidR="004E5ED7" w:rsidRPr="003E1421">
        <w:rPr>
          <w:rFonts w:ascii="Verdana" w:hAnsi="Verdana"/>
          <w:sz w:val="20"/>
          <w:szCs w:val="20"/>
          <w:lang w:val="en"/>
        </w:rPr>
        <w:t>behavior</w:t>
      </w:r>
      <w:r w:rsidRPr="003E1421">
        <w:rPr>
          <w:rFonts w:ascii="Verdana" w:hAnsi="Verdana"/>
          <w:sz w:val="20"/>
          <w:szCs w:val="20"/>
          <w:lang w:val="en"/>
        </w:rPr>
        <w:t xml:space="preserve"> implies a preference for lower input costs and </w:t>
      </w:r>
      <w:r w:rsidR="0093718A" w:rsidRPr="003E1421">
        <w:rPr>
          <w:rFonts w:ascii="Verdana" w:hAnsi="Verdana"/>
          <w:sz w:val="20"/>
          <w:szCs w:val="20"/>
          <w:lang w:val="en"/>
        </w:rPr>
        <w:t>maximizing</w:t>
      </w:r>
      <w:r w:rsidRPr="003E1421">
        <w:rPr>
          <w:rFonts w:ascii="Verdana" w:hAnsi="Verdana"/>
          <w:sz w:val="20"/>
          <w:szCs w:val="20"/>
          <w:lang w:val="en"/>
        </w:rPr>
        <w:t xml:space="preserve"> the efficiency of project activities and, accordingly, </w:t>
      </w:r>
      <w:r w:rsidR="0093718A" w:rsidRPr="003E1421">
        <w:rPr>
          <w:rFonts w:ascii="Verdana" w:hAnsi="Verdana"/>
          <w:sz w:val="20"/>
          <w:szCs w:val="20"/>
          <w:lang w:val="en"/>
        </w:rPr>
        <w:t>maximizing</w:t>
      </w:r>
      <w:r w:rsidRPr="003E1421">
        <w:rPr>
          <w:rFonts w:ascii="Verdana" w:hAnsi="Verdana"/>
          <w:sz w:val="20"/>
          <w:szCs w:val="20"/>
          <w:lang w:val="en"/>
        </w:rPr>
        <w:t xml:space="preserve"> the results of the resources available. On the other hand, efficacy indicators must be taken into account, in addition to pre-defined product quality criteria and the results of project activities.</w:t>
      </w:r>
      <w:bookmarkEnd w:id="57"/>
    </w:p>
    <w:p w14:paraId="26DBE77E" w14:textId="22335469" w:rsidR="00332DDB" w:rsidRPr="003E1421" w:rsidRDefault="00332DDB" w:rsidP="00332DDB">
      <w:pPr>
        <w:jc w:val="both"/>
        <w:rPr>
          <w:rFonts w:ascii="Verdana" w:hAnsi="Verdana"/>
          <w:sz w:val="20"/>
          <w:szCs w:val="20"/>
          <w:lang w:val="en"/>
        </w:rPr>
      </w:pPr>
      <w:r w:rsidRPr="003E1421">
        <w:rPr>
          <w:rFonts w:ascii="Verdana" w:hAnsi="Verdana"/>
          <w:sz w:val="20"/>
          <w:szCs w:val="20"/>
          <w:lang w:val="en"/>
        </w:rPr>
        <w:t xml:space="preserve">The analysis of the efficiency of OPT costs was carried out in relation to the following key results indicators for the programme: new and reconstructed roads and railways. The focus of the evaluation I set on the implementation of the first two priority axes, i.e. of ‘Development of railway infrastructure along the major national and Pan-European transport axes’ and ‘Development of road infrastructure along the major national and Pan-European transport axes’. These two axes not only play a leading role in the common programme </w:t>
      </w:r>
      <w:r w:rsidR="004E5ED7" w:rsidRPr="003E1421">
        <w:rPr>
          <w:rFonts w:ascii="Verdana" w:hAnsi="Verdana"/>
          <w:sz w:val="20"/>
          <w:szCs w:val="20"/>
          <w:lang w:val="en"/>
        </w:rPr>
        <w:t>budget but</w:t>
      </w:r>
      <w:r w:rsidRPr="003E1421">
        <w:rPr>
          <w:rFonts w:ascii="Verdana" w:hAnsi="Verdana"/>
          <w:sz w:val="20"/>
          <w:szCs w:val="20"/>
          <w:lang w:val="en"/>
        </w:rPr>
        <w:t xml:space="preserve"> are also generally characterized by the highest contribution to the socio-economic development of the country and its regions.</w:t>
      </w:r>
    </w:p>
    <w:p w14:paraId="5D4CA27D" w14:textId="77777777" w:rsidR="00332DDB" w:rsidRPr="003E1421" w:rsidRDefault="00332DDB" w:rsidP="00332DDB">
      <w:pPr>
        <w:jc w:val="both"/>
        <w:rPr>
          <w:rFonts w:ascii="Verdana" w:eastAsiaTheme="minorHAnsi" w:hAnsi="Verdana"/>
          <w:sz w:val="20"/>
          <w:szCs w:val="20"/>
          <w:lang w:val="bg-BG"/>
        </w:rPr>
      </w:pPr>
      <w:r w:rsidRPr="003E1421">
        <w:rPr>
          <w:rFonts w:ascii="Verdana" w:eastAsiaTheme="minorHAnsi" w:hAnsi="Verdana"/>
          <w:sz w:val="20"/>
          <w:szCs w:val="20"/>
          <w:lang w:val="en-US"/>
        </w:rPr>
        <w:t>The cost efficiency assessment has been made by comparing the total costs per km in Bulgaria to those in other European countries. The analysis does not allow for the direct comparison of the average costs for road/railway infrastructure construction to those in other Member States – these specific projects on infrastructure are to a great extent determined by the climate, terrain, and other country specifics.</w:t>
      </w:r>
    </w:p>
    <w:p w14:paraId="60028DD1" w14:textId="598A5746" w:rsidR="00332DDB" w:rsidRPr="003E1421" w:rsidRDefault="00332DDB" w:rsidP="00332DDB">
      <w:pPr>
        <w:jc w:val="both"/>
        <w:rPr>
          <w:rFonts w:ascii="Verdana" w:eastAsiaTheme="minorHAnsi" w:hAnsi="Verdana"/>
          <w:sz w:val="20"/>
          <w:szCs w:val="20"/>
          <w:lang w:val="bg-BG"/>
        </w:rPr>
      </w:pPr>
      <w:r w:rsidRPr="003E1421">
        <w:rPr>
          <w:rFonts w:ascii="Verdana" w:eastAsiaTheme="minorHAnsi" w:hAnsi="Verdana"/>
          <w:sz w:val="20"/>
          <w:szCs w:val="20"/>
          <w:lang w:val="en-US"/>
        </w:rPr>
        <w:t xml:space="preserve">The results of the prepared efficiency analysis show that under the priority axis of ‘Development </w:t>
      </w:r>
      <w:r w:rsidRPr="00E84FDB">
        <w:rPr>
          <w:rFonts w:ascii="Verdana" w:eastAsiaTheme="minorHAnsi" w:hAnsi="Verdana"/>
          <w:sz w:val="20"/>
          <w:szCs w:val="20"/>
          <w:lang w:val="en-US"/>
        </w:rPr>
        <w:t xml:space="preserve">of railway infrastructure along the major national and Pan-European </w:t>
      </w:r>
      <w:r w:rsidRPr="00E84FDB">
        <w:rPr>
          <w:rFonts w:ascii="Verdana" w:eastAsiaTheme="minorHAnsi" w:hAnsi="Verdana"/>
          <w:sz w:val="20"/>
          <w:szCs w:val="20"/>
          <w:lang w:val="en-US"/>
        </w:rPr>
        <w:lastRenderedPageBreak/>
        <w:t>transport axes’, the total expenditure (related to both eligible and non-eligible costs) amounts to approximately BGN 1 209 434 000. The length of the constructed/renovated TEN-T, funded by the programme, amounts to the total of 345 km. The average total expenses under this priority axis amount to BGN 3 505 605 per km, or EUR 1 792 388 per km. When compared to the average expenses for the development of railway infrastructure in the EU, the achieved OPT costs are significantly lower. For comparison, the average expenses for the construction of new conventional railway infrastructure vary between</w:t>
      </w:r>
      <w:r w:rsidR="0093718A" w:rsidRPr="00E84FDB">
        <w:rPr>
          <w:rFonts w:ascii="Verdana" w:eastAsiaTheme="minorHAnsi" w:hAnsi="Verdana"/>
          <w:sz w:val="20"/>
          <w:szCs w:val="20"/>
          <w:lang w:val="en-US"/>
        </w:rPr>
        <w:t xml:space="preserve"> EUR</w:t>
      </w:r>
      <w:r w:rsidRPr="00E84FDB">
        <w:rPr>
          <w:rFonts w:ascii="Verdana" w:eastAsiaTheme="minorHAnsi" w:hAnsi="Verdana"/>
          <w:sz w:val="20"/>
          <w:szCs w:val="20"/>
          <w:lang w:val="en-US"/>
        </w:rPr>
        <w:t xml:space="preserve"> 3.5 and </w:t>
      </w:r>
      <w:r w:rsidR="0093718A" w:rsidRPr="00E84FDB">
        <w:rPr>
          <w:rFonts w:ascii="Verdana" w:eastAsiaTheme="minorHAnsi" w:hAnsi="Verdana"/>
          <w:sz w:val="20"/>
          <w:szCs w:val="20"/>
          <w:lang w:val="en-US"/>
        </w:rPr>
        <w:t xml:space="preserve">EUR </w:t>
      </w:r>
      <w:r w:rsidRPr="00E84FDB">
        <w:rPr>
          <w:rFonts w:ascii="Verdana" w:eastAsiaTheme="minorHAnsi" w:hAnsi="Verdana"/>
          <w:sz w:val="20"/>
          <w:szCs w:val="20"/>
          <w:lang w:val="en-US"/>
        </w:rPr>
        <w:t xml:space="preserve">6 </w:t>
      </w:r>
      <w:proofErr w:type="spellStart"/>
      <w:r w:rsidRPr="00E84FDB">
        <w:rPr>
          <w:rFonts w:ascii="Verdana" w:eastAsiaTheme="minorHAnsi" w:hAnsi="Verdana"/>
          <w:sz w:val="20"/>
          <w:szCs w:val="20"/>
          <w:lang w:val="en-US"/>
        </w:rPr>
        <w:t>mln</w:t>
      </w:r>
      <w:proofErr w:type="spellEnd"/>
      <w:r w:rsidRPr="00E84FDB">
        <w:rPr>
          <w:rFonts w:ascii="Verdana" w:eastAsiaTheme="minorHAnsi" w:hAnsi="Verdana"/>
          <w:sz w:val="20"/>
          <w:szCs w:val="20"/>
          <w:lang w:val="en-US"/>
        </w:rPr>
        <w:t xml:space="preserve">. per km, and the same costs in the EU for the rehabilitation of such infrastructure are slightly higher than EUR 3 </w:t>
      </w:r>
      <w:proofErr w:type="spellStart"/>
      <w:r w:rsidRPr="00E84FDB">
        <w:rPr>
          <w:rFonts w:ascii="Verdana" w:eastAsiaTheme="minorHAnsi" w:hAnsi="Verdana"/>
          <w:sz w:val="20"/>
          <w:szCs w:val="20"/>
          <w:lang w:val="en-US"/>
        </w:rPr>
        <w:t>mln</w:t>
      </w:r>
      <w:proofErr w:type="spellEnd"/>
      <w:r w:rsidRPr="00E84FDB">
        <w:rPr>
          <w:rFonts w:ascii="Verdana" w:eastAsiaTheme="minorHAnsi" w:hAnsi="Verdana"/>
          <w:sz w:val="20"/>
          <w:szCs w:val="20"/>
          <w:lang w:val="en-US"/>
        </w:rPr>
        <w:t>.</w:t>
      </w:r>
      <w:r w:rsidRPr="00E84FDB">
        <w:rPr>
          <w:rFonts w:ascii="Verdana" w:eastAsiaTheme="minorHAnsi" w:hAnsi="Verdana"/>
          <w:sz w:val="20"/>
          <w:szCs w:val="20"/>
          <w:vertAlign w:val="superscript"/>
          <w:lang w:val="bg-BG"/>
        </w:rPr>
        <w:footnoteReference w:id="12"/>
      </w:r>
    </w:p>
    <w:p w14:paraId="5D078728" w14:textId="1E429F5D" w:rsidR="00332DDB" w:rsidRPr="003E1421" w:rsidRDefault="00332DDB" w:rsidP="00332DDB">
      <w:pPr>
        <w:jc w:val="both"/>
        <w:rPr>
          <w:rFonts w:ascii="Verdana" w:eastAsiaTheme="minorHAnsi" w:hAnsi="Verdana"/>
          <w:sz w:val="20"/>
          <w:szCs w:val="20"/>
          <w:lang w:val="bg-BG"/>
        </w:rPr>
      </w:pPr>
      <w:r w:rsidRPr="003E1421">
        <w:rPr>
          <w:rFonts w:ascii="Verdana" w:eastAsiaTheme="minorHAnsi" w:hAnsi="Verdana"/>
          <w:sz w:val="20"/>
          <w:szCs w:val="20"/>
          <w:lang w:val="en-US"/>
        </w:rPr>
        <w:t>The efficiency analysis related to the expenditures under the priority axis of ‘Development of road infrastructure along the major national and Pan-European transport axes’ shows that total expenditure (related to both eligible and non-eligible costs) incurred under the relevant projects amounts to BGN 1 758 300 636. The length of the newly</w:t>
      </w:r>
      <w:r w:rsidR="0093718A">
        <w:rPr>
          <w:rFonts w:ascii="Verdana" w:eastAsiaTheme="minorHAnsi" w:hAnsi="Verdana"/>
          <w:sz w:val="20"/>
          <w:szCs w:val="20"/>
          <w:lang w:val="en-US"/>
        </w:rPr>
        <w:t xml:space="preserve"> </w:t>
      </w:r>
      <w:r w:rsidRPr="003E1421">
        <w:rPr>
          <w:rFonts w:ascii="Verdana" w:eastAsiaTheme="minorHAnsi" w:hAnsi="Verdana"/>
          <w:sz w:val="20"/>
          <w:szCs w:val="20"/>
          <w:lang w:val="en-US"/>
        </w:rPr>
        <w:t xml:space="preserve">constructed roads and TEN-T roads, as well as of renovated roads, amounts to a total of 329 km. Average costs related to this priority axis are evaluated at BGN 5 344 379 per km (approximately EUR 2,7 </w:t>
      </w:r>
      <w:proofErr w:type="spellStart"/>
      <w:r w:rsidRPr="003E1421">
        <w:rPr>
          <w:rFonts w:ascii="Verdana" w:eastAsiaTheme="minorHAnsi" w:hAnsi="Verdana"/>
          <w:sz w:val="20"/>
          <w:szCs w:val="20"/>
          <w:lang w:val="en-US"/>
        </w:rPr>
        <w:t>mln</w:t>
      </w:r>
      <w:proofErr w:type="spellEnd"/>
      <w:r w:rsidRPr="003E1421">
        <w:rPr>
          <w:rFonts w:ascii="Verdana" w:eastAsiaTheme="minorHAnsi" w:hAnsi="Verdana"/>
          <w:sz w:val="20"/>
          <w:szCs w:val="20"/>
          <w:lang w:val="en-US"/>
        </w:rPr>
        <w:t xml:space="preserve">. per km). To the extent that comparisons can be made due to project specificities, the mean total costs achieved are again significantly lower than those in other EU Member States. To compare, at the beginning of the programming period, the average total cost per km in the EU varies between EUR 4.2 </w:t>
      </w:r>
      <w:proofErr w:type="spellStart"/>
      <w:r w:rsidRPr="003E1421">
        <w:rPr>
          <w:rFonts w:ascii="Verdana" w:eastAsiaTheme="minorHAnsi" w:hAnsi="Verdana"/>
          <w:sz w:val="20"/>
          <w:szCs w:val="20"/>
          <w:lang w:val="en-US"/>
        </w:rPr>
        <w:t>mln</w:t>
      </w:r>
      <w:proofErr w:type="spellEnd"/>
      <w:r w:rsidRPr="003E1421">
        <w:rPr>
          <w:rFonts w:ascii="Verdana" w:eastAsiaTheme="minorHAnsi" w:hAnsi="Verdana"/>
          <w:sz w:val="20"/>
          <w:szCs w:val="20"/>
          <w:lang w:val="en-US"/>
        </w:rPr>
        <w:t xml:space="preserve">. and EUR 10.9 </w:t>
      </w:r>
      <w:proofErr w:type="spellStart"/>
      <w:r w:rsidRPr="003E1421">
        <w:rPr>
          <w:rFonts w:ascii="Verdana" w:eastAsiaTheme="minorHAnsi" w:hAnsi="Verdana"/>
          <w:sz w:val="20"/>
          <w:szCs w:val="20"/>
          <w:lang w:val="en-US"/>
        </w:rPr>
        <w:t>mln</w:t>
      </w:r>
      <w:proofErr w:type="spellEnd"/>
      <w:r w:rsidRPr="003E1421">
        <w:rPr>
          <w:rFonts w:ascii="Verdana" w:eastAsiaTheme="minorHAnsi" w:hAnsi="Verdana"/>
          <w:sz w:val="20"/>
          <w:szCs w:val="20"/>
          <w:lang w:val="en-US"/>
        </w:rPr>
        <w:t>. depending on the type of roads considered (motorways, roadways, two-lane roads).</w:t>
      </w:r>
      <w:r w:rsidRPr="003E1421">
        <w:rPr>
          <w:rFonts w:ascii="Verdana" w:eastAsiaTheme="minorHAnsi" w:hAnsi="Verdana"/>
          <w:sz w:val="20"/>
          <w:szCs w:val="20"/>
          <w:vertAlign w:val="superscript"/>
          <w:lang w:val="bg-BG"/>
        </w:rPr>
        <w:footnoteReference w:id="13"/>
      </w:r>
    </w:p>
    <w:p w14:paraId="04D8E985" w14:textId="77777777" w:rsidR="00332DDB" w:rsidRPr="003E1421" w:rsidRDefault="00332DDB" w:rsidP="00332DDB">
      <w:pPr>
        <w:rPr>
          <w:rFonts w:ascii="Verdana" w:eastAsiaTheme="minorHAnsi" w:hAnsi="Verdana"/>
          <w:sz w:val="20"/>
          <w:szCs w:val="20"/>
          <w:lang w:val="bg-BG"/>
        </w:rPr>
      </w:pPr>
      <w:r w:rsidRPr="003E1421">
        <w:rPr>
          <w:rFonts w:ascii="Verdana" w:hAnsi="Verdana"/>
          <w:sz w:val="20"/>
          <w:szCs w:val="20"/>
          <w:lang w:val="en"/>
        </w:rPr>
        <w:t>To summarize, OPT interventions have a significant added value to the achievement of the main programme objectives. Effectiveness and efficacy evaluations of financial costs and the analysis of impact on macroeconomic development show that infrastructure projects play a crucial role in the improvement of competitiveness in the Bulgarian economy, and thus in increasing economic growth and improving the quality of life of the country’s population.</w:t>
      </w:r>
    </w:p>
    <w:p w14:paraId="10833A95" w14:textId="31980D90" w:rsidR="00332DDB" w:rsidRDefault="00332DDB" w:rsidP="00332DDB">
      <w:pPr>
        <w:jc w:val="both"/>
        <w:rPr>
          <w:rFonts w:ascii="Verdana" w:hAnsi="Verdana"/>
          <w:sz w:val="20"/>
          <w:szCs w:val="20"/>
          <w:lang w:val="en"/>
        </w:rPr>
      </w:pPr>
      <w:r w:rsidRPr="003E1421">
        <w:rPr>
          <w:rFonts w:ascii="Verdana" w:hAnsi="Verdana"/>
          <w:sz w:val="20"/>
          <w:szCs w:val="20"/>
          <w:lang w:val="en"/>
        </w:rPr>
        <w:t xml:space="preserve">In general, the ratio between the average total costs in Bulgaria and that in other Member States can be made only conditionally due to the </w:t>
      </w:r>
      <w:r w:rsidR="001C3CED">
        <w:rPr>
          <w:rFonts w:ascii="Verdana" w:hAnsi="Verdana"/>
          <w:sz w:val="20"/>
          <w:szCs w:val="20"/>
          <w:lang w:val="en"/>
        </w:rPr>
        <w:t xml:space="preserve">specific nature </w:t>
      </w:r>
      <w:r w:rsidRPr="003E1421">
        <w:rPr>
          <w:rFonts w:ascii="Verdana" w:hAnsi="Verdana"/>
          <w:sz w:val="20"/>
          <w:szCs w:val="20"/>
          <w:lang w:val="en"/>
        </w:rPr>
        <w:t xml:space="preserve">of each project. </w:t>
      </w:r>
    </w:p>
    <w:p w14:paraId="6A264C27" w14:textId="6F815E85" w:rsidR="00DB4345" w:rsidRPr="00E52A79" w:rsidRDefault="007502B1" w:rsidP="0048262D">
      <w:pPr>
        <w:pStyle w:val="Heading1"/>
        <w:numPr>
          <w:ilvl w:val="1"/>
          <w:numId w:val="58"/>
        </w:numPr>
        <w:shd w:val="clear" w:color="auto" w:fill="374C80" w:themeFill="accent1" w:themeFillShade="BF"/>
        <w:spacing w:before="120" w:after="120" w:line="240" w:lineRule="auto"/>
        <w:ind w:left="360"/>
        <w:jc w:val="both"/>
        <w:rPr>
          <w:rFonts w:ascii="Verdana" w:hAnsi="Verdana"/>
          <w:b/>
          <w:bCs/>
          <w:color w:val="FFFFFF" w:themeColor="background1"/>
          <w:sz w:val="20"/>
          <w:szCs w:val="20"/>
          <w:lang w:val="en"/>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bookmarkStart w:id="58" w:name="_Ref50302614"/>
      <w:bookmarkStart w:id="59" w:name="_Ref50397300"/>
      <w:bookmarkStart w:id="60" w:name="_Toc62724396"/>
      <w:r w:rsidRPr="00E87ABF">
        <w:rPr>
          <w:rFonts w:ascii="Verdana" w:hAnsi="Verdana"/>
          <w:b/>
          <w:bCs/>
          <w:color w:val="FFFFFF" w:themeColor="background1"/>
          <w:sz w:val="20"/>
          <w:szCs w:val="20"/>
          <w:lang w:val="en"/>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In view of the amendments to THE 2007-2013 OPT- to answer whether the programme was working in the new context and if so, why?</w:t>
      </w:r>
      <w:bookmarkEnd w:id="58"/>
      <w:bookmarkEnd w:id="59"/>
      <w:bookmarkEnd w:id="60"/>
    </w:p>
    <w:p w14:paraId="4F544B10" w14:textId="7A89D7A9" w:rsidR="002C2EA6" w:rsidRPr="002C2EA6" w:rsidRDefault="002C2EA6" w:rsidP="00A069E0">
      <w:pPr>
        <w:spacing w:line="240" w:lineRule="auto"/>
        <w:jc w:val="both"/>
        <w:rPr>
          <w:rFonts w:ascii="Verdana" w:hAnsi="Verdana"/>
          <w:sz w:val="20"/>
          <w:szCs w:val="20"/>
          <w:lang w:val="en"/>
        </w:rPr>
      </w:pPr>
      <w:r w:rsidRPr="002C2EA6">
        <w:rPr>
          <w:rFonts w:ascii="Verdana" w:hAnsi="Verdana"/>
          <w:sz w:val="20"/>
          <w:szCs w:val="20"/>
          <w:lang w:val="en"/>
        </w:rPr>
        <w:t xml:space="preserve">In the course of OPT implementation, three programme modifications have been proceeded and approved, each of them </w:t>
      </w:r>
      <w:r w:rsidRPr="002C2EA6">
        <w:rPr>
          <w:rFonts w:ascii="Verdana" w:hAnsi="Verdana"/>
          <w:sz w:val="20"/>
          <w:szCs w:val="20"/>
        </w:rPr>
        <w:t xml:space="preserve">altering </w:t>
      </w:r>
      <w:r w:rsidRPr="002C2EA6">
        <w:rPr>
          <w:rFonts w:ascii="Verdana" w:hAnsi="Verdana"/>
          <w:sz w:val="20"/>
          <w:szCs w:val="20"/>
          <w:lang w:val="en"/>
        </w:rPr>
        <w:t>the indicative list of major projects.</w:t>
      </w:r>
    </w:p>
    <w:p w14:paraId="20808839" w14:textId="77777777" w:rsidR="00721EE6" w:rsidRPr="00721EE6" w:rsidRDefault="00721EE6" w:rsidP="00721EE6">
      <w:pPr>
        <w:spacing w:before="120" w:after="120"/>
        <w:jc w:val="both"/>
        <w:rPr>
          <w:rFonts w:ascii="Verdana" w:hAnsi="Verdana"/>
          <w:sz w:val="20"/>
          <w:szCs w:val="20"/>
          <w:lang w:val="bg-BG"/>
        </w:rPr>
      </w:pPr>
      <w:r w:rsidRPr="00721EE6">
        <w:rPr>
          <w:rFonts w:ascii="Verdana" w:hAnsi="Verdana"/>
          <w:sz w:val="20"/>
          <w:szCs w:val="20"/>
          <w:lang w:val="en"/>
        </w:rPr>
        <w:t>Programme modifications proved as effective measure to address delays in implementation, take corrective measures with regard to high-risk projects and prevent loss of funds. The modifications achieved the following effects:</w:t>
      </w:r>
    </w:p>
    <w:p w14:paraId="7DF6AD73" w14:textId="77777777" w:rsidR="00721EE6" w:rsidRPr="00721EE6" w:rsidRDefault="00721EE6" w:rsidP="00721EE6">
      <w:pPr>
        <w:numPr>
          <w:ilvl w:val="0"/>
          <w:numId w:val="39"/>
        </w:numPr>
        <w:spacing w:before="120" w:after="120" w:line="240" w:lineRule="auto"/>
        <w:jc w:val="both"/>
        <w:rPr>
          <w:rFonts w:ascii="Verdana" w:hAnsi="Verdana"/>
          <w:sz w:val="20"/>
          <w:szCs w:val="20"/>
          <w:lang w:val="bg-BG"/>
        </w:rPr>
      </w:pPr>
      <w:r w:rsidRPr="00721EE6">
        <w:rPr>
          <w:rFonts w:ascii="Verdana" w:hAnsi="Verdana"/>
          <w:sz w:val="20"/>
          <w:szCs w:val="20"/>
          <w:lang w:val="en"/>
        </w:rPr>
        <w:t>The inclusion of new projects in the first modification catalyzed the physical and financial implementation of the programme and prevented loss of funds, while respecting the programme objectives and priorities;</w:t>
      </w:r>
    </w:p>
    <w:p w14:paraId="7B68FE33" w14:textId="77777777" w:rsidR="00721EE6" w:rsidRPr="00721EE6" w:rsidRDefault="00721EE6" w:rsidP="00721EE6">
      <w:pPr>
        <w:numPr>
          <w:ilvl w:val="0"/>
          <w:numId w:val="39"/>
        </w:numPr>
        <w:spacing w:before="120" w:after="120" w:line="240" w:lineRule="auto"/>
        <w:jc w:val="both"/>
        <w:rPr>
          <w:rFonts w:ascii="Verdana" w:hAnsi="Verdana"/>
          <w:sz w:val="20"/>
          <w:szCs w:val="20"/>
          <w:lang w:val="bg-BG"/>
        </w:rPr>
      </w:pPr>
      <w:r w:rsidRPr="00721EE6">
        <w:rPr>
          <w:rFonts w:ascii="Verdana" w:hAnsi="Verdana"/>
          <w:sz w:val="20"/>
          <w:szCs w:val="20"/>
          <w:lang w:val="en"/>
        </w:rPr>
        <w:t>Financial reallocations were carried out based on the identified high-risk projects under PA 1, 2 and 4;</w:t>
      </w:r>
    </w:p>
    <w:p w14:paraId="05ECDA40" w14:textId="77777777" w:rsidR="00721EE6" w:rsidRPr="00721EE6" w:rsidRDefault="00721EE6" w:rsidP="00721EE6">
      <w:pPr>
        <w:numPr>
          <w:ilvl w:val="0"/>
          <w:numId w:val="39"/>
        </w:numPr>
        <w:spacing w:before="120" w:after="120" w:line="240" w:lineRule="auto"/>
        <w:jc w:val="both"/>
        <w:rPr>
          <w:rFonts w:ascii="Verdana" w:eastAsiaTheme="minorHAnsi" w:hAnsi="Verdana"/>
          <w:sz w:val="20"/>
          <w:szCs w:val="20"/>
          <w:lang w:val="bg-BG"/>
        </w:rPr>
      </w:pPr>
      <w:r w:rsidRPr="00721EE6">
        <w:rPr>
          <w:rFonts w:ascii="Verdana" w:hAnsi="Verdana"/>
          <w:sz w:val="20"/>
          <w:szCs w:val="20"/>
          <w:lang w:val="en"/>
        </w:rPr>
        <w:t xml:space="preserve">The unused funds were directed to additional projects with high maturity, including back-phased projects that were originally planned for funding under OPTTI /project for extension of the second metro diameter from Ms. "James </w:t>
      </w:r>
      <w:proofErr w:type="spellStart"/>
      <w:r w:rsidRPr="00721EE6">
        <w:rPr>
          <w:rFonts w:ascii="Verdana" w:hAnsi="Verdana"/>
          <w:sz w:val="20"/>
          <w:szCs w:val="20"/>
          <w:lang w:val="en"/>
        </w:rPr>
        <w:t>Bowcher</w:t>
      </w:r>
      <w:proofErr w:type="spellEnd"/>
      <w:r w:rsidRPr="00721EE6">
        <w:rPr>
          <w:rFonts w:ascii="Verdana" w:hAnsi="Verdana"/>
          <w:sz w:val="20"/>
          <w:szCs w:val="20"/>
          <w:lang w:val="en"/>
        </w:rPr>
        <w:t xml:space="preserve">" to MS </w:t>
      </w:r>
      <w:r w:rsidRPr="00721EE6">
        <w:rPr>
          <w:rFonts w:ascii="Verdana" w:hAnsi="Verdana"/>
          <w:sz w:val="20"/>
          <w:szCs w:val="20"/>
          <w:lang w:val="en"/>
        </w:rPr>
        <w:lastRenderedPageBreak/>
        <w:t>"</w:t>
      </w:r>
      <w:proofErr w:type="spellStart"/>
      <w:r w:rsidRPr="00721EE6">
        <w:rPr>
          <w:rFonts w:ascii="Verdana" w:hAnsi="Verdana"/>
          <w:sz w:val="20"/>
          <w:szCs w:val="20"/>
          <w:lang w:val="en"/>
        </w:rPr>
        <w:t>Vitosha</w:t>
      </w:r>
      <w:proofErr w:type="spellEnd"/>
      <w:r w:rsidRPr="00721EE6">
        <w:rPr>
          <w:rFonts w:ascii="Verdana" w:hAnsi="Verdana"/>
          <w:sz w:val="20"/>
          <w:szCs w:val="20"/>
          <w:lang w:val="en"/>
        </w:rPr>
        <w:t xml:space="preserve">", the project for the large road facilities under the project for Southern Arc of SRR and the project for modernization and reconstruction of </w:t>
      </w:r>
      <w:r w:rsidRPr="00721EE6">
        <w:rPr>
          <w:rFonts w:ascii="Verdana" w:hAnsi="Verdana"/>
          <w:color w:val="000000"/>
          <w:sz w:val="20"/>
          <w:szCs w:val="20"/>
          <w:lang w:val="en"/>
        </w:rPr>
        <w:t xml:space="preserve">viaducts under </w:t>
      </w:r>
      <w:proofErr w:type="spellStart"/>
      <w:r w:rsidRPr="00721EE6">
        <w:rPr>
          <w:rFonts w:ascii="Verdana" w:hAnsi="Verdana"/>
          <w:color w:val="000000"/>
          <w:sz w:val="20"/>
          <w:szCs w:val="20"/>
          <w:lang w:val="en"/>
        </w:rPr>
        <w:t>Trakia</w:t>
      </w:r>
      <w:proofErr w:type="spellEnd"/>
      <w:r w:rsidRPr="00721EE6">
        <w:rPr>
          <w:rFonts w:ascii="Verdana" w:hAnsi="Verdana"/>
          <w:color w:val="000000"/>
          <w:sz w:val="20"/>
          <w:szCs w:val="20"/>
          <w:lang w:val="en"/>
        </w:rPr>
        <w:t xml:space="preserve"> Motorway and </w:t>
      </w:r>
      <w:proofErr w:type="spellStart"/>
      <w:r w:rsidRPr="00721EE6">
        <w:rPr>
          <w:rFonts w:ascii="Verdana" w:hAnsi="Verdana"/>
          <w:color w:val="000000"/>
          <w:sz w:val="20"/>
          <w:szCs w:val="20"/>
          <w:lang w:val="en"/>
        </w:rPr>
        <w:t>Hemus</w:t>
      </w:r>
      <w:proofErr w:type="spellEnd"/>
      <w:r w:rsidRPr="00721EE6">
        <w:rPr>
          <w:rFonts w:ascii="Verdana" w:hAnsi="Verdana"/>
          <w:color w:val="000000"/>
          <w:sz w:val="20"/>
          <w:szCs w:val="20"/>
          <w:lang w:val="en"/>
        </w:rPr>
        <w:t xml:space="preserve"> Motorway/;</w:t>
      </w:r>
    </w:p>
    <w:p w14:paraId="6A7D7621" w14:textId="77777777" w:rsidR="00721EE6" w:rsidRPr="00721EE6" w:rsidRDefault="00721EE6" w:rsidP="00721EE6">
      <w:pPr>
        <w:numPr>
          <w:ilvl w:val="0"/>
          <w:numId w:val="39"/>
        </w:numPr>
        <w:spacing w:before="120" w:after="120" w:line="240" w:lineRule="auto"/>
        <w:jc w:val="both"/>
        <w:rPr>
          <w:rFonts w:ascii="Verdana" w:hAnsi="Verdana"/>
          <w:sz w:val="20"/>
          <w:szCs w:val="20"/>
          <w:lang w:val="bg-BG"/>
        </w:rPr>
      </w:pPr>
      <w:r w:rsidRPr="00721EE6">
        <w:rPr>
          <w:rFonts w:ascii="Verdana" w:hAnsi="Verdana"/>
          <w:sz w:val="20"/>
          <w:szCs w:val="20"/>
          <w:lang w:val="en"/>
        </w:rPr>
        <w:t>The programme indicators, including their type, category and targets, were substantially changed at the second modification, resulting in optimal levels of reported implementation at the end of the programming period;</w:t>
      </w:r>
    </w:p>
    <w:p w14:paraId="6A29C89F" w14:textId="77777777" w:rsidR="00721EE6" w:rsidRPr="00721EE6" w:rsidRDefault="00721EE6" w:rsidP="00721EE6">
      <w:pPr>
        <w:numPr>
          <w:ilvl w:val="0"/>
          <w:numId w:val="39"/>
        </w:numPr>
        <w:spacing w:before="120" w:after="120" w:line="240" w:lineRule="auto"/>
        <w:jc w:val="both"/>
        <w:rPr>
          <w:rFonts w:ascii="Verdana" w:hAnsi="Verdana"/>
          <w:sz w:val="20"/>
          <w:szCs w:val="20"/>
          <w:lang w:val="bg-BG"/>
        </w:rPr>
      </w:pPr>
      <w:r w:rsidRPr="00721EE6">
        <w:rPr>
          <w:rFonts w:ascii="Verdana" w:hAnsi="Verdana"/>
          <w:sz w:val="20"/>
          <w:szCs w:val="20"/>
          <w:lang w:val="en"/>
        </w:rPr>
        <w:t>No automatic loss of funds was allowed during the programming period;</w:t>
      </w:r>
    </w:p>
    <w:p w14:paraId="60026688" w14:textId="77777777" w:rsidR="00721EE6" w:rsidRPr="00721EE6" w:rsidRDefault="00721EE6" w:rsidP="00721EE6">
      <w:pPr>
        <w:numPr>
          <w:ilvl w:val="0"/>
          <w:numId w:val="39"/>
        </w:numPr>
        <w:spacing w:before="120" w:after="120" w:line="240" w:lineRule="auto"/>
        <w:jc w:val="both"/>
        <w:rPr>
          <w:rFonts w:ascii="Verdana" w:hAnsi="Verdana"/>
          <w:sz w:val="20"/>
          <w:szCs w:val="20"/>
          <w:lang w:val="bg-BG"/>
        </w:rPr>
      </w:pPr>
      <w:r w:rsidRPr="00721EE6">
        <w:rPr>
          <w:rFonts w:ascii="Verdana" w:hAnsi="Verdana"/>
          <w:sz w:val="20"/>
          <w:szCs w:val="20"/>
          <w:lang w:val="en"/>
        </w:rPr>
        <w:t>The EU funds have been used optimally by increasing the co-financing rate of CF funds from 80% to 85%;</w:t>
      </w:r>
    </w:p>
    <w:p w14:paraId="57246963" w14:textId="77777777" w:rsidR="00721EE6" w:rsidRPr="00721EE6" w:rsidRDefault="00721EE6" w:rsidP="00721EE6">
      <w:pPr>
        <w:numPr>
          <w:ilvl w:val="0"/>
          <w:numId w:val="39"/>
        </w:numPr>
        <w:spacing w:before="120" w:after="120" w:line="240" w:lineRule="auto"/>
        <w:jc w:val="both"/>
        <w:rPr>
          <w:rFonts w:ascii="Verdana" w:hAnsi="Verdana"/>
          <w:sz w:val="20"/>
          <w:szCs w:val="20"/>
          <w:lang w:val="bg-BG"/>
        </w:rPr>
      </w:pPr>
      <w:r w:rsidRPr="00721EE6">
        <w:rPr>
          <w:rFonts w:ascii="Verdana" w:hAnsi="Verdana"/>
          <w:sz w:val="20"/>
          <w:szCs w:val="20"/>
          <w:lang w:val="en"/>
        </w:rPr>
        <w:t xml:space="preserve">By </w:t>
      </w:r>
      <w:proofErr w:type="spellStart"/>
      <w:r w:rsidRPr="00721EE6">
        <w:rPr>
          <w:rFonts w:ascii="Verdana" w:hAnsi="Verdana"/>
          <w:sz w:val="20"/>
          <w:szCs w:val="20"/>
          <w:lang w:val="en"/>
        </w:rPr>
        <w:t>ph</w:t>
      </w:r>
      <w:r w:rsidRPr="00721EE6">
        <w:rPr>
          <w:rFonts w:ascii="Verdana" w:hAnsi="Verdana"/>
          <w:sz w:val="20"/>
          <w:szCs w:val="20"/>
        </w:rPr>
        <w:t>asing</w:t>
      </w:r>
      <w:proofErr w:type="spellEnd"/>
      <w:r w:rsidRPr="00721EE6">
        <w:rPr>
          <w:rFonts w:ascii="Verdana" w:hAnsi="Verdana"/>
          <w:sz w:val="20"/>
          <w:szCs w:val="20"/>
        </w:rPr>
        <w:t xml:space="preserve"> out</w:t>
      </w:r>
      <w:r w:rsidRPr="00721EE6">
        <w:rPr>
          <w:rFonts w:ascii="Verdana" w:hAnsi="Verdana"/>
          <w:sz w:val="20"/>
          <w:szCs w:val="20"/>
          <w:lang w:val="en"/>
        </w:rPr>
        <w:t xml:space="preserve"> projects and reducing the scope of three</w:t>
      </w:r>
      <w:r w:rsidRPr="00721EE6">
        <w:rPr>
          <w:rFonts w:ascii="Verdana" w:hAnsi="Verdana"/>
          <w:sz w:val="20"/>
          <w:lang w:val="en"/>
        </w:rPr>
        <w:t xml:space="preserve"> of the</w:t>
      </w:r>
      <w:r w:rsidRPr="00721EE6">
        <w:rPr>
          <w:rFonts w:ascii="Verdana" w:hAnsi="Verdana"/>
          <w:sz w:val="20"/>
          <w:szCs w:val="20"/>
          <w:lang w:val="en"/>
        </w:rPr>
        <w:t xml:space="preserve"> high-risk</w:t>
      </w:r>
      <w:r w:rsidRPr="00721EE6">
        <w:rPr>
          <w:rFonts w:ascii="Verdana" w:hAnsi="Verdana"/>
          <w:sz w:val="20"/>
          <w:lang w:val="en"/>
        </w:rPr>
        <w:t xml:space="preserve"> projects under the</w:t>
      </w:r>
      <w:r w:rsidRPr="00721EE6">
        <w:rPr>
          <w:rFonts w:ascii="Verdana" w:hAnsi="Verdana"/>
          <w:sz w:val="20"/>
          <w:szCs w:val="20"/>
          <w:lang w:val="en"/>
        </w:rPr>
        <w:t xml:space="preserve"> third modification,</w:t>
      </w:r>
      <w:r w:rsidRPr="00721EE6">
        <w:rPr>
          <w:rFonts w:ascii="Verdana" w:hAnsi="Verdana"/>
          <w:sz w:val="20"/>
          <w:lang w:val="en"/>
        </w:rPr>
        <w:t xml:space="preserve"> the risk of project non completion at the end of the programme </w:t>
      </w:r>
      <w:r w:rsidRPr="00721EE6">
        <w:rPr>
          <w:rFonts w:ascii="Verdana" w:hAnsi="Verdana"/>
          <w:color w:val="000000"/>
          <w:sz w:val="20"/>
          <w:szCs w:val="20"/>
          <w:lang w:val="en"/>
        </w:rPr>
        <w:t>was avoided;</w:t>
      </w:r>
    </w:p>
    <w:p w14:paraId="2AEBF014" w14:textId="77777777" w:rsidR="00721EE6" w:rsidRPr="00721EE6" w:rsidRDefault="00721EE6" w:rsidP="00721EE6">
      <w:pPr>
        <w:numPr>
          <w:ilvl w:val="0"/>
          <w:numId w:val="39"/>
        </w:numPr>
        <w:spacing w:before="120" w:after="120" w:line="240" w:lineRule="auto"/>
        <w:jc w:val="both"/>
        <w:rPr>
          <w:rFonts w:ascii="Verdana" w:hAnsi="Verdana"/>
          <w:sz w:val="20"/>
          <w:szCs w:val="20"/>
          <w:lang w:val="bg-BG"/>
        </w:rPr>
      </w:pPr>
      <w:r w:rsidRPr="00721EE6">
        <w:rPr>
          <w:rFonts w:ascii="Verdana" w:hAnsi="Verdana"/>
          <w:sz w:val="20"/>
          <w:szCs w:val="20"/>
          <w:lang w:val="en"/>
        </w:rPr>
        <w:t>Amendments to the list of major projects of all priority axes were essential. Given the high share of major projects in the overall budget of the programme (on average 90% of the verified funds under PA 1, 2 and 3), it can be concluded that before the programme modifications there was an extremely high risk for successful absorption of the funds due to immature but initially prioritized major projects;</w:t>
      </w:r>
    </w:p>
    <w:p w14:paraId="3866056F" w14:textId="1863E581" w:rsidR="00721EE6" w:rsidRPr="00721EE6" w:rsidRDefault="00721EE6" w:rsidP="00721EE6">
      <w:pPr>
        <w:numPr>
          <w:ilvl w:val="0"/>
          <w:numId w:val="39"/>
        </w:numPr>
        <w:spacing w:before="120" w:after="120" w:line="240" w:lineRule="auto"/>
        <w:jc w:val="both"/>
        <w:rPr>
          <w:rFonts w:ascii="Verdana" w:eastAsiaTheme="minorHAnsi" w:hAnsi="Verdana"/>
          <w:sz w:val="20"/>
          <w:szCs w:val="20"/>
          <w:lang w:val="bg-BG"/>
        </w:rPr>
      </w:pPr>
      <w:r w:rsidRPr="00721EE6">
        <w:rPr>
          <w:rFonts w:ascii="Verdana" w:hAnsi="Verdana"/>
          <w:sz w:val="20"/>
          <w:szCs w:val="20"/>
          <w:lang w:val="en"/>
        </w:rPr>
        <w:t xml:space="preserve">In terms of the allocation of contributions by </w:t>
      </w:r>
      <w:r w:rsidRPr="00721EE6">
        <w:rPr>
          <w:rFonts w:ascii="Verdana" w:hAnsi="Verdana"/>
          <w:sz w:val="20"/>
          <w:lang w:val="en"/>
        </w:rPr>
        <w:t xml:space="preserve">priority themes, a decrease was reported in </w:t>
      </w:r>
      <w:r w:rsidRPr="00721EE6">
        <w:rPr>
          <w:rFonts w:ascii="Verdana" w:hAnsi="Verdana"/>
          <w:bCs/>
          <w:sz w:val="20"/>
          <w:szCs w:val="20"/>
          <w:lang w:val="en" w:eastAsia="bg-BG"/>
        </w:rPr>
        <w:t>the TEN-T railroad network categories</w:t>
      </w:r>
      <w:r w:rsidRPr="00721EE6">
        <w:rPr>
          <w:rFonts w:ascii="Verdana" w:hAnsi="Verdana"/>
          <w:sz w:val="20"/>
          <w:lang w:val="en"/>
        </w:rPr>
        <w:t xml:space="preserve"> </w:t>
      </w:r>
      <w:r w:rsidRPr="00721EE6">
        <w:rPr>
          <w:rFonts w:ascii="Verdana" w:hAnsi="Verdana"/>
          <w:bCs/>
          <w:sz w:val="20"/>
          <w:szCs w:val="20"/>
          <w:lang w:val="en" w:eastAsia="bg-BG"/>
        </w:rPr>
        <w:t xml:space="preserve"> (from EUR 464 million to EUR 341,3 million, or by 26%/, National roads /from EUR 144,6 million to EUR 53,4 million, or by 63%/ and TEN-T inland waterways /from 117,3 million euro 1.6 million. or 99%.  Increases were observed in category Multimodal transport – by 183%, from 157.4 to 446 million euro, TEN-T transport (from EUR 22 million to EUR 32.3 million, or by 47%/ and Intelligent Transport Systems /from EUR 16 million to EUR 27.9 million. or by 75%/. T</w:t>
      </w:r>
      <w:r w:rsidRPr="00721EE6">
        <w:rPr>
          <w:rFonts w:ascii="Verdana" w:hAnsi="Verdana"/>
          <w:sz w:val="20"/>
          <w:szCs w:val="20"/>
          <w:lang w:val="en"/>
        </w:rPr>
        <w:t>he most favorable were the changes for multimodal transport, including the expansion of the metro, and the changes were unfavorable for the rail sector, national roads and inland waterways;</w:t>
      </w:r>
    </w:p>
    <w:p w14:paraId="3CEB48D1" w14:textId="77777777" w:rsidR="00721EE6" w:rsidRPr="00721EE6" w:rsidRDefault="00721EE6" w:rsidP="00721EE6">
      <w:pPr>
        <w:numPr>
          <w:ilvl w:val="0"/>
          <w:numId w:val="39"/>
        </w:numPr>
        <w:spacing w:before="120" w:after="120" w:line="240" w:lineRule="auto"/>
        <w:jc w:val="both"/>
        <w:rPr>
          <w:rFonts w:ascii="Verdana" w:eastAsiaTheme="minorHAnsi" w:hAnsi="Verdana"/>
          <w:sz w:val="20"/>
          <w:szCs w:val="20"/>
          <w:lang w:val="bg-BG"/>
        </w:rPr>
      </w:pPr>
      <w:r w:rsidRPr="00721EE6">
        <w:rPr>
          <w:rFonts w:ascii="Verdana" w:hAnsi="Verdana"/>
          <w:sz w:val="20"/>
          <w:szCs w:val="20"/>
          <w:lang w:val="en"/>
        </w:rPr>
        <w:t>The Programme has appropriately addressed changes in context, including amendments related to national and European strategic documents, developed new documents under the OPT /GTMP and GEMP/. The project selection methodology set out in Annex No 5 of the Programme contains criteria that ensure compliance with the amended documents, in so far as the amendments build on transport and sustainable development policies. Overall, legislative changes in the course of programme implementation had a beneficial effect on projects’ implementation. The resources and capacity of the EIB and the World Bank in the financing of projects and the development of analytical and strategic documents in the railway and road sectors were used in optimal way;</w:t>
      </w:r>
    </w:p>
    <w:p w14:paraId="29555D6F" w14:textId="77777777" w:rsidR="00721EE6" w:rsidRPr="00721EE6" w:rsidRDefault="00721EE6" w:rsidP="00721EE6">
      <w:pPr>
        <w:numPr>
          <w:ilvl w:val="0"/>
          <w:numId w:val="39"/>
        </w:numPr>
        <w:spacing w:before="120" w:after="120" w:line="240" w:lineRule="auto"/>
        <w:jc w:val="both"/>
        <w:rPr>
          <w:rFonts w:ascii="Verdana" w:hAnsi="Verdana"/>
          <w:sz w:val="20"/>
          <w:szCs w:val="20"/>
          <w:lang w:val="bg-BG"/>
        </w:rPr>
      </w:pPr>
      <w:r w:rsidRPr="00721EE6">
        <w:rPr>
          <w:rFonts w:ascii="Verdana" w:hAnsi="Verdana"/>
          <w:sz w:val="20"/>
          <w:szCs w:val="20"/>
          <w:lang w:val="en"/>
        </w:rPr>
        <w:t>The programme modifications demonstrated compliance with changes in the external and macroeconomic environment, in so far as the basic parameters of the macroeconomic environment at the end of the programming period indicated an ongoing need for OPT support and a focus on the outlined priorities of the different transport sectors;</w:t>
      </w:r>
    </w:p>
    <w:p w14:paraId="4AEE2731" w14:textId="5A4F8D86" w:rsidR="00721EE6" w:rsidRPr="00721EE6" w:rsidRDefault="00721EE6" w:rsidP="00721EE6">
      <w:pPr>
        <w:numPr>
          <w:ilvl w:val="0"/>
          <w:numId w:val="39"/>
        </w:numPr>
        <w:spacing w:before="120" w:after="120" w:line="240" w:lineRule="auto"/>
        <w:jc w:val="both"/>
        <w:rPr>
          <w:rFonts w:ascii="Verdana" w:hAnsi="Verdana"/>
          <w:sz w:val="20"/>
          <w:szCs w:val="20"/>
          <w:lang w:val="bg-BG"/>
        </w:rPr>
      </w:pPr>
      <w:r w:rsidRPr="00721EE6">
        <w:rPr>
          <w:rFonts w:ascii="Verdana" w:hAnsi="Verdana"/>
          <w:sz w:val="20"/>
          <w:szCs w:val="20"/>
          <w:lang w:val="en"/>
        </w:rPr>
        <w:t xml:space="preserve">Within the framework of the programme modifications, changes have occurred which had implication on the optimal support of the balanced regional development programme and focused programme support in higher developed areas with more </w:t>
      </w:r>
      <w:r w:rsidR="004E5ED7" w:rsidRPr="00721EE6">
        <w:rPr>
          <w:rFonts w:ascii="Verdana" w:hAnsi="Verdana"/>
          <w:sz w:val="20"/>
          <w:szCs w:val="20"/>
          <w:lang w:val="en"/>
        </w:rPr>
        <w:t>favorable</w:t>
      </w:r>
      <w:r w:rsidRPr="00721EE6">
        <w:rPr>
          <w:rFonts w:ascii="Verdana" w:hAnsi="Verdana"/>
          <w:sz w:val="20"/>
          <w:szCs w:val="20"/>
          <w:lang w:val="en"/>
        </w:rPr>
        <w:t xml:space="preserve"> economic indicators. The changes include exclusion of projects for modernization of railway infrastructure along the TEN-T network in the Southwestern region /the railway line Vidin - Sofia, Sofia - Dragoman/ and for road infrastructure /the sections Vratsa – </w:t>
      </w:r>
      <w:proofErr w:type="spellStart"/>
      <w:r w:rsidRPr="00721EE6">
        <w:rPr>
          <w:rFonts w:ascii="Verdana" w:hAnsi="Verdana"/>
          <w:sz w:val="20"/>
          <w:szCs w:val="20"/>
          <w:lang w:val="en"/>
        </w:rPr>
        <w:t>Botevgrad</w:t>
      </w:r>
      <w:proofErr w:type="spellEnd"/>
      <w:r w:rsidRPr="00721EE6">
        <w:rPr>
          <w:rFonts w:ascii="Verdana" w:hAnsi="Verdana"/>
          <w:sz w:val="20"/>
          <w:szCs w:val="20"/>
          <w:lang w:val="en"/>
        </w:rPr>
        <w:t xml:space="preserve">, Vidin Montana/, the project for improving navigation in the Bulgarian-Romanian section of </w:t>
      </w:r>
      <w:proofErr w:type="spellStart"/>
      <w:r w:rsidRPr="00721EE6">
        <w:rPr>
          <w:rFonts w:ascii="Verdana" w:hAnsi="Verdana"/>
          <w:sz w:val="20"/>
          <w:szCs w:val="20"/>
          <w:lang w:val="en"/>
        </w:rPr>
        <w:t>Batin</w:t>
      </w:r>
      <w:proofErr w:type="spellEnd"/>
      <w:r w:rsidRPr="00721EE6">
        <w:rPr>
          <w:rFonts w:ascii="Verdana" w:hAnsi="Verdana"/>
          <w:sz w:val="20"/>
          <w:szCs w:val="20"/>
          <w:lang w:val="en"/>
        </w:rPr>
        <w:t xml:space="preserve"> - </w:t>
      </w:r>
      <w:proofErr w:type="spellStart"/>
      <w:r w:rsidRPr="00721EE6">
        <w:rPr>
          <w:rFonts w:ascii="Verdana" w:hAnsi="Verdana"/>
          <w:sz w:val="20"/>
          <w:szCs w:val="20"/>
          <w:lang w:val="en"/>
        </w:rPr>
        <w:t>Belene</w:t>
      </w:r>
      <w:proofErr w:type="spellEnd"/>
      <w:r w:rsidRPr="00721EE6">
        <w:rPr>
          <w:rFonts w:ascii="Verdana" w:hAnsi="Verdana"/>
          <w:sz w:val="20"/>
          <w:szCs w:val="20"/>
          <w:lang w:val="en"/>
        </w:rPr>
        <w:t xml:space="preserve"> has been also </w:t>
      </w:r>
      <w:r w:rsidR="004E5ED7" w:rsidRPr="00721EE6">
        <w:rPr>
          <w:rFonts w:ascii="Verdana" w:hAnsi="Verdana"/>
          <w:sz w:val="20"/>
          <w:szCs w:val="20"/>
          <w:lang w:val="en"/>
        </w:rPr>
        <w:t>excluded</w:t>
      </w:r>
      <w:r w:rsidRPr="00721EE6">
        <w:rPr>
          <w:rFonts w:ascii="Verdana" w:hAnsi="Verdana"/>
          <w:sz w:val="20"/>
          <w:szCs w:val="20"/>
          <w:lang w:val="en"/>
        </w:rPr>
        <w:t xml:space="preserve">. Projects situated in NCR, SER, SWR have been included – railroad </w:t>
      </w:r>
      <w:r w:rsidRPr="00721EE6">
        <w:rPr>
          <w:rFonts w:ascii="Verdana" w:hAnsi="Verdana"/>
          <w:sz w:val="20"/>
          <w:szCs w:val="20"/>
          <w:lang w:val="en"/>
        </w:rPr>
        <w:lastRenderedPageBreak/>
        <w:t xml:space="preserve">lines Sofia - Plovdiv, Plovdiv - </w:t>
      </w:r>
      <w:proofErr w:type="spellStart"/>
      <w:r w:rsidRPr="00721EE6">
        <w:rPr>
          <w:rFonts w:ascii="Verdana" w:hAnsi="Verdana"/>
          <w:sz w:val="20"/>
          <w:szCs w:val="20"/>
          <w:lang w:val="en"/>
        </w:rPr>
        <w:t>Burgas</w:t>
      </w:r>
      <w:proofErr w:type="spellEnd"/>
      <w:r w:rsidRPr="00721EE6">
        <w:rPr>
          <w:rFonts w:ascii="Verdana" w:hAnsi="Verdana"/>
          <w:sz w:val="20"/>
          <w:szCs w:val="20"/>
          <w:lang w:val="en"/>
        </w:rPr>
        <w:t xml:space="preserve">, as well as the projects for the completion of </w:t>
      </w:r>
      <w:proofErr w:type="spellStart"/>
      <w:r w:rsidRPr="00721EE6">
        <w:rPr>
          <w:rFonts w:ascii="Verdana" w:hAnsi="Verdana"/>
          <w:sz w:val="20"/>
          <w:szCs w:val="20"/>
          <w:lang w:val="en"/>
        </w:rPr>
        <w:t>Trakia</w:t>
      </w:r>
      <w:proofErr w:type="spellEnd"/>
      <w:r w:rsidRPr="00721EE6">
        <w:rPr>
          <w:rFonts w:ascii="Verdana" w:hAnsi="Verdana"/>
          <w:sz w:val="20"/>
          <w:szCs w:val="20"/>
          <w:lang w:val="en"/>
        </w:rPr>
        <w:t xml:space="preserve"> </w:t>
      </w:r>
      <w:proofErr w:type="spellStart"/>
      <w:r w:rsidRPr="00721EE6">
        <w:rPr>
          <w:rFonts w:ascii="Verdana" w:hAnsi="Verdana"/>
          <w:sz w:val="20"/>
          <w:szCs w:val="20"/>
          <w:lang w:val="en"/>
        </w:rPr>
        <w:t>Motoray</w:t>
      </w:r>
      <w:proofErr w:type="spellEnd"/>
      <w:r w:rsidRPr="00721EE6">
        <w:rPr>
          <w:rFonts w:ascii="Verdana" w:hAnsi="Verdana"/>
          <w:sz w:val="20"/>
          <w:szCs w:val="20"/>
          <w:lang w:val="en"/>
        </w:rPr>
        <w:t xml:space="preserve"> and the Bypass of Gabrovo. With these changes in the programme, the initially planned support to the North-West Region, which has the worst development indicators not only in Bulgaria, but also in the EU, has not been achieved.</w:t>
      </w:r>
    </w:p>
    <w:p w14:paraId="74072F26" w14:textId="3C2D80F3" w:rsidR="007C4794" w:rsidRPr="00E87ABF" w:rsidRDefault="007C4794" w:rsidP="0052363D">
      <w:pPr>
        <w:widowControl w:val="0"/>
        <w:spacing w:before="40" w:after="0" w:line="240" w:lineRule="auto"/>
        <w:jc w:val="both"/>
        <w:outlineLvl w:val="2"/>
        <w:rPr>
          <w:rFonts w:ascii="Verdana" w:eastAsia="Calibri" w:hAnsi="Verdana" w:cs="Calibri"/>
          <w:sz w:val="20"/>
          <w:szCs w:val="20"/>
          <w:lang w:val="bg-BG"/>
        </w:rPr>
      </w:pPr>
    </w:p>
    <w:p w14:paraId="4532B84A" w14:textId="7A9FF12C" w:rsidR="00A069E0" w:rsidRPr="00E87ABF" w:rsidRDefault="00496521" w:rsidP="00496521">
      <w:pPr>
        <w:widowControl w:val="0"/>
        <w:spacing w:line="240" w:lineRule="auto"/>
        <w:jc w:val="both"/>
        <w:rPr>
          <w:rFonts w:ascii="Verdana" w:eastAsia="Calibri" w:hAnsi="Verdana" w:cs="Helvetica"/>
          <w:color w:val="000000"/>
          <w:sz w:val="20"/>
          <w:szCs w:val="20"/>
          <w:lang w:val="bg-BG"/>
        </w:rPr>
      </w:pPr>
      <w:r w:rsidRPr="00E87ABF">
        <w:rPr>
          <w:rFonts w:ascii="Verdana" w:hAnsi="Verdana"/>
          <w:color w:val="000000"/>
          <w:sz w:val="20"/>
          <w:szCs w:val="20"/>
          <w:lang w:val="en"/>
        </w:rPr>
        <w:t xml:space="preserve">The programme indicators </w:t>
      </w:r>
      <w:r w:rsidR="00A60711">
        <w:rPr>
          <w:rFonts w:ascii="Verdana" w:hAnsi="Verdana"/>
          <w:color w:val="000000"/>
          <w:sz w:val="20"/>
          <w:szCs w:val="20"/>
          <w:lang w:val="en"/>
        </w:rPr>
        <w:t xml:space="preserve">were </w:t>
      </w:r>
      <w:r w:rsidR="00406146">
        <w:rPr>
          <w:rFonts w:ascii="Verdana" w:hAnsi="Verdana"/>
          <w:color w:val="000000"/>
          <w:sz w:val="20"/>
          <w:szCs w:val="20"/>
          <w:lang w:val="en"/>
        </w:rPr>
        <w:t xml:space="preserve">modified significantly with the </w:t>
      </w:r>
      <w:r w:rsidRPr="00E87ABF">
        <w:rPr>
          <w:rFonts w:ascii="Verdana" w:hAnsi="Verdana"/>
          <w:color w:val="000000"/>
          <w:sz w:val="20"/>
          <w:szCs w:val="20"/>
          <w:lang w:val="en"/>
        </w:rPr>
        <w:t xml:space="preserve">second and especially </w:t>
      </w:r>
      <w:r w:rsidR="00406146">
        <w:rPr>
          <w:rFonts w:ascii="Verdana" w:hAnsi="Verdana"/>
          <w:color w:val="000000"/>
          <w:sz w:val="20"/>
          <w:szCs w:val="20"/>
          <w:lang w:val="en"/>
        </w:rPr>
        <w:t>the</w:t>
      </w:r>
      <w:r w:rsidRPr="00E87ABF">
        <w:rPr>
          <w:rFonts w:ascii="Verdana" w:hAnsi="Verdana"/>
          <w:color w:val="000000"/>
          <w:sz w:val="20"/>
          <w:szCs w:val="20"/>
          <w:lang w:val="en"/>
        </w:rPr>
        <w:t xml:space="preserve"> third </w:t>
      </w:r>
      <w:r w:rsidR="00406146">
        <w:rPr>
          <w:rFonts w:ascii="Verdana" w:hAnsi="Verdana"/>
          <w:color w:val="000000"/>
          <w:sz w:val="20"/>
          <w:szCs w:val="20"/>
          <w:lang w:val="en"/>
        </w:rPr>
        <w:t>modification</w:t>
      </w:r>
      <w:r w:rsidRPr="00E87ABF">
        <w:rPr>
          <w:rFonts w:ascii="Verdana" w:hAnsi="Verdana"/>
          <w:color w:val="000000"/>
          <w:sz w:val="20"/>
          <w:szCs w:val="20"/>
          <w:lang w:val="en"/>
        </w:rPr>
        <w:t xml:space="preserve">, </w:t>
      </w:r>
      <w:r w:rsidR="00406146">
        <w:rPr>
          <w:rFonts w:ascii="Verdana" w:hAnsi="Verdana"/>
          <w:color w:val="000000"/>
          <w:sz w:val="20"/>
          <w:szCs w:val="20"/>
          <w:lang w:val="en"/>
        </w:rPr>
        <w:t xml:space="preserve">including re-definition of the </w:t>
      </w:r>
      <w:r w:rsidRPr="00E87ABF">
        <w:rPr>
          <w:rFonts w:ascii="Verdana" w:hAnsi="Verdana"/>
          <w:color w:val="000000"/>
          <w:sz w:val="20"/>
          <w:szCs w:val="20"/>
          <w:lang w:val="en"/>
        </w:rPr>
        <w:t>result indicators (time saved)</w:t>
      </w:r>
      <w:r w:rsidR="00B143AC">
        <w:rPr>
          <w:rFonts w:ascii="Verdana" w:hAnsi="Verdana"/>
          <w:color w:val="000000"/>
          <w:sz w:val="20"/>
          <w:szCs w:val="20"/>
          <w:lang w:val="en"/>
        </w:rPr>
        <w:t xml:space="preserve">, </w:t>
      </w:r>
      <w:r w:rsidRPr="00E87ABF">
        <w:rPr>
          <w:rFonts w:ascii="Verdana" w:hAnsi="Verdana"/>
          <w:color w:val="000000"/>
          <w:sz w:val="20"/>
          <w:szCs w:val="20"/>
          <w:lang w:val="en"/>
        </w:rPr>
        <w:t xml:space="preserve">which </w:t>
      </w:r>
      <w:r w:rsidR="00B143AC">
        <w:rPr>
          <w:rFonts w:ascii="Verdana" w:hAnsi="Verdana"/>
          <w:color w:val="000000"/>
          <w:sz w:val="20"/>
          <w:szCs w:val="20"/>
          <w:lang w:val="en"/>
        </w:rPr>
        <w:t>was</w:t>
      </w:r>
      <w:r w:rsidRPr="00E87ABF">
        <w:rPr>
          <w:rFonts w:ascii="Verdana" w:hAnsi="Verdana"/>
          <w:color w:val="000000"/>
          <w:sz w:val="20"/>
          <w:szCs w:val="20"/>
          <w:lang w:val="en"/>
        </w:rPr>
        <w:t xml:space="preserve"> correct given the </w:t>
      </w:r>
      <w:r w:rsidR="00B143AC">
        <w:rPr>
          <w:rFonts w:ascii="Verdana" w:hAnsi="Verdana"/>
          <w:color w:val="000000"/>
          <w:sz w:val="20"/>
          <w:szCs w:val="20"/>
          <w:lang w:val="en"/>
        </w:rPr>
        <w:t>nature</w:t>
      </w:r>
      <w:r w:rsidRPr="00E87ABF">
        <w:rPr>
          <w:rFonts w:ascii="Verdana" w:hAnsi="Verdana"/>
          <w:color w:val="000000"/>
          <w:sz w:val="20"/>
          <w:szCs w:val="20"/>
          <w:lang w:val="en"/>
        </w:rPr>
        <w:t xml:space="preserve"> of th</w:t>
      </w:r>
      <w:r w:rsidR="00B143AC">
        <w:rPr>
          <w:rFonts w:ascii="Verdana" w:hAnsi="Verdana"/>
          <w:color w:val="000000"/>
          <w:sz w:val="20"/>
          <w:szCs w:val="20"/>
          <w:lang w:val="en"/>
        </w:rPr>
        <w:t>is</w:t>
      </w:r>
      <w:r w:rsidRPr="00E87ABF">
        <w:rPr>
          <w:rFonts w:ascii="Verdana" w:hAnsi="Verdana"/>
          <w:color w:val="000000"/>
          <w:sz w:val="20"/>
          <w:szCs w:val="20"/>
          <w:lang w:val="en"/>
        </w:rPr>
        <w:t xml:space="preserve"> indicator. </w:t>
      </w:r>
      <w:r w:rsidR="005C0C2B">
        <w:rPr>
          <w:rFonts w:ascii="Verdana" w:hAnsi="Verdana"/>
          <w:color w:val="000000"/>
          <w:sz w:val="20"/>
          <w:szCs w:val="20"/>
          <w:lang w:val="en"/>
        </w:rPr>
        <w:t>As a result,</w:t>
      </w:r>
      <w:r w:rsidRPr="00E87ABF">
        <w:rPr>
          <w:rFonts w:ascii="Verdana" w:hAnsi="Verdana"/>
          <w:color w:val="000000"/>
          <w:sz w:val="20"/>
          <w:szCs w:val="20"/>
          <w:lang w:val="en"/>
        </w:rPr>
        <w:t xml:space="preserve"> no impact indicators at priority axis or programme level </w:t>
      </w:r>
      <w:r w:rsidR="005C0C2B">
        <w:rPr>
          <w:rFonts w:ascii="Verdana" w:hAnsi="Verdana"/>
          <w:color w:val="000000"/>
          <w:sz w:val="20"/>
          <w:szCs w:val="20"/>
          <w:lang w:val="en"/>
        </w:rPr>
        <w:t>were set out at the time of project closure</w:t>
      </w:r>
      <w:r w:rsidRPr="00E87ABF">
        <w:rPr>
          <w:rFonts w:ascii="Verdana" w:hAnsi="Verdana"/>
          <w:color w:val="000000"/>
          <w:sz w:val="20"/>
          <w:szCs w:val="20"/>
          <w:lang w:val="en"/>
        </w:rPr>
        <w:t xml:space="preserve">. </w:t>
      </w:r>
    </w:p>
    <w:p w14:paraId="3526A80D" w14:textId="285DDD42" w:rsidR="00873EF1" w:rsidRPr="00873EF1" w:rsidRDefault="00873EF1" w:rsidP="00873EF1">
      <w:pPr>
        <w:jc w:val="both"/>
        <w:rPr>
          <w:rFonts w:ascii="Verdana" w:eastAsia="Times New Roman" w:hAnsi="Verdana"/>
          <w:sz w:val="20"/>
          <w:szCs w:val="20"/>
          <w:lang w:val="bg-BG" w:eastAsia="bg-BG"/>
        </w:rPr>
      </w:pPr>
      <w:r w:rsidRPr="00873EF1">
        <w:rPr>
          <w:rFonts w:ascii="Verdana" w:hAnsi="Verdana"/>
          <w:sz w:val="20"/>
          <w:szCs w:val="20"/>
          <w:lang w:val="en" w:eastAsia="bg-BG"/>
        </w:rPr>
        <w:fldChar w:fldCharType="begin"/>
      </w:r>
      <w:r w:rsidRPr="00873EF1">
        <w:rPr>
          <w:rFonts w:ascii="Verdana" w:hAnsi="Verdana"/>
          <w:sz w:val="20"/>
          <w:szCs w:val="20"/>
          <w:lang w:val="en" w:eastAsia="bg-BG"/>
        </w:rPr>
        <w:instrText xml:space="preserve"> REF _Ref50296073 \h  \* MERGEFORMAT </w:instrText>
      </w:r>
      <w:r w:rsidRPr="00873EF1">
        <w:rPr>
          <w:rFonts w:ascii="Verdana" w:hAnsi="Verdana"/>
          <w:sz w:val="20"/>
          <w:szCs w:val="20"/>
          <w:lang w:val="en" w:eastAsia="bg-BG"/>
        </w:rPr>
      </w:r>
      <w:r w:rsidRPr="00873EF1">
        <w:rPr>
          <w:rFonts w:ascii="Verdana" w:hAnsi="Verdana"/>
          <w:sz w:val="20"/>
          <w:szCs w:val="20"/>
          <w:lang w:val="en" w:eastAsia="bg-BG"/>
        </w:rPr>
        <w:fldChar w:fldCharType="separate"/>
      </w:r>
      <w:r>
        <w:rPr>
          <w:rFonts w:ascii="Verdana" w:hAnsi="Verdana"/>
          <w:sz w:val="20"/>
          <w:szCs w:val="20"/>
          <w:lang w:val="en" w:eastAsia="bg-BG"/>
        </w:rPr>
        <w:t>T</w:t>
      </w:r>
      <w:r w:rsidRPr="004E5ED7">
        <w:rPr>
          <w:rFonts w:ascii="Verdana" w:hAnsi="Verdana"/>
          <w:b/>
          <w:bCs/>
          <w:sz w:val="20"/>
          <w:szCs w:val="20"/>
          <w:lang w:val="en" w:eastAsia="bg-BG"/>
        </w:rPr>
        <w:t xml:space="preserve">he </w:t>
      </w:r>
      <w:r w:rsidRPr="004E5ED7">
        <w:rPr>
          <w:rFonts w:ascii="Verdana" w:hAnsi="Verdana"/>
          <w:b/>
          <w:bCs/>
          <w:sz w:val="20"/>
          <w:lang w:val="en"/>
        </w:rPr>
        <w:t xml:space="preserve">amendments to the financial plan </w:t>
      </w:r>
      <w:r w:rsidRPr="00873EF1">
        <w:rPr>
          <w:rFonts w:ascii="Verdana" w:hAnsi="Verdana"/>
          <w:sz w:val="20"/>
          <w:lang w:val="en"/>
        </w:rPr>
        <w:t xml:space="preserve">of the </w:t>
      </w:r>
      <w:proofErr w:type="spellStart"/>
      <w:r w:rsidRPr="00873EF1">
        <w:rPr>
          <w:rFonts w:ascii="Verdana" w:hAnsi="Verdana"/>
          <w:sz w:val="20"/>
          <w:lang w:val="en"/>
        </w:rPr>
        <w:t>programme</w:t>
      </w:r>
      <w:proofErr w:type="spellEnd"/>
      <w:r>
        <w:rPr>
          <w:rFonts w:ascii="Verdana" w:hAnsi="Verdana"/>
          <w:sz w:val="20"/>
          <w:lang w:val="en"/>
        </w:rPr>
        <w:t xml:space="preserve"> include</w:t>
      </w:r>
      <w:r w:rsidR="00DE35F3">
        <w:rPr>
          <w:rFonts w:ascii="Verdana" w:hAnsi="Verdana"/>
          <w:sz w:val="20"/>
          <w:lang w:val="en"/>
        </w:rPr>
        <w:t xml:space="preserve"> major</w:t>
      </w:r>
      <w:r w:rsidRPr="00873EF1">
        <w:rPr>
          <w:rFonts w:ascii="Verdana" w:hAnsi="Verdana"/>
          <w:sz w:val="20"/>
          <w:lang w:val="en"/>
        </w:rPr>
        <w:t xml:space="preserve"> change in the share of PA 3 /increase by about 7% compared to the initial share of the</w:t>
      </w:r>
      <w:r w:rsidRPr="00873EF1">
        <w:rPr>
          <w:rFonts w:ascii="Verdana" w:hAnsi="Verdana"/>
          <w:sz w:val="20"/>
          <w:szCs w:val="20"/>
          <w:lang w:val="en" w:eastAsia="bg-BG"/>
        </w:rPr>
        <w:fldChar w:fldCharType="end"/>
      </w:r>
      <w:r w:rsidRPr="00873EF1">
        <w:rPr>
          <w:rFonts w:ascii="Verdana" w:hAnsi="Verdana"/>
          <w:sz w:val="20"/>
          <w:szCs w:val="20"/>
          <w:lang w:val="en" w:eastAsia="bg-BG"/>
        </w:rPr>
        <w:t xml:space="preserve"> priority axis, from 11 to 18%/ and share of PA 4 /decrease by 6 % due to the exclusion of the only major project under 4/.</w:t>
      </w:r>
      <w:r w:rsidR="00874B43">
        <w:rPr>
          <w:rFonts w:ascii="Verdana" w:hAnsi="Verdana"/>
          <w:sz w:val="20"/>
          <w:szCs w:val="20"/>
          <w:lang w:val="en" w:eastAsia="bg-BG"/>
        </w:rPr>
        <w:t xml:space="preserve"> The share of PA 2 has decreased by 5% and</w:t>
      </w:r>
      <w:r w:rsidR="00DC585F">
        <w:rPr>
          <w:rFonts w:ascii="Verdana" w:hAnsi="Verdana"/>
          <w:sz w:val="20"/>
          <w:szCs w:val="20"/>
          <w:lang w:val="en" w:eastAsia="bg-BG"/>
        </w:rPr>
        <w:t xml:space="preserve"> the share of PA 1 has been increased by 4%.</w:t>
      </w:r>
    </w:p>
    <w:p w14:paraId="02F9DC74" w14:textId="77777777" w:rsidR="003962D2" w:rsidRPr="003962D2" w:rsidRDefault="003962D2" w:rsidP="003962D2">
      <w:pPr>
        <w:widowControl w:val="0"/>
        <w:tabs>
          <w:tab w:val="num" w:pos="0"/>
        </w:tabs>
        <w:spacing w:after="0" w:line="240" w:lineRule="auto"/>
        <w:jc w:val="both"/>
        <w:rPr>
          <w:rFonts w:ascii="Verdana" w:eastAsia="Times New Roman" w:hAnsi="Verdana" w:cs="Times New Roman"/>
          <w:bCs/>
          <w:sz w:val="20"/>
          <w:szCs w:val="20"/>
          <w:lang w:val="bg-BG" w:eastAsia="bg-BG"/>
        </w:rPr>
      </w:pPr>
      <w:r w:rsidRPr="003962D2">
        <w:rPr>
          <w:rFonts w:ascii="Verdana" w:hAnsi="Verdana"/>
          <w:bCs/>
          <w:sz w:val="20"/>
          <w:szCs w:val="20"/>
          <w:lang w:val="en" w:eastAsia="bg-BG"/>
        </w:rPr>
        <w:t>In absolute terms, PA 4 has undergone the largest decrease with 78% of the original value (from EUR 156 850 000 to EUR 34 750 000/ due to the exclusion of the large project on the axis. The total increase in</w:t>
      </w:r>
      <w:r w:rsidRPr="003962D2">
        <w:rPr>
          <w:rFonts w:ascii="Verdana" w:hAnsi="Verdana"/>
          <w:bCs/>
          <w:sz w:val="20"/>
          <w:szCs w:val="20"/>
          <w:lang w:val="bg-BG" w:eastAsia="bg-BG"/>
        </w:rPr>
        <w:t xml:space="preserve"> </w:t>
      </w:r>
      <w:r w:rsidRPr="003962D2">
        <w:rPr>
          <w:rFonts w:ascii="Verdana" w:hAnsi="Verdana"/>
          <w:bCs/>
          <w:sz w:val="20"/>
          <w:szCs w:val="20"/>
          <w:lang w:val="en-US" w:eastAsia="bg-BG"/>
        </w:rPr>
        <w:t>PA</w:t>
      </w:r>
      <w:r w:rsidRPr="003962D2">
        <w:rPr>
          <w:rFonts w:ascii="Verdana" w:hAnsi="Verdana"/>
          <w:bCs/>
          <w:sz w:val="20"/>
          <w:szCs w:val="20"/>
          <w:lang w:val="en" w:eastAsia="bg-BG"/>
        </w:rPr>
        <w:t xml:space="preserve"> 3 is by 65% /from EUR 211 093 801 to EUR 343 193 801/ and by 1 – 7 %. A decrease in the value of the budget was realized under </w:t>
      </w:r>
      <w:r w:rsidRPr="003962D2">
        <w:rPr>
          <w:rFonts w:ascii="Verdana" w:hAnsi="Verdana"/>
          <w:bCs/>
          <w:sz w:val="20"/>
          <w:szCs w:val="20"/>
          <w:lang w:val="en-US" w:eastAsia="bg-BG"/>
        </w:rPr>
        <w:t xml:space="preserve">PA </w:t>
      </w:r>
      <w:r w:rsidRPr="003962D2">
        <w:rPr>
          <w:rFonts w:ascii="Verdana" w:hAnsi="Verdana"/>
          <w:bCs/>
          <w:sz w:val="20"/>
          <w:szCs w:val="20"/>
          <w:lang w:val="en" w:eastAsia="bg-BG"/>
        </w:rPr>
        <w:t>2 and 5, respectively by 13% and 15%.</w:t>
      </w:r>
    </w:p>
    <w:p w14:paraId="52BA93FC" w14:textId="77777777" w:rsidR="00523375" w:rsidRPr="00523375" w:rsidRDefault="00523375" w:rsidP="00523375">
      <w:pPr>
        <w:widowControl w:val="0"/>
        <w:tabs>
          <w:tab w:val="num" w:pos="786"/>
        </w:tabs>
        <w:spacing w:after="0" w:line="240" w:lineRule="auto"/>
        <w:ind w:left="700"/>
        <w:jc w:val="both"/>
        <w:rPr>
          <w:rFonts w:ascii="Verdana" w:eastAsia="Times New Roman" w:hAnsi="Verdana" w:cs="Times New Roman"/>
          <w:bCs/>
          <w:sz w:val="20"/>
          <w:szCs w:val="20"/>
          <w:lang w:val="bg-BG" w:eastAsia="bg-BG"/>
        </w:rPr>
      </w:pPr>
    </w:p>
    <w:p w14:paraId="5ACC1086" w14:textId="77777777" w:rsidR="00523375" w:rsidRPr="00523375" w:rsidRDefault="00523375" w:rsidP="00523375">
      <w:pPr>
        <w:widowControl w:val="0"/>
        <w:tabs>
          <w:tab w:val="num" w:pos="786"/>
        </w:tabs>
        <w:spacing w:after="0" w:line="240" w:lineRule="auto"/>
        <w:jc w:val="both"/>
        <w:rPr>
          <w:rFonts w:ascii="Verdana" w:eastAsia="Times New Roman" w:hAnsi="Verdana" w:cs="Times New Roman"/>
          <w:bCs/>
          <w:sz w:val="20"/>
          <w:szCs w:val="20"/>
          <w:lang w:val="bg-BG" w:eastAsia="bg-BG"/>
        </w:rPr>
      </w:pPr>
      <w:r w:rsidRPr="00523375">
        <w:rPr>
          <w:rFonts w:ascii="Verdana" w:hAnsi="Verdana"/>
          <w:noProof/>
          <w:sz w:val="20"/>
          <w:lang w:val="bg-BG" w:eastAsia="bg-BG"/>
        </w:rPr>
        <w:lastRenderedPageBreak/>
        <mc:AlternateContent>
          <mc:Choice Requires="wps">
            <w:drawing>
              <wp:anchor distT="0" distB="0" distL="114300" distR="114300" simplePos="0" relativeHeight="251676160" behindDoc="1" locked="0" layoutInCell="1" allowOverlap="1" wp14:anchorId="3CAD17E4" wp14:editId="577A6A61">
                <wp:simplePos x="0" y="0"/>
                <wp:positionH relativeFrom="column">
                  <wp:posOffset>186055</wp:posOffset>
                </wp:positionH>
                <wp:positionV relativeFrom="paragraph">
                  <wp:posOffset>15240</wp:posOffset>
                </wp:positionV>
                <wp:extent cx="5334000" cy="457200"/>
                <wp:effectExtent l="0" t="0" r="0" b="0"/>
                <wp:wrapTight wrapText="bothSides">
                  <wp:wrapPolygon edited="0">
                    <wp:start x="0" y="0"/>
                    <wp:lineTo x="0" y="20700"/>
                    <wp:lineTo x="21523" y="20700"/>
                    <wp:lineTo x="21523" y="0"/>
                    <wp:lineTo x="0" y="0"/>
                  </wp:wrapPolygon>
                </wp:wrapTight>
                <wp:docPr id="15" name="Text Box 15"/>
                <wp:cNvGraphicFramePr/>
                <a:graphic xmlns:a="http://schemas.openxmlformats.org/drawingml/2006/main">
                  <a:graphicData uri="http://schemas.microsoft.com/office/word/2010/wordprocessingShape">
                    <wps:wsp>
                      <wps:cNvSpPr txBox="1"/>
                      <wps:spPr>
                        <a:xfrm>
                          <a:off x="0" y="0"/>
                          <a:ext cx="5334000" cy="457200"/>
                        </a:xfrm>
                        <a:prstGeom prst="rect">
                          <a:avLst/>
                        </a:prstGeom>
                        <a:solidFill>
                          <a:prstClr val="white"/>
                        </a:solidFill>
                        <a:ln>
                          <a:noFill/>
                        </a:ln>
                      </wps:spPr>
                      <wps:txbx>
                        <w:txbxContent>
                          <w:p w14:paraId="72B63274" w14:textId="6A2848EF" w:rsidR="00424BA0" w:rsidRPr="00523375" w:rsidRDefault="00424BA0" w:rsidP="00523375">
                            <w:pPr>
                              <w:pStyle w:val="Caption"/>
                              <w:rPr>
                                <w:rFonts w:ascii="Verdana" w:hAnsi="Verdana"/>
                                <w:noProof/>
                                <w:sz w:val="20"/>
                                <w:szCs w:val="20"/>
                              </w:rPr>
                            </w:pPr>
                            <w:bookmarkStart w:id="61" w:name="_Toc62475910"/>
                            <w:bookmarkStart w:id="62" w:name="_Toc62724855"/>
                            <w:r w:rsidRPr="00523375">
                              <w:rPr>
                                <w:rFonts w:ascii="Verdana" w:hAnsi="Verdana"/>
                                <w:sz w:val="20"/>
                                <w:szCs w:val="20"/>
                              </w:rPr>
                              <w:t xml:space="preserve">Figure </w:t>
                            </w:r>
                            <w:r>
                              <w:rPr>
                                <w:rFonts w:ascii="Verdana" w:hAnsi="Verdana"/>
                                <w:sz w:val="20"/>
                                <w:szCs w:val="20"/>
                              </w:rPr>
                              <w:fldChar w:fldCharType="begin"/>
                            </w:r>
                            <w:r>
                              <w:rPr>
                                <w:rFonts w:ascii="Verdana" w:hAnsi="Verdana"/>
                                <w:sz w:val="20"/>
                                <w:szCs w:val="20"/>
                              </w:rPr>
                              <w:instrText xml:space="preserve"> STYLEREF 1 \s </w:instrText>
                            </w:r>
                            <w:r>
                              <w:rPr>
                                <w:rFonts w:ascii="Verdana" w:hAnsi="Verdana"/>
                                <w:sz w:val="20"/>
                                <w:szCs w:val="20"/>
                              </w:rPr>
                              <w:fldChar w:fldCharType="separate"/>
                            </w:r>
                            <w:r>
                              <w:rPr>
                                <w:rFonts w:ascii="Verdana" w:hAnsi="Verdana"/>
                                <w:noProof/>
                                <w:sz w:val="20"/>
                                <w:szCs w:val="20"/>
                              </w:rPr>
                              <w:t>IV.3</w:t>
                            </w:r>
                            <w:r>
                              <w:rPr>
                                <w:rFonts w:ascii="Verdana" w:hAnsi="Verdana"/>
                                <w:sz w:val="20"/>
                                <w:szCs w:val="20"/>
                              </w:rPr>
                              <w:fldChar w:fldCharType="end"/>
                            </w:r>
                            <w:r>
                              <w:rPr>
                                <w:rFonts w:ascii="Verdana" w:hAnsi="Verdana"/>
                                <w:sz w:val="20"/>
                                <w:szCs w:val="20"/>
                              </w:rPr>
                              <w:noBreakHyphen/>
                            </w:r>
                            <w:r>
                              <w:rPr>
                                <w:rFonts w:ascii="Verdana" w:hAnsi="Verdana"/>
                                <w:sz w:val="20"/>
                                <w:szCs w:val="20"/>
                              </w:rPr>
                              <w:fldChar w:fldCharType="begin"/>
                            </w:r>
                            <w:r>
                              <w:rPr>
                                <w:rFonts w:ascii="Verdana" w:hAnsi="Verdana"/>
                                <w:sz w:val="20"/>
                                <w:szCs w:val="20"/>
                              </w:rPr>
                              <w:instrText xml:space="preserve"> SEQ Figure \* ARABIC \s 1 </w:instrText>
                            </w:r>
                            <w:r>
                              <w:rPr>
                                <w:rFonts w:ascii="Verdana" w:hAnsi="Verdana"/>
                                <w:sz w:val="20"/>
                                <w:szCs w:val="20"/>
                              </w:rPr>
                              <w:fldChar w:fldCharType="separate"/>
                            </w:r>
                            <w:r>
                              <w:rPr>
                                <w:rFonts w:ascii="Verdana" w:hAnsi="Verdana"/>
                                <w:noProof/>
                                <w:sz w:val="20"/>
                                <w:szCs w:val="20"/>
                              </w:rPr>
                              <w:t>1</w:t>
                            </w:r>
                            <w:r>
                              <w:rPr>
                                <w:rFonts w:ascii="Verdana" w:hAnsi="Verdana"/>
                                <w:sz w:val="20"/>
                                <w:szCs w:val="20"/>
                              </w:rPr>
                              <w:fldChar w:fldCharType="end"/>
                            </w:r>
                            <w:r w:rsidRPr="00523375">
                              <w:rPr>
                                <w:rFonts w:ascii="Verdana" w:hAnsi="Verdana"/>
                                <w:sz w:val="20"/>
                                <w:szCs w:val="20"/>
                                <w:lang w:val="bg-BG"/>
                              </w:rPr>
                              <w:t xml:space="preserve"> </w:t>
                            </w:r>
                            <w:proofErr w:type="spellStart"/>
                            <w:r w:rsidRPr="00523375">
                              <w:rPr>
                                <w:rFonts w:ascii="Verdana" w:hAnsi="Verdana"/>
                                <w:sz w:val="20"/>
                                <w:szCs w:val="20"/>
                                <w:lang w:val="bg-BG"/>
                              </w:rPr>
                              <w:t>Amendments</w:t>
                            </w:r>
                            <w:proofErr w:type="spellEnd"/>
                            <w:r w:rsidRPr="00523375">
                              <w:rPr>
                                <w:rFonts w:ascii="Verdana" w:hAnsi="Verdana"/>
                                <w:sz w:val="20"/>
                                <w:szCs w:val="20"/>
                                <w:lang w:val="bg-BG"/>
                              </w:rPr>
                              <w:t xml:space="preserve"> </w:t>
                            </w:r>
                            <w:proofErr w:type="spellStart"/>
                            <w:r w:rsidRPr="00523375">
                              <w:rPr>
                                <w:rFonts w:ascii="Verdana" w:hAnsi="Verdana"/>
                                <w:sz w:val="20"/>
                                <w:szCs w:val="20"/>
                                <w:lang w:val="bg-BG"/>
                              </w:rPr>
                              <w:t>to</w:t>
                            </w:r>
                            <w:proofErr w:type="spellEnd"/>
                            <w:r w:rsidRPr="00523375">
                              <w:rPr>
                                <w:rFonts w:ascii="Verdana" w:hAnsi="Verdana"/>
                                <w:sz w:val="20"/>
                                <w:szCs w:val="20"/>
                                <w:lang w:val="bg-BG"/>
                              </w:rPr>
                              <w:t xml:space="preserve"> </w:t>
                            </w:r>
                            <w:proofErr w:type="spellStart"/>
                            <w:r w:rsidRPr="00523375">
                              <w:rPr>
                                <w:rFonts w:ascii="Verdana" w:hAnsi="Verdana"/>
                                <w:sz w:val="20"/>
                                <w:szCs w:val="20"/>
                                <w:lang w:val="bg-BG"/>
                              </w:rPr>
                              <w:t>the</w:t>
                            </w:r>
                            <w:proofErr w:type="spellEnd"/>
                            <w:r w:rsidRPr="00523375">
                              <w:rPr>
                                <w:rFonts w:ascii="Verdana" w:hAnsi="Verdana"/>
                                <w:sz w:val="20"/>
                                <w:szCs w:val="20"/>
                                <w:lang w:val="bg-BG"/>
                              </w:rPr>
                              <w:t xml:space="preserve"> </w:t>
                            </w:r>
                            <w:proofErr w:type="spellStart"/>
                            <w:r w:rsidRPr="00523375">
                              <w:rPr>
                                <w:rFonts w:ascii="Verdana" w:hAnsi="Verdana"/>
                                <w:sz w:val="20"/>
                                <w:szCs w:val="20"/>
                                <w:lang w:val="bg-BG"/>
                              </w:rPr>
                              <w:t>financial</w:t>
                            </w:r>
                            <w:proofErr w:type="spellEnd"/>
                            <w:r w:rsidRPr="00523375">
                              <w:rPr>
                                <w:rFonts w:ascii="Verdana" w:hAnsi="Verdana"/>
                                <w:sz w:val="20"/>
                                <w:szCs w:val="20"/>
                                <w:lang w:val="bg-BG"/>
                              </w:rPr>
                              <w:t xml:space="preserve"> </w:t>
                            </w:r>
                            <w:proofErr w:type="spellStart"/>
                            <w:r w:rsidRPr="00523375">
                              <w:rPr>
                                <w:rFonts w:ascii="Verdana" w:hAnsi="Verdana"/>
                                <w:sz w:val="20"/>
                                <w:szCs w:val="20"/>
                                <w:lang w:val="bg-BG"/>
                              </w:rPr>
                              <w:t>plan</w:t>
                            </w:r>
                            <w:proofErr w:type="spellEnd"/>
                            <w:r w:rsidRPr="00523375">
                              <w:rPr>
                                <w:rFonts w:ascii="Verdana" w:hAnsi="Verdana"/>
                                <w:sz w:val="20"/>
                                <w:szCs w:val="20"/>
                                <w:lang w:val="bg-BG"/>
                              </w:rPr>
                              <w:t xml:space="preserve"> </w:t>
                            </w:r>
                            <w:proofErr w:type="spellStart"/>
                            <w:r w:rsidRPr="00523375">
                              <w:rPr>
                                <w:rFonts w:ascii="Verdana" w:hAnsi="Verdana"/>
                                <w:sz w:val="20"/>
                                <w:szCs w:val="20"/>
                                <w:lang w:val="bg-BG"/>
                              </w:rPr>
                              <w:t>of</w:t>
                            </w:r>
                            <w:proofErr w:type="spellEnd"/>
                            <w:r w:rsidRPr="00523375">
                              <w:rPr>
                                <w:rFonts w:ascii="Verdana" w:hAnsi="Verdana"/>
                                <w:sz w:val="20"/>
                                <w:szCs w:val="20"/>
                                <w:lang w:val="bg-BG"/>
                              </w:rPr>
                              <w:t xml:space="preserve"> </w:t>
                            </w:r>
                            <w:proofErr w:type="spellStart"/>
                            <w:r w:rsidRPr="00523375">
                              <w:rPr>
                                <w:rFonts w:ascii="Verdana" w:hAnsi="Verdana"/>
                                <w:sz w:val="20"/>
                                <w:szCs w:val="20"/>
                                <w:lang w:val="bg-BG"/>
                              </w:rPr>
                              <w:t>the</w:t>
                            </w:r>
                            <w:proofErr w:type="spellEnd"/>
                            <w:r w:rsidRPr="00523375">
                              <w:rPr>
                                <w:rFonts w:ascii="Verdana" w:hAnsi="Verdana"/>
                                <w:sz w:val="20"/>
                                <w:szCs w:val="20"/>
                                <w:lang w:val="bg-BG"/>
                              </w:rPr>
                              <w:t xml:space="preserve"> </w:t>
                            </w:r>
                            <w:proofErr w:type="spellStart"/>
                            <w:r w:rsidRPr="00523375">
                              <w:rPr>
                                <w:rFonts w:ascii="Verdana" w:hAnsi="Verdana"/>
                                <w:sz w:val="20"/>
                                <w:szCs w:val="20"/>
                                <w:lang w:val="bg-BG"/>
                              </w:rPr>
                              <w:t>programme</w:t>
                            </w:r>
                            <w:bookmarkEnd w:id="61"/>
                            <w:bookmarkEnd w:id="62"/>
                            <w:proofErr w:type="spellEnd"/>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w:pict>
              <v:shape w14:anchorId="3CAD17E4" id="Text Box 15" o:spid="_x0000_s1032" type="#_x0000_t202" style="position:absolute;left:0;text-align:left;margin-left:14.65pt;margin-top:1.2pt;width:420pt;height:36pt;z-index:-2516403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" stroked="f">
                <v:textbox inset="0,0,0,0">
                  <w:txbxContent>
                    <w:p w14:paraId="72B63274" w14:textId="6A2848EF" w:rsidR="00424BA0" w:rsidRPr="00523375" w:rsidRDefault="00424BA0" w:rsidP="00523375">
                      <w:pPr>
                        <w:pStyle w:val="Caption"/>
                        <w:rPr>
                          <w:rFonts w:ascii="Verdana" w:hAnsi="Verdana"/>
                          <w:noProof/>
                          <w:sz w:val="20"/>
                          <w:szCs w:val="20"/>
                        </w:rPr>
                      </w:pPr>
                      <w:bookmarkStart w:id="63" w:name="_Toc62475910"/>
                      <w:bookmarkStart w:id="64" w:name="_Toc62724855"/>
                      <w:r w:rsidRPr="00523375">
                        <w:rPr>
                          <w:rFonts w:ascii="Verdana" w:hAnsi="Verdana"/>
                          <w:sz w:val="20"/>
                          <w:szCs w:val="20"/>
                        </w:rPr>
                        <w:t xml:space="preserve">Figure </w:t>
                      </w:r>
                      <w:r>
                        <w:rPr>
                          <w:rFonts w:ascii="Verdana" w:hAnsi="Verdana"/>
                          <w:sz w:val="20"/>
                          <w:szCs w:val="20"/>
                        </w:rPr>
                        <w:fldChar w:fldCharType="begin"/>
                      </w:r>
                      <w:r>
                        <w:rPr>
                          <w:rFonts w:ascii="Verdana" w:hAnsi="Verdana"/>
                          <w:sz w:val="20"/>
                          <w:szCs w:val="20"/>
                        </w:rPr>
                        <w:instrText xml:space="preserve"> STYLEREF 1 \s </w:instrText>
                      </w:r>
                      <w:r>
                        <w:rPr>
                          <w:rFonts w:ascii="Verdana" w:hAnsi="Verdana"/>
                          <w:sz w:val="20"/>
                          <w:szCs w:val="20"/>
                        </w:rPr>
                        <w:fldChar w:fldCharType="separate"/>
                      </w:r>
                      <w:r>
                        <w:rPr>
                          <w:rFonts w:ascii="Verdana" w:hAnsi="Verdana"/>
                          <w:noProof/>
                          <w:sz w:val="20"/>
                          <w:szCs w:val="20"/>
                        </w:rPr>
                        <w:t>IV.3</w:t>
                      </w:r>
                      <w:r>
                        <w:rPr>
                          <w:rFonts w:ascii="Verdana" w:hAnsi="Verdana"/>
                          <w:sz w:val="20"/>
                          <w:szCs w:val="20"/>
                        </w:rPr>
                        <w:fldChar w:fldCharType="end"/>
                      </w:r>
                      <w:r>
                        <w:rPr>
                          <w:rFonts w:ascii="Verdana" w:hAnsi="Verdana"/>
                          <w:sz w:val="20"/>
                          <w:szCs w:val="20"/>
                        </w:rPr>
                        <w:noBreakHyphen/>
                      </w:r>
                      <w:r>
                        <w:rPr>
                          <w:rFonts w:ascii="Verdana" w:hAnsi="Verdana"/>
                          <w:sz w:val="20"/>
                          <w:szCs w:val="20"/>
                        </w:rPr>
                        <w:fldChar w:fldCharType="begin"/>
                      </w:r>
                      <w:r>
                        <w:rPr>
                          <w:rFonts w:ascii="Verdana" w:hAnsi="Verdana"/>
                          <w:sz w:val="20"/>
                          <w:szCs w:val="20"/>
                        </w:rPr>
                        <w:instrText xml:space="preserve"> SEQ Figure \* ARABIC \s 1 </w:instrText>
                      </w:r>
                      <w:r>
                        <w:rPr>
                          <w:rFonts w:ascii="Verdana" w:hAnsi="Verdana"/>
                          <w:sz w:val="20"/>
                          <w:szCs w:val="20"/>
                        </w:rPr>
                        <w:fldChar w:fldCharType="separate"/>
                      </w:r>
                      <w:r>
                        <w:rPr>
                          <w:rFonts w:ascii="Verdana" w:hAnsi="Verdana"/>
                          <w:noProof/>
                          <w:sz w:val="20"/>
                          <w:szCs w:val="20"/>
                        </w:rPr>
                        <w:t>1</w:t>
                      </w:r>
                      <w:r>
                        <w:rPr>
                          <w:rFonts w:ascii="Verdana" w:hAnsi="Verdana"/>
                          <w:sz w:val="20"/>
                          <w:szCs w:val="20"/>
                        </w:rPr>
                        <w:fldChar w:fldCharType="end"/>
                      </w:r>
                      <w:r w:rsidRPr="00523375">
                        <w:rPr>
                          <w:rFonts w:ascii="Verdana" w:hAnsi="Verdana"/>
                          <w:sz w:val="20"/>
                          <w:szCs w:val="20"/>
                          <w:lang w:val="bg-BG"/>
                        </w:rPr>
                        <w:t xml:space="preserve"> </w:t>
                      </w:r>
                      <w:proofErr w:type="spellStart"/>
                      <w:r w:rsidRPr="00523375">
                        <w:rPr>
                          <w:rFonts w:ascii="Verdana" w:hAnsi="Verdana"/>
                          <w:sz w:val="20"/>
                          <w:szCs w:val="20"/>
                          <w:lang w:val="bg-BG"/>
                        </w:rPr>
                        <w:t>Amendments</w:t>
                      </w:r>
                      <w:proofErr w:type="spellEnd"/>
                      <w:r w:rsidRPr="00523375">
                        <w:rPr>
                          <w:rFonts w:ascii="Verdana" w:hAnsi="Verdana"/>
                          <w:sz w:val="20"/>
                          <w:szCs w:val="20"/>
                          <w:lang w:val="bg-BG"/>
                        </w:rPr>
                        <w:t xml:space="preserve"> </w:t>
                      </w:r>
                      <w:proofErr w:type="spellStart"/>
                      <w:r w:rsidRPr="00523375">
                        <w:rPr>
                          <w:rFonts w:ascii="Verdana" w:hAnsi="Verdana"/>
                          <w:sz w:val="20"/>
                          <w:szCs w:val="20"/>
                          <w:lang w:val="bg-BG"/>
                        </w:rPr>
                        <w:t>to</w:t>
                      </w:r>
                      <w:proofErr w:type="spellEnd"/>
                      <w:r w:rsidRPr="00523375">
                        <w:rPr>
                          <w:rFonts w:ascii="Verdana" w:hAnsi="Verdana"/>
                          <w:sz w:val="20"/>
                          <w:szCs w:val="20"/>
                          <w:lang w:val="bg-BG"/>
                        </w:rPr>
                        <w:t xml:space="preserve"> </w:t>
                      </w:r>
                      <w:proofErr w:type="spellStart"/>
                      <w:r w:rsidRPr="00523375">
                        <w:rPr>
                          <w:rFonts w:ascii="Verdana" w:hAnsi="Verdana"/>
                          <w:sz w:val="20"/>
                          <w:szCs w:val="20"/>
                          <w:lang w:val="bg-BG"/>
                        </w:rPr>
                        <w:t>the</w:t>
                      </w:r>
                      <w:proofErr w:type="spellEnd"/>
                      <w:r w:rsidRPr="00523375">
                        <w:rPr>
                          <w:rFonts w:ascii="Verdana" w:hAnsi="Verdana"/>
                          <w:sz w:val="20"/>
                          <w:szCs w:val="20"/>
                          <w:lang w:val="bg-BG"/>
                        </w:rPr>
                        <w:t xml:space="preserve"> </w:t>
                      </w:r>
                      <w:proofErr w:type="spellStart"/>
                      <w:r w:rsidRPr="00523375">
                        <w:rPr>
                          <w:rFonts w:ascii="Verdana" w:hAnsi="Verdana"/>
                          <w:sz w:val="20"/>
                          <w:szCs w:val="20"/>
                          <w:lang w:val="bg-BG"/>
                        </w:rPr>
                        <w:t>financial</w:t>
                      </w:r>
                      <w:proofErr w:type="spellEnd"/>
                      <w:r w:rsidRPr="00523375">
                        <w:rPr>
                          <w:rFonts w:ascii="Verdana" w:hAnsi="Verdana"/>
                          <w:sz w:val="20"/>
                          <w:szCs w:val="20"/>
                          <w:lang w:val="bg-BG"/>
                        </w:rPr>
                        <w:t xml:space="preserve"> </w:t>
                      </w:r>
                      <w:proofErr w:type="spellStart"/>
                      <w:r w:rsidRPr="00523375">
                        <w:rPr>
                          <w:rFonts w:ascii="Verdana" w:hAnsi="Verdana"/>
                          <w:sz w:val="20"/>
                          <w:szCs w:val="20"/>
                          <w:lang w:val="bg-BG"/>
                        </w:rPr>
                        <w:t>plan</w:t>
                      </w:r>
                      <w:proofErr w:type="spellEnd"/>
                      <w:r w:rsidRPr="00523375">
                        <w:rPr>
                          <w:rFonts w:ascii="Verdana" w:hAnsi="Verdana"/>
                          <w:sz w:val="20"/>
                          <w:szCs w:val="20"/>
                          <w:lang w:val="bg-BG"/>
                        </w:rPr>
                        <w:t xml:space="preserve"> </w:t>
                      </w:r>
                      <w:proofErr w:type="spellStart"/>
                      <w:r w:rsidRPr="00523375">
                        <w:rPr>
                          <w:rFonts w:ascii="Verdana" w:hAnsi="Verdana"/>
                          <w:sz w:val="20"/>
                          <w:szCs w:val="20"/>
                          <w:lang w:val="bg-BG"/>
                        </w:rPr>
                        <w:t>of</w:t>
                      </w:r>
                      <w:proofErr w:type="spellEnd"/>
                      <w:r w:rsidRPr="00523375">
                        <w:rPr>
                          <w:rFonts w:ascii="Verdana" w:hAnsi="Verdana"/>
                          <w:sz w:val="20"/>
                          <w:szCs w:val="20"/>
                          <w:lang w:val="bg-BG"/>
                        </w:rPr>
                        <w:t xml:space="preserve"> </w:t>
                      </w:r>
                      <w:proofErr w:type="spellStart"/>
                      <w:r w:rsidRPr="00523375">
                        <w:rPr>
                          <w:rFonts w:ascii="Verdana" w:hAnsi="Verdana"/>
                          <w:sz w:val="20"/>
                          <w:szCs w:val="20"/>
                          <w:lang w:val="bg-BG"/>
                        </w:rPr>
                        <w:t>the</w:t>
                      </w:r>
                      <w:proofErr w:type="spellEnd"/>
                      <w:r w:rsidRPr="00523375">
                        <w:rPr>
                          <w:rFonts w:ascii="Verdana" w:hAnsi="Verdana"/>
                          <w:sz w:val="20"/>
                          <w:szCs w:val="20"/>
                          <w:lang w:val="bg-BG"/>
                        </w:rPr>
                        <w:t xml:space="preserve"> </w:t>
                      </w:r>
                      <w:proofErr w:type="spellStart"/>
                      <w:r w:rsidRPr="00523375">
                        <w:rPr>
                          <w:rFonts w:ascii="Verdana" w:hAnsi="Verdana"/>
                          <w:sz w:val="20"/>
                          <w:szCs w:val="20"/>
                          <w:lang w:val="bg-BG"/>
                        </w:rPr>
                        <w:t>programme</w:t>
                      </w:r>
                      <w:bookmarkEnd w:id="63"/>
                      <w:bookmarkEnd w:id="64"/>
                      <w:proofErr w:type="spellEnd"/>
                    </w:p>
                  </w:txbxContent>
                </v:textbox>
                <w10:wrap type="tight"/>
              </v:shape>
            </w:pict>
          </mc:Fallback>
        </mc:AlternateContent>
      </w:r>
      <w:r w:rsidRPr="00523375">
        <w:rPr>
          <w:rFonts w:ascii="Verdana" w:hAnsi="Verdana"/>
          <w:noProof/>
          <w:sz w:val="20"/>
          <w:lang w:val="bg-BG" w:eastAsia="bg-BG"/>
        </w:rPr>
        <w:drawing>
          <wp:anchor distT="0" distB="0" distL="114300" distR="114300" simplePos="0" relativeHeight="251672064" behindDoc="1" locked="0" layoutInCell="1" allowOverlap="1" wp14:anchorId="0E50024D" wp14:editId="2181F44D">
            <wp:simplePos x="0" y="0"/>
            <wp:positionH relativeFrom="column">
              <wp:posOffset>186055</wp:posOffset>
            </wp:positionH>
            <wp:positionV relativeFrom="paragraph">
              <wp:posOffset>472440</wp:posOffset>
            </wp:positionV>
            <wp:extent cx="5334000" cy="4686300"/>
            <wp:effectExtent l="0" t="0" r="0" b="0"/>
            <wp:wrapTight wrapText="bothSides">
              <wp:wrapPolygon edited="0">
                <wp:start x="0" y="0"/>
                <wp:lineTo x="0" y="21512"/>
                <wp:lineTo x="21523" y="21512"/>
                <wp:lineTo x="21523" y="0"/>
                <wp:lineTo x="0" y="0"/>
              </wp:wrapPolygon>
            </wp:wrapTight>
            <wp:docPr id="59" name="Chart 59">
              <a:extLst xmlns:a="http://schemas.openxmlformats.org/drawingml/2006/main">
                <a:ext uri="{FF2B5EF4-FFF2-40B4-BE49-F238E27FC236}">
                  <a16:creationId xmlns:a16="http://schemas.microsoft.com/office/drawing/2014/main" id="{E1FB61E0-40BE-4E97-BB85-5234A4755C8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14:sizeRelH relativeFrom="margin">
              <wp14:pctWidth>0</wp14:pctWidth>
            </wp14:sizeRelH>
            <wp14:sizeRelV relativeFrom="margin">
              <wp14:pctHeight>0</wp14:pctHeight>
            </wp14:sizeRelV>
          </wp:anchor>
        </w:drawing>
      </w:r>
    </w:p>
    <w:p w14:paraId="61A2C6AF" w14:textId="77777777" w:rsidR="00523375" w:rsidRPr="00523375" w:rsidRDefault="00523375" w:rsidP="00523375">
      <w:pPr>
        <w:widowControl w:val="0"/>
        <w:tabs>
          <w:tab w:val="num" w:pos="786"/>
        </w:tabs>
        <w:spacing w:after="0" w:line="240" w:lineRule="auto"/>
        <w:jc w:val="both"/>
        <w:rPr>
          <w:rFonts w:ascii="Verdana" w:eastAsia="Times New Roman" w:hAnsi="Verdana" w:cs="Times New Roman"/>
          <w:bCs/>
          <w:i/>
          <w:iCs/>
          <w:sz w:val="20"/>
          <w:szCs w:val="20"/>
          <w:lang w:val="bg-BG" w:eastAsia="bg-BG"/>
        </w:rPr>
      </w:pPr>
      <w:r w:rsidRPr="00523375">
        <w:rPr>
          <w:rFonts w:ascii="Verdana" w:hAnsi="Verdana"/>
          <w:bCs/>
          <w:i/>
          <w:iCs/>
          <w:sz w:val="20"/>
          <w:szCs w:val="20"/>
          <w:lang w:val="en" w:eastAsia="bg-BG"/>
        </w:rPr>
        <w:t>Source: Initial version of OPT and programme modifications</w:t>
      </w:r>
    </w:p>
    <w:p w14:paraId="70A0A0FF" w14:textId="3D9E8B73" w:rsidR="0058232E" w:rsidRPr="00F50700" w:rsidRDefault="0058232E" w:rsidP="00523375">
      <w:pPr>
        <w:widowControl w:val="0"/>
        <w:tabs>
          <w:tab w:val="num" w:pos="0"/>
        </w:tabs>
        <w:spacing w:after="0" w:line="240" w:lineRule="auto"/>
        <w:jc w:val="both"/>
        <w:rPr>
          <w:rFonts w:ascii="Verdana" w:eastAsia="Times New Roman" w:hAnsi="Verdana" w:cs="Times New Roman"/>
          <w:bCs/>
          <w:i/>
          <w:iCs/>
          <w:sz w:val="20"/>
          <w:szCs w:val="20"/>
          <w:lang w:val="bg-BG" w:eastAsia="bg-BG"/>
        </w:rPr>
      </w:pPr>
    </w:p>
    <w:p w14:paraId="3545D44B" w14:textId="008E2041" w:rsidR="0058232E" w:rsidRPr="00AE1B00" w:rsidRDefault="0058232E" w:rsidP="00270BCB">
      <w:pPr>
        <w:widowControl w:val="0"/>
        <w:tabs>
          <w:tab w:val="num" w:pos="0"/>
        </w:tabs>
        <w:spacing w:after="0" w:line="240" w:lineRule="auto"/>
        <w:jc w:val="both"/>
        <w:rPr>
          <w:rFonts w:ascii="Verdana" w:eastAsia="Times New Roman" w:hAnsi="Verdana" w:cs="Times New Roman"/>
          <w:bCs/>
          <w:sz w:val="20"/>
          <w:szCs w:val="20"/>
          <w:lang w:val="bg-BG" w:eastAsia="bg-BG"/>
        </w:rPr>
      </w:pPr>
    </w:p>
    <w:p w14:paraId="1AE48475" w14:textId="3BCEBAA2" w:rsidR="00D87B7F" w:rsidRPr="00D87B7F" w:rsidRDefault="00D87B7F" w:rsidP="00D87B7F">
      <w:pPr>
        <w:widowControl w:val="0"/>
        <w:tabs>
          <w:tab w:val="num" w:pos="786"/>
        </w:tabs>
        <w:spacing w:after="0" w:line="240" w:lineRule="auto"/>
        <w:jc w:val="both"/>
        <w:rPr>
          <w:rFonts w:ascii="Verdana" w:eastAsia="Times New Roman" w:hAnsi="Verdana" w:cs="Times New Roman"/>
          <w:bCs/>
          <w:sz w:val="20"/>
          <w:szCs w:val="20"/>
          <w:lang w:val="bg-BG" w:eastAsia="bg-BG"/>
        </w:rPr>
      </w:pPr>
      <w:r w:rsidRPr="00D87B7F">
        <w:rPr>
          <w:rFonts w:ascii="Verdana" w:hAnsi="Verdana"/>
          <w:bCs/>
          <w:sz w:val="20"/>
          <w:szCs w:val="20"/>
          <w:lang w:val="en" w:eastAsia="bg-BG"/>
        </w:rPr>
        <w:t xml:space="preserve">The changes in the indicative breakdown by </w:t>
      </w:r>
      <w:r w:rsidRPr="004E5ED7">
        <w:rPr>
          <w:rFonts w:ascii="Verdana" w:hAnsi="Verdana"/>
          <w:b/>
          <w:sz w:val="20"/>
          <w:szCs w:val="20"/>
          <w:lang w:val="en" w:eastAsia="bg-BG"/>
        </w:rPr>
        <w:t>priority themes</w:t>
      </w:r>
      <w:r w:rsidRPr="00D87B7F">
        <w:rPr>
          <w:rFonts w:ascii="Verdana" w:hAnsi="Verdana"/>
          <w:bCs/>
          <w:sz w:val="20"/>
          <w:szCs w:val="20"/>
          <w:lang w:val="en" w:eastAsia="bg-BG"/>
        </w:rPr>
        <w:t xml:space="preserve"> are shown on Figure IV-3.3.-2. Substantial reductions were observed in categories Railway TEN-T (from EUR 341.3 million to EUR 341.3 </w:t>
      </w:r>
      <w:proofErr w:type="spellStart"/>
      <w:r w:rsidRPr="00D87B7F">
        <w:rPr>
          <w:rFonts w:ascii="Verdana" w:hAnsi="Verdana"/>
          <w:bCs/>
          <w:sz w:val="20"/>
          <w:szCs w:val="20"/>
          <w:lang w:val="en" w:eastAsia="bg-BG"/>
        </w:rPr>
        <w:t>mln</w:t>
      </w:r>
      <w:proofErr w:type="spellEnd"/>
      <w:r w:rsidR="004E5ED7">
        <w:rPr>
          <w:rFonts w:ascii="Verdana" w:hAnsi="Verdana"/>
          <w:bCs/>
          <w:sz w:val="20"/>
          <w:szCs w:val="20"/>
          <w:lang w:val="en" w:eastAsia="bg-BG"/>
        </w:rPr>
        <w:t>.</w:t>
      </w:r>
      <w:r w:rsidRPr="00D87B7F">
        <w:rPr>
          <w:rFonts w:ascii="Verdana" w:hAnsi="Verdana"/>
          <w:bCs/>
          <w:sz w:val="20"/>
          <w:szCs w:val="20"/>
          <w:lang w:val="en" w:eastAsia="bg-BG"/>
        </w:rPr>
        <w:t>, or by 26%), National Roads /from EUR 144.6 million to EUR 53.4 million, or by 63%/ and Inland Waterways from</w:t>
      </w:r>
      <w:r w:rsidRPr="00D87B7F">
        <w:rPr>
          <w:rFonts w:ascii="Verdana" w:hAnsi="Verdana"/>
          <w:sz w:val="20"/>
          <w:szCs w:val="20"/>
          <w:lang w:val="en"/>
        </w:rPr>
        <w:t xml:space="preserve"> </w:t>
      </w:r>
      <w:r w:rsidRPr="00D87B7F">
        <w:rPr>
          <w:rFonts w:ascii="Verdana" w:hAnsi="Verdana"/>
          <w:bCs/>
          <w:sz w:val="20"/>
          <w:szCs w:val="20"/>
          <w:lang w:val="en" w:eastAsia="bg-BG"/>
        </w:rPr>
        <w:t>TEN- T</w:t>
      </w:r>
      <w:r w:rsidRPr="00D87B7F">
        <w:rPr>
          <w:rFonts w:ascii="Verdana" w:hAnsi="Verdana"/>
          <w:sz w:val="20"/>
          <w:szCs w:val="20"/>
          <w:lang w:val="en"/>
        </w:rPr>
        <w:t xml:space="preserve"> </w:t>
      </w:r>
      <w:r w:rsidRPr="00D87B7F">
        <w:rPr>
          <w:rFonts w:ascii="Verdana" w:hAnsi="Verdana"/>
          <w:bCs/>
          <w:sz w:val="20"/>
          <w:szCs w:val="20"/>
          <w:lang w:val="en" w:eastAsia="bg-BG"/>
        </w:rPr>
        <w:t xml:space="preserve"> (from EUR 117,3 million to EUR 1,6 </w:t>
      </w:r>
      <w:proofErr w:type="spellStart"/>
      <w:r w:rsidRPr="00D87B7F">
        <w:rPr>
          <w:rFonts w:ascii="Verdana" w:hAnsi="Verdana"/>
          <w:bCs/>
          <w:sz w:val="20"/>
          <w:szCs w:val="20"/>
          <w:lang w:val="en" w:eastAsia="bg-BG"/>
        </w:rPr>
        <w:t>mln</w:t>
      </w:r>
      <w:proofErr w:type="spellEnd"/>
      <w:r w:rsidR="004E5ED7">
        <w:rPr>
          <w:rFonts w:ascii="Verdana" w:hAnsi="Verdana"/>
          <w:bCs/>
          <w:sz w:val="20"/>
          <w:szCs w:val="20"/>
          <w:lang w:val="en" w:eastAsia="bg-BG"/>
        </w:rPr>
        <w:t>.</w:t>
      </w:r>
      <w:r w:rsidRPr="00D87B7F">
        <w:rPr>
          <w:rFonts w:ascii="Verdana" w:hAnsi="Verdana"/>
          <w:bCs/>
          <w:sz w:val="20"/>
          <w:szCs w:val="20"/>
          <w:lang w:val="en" w:eastAsia="bg-BG"/>
        </w:rPr>
        <w:t xml:space="preserve">, or by 99%).  Increases were achieved in Multimodal Transport (by 183%, from EUR 157.4 million to EUR 446 million), </w:t>
      </w:r>
      <w:r w:rsidRPr="00D87B7F">
        <w:rPr>
          <w:rFonts w:ascii="Verdana" w:hAnsi="Verdana"/>
          <w:sz w:val="20"/>
          <w:szCs w:val="20"/>
          <w:lang w:val="en"/>
        </w:rPr>
        <w:t xml:space="preserve">to Multimodal Transport </w:t>
      </w:r>
      <w:r w:rsidRPr="00D87B7F">
        <w:rPr>
          <w:rFonts w:ascii="Verdana" w:hAnsi="Verdana"/>
          <w:bCs/>
          <w:sz w:val="20"/>
          <w:szCs w:val="20"/>
          <w:lang w:val="en" w:eastAsia="bg-BG"/>
        </w:rPr>
        <w:t>TEN-T</w:t>
      </w:r>
      <w:r w:rsidRPr="00D87B7F">
        <w:rPr>
          <w:rFonts w:ascii="Verdana" w:hAnsi="Verdana"/>
          <w:sz w:val="20"/>
          <w:szCs w:val="20"/>
          <w:lang w:val="en"/>
        </w:rPr>
        <w:t xml:space="preserve"> </w:t>
      </w:r>
      <w:r w:rsidRPr="00D87B7F">
        <w:rPr>
          <w:rFonts w:ascii="Verdana" w:hAnsi="Verdana"/>
          <w:bCs/>
          <w:sz w:val="20"/>
          <w:szCs w:val="20"/>
          <w:lang w:val="en" w:eastAsia="bg-BG"/>
        </w:rPr>
        <w:t xml:space="preserve">(from EUR 22 million to EUR 32.3 million, or by 47%) and Intelligent Transport Systems (from EUR 16 million to EUR 27.9 million. or by 75%). The reasons for the significant reallocations were related to excluded major projects in the railway sector and in the field of inland waterways under P1 and 4, and the additional projects for Sofia metro extension. Only the share of the TEN-T </w:t>
      </w:r>
      <w:r w:rsidRPr="00D87B7F">
        <w:rPr>
          <w:rFonts w:ascii="Verdana" w:hAnsi="Verdana"/>
          <w:sz w:val="20"/>
          <w:szCs w:val="20"/>
          <w:lang w:val="en"/>
        </w:rPr>
        <w:t>motorways</w:t>
      </w:r>
      <w:r w:rsidRPr="00D87B7F">
        <w:rPr>
          <w:rFonts w:ascii="Verdana" w:hAnsi="Verdana"/>
          <w:bCs/>
          <w:sz w:val="20"/>
          <w:szCs w:val="20"/>
          <w:lang w:val="en" w:eastAsia="bg-BG"/>
        </w:rPr>
        <w:t xml:space="preserve"> retained its</w:t>
      </w:r>
      <w:r w:rsidRPr="00D87B7F">
        <w:rPr>
          <w:rFonts w:ascii="Verdana" w:hAnsi="Verdana"/>
          <w:sz w:val="20"/>
          <w:szCs w:val="20"/>
          <w:lang w:val="en"/>
        </w:rPr>
        <w:t xml:space="preserve"> share envisaged in the initial programme version </w:t>
      </w:r>
      <w:r w:rsidRPr="00D87B7F">
        <w:rPr>
          <w:rFonts w:ascii="Verdana" w:hAnsi="Verdana"/>
          <w:bCs/>
          <w:sz w:val="20"/>
          <w:szCs w:val="20"/>
          <w:lang w:val="en" w:eastAsia="bg-BG"/>
        </w:rPr>
        <w:t>(approximately 40%) with EUR 673.2 million paid out.</w:t>
      </w:r>
    </w:p>
    <w:p w14:paraId="0DF1E984" w14:textId="77777777" w:rsidR="0009185E" w:rsidRPr="00AE1B00" w:rsidRDefault="0009185E" w:rsidP="000715D2">
      <w:pPr>
        <w:widowControl w:val="0"/>
        <w:spacing w:after="0" w:line="240" w:lineRule="auto"/>
        <w:jc w:val="both"/>
        <w:rPr>
          <w:rFonts w:ascii="Verdana" w:hAnsi="Verdana"/>
          <w:bCs/>
          <w:color w:val="000000"/>
          <w:sz w:val="20"/>
          <w:szCs w:val="20"/>
          <w:lang w:val="en"/>
        </w:rPr>
      </w:pPr>
    </w:p>
    <w:p w14:paraId="42E01F62" w14:textId="6B407733" w:rsidR="00C130EC" w:rsidRPr="00AE1B00" w:rsidRDefault="0009185E" w:rsidP="00C130EC">
      <w:pPr>
        <w:widowControl w:val="0"/>
        <w:tabs>
          <w:tab w:val="num" w:pos="786"/>
        </w:tabs>
        <w:spacing w:after="0" w:line="240" w:lineRule="auto"/>
        <w:jc w:val="both"/>
        <w:rPr>
          <w:rFonts w:ascii="Verdana" w:hAnsi="Verdana"/>
          <w:bCs/>
          <w:sz w:val="20"/>
          <w:szCs w:val="20"/>
          <w:lang w:val="en" w:eastAsia="bg-BG"/>
        </w:rPr>
      </w:pPr>
      <w:r w:rsidRPr="00AE1B00">
        <w:rPr>
          <w:rFonts w:ascii="Verdana" w:hAnsi="Verdana"/>
          <w:bCs/>
          <w:sz w:val="20"/>
          <w:szCs w:val="20"/>
          <w:lang w:val="en" w:eastAsia="bg-BG"/>
        </w:rPr>
        <w:t>The OPT development was based on the main applicable national and European regulations, including Council Regulation (EC) No 1083/2006 and Decree of the Council of Ministers No 171/02.08.2002. The main documents used in the process of drafting the OPT are outlined in the original version of the programme and have not been changed in the course of programme modifications.</w:t>
      </w:r>
      <w:r w:rsidR="00C130EC" w:rsidRPr="00AE1B00">
        <w:rPr>
          <w:rFonts w:ascii="Verdana" w:hAnsi="Verdana"/>
          <w:bCs/>
          <w:sz w:val="20"/>
          <w:szCs w:val="20"/>
          <w:lang w:val="en" w:eastAsia="bg-BG"/>
        </w:rPr>
        <w:t xml:space="preserve"> </w:t>
      </w:r>
      <w:r w:rsidR="00A301AB" w:rsidRPr="00AE1B00">
        <w:rPr>
          <w:rFonts w:ascii="Verdana" w:hAnsi="Verdana"/>
          <w:bCs/>
          <w:sz w:val="20"/>
          <w:szCs w:val="20"/>
          <w:lang w:val="en" w:eastAsia="bg-BG"/>
        </w:rPr>
        <w:t xml:space="preserve">In the course of programme implementation a number of </w:t>
      </w:r>
      <w:r w:rsidR="00A301AB" w:rsidRPr="00AE1B00">
        <w:rPr>
          <w:rFonts w:ascii="Verdana" w:hAnsi="Verdana"/>
          <w:bCs/>
          <w:sz w:val="20"/>
          <w:szCs w:val="20"/>
          <w:lang w:val="en" w:eastAsia="bg-BG"/>
        </w:rPr>
        <w:lastRenderedPageBreak/>
        <w:t>documents for the transport sector have been developed under PA 5, which served as a basis for the development and implementation of OPT projects.</w:t>
      </w:r>
      <w:r w:rsidR="00A301AB" w:rsidRPr="00AE1B00">
        <w:rPr>
          <w:rFonts w:ascii="Verdana" w:hAnsi="Verdana"/>
          <w:sz w:val="20"/>
          <w:szCs w:val="20"/>
          <w:lang w:val="en" w:eastAsia="bg-BG"/>
        </w:rPr>
        <w:t xml:space="preserve"> </w:t>
      </w:r>
      <w:r w:rsidR="00D714C2" w:rsidRPr="00AE1B00">
        <w:rPr>
          <w:rFonts w:ascii="Verdana" w:hAnsi="Verdana"/>
          <w:sz w:val="20"/>
          <w:szCs w:val="20"/>
          <w:lang w:val="en" w:eastAsia="bg-BG"/>
        </w:rPr>
        <w:t>Strategic documents have also been adopted and OPT demonstrated continuing coherence with them, including:</w:t>
      </w:r>
    </w:p>
    <w:p w14:paraId="26DC5F5E" w14:textId="77777777" w:rsidR="00C130EC" w:rsidRPr="00AE1B00" w:rsidRDefault="00C130EC" w:rsidP="00A301AB">
      <w:pPr>
        <w:widowControl w:val="0"/>
        <w:spacing w:after="0" w:line="240" w:lineRule="auto"/>
        <w:jc w:val="both"/>
        <w:rPr>
          <w:rFonts w:ascii="Verdana" w:hAnsi="Verdana"/>
          <w:sz w:val="20"/>
          <w:szCs w:val="20"/>
          <w:lang w:val="en" w:eastAsia="bg-BG"/>
        </w:rPr>
      </w:pPr>
    </w:p>
    <w:p w14:paraId="24A28615" w14:textId="7F7AFA48" w:rsidR="00766CB9" w:rsidRPr="00AE1B00" w:rsidRDefault="00496521" w:rsidP="00D714C2">
      <w:pPr>
        <w:pStyle w:val="ListParagraph"/>
        <w:widowControl w:val="0"/>
        <w:numPr>
          <w:ilvl w:val="0"/>
          <w:numId w:val="44"/>
        </w:numPr>
        <w:spacing w:after="0" w:line="240" w:lineRule="auto"/>
        <w:jc w:val="both"/>
        <w:rPr>
          <w:rFonts w:ascii="Verdana" w:eastAsia="Times New Roman" w:hAnsi="Verdana" w:cs="Times New Roman"/>
          <w:i/>
          <w:iCs/>
          <w:sz w:val="20"/>
          <w:szCs w:val="20"/>
          <w:lang w:val="bg-BG" w:eastAsia="bg-BG"/>
        </w:rPr>
      </w:pPr>
      <w:r w:rsidRPr="00AE1B00">
        <w:rPr>
          <w:rFonts w:ascii="Verdana" w:hAnsi="Verdana"/>
          <w:i/>
          <w:iCs/>
          <w:sz w:val="20"/>
          <w:szCs w:val="20"/>
          <w:lang w:val="en" w:eastAsia="bg-BG"/>
        </w:rPr>
        <w:t xml:space="preserve">General </w:t>
      </w:r>
      <w:r w:rsidR="00D714C2" w:rsidRPr="00AE1B00">
        <w:rPr>
          <w:rFonts w:ascii="Verdana" w:hAnsi="Verdana"/>
          <w:i/>
          <w:iCs/>
          <w:sz w:val="20"/>
          <w:szCs w:val="20"/>
          <w:lang w:val="en" w:eastAsia="bg-BG"/>
        </w:rPr>
        <w:t xml:space="preserve">Transport </w:t>
      </w:r>
      <w:r w:rsidRPr="00AE1B00">
        <w:rPr>
          <w:rFonts w:ascii="Verdana" w:hAnsi="Verdana"/>
          <w:i/>
          <w:iCs/>
          <w:sz w:val="20"/>
          <w:szCs w:val="20"/>
          <w:lang w:val="en" w:eastAsia="bg-BG"/>
        </w:rPr>
        <w:t>Master Plan</w:t>
      </w:r>
      <w:r w:rsidR="00D714C2" w:rsidRPr="00AE1B00">
        <w:rPr>
          <w:rFonts w:ascii="Verdana" w:hAnsi="Verdana"/>
          <w:i/>
          <w:iCs/>
          <w:sz w:val="20"/>
          <w:szCs w:val="20"/>
          <w:lang w:val="en" w:eastAsia="bg-BG"/>
        </w:rPr>
        <w:t xml:space="preserve"> in</w:t>
      </w:r>
      <w:r w:rsidRPr="00AE1B00">
        <w:rPr>
          <w:rFonts w:ascii="Verdana" w:hAnsi="Verdana"/>
          <w:i/>
          <w:iCs/>
          <w:sz w:val="20"/>
          <w:szCs w:val="20"/>
          <w:lang w:val="en" w:eastAsia="bg-BG"/>
        </w:rPr>
        <w:t xml:space="preserve"> Bulgaria /2010/</w:t>
      </w:r>
    </w:p>
    <w:p w14:paraId="4DB98178" w14:textId="77777777" w:rsidR="00766CB9" w:rsidRPr="00AE1B00" w:rsidRDefault="00496521" w:rsidP="00B870D7">
      <w:pPr>
        <w:pStyle w:val="ListParagraph"/>
        <w:widowControl w:val="0"/>
        <w:numPr>
          <w:ilvl w:val="0"/>
          <w:numId w:val="44"/>
        </w:numPr>
        <w:spacing w:after="0" w:line="240" w:lineRule="auto"/>
        <w:jc w:val="both"/>
        <w:rPr>
          <w:rFonts w:ascii="Verdana" w:eastAsia="Times New Roman" w:hAnsi="Verdana" w:cs="Times New Roman"/>
          <w:i/>
          <w:iCs/>
          <w:sz w:val="20"/>
          <w:szCs w:val="20"/>
          <w:lang w:val="bg-BG" w:eastAsia="bg-BG"/>
        </w:rPr>
      </w:pPr>
      <w:r w:rsidRPr="00AE1B00">
        <w:rPr>
          <w:rFonts w:ascii="Verdana" w:hAnsi="Verdana"/>
          <w:i/>
          <w:iCs/>
          <w:sz w:val="20"/>
          <w:szCs w:val="20"/>
          <w:lang w:val="en" w:eastAsia="bg-BG"/>
        </w:rPr>
        <w:t>Strategic documents in the field of rail transport /2013/</w:t>
      </w:r>
    </w:p>
    <w:p w14:paraId="17C9B183" w14:textId="796B8593" w:rsidR="00766CB9" w:rsidRPr="00AE1B00" w:rsidRDefault="000208E4" w:rsidP="00B870D7">
      <w:pPr>
        <w:pStyle w:val="ListParagraph"/>
        <w:widowControl w:val="0"/>
        <w:numPr>
          <w:ilvl w:val="0"/>
          <w:numId w:val="44"/>
        </w:numPr>
        <w:spacing w:after="0" w:line="240" w:lineRule="auto"/>
        <w:jc w:val="both"/>
        <w:rPr>
          <w:rFonts w:ascii="Verdana" w:eastAsia="Times New Roman" w:hAnsi="Verdana" w:cs="Times New Roman"/>
          <w:i/>
          <w:iCs/>
          <w:sz w:val="20"/>
          <w:szCs w:val="20"/>
          <w:lang w:val="bg-BG" w:eastAsia="bg-BG"/>
        </w:rPr>
      </w:pPr>
      <w:r w:rsidRPr="00AE1B00">
        <w:rPr>
          <w:rFonts w:ascii="Verdana" w:hAnsi="Verdana"/>
          <w:i/>
          <w:iCs/>
          <w:sz w:val="20"/>
          <w:szCs w:val="20"/>
          <w:lang w:val="en" w:eastAsia="bg-BG"/>
        </w:rPr>
        <w:t xml:space="preserve">General </w:t>
      </w:r>
      <w:r w:rsidR="00496521" w:rsidRPr="00AE1B00">
        <w:rPr>
          <w:rFonts w:ascii="Verdana" w:hAnsi="Verdana"/>
          <w:i/>
          <w:iCs/>
          <w:sz w:val="20"/>
          <w:szCs w:val="20"/>
          <w:lang w:val="en" w:eastAsia="bg-BG"/>
        </w:rPr>
        <w:t xml:space="preserve">Environmental </w:t>
      </w:r>
      <w:r w:rsidRPr="00AE1B00">
        <w:rPr>
          <w:rFonts w:ascii="Verdana" w:hAnsi="Verdana"/>
          <w:i/>
          <w:iCs/>
          <w:sz w:val="20"/>
          <w:szCs w:val="20"/>
          <w:lang w:val="en" w:eastAsia="bg-BG"/>
        </w:rPr>
        <w:t>M</w:t>
      </w:r>
      <w:r w:rsidR="00496521" w:rsidRPr="00AE1B00">
        <w:rPr>
          <w:rFonts w:ascii="Verdana" w:hAnsi="Verdana"/>
          <w:i/>
          <w:iCs/>
          <w:sz w:val="20"/>
          <w:szCs w:val="20"/>
          <w:lang w:val="en" w:eastAsia="bg-BG"/>
        </w:rPr>
        <w:t xml:space="preserve">onitoring </w:t>
      </w:r>
      <w:r w:rsidRPr="00AE1B00">
        <w:rPr>
          <w:rFonts w:ascii="Verdana" w:hAnsi="Verdana"/>
          <w:i/>
          <w:iCs/>
          <w:sz w:val="20"/>
          <w:szCs w:val="20"/>
          <w:lang w:val="en" w:eastAsia="bg-BG"/>
        </w:rPr>
        <w:t>Plan</w:t>
      </w:r>
    </w:p>
    <w:p w14:paraId="5A62FA42" w14:textId="77777777" w:rsidR="00766CB9" w:rsidRPr="00AE1B00" w:rsidRDefault="00496521" w:rsidP="00B870D7">
      <w:pPr>
        <w:pStyle w:val="ListParagraph"/>
        <w:widowControl w:val="0"/>
        <w:numPr>
          <w:ilvl w:val="0"/>
          <w:numId w:val="44"/>
        </w:numPr>
        <w:spacing w:after="0" w:line="240" w:lineRule="auto"/>
        <w:jc w:val="both"/>
        <w:rPr>
          <w:rFonts w:ascii="Verdana" w:eastAsia="Times New Roman" w:hAnsi="Verdana" w:cs="Times New Roman"/>
          <w:i/>
          <w:iCs/>
          <w:sz w:val="20"/>
          <w:szCs w:val="20"/>
          <w:lang w:val="bg-BG" w:eastAsia="bg-BG"/>
        </w:rPr>
      </w:pPr>
      <w:r w:rsidRPr="00AE1B00">
        <w:rPr>
          <w:rFonts w:ascii="Verdana" w:hAnsi="Verdana"/>
          <w:i/>
          <w:iCs/>
          <w:sz w:val="20"/>
          <w:szCs w:val="20"/>
          <w:lang w:val="en" w:eastAsia="bg-BG"/>
        </w:rPr>
        <w:t xml:space="preserve">Strategy for development of the transport system of the Republic of Bulgaria by 2020 </w:t>
      </w:r>
    </w:p>
    <w:p w14:paraId="794CFB0F" w14:textId="77777777" w:rsidR="00766CB9" w:rsidRPr="00AE1B00" w:rsidRDefault="00766CB9" w:rsidP="00B870D7">
      <w:pPr>
        <w:pStyle w:val="ListParagraph"/>
        <w:widowControl w:val="0"/>
        <w:numPr>
          <w:ilvl w:val="0"/>
          <w:numId w:val="44"/>
        </w:numPr>
        <w:spacing w:after="0" w:line="240" w:lineRule="auto"/>
        <w:jc w:val="both"/>
        <w:rPr>
          <w:rFonts w:ascii="Verdana" w:eastAsia="Times New Roman" w:hAnsi="Verdana" w:cs="Times New Roman"/>
          <w:i/>
          <w:iCs/>
          <w:sz w:val="20"/>
          <w:szCs w:val="20"/>
          <w:lang w:val="bg-BG" w:eastAsia="bg-BG"/>
        </w:rPr>
      </w:pPr>
      <w:r w:rsidRPr="00AE1B00">
        <w:rPr>
          <w:rFonts w:ascii="Verdana" w:hAnsi="Verdana"/>
          <w:i/>
          <w:iCs/>
          <w:sz w:val="20"/>
          <w:szCs w:val="20"/>
          <w:lang w:val="en" w:eastAsia="bg-BG"/>
        </w:rPr>
        <w:t>2011 White Paper update: Roadmap to a Single European Transport Area – Towards a competitive, resource-efficient transport system</w:t>
      </w:r>
    </w:p>
    <w:p w14:paraId="7AB295D9" w14:textId="340444DF" w:rsidR="00766CB9" w:rsidRPr="00AE1B00" w:rsidRDefault="00090D9B" w:rsidP="00B870D7">
      <w:pPr>
        <w:pStyle w:val="ListParagraph"/>
        <w:widowControl w:val="0"/>
        <w:numPr>
          <w:ilvl w:val="0"/>
          <w:numId w:val="44"/>
        </w:numPr>
        <w:spacing w:after="0" w:line="240" w:lineRule="auto"/>
        <w:jc w:val="both"/>
        <w:rPr>
          <w:rFonts w:ascii="Verdana" w:eastAsia="Times New Roman" w:hAnsi="Verdana" w:cs="Times New Roman"/>
          <w:i/>
          <w:iCs/>
          <w:sz w:val="20"/>
          <w:szCs w:val="20"/>
          <w:lang w:val="bg-BG" w:eastAsia="bg-BG"/>
        </w:rPr>
      </w:pPr>
      <w:r w:rsidRPr="00AE1B00">
        <w:rPr>
          <w:rFonts w:ascii="Verdana" w:hAnsi="Verdana"/>
          <w:i/>
          <w:iCs/>
          <w:sz w:val="20"/>
          <w:szCs w:val="20"/>
          <w:lang w:val="en" w:eastAsia="bg-BG"/>
        </w:rPr>
        <w:t>“</w:t>
      </w:r>
      <w:r w:rsidR="00496521" w:rsidRPr="00AE1B00">
        <w:rPr>
          <w:rFonts w:ascii="Verdana" w:hAnsi="Verdana"/>
          <w:i/>
          <w:iCs/>
          <w:sz w:val="20"/>
          <w:szCs w:val="20"/>
          <w:lang w:val="en" w:eastAsia="bg-BG"/>
        </w:rPr>
        <w:t>Greener Transport</w:t>
      </w:r>
      <w:r w:rsidRPr="00AE1B00">
        <w:rPr>
          <w:rFonts w:ascii="Verdana" w:hAnsi="Verdana"/>
          <w:i/>
          <w:iCs/>
          <w:sz w:val="20"/>
          <w:szCs w:val="20"/>
          <w:lang w:val="en" w:eastAsia="bg-BG"/>
        </w:rPr>
        <w:t>”</w:t>
      </w:r>
      <w:r w:rsidR="00496521" w:rsidRPr="00AE1B00">
        <w:rPr>
          <w:rFonts w:ascii="Verdana" w:hAnsi="Verdana"/>
          <w:i/>
          <w:iCs/>
          <w:sz w:val="20"/>
          <w:szCs w:val="20"/>
          <w:lang w:val="en" w:eastAsia="bg-BG"/>
        </w:rPr>
        <w:t xml:space="preserve"> Package,</w:t>
      </w:r>
    </w:p>
    <w:p w14:paraId="20088A80" w14:textId="68E9461C" w:rsidR="00766CB9" w:rsidRPr="00AE1B00" w:rsidRDefault="00766CB9" w:rsidP="00B870D7">
      <w:pPr>
        <w:pStyle w:val="ListParagraph"/>
        <w:widowControl w:val="0"/>
        <w:numPr>
          <w:ilvl w:val="0"/>
          <w:numId w:val="44"/>
        </w:numPr>
        <w:spacing w:after="0" w:line="240" w:lineRule="auto"/>
        <w:jc w:val="both"/>
        <w:rPr>
          <w:rFonts w:ascii="Verdana" w:eastAsia="Times New Roman" w:hAnsi="Verdana" w:cs="Times New Roman"/>
          <w:i/>
          <w:iCs/>
          <w:sz w:val="20"/>
          <w:szCs w:val="20"/>
          <w:lang w:val="bg-BG" w:eastAsia="bg-BG"/>
        </w:rPr>
      </w:pPr>
      <w:r w:rsidRPr="00AE1B00">
        <w:rPr>
          <w:rFonts w:ascii="Verdana" w:hAnsi="Verdana"/>
          <w:i/>
          <w:iCs/>
          <w:sz w:val="20"/>
          <w:szCs w:val="20"/>
          <w:lang w:val="en" w:eastAsia="bg-BG"/>
        </w:rPr>
        <w:t>TEN-T Green Paper: "Policy review for a better integrated Trans-European Transport Network serving the common transport policy</w:t>
      </w:r>
      <w:r w:rsidR="00090D9B" w:rsidRPr="00AE1B00">
        <w:rPr>
          <w:rFonts w:ascii="Verdana" w:hAnsi="Verdana"/>
          <w:i/>
          <w:iCs/>
          <w:sz w:val="20"/>
          <w:szCs w:val="20"/>
          <w:lang w:val="en" w:eastAsia="bg-BG"/>
        </w:rPr>
        <w:t>”</w:t>
      </w:r>
    </w:p>
    <w:p w14:paraId="209767E2" w14:textId="77777777" w:rsidR="00766CB9" w:rsidRPr="00AE1B00" w:rsidRDefault="00766CB9" w:rsidP="00766CB9">
      <w:pPr>
        <w:widowControl w:val="0"/>
        <w:spacing w:after="0" w:line="240" w:lineRule="auto"/>
        <w:jc w:val="both"/>
        <w:rPr>
          <w:rFonts w:ascii="Verdana" w:eastAsia="Times New Roman" w:hAnsi="Verdana" w:cs="Times New Roman"/>
          <w:sz w:val="20"/>
          <w:szCs w:val="20"/>
          <w:lang w:val="bg-BG" w:eastAsia="bg-BG"/>
        </w:rPr>
      </w:pPr>
    </w:p>
    <w:p w14:paraId="4C97CA6F" w14:textId="52B00873" w:rsidR="00D65672" w:rsidRPr="00AE1B00" w:rsidRDefault="00766CB9" w:rsidP="00766CB9">
      <w:pPr>
        <w:widowControl w:val="0"/>
        <w:spacing w:after="0" w:line="240" w:lineRule="auto"/>
        <w:jc w:val="both"/>
        <w:rPr>
          <w:rFonts w:ascii="Verdana" w:eastAsia="Times New Roman" w:hAnsi="Verdana" w:cs="Times New Roman"/>
          <w:sz w:val="20"/>
          <w:szCs w:val="20"/>
          <w:lang w:val="bg-BG" w:eastAsia="bg-BG"/>
        </w:rPr>
      </w:pPr>
      <w:bookmarkStart w:id="65" w:name="_Toc478559779"/>
      <w:r w:rsidRPr="00AE1B00">
        <w:rPr>
          <w:rFonts w:ascii="Verdana" w:hAnsi="Verdana"/>
          <w:sz w:val="20"/>
          <w:szCs w:val="20"/>
          <w:lang w:val="en" w:eastAsia="bg-BG"/>
        </w:rPr>
        <w:t xml:space="preserve">In the course of </w:t>
      </w:r>
      <w:r w:rsidR="006306BA" w:rsidRPr="00AE1B00">
        <w:rPr>
          <w:rFonts w:ascii="Verdana" w:hAnsi="Verdana"/>
          <w:sz w:val="20"/>
          <w:szCs w:val="20"/>
          <w:lang w:val="en" w:eastAsia="bg-BG"/>
        </w:rPr>
        <w:t xml:space="preserve">programme </w:t>
      </w:r>
      <w:r w:rsidRPr="00AE1B00">
        <w:rPr>
          <w:rFonts w:ascii="Verdana" w:hAnsi="Verdana"/>
          <w:sz w:val="20"/>
          <w:szCs w:val="20"/>
          <w:lang w:val="en" w:eastAsia="bg-BG"/>
        </w:rPr>
        <w:t>implementation</w:t>
      </w:r>
      <w:r w:rsidR="006306BA" w:rsidRPr="00AE1B00">
        <w:rPr>
          <w:rFonts w:ascii="Verdana" w:hAnsi="Verdana"/>
          <w:sz w:val="20"/>
          <w:szCs w:val="20"/>
          <w:lang w:val="en" w:eastAsia="bg-BG"/>
        </w:rPr>
        <w:t xml:space="preserve">, </w:t>
      </w:r>
      <w:r w:rsidRPr="00AE1B00">
        <w:rPr>
          <w:rFonts w:ascii="Verdana" w:hAnsi="Verdana"/>
          <w:sz w:val="20"/>
          <w:szCs w:val="20"/>
          <w:lang w:val="en" w:eastAsia="bg-BG"/>
        </w:rPr>
        <w:t xml:space="preserve">the requirements of changes in European and national legislation, including Regulation 1083/2006, the Public Procurement Act, the Spatial Development Act, the State Property Act, the Roads Act, the </w:t>
      </w:r>
      <w:r w:rsidR="002F7CA4" w:rsidRPr="00AE1B00">
        <w:rPr>
          <w:rFonts w:ascii="Verdana" w:hAnsi="Verdana"/>
          <w:sz w:val="20"/>
          <w:szCs w:val="20"/>
          <w:lang w:val="en" w:eastAsia="bg-BG"/>
        </w:rPr>
        <w:t>Cadaster</w:t>
      </w:r>
      <w:r w:rsidRPr="00AE1B00">
        <w:rPr>
          <w:rFonts w:ascii="Verdana" w:hAnsi="Verdana"/>
          <w:sz w:val="20"/>
          <w:szCs w:val="20"/>
          <w:lang w:val="en" w:eastAsia="bg-BG"/>
        </w:rPr>
        <w:t xml:space="preserve"> Act and the Land Register, </w:t>
      </w:r>
      <w:bookmarkStart w:id="66" w:name="_Toc478559792"/>
      <w:bookmarkStart w:id="67" w:name="to_paragraph_id378054"/>
      <w:bookmarkStart w:id="68" w:name="to_paragraph_id377441"/>
      <w:bookmarkStart w:id="69" w:name="_Toc467577130"/>
      <w:bookmarkStart w:id="70" w:name="_Toc467577131"/>
      <w:bookmarkStart w:id="71" w:name="to_paragraph_id334979"/>
      <w:bookmarkStart w:id="72" w:name="to_paragraph_id353518"/>
      <w:bookmarkStart w:id="73" w:name="to_paragraph_id288575"/>
      <w:bookmarkEnd w:id="65"/>
      <w:bookmarkEnd w:id="66"/>
      <w:bookmarkEnd w:id="67"/>
      <w:bookmarkEnd w:id="68"/>
      <w:bookmarkEnd w:id="69"/>
      <w:bookmarkEnd w:id="70"/>
      <w:bookmarkEnd w:id="71"/>
      <w:bookmarkEnd w:id="72"/>
      <w:bookmarkEnd w:id="73"/>
      <w:r w:rsidR="006306BA" w:rsidRPr="00AE1B00">
        <w:rPr>
          <w:rFonts w:ascii="Verdana" w:hAnsi="Verdana"/>
          <w:sz w:val="20"/>
          <w:szCs w:val="20"/>
          <w:lang w:val="en" w:eastAsia="bg-BG"/>
        </w:rPr>
        <w:t>have been reflected.</w:t>
      </w:r>
    </w:p>
    <w:p w14:paraId="6C0D3E00" w14:textId="77777777" w:rsidR="00A069E0" w:rsidRPr="00AE1B00" w:rsidRDefault="00A069E0" w:rsidP="00A069E0">
      <w:pPr>
        <w:widowControl w:val="0"/>
        <w:spacing w:after="0" w:line="240" w:lineRule="auto"/>
        <w:jc w:val="both"/>
        <w:rPr>
          <w:rFonts w:ascii="Verdana" w:eastAsia="Calibri" w:hAnsi="Verdana" w:cs="Helvetica"/>
          <w:bCs/>
          <w:color w:val="000000"/>
          <w:sz w:val="20"/>
          <w:szCs w:val="20"/>
          <w:lang w:val="bg-BG"/>
        </w:rPr>
      </w:pPr>
    </w:p>
    <w:p w14:paraId="7D206196" w14:textId="0996751F" w:rsidR="00D65672" w:rsidRPr="00AE1B00" w:rsidRDefault="00A069E0" w:rsidP="00A069E0">
      <w:pPr>
        <w:widowControl w:val="0"/>
        <w:spacing w:after="0" w:line="240" w:lineRule="auto"/>
        <w:jc w:val="both"/>
        <w:rPr>
          <w:rFonts w:ascii="Verdana" w:hAnsi="Verdana"/>
          <w:sz w:val="20"/>
          <w:szCs w:val="20"/>
          <w:lang w:val="bg-BG"/>
        </w:rPr>
      </w:pPr>
      <w:r w:rsidRPr="00AE1B00">
        <w:rPr>
          <w:rFonts w:ascii="Verdana" w:hAnsi="Verdana"/>
          <w:bCs/>
          <w:color w:val="000000"/>
          <w:sz w:val="20"/>
          <w:szCs w:val="20"/>
          <w:lang w:val="en"/>
        </w:rPr>
        <w:t>The</w:t>
      </w:r>
      <w:r w:rsidR="009574AE" w:rsidRPr="00AE1B00">
        <w:rPr>
          <w:rFonts w:ascii="Verdana" w:hAnsi="Verdana"/>
          <w:bCs/>
          <w:color w:val="000000"/>
          <w:sz w:val="20"/>
          <w:szCs w:val="20"/>
          <w:lang w:val="en"/>
        </w:rPr>
        <w:t xml:space="preserve"> programme modifications</w:t>
      </w:r>
      <w:r w:rsidRPr="00AE1B00">
        <w:rPr>
          <w:rFonts w:ascii="Verdana" w:hAnsi="Verdana"/>
          <w:bCs/>
          <w:color w:val="000000"/>
          <w:sz w:val="20"/>
          <w:szCs w:val="20"/>
          <w:lang w:val="en"/>
        </w:rPr>
        <w:t xml:space="preserve"> demonstrate</w:t>
      </w:r>
      <w:r w:rsidR="009574AE" w:rsidRPr="00AE1B00">
        <w:rPr>
          <w:rFonts w:ascii="Verdana" w:hAnsi="Verdana"/>
          <w:bCs/>
          <w:color w:val="000000"/>
          <w:sz w:val="20"/>
          <w:szCs w:val="20"/>
          <w:lang w:val="en"/>
        </w:rPr>
        <w:t>d</w:t>
      </w:r>
      <w:r w:rsidRPr="00AE1B00">
        <w:rPr>
          <w:rFonts w:ascii="Verdana" w:hAnsi="Verdana"/>
          <w:bCs/>
          <w:color w:val="000000"/>
          <w:sz w:val="20"/>
          <w:szCs w:val="20"/>
          <w:lang w:val="en"/>
        </w:rPr>
        <w:t xml:space="preserve"> compliance with the needs analysis of Bulgaria's socio-economic development in the first 10 years after its accession to the European Union (EU) /2007-2017/, prepared for the purpose of setting national priorities for the period 2021-2017</w:t>
      </w:r>
      <w:r w:rsidR="009574AE" w:rsidRPr="00AE1B00">
        <w:rPr>
          <w:rFonts w:ascii="Verdana" w:hAnsi="Verdana"/>
          <w:bCs/>
          <w:color w:val="000000"/>
          <w:sz w:val="20"/>
          <w:szCs w:val="20"/>
          <w:lang w:val="en"/>
        </w:rPr>
        <w:t>. The analysis</w:t>
      </w:r>
      <w:r w:rsidRPr="00AE1B00">
        <w:rPr>
          <w:rFonts w:ascii="Verdana" w:hAnsi="Verdana"/>
          <w:bCs/>
          <w:color w:val="000000"/>
          <w:sz w:val="20"/>
          <w:szCs w:val="20"/>
          <w:lang w:val="en"/>
        </w:rPr>
        <w:t xml:space="preserve"> shows a continuing need for targeted interventions in all policy areas.</w:t>
      </w:r>
      <w:r w:rsidR="003A769C" w:rsidRPr="00AE1B00">
        <w:rPr>
          <w:rStyle w:val="FootnoteReference"/>
          <w:rFonts w:ascii="Verdana" w:hAnsi="Verdana"/>
          <w:bCs/>
          <w:color w:val="000000"/>
          <w:sz w:val="20"/>
          <w:szCs w:val="20"/>
          <w:lang w:val="en"/>
        </w:rPr>
        <w:footnoteReference w:id="14"/>
      </w:r>
      <w:r w:rsidR="009574AE" w:rsidRPr="00AE1B00">
        <w:rPr>
          <w:rFonts w:ascii="Verdana" w:hAnsi="Verdana"/>
          <w:bCs/>
          <w:color w:val="000000"/>
          <w:sz w:val="20"/>
          <w:szCs w:val="20"/>
          <w:lang w:val="en"/>
        </w:rPr>
        <w:t xml:space="preserve"> </w:t>
      </w:r>
      <w:r w:rsidR="00D65672" w:rsidRPr="00AE1B00">
        <w:rPr>
          <w:rFonts w:ascii="Verdana" w:hAnsi="Verdana"/>
          <w:i/>
          <w:iCs/>
          <w:sz w:val="20"/>
          <w:szCs w:val="20"/>
          <w:lang w:val="en"/>
        </w:rPr>
        <w:t>The transport</w:t>
      </w:r>
      <w:r w:rsidRPr="00AE1B00">
        <w:rPr>
          <w:rFonts w:ascii="Verdana" w:hAnsi="Verdana"/>
          <w:sz w:val="20"/>
          <w:szCs w:val="20"/>
          <w:lang w:val="en"/>
        </w:rPr>
        <w:t xml:space="preserve"> sector generated an average of 6.0% of the added value in the economy in the years after the</w:t>
      </w:r>
      <w:r w:rsidR="00D65672" w:rsidRPr="00AE1B00">
        <w:rPr>
          <w:rFonts w:ascii="Verdana" w:hAnsi="Verdana"/>
          <w:sz w:val="20"/>
          <w:szCs w:val="20"/>
          <w:lang w:val="en"/>
        </w:rPr>
        <w:t xml:space="preserve"> crisis of 2008-2011. Road</w:t>
      </w:r>
      <w:r w:rsidRPr="00AE1B00">
        <w:rPr>
          <w:rFonts w:ascii="Verdana" w:hAnsi="Verdana"/>
          <w:sz w:val="20"/>
          <w:szCs w:val="20"/>
          <w:lang w:val="en"/>
        </w:rPr>
        <w:t xml:space="preserve"> transport dominate</w:t>
      </w:r>
      <w:r w:rsidR="00FD7D0B" w:rsidRPr="00AE1B00">
        <w:rPr>
          <w:rFonts w:ascii="Verdana" w:hAnsi="Verdana"/>
          <w:sz w:val="20"/>
          <w:szCs w:val="20"/>
        </w:rPr>
        <w:t>d</w:t>
      </w:r>
      <w:r w:rsidRPr="00AE1B00">
        <w:rPr>
          <w:rFonts w:ascii="Verdana" w:hAnsi="Verdana"/>
          <w:sz w:val="20"/>
          <w:szCs w:val="20"/>
          <w:lang w:val="en"/>
        </w:rPr>
        <w:t xml:space="preserve"> the industry with weights of 90.4% in terms of goods transported in the country and 86.8% in terms of passengers transported in the country in 2016. The country </w:t>
      </w:r>
      <w:r w:rsidR="00C7726C" w:rsidRPr="00AE1B00">
        <w:rPr>
          <w:rFonts w:ascii="Verdana" w:hAnsi="Verdana"/>
          <w:sz w:val="20"/>
          <w:szCs w:val="20"/>
          <w:lang w:val="en"/>
        </w:rPr>
        <w:t>wa</w:t>
      </w:r>
      <w:r w:rsidRPr="00AE1B00">
        <w:rPr>
          <w:rFonts w:ascii="Verdana" w:hAnsi="Verdana"/>
          <w:sz w:val="20"/>
          <w:szCs w:val="20"/>
          <w:lang w:val="en"/>
        </w:rPr>
        <w:t>s still lagging behind in the process of building the core TEN-T network. Efforts to improve the quality of road infrastructure, in the framework of interventions co-financed by EU funds under several operational programmes, and the provision of more efficient transport services</w:t>
      </w:r>
      <w:r w:rsidR="00C7726C" w:rsidRPr="00AE1B00">
        <w:rPr>
          <w:rFonts w:ascii="Verdana" w:hAnsi="Verdana"/>
          <w:sz w:val="20"/>
          <w:szCs w:val="20"/>
          <w:lang w:val="en"/>
        </w:rPr>
        <w:t>,</w:t>
      </w:r>
      <w:r w:rsidRPr="00AE1B00">
        <w:rPr>
          <w:rFonts w:ascii="Verdana" w:hAnsi="Verdana"/>
          <w:sz w:val="20"/>
          <w:szCs w:val="20"/>
          <w:lang w:val="en"/>
        </w:rPr>
        <w:t xml:space="preserve"> aim to bring tangible benefits to citizens and businesses, given the substantial share of the costs of businesses and households spent on transport.</w:t>
      </w:r>
    </w:p>
    <w:p w14:paraId="45FC103A" w14:textId="72075656" w:rsidR="002C3175" w:rsidRPr="00E87ABF" w:rsidRDefault="002C3175" w:rsidP="006E2FC7">
      <w:pPr>
        <w:pStyle w:val="Default"/>
        <w:jc w:val="both"/>
        <w:rPr>
          <w:rFonts w:ascii="Verdana" w:hAnsi="Verdana"/>
          <w:color w:val="auto"/>
          <w:sz w:val="20"/>
          <w:szCs w:val="20"/>
          <w:lang w:val="bg-BG"/>
        </w:rPr>
      </w:pPr>
    </w:p>
    <w:p w14:paraId="0A89F2B2" w14:textId="77777777" w:rsidR="00B47F17" w:rsidRPr="00E87ABF" w:rsidRDefault="00B47F17" w:rsidP="006E2FC7">
      <w:pPr>
        <w:pStyle w:val="Default"/>
        <w:jc w:val="both"/>
        <w:rPr>
          <w:rFonts w:ascii="Verdana" w:hAnsi="Verdana"/>
          <w:color w:val="auto"/>
          <w:sz w:val="20"/>
          <w:szCs w:val="20"/>
          <w:lang w:val="bg-BG"/>
        </w:rPr>
      </w:pPr>
    </w:p>
    <w:p w14:paraId="69304AAA" w14:textId="762DC0A1" w:rsidR="00B47F17" w:rsidRDefault="00B47F17" w:rsidP="006E2FC7">
      <w:pPr>
        <w:pStyle w:val="Default"/>
        <w:jc w:val="both"/>
        <w:rPr>
          <w:rFonts w:ascii="Verdana" w:hAnsi="Verdana"/>
          <w:color w:val="auto"/>
          <w:sz w:val="20"/>
          <w:szCs w:val="20"/>
          <w:lang w:val="bg-BG"/>
        </w:rPr>
      </w:pPr>
    </w:p>
    <w:p w14:paraId="5443EA48" w14:textId="4C7FA77E" w:rsidR="00A154F8" w:rsidRDefault="00A154F8" w:rsidP="006E2FC7">
      <w:pPr>
        <w:pStyle w:val="Default"/>
        <w:jc w:val="both"/>
        <w:rPr>
          <w:rFonts w:ascii="Verdana" w:hAnsi="Verdana"/>
          <w:color w:val="auto"/>
          <w:sz w:val="20"/>
          <w:szCs w:val="20"/>
          <w:lang w:val="bg-BG"/>
        </w:rPr>
      </w:pPr>
    </w:p>
    <w:p w14:paraId="584976B9" w14:textId="155C6AE8" w:rsidR="00A154F8" w:rsidRDefault="00A154F8" w:rsidP="006E2FC7">
      <w:pPr>
        <w:pStyle w:val="Default"/>
        <w:jc w:val="both"/>
        <w:rPr>
          <w:rFonts w:ascii="Verdana" w:hAnsi="Verdana"/>
          <w:color w:val="auto"/>
          <w:sz w:val="20"/>
          <w:szCs w:val="20"/>
          <w:lang w:val="bg-BG"/>
        </w:rPr>
      </w:pPr>
    </w:p>
    <w:p w14:paraId="157DF5A4" w14:textId="1C454044" w:rsidR="00A154F8" w:rsidRDefault="00A154F8" w:rsidP="006E2FC7">
      <w:pPr>
        <w:pStyle w:val="Default"/>
        <w:jc w:val="both"/>
        <w:rPr>
          <w:rFonts w:ascii="Verdana" w:hAnsi="Verdana"/>
          <w:color w:val="auto"/>
          <w:sz w:val="20"/>
          <w:szCs w:val="20"/>
          <w:lang w:val="bg-BG"/>
        </w:rPr>
      </w:pPr>
    </w:p>
    <w:p w14:paraId="27BF2036" w14:textId="77777777" w:rsidR="00A154F8" w:rsidRPr="00F50700" w:rsidRDefault="00A154F8" w:rsidP="006E2FC7">
      <w:pPr>
        <w:pStyle w:val="Default"/>
        <w:jc w:val="both"/>
        <w:rPr>
          <w:rFonts w:ascii="Verdana" w:hAnsi="Verdana"/>
          <w:color w:val="auto"/>
          <w:sz w:val="20"/>
          <w:szCs w:val="20"/>
          <w:lang w:val="bg-BG"/>
        </w:rPr>
      </w:pPr>
    </w:p>
    <w:p w14:paraId="7596D5C3" w14:textId="369395FF" w:rsidR="00316A9F" w:rsidRPr="00F50700" w:rsidRDefault="00316A9F" w:rsidP="006E2FC7">
      <w:pPr>
        <w:pStyle w:val="ListParagraph"/>
        <w:spacing w:line="240" w:lineRule="auto"/>
        <w:ind w:left="426" w:hanging="426"/>
        <w:rPr>
          <w:rFonts w:ascii="Verdana" w:eastAsia="Calibri" w:hAnsi="Verdana" w:cs="Calibri"/>
          <w:color w:val="FFFFFF" w:themeColor="background1"/>
          <w:sz w:val="20"/>
          <w:szCs w:val="20"/>
          <w:lang w:val="bg-BG"/>
        </w:rPr>
      </w:pPr>
    </w:p>
    <w:p w14:paraId="4FD70CD2" w14:textId="12E18F1D" w:rsidR="007502B1" w:rsidRPr="00F50700" w:rsidRDefault="007502B1" w:rsidP="00C8324C">
      <w:pPr>
        <w:pStyle w:val="Heading1"/>
        <w:numPr>
          <w:ilvl w:val="1"/>
          <w:numId w:val="58"/>
        </w:numPr>
        <w:shd w:val="clear" w:color="auto" w:fill="374C80" w:themeFill="accent1" w:themeFillShade="BF"/>
        <w:spacing w:before="120" w:after="120" w:line="240" w:lineRule="auto"/>
        <w:ind w:left="360"/>
        <w:jc w:val="both"/>
        <w:rPr>
          <w:rFonts w:ascii="Verdana" w:eastAsia="Calibri" w:hAnsi="Verdana" w:cs="Calibri"/>
          <w:b/>
          <w:bCs/>
          <w:color w:val="FFFFFF" w:themeColor="background1"/>
          <w:sz w:val="20"/>
          <w:szCs w:val="20"/>
          <w:lang w:val="bg-BG"/>
        </w:rPr>
      </w:pPr>
      <w:bookmarkStart w:id="74" w:name="_Ref50421796"/>
      <w:bookmarkStart w:id="75" w:name="_Ref50421802"/>
      <w:bookmarkStart w:id="76" w:name="_Toc62724397"/>
      <w:r w:rsidRPr="00F50700">
        <w:rPr>
          <w:rFonts w:ascii="Verdana" w:hAnsi="Verdana"/>
          <w:b/>
          <w:bCs/>
          <w:color w:val="FFFFFF" w:themeColor="background1"/>
          <w:sz w:val="20"/>
          <w:szCs w:val="20"/>
          <w:lang w:val="en"/>
        </w:rPr>
        <w:t>What degree of integration into the European transport network has been achieved by the national transport system?</w:t>
      </w:r>
      <w:bookmarkEnd w:id="74"/>
      <w:bookmarkEnd w:id="75"/>
      <w:bookmarkEnd w:id="76"/>
    </w:p>
    <w:p w14:paraId="4A42F888" w14:textId="77777777" w:rsidR="004B23C3" w:rsidRPr="00F50700" w:rsidRDefault="004B23C3" w:rsidP="00D03574">
      <w:pPr>
        <w:jc w:val="both"/>
        <w:rPr>
          <w:rFonts w:ascii="Verdana" w:hAnsi="Verdana"/>
          <w:sz w:val="20"/>
          <w:szCs w:val="20"/>
          <w:lang w:val="bg-BG"/>
        </w:rPr>
      </w:pPr>
    </w:p>
    <w:p w14:paraId="287D409A" w14:textId="53BFFF7B" w:rsidR="00575623" w:rsidRPr="00584504" w:rsidRDefault="00575623" w:rsidP="00575623">
      <w:pPr>
        <w:jc w:val="both"/>
        <w:rPr>
          <w:rFonts w:ascii="Verdana" w:hAnsi="Verdana"/>
          <w:sz w:val="20"/>
          <w:szCs w:val="20"/>
          <w:lang w:val="bg-BG"/>
        </w:rPr>
      </w:pPr>
      <w:r w:rsidRPr="00584504">
        <w:rPr>
          <w:rFonts w:ascii="Verdana" w:hAnsi="Verdana"/>
          <w:sz w:val="20"/>
          <w:szCs w:val="20"/>
          <w:lang w:val="en"/>
        </w:rPr>
        <w:t>In the EU's common policy, trans-European transport networks (TEN-T) are a key element in the creation and functioning of the internal market and in achieving economic and social cohesion. Despite the great importan</w:t>
      </w:r>
      <w:r>
        <w:rPr>
          <w:rFonts w:ascii="Verdana" w:hAnsi="Verdana"/>
          <w:sz w:val="20"/>
          <w:szCs w:val="20"/>
          <w:lang w:val="en"/>
        </w:rPr>
        <w:t>c</w:t>
      </w:r>
      <w:r w:rsidRPr="00584504">
        <w:rPr>
          <w:rFonts w:ascii="Verdana" w:hAnsi="Verdana"/>
          <w:sz w:val="20"/>
          <w:szCs w:val="20"/>
          <w:lang w:val="en"/>
        </w:rPr>
        <w:t xml:space="preserve">e that the programme attaches to TEN-T integration, no indicators </w:t>
      </w:r>
      <w:r w:rsidRPr="00584504">
        <w:rPr>
          <w:rFonts w:ascii="Verdana" w:hAnsi="Verdana"/>
          <w:i/>
          <w:iCs/>
          <w:sz w:val="20"/>
          <w:szCs w:val="20"/>
          <w:lang w:val="en"/>
        </w:rPr>
        <w:t>have been set in the programme to take account of the fulfilment of the objective set.</w:t>
      </w:r>
      <w:r w:rsidRPr="00584504">
        <w:rPr>
          <w:rFonts w:ascii="Verdana" w:hAnsi="Verdana"/>
          <w:sz w:val="20"/>
          <w:szCs w:val="20"/>
          <w:lang w:val="en"/>
        </w:rPr>
        <w:t xml:space="preserve"> </w:t>
      </w:r>
      <w:r w:rsidRPr="00C36824">
        <w:rPr>
          <w:rFonts w:ascii="Verdana" w:hAnsi="Verdana"/>
          <w:sz w:val="20"/>
          <w:szCs w:val="20"/>
          <w:lang w:val="en"/>
        </w:rPr>
        <w:t>This makes it difficult to prepare an evaluation and allows for contradictory interpretations</w:t>
      </w:r>
      <w:r w:rsidRPr="00A57EEC">
        <w:rPr>
          <w:rFonts w:ascii="Verdana" w:hAnsi="Verdana"/>
          <w:sz w:val="20"/>
          <w:szCs w:val="20"/>
          <w:lang w:val="en"/>
        </w:rPr>
        <w:t>.</w:t>
      </w:r>
      <w:r w:rsidRPr="00584504">
        <w:rPr>
          <w:rFonts w:ascii="Verdana" w:hAnsi="Verdana"/>
          <w:sz w:val="20"/>
          <w:szCs w:val="20"/>
          <w:lang w:val="en"/>
        </w:rPr>
        <w:t xml:space="preserve"> The analytical part of the programme does not assess the degree of </w:t>
      </w:r>
      <w:r w:rsidRPr="00584504">
        <w:rPr>
          <w:rFonts w:ascii="Verdana" w:hAnsi="Verdana"/>
          <w:sz w:val="20"/>
          <w:szCs w:val="20"/>
          <w:lang w:val="en"/>
        </w:rPr>
        <w:lastRenderedPageBreak/>
        <w:t xml:space="preserve">integration </w:t>
      </w:r>
      <w:r w:rsidRPr="00A254D2">
        <w:rPr>
          <w:rFonts w:ascii="Verdana" w:hAnsi="Verdana"/>
          <w:sz w:val="20"/>
          <w:szCs w:val="20"/>
          <w:lang w:val="en"/>
        </w:rPr>
        <w:t>as of 2006/2007</w:t>
      </w:r>
      <w:r w:rsidRPr="00584504">
        <w:rPr>
          <w:rFonts w:ascii="Verdana" w:hAnsi="Verdana"/>
          <w:i/>
          <w:iCs/>
          <w:sz w:val="20"/>
          <w:szCs w:val="20"/>
          <w:lang w:val="en"/>
        </w:rPr>
        <w:t>,</w:t>
      </w:r>
      <w:r w:rsidRPr="00584504">
        <w:rPr>
          <w:rFonts w:ascii="Verdana" w:hAnsi="Verdana"/>
          <w:sz w:val="20"/>
          <w:szCs w:val="20"/>
          <w:lang w:val="en"/>
        </w:rPr>
        <w:t xml:space="preserve"> which requires retrospective analysis and further makes it difficult to produce an objective </w:t>
      </w:r>
      <w:r>
        <w:rPr>
          <w:rFonts w:ascii="Verdana" w:hAnsi="Verdana"/>
          <w:sz w:val="20"/>
          <w:szCs w:val="20"/>
          <w:lang w:val="en"/>
        </w:rPr>
        <w:t>evaluation</w:t>
      </w:r>
      <w:r w:rsidRPr="00584504">
        <w:rPr>
          <w:rFonts w:ascii="Verdana" w:hAnsi="Verdana"/>
          <w:sz w:val="20"/>
          <w:szCs w:val="20"/>
          <w:lang w:val="en"/>
        </w:rPr>
        <w:t xml:space="preserve">. For the purposes of this </w:t>
      </w:r>
      <w:r>
        <w:rPr>
          <w:rFonts w:ascii="Verdana" w:hAnsi="Verdana"/>
          <w:sz w:val="20"/>
          <w:szCs w:val="20"/>
          <w:lang w:val="en-US"/>
        </w:rPr>
        <w:t>TEN</w:t>
      </w:r>
      <w:r w:rsidRPr="00584504">
        <w:rPr>
          <w:rFonts w:ascii="Verdana" w:hAnsi="Verdana"/>
          <w:sz w:val="20"/>
          <w:szCs w:val="20"/>
          <w:lang w:val="en"/>
        </w:rPr>
        <w:t xml:space="preserve">-T integration </w:t>
      </w:r>
      <w:r>
        <w:rPr>
          <w:rFonts w:ascii="Verdana" w:hAnsi="Verdana"/>
          <w:sz w:val="20"/>
          <w:szCs w:val="20"/>
          <w:lang w:val="en"/>
        </w:rPr>
        <w:t>evaluation</w:t>
      </w:r>
      <w:r w:rsidRPr="00584504">
        <w:rPr>
          <w:rFonts w:ascii="Verdana" w:hAnsi="Verdana"/>
          <w:sz w:val="20"/>
          <w:szCs w:val="20"/>
          <w:lang w:val="en"/>
        </w:rPr>
        <w:t>, the following two indicators were adopted:</w:t>
      </w:r>
    </w:p>
    <w:p w14:paraId="68241E7F" w14:textId="38A89B87" w:rsidR="00575623" w:rsidRPr="00584504" w:rsidRDefault="00575623" w:rsidP="00575623">
      <w:pPr>
        <w:numPr>
          <w:ilvl w:val="0"/>
          <w:numId w:val="10"/>
        </w:numPr>
        <w:ind w:left="426" w:hanging="426"/>
        <w:jc w:val="both"/>
        <w:rPr>
          <w:rFonts w:ascii="Verdana" w:hAnsi="Verdana"/>
          <w:sz w:val="20"/>
          <w:szCs w:val="20"/>
          <w:lang w:val="bg-BG"/>
        </w:rPr>
      </w:pPr>
      <w:r w:rsidRPr="00584504">
        <w:rPr>
          <w:rFonts w:ascii="Verdana" w:hAnsi="Verdana"/>
          <w:sz w:val="20"/>
          <w:szCs w:val="20"/>
          <w:lang w:val="en"/>
        </w:rPr>
        <w:t xml:space="preserve">Achieving physical </w:t>
      </w:r>
      <w:r w:rsidRPr="00584504">
        <w:rPr>
          <w:rFonts w:ascii="Verdana" w:hAnsi="Verdana"/>
          <w:b/>
          <w:bCs/>
          <w:i/>
          <w:iCs/>
          <w:sz w:val="20"/>
          <w:szCs w:val="20"/>
          <w:lang w:val="en"/>
        </w:rPr>
        <w:t>connectivity</w:t>
      </w:r>
      <w:r w:rsidRPr="00584504">
        <w:rPr>
          <w:rFonts w:ascii="Verdana" w:hAnsi="Verdana"/>
          <w:sz w:val="20"/>
          <w:szCs w:val="20"/>
          <w:lang w:val="en"/>
        </w:rPr>
        <w:t xml:space="preserve"> between national transport networks and TEN-T in </w:t>
      </w:r>
      <w:r w:rsidR="004E5ED7" w:rsidRPr="00584504">
        <w:rPr>
          <w:rFonts w:ascii="Verdana" w:hAnsi="Verdana"/>
          <w:sz w:val="20"/>
          <w:szCs w:val="20"/>
          <w:lang w:val="en"/>
        </w:rPr>
        <w:t>neighboring</w:t>
      </w:r>
      <w:r w:rsidRPr="00584504">
        <w:rPr>
          <w:rFonts w:ascii="Verdana" w:hAnsi="Verdana"/>
          <w:sz w:val="20"/>
          <w:szCs w:val="20"/>
          <w:lang w:val="en"/>
        </w:rPr>
        <w:t xml:space="preserve"> countries and</w:t>
      </w:r>
    </w:p>
    <w:p w14:paraId="4CB2E413" w14:textId="77777777" w:rsidR="00575623" w:rsidRPr="00584504" w:rsidRDefault="00575623" w:rsidP="00575623">
      <w:pPr>
        <w:numPr>
          <w:ilvl w:val="0"/>
          <w:numId w:val="10"/>
        </w:numPr>
        <w:ind w:left="426" w:hanging="426"/>
        <w:jc w:val="both"/>
        <w:rPr>
          <w:rFonts w:ascii="Verdana" w:hAnsi="Verdana"/>
          <w:sz w:val="20"/>
          <w:szCs w:val="20"/>
          <w:lang w:val="bg-BG"/>
        </w:rPr>
      </w:pPr>
      <w:r w:rsidRPr="00584504">
        <w:rPr>
          <w:rFonts w:ascii="Verdana" w:hAnsi="Verdana"/>
          <w:sz w:val="20"/>
          <w:szCs w:val="20"/>
          <w:lang w:val="en"/>
        </w:rPr>
        <w:t xml:space="preserve">Compliance with the technical requirements for the TEN-T type concerned to ensure </w:t>
      </w:r>
      <w:r w:rsidRPr="00584504">
        <w:rPr>
          <w:rFonts w:ascii="Verdana" w:hAnsi="Verdana"/>
          <w:b/>
          <w:bCs/>
          <w:i/>
          <w:iCs/>
          <w:sz w:val="20"/>
          <w:szCs w:val="20"/>
          <w:lang w:val="en"/>
        </w:rPr>
        <w:t>interoperability.</w:t>
      </w:r>
    </w:p>
    <w:p w14:paraId="05E48300" w14:textId="77777777" w:rsidR="00575623" w:rsidRPr="00E326C0" w:rsidRDefault="00575623" w:rsidP="00575623">
      <w:pPr>
        <w:jc w:val="both"/>
        <w:rPr>
          <w:rFonts w:ascii="Verdana" w:hAnsi="Verdana"/>
          <w:sz w:val="20"/>
          <w:szCs w:val="20"/>
          <w:lang w:val="en-US"/>
        </w:rPr>
      </w:pPr>
      <w:r w:rsidRPr="00584504">
        <w:rPr>
          <w:rFonts w:ascii="Verdana" w:hAnsi="Verdana"/>
          <w:sz w:val="20"/>
          <w:szCs w:val="20"/>
          <w:lang w:val="en"/>
        </w:rPr>
        <w:t xml:space="preserve">The </w:t>
      </w:r>
      <w:r>
        <w:rPr>
          <w:rFonts w:ascii="Verdana" w:hAnsi="Verdana"/>
          <w:sz w:val="20"/>
          <w:szCs w:val="20"/>
          <w:lang w:val="en"/>
        </w:rPr>
        <w:t xml:space="preserve">OPT </w:t>
      </w:r>
      <w:r w:rsidRPr="00584504">
        <w:rPr>
          <w:rFonts w:ascii="Verdana" w:hAnsi="Verdana"/>
          <w:sz w:val="20"/>
          <w:szCs w:val="20"/>
          <w:lang w:val="en"/>
        </w:rPr>
        <w:t>2007-2013 contribution to integration into the European transport network requires a comparison between the state of 2007 and 2018/2019 respectively.</w:t>
      </w:r>
    </w:p>
    <w:p w14:paraId="2A823F2A" w14:textId="77777777" w:rsidR="00575623" w:rsidRPr="00584504" w:rsidRDefault="00575623" w:rsidP="00575623">
      <w:pPr>
        <w:numPr>
          <w:ilvl w:val="0"/>
          <w:numId w:val="4"/>
        </w:numPr>
        <w:ind w:left="426" w:hanging="426"/>
        <w:contextualSpacing/>
        <w:jc w:val="both"/>
        <w:rPr>
          <w:rFonts w:ascii="Verdana" w:hAnsi="Verdana"/>
          <w:sz w:val="20"/>
          <w:szCs w:val="20"/>
          <w:lang w:val="bg-BG"/>
        </w:rPr>
      </w:pPr>
      <w:r w:rsidRPr="00584504">
        <w:rPr>
          <w:rFonts w:ascii="Verdana" w:hAnsi="Verdana"/>
          <w:sz w:val="20"/>
          <w:szCs w:val="20"/>
          <w:lang w:val="en"/>
        </w:rPr>
        <w:t xml:space="preserve">The scope of </w:t>
      </w:r>
      <w:r>
        <w:rPr>
          <w:rFonts w:ascii="Verdana" w:hAnsi="Verdana"/>
          <w:sz w:val="20"/>
          <w:szCs w:val="20"/>
          <w:lang w:val="en"/>
        </w:rPr>
        <w:t>TEN</w:t>
      </w:r>
      <w:r w:rsidRPr="00584504">
        <w:rPr>
          <w:rFonts w:ascii="Verdana" w:hAnsi="Verdana"/>
          <w:sz w:val="20"/>
          <w:szCs w:val="20"/>
          <w:lang w:val="en"/>
        </w:rPr>
        <w:t>-T on the territory of the country and</w:t>
      </w:r>
      <w:bookmarkStart w:id="77" w:name="_Hlk49341559"/>
      <w:bookmarkEnd w:id="77"/>
    </w:p>
    <w:p w14:paraId="61BDEF85" w14:textId="77777777" w:rsidR="00575623" w:rsidRPr="00584504" w:rsidRDefault="00575623" w:rsidP="00575623">
      <w:pPr>
        <w:numPr>
          <w:ilvl w:val="0"/>
          <w:numId w:val="4"/>
        </w:numPr>
        <w:ind w:left="426" w:hanging="426"/>
        <w:contextualSpacing/>
        <w:jc w:val="both"/>
        <w:rPr>
          <w:rFonts w:ascii="Verdana" w:hAnsi="Verdana"/>
          <w:sz w:val="20"/>
          <w:szCs w:val="20"/>
          <w:lang w:val="bg-BG"/>
        </w:rPr>
      </w:pPr>
      <w:r w:rsidRPr="00584504">
        <w:rPr>
          <w:rFonts w:ascii="Verdana" w:hAnsi="Verdana"/>
          <w:sz w:val="20"/>
          <w:szCs w:val="20"/>
          <w:lang w:val="en"/>
        </w:rPr>
        <w:t>The state of transport infrastructure by mode of transport and the problems identified.</w:t>
      </w:r>
    </w:p>
    <w:p w14:paraId="4E9AA32C" w14:textId="77777777" w:rsidR="00575623" w:rsidRPr="00584504" w:rsidRDefault="00575623" w:rsidP="00575623">
      <w:pPr>
        <w:jc w:val="both"/>
        <w:rPr>
          <w:rFonts w:ascii="Verdana" w:hAnsi="Verdana"/>
          <w:sz w:val="20"/>
          <w:szCs w:val="20"/>
          <w:lang w:val="bg-BG"/>
        </w:rPr>
      </w:pPr>
    </w:p>
    <w:p w14:paraId="1D72B15E" w14:textId="254C85CC" w:rsidR="00575623" w:rsidRPr="00584504" w:rsidRDefault="00575623" w:rsidP="00575623">
      <w:pPr>
        <w:jc w:val="both"/>
        <w:rPr>
          <w:rFonts w:ascii="Verdana" w:hAnsi="Verdana"/>
          <w:sz w:val="20"/>
          <w:szCs w:val="20"/>
          <w:lang w:val="bg-BG"/>
        </w:rPr>
      </w:pPr>
      <w:r w:rsidRPr="00584504">
        <w:rPr>
          <w:rFonts w:ascii="Verdana" w:hAnsi="Verdana"/>
          <w:sz w:val="20"/>
          <w:szCs w:val="20"/>
          <w:lang w:val="en"/>
        </w:rPr>
        <w:t>The analysis of the degree of integration of the national transport system into the TEN</w:t>
      </w:r>
      <w:r>
        <w:rPr>
          <w:rFonts w:ascii="Verdana" w:hAnsi="Verdana"/>
          <w:sz w:val="20"/>
          <w:szCs w:val="20"/>
          <w:lang w:val="en"/>
        </w:rPr>
        <w:t>-T</w:t>
      </w:r>
      <w:r w:rsidRPr="00584504">
        <w:rPr>
          <w:rFonts w:ascii="Verdana" w:hAnsi="Verdana"/>
          <w:sz w:val="20"/>
          <w:szCs w:val="20"/>
          <w:lang w:val="en"/>
        </w:rPr>
        <w:t xml:space="preserve"> also </w:t>
      </w:r>
      <w:r w:rsidR="002F7CA4">
        <w:rPr>
          <w:rFonts w:ascii="Verdana" w:hAnsi="Verdana"/>
          <w:sz w:val="20"/>
          <w:szCs w:val="20"/>
          <w:lang w:val="en"/>
        </w:rPr>
        <w:t>reflects the</w:t>
      </w:r>
      <w:r w:rsidRPr="00584504">
        <w:rPr>
          <w:rFonts w:ascii="Verdana" w:hAnsi="Verdana"/>
          <w:sz w:val="20"/>
          <w:szCs w:val="20"/>
          <w:lang w:val="en"/>
        </w:rPr>
        <w:t xml:space="preserve"> changes in EU policy regarding the </w:t>
      </w:r>
      <w:r>
        <w:rPr>
          <w:rFonts w:ascii="Verdana" w:hAnsi="Verdana"/>
          <w:sz w:val="20"/>
          <w:szCs w:val="20"/>
          <w:lang w:val="en"/>
        </w:rPr>
        <w:t>TEN</w:t>
      </w:r>
      <w:r w:rsidRPr="00584504">
        <w:rPr>
          <w:rFonts w:ascii="Verdana" w:hAnsi="Verdana"/>
          <w:sz w:val="20"/>
          <w:szCs w:val="20"/>
          <w:lang w:val="en"/>
        </w:rPr>
        <w:t xml:space="preserve">-T scope during the programme period. </w:t>
      </w:r>
      <w:r w:rsidRPr="00BC21C4">
        <w:rPr>
          <w:rFonts w:ascii="Verdana" w:hAnsi="Verdana"/>
          <w:sz w:val="20"/>
          <w:szCs w:val="20"/>
          <w:lang w:val="en"/>
        </w:rPr>
        <w:t>During the period considered, the EC's TEN-</w:t>
      </w:r>
      <w:r w:rsidRPr="00584504">
        <w:rPr>
          <w:rFonts w:ascii="Verdana" w:hAnsi="Verdana"/>
          <w:sz w:val="20"/>
          <w:szCs w:val="20"/>
          <w:lang w:val="en"/>
        </w:rPr>
        <w:t xml:space="preserve">T policy evolved significantly from a multimodal network with 30 separate priority axes and projects (2004) to a priority network of road, rail and inland waterways, ports, airports and terminals (2013) structured at two levels. The scope and technical requirements for TEN-T are </w:t>
      </w:r>
      <w:proofErr w:type="spellStart"/>
      <w:r w:rsidR="00056933" w:rsidRPr="00584504">
        <w:rPr>
          <w:rFonts w:ascii="Verdana" w:hAnsi="Verdana"/>
          <w:sz w:val="20"/>
          <w:szCs w:val="20"/>
          <w:lang w:val="en"/>
        </w:rPr>
        <w:t>de</w:t>
      </w:r>
      <w:r w:rsidR="00056933">
        <w:rPr>
          <w:rFonts w:ascii="Verdana" w:hAnsi="Verdana"/>
          <w:sz w:val="20"/>
          <w:szCs w:val="20"/>
          <w:lang w:val="en-US"/>
        </w:rPr>
        <w:t>scribed</w:t>
      </w:r>
      <w:proofErr w:type="spellEnd"/>
      <w:r>
        <w:rPr>
          <w:rFonts w:ascii="Verdana" w:hAnsi="Verdana"/>
          <w:sz w:val="20"/>
          <w:szCs w:val="20"/>
          <w:lang w:val="en-US"/>
        </w:rPr>
        <w:t xml:space="preserve"> </w:t>
      </w:r>
      <w:r w:rsidRPr="00584504">
        <w:rPr>
          <w:rFonts w:ascii="Verdana" w:hAnsi="Verdana"/>
          <w:sz w:val="20"/>
          <w:szCs w:val="20"/>
          <w:lang w:val="en"/>
        </w:rPr>
        <w:t xml:space="preserve">in the detailed version of this report. </w:t>
      </w:r>
      <w:bookmarkStart w:id="78" w:name="_Hlk49334212"/>
      <w:bookmarkEnd w:id="78"/>
      <w:r w:rsidRPr="00584504">
        <w:rPr>
          <w:rFonts w:ascii="Verdana" w:hAnsi="Verdana"/>
          <w:sz w:val="20"/>
          <w:szCs w:val="20"/>
          <w:vertAlign w:val="superscript"/>
          <w:lang w:val="en"/>
        </w:rPr>
        <w:footnoteReference w:id="15"/>
      </w:r>
      <w:r w:rsidRPr="00584504">
        <w:rPr>
          <w:rFonts w:ascii="Verdana" w:hAnsi="Verdana"/>
          <w:sz w:val="20"/>
          <w:szCs w:val="20"/>
          <w:vertAlign w:val="superscript"/>
          <w:lang w:val="en"/>
        </w:rPr>
        <w:footnoteReference w:id="16"/>
      </w:r>
    </w:p>
    <w:p w14:paraId="540B2995" w14:textId="77777777" w:rsidR="00575623" w:rsidRPr="00584504" w:rsidRDefault="00575623" w:rsidP="00575623">
      <w:pPr>
        <w:jc w:val="both"/>
        <w:rPr>
          <w:rFonts w:ascii="Verdana" w:hAnsi="Verdana"/>
          <w:sz w:val="20"/>
          <w:szCs w:val="20"/>
          <w:lang w:val="bg-BG"/>
        </w:rPr>
      </w:pPr>
      <w:r w:rsidRPr="00584504">
        <w:rPr>
          <w:rFonts w:ascii="Verdana" w:hAnsi="Verdana"/>
          <w:sz w:val="20"/>
          <w:szCs w:val="20"/>
          <w:lang w:val="en"/>
        </w:rPr>
        <w:t xml:space="preserve">In line with the policy towards the period of preparation and approval of </w:t>
      </w:r>
      <w:r>
        <w:rPr>
          <w:rFonts w:ascii="Verdana" w:hAnsi="Verdana"/>
          <w:sz w:val="20"/>
          <w:szCs w:val="20"/>
          <w:lang w:val="en"/>
        </w:rPr>
        <w:t>OPT</w:t>
      </w:r>
      <w:r w:rsidRPr="00584504">
        <w:rPr>
          <w:rFonts w:ascii="Verdana" w:hAnsi="Verdana"/>
          <w:sz w:val="20"/>
          <w:szCs w:val="20"/>
          <w:lang w:val="en"/>
        </w:rPr>
        <w:t xml:space="preserve"> 2007-2013, which focuses on the </w:t>
      </w:r>
      <w:r>
        <w:rPr>
          <w:rFonts w:ascii="Verdana" w:hAnsi="Verdana"/>
          <w:sz w:val="20"/>
          <w:szCs w:val="20"/>
          <w:lang w:val="en"/>
        </w:rPr>
        <w:t>TEN</w:t>
      </w:r>
      <w:r w:rsidRPr="00584504">
        <w:rPr>
          <w:rFonts w:ascii="Verdana" w:hAnsi="Verdana"/>
          <w:sz w:val="20"/>
          <w:szCs w:val="20"/>
          <w:lang w:val="en"/>
        </w:rPr>
        <w:t xml:space="preserve">-T priority axes, four of the eight major projects included in the indicative list of the first approved version of </w:t>
      </w:r>
      <w:r>
        <w:rPr>
          <w:rFonts w:ascii="Verdana" w:hAnsi="Verdana"/>
          <w:sz w:val="20"/>
          <w:szCs w:val="20"/>
          <w:lang w:val="en"/>
        </w:rPr>
        <w:t>OPT</w:t>
      </w:r>
      <w:r w:rsidRPr="00584504">
        <w:rPr>
          <w:rFonts w:ascii="Verdana" w:hAnsi="Verdana"/>
          <w:sz w:val="20"/>
          <w:szCs w:val="20"/>
          <w:lang w:val="en"/>
        </w:rPr>
        <w:t xml:space="preserve"> 2007-2013 are along the Vidin - Sofia – </w:t>
      </w:r>
      <w:proofErr w:type="spellStart"/>
      <w:r w:rsidRPr="00584504">
        <w:rPr>
          <w:rFonts w:ascii="Verdana" w:hAnsi="Verdana"/>
          <w:sz w:val="20"/>
          <w:szCs w:val="20"/>
          <w:lang w:val="en"/>
        </w:rPr>
        <w:t>Kulata</w:t>
      </w:r>
      <w:proofErr w:type="spellEnd"/>
      <w:r w:rsidRPr="00584504">
        <w:rPr>
          <w:rFonts w:ascii="Verdana" w:hAnsi="Verdana"/>
          <w:sz w:val="20"/>
          <w:szCs w:val="20"/>
          <w:lang w:val="en"/>
        </w:rPr>
        <w:t xml:space="preserve"> axis, and one is along the Danube river as follows:</w:t>
      </w:r>
    </w:p>
    <w:p w14:paraId="4B470914" w14:textId="14B95D00" w:rsidR="00575623" w:rsidRPr="00111BB3" w:rsidRDefault="00575623" w:rsidP="00575623">
      <w:pPr>
        <w:pStyle w:val="ListParagraph"/>
        <w:ind w:left="360"/>
        <w:jc w:val="both"/>
        <w:rPr>
          <w:rFonts w:ascii="Verdana" w:hAnsi="Verdana"/>
          <w:sz w:val="20"/>
          <w:szCs w:val="20"/>
          <w:lang w:val="en-US"/>
        </w:rPr>
      </w:pPr>
      <w:r w:rsidRPr="00111BB3">
        <w:rPr>
          <w:rFonts w:ascii="Verdana" w:hAnsi="Verdana"/>
          <w:sz w:val="20"/>
          <w:szCs w:val="20"/>
          <w:lang w:val="en-US"/>
        </w:rPr>
        <w:t xml:space="preserve">1. </w:t>
      </w:r>
      <w:r w:rsidR="00056933" w:rsidRPr="00111BB3">
        <w:rPr>
          <w:rFonts w:ascii="Verdana" w:hAnsi="Verdana"/>
          <w:sz w:val="20"/>
          <w:szCs w:val="20"/>
          <w:lang w:val="en-US"/>
        </w:rPr>
        <w:t>Moderni</w:t>
      </w:r>
      <w:r w:rsidR="00056933">
        <w:rPr>
          <w:rFonts w:ascii="Verdana" w:hAnsi="Verdana"/>
          <w:sz w:val="20"/>
          <w:szCs w:val="20"/>
          <w:lang w:val="en-US"/>
        </w:rPr>
        <w:t>z</w:t>
      </w:r>
      <w:r w:rsidR="00056933" w:rsidRPr="00111BB3">
        <w:rPr>
          <w:rFonts w:ascii="Verdana" w:hAnsi="Verdana"/>
          <w:sz w:val="20"/>
          <w:szCs w:val="20"/>
          <w:lang w:val="en-US"/>
        </w:rPr>
        <w:t>ation</w:t>
      </w:r>
      <w:r w:rsidRPr="00111BB3">
        <w:rPr>
          <w:rFonts w:ascii="Verdana" w:hAnsi="Verdana"/>
          <w:sz w:val="20"/>
          <w:szCs w:val="20"/>
          <w:lang w:val="en-US"/>
        </w:rPr>
        <w:t xml:space="preserve"> of the railway Vidin - Sofia</w:t>
      </w:r>
    </w:p>
    <w:p w14:paraId="7F3416D5" w14:textId="1C233ACC" w:rsidR="00575623" w:rsidRPr="00111BB3" w:rsidRDefault="00575623" w:rsidP="00575623">
      <w:pPr>
        <w:pStyle w:val="ListParagraph"/>
        <w:ind w:left="360"/>
        <w:jc w:val="both"/>
        <w:rPr>
          <w:rFonts w:ascii="Verdana" w:hAnsi="Verdana"/>
          <w:sz w:val="20"/>
          <w:szCs w:val="20"/>
          <w:lang w:val="en-US"/>
        </w:rPr>
      </w:pPr>
      <w:r w:rsidRPr="00111BB3">
        <w:rPr>
          <w:rFonts w:ascii="Verdana" w:hAnsi="Verdana"/>
          <w:sz w:val="20"/>
          <w:szCs w:val="20"/>
          <w:lang w:val="en-US"/>
        </w:rPr>
        <w:t xml:space="preserve">2. </w:t>
      </w:r>
      <w:r w:rsidR="00056933" w:rsidRPr="00111BB3">
        <w:rPr>
          <w:rFonts w:ascii="Verdana" w:hAnsi="Verdana"/>
          <w:sz w:val="20"/>
          <w:szCs w:val="20"/>
          <w:lang w:val="en-US"/>
        </w:rPr>
        <w:t>Moderni</w:t>
      </w:r>
      <w:r w:rsidR="00056933">
        <w:rPr>
          <w:rFonts w:ascii="Verdana" w:hAnsi="Verdana"/>
          <w:sz w:val="20"/>
          <w:szCs w:val="20"/>
          <w:lang w:val="en-US"/>
        </w:rPr>
        <w:t>z</w:t>
      </w:r>
      <w:r w:rsidR="00056933" w:rsidRPr="00111BB3">
        <w:rPr>
          <w:rFonts w:ascii="Verdana" w:hAnsi="Verdana"/>
          <w:sz w:val="20"/>
          <w:szCs w:val="20"/>
          <w:lang w:val="en-US"/>
        </w:rPr>
        <w:t>ation</w:t>
      </w:r>
      <w:r w:rsidRPr="00111BB3">
        <w:rPr>
          <w:rFonts w:ascii="Verdana" w:hAnsi="Verdana"/>
          <w:sz w:val="20"/>
          <w:szCs w:val="20"/>
          <w:lang w:val="en-US"/>
        </w:rPr>
        <w:t xml:space="preserve"> of the railway Sofia - Pernik - </w:t>
      </w:r>
      <w:proofErr w:type="spellStart"/>
      <w:r w:rsidRPr="00111BB3">
        <w:rPr>
          <w:rFonts w:ascii="Verdana" w:hAnsi="Verdana"/>
          <w:sz w:val="20"/>
          <w:szCs w:val="20"/>
          <w:lang w:val="en-US"/>
        </w:rPr>
        <w:t>Radomir</w:t>
      </w:r>
      <w:proofErr w:type="spellEnd"/>
    </w:p>
    <w:p w14:paraId="0C5CF007" w14:textId="34A7BD1B" w:rsidR="00575623" w:rsidRPr="00111BB3" w:rsidRDefault="00575623" w:rsidP="00575623">
      <w:pPr>
        <w:pStyle w:val="ListParagraph"/>
        <w:ind w:left="360"/>
        <w:jc w:val="both"/>
        <w:rPr>
          <w:rFonts w:ascii="Verdana" w:hAnsi="Verdana"/>
          <w:sz w:val="20"/>
          <w:szCs w:val="20"/>
          <w:lang w:val="en-US"/>
        </w:rPr>
      </w:pPr>
      <w:r w:rsidRPr="00111BB3">
        <w:rPr>
          <w:rFonts w:ascii="Verdana" w:hAnsi="Verdana"/>
          <w:sz w:val="20"/>
          <w:szCs w:val="20"/>
          <w:lang w:val="en-US"/>
        </w:rPr>
        <w:t xml:space="preserve">3. </w:t>
      </w:r>
      <w:r w:rsidR="00056933" w:rsidRPr="00111BB3">
        <w:rPr>
          <w:rFonts w:ascii="Verdana" w:hAnsi="Verdana"/>
          <w:sz w:val="20"/>
          <w:szCs w:val="20"/>
          <w:lang w:val="en-US"/>
        </w:rPr>
        <w:t>Moderni</w:t>
      </w:r>
      <w:r w:rsidR="00056933">
        <w:rPr>
          <w:rFonts w:ascii="Verdana" w:hAnsi="Verdana"/>
          <w:sz w:val="20"/>
          <w:szCs w:val="20"/>
          <w:lang w:val="en-US"/>
        </w:rPr>
        <w:t>z</w:t>
      </w:r>
      <w:r w:rsidR="00056933" w:rsidRPr="00111BB3">
        <w:rPr>
          <w:rFonts w:ascii="Verdana" w:hAnsi="Verdana"/>
          <w:sz w:val="20"/>
          <w:szCs w:val="20"/>
          <w:lang w:val="en-US"/>
        </w:rPr>
        <w:t>ation</w:t>
      </w:r>
      <w:r w:rsidRPr="00111BB3">
        <w:rPr>
          <w:rFonts w:ascii="Verdana" w:hAnsi="Verdana"/>
          <w:sz w:val="20"/>
          <w:szCs w:val="20"/>
          <w:lang w:val="en-US"/>
        </w:rPr>
        <w:t xml:space="preserve"> of the section of road I-1 (E 79) Vratsa - </w:t>
      </w:r>
      <w:proofErr w:type="spellStart"/>
      <w:r w:rsidRPr="00111BB3">
        <w:rPr>
          <w:rFonts w:ascii="Verdana" w:hAnsi="Verdana"/>
          <w:sz w:val="20"/>
          <w:szCs w:val="20"/>
          <w:lang w:val="en-US"/>
        </w:rPr>
        <w:t>Botevgrad</w:t>
      </w:r>
      <w:proofErr w:type="spellEnd"/>
    </w:p>
    <w:p w14:paraId="6470FFC0" w14:textId="77777777" w:rsidR="00575623" w:rsidRPr="00111BB3" w:rsidRDefault="00575623" w:rsidP="00575623">
      <w:pPr>
        <w:pStyle w:val="ListParagraph"/>
        <w:ind w:left="360"/>
        <w:jc w:val="both"/>
        <w:rPr>
          <w:rFonts w:ascii="Verdana" w:hAnsi="Verdana"/>
          <w:sz w:val="20"/>
          <w:szCs w:val="20"/>
          <w:lang w:val="en-US"/>
        </w:rPr>
      </w:pPr>
      <w:r w:rsidRPr="00111BB3">
        <w:rPr>
          <w:rFonts w:ascii="Verdana" w:hAnsi="Verdana"/>
          <w:sz w:val="20"/>
          <w:szCs w:val="20"/>
          <w:lang w:val="en-US"/>
        </w:rPr>
        <w:t>4. Construction of Struma Motorway and</w:t>
      </w:r>
    </w:p>
    <w:p w14:paraId="5E106654" w14:textId="77777777" w:rsidR="00575623" w:rsidRPr="00111BB3" w:rsidRDefault="00575623" w:rsidP="00575623">
      <w:pPr>
        <w:pStyle w:val="ListParagraph"/>
        <w:ind w:left="360"/>
        <w:jc w:val="both"/>
        <w:rPr>
          <w:rFonts w:ascii="Verdana" w:hAnsi="Verdana"/>
          <w:sz w:val="20"/>
          <w:szCs w:val="20"/>
          <w:lang w:val="en-US"/>
        </w:rPr>
      </w:pPr>
      <w:r w:rsidRPr="00111BB3">
        <w:rPr>
          <w:rFonts w:ascii="Verdana" w:hAnsi="Verdana"/>
          <w:sz w:val="20"/>
          <w:szCs w:val="20"/>
          <w:lang w:val="en-US"/>
        </w:rPr>
        <w:t xml:space="preserve">5. Improvement of navigation in the Bulgarian-Romanian section of the Danube River from km 530 to km 520 - </w:t>
      </w:r>
      <w:proofErr w:type="spellStart"/>
      <w:r w:rsidRPr="00111BB3">
        <w:rPr>
          <w:rFonts w:ascii="Verdana" w:hAnsi="Verdana"/>
          <w:sz w:val="20"/>
          <w:szCs w:val="20"/>
          <w:lang w:val="en-US"/>
        </w:rPr>
        <w:t>Batin</w:t>
      </w:r>
      <w:proofErr w:type="spellEnd"/>
      <w:r w:rsidRPr="00111BB3">
        <w:rPr>
          <w:rFonts w:ascii="Verdana" w:hAnsi="Verdana"/>
          <w:sz w:val="20"/>
          <w:szCs w:val="20"/>
          <w:lang w:val="en-US"/>
        </w:rPr>
        <w:t xml:space="preserve"> and from km 576 to km 560 - </w:t>
      </w:r>
      <w:proofErr w:type="spellStart"/>
      <w:r w:rsidRPr="00111BB3">
        <w:rPr>
          <w:rFonts w:ascii="Verdana" w:hAnsi="Verdana"/>
          <w:sz w:val="20"/>
          <w:szCs w:val="20"/>
          <w:lang w:val="en-US"/>
        </w:rPr>
        <w:t>Belene</w:t>
      </w:r>
      <w:proofErr w:type="spellEnd"/>
      <w:r w:rsidRPr="00111BB3">
        <w:rPr>
          <w:rFonts w:ascii="Verdana" w:hAnsi="Verdana"/>
          <w:sz w:val="20"/>
          <w:szCs w:val="20"/>
          <w:lang w:val="en-US"/>
        </w:rPr>
        <w:t>.</w:t>
      </w:r>
    </w:p>
    <w:p w14:paraId="36328ED7" w14:textId="77777777" w:rsidR="00575623" w:rsidRPr="00584504" w:rsidRDefault="00575623" w:rsidP="00575623">
      <w:pPr>
        <w:jc w:val="both"/>
        <w:rPr>
          <w:rFonts w:ascii="Verdana" w:hAnsi="Verdana"/>
          <w:sz w:val="20"/>
          <w:szCs w:val="20"/>
          <w:lang w:val="bg-BG"/>
        </w:rPr>
      </w:pPr>
    </w:p>
    <w:p w14:paraId="4C9E9E47" w14:textId="77777777" w:rsidR="00575623" w:rsidRPr="00D627C9" w:rsidRDefault="00575623" w:rsidP="00575623">
      <w:pPr>
        <w:jc w:val="both"/>
        <w:rPr>
          <w:rFonts w:ascii="Verdana" w:hAnsi="Verdana"/>
          <w:sz w:val="20"/>
          <w:szCs w:val="20"/>
          <w:lang w:val="en"/>
        </w:rPr>
      </w:pPr>
      <w:r w:rsidRPr="00D627C9">
        <w:rPr>
          <w:rFonts w:ascii="Verdana" w:hAnsi="Verdana"/>
          <w:sz w:val="20"/>
          <w:szCs w:val="20"/>
          <w:lang w:val="en"/>
        </w:rPr>
        <w:t>Following the publication in 2009 of the Commission's Communication "A Sustainable Future of Transport - Towards an Integrated, Technology-Led and User-Friendly System", and taking into account other relevant factors discussed in detail in the answer to Question 3, the indicative list of major projects of OPT 2007 – 2013  has been revised to meet the new guidelines for:</w:t>
      </w:r>
    </w:p>
    <w:p w14:paraId="7C2AF144" w14:textId="64797FA5" w:rsidR="00575623" w:rsidRPr="00D627C9" w:rsidRDefault="00575623" w:rsidP="00575623">
      <w:pPr>
        <w:spacing w:after="0"/>
        <w:ind w:left="720"/>
        <w:jc w:val="both"/>
        <w:rPr>
          <w:rFonts w:ascii="Verdana" w:hAnsi="Verdana"/>
          <w:sz w:val="20"/>
          <w:szCs w:val="20"/>
          <w:lang w:val="en"/>
        </w:rPr>
      </w:pPr>
      <w:r w:rsidRPr="00D627C9">
        <w:rPr>
          <w:rFonts w:ascii="Verdana" w:hAnsi="Verdana"/>
          <w:sz w:val="20"/>
          <w:szCs w:val="20"/>
          <w:lang w:val="en"/>
        </w:rPr>
        <w:t>•</w:t>
      </w:r>
      <w:r w:rsidRPr="00D627C9">
        <w:rPr>
          <w:rFonts w:ascii="Verdana" w:hAnsi="Verdana"/>
          <w:sz w:val="20"/>
          <w:szCs w:val="20"/>
          <w:lang w:val="en"/>
        </w:rPr>
        <w:tab/>
        <w:t xml:space="preserve">fully integrated and </w:t>
      </w:r>
      <w:r w:rsidR="007F6D36" w:rsidRPr="00D627C9">
        <w:rPr>
          <w:rFonts w:ascii="Verdana" w:hAnsi="Verdana"/>
          <w:sz w:val="20"/>
          <w:szCs w:val="20"/>
          <w:lang w:val="en"/>
        </w:rPr>
        <w:t>optimized</w:t>
      </w:r>
      <w:r w:rsidRPr="00D627C9">
        <w:rPr>
          <w:rFonts w:ascii="Verdana" w:hAnsi="Verdana"/>
          <w:sz w:val="20"/>
          <w:szCs w:val="20"/>
          <w:lang w:val="en"/>
        </w:rPr>
        <w:t xml:space="preserve"> networks that function as a whole and</w:t>
      </w:r>
    </w:p>
    <w:p w14:paraId="1676B7FD" w14:textId="77777777" w:rsidR="00575623" w:rsidRDefault="00575623" w:rsidP="00575623">
      <w:pPr>
        <w:ind w:left="720"/>
        <w:jc w:val="both"/>
        <w:rPr>
          <w:rFonts w:ascii="Verdana" w:hAnsi="Verdana"/>
          <w:sz w:val="20"/>
          <w:szCs w:val="20"/>
          <w:lang w:val="en-US"/>
        </w:rPr>
      </w:pPr>
      <w:r w:rsidRPr="00D627C9">
        <w:rPr>
          <w:rFonts w:ascii="Verdana" w:hAnsi="Verdana"/>
          <w:sz w:val="20"/>
          <w:szCs w:val="20"/>
          <w:lang w:val="en"/>
        </w:rPr>
        <w:t>•</w:t>
      </w:r>
      <w:r w:rsidRPr="00D627C9">
        <w:rPr>
          <w:rFonts w:ascii="Verdana" w:hAnsi="Verdana"/>
          <w:sz w:val="20"/>
          <w:szCs w:val="20"/>
          <w:lang w:val="en"/>
        </w:rPr>
        <w:tab/>
        <w:t>full integration and interoperability of</w:t>
      </w:r>
      <w:r>
        <w:rPr>
          <w:rFonts w:ascii="Verdana" w:hAnsi="Verdana"/>
          <w:sz w:val="20"/>
          <w:szCs w:val="20"/>
          <w:lang w:val="en"/>
        </w:rPr>
        <w:t xml:space="preserve"> </w:t>
      </w:r>
      <w:r w:rsidRPr="00D627C9">
        <w:rPr>
          <w:rFonts w:ascii="Verdana" w:hAnsi="Verdana"/>
          <w:sz w:val="20"/>
          <w:szCs w:val="20"/>
          <w:lang w:val="en"/>
        </w:rPr>
        <w:t>individual parts of the network.</w:t>
      </w:r>
    </w:p>
    <w:p w14:paraId="637D292B" w14:textId="77777777" w:rsidR="00575623" w:rsidRPr="00584504" w:rsidRDefault="00575623" w:rsidP="00575623">
      <w:pPr>
        <w:jc w:val="both"/>
        <w:rPr>
          <w:rFonts w:ascii="Verdana" w:hAnsi="Verdana"/>
          <w:sz w:val="20"/>
          <w:szCs w:val="20"/>
          <w:lang w:val="bg-BG"/>
        </w:rPr>
      </w:pPr>
      <w:r w:rsidRPr="00584504">
        <w:rPr>
          <w:rFonts w:ascii="Verdana" w:hAnsi="Verdana"/>
          <w:sz w:val="20"/>
          <w:szCs w:val="20"/>
          <w:lang w:val="en"/>
        </w:rPr>
        <w:t xml:space="preserve">This leads to the inclusion of new projects that are in the </w:t>
      </w:r>
      <w:r>
        <w:rPr>
          <w:rFonts w:ascii="Verdana" w:hAnsi="Verdana"/>
          <w:sz w:val="20"/>
          <w:szCs w:val="20"/>
          <w:lang w:val="en"/>
        </w:rPr>
        <w:t>TEN</w:t>
      </w:r>
      <w:r w:rsidRPr="00584504">
        <w:rPr>
          <w:rFonts w:ascii="Verdana" w:hAnsi="Verdana"/>
          <w:sz w:val="20"/>
          <w:szCs w:val="20"/>
          <w:lang w:val="en"/>
        </w:rPr>
        <w:t xml:space="preserve">-T directions but are not part of the priority axes, which is at the expense of the first three projects mentioned above in the direction </w:t>
      </w:r>
      <w:r>
        <w:rPr>
          <w:rFonts w:ascii="Verdana" w:hAnsi="Verdana"/>
          <w:sz w:val="20"/>
          <w:szCs w:val="20"/>
          <w:lang w:val="en"/>
        </w:rPr>
        <w:t>V</w:t>
      </w:r>
      <w:r w:rsidRPr="00584504">
        <w:rPr>
          <w:rFonts w:ascii="Verdana" w:hAnsi="Verdana"/>
          <w:sz w:val="20"/>
          <w:szCs w:val="20"/>
          <w:lang w:val="en"/>
        </w:rPr>
        <w:t xml:space="preserve">idin - Sofia - </w:t>
      </w:r>
      <w:proofErr w:type="spellStart"/>
      <w:r w:rsidRPr="00584504">
        <w:rPr>
          <w:rFonts w:ascii="Verdana" w:hAnsi="Verdana"/>
          <w:sz w:val="20"/>
          <w:szCs w:val="20"/>
          <w:lang w:val="en"/>
        </w:rPr>
        <w:t>Kulata</w:t>
      </w:r>
      <w:proofErr w:type="spellEnd"/>
      <w:r w:rsidRPr="00584504">
        <w:rPr>
          <w:rFonts w:ascii="Verdana" w:hAnsi="Verdana"/>
          <w:sz w:val="20"/>
          <w:szCs w:val="20"/>
          <w:lang w:val="en"/>
        </w:rPr>
        <w:t>. The new major projects included in the first amendment</w:t>
      </w:r>
      <w:r w:rsidRPr="00125CA4">
        <w:rPr>
          <w:rFonts w:ascii="Verdana" w:hAnsi="Verdana"/>
          <w:sz w:val="20"/>
          <w:szCs w:val="20"/>
          <w:lang w:val="en"/>
        </w:rPr>
        <w:t xml:space="preserve"> </w:t>
      </w:r>
      <w:r>
        <w:rPr>
          <w:rFonts w:ascii="Verdana" w:hAnsi="Verdana"/>
          <w:sz w:val="20"/>
          <w:szCs w:val="20"/>
          <w:lang w:val="en"/>
        </w:rPr>
        <w:t>of the OPT</w:t>
      </w:r>
      <w:r w:rsidRPr="00584504">
        <w:rPr>
          <w:rFonts w:ascii="Verdana" w:hAnsi="Verdana"/>
          <w:sz w:val="20"/>
          <w:szCs w:val="20"/>
          <w:lang w:val="en"/>
        </w:rPr>
        <w:t xml:space="preserve"> </w:t>
      </w:r>
      <w:r>
        <w:rPr>
          <w:rFonts w:ascii="Verdana" w:hAnsi="Verdana"/>
          <w:sz w:val="20"/>
          <w:szCs w:val="20"/>
          <w:lang w:val="en"/>
        </w:rPr>
        <w:t>in</w:t>
      </w:r>
      <w:r w:rsidRPr="00584504">
        <w:rPr>
          <w:rFonts w:ascii="Verdana" w:hAnsi="Verdana"/>
          <w:sz w:val="20"/>
          <w:szCs w:val="20"/>
          <w:lang w:val="en"/>
        </w:rPr>
        <w:t xml:space="preserve"> 2011 are:</w:t>
      </w:r>
    </w:p>
    <w:p w14:paraId="53A142AB" w14:textId="77777777" w:rsidR="00575623" w:rsidRPr="00E57EDA" w:rsidRDefault="00575623" w:rsidP="00056933">
      <w:pPr>
        <w:spacing w:after="0"/>
        <w:ind w:left="1134" w:hanging="414"/>
        <w:jc w:val="both"/>
        <w:rPr>
          <w:rFonts w:ascii="Verdana" w:hAnsi="Verdana"/>
          <w:sz w:val="20"/>
          <w:szCs w:val="20"/>
          <w:lang w:val="en"/>
        </w:rPr>
      </w:pPr>
      <w:r w:rsidRPr="00D627C9">
        <w:rPr>
          <w:rFonts w:ascii="Verdana" w:hAnsi="Verdana"/>
          <w:sz w:val="20"/>
          <w:szCs w:val="20"/>
          <w:lang w:val="en"/>
        </w:rPr>
        <w:lastRenderedPageBreak/>
        <w:t>•</w:t>
      </w:r>
      <w:r w:rsidRPr="00D627C9">
        <w:rPr>
          <w:rFonts w:ascii="Verdana" w:hAnsi="Verdana"/>
          <w:sz w:val="20"/>
          <w:szCs w:val="20"/>
          <w:lang w:val="en"/>
        </w:rPr>
        <w:tab/>
      </w:r>
      <w:r w:rsidRPr="00E57EDA">
        <w:rPr>
          <w:rFonts w:ascii="Verdana" w:hAnsi="Verdana"/>
          <w:sz w:val="20"/>
          <w:szCs w:val="20"/>
          <w:lang w:val="en"/>
        </w:rPr>
        <w:t xml:space="preserve">Rehabilitation Railway Infrastructure in sections of Plovdiv – </w:t>
      </w:r>
      <w:proofErr w:type="spellStart"/>
      <w:r w:rsidRPr="00E57EDA">
        <w:rPr>
          <w:rFonts w:ascii="Verdana" w:hAnsi="Verdana"/>
          <w:sz w:val="20"/>
          <w:szCs w:val="20"/>
          <w:lang w:val="en"/>
        </w:rPr>
        <w:t>Burgas</w:t>
      </w:r>
      <w:proofErr w:type="spellEnd"/>
      <w:r w:rsidRPr="00E57EDA">
        <w:rPr>
          <w:rFonts w:ascii="Verdana" w:hAnsi="Verdana"/>
          <w:sz w:val="20"/>
          <w:szCs w:val="20"/>
          <w:lang w:val="en"/>
        </w:rPr>
        <w:t xml:space="preserve"> Railway line</w:t>
      </w:r>
    </w:p>
    <w:p w14:paraId="6C87711C" w14:textId="77777777" w:rsidR="00575623" w:rsidRPr="00E57EDA" w:rsidRDefault="00575623" w:rsidP="00056933">
      <w:pPr>
        <w:spacing w:after="0"/>
        <w:ind w:left="1134" w:hanging="414"/>
        <w:jc w:val="both"/>
        <w:rPr>
          <w:rFonts w:ascii="Verdana" w:hAnsi="Verdana"/>
          <w:sz w:val="20"/>
          <w:szCs w:val="20"/>
          <w:lang w:val="en"/>
        </w:rPr>
      </w:pPr>
      <w:r w:rsidRPr="00E57EDA">
        <w:rPr>
          <w:rFonts w:ascii="Verdana" w:hAnsi="Verdana"/>
          <w:sz w:val="20"/>
          <w:szCs w:val="20"/>
          <w:lang w:val="en"/>
        </w:rPr>
        <w:t>•</w:t>
      </w:r>
      <w:r w:rsidRPr="00E57EDA">
        <w:rPr>
          <w:rFonts w:ascii="Verdana" w:hAnsi="Verdana"/>
          <w:sz w:val="20"/>
          <w:szCs w:val="20"/>
          <w:lang w:val="en"/>
        </w:rPr>
        <w:tab/>
        <w:t xml:space="preserve">Electrification and Reconstruction of </w:t>
      </w:r>
      <w:proofErr w:type="spellStart"/>
      <w:r w:rsidRPr="00E57EDA">
        <w:rPr>
          <w:rFonts w:ascii="Verdana" w:hAnsi="Verdana"/>
          <w:sz w:val="20"/>
          <w:szCs w:val="20"/>
          <w:lang w:val="en"/>
        </w:rPr>
        <w:t>Svilengrad</w:t>
      </w:r>
      <w:proofErr w:type="spellEnd"/>
      <w:r w:rsidRPr="00E57EDA">
        <w:rPr>
          <w:rFonts w:ascii="Verdana" w:hAnsi="Verdana"/>
          <w:sz w:val="20"/>
          <w:szCs w:val="20"/>
          <w:lang w:val="en"/>
        </w:rPr>
        <w:t xml:space="preserve"> railway line – Turkish border and</w:t>
      </w:r>
    </w:p>
    <w:p w14:paraId="230B3AF5" w14:textId="36980A41" w:rsidR="00575623" w:rsidRDefault="00575623" w:rsidP="00056933">
      <w:pPr>
        <w:spacing w:after="0"/>
        <w:ind w:left="1134" w:hanging="414"/>
        <w:jc w:val="both"/>
        <w:rPr>
          <w:rFonts w:ascii="Verdana" w:hAnsi="Verdana"/>
          <w:sz w:val="20"/>
          <w:szCs w:val="20"/>
          <w:lang w:val="en-US"/>
        </w:rPr>
      </w:pPr>
      <w:r w:rsidRPr="00E57EDA">
        <w:rPr>
          <w:rFonts w:ascii="Verdana" w:hAnsi="Verdana"/>
          <w:sz w:val="20"/>
          <w:szCs w:val="20"/>
          <w:lang w:val="en"/>
        </w:rPr>
        <w:t>•</w:t>
      </w:r>
      <w:r w:rsidRPr="00E57EDA">
        <w:rPr>
          <w:rFonts w:ascii="Verdana" w:hAnsi="Verdana"/>
          <w:sz w:val="20"/>
          <w:szCs w:val="20"/>
          <w:lang w:val="en"/>
        </w:rPr>
        <w:tab/>
        <w:t>Completion of Am Thrace - lots 2, 3 and 4</w:t>
      </w:r>
      <w:r w:rsidRPr="00D627C9">
        <w:rPr>
          <w:rFonts w:ascii="Verdana" w:hAnsi="Verdana"/>
          <w:sz w:val="20"/>
          <w:szCs w:val="20"/>
          <w:lang w:val="en"/>
        </w:rPr>
        <w:t>.</w:t>
      </w:r>
    </w:p>
    <w:p w14:paraId="00E17F2E" w14:textId="77777777" w:rsidR="00575623" w:rsidRPr="00584504" w:rsidRDefault="00575623" w:rsidP="00575623">
      <w:pPr>
        <w:jc w:val="both"/>
        <w:rPr>
          <w:rFonts w:ascii="Verdana" w:hAnsi="Verdana"/>
          <w:sz w:val="20"/>
          <w:szCs w:val="20"/>
          <w:lang w:val="bg-BG"/>
        </w:rPr>
      </w:pPr>
      <w:r w:rsidRPr="00584504">
        <w:rPr>
          <w:rFonts w:ascii="Verdana" w:hAnsi="Verdana"/>
          <w:sz w:val="20"/>
          <w:szCs w:val="20"/>
          <w:lang w:val="en"/>
        </w:rPr>
        <w:t xml:space="preserve">The bypass </w:t>
      </w:r>
      <w:r>
        <w:rPr>
          <w:rFonts w:ascii="Verdana" w:hAnsi="Verdana"/>
          <w:sz w:val="20"/>
          <w:szCs w:val="20"/>
          <w:lang w:val="en"/>
        </w:rPr>
        <w:t xml:space="preserve">road </w:t>
      </w:r>
      <w:r w:rsidRPr="00584504">
        <w:rPr>
          <w:rFonts w:ascii="Verdana" w:hAnsi="Verdana"/>
          <w:sz w:val="20"/>
          <w:szCs w:val="20"/>
          <w:lang w:val="en"/>
        </w:rPr>
        <w:t>of Gabrovo is included in the second amendment of 2013.</w:t>
      </w:r>
    </w:p>
    <w:p w14:paraId="65D8C7B3" w14:textId="110E21E1" w:rsidR="00575623" w:rsidRPr="00584504" w:rsidRDefault="00575623" w:rsidP="00575623">
      <w:pPr>
        <w:jc w:val="both"/>
        <w:rPr>
          <w:rFonts w:ascii="Verdana" w:hAnsi="Verdana"/>
          <w:sz w:val="20"/>
          <w:szCs w:val="20"/>
          <w:lang w:val="bg-BG"/>
        </w:rPr>
      </w:pPr>
      <w:r w:rsidRPr="00BF2751">
        <w:rPr>
          <w:rFonts w:ascii="Verdana" w:hAnsi="Verdana"/>
          <w:sz w:val="20"/>
          <w:szCs w:val="20"/>
          <w:lang w:val="en"/>
        </w:rPr>
        <w:t>At the end of the OPT 2007-2013 period, the processes for the revision and development of European transport policy with regard to TEN-T are clearly expressed in Regulation (EU) No 1315/2013 of the European Parliament and of the Council of 11 December 2013 on Union guidelines for the development of the trans-European transport network. The main objective of the Regulation is the development of a comprehensive</w:t>
      </w:r>
      <w:r>
        <w:rPr>
          <w:rFonts w:ascii="Verdana" w:hAnsi="Verdana"/>
          <w:sz w:val="20"/>
          <w:szCs w:val="20"/>
          <w:lang w:val="en"/>
        </w:rPr>
        <w:t xml:space="preserve"> </w:t>
      </w:r>
      <w:r w:rsidRPr="00BF2751">
        <w:rPr>
          <w:rFonts w:ascii="Verdana" w:hAnsi="Verdana"/>
          <w:sz w:val="20"/>
          <w:szCs w:val="20"/>
          <w:lang w:val="en"/>
        </w:rPr>
        <w:t xml:space="preserve">and integrated trans-European transport network, covering all Member States and regions, as well as their links with </w:t>
      </w:r>
      <w:r w:rsidR="007F6D36" w:rsidRPr="00BF2751">
        <w:rPr>
          <w:rFonts w:ascii="Verdana" w:hAnsi="Verdana"/>
          <w:sz w:val="20"/>
          <w:szCs w:val="20"/>
          <w:lang w:val="en"/>
        </w:rPr>
        <w:t>neighboring</w:t>
      </w:r>
      <w:r w:rsidRPr="00BF2751">
        <w:rPr>
          <w:rFonts w:ascii="Verdana" w:hAnsi="Verdana"/>
          <w:sz w:val="20"/>
          <w:szCs w:val="20"/>
          <w:lang w:val="en"/>
        </w:rPr>
        <w:t xml:space="preserve"> third countries, and provides a basis for the balanced development of all modes of transport in order to stimulate their respective advantages and to </w:t>
      </w:r>
      <w:r w:rsidR="007F6D36" w:rsidRPr="00BF2751">
        <w:rPr>
          <w:rFonts w:ascii="Verdana" w:hAnsi="Verdana"/>
          <w:sz w:val="20"/>
          <w:szCs w:val="20"/>
          <w:lang w:val="en"/>
        </w:rPr>
        <w:t>realize</w:t>
      </w:r>
      <w:r w:rsidRPr="00BF2751">
        <w:rPr>
          <w:rFonts w:ascii="Verdana" w:hAnsi="Verdana"/>
          <w:sz w:val="20"/>
          <w:szCs w:val="20"/>
          <w:lang w:val="en"/>
        </w:rPr>
        <w:t xml:space="preserve"> the maximum European added value of the network.</w:t>
      </w:r>
      <w:bookmarkStart w:id="79" w:name="_Hlk54015303"/>
      <w:r w:rsidRPr="00584504">
        <w:rPr>
          <w:rFonts w:ascii="Verdana" w:hAnsi="Verdana"/>
          <w:sz w:val="20"/>
          <w:szCs w:val="20"/>
          <w:lang w:val="en"/>
        </w:rPr>
        <w:t xml:space="preserve"> The TEN-T network is structured on two levels</w:t>
      </w:r>
      <w:r>
        <w:rPr>
          <w:rFonts w:ascii="Verdana" w:hAnsi="Verdana"/>
          <w:sz w:val="20"/>
          <w:szCs w:val="20"/>
          <w:lang w:val="en"/>
        </w:rPr>
        <w:t>:</w:t>
      </w:r>
      <w:r w:rsidRPr="00584504">
        <w:rPr>
          <w:rFonts w:ascii="Verdana" w:hAnsi="Verdana"/>
          <w:sz w:val="20"/>
          <w:szCs w:val="20"/>
          <w:lang w:val="en"/>
        </w:rPr>
        <w:t xml:space="preserve"> a comprehensive and core network, which are more </w:t>
      </w:r>
      <w:r>
        <w:rPr>
          <w:rFonts w:ascii="Verdana" w:hAnsi="Verdana"/>
          <w:sz w:val="20"/>
          <w:szCs w:val="20"/>
          <w:lang w:val="en"/>
        </w:rPr>
        <w:t>presented</w:t>
      </w:r>
      <w:r w:rsidRPr="00584504">
        <w:rPr>
          <w:rFonts w:ascii="Verdana" w:hAnsi="Verdana"/>
          <w:sz w:val="20"/>
          <w:szCs w:val="20"/>
          <w:lang w:val="en"/>
        </w:rPr>
        <w:t xml:space="preserve"> in the detailed version of this report.</w:t>
      </w:r>
    </w:p>
    <w:p w14:paraId="4871FC83" w14:textId="77777777" w:rsidR="00575623" w:rsidRPr="00C36824" w:rsidRDefault="00575623" w:rsidP="00575623">
      <w:pPr>
        <w:jc w:val="both"/>
        <w:rPr>
          <w:rFonts w:ascii="Verdana" w:hAnsi="Verdana"/>
          <w:sz w:val="20"/>
          <w:szCs w:val="20"/>
          <w:lang w:val="en-US"/>
        </w:rPr>
      </w:pPr>
      <w:r w:rsidRPr="00584504">
        <w:rPr>
          <w:rFonts w:ascii="Verdana" w:hAnsi="Verdana"/>
          <w:sz w:val="20"/>
          <w:szCs w:val="20"/>
          <w:lang w:val="en"/>
        </w:rPr>
        <w:t>OPT 2007 - 2013 does not specify</w:t>
      </w:r>
      <w:r w:rsidRPr="00584504">
        <w:rPr>
          <w:rFonts w:ascii="Verdana" w:hAnsi="Verdana"/>
          <w:i/>
          <w:iCs/>
          <w:sz w:val="20"/>
          <w:szCs w:val="20"/>
          <w:lang w:val="en"/>
        </w:rPr>
        <w:t xml:space="preserve"> </w:t>
      </w:r>
      <w:r w:rsidRPr="00584504">
        <w:rPr>
          <w:rFonts w:ascii="Verdana" w:hAnsi="Verdana"/>
          <w:sz w:val="20"/>
          <w:szCs w:val="20"/>
          <w:lang w:val="en"/>
        </w:rPr>
        <w:t>requirements for the technical parameters of TEN-T networks,</w:t>
      </w:r>
      <w:r>
        <w:rPr>
          <w:rFonts w:ascii="Verdana" w:hAnsi="Verdana"/>
          <w:sz w:val="20"/>
          <w:szCs w:val="20"/>
          <w:lang w:val="en"/>
        </w:rPr>
        <w:t xml:space="preserve"> </w:t>
      </w:r>
      <w:r w:rsidRPr="00584504">
        <w:rPr>
          <w:rFonts w:ascii="Verdana" w:hAnsi="Verdana"/>
          <w:sz w:val="20"/>
          <w:szCs w:val="20"/>
          <w:lang w:val="en"/>
        </w:rPr>
        <w:t>using quality characteristics such as "</w:t>
      </w:r>
      <w:r w:rsidRPr="00584504">
        <w:rPr>
          <w:rFonts w:ascii="Verdana" w:hAnsi="Verdana"/>
          <w:i/>
          <w:iCs/>
          <w:sz w:val="20"/>
          <w:szCs w:val="20"/>
          <w:lang w:val="en"/>
        </w:rPr>
        <w:t>reaching European standards", "compliance with modern requirements", "ensuring modern management</w:t>
      </w:r>
      <w:r w:rsidRPr="00584504">
        <w:rPr>
          <w:rFonts w:ascii="Verdana" w:hAnsi="Verdana"/>
          <w:sz w:val="20"/>
          <w:szCs w:val="20"/>
          <w:lang w:val="en"/>
        </w:rPr>
        <w:t xml:space="preserve">", etc. The lack of clear criteria makes it difficult to </w:t>
      </w:r>
      <w:r w:rsidRPr="00D06A14">
        <w:rPr>
          <w:rFonts w:ascii="Verdana" w:hAnsi="Verdana"/>
          <w:sz w:val="20"/>
          <w:szCs w:val="20"/>
          <w:lang w:val="en"/>
        </w:rPr>
        <w:t>evaluate the degree of compliance</w:t>
      </w:r>
      <w:r w:rsidRPr="00C36824">
        <w:rPr>
          <w:rFonts w:ascii="Verdana" w:hAnsi="Verdana"/>
          <w:sz w:val="20"/>
          <w:szCs w:val="20"/>
          <w:lang w:val="en"/>
        </w:rPr>
        <w:t xml:space="preserve"> achieved and allows for different interpretations.</w:t>
      </w:r>
    </w:p>
    <w:p w14:paraId="57F114C4" w14:textId="77777777" w:rsidR="00575623" w:rsidRDefault="00575623" w:rsidP="00575623">
      <w:pPr>
        <w:jc w:val="both"/>
        <w:rPr>
          <w:rFonts w:ascii="Verdana" w:hAnsi="Verdana"/>
          <w:sz w:val="20"/>
          <w:szCs w:val="20"/>
          <w:lang w:val="en"/>
        </w:rPr>
      </w:pPr>
      <w:r w:rsidRPr="00584504">
        <w:rPr>
          <w:rFonts w:ascii="Verdana" w:hAnsi="Verdana"/>
          <w:sz w:val="20"/>
          <w:szCs w:val="20"/>
          <w:lang w:val="en"/>
        </w:rPr>
        <w:t>It is essential and new to European transport policy at the time of adoption of Regulation 1315/2013 that it lays down the minimum technical requirements that infrastructure by mode of transport should meet at the latest by:</w:t>
      </w:r>
    </w:p>
    <w:p w14:paraId="56B6819D" w14:textId="77777777" w:rsidR="00575623" w:rsidRPr="00912B08" w:rsidRDefault="00575623" w:rsidP="00575623">
      <w:pPr>
        <w:spacing w:after="0"/>
        <w:ind w:left="720"/>
        <w:jc w:val="both"/>
        <w:rPr>
          <w:rFonts w:ascii="Verdana" w:hAnsi="Verdana"/>
          <w:sz w:val="20"/>
          <w:szCs w:val="20"/>
          <w:lang w:val="en"/>
        </w:rPr>
      </w:pPr>
      <w:r w:rsidRPr="00D627C9">
        <w:rPr>
          <w:rFonts w:ascii="Verdana" w:hAnsi="Verdana"/>
          <w:sz w:val="20"/>
          <w:szCs w:val="20"/>
          <w:lang w:val="en"/>
        </w:rPr>
        <w:t>•</w:t>
      </w:r>
      <w:r w:rsidRPr="00D627C9">
        <w:rPr>
          <w:rFonts w:ascii="Verdana" w:hAnsi="Verdana"/>
          <w:sz w:val="20"/>
          <w:szCs w:val="20"/>
          <w:lang w:val="en"/>
        </w:rPr>
        <w:tab/>
      </w:r>
      <w:r w:rsidRPr="00912B08">
        <w:rPr>
          <w:rFonts w:ascii="Verdana" w:hAnsi="Verdana"/>
          <w:sz w:val="20"/>
          <w:szCs w:val="20"/>
          <w:lang w:val="en"/>
        </w:rPr>
        <w:t>2030 for the core network and</w:t>
      </w:r>
    </w:p>
    <w:p w14:paraId="329738C8" w14:textId="77777777" w:rsidR="00575623" w:rsidRPr="00912B08" w:rsidRDefault="00575623" w:rsidP="00575623">
      <w:pPr>
        <w:spacing w:after="0"/>
        <w:ind w:left="720"/>
        <w:jc w:val="both"/>
        <w:rPr>
          <w:rFonts w:ascii="Verdana" w:hAnsi="Verdana"/>
          <w:sz w:val="20"/>
          <w:szCs w:val="20"/>
          <w:lang w:val="en-US"/>
        </w:rPr>
      </w:pPr>
      <w:r w:rsidRPr="00912B08">
        <w:rPr>
          <w:rFonts w:ascii="Verdana" w:hAnsi="Verdana"/>
          <w:sz w:val="20"/>
          <w:szCs w:val="20"/>
          <w:lang w:val="en"/>
        </w:rPr>
        <w:t>•</w:t>
      </w:r>
      <w:r w:rsidRPr="00912B08">
        <w:rPr>
          <w:rFonts w:ascii="Verdana" w:hAnsi="Verdana"/>
          <w:sz w:val="20"/>
          <w:szCs w:val="20"/>
          <w:lang w:val="en"/>
        </w:rPr>
        <w:tab/>
        <w:t>2050 for the comprehensive network.</w:t>
      </w:r>
    </w:p>
    <w:bookmarkEnd w:id="79"/>
    <w:p w14:paraId="6E6A14D7" w14:textId="77777777" w:rsidR="00575623" w:rsidRDefault="00575623" w:rsidP="00575623">
      <w:pPr>
        <w:jc w:val="both"/>
        <w:rPr>
          <w:rFonts w:ascii="Verdana" w:hAnsi="Verdana"/>
          <w:sz w:val="20"/>
          <w:szCs w:val="20"/>
          <w:lang w:val="en"/>
        </w:rPr>
      </w:pPr>
    </w:p>
    <w:p w14:paraId="76AE612E" w14:textId="77777777" w:rsidR="00575623" w:rsidRPr="00584504" w:rsidRDefault="00575623" w:rsidP="00575623">
      <w:pPr>
        <w:jc w:val="both"/>
        <w:rPr>
          <w:rFonts w:ascii="Verdana" w:hAnsi="Verdana"/>
          <w:sz w:val="20"/>
          <w:szCs w:val="20"/>
          <w:lang w:val="bg-BG"/>
        </w:rPr>
      </w:pPr>
      <w:r w:rsidRPr="00584504">
        <w:rPr>
          <w:rFonts w:ascii="Verdana" w:hAnsi="Verdana"/>
          <w:sz w:val="20"/>
          <w:szCs w:val="20"/>
          <w:lang w:val="en"/>
        </w:rPr>
        <w:t xml:space="preserve">The </w:t>
      </w:r>
      <w:r>
        <w:rPr>
          <w:rFonts w:ascii="Verdana" w:hAnsi="Verdana"/>
          <w:sz w:val="20"/>
          <w:szCs w:val="20"/>
          <w:lang w:val="en"/>
        </w:rPr>
        <w:t xml:space="preserve">OPT </w:t>
      </w:r>
      <w:r w:rsidRPr="00584504">
        <w:rPr>
          <w:rFonts w:ascii="Verdana" w:hAnsi="Verdana"/>
          <w:sz w:val="20"/>
          <w:szCs w:val="20"/>
          <w:lang w:val="en"/>
        </w:rPr>
        <w:t xml:space="preserve">2007-2013 assessed the state of transport infrastructure by mode of transport without, however, </w:t>
      </w:r>
      <w:r w:rsidRPr="00D06A14">
        <w:rPr>
          <w:rFonts w:ascii="Verdana" w:hAnsi="Verdana"/>
          <w:sz w:val="20"/>
          <w:szCs w:val="20"/>
          <w:lang w:val="en"/>
        </w:rPr>
        <w:t>indicating</w:t>
      </w:r>
      <w:r w:rsidRPr="00584504">
        <w:rPr>
          <w:rFonts w:ascii="Verdana" w:hAnsi="Verdana"/>
          <w:sz w:val="20"/>
          <w:szCs w:val="20"/>
          <w:lang w:val="en"/>
        </w:rPr>
        <w:t xml:space="preserve"> the specific characteristics of the TEN-T network prior to the implementation of the programme. </w:t>
      </w:r>
    </w:p>
    <w:p w14:paraId="6E2B63C4" w14:textId="77777777" w:rsidR="00B6695A" w:rsidRDefault="00B6695A" w:rsidP="00B6695A">
      <w:pPr>
        <w:rPr>
          <w:rFonts w:ascii="Verdana" w:hAnsi="Verdana"/>
          <w:b/>
          <w:bCs/>
          <w:color w:val="374C80" w:themeColor="accent1" w:themeShade="BF"/>
          <w:sz w:val="20"/>
          <w:szCs w:val="20"/>
          <w:lang w:val="en"/>
        </w:rPr>
      </w:pPr>
      <w:bookmarkStart w:id="80" w:name="_Toc55295809"/>
      <w:bookmarkStart w:id="81" w:name="_Toc55551333"/>
      <w:bookmarkStart w:id="82" w:name="_Toc55551511"/>
    </w:p>
    <w:p w14:paraId="1AD32344" w14:textId="2D4C9636" w:rsidR="00575623" w:rsidRPr="00B6695A" w:rsidRDefault="00B6695A" w:rsidP="00B6695A">
      <w:pPr>
        <w:jc w:val="both"/>
        <w:rPr>
          <w:rFonts w:ascii="Verdana" w:hAnsi="Verdana"/>
          <w:b/>
          <w:bCs/>
          <w:color w:val="374C80" w:themeColor="accent1" w:themeShade="BF"/>
          <w:sz w:val="20"/>
          <w:szCs w:val="20"/>
          <w:lang w:val="bg-BG"/>
        </w:rPr>
      </w:pPr>
      <w:r>
        <w:rPr>
          <w:rFonts w:ascii="Verdana" w:hAnsi="Verdana"/>
          <w:b/>
          <w:bCs/>
          <w:color w:val="374C80" w:themeColor="accent1" w:themeShade="BF"/>
          <w:sz w:val="20"/>
          <w:szCs w:val="20"/>
          <w:lang w:val="en"/>
        </w:rPr>
        <w:t>P</w:t>
      </w:r>
      <w:r w:rsidR="00575623" w:rsidRPr="00B6695A">
        <w:rPr>
          <w:rFonts w:ascii="Verdana" w:hAnsi="Verdana"/>
          <w:b/>
          <w:bCs/>
          <w:color w:val="374C80" w:themeColor="accent1" w:themeShade="BF"/>
          <w:sz w:val="20"/>
          <w:szCs w:val="20"/>
          <w:lang w:val="en"/>
        </w:rPr>
        <w:t>hysical integration with TEN-T</w:t>
      </w:r>
      <w:bookmarkEnd w:id="80"/>
      <w:bookmarkEnd w:id="81"/>
      <w:bookmarkEnd w:id="82"/>
    </w:p>
    <w:p w14:paraId="30FC9D6E" w14:textId="22D64391" w:rsidR="00575623" w:rsidRPr="00584504" w:rsidRDefault="00575623" w:rsidP="00575623">
      <w:pPr>
        <w:jc w:val="both"/>
        <w:rPr>
          <w:rFonts w:ascii="Verdana" w:hAnsi="Verdana"/>
          <w:sz w:val="20"/>
          <w:szCs w:val="20"/>
          <w:lang w:val="bg-BG"/>
        </w:rPr>
      </w:pPr>
      <w:r w:rsidRPr="00584504">
        <w:rPr>
          <w:rFonts w:ascii="Verdana" w:hAnsi="Verdana"/>
          <w:sz w:val="20"/>
          <w:szCs w:val="20"/>
          <w:lang w:val="en"/>
        </w:rPr>
        <w:t xml:space="preserve">In the part for analysis of the existing situation before the implementation of the programme, OPT 2007 - 2013 identified two missing sections that hinder the physical connectivity of the railway network with </w:t>
      </w:r>
      <w:r w:rsidR="008D4359" w:rsidRPr="00584504">
        <w:rPr>
          <w:rFonts w:ascii="Verdana" w:hAnsi="Verdana"/>
          <w:sz w:val="20"/>
          <w:szCs w:val="20"/>
          <w:lang w:val="en"/>
        </w:rPr>
        <w:t>neighboring</w:t>
      </w:r>
      <w:r w:rsidRPr="00584504">
        <w:rPr>
          <w:rFonts w:ascii="Verdana" w:hAnsi="Verdana"/>
          <w:sz w:val="20"/>
          <w:szCs w:val="20"/>
          <w:lang w:val="en"/>
        </w:rPr>
        <w:t xml:space="preserve"> countries - with Romania during the Vidin</w:t>
      </w:r>
      <w:r>
        <w:rPr>
          <w:rFonts w:ascii="Verdana" w:hAnsi="Verdana"/>
          <w:sz w:val="20"/>
          <w:szCs w:val="20"/>
          <w:lang w:val="en"/>
        </w:rPr>
        <w:t xml:space="preserve"> </w:t>
      </w:r>
      <w:r w:rsidRPr="00584504">
        <w:rPr>
          <w:rFonts w:ascii="Verdana" w:hAnsi="Verdana"/>
          <w:sz w:val="20"/>
          <w:szCs w:val="20"/>
          <w:lang w:val="en"/>
        </w:rPr>
        <w:t>-</w:t>
      </w:r>
      <w:r>
        <w:rPr>
          <w:rFonts w:ascii="Verdana" w:hAnsi="Verdana"/>
          <w:sz w:val="20"/>
          <w:szCs w:val="20"/>
          <w:lang w:val="en"/>
        </w:rPr>
        <w:t xml:space="preserve"> K</w:t>
      </w:r>
      <w:r w:rsidRPr="00584504">
        <w:rPr>
          <w:rFonts w:ascii="Verdana" w:hAnsi="Verdana"/>
          <w:sz w:val="20"/>
          <w:szCs w:val="20"/>
          <w:lang w:val="en"/>
        </w:rPr>
        <w:t xml:space="preserve">alafat border crossing and with the Republic of </w:t>
      </w:r>
      <w:r>
        <w:rPr>
          <w:rFonts w:ascii="Verdana" w:hAnsi="Verdana"/>
          <w:sz w:val="20"/>
          <w:szCs w:val="20"/>
          <w:lang w:val="en"/>
        </w:rPr>
        <w:t xml:space="preserve">North </w:t>
      </w:r>
      <w:r w:rsidRPr="00584504">
        <w:rPr>
          <w:rFonts w:ascii="Verdana" w:hAnsi="Verdana"/>
          <w:sz w:val="20"/>
          <w:szCs w:val="20"/>
          <w:lang w:val="en"/>
        </w:rPr>
        <w:t>Macedonia during the</w:t>
      </w:r>
      <w:r>
        <w:rPr>
          <w:rFonts w:ascii="Verdana" w:hAnsi="Verdana"/>
          <w:sz w:val="20"/>
          <w:szCs w:val="20"/>
          <w:lang w:val="en"/>
        </w:rPr>
        <w:t xml:space="preserve"> </w:t>
      </w:r>
      <w:proofErr w:type="spellStart"/>
      <w:r w:rsidRPr="00584504">
        <w:rPr>
          <w:rFonts w:ascii="Verdana" w:hAnsi="Verdana"/>
          <w:sz w:val="20"/>
          <w:szCs w:val="20"/>
          <w:lang w:val="en"/>
        </w:rPr>
        <w:t>Gyueshevo</w:t>
      </w:r>
      <w:proofErr w:type="spellEnd"/>
      <w:r>
        <w:rPr>
          <w:rFonts w:ascii="Verdana" w:hAnsi="Verdana"/>
          <w:sz w:val="20"/>
          <w:szCs w:val="20"/>
          <w:lang w:val="en"/>
        </w:rPr>
        <w:t xml:space="preserve"> </w:t>
      </w:r>
      <w:r w:rsidRPr="00584504">
        <w:rPr>
          <w:rFonts w:ascii="Verdana" w:hAnsi="Verdana"/>
          <w:sz w:val="20"/>
          <w:szCs w:val="20"/>
          <w:lang w:val="en"/>
        </w:rPr>
        <w:t>-</w:t>
      </w:r>
      <w:r>
        <w:rPr>
          <w:rFonts w:ascii="Verdana" w:hAnsi="Verdana"/>
          <w:sz w:val="20"/>
          <w:szCs w:val="20"/>
          <w:lang w:val="en"/>
        </w:rPr>
        <w:t xml:space="preserve"> </w:t>
      </w:r>
      <w:proofErr w:type="spellStart"/>
      <w:r w:rsidRPr="00584504">
        <w:rPr>
          <w:rFonts w:ascii="Verdana" w:hAnsi="Verdana"/>
          <w:sz w:val="20"/>
          <w:szCs w:val="20"/>
          <w:lang w:val="en"/>
        </w:rPr>
        <w:t>Deve</w:t>
      </w:r>
      <w:proofErr w:type="spellEnd"/>
      <w:r w:rsidRPr="00584504">
        <w:rPr>
          <w:rFonts w:ascii="Verdana" w:hAnsi="Verdana"/>
          <w:sz w:val="20"/>
          <w:szCs w:val="20"/>
          <w:lang w:val="en"/>
        </w:rPr>
        <w:t xml:space="preserve"> </w:t>
      </w:r>
      <w:proofErr w:type="spellStart"/>
      <w:r w:rsidRPr="00584504">
        <w:rPr>
          <w:rFonts w:ascii="Verdana" w:hAnsi="Verdana"/>
          <w:sz w:val="20"/>
          <w:szCs w:val="20"/>
          <w:lang w:val="en"/>
        </w:rPr>
        <w:t>bair</w:t>
      </w:r>
      <w:proofErr w:type="spellEnd"/>
      <w:r w:rsidRPr="00584504">
        <w:rPr>
          <w:rFonts w:ascii="Verdana" w:hAnsi="Verdana"/>
          <w:sz w:val="20"/>
          <w:szCs w:val="20"/>
          <w:lang w:val="en"/>
        </w:rPr>
        <w:t xml:space="preserve"> border crossing.</w:t>
      </w:r>
    </w:p>
    <w:p w14:paraId="66304180" w14:textId="77777777" w:rsidR="00575623" w:rsidRPr="00584504" w:rsidRDefault="00575623" w:rsidP="00575623">
      <w:pPr>
        <w:jc w:val="both"/>
        <w:rPr>
          <w:rFonts w:ascii="Verdana" w:hAnsi="Verdana"/>
          <w:sz w:val="20"/>
          <w:szCs w:val="20"/>
          <w:lang w:val="bg-BG"/>
        </w:rPr>
      </w:pPr>
      <w:r w:rsidRPr="00584504">
        <w:rPr>
          <w:rFonts w:ascii="Verdana" w:hAnsi="Verdana"/>
          <w:sz w:val="20"/>
          <w:szCs w:val="20"/>
          <w:lang w:val="en"/>
        </w:rPr>
        <w:t xml:space="preserve">During the period of implementation of OPT 2007 - 2013 the combined railway and road bridge New Europe at Vidin - </w:t>
      </w:r>
      <w:r>
        <w:rPr>
          <w:rFonts w:ascii="Verdana" w:hAnsi="Verdana"/>
          <w:sz w:val="20"/>
          <w:szCs w:val="20"/>
          <w:lang w:val="en"/>
        </w:rPr>
        <w:t>K</w:t>
      </w:r>
      <w:r w:rsidRPr="00584504">
        <w:rPr>
          <w:rFonts w:ascii="Verdana" w:hAnsi="Verdana"/>
          <w:sz w:val="20"/>
          <w:szCs w:val="20"/>
          <w:lang w:val="en"/>
        </w:rPr>
        <w:t xml:space="preserve">alafat was completed and put into operation, which, however, was financed from sources other than </w:t>
      </w:r>
      <w:r>
        <w:rPr>
          <w:rFonts w:ascii="Verdana" w:hAnsi="Verdana"/>
          <w:sz w:val="20"/>
          <w:szCs w:val="20"/>
          <w:lang w:val="en"/>
        </w:rPr>
        <w:t>OPT</w:t>
      </w:r>
      <w:r w:rsidRPr="00584504">
        <w:rPr>
          <w:rFonts w:ascii="Verdana" w:hAnsi="Verdana"/>
          <w:sz w:val="20"/>
          <w:szCs w:val="20"/>
          <w:lang w:val="en"/>
        </w:rPr>
        <w:t xml:space="preserve"> 2007 - 2013 and therefore could not be counted as a contribution of the programme.</w:t>
      </w:r>
    </w:p>
    <w:p w14:paraId="644DC2B6" w14:textId="77777777" w:rsidR="00575623" w:rsidRPr="00584504" w:rsidRDefault="00575623" w:rsidP="00575623">
      <w:pPr>
        <w:jc w:val="both"/>
        <w:rPr>
          <w:rFonts w:ascii="Verdana" w:hAnsi="Verdana"/>
          <w:sz w:val="20"/>
          <w:szCs w:val="20"/>
          <w:lang w:val="bg-BG"/>
        </w:rPr>
      </w:pPr>
      <w:r w:rsidRPr="00584504">
        <w:rPr>
          <w:rFonts w:ascii="Verdana" w:hAnsi="Verdana"/>
          <w:sz w:val="20"/>
          <w:szCs w:val="20"/>
          <w:lang w:val="en"/>
        </w:rPr>
        <w:t>The general conclusion is that the projects and the programme are part of a comprehensive strategy for the development of the country's transport network, contributing to the construction of the TEN-T network and its links.</w:t>
      </w:r>
    </w:p>
    <w:p w14:paraId="16339996" w14:textId="77777777" w:rsidR="00575623" w:rsidRPr="00584504" w:rsidRDefault="00575623" w:rsidP="00575623">
      <w:pPr>
        <w:jc w:val="both"/>
        <w:rPr>
          <w:rFonts w:ascii="Verdana" w:hAnsi="Verdana"/>
          <w:sz w:val="20"/>
          <w:szCs w:val="20"/>
          <w:lang w:val="bg-BG"/>
        </w:rPr>
      </w:pPr>
      <w:bookmarkStart w:id="83" w:name="_Hlk54022284"/>
    </w:p>
    <w:p w14:paraId="5497BE52" w14:textId="77777777" w:rsidR="00575623" w:rsidRPr="00B6695A" w:rsidRDefault="00575623" w:rsidP="00B6695A">
      <w:pPr>
        <w:jc w:val="both"/>
        <w:rPr>
          <w:rFonts w:ascii="Verdana" w:hAnsi="Verdana"/>
          <w:b/>
          <w:bCs/>
          <w:color w:val="374C80" w:themeColor="accent1" w:themeShade="BF"/>
          <w:sz w:val="20"/>
          <w:szCs w:val="20"/>
          <w:lang w:val="bg-BG"/>
        </w:rPr>
      </w:pPr>
      <w:bookmarkStart w:id="84" w:name="_Toc55295810"/>
      <w:bookmarkStart w:id="85" w:name="_Toc55551334"/>
      <w:bookmarkStart w:id="86" w:name="_Toc55551512"/>
      <w:r w:rsidRPr="00B6695A">
        <w:rPr>
          <w:rFonts w:ascii="Verdana" w:hAnsi="Verdana"/>
          <w:b/>
          <w:bCs/>
          <w:color w:val="374C80" w:themeColor="accent1" w:themeShade="BF"/>
          <w:sz w:val="20"/>
          <w:szCs w:val="20"/>
          <w:lang w:val="en"/>
        </w:rPr>
        <w:t>Achieving interoperability and compliance with TEN-T technical requirements</w:t>
      </w:r>
      <w:bookmarkEnd w:id="83"/>
      <w:bookmarkEnd w:id="84"/>
      <w:bookmarkEnd w:id="85"/>
      <w:bookmarkEnd w:id="86"/>
    </w:p>
    <w:p w14:paraId="5C6D3DC8" w14:textId="77777777" w:rsidR="00575623" w:rsidRPr="00584504" w:rsidRDefault="00575623" w:rsidP="00575623">
      <w:pPr>
        <w:jc w:val="both"/>
        <w:rPr>
          <w:rFonts w:ascii="Verdana" w:hAnsi="Verdana"/>
          <w:sz w:val="20"/>
          <w:szCs w:val="20"/>
          <w:lang w:val="bg-BG"/>
        </w:rPr>
      </w:pPr>
      <w:r w:rsidRPr="00584504">
        <w:rPr>
          <w:rFonts w:ascii="Verdana" w:hAnsi="Verdana"/>
          <w:sz w:val="20"/>
          <w:szCs w:val="20"/>
          <w:lang w:val="en"/>
        </w:rPr>
        <w:t xml:space="preserve">Under </w:t>
      </w:r>
      <w:r>
        <w:rPr>
          <w:rFonts w:ascii="Verdana" w:hAnsi="Verdana"/>
          <w:sz w:val="20"/>
          <w:szCs w:val="20"/>
          <w:lang w:val="en"/>
        </w:rPr>
        <w:t>OPT</w:t>
      </w:r>
      <w:r w:rsidRPr="00584504">
        <w:rPr>
          <w:rFonts w:ascii="Verdana" w:hAnsi="Verdana"/>
          <w:sz w:val="20"/>
          <w:szCs w:val="20"/>
          <w:lang w:val="en"/>
        </w:rPr>
        <w:t xml:space="preserve"> 2007-2013, 25 investment projects totaling EUR 3.922 billion </w:t>
      </w:r>
      <w:r>
        <w:rPr>
          <w:rFonts w:ascii="Verdana" w:hAnsi="Verdana"/>
          <w:sz w:val="20"/>
          <w:szCs w:val="20"/>
          <w:lang w:val="en"/>
        </w:rPr>
        <w:t>BGN</w:t>
      </w:r>
      <w:r w:rsidRPr="00584504">
        <w:rPr>
          <w:rFonts w:ascii="Verdana" w:hAnsi="Verdana"/>
          <w:sz w:val="20"/>
          <w:szCs w:val="20"/>
          <w:lang w:val="en"/>
        </w:rPr>
        <w:t xml:space="preserve"> were implemented. Almost 2/3 are for TEN-T network projects:</w:t>
      </w:r>
    </w:p>
    <w:p w14:paraId="65E8145F" w14:textId="77777777" w:rsidR="00575623" w:rsidRPr="00A95892" w:rsidRDefault="00575623" w:rsidP="00575623">
      <w:pPr>
        <w:pStyle w:val="ListParagraph"/>
        <w:numPr>
          <w:ilvl w:val="0"/>
          <w:numId w:val="9"/>
        </w:numPr>
        <w:spacing w:after="0"/>
        <w:contextualSpacing w:val="0"/>
        <w:jc w:val="both"/>
        <w:rPr>
          <w:rFonts w:ascii="Verdana" w:hAnsi="Verdana"/>
          <w:sz w:val="20"/>
          <w:szCs w:val="20"/>
          <w:lang w:val="en-US" w:eastAsia="x-none"/>
        </w:rPr>
      </w:pPr>
      <w:r w:rsidRPr="00A95892">
        <w:rPr>
          <w:rFonts w:ascii="Verdana" w:hAnsi="Verdana"/>
          <w:sz w:val="20"/>
          <w:szCs w:val="20"/>
          <w:lang w:val="en-US" w:eastAsia="x-none"/>
        </w:rPr>
        <w:t>BGN 2.499 billion (incl. VAT), or 63.7% of the total value of investment projects, have been invested in the core TEN-T network</w:t>
      </w:r>
      <w:r w:rsidRPr="00A95892">
        <w:rPr>
          <w:rStyle w:val="FootnoteReference"/>
          <w:rFonts w:ascii="Verdana" w:hAnsi="Verdana"/>
          <w:sz w:val="20"/>
          <w:szCs w:val="20"/>
          <w:lang w:val="en-US" w:eastAsia="x-none"/>
        </w:rPr>
        <w:footnoteReference w:id="17"/>
      </w:r>
      <w:r w:rsidRPr="00A95892">
        <w:rPr>
          <w:rFonts w:ascii="Verdana" w:hAnsi="Verdana"/>
          <w:sz w:val="20"/>
          <w:szCs w:val="20"/>
          <w:lang w:val="en-US" w:eastAsia="x-none"/>
        </w:rPr>
        <w:t>, and</w:t>
      </w:r>
    </w:p>
    <w:p w14:paraId="13625DE0" w14:textId="77777777" w:rsidR="00575623" w:rsidRPr="00A95892" w:rsidRDefault="00575623" w:rsidP="00575623">
      <w:pPr>
        <w:pStyle w:val="ListParagraph"/>
        <w:numPr>
          <w:ilvl w:val="0"/>
          <w:numId w:val="9"/>
        </w:numPr>
        <w:spacing w:after="120"/>
        <w:contextualSpacing w:val="0"/>
        <w:jc w:val="both"/>
        <w:rPr>
          <w:rFonts w:ascii="Verdana" w:hAnsi="Verdana"/>
          <w:sz w:val="20"/>
          <w:szCs w:val="20"/>
          <w:lang w:val="en-US" w:eastAsia="x-none"/>
        </w:rPr>
      </w:pPr>
      <w:r w:rsidRPr="00A95892">
        <w:rPr>
          <w:rFonts w:ascii="Verdana" w:hAnsi="Verdana"/>
          <w:sz w:val="20"/>
          <w:szCs w:val="20"/>
          <w:lang w:val="en-US" w:eastAsia="x-none"/>
        </w:rPr>
        <w:t>The comprehensive network investments amount to</w:t>
      </w:r>
      <w:r>
        <w:rPr>
          <w:rFonts w:ascii="Verdana" w:hAnsi="Verdana"/>
          <w:sz w:val="20"/>
          <w:szCs w:val="20"/>
          <w:lang w:val="en-US" w:eastAsia="x-none"/>
        </w:rPr>
        <w:t xml:space="preserve"> </w:t>
      </w:r>
      <w:r w:rsidRPr="00A95892">
        <w:rPr>
          <w:rFonts w:ascii="Verdana" w:hAnsi="Verdana"/>
          <w:sz w:val="20"/>
          <w:szCs w:val="20"/>
          <w:lang w:val="en-US" w:eastAsia="x-none"/>
        </w:rPr>
        <w:t>BGN 53.6 million, or 1.4% of the total investments in transport infrastructure.</w:t>
      </w:r>
    </w:p>
    <w:p w14:paraId="3FB81A4A" w14:textId="77777777" w:rsidR="00575623" w:rsidRPr="00FA378A" w:rsidRDefault="00575623" w:rsidP="00575623">
      <w:pPr>
        <w:jc w:val="both"/>
        <w:rPr>
          <w:rFonts w:ascii="Verdana" w:hAnsi="Verdana"/>
          <w:sz w:val="20"/>
          <w:szCs w:val="20"/>
          <w:lang w:val="en"/>
        </w:rPr>
      </w:pPr>
      <w:r w:rsidRPr="00FA378A">
        <w:rPr>
          <w:rFonts w:ascii="Verdana" w:hAnsi="Verdana"/>
          <w:sz w:val="20"/>
          <w:szCs w:val="20"/>
          <w:lang w:val="en"/>
        </w:rPr>
        <w:t>The rest of the investments go into projects that do not relate to TEN-T: the Sofia metro</w:t>
      </w:r>
      <w:r>
        <w:rPr>
          <w:rFonts w:ascii="Verdana" w:hAnsi="Verdana"/>
          <w:sz w:val="20"/>
          <w:szCs w:val="20"/>
          <w:lang w:val="en"/>
        </w:rPr>
        <w:t xml:space="preserve"> extension</w:t>
      </w:r>
      <w:r w:rsidRPr="00FA378A">
        <w:rPr>
          <w:rFonts w:ascii="Verdana" w:hAnsi="Verdana"/>
          <w:sz w:val="20"/>
          <w:szCs w:val="20"/>
          <w:lang w:val="en"/>
        </w:rPr>
        <w:t xml:space="preserve">, traffic </w:t>
      </w:r>
      <w:r>
        <w:rPr>
          <w:rFonts w:ascii="Verdana" w:hAnsi="Verdana"/>
          <w:sz w:val="20"/>
          <w:szCs w:val="20"/>
          <w:lang w:val="en"/>
        </w:rPr>
        <w:t>evaluation</w:t>
      </w:r>
      <w:r w:rsidRPr="00FA378A">
        <w:rPr>
          <w:rFonts w:ascii="Verdana" w:hAnsi="Verdana"/>
          <w:sz w:val="20"/>
          <w:szCs w:val="20"/>
          <w:lang w:val="en"/>
        </w:rPr>
        <w:t xml:space="preserve"> system throughout the National road network, and VTMIS, phase 3. Directing most of the financial resources to these projects is a necessary prerequisite for the integration of the national transport network into the TEN-T network.</w:t>
      </w:r>
    </w:p>
    <w:p w14:paraId="14D56067" w14:textId="1C23DD9D" w:rsidR="00575623" w:rsidRPr="00FA378A" w:rsidRDefault="00575623" w:rsidP="00575623">
      <w:pPr>
        <w:jc w:val="both"/>
        <w:rPr>
          <w:rFonts w:ascii="Verdana" w:hAnsi="Verdana"/>
          <w:sz w:val="20"/>
          <w:szCs w:val="20"/>
          <w:lang w:val="en"/>
        </w:rPr>
      </w:pPr>
      <w:r w:rsidRPr="00FA378A">
        <w:rPr>
          <w:rFonts w:ascii="Verdana" w:hAnsi="Verdana"/>
          <w:sz w:val="20"/>
          <w:szCs w:val="20"/>
          <w:lang w:val="en"/>
        </w:rPr>
        <w:t xml:space="preserve">The specific contribution of each of the 19 projects to the TEN-T network through interoperability and compliance with technical requirements has been </w:t>
      </w:r>
      <w:r w:rsidR="00423E81" w:rsidRPr="00FA378A">
        <w:rPr>
          <w:rFonts w:ascii="Verdana" w:hAnsi="Verdana"/>
          <w:sz w:val="20"/>
          <w:szCs w:val="20"/>
          <w:lang w:val="en"/>
        </w:rPr>
        <w:t>analyzed</w:t>
      </w:r>
      <w:r w:rsidRPr="00FA378A">
        <w:rPr>
          <w:rFonts w:ascii="Verdana" w:hAnsi="Verdana"/>
          <w:sz w:val="20"/>
          <w:szCs w:val="20"/>
          <w:lang w:val="en"/>
        </w:rPr>
        <w:t xml:space="preserve"> separately. The evaluation of the degree of compliance achieved is based on the scope and technical requirements set out in Regulation 1315/2013, which is currently in force.</w:t>
      </w:r>
    </w:p>
    <w:p w14:paraId="58E008E3" w14:textId="514D5B30" w:rsidR="00575623" w:rsidRPr="00584504" w:rsidRDefault="00575623" w:rsidP="00575623">
      <w:pPr>
        <w:jc w:val="both"/>
        <w:rPr>
          <w:rFonts w:ascii="Verdana" w:hAnsi="Verdana"/>
          <w:sz w:val="20"/>
          <w:szCs w:val="20"/>
          <w:lang w:val="bg-BG"/>
        </w:rPr>
      </w:pPr>
      <w:r w:rsidRPr="00584504">
        <w:rPr>
          <w:rFonts w:ascii="Verdana" w:hAnsi="Verdana"/>
          <w:sz w:val="20"/>
          <w:szCs w:val="20"/>
          <w:lang w:val="en"/>
        </w:rPr>
        <w:t xml:space="preserve">In the period </w:t>
      </w:r>
      <w:r w:rsidR="00423E81" w:rsidRPr="00584504">
        <w:rPr>
          <w:rFonts w:ascii="Verdana" w:hAnsi="Verdana"/>
          <w:sz w:val="20"/>
          <w:szCs w:val="20"/>
          <w:lang w:val="en"/>
        </w:rPr>
        <w:t>analyzed</w:t>
      </w:r>
      <w:r w:rsidRPr="00584504">
        <w:rPr>
          <w:rFonts w:ascii="Verdana" w:hAnsi="Verdana"/>
          <w:sz w:val="20"/>
          <w:szCs w:val="20"/>
          <w:lang w:val="en"/>
        </w:rPr>
        <w:t xml:space="preserve">, the scope of TEN-T on the territory of the country changed, with a significant change occurring with regard to the priority part of the </w:t>
      </w:r>
      <w:r w:rsidRPr="00584504">
        <w:rPr>
          <w:rFonts w:ascii="Verdana" w:hAnsi="Verdana"/>
          <w:i/>
          <w:iCs/>
          <w:sz w:val="20"/>
          <w:szCs w:val="20"/>
          <w:u w:val="single"/>
          <w:lang w:val="en"/>
        </w:rPr>
        <w:t>networks, which increased more than 4 times.</w:t>
      </w:r>
      <w:r w:rsidRPr="00584504">
        <w:rPr>
          <w:rFonts w:ascii="Verdana" w:hAnsi="Verdana"/>
          <w:sz w:val="20"/>
          <w:szCs w:val="20"/>
          <w:lang w:val="en"/>
        </w:rPr>
        <w:t xml:space="preserve"> In line with this change, the indicative list of major projects has been revised, with funds correctly redirected for the implementation of projects along the TEN-T Orient/Eastern Mediterranean corridor in the west-east/south-east direction.</w:t>
      </w:r>
    </w:p>
    <w:p w14:paraId="25C1D285" w14:textId="77777777" w:rsidR="00575623" w:rsidRPr="00262257" w:rsidRDefault="00575623" w:rsidP="00575623">
      <w:pPr>
        <w:jc w:val="both"/>
        <w:rPr>
          <w:rFonts w:ascii="Verdana" w:hAnsi="Verdana"/>
          <w:sz w:val="20"/>
          <w:szCs w:val="20"/>
          <w:lang w:val="en-US"/>
        </w:rPr>
      </w:pPr>
      <w:r w:rsidRPr="00584504">
        <w:rPr>
          <w:rFonts w:ascii="Verdana" w:hAnsi="Verdana"/>
          <w:sz w:val="20"/>
          <w:szCs w:val="20"/>
          <w:lang w:val="en"/>
        </w:rPr>
        <w:t xml:space="preserve">During the period of the programme, the Bulgarian rail network was connected to TEN-T on the territory of neighboring Romania at the </w:t>
      </w:r>
      <w:r>
        <w:rPr>
          <w:rFonts w:ascii="Verdana" w:hAnsi="Verdana"/>
          <w:sz w:val="20"/>
          <w:szCs w:val="20"/>
          <w:lang w:val="en"/>
        </w:rPr>
        <w:t>V</w:t>
      </w:r>
      <w:r w:rsidRPr="00584504">
        <w:rPr>
          <w:rFonts w:ascii="Verdana" w:hAnsi="Verdana"/>
          <w:sz w:val="20"/>
          <w:szCs w:val="20"/>
          <w:lang w:val="en"/>
        </w:rPr>
        <w:t>idin-</w:t>
      </w:r>
      <w:r>
        <w:rPr>
          <w:rFonts w:ascii="Verdana" w:hAnsi="Verdana"/>
          <w:sz w:val="20"/>
          <w:szCs w:val="20"/>
          <w:lang w:val="en"/>
        </w:rPr>
        <w:t>K</w:t>
      </w:r>
      <w:r w:rsidRPr="00584504">
        <w:rPr>
          <w:rFonts w:ascii="Verdana" w:hAnsi="Verdana"/>
          <w:sz w:val="20"/>
          <w:szCs w:val="20"/>
          <w:lang w:val="en"/>
        </w:rPr>
        <w:t>alafat border crossing and the narrow road network location was removed during the same transition. OPT 2007-2013, there is no contribution to this, as the New Europe Bridge project is funded from other sources.</w:t>
      </w:r>
    </w:p>
    <w:p w14:paraId="17B5FAEE" w14:textId="77777777" w:rsidR="00575623" w:rsidRPr="00584504" w:rsidRDefault="00575623" w:rsidP="00575623">
      <w:pPr>
        <w:jc w:val="both"/>
        <w:rPr>
          <w:rFonts w:ascii="Verdana" w:hAnsi="Verdana"/>
          <w:sz w:val="20"/>
          <w:szCs w:val="20"/>
          <w:lang w:val="bg-BG"/>
        </w:rPr>
      </w:pPr>
      <w:r w:rsidRPr="00584504">
        <w:rPr>
          <w:rFonts w:ascii="Verdana" w:hAnsi="Verdana"/>
          <w:sz w:val="20"/>
          <w:szCs w:val="20"/>
          <w:lang w:val="en"/>
        </w:rPr>
        <w:t xml:space="preserve">The achievement </w:t>
      </w:r>
      <w:r w:rsidRPr="00584504">
        <w:rPr>
          <w:rFonts w:ascii="Verdana" w:hAnsi="Verdana"/>
          <w:i/>
          <w:iCs/>
          <w:sz w:val="20"/>
          <w:szCs w:val="20"/>
          <w:lang w:val="en"/>
        </w:rPr>
        <w:t>of interoperability</w:t>
      </w:r>
      <w:r w:rsidRPr="00584504">
        <w:rPr>
          <w:rFonts w:ascii="Verdana" w:hAnsi="Verdana"/>
          <w:sz w:val="20"/>
          <w:szCs w:val="20"/>
          <w:lang w:val="en"/>
        </w:rPr>
        <w:t xml:space="preserve"> has been assessed by mode of transport and on the basis of compliance with the technical requirements for the infrastructure concerned laid down in Regulation 1315/2013.</w:t>
      </w:r>
    </w:p>
    <w:p w14:paraId="3B68424B" w14:textId="77777777" w:rsidR="00575623" w:rsidRPr="00584504" w:rsidRDefault="00575623" w:rsidP="00575623">
      <w:pPr>
        <w:numPr>
          <w:ilvl w:val="0"/>
          <w:numId w:val="22"/>
        </w:numPr>
        <w:contextualSpacing/>
        <w:jc w:val="both"/>
        <w:rPr>
          <w:rFonts w:ascii="Verdana" w:hAnsi="Verdana"/>
          <w:b/>
          <w:bCs/>
          <w:i/>
          <w:iCs/>
          <w:sz w:val="20"/>
          <w:szCs w:val="20"/>
          <w:lang w:val="bg-BG"/>
        </w:rPr>
      </w:pPr>
      <w:r w:rsidRPr="00584504">
        <w:rPr>
          <w:rFonts w:ascii="Verdana" w:hAnsi="Verdana"/>
          <w:b/>
          <w:bCs/>
          <w:i/>
          <w:iCs/>
          <w:sz w:val="20"/>
          <w:szCs w:val="20"/>
          <w:lang w:val="en"/>
        </w:rPr>
        <w:t>Degree of integration of the railway network</w:t>
      </w:r>
    </w:p>
    <w:p w14:paraId="29C41C2D" w14:textId="77777777" w:rsidR="00575623" w:rsidRDefault="00575623" w:rsidP="00575623">
      <w:pPr>
        <w:jc w:val="both"/>
        <w:rPr>
          <w:rFonts w:ascii="Verdana" w:hAnsi="Verdana"/>
          <w:sz w:val="20"/>
          <w:szCs w:val="20"/>
          <w:lang w:val="en-US"/>
        </w:rPr>
      </w:pPr>
      <w:bookmarkStart w:id="87" w:name="_Hlk49703759"/>
      <w:r w:rsidRPr="000F5BCA">
        <w:rPr>
          <w:rFonts w:ascii="Verdana" w:hAnsi="Verdana"/>
          <w:sz w:val="20"/>
          <w:szCs w:val="20"/>
          <w:lang w:val="en"/>
        </w:rPr>
        <w:t xml:space="preserve">All five completed projects are in the direction of the OEM corridor of the core TEN-T. One of the projects, the railway </w:t>
      </w:r>
      <w:proofErr w:type="spellStart"/>
      <w:r w:rsidRPr="000F5BCA">
        <w:rPr>
          <w:rFonts w:ascii="Verdana" w:hAnsi="Verdana"/>
          <w:sz w:val="20"/>
          <w:szCs w:val="20"/>
          <w:lang w:val="en"/>
        </w:rPr>
        <w:t>Svilengrad</w:t>
      </w:r>
      <w:proofErr w:type="spellEnd"/>
      <w:r w:rsidRPr="000F5BCA">
        <w:rPr>
          <w:rFonts w:ascii="Verdana" w:hAnsi="Verdana"/>
          <w:sz w:val="20"/>
          <w:szCs w:val="20"/>
          <w:lang w:val="en"/>
        </w:rPr>
        <w:t xml:space="preserve"> - Turkish border worth BGN 66.3 million (incl. VAT), has achieved full integration into TEN-T, as all technical requirements have been met. Three other projects, which concentrate 60.7% of the funds invested in the railway network, have achieved a very high degree of integration. These are: railway </w:t>
      </w:r>
      <w:proofErr w:type="spellStart"/>
      <w:r w:rsidRPr="000F5BCA">
        <w:rPr>
          <w:rFonts w:ascii="Verdana" w:hAnsi="Verdana"/>
          <w:sz w:val="20"/>
          <w:szCs w:val="20"/>
          <w:lang w:val="en"/>
        </w:rPr>
        <w:t>Parvomay</w:t>
      </w:r>
      <w:proofErr w:type="spellEnd"/>
      <w:r w:rsidRPr="000F5BCA">
        <w:rPr>
          <w:rFonts w:ascii="Verdana" w:hAnsi="Verdana"/>
          <w:sz w:val="20"/>
          <w:szCs w:val="20"/>
          <w:lang w:val="en"/>
        </w:rPr>
        <w:t xml:space="preserve"> - </w:t>
      </w:r>
      <w:proofErr w:type="spellStart"/>
      <w:r w:rsidRPr="000F5BCA">
        <w:rPr>
          <w:rFonts w:ascii="Verdana" w:hAnsi="Verdana"/>
          <w:sz w:val="20"/>
          <w:szCs w:val="20"/>
          <w:lang w:val="en"/>
        </w:rPr>
        <w:t>Svilengrad</w:t>
      </w:r>
      <w:proofErr w:type="spellEnd"/>
      <w:r w:rsidRPr="000F5BCA">
        <w:rPr>
          <w:rFonts w:ascii="Verdana" w:hAnsi="Verdana"/>
          <w:sz w:val="20"/>
          <w:szCs w:val="20"/>
          <w:lang w:val="en"/>
        </w:rPr>
        <w:t xml:space="preserve"> Phase 2, railway </w:t>
      </w:r>
      <w:proofErr w:type="spellStart"/>
      <w:r w:rsidRPr="000F5BCA">
        <w:rPr>
          <w:rFonts w:ascii="Verdana" w:hAnsi="Verdana"/>
          <w:sz w:val="20"/>
          <w:szCs w:val="20"/>
          <w:lang w:val="en"/>
        </w:rPr>
        <w:t>Septemvri</w:t>
      </w:r>
      <w:proofErr w:type="spellEnd"/>
      <w:r w:rsidRPr="000F5BCA">
        <w:rPr>
          <w:rFonts w:ascii="Verdana" w:hAnsi="Verdana"/>
          <w:sz w:val="20"/>
          <w:szCs w:val="20"/>
          <w:lang w:val="en"/>
        </w:rPr>
        <w:t xml:space="preserve"> - Plovdiv and the station complexes Sofia, </w:t>
      </w:r>
      <w:proofErr w:type="spellStart"/>
      <w:r w:rsidRPr="000F5BCA">
        <w:rPr>
          <w:rFonts w:ascii="Verdana" w:hAnsi="Verdana"/>
          <w:sz w:val="20"/>
          <w:szCs w:val="20"/>
          <w:lang w:val="en"/>
        </w:rPr>
        <w:t>Pazardzhik</w:t>
      </w:r>
      <w:proofErr w:type="spellEnd"/>
      <w:r w:rsidRPr="000F5BCA">
        <w:rPr>
          <w:rFonts w:ascii="Verdana" w:hAnsi="Verdana"/>
          <w:sz w:val="20"/>
          <w:szCs w:val="20"/>
          <w:lang w:val="en"/>
        </w:rPr>
        <w:t xml:space="preserve"> and </w:t>
      </w:r>
      <w:proofErr w:type="spellStart"/>
      <w:r w:rsidRPr="000F5BCA">
        <w:rPr>
          <w:rFonts w:ascii="Verdana" w:hAnsi="Verdana"/>
          <w:sz w:val="20"/>
          <w:szCs w:val="20"/>
          <w:lang w:val="en"/>
        </w:rPr>
        <w:t>Burgas</w:t>
      </w:r>
      <w:proofErr w:type="spellEnd"/>
      <w:r w:rsidRPr="000F5BCA">
        <w:rPr>
          <w:rFonts w:ascii="Verdana" w:hAnsi="Verdana"/>
          <w:sz w:val="20"/>
          <w:szCs w:val="20"/>
          <w:lang w:val="en"/>
        </w:rPr>
        <w:t xml:space="preserve">. The project for railway Plovdiv - </w:t>
      </w:r>
      <w:proofErr w:type="spellStart"/>
      <w:r w:rsidRPr="000F5BCA">
        <w:rPr>
          <w:rFonts w:ascii="Verdana" w:hAnsi="Verdana"/>
          <w:sz w:val="20"/>
          <w:szCs w:val="20"/>
          <w:lang w:val="en"/>
        </w:rPr>
        <w:t>Burgas</w:t>
      </w:r>
      <w:proofErr w:type="spellEnd"/>
      <w:r w:rsidRPr="000F5BCA">
        <w:rPr>
          <w:rFonts w:ascii="Verdana" w:hAnsi="Verdana"/>
          <w:sz w:val="20"/>
          <w:szCs w:val="20"/>
          <w:lang w:val="en"/>
        </w:rPr>
        <w:t xml:space="preserve"> contributes in a low to medium degree to the achievement of the technical requirements for a line from the core TEN-T network, which is to be expected, given the goals set before it, namely: restoration of the design parameters of the line. </w:t>
      </w:r>
    </w:p>
    <w:p w14:paraId="6379B786" w14:textId="02C7442A" w:rsidR="00575623" w:rsidRPr="00584504" w:rsidRDefault="00575623" w:rsidP="00575623">
      <w:pPr>
        <w:jc w:val="both"/>
        <w:rPr>
          <w:rFonts w:ascii="Verdana" w:hAnsi="Verdana"/>
          <w:sz w:val="20"/>
          <w:szCs w:val="20"/>
          <w:lang w:val="bg-BG"/>
        </w:rPr>
      </w:pPr>
      <w:r w:rsidRPr="00584504">
        <w:rPr>
          <w:rFonts w:ascii="Verdana" w:hAnsi="Verdana"/>
          <w:sz w:val="20"/>
          <w:szCs w:val="20"/>
          <w:lang w:val="en"/>
        </w:rPr>
        <w:t xml:space="preserve">The progress made with the implementation of the programme has been </w:t>
      </w:r>
      <w:r w:rsidR="00423E81" w:rsidRPr="00584504">
        <w:rPr>
          <w:rFonts w:ascii="Verdana" w:hAnsi="Verdana"/>
          <w:sz w:val="20"/>
          <w:szCs w:val="20"/>
          <w:lang w:val="en"/>
        </w:rPr>
        <w:t>analyzed</w:t>
      </w:r>
      <w:r w:rsidRPr="00584504">
        <w:rPr>
          <w:rFonts w:ascii="Verdana" w:hAnsi="Verdana"/>
          <w:sz w:val="20"/>
          <w:szCs w:val="20"/>
          <w:lang w:val="en"/>
        </w:rPr>
        <w:t xml:space="preserve"> for the following five main technical requirements:</w:t>
      </w:r>
    </w:p>
    <w:bookmarkEnd w:id="87"/>
    <w:p w14:paraId="4F826CF7" w14:textId="77777777" w:rsidR="00575623" w:rsidRPr="00584504" w:rsidRDefault="00575623" w:rsidP="00575623">
      <w:pPr>
        <w:numPr>
          <w:ilvl w:val="0"/>
          <w:numId w:val="11"/>
        </w:numPr>
        <w:ind w:left="426" w:hanging="426"/>
        <w:jc w:val="both"/>
        <w:rPr>
          <w:rFonts w:ascii="Verdana" w:hAnsi="Verdana"/>
          <w:sz w:val="20"/>
          <w:szCs w:val="20"/>
          <w:lang w:val="bg-BG"/>
        </w:rPr>
      </w:pPr>
      <w:r w:rsidRPr="00584504">
        <w:rPr>
          <w:rFonts w:ascii="Verdana" w:hAnsi="Verdana"/>
          <w:sz w:val="20"/>
          <w:szCs w:val="20"/>
          <w:lang w:val="en"/>
        </w:rPr>
        <w:lastRenderedPageBreak/>
        <w:t>Normal track gauge (1 435 mm) – full compliance was in place as of 2007 and OPT 2007 – 2013 has no contribution to this;</w:t>
      </w:r>
      <w:bookmarkStart w:id="88" w:name="_Hlk49698154"/>
      <w:bookmarkEnd w:id="88"/>
    </w:p>
    <w:p w14:paraId="599B1F0A" w14:textId="77777777" w:rsidR="00575623" w:rsidRPr="00584504" w:rsidRDefault="00575623" w:rsidP="00575623">
      <w:pPr>
        <w:numPr>
          <w:ilvl w:val="0"/>
          <w:numId w:val="11"/>
        </w:numPr>
        <w:ind w:left="426" w:hanging="426"/>
        <w:jc w:val="both"/>
        <w:rPr>
          <w:rFonts w:ascii="Verdana" w:hAnsi="Verdana"/>
          <w:sz w:val="20"/>
          <w:szCs w:val="20"/>
          <w:lang w:val="bg-BG"/>
        </w:rPr>
      </w:pPr>
      <w:r w:rsidRPr="00584504">
        <w:rPr>
          <w:rFonts w:ascii="Verdana" w:hAnsi="Verdana"/>
          <w:sz w:val="20"/>
          <w:szCs w:val="20"/>
          <w:lang w:val="en"/>
        </w:rPr>
        <w:t>Bearing capacity 22.5 t/axis – full compliance was available as of 2007 and OPT 2007-2013 did not contribute to this;</w:t>
      </w:r>
    </w:p>
    <w:p w14:paraId="2F029E45" w14:textId="77777777" w:rsidR="00575623" w:rsidRPr="00584504" w:rsidRDefault="00575623" w:rsidP="00575623">
      <w:pPr>
        <w:numPr>
          <w:ilvl w:val="0"/>
          <w:numId w:val="11"/>
        </w:numPr>
        <w:ind w:left="426" w:hanging="426"/>
        <w:jc w:val="both"/>
        <w:rPr>
          <w:rFonts w:ascii="Verdana" w:hAnsi="Verdana"/>
          <w:sz w:val="20"/>
          <w:szCs w:val="20"/>
          <w:lang w:val="bg-BG"/>
        </w:rPr>
      </w:pPr>
      <w:r w:rsidRPr="00584504">
        <w:rPr>
          <w:rFonts w:ascii="Verdana" w:hAnsi="Verdana"/>
          <w:sz w:val="20"/>
          <w:szCs w:val="20"/>
          <w:lang w:val="en"/>
        </w:rPr>
        <w:t xml:space="preserve">Full electrification – as of 2007, 85.1% are responsible for this condition and as of 2019 – 96.1%; the entire increase of 11 percentage points is due to the electrification of the railway line Plovdiv – </w:t>
      </w:r>
      <w:proofErr w:type="spellStart"/>
      <w:r w:rsidRPr="00584504">
        <w:rPr>
          <w:rFonts w:ascii="Verdana" w:hAnsi="Verdana"/>
          <w:sz w:val="20"/>
          <w:szCs w:val="20"/>
          <w:lang w:val="en"/>
        </w:rPr>
        <w:t>Svilengrad</w:t>
      </w:r>
      <w:proofErr w:type="spellEnd"/>
      <w:r w:rsidRPr="00584504">
        <w:rPr>
          <w:rFonts w:ascii="Verdana" w:hAnsi="Verdana"/>
          <w:sz w:val="20"/>
          <w:szCs w:val="20"/>
          <w:lang w:val="en"/>
        </w:rPr>
        <w:t xml:space="preserve"> – Turkish border, for which OPT contributes with electrification of 91.8 km, which is 60% of the length of the line;</w:t>
      </w:r>
    </w:p>
    <w:p w14:paraId="127E9C87" w14:textId="77777777" w:rsidR="00575623" w:rsidRPr="00584504" w:rsidRDefault="00575623" w:rsidP="00575623">
      <w:pPr>
        <w:numPr>
          <w:ilvl w:val="0"/>
          <w:numId w:val="11"/>
        </w:numPr>
        <w:ind w:left="426" w:hanging="426"/>
        <w:jc w:val="both"/>
        <w:rPr>
          <w:rFonts w:ascii="Verdana" w:hAnsi="Verdana"/>
          <w:sz w:val="20"/>
          <w:szCs w:val="20"/>
          <w:lang w:val="bg-BG"/>
        </w:rPr>
      </w:pPr>
      <w:r w:rsidRPr="00584504">
        <w:rPr>
          <w:rFonts w:ascii="Verdana" w:hAnsi="Verdana"/>
          <w:sz w:val="20"/>
          <w:szCs w:val="20"/>
          <w:lang w:val="en"/>
        </w:rPr>
        <w:t xml:space="preserve">Implementation of ERTMS – as of 2007 there is no ERTMS implemented at all, and as of 2019 the system was implemented at 216.8 km, which is 12.5% of the length of the </w:t>
      </w:r>
      <w:r>
        <w:rPr>
          <w:rFonts w:ascii="Verdana" w:hAnsi="Verdana"/>
          <w:sz w:val="20"/>
          <w:szCs w:val="20"/>
          <w:lang w:val="en"/>
        </w:rPr>
        <w:t>core</w:t>
      </w:r>
      <w:r w:rsidRPr="00584504">
        <w:rPr>
          <w:rFonts w:ascii="Verdana" w:hAnsi="Verdana"/>
          <w:sz w:val="20"/>
          <w:szCs w:val="20"/>
          <w:lang w:val="en"/>
        </w:rPr>
        <w:t xml:space="preserve"> rail network and respectively 18.7% of the length of the </w:t>
      </w:r>
      <w:r>
        <w:rPr>
          <w:rFonts w:ascii="Verdana" w:hAnsi="Verdana"/>
          <w:sz w:val="20"/>
          <w:szCs w:val="20"/>
          <w:lang w:val="en"/>
        </w:rPr>
        <w:t>OEM</w:t>
      </w:r>
      <w:r w:rsidRPr="00584504">
        <w:rPr>
          <w:rFonts w:ascii="Verdana" w:hAnsi="Verdana"/>
          <w:sz w:val="20"/>
          <w:szCs w:val="20"/>
          <w:lang w:val="en"/>
        </w:rPr>
        <w:t xml:space="preserve"> corridor; the increase is entirely due to the projects implemented under OPT 2007 – 2013: railway line Plovdiv – </w:t>
      </w:r>
      <w:proofErr w:type="spellStart"/>
      <w:r w:rsidRPr="00584504">
        <w:rPr>
          <w:rFonts w:ascii="Verdana" w:hAnsi="Verdana"/>
          <w:sz w:val="20"/>
          <w:szCs w:val="20"/>
          <w:lang w:val="en"/>
        </w:rPr>
        <w:t>Svilengrad</w:t>
      </w:r>
      <w:proofErr w:type="spellEnd"/>
      <w:r w:rsidRPr="00584504">
        <w:rPr>
          <w:rFonts w:ascii="Verdana" w:hAnsi="Verdana"/>
          <w:sz w:val="20"/>
          <w:szCs w:val="20"/>
          <w:lang w:val="en"/>
        </w:rPr>
        <w:t xml:space="preserve">, Phase 2 and railway line </w:t>
      </w:r>
      <w:proofErr w:type="spellStart"/>
      <w:r w:rsidRPr="00584504">
        <w:rPr>
          <w:rFonts w:ascii="Verdana" w:hAnsi="Verdana"/>
          <w:sz w:val="20"/>
          <w:szCs w:val="20"/>
          <w:lang w:val="en"/>
        </w:rPr>
        <w:t>Septemvri</w:t>
      </w:r>
      <w:proofErr w:type="spellEnd"/>
      <w:r w:rsidRPr="00584504">
        <w:rPr>
          <w:rFonts w:ascii="Verdana" w:hAnsi="Verdana"/>
          <w:sz w:val="20"/>
          <w:szCs w:val="20"/>
          <w:lang w:val="en"/>
        </w:rPr>
        <w:t xml:space="preserve"> – Plovdiv;</w:t>
      </w:r>
    </w:p>
    <w:p w14:paraId="1E47AA42" w14:textId="77777777" w:rsidR="00575623" w:rsidRPr="00584504" w:rsidRDefault="00575623" w:rsidP="00575623">
      <w:pPr>
        <w:numPr>
          <w:ilvl w:val="0"/>
          <w:numId w:val="11"/>
        </w:numPr>
        <w:ind w:left="426" w:hanging="426"/>
        <w:jc w:val="both"/>
        <w:rPr>
          <w:rFonts w:ascii="Verdana" w:hAnsi="Verdana"/>
          <w:sz w:val="20"/>
          <w:szCs w:val="20"/>
          <w:lang w:val="bg-BG"/>
        </w:rPr>
      </w:pPr>
      <w:r w:rsidRPr="00584504">
        <w:rPr>
          <w:rFonts w:ascii="Verdana" w:hAnsi="Verdana"/>
          <w:sz w:val="20"/>
          <w:szCs w:val="20"/>
          <w:lang w:val="en"/>
        </w:rPr>
        <w:t xml:space="preserve">Speed 100 km for freight trains – as of 2007 there are no sections of the network allowing the movement of freight trains at one or higher speed; by 2019, a speed of 120 km/h is allowed for freight trains of 291.8 km, representing 16.8 % of the </w:t>
      </w:r>
      <w:r>
        <w:rPr>
          <w:rFonts w:ascii="Verdana" w:hAnsi="Verdana"/>
          <w:sz w:val="20"/>
          <w:szCs w:val="20"/>
          <w:lang w:val="en"/>
        </w:rPr>
        <w:t>core TEN</w:t>
      </w:r>
      <w:r w:rsidRPr="00584504">
        <w:rPr>
          <w:rFonts w:ascii="Verdana" w:hAnsi="Verdana"/>
          <w:sz w:val="20"/>
          <w:szCs w:val="20"/>
          <w:lang w:val="en"/>
        </w:rPr>
        <w:t>-T and 25.2 % of the O</w:t>
      </w:r>
      <w:r>
        <w:rPr>
          <w:rFonts w:ascii="Verdana" w:hAnsi="Verdana"/>
          <w:sz w:val="20"/>
          <w:szCs w:val="20"/>
          <w:lang w:val="en"/>
        </w:rPr>
        <w:t>EM</w:t>
      </w:r>
      <w:r w:rsidRPr="00584504">
        <w:rPr>
          <w:rFonts w:ascii="Verdana" w:hAnsi="Verdana"/>
          <w:sz w:val="20"/>
          <w:szCs w:val="20"/>
          <w:lang w:val="en"/>
        </w:rPr>
        <w:t xml:space="preserve"> corridor; the increase is partly due to projects implemented under OPT 2007-2013, which contribute by 229.7 km, or 78.7%.</w:t>
      </w:r>
    </w:p>
    <w:p w14:paraId="3E5B56D5" w14:textId="77777777" w:rsidR="00575623" w:rsidRPr="00584504" w:rsidRDefault="00575623" w:rsidP="00575623">
      <w:pPr>
        <w:jc w:val="both"/>
        <w:rPr>
          <w:rFonts w:ascii="Verdana" w:hAnsi="Verdana"/>
          <w:sz w:val="20"/>
          <w:szCs w:val="20"/>
          <w:lang w:val="bg-BG"/>
        </w:rPr>
      </w:pPr>
      <w:r w:rsidRPr="00584504">
        <w:rPr>
          <w:rFonts w:ascii="Verdana" w:hAnsi="Verdana"/>
          <w:sz w:val="20"/>
          <w:szCs w:val="20"/>
          <w:lang w:val="en"/>
        </w:rPr>
        <w:t>Despite the above positive results, only 17.9 km (</w:t>
      </w:r>
      <w:proofErr w:type="spellStart"/>
      <w:r w:rsidRPr="00584504">
        <w:rPr>
          <w:rFonts w:ascii="Verdana" w:hAnsi="Verdana"/>
          <w:sz w:val="20"/>
          <w:szCs w:val="20"/>
          <w:lang w:val="en"/>
        </w:rPr>
        <w:t>Svilengrad</w:t>
      </w:r>
      <w:proofErr w:type="spellEnd"/>
      <w:r w:rsidRPr="00584504">
        <w:rPr>
          <w:rFonts w:ascii="Verdana" w:hAnsi="Verdana"/>
          <w:sz w:val="20"/>
          <w:szCs w:val="20"/>
          <w:lang w:val="en"/>
        </w:rPr>
        <w:t xml:space="preserve"> – Turkish border), or 0.8% of </w:t>
      </w:r>
      <w:r>
        <w:rPr>
          <w:rFonts w:ascii="Verdana" w:hAnsi="Verdana"/>
          <w:sz w:val="20"/>
          <w:szCs w:val="20"/>
          <w:lang w:val="en"/>
        </w:rPr>
        <w:t>TEN</w:t>
      </w:r>
      <w:r w:rsidRPr="00584504">
        <w:rPr>
          <w:rFonts w:ascii="Verdana" w:hAnsi="Verdana"/>
          <w:sz w:val="20"/>
          <w:szCs w:val="20"/>
          <w:lang w:val="en"/>
        </w:rPr>
        <w:t xml:space="preserve">-T is fully integrated. With a high degree of integration is the entire section from </w:t>
      </w:r>
      <w:proofErr w:type="spellStart"/>
      <w:r w:rsidRPr="00584504">
        <w:rPr>
          <w:rFonts w:ascii="Verdana" w:hAnsi="Verdana"/>
          <w:sz w:val="20"/>
          <w:szCs w:val="20"/>
          <w:lang w:val="en"/>
        </w:rPr>
        <w:t>Septem</w:t>
      </w:r>
      <w:r>
        <w:rPr>
          <w:rFonts w:ascii="Verdana" w:hAnsi="Verdana"/>
          <w:sz w:val="20"/>
          <w:szCs w:val="20"/>
          <w:lang w:val="en"/>
        </w:rPr>
        <w:t>vri</w:t>
      </w:r>
      <w:proofErr w:type="spellEnd"/>
      <w:r w:rsidRPr="00584504">
        <w:rPr>
          <w:rFonts w:ascii="Verdana" w:hAnsi="Verdana"/>
          <w:sz w:val="20"/>
          <w:szCs w:val="20"/>
          <w:lang w:val="en"/>
        </w:rPr>
        <w:t xml:space="preserve"> to Turkish border with a total length of 206.7 km, which represents 9.2% of the TEN-T network on which ERTMS is implemented, but the train length requirements have not been met. The remaining 90% of the TEN-T network does not meet the ERTMS requirement and a significant proportion also meet the requirements for freight train speed and length.</w:t>
      </w:r>
    </w:p>
    <w:p w14:paraId="511EED57" w14:textId="77777777" w:rsidR="00575623" w:rsidRPr="00584504" w:rsidRDefault="00575623" w:rsidP="00575623">
      <w:pPr>
        <w:jc w:val="both"/>
        <w:rPr>
          <w:rFonts w:ascii="Verdana" w:hAnsi="Verdana"/>
          <w:sz w:val="20"/>
          <w:szCs w:val="20"/>
          <w:lang w:val="bg-BG"/>
        </w:rPr>
      </w:pPr>
      <w:r w:rsidRPr="00584504">
        <w:rPr>
          <w:rFonts w:ascii="Verdana" w:hAnsi="Verdana"/>
          <w:sz w:val="20"/>
          <w:szCs w:val="20"/>
          <w:lang w:val="en"/>
        </w:rPr>
        <w:t>It should be taken into account that due to delays in the preparation and implementation of railway projects, both under OPT 2007-2013 and OPT 2014-2020, we are still far from completing construction activities in whole directions, which would have a more tangible effect. In the 2014-2020 programming period, investments in the remaining sections and measures that complement the activities on the railway sections started in the first programming period (Sofia-Plovdiv line) continue.</w:t>
      </w:r>
    </w:p>
    <w:p w14:paraId="2A83F2C8" w14:textId="77777777" w:rsidR="00575623" w:rsidRPr="00584504" w:rsidRDefault="00575623" w:rsidP="00575623">
      <w:pPr>
        <w:jc w:val="both"/>
        <w:rPr>
          <w:rFonts w:ascii="Verdana" w:hAnsi="Verdana"/>
          <w:sz w:val="20"/>
          <w:szCs w:val="20"/>
          <w:lang w:val="bg-BG"/>
        </w:rPr>
      </w:pPr>
      <w:r w:rsidRPr="00584504">
        <w:rPr>
          <w:rFonts w:ascii="Verdana" w:hAnsi="Verdana"/>
          <w:sz w:val="20"/>
          <w:szCs w:val="20"/>
          <w:lang w:val="en"/>
        </w:rPr>
        <w:t xml:space="preserve">The scope of the </w:t>
      </w:r>
      <w:r>
        <w:rPr>
          <w:rFonts w:ascii="Verdana" w:hAnsi="Verdana"/>
          <w:sz w:val="20"/>
          <w:szCs w:val="20"/>
          <w:lang w:val="en"/>
        </w:rPr>
        <w:t>TEN</w:t>
      </w:r>
      <w:r w:rsidRPr="00584504">
        <w:rPr>
          <w:rFonts w:ascii="Verdana" w:hAnsi="Verdana"/>
          <w:sz w:val="20"/>
          <w:szCs w:val="20"/>
          <w:lang w:val="en"/>
        </w:rPr>
        <w:t xml:space="preserve">-T rail network in the country, and in particular the </w:t>
      </w:r>
      <w:r>
        <w:rPr>
          <w:rFonts w:ascii="Verdana" w:hAnsi="Verdana"/>
          <w:sz w:val="20"/>
          <w:szCs w:val="20"/>
          <w:lang w:val="en"/>
        </w:rPr>
        <w:t>core</w:t>
      </w:r>
      <w:r w:rsidRPr="00584504">
        <w:rPr>
          <w:rFonts w:ascii="Verdana" w:hAnsi="Verdana"/>
          <w:sz w:val="20"/>
          <w:szCs w:val="20"/>
          <w:lang w:val="en"/>
        </w:rPr>
        <w:t xml:space="preserve"> TEN-T, is large and bringing 90% of it into line with the core network requirements by 2030 is a huge challenge.</w:t>
      </w:r>
    </w:p>
    <w:p w14:paraId="2305A3C5" w14:textId="77777777" w:rsidR="00575623" w:rsidRPr="00584504" w:rsidRDefault="00575623" w:rsidP="00575623">
      <w:pPr>
        <w:jc w:val="both"/>
        <w:rPr>
          <w:rFonts w:ascii="Verdana" w:hAnsi="Verdana"/>
          <w:sz w:val="20"/>
          <w:szCs w:val="20"/>
          <w:lang w:val="bg-BG"/>
        </w:rPr>
      </w:pPr>
      <w:r w:rsidRPr="00584504">
        <w:rPr>
          <w:rFonts w:ascii="Verdana" w:hAnsi="Verdana"/>
          <w:sz w:val="20"/>
          <w:szCs w:val="20"/>
          <w:lang w:val="en"/>
        </w:rPr>
        <w:t>For the period 2021 -</w:t>
      </w:r>
      <w:r>
        <w:rPr>
          <w:rFonts w:ascii="Verdana" w:hAnsi="Verdana"/>
          <w:sz w:val="20"/>
          <w:szCs w:val="20"/>
          <w:lang w:val="en"/>
        </w:rPr>
        <w:t xml:space="preserve"> </w:t>
      </w:r>
      <w:r w:rsidRPr="00584504">
        <w:rPr>
          <w:rFonts w:ascii="Verdana" w:hAnsi="Verdana"/>
          <w:sz w:val="20"/>
          <w:szCs w:val="20"/>
          <w:lang w:val="en"/>
        </w:rPr>
        <w:t xml:space="preserve">2027, it is recommended to accelerate the implementation of the projects under the </w:t>
      </w:r>
      <w:r>
        <w:rPr>
          <w:rFonts w:ascii="Verdana" w:hAnsi="Verdana"/>
          <w:sz w:val="20"/>
          <w:szCs w:val="20"/>
          <w:lang w:val="en"/>
        </w:rPr>
        <w:t>core</w:t>
      </w:r>
      <w:r w:rsidRPr="00584504">
        <w:rPr>
          <w:rFonts w:ascii="Verdana" w:hAnsi="Verdana"/>
          <w:sz w:val="20"/>
          <w:szCs w:val="20"/>
          <w:lang w:val="en"/>
        </w:rPr>
        <w:t xml:space="preserve"> TEN-T network with a focus on completing the Serbian border – Sofia-Plovdiv </w:t>
      </w:r>
      <w:r>
        <w:rPr>
          <w:rFonts w:ascii="Verdana" w:hAnsi="Verdana"/>
          <w:sz w:val="20"/>
          <w:szCs w:val="20"/>
          <w:lang w:val="en"/>
        </w:rPr>
        <w:t>section</w:t>
      </w:r>
      <w:r w:rsidRPr="00584504">
        <w:rPr>
          <w:rFonts w:ascii="Verdana" w:hAnsi="Verdana"/>
          <w:sz w:val="20"/>
          <w:szCs w:val="20"/>
          <w:lang w:val="en"/>
        </w:rPr>
        <w:t xml:space="preserve">, as well as on the implementation of ERTMS on the other </w:t>
      </w:r>
      <w:r>
        <w:rPr>
          <w:rFonts w:ascii="Verdana" w:hAnsi="Verdana"/>
          <w:sz w:val="20"/>
          <w:szCs w:val="20"/>
          <w:lang w:val="en"/>
        </w:rPr>
        <w:t>sections</w:t>
      </w:r>
      <w:r w:rsidRPr="00584504">
        <w:rPr>
          <w:rFonts w:ascii="Verdana" w:hAnsi="Verdana"/>
          <w:sz w:val="20"/>
          <w:szCs w:val="20"/>
          <w:lang w:val="en"/>
        </w:rPr>
        <w:t xml:space="preserve">, which is not related to high costs. Given the lack of progress in bringing the </w:t>
      </w:r>
      <w:r>
        <w:rPr>
          <w:rFonts w:ascii="Verdana" w:hAnsi="Verdana"/>
          <w:sz w:val="20"/>
          <w:szCs w:val="20"/>
          <w:lang w:val="en"/>
        </w:rPr>
        <w:t>core</w:t>
      </w:r>
      <w:r w:rsidRPr="00584504">
        <w:rPr>
          <w:rFonts w:ascii="Verdana" w:hAnsi="Verdana"/>
          <w:sz w:val="20"/>
          <w:szCs w:val="20"/>
          <w:lang w:val="en"/>
        </w:rPr>
        <w:t xml:space="preserve"> TEN-T to the </w:t>
      </w:r>
      <w:r>
        <w:rPr>
          <w:rFonts w:ascii="Verdana" w:hAnsi="Verdana"/>
          <w:sz w:val="20"/>
          <w:szCs w:val="20"/>
          <w:lang w:val="en"/>
        </w:rPr>
        <w:t>OEM</w:t>
      </w:r>
      <w:r w:rsidRPr="00584504">
        <w:rPr>
          <w:rFonts w:ascii="Verdana" w:hAnsi="Verdana"/>
          <w:sz w:val="20"/>
          <w:szCs w:val="20"/>
          <w:lang w:val="en"/>
        </w:rPr>
        <w:t xml:space="preserve"> </w:t>
      </w:r>
      <w:r>
        <w:rPr>
          <w:rFonts w:ascii="Verdana" w:hAnsi="Verdana"/>
          <w:sz w:val="20"/>
          <w:szCs w:val="20"/>
          <w:lang w:val="en"/>
        </w:rPr>
        <w:t>corridor</w:t>
      </w:r>
      <w:r w:rsidRPr="00584504">
        <w:rPr>
          <w:rFonts w:ascii="Verdana" w:hAnsi="Verdana"/>
          <w:sz w:val="20"/>
          <w:szCs w:val="20"/>
          <w:lang w:val="en"/>
        </w:rPr>
        <w:t xml:space="preserve"> in Romania, it is not recommended to undertake urgent activities on the Vidin -</w:t>
      </w:r>
      <w:proofErr w:type="spellStart"/>
      <w:r w:rsidRPr="00584504">
        <w:rPr>
          <w:rFonts w:ascii="Verdana" w:hAnsi="Verdana"/>
          <w:sz w:val="20"/>
          <w:szCs w:val="20"/>
          <w:lang w:val="en"/>
        </w:rPr>
        <w:t>Mezdra</w:t>
      </w:r>
      <w:proofErr w:type="spellEnd"/>
      <w:r w:rsidRPr="00584504">
        <w:rPr>
          <w:rFonts w:ascii="Verdana" w:hAnsi="Verdana"/>
          <w:sz w:val="20"/>
          <w:szCs w:val="20"/>
          <w:lang w:val="en"/>
        </w:rPr>
        <w:t xml:space="preserve"> and Sofia - </w:t>
      </w:r>
      <w:proofErr w:type="spellStart"/>
      <w:r w:rsidRPr="00584504">
        <w:rPr>
          <w:rFonts w:ascii="Verdana" w:hAnsi="Verdana"/>
          <w:sz w:val="20"/>
          <w:szCs w:val="20"/>
          <w:lang w:val="en"/>
        </w:rPr>
        <w:t>Kulata</w:t>
      </w:r>
      <w:proofErr w:type="spellEnd"/>
      <w:r w:rsidRPr="00584504">
        <w:rPr>
          <w:rFonts w:ascii="Verdana" w:hAnsi="Verdana"/>
          <w:sz w:val="20"/>
          <w:szCs w:val="20"/>
          <w:lang w:val="en"/>
        </w:rPr>
        <w:t xml:space="preserve"> lines.</w:t>
      </w:r>
    </w:p>
    <w:p w14:paraId="2A68907D" w14:textId="4C7110B1" w:rsidR="00575623" w:rsidRPr="0065043D" w:rsidRDefault="00575623" w:rsidP="00575623">
      <w:pPr>
        <w:jc w:val="both"/>
        <w:rPr>
          <w:rFonts w:ascii="Verdana" w:hAnsi="Verdana"/>
          <w:sz w:val="20"/>
          <w:szCs w:val="20"/>
          <w:lang w:val="en-US"/>
        </w:rPr>
      </w:pPr>
      <w:r w:rsidRPr="00584504">
        <w:rPr>
          <w:rFonts w:ascii="Verdana" w:hAnsi="Verdana"/>
          <w:sz w:val="20"/>
          <w:szCs w:val="20"/>
          <w:lang w:val="en"/>
        </w:rPr>
        <w:t xml:space="preserve">In order to maintain and gradually increase the level of integration with TEN-T, it is necessary to ensure the financial provision of adequate maintenance of the </w:t>
      </w:r>
      <w:r w:rsidR="00423E81" w:rsidRPr="00584504">
        <w:rPr>
          <w:rFonts w:ascii="Verdana" w:hAnsi="Verdana"/>
          <w:sz w:val="20"/>
          <w:szCs w:val="20"/>
          <w:lang w:val="en"/>
        </w:rPr>
        <w:t>modernized</w:t>
      </w:r>
      <w:r w:rsidRPr="00584504">
        <w:rPr>
          <w:rFonts w:ascii="Verdana" w:hAnsi="Verdana"/>
          <w:sz w:val="20"/>
          <w:szCs w:val="20"/>
          <w:lang w:val="en"/>
        </w:rPr>
        <w:t xml:space="preserve"> sections.</w:t>
      </w:r>
    </w:p>
    <w:p w14:paraId="087BCFAC" w14:textId="77777777" w:rsidR="00575623" w:rsidRPr="00584504" w:rsidRDefault="00575623" w:rsidP="00575623">
      <w:pPr>
        <w:numPr>
          <w:ilvl w:val="0"/>
          <w:numId w:val="22"/>
        </w:numPr>
        <w:contextualSpacing/>
        <w:jc w:val="both"/>
        <w:rPr>
          <w:rFonts w:ascii="Verdana" w:hAnsi="Verdana"/>
          <w:b/>
          <w:bCs/>
          <w:sz w:val="20"/>
          <w:szCs w:val="20"/>
          <w:lang w:val="bg-BG"/>
        </w:rPr>
      </w:pPr>
      <w:r w:rsidRPr="00584504">
        <w:rPr>
          <w:rFonts w:ascii="Verdana" w:hAnsi="Verdana"/>
          <w:b/>
          <w:bCs/>
          <w:sz w:val="20"/>
          <w:szCs w:val="20"/>
          <w:lang w:val="en"/>
        </w:rPr>
        <w:t>Degree of integration of the road network</w:t>
      </w:r>
    </w:p>
    <w:p w14:paraId="10DABF2C" w14:textId="77777777" w:rsidR="00575623" w:rsidRPr="0065043D" w:rsidRDefault="00575623" w:rsidP="00575623">
      <w:pPr>
        <w:jc w:val="both"/>
        <w:rPr>
          <w:rFonts w:ascii="Verdana" w:hAnsi="Verdana"/>
          <w:sz w:val="20"/>
          <w:szCs w:val="20"/>
          <w:lang w:val="en-US"/>
        </w:rPr>
      </w:pPr>
      <w:r w:rsidRPr="0065043D">
        <w:rPr>
          <w:rFonts w:ascii="Verdana" w:hAnsi="Verdana"/>
          <w:sz w:val="20"/>
          <w:szCs w:val="20"/>
          <w:lang w:val="en"/>
        </w:rPr>
        <w:t xml:space="preserve">Eight of the eleven road projects under OPT 2007-2013 related to TEN-T, are in the direction of the OEM corridor in the core TEN-T. Of the remaining three, one is in the core </w:t>
      </w:r>
      <w:r w:rsidRPr="0065043D">
        <w:rPr>
          <w:rFonts w:ascii="Verdana" w:hAnsi="Verdana"/>
          <w:sz w:val="20"/>
          <w:szCs w:val="20"/>
          <w:lang w:val="en"/>
        </w:rPr>
        <w:lastRenderedPageBreak/>
        <w:t xml:space="preserve">network, one is in the comprehensive network, and one is not in TEN-T. Eight projects have contributed to the integration of the road network into TEN-T, with four of them at a total value of BGN 216 million (incl. VAT) achieving full integration. These are projects of short lengths for which either the requirements for the availability of stopping and rest areas every 100 km and for the availability of safe and secure truck parking are inapplicable or they are in the comprehensive network. These projects are: SRR - road junction Yana, </w:t>
      </w:r>
      <w:proofErr w:type="spellStart"/>
      <w:r w:rsidRPr="0065043D">
        <w:rPr>
          <w:rFonts w:ascii="Verdana" w:hAnsi="Verdana"/>
          <w:sz w:val="20"/>
          <w:szCs w:val="20"/>
          <w:lang w:val="en"/>
        </w:rPr>
        <w:t>Kardzhali</w:t>
      </w:r>
      <w:proofErr w:type="spellEnd"/>
      <w:r w:rsidRPr="0065043D">
        <w:rPr>
          <w:rFonts w:ascii="Verdana" w:hAnsi="Verdana"/>
          <w:sz w:val="20"/>
          <w:szCs w:val="20"/>
          <w:lang w:val="en"/>
        </w:rPr>
        <w:t xml:space="preserve"> - </w:t>
      </w:r>
      <w:proofErr w:type="spellStart"/>
      <w:r w:rsidRPr="0065043D">
        <w:rPr>
          <w:rFonts w:ascii="Verdana" w:hAnsi="Verdana"/>
          <w:sz w:val="20"/>
          <w:szCs w:val="20"/>
          <w:lang w:val="en"/>
        </w:rPr>
        <w:t>Podkova</w:t>
      </w:r>
      <w:proofErr w:type="spellEnd"/>
      <w:r w:rsidRPr="0065043D">
        <w:rPr>
          <w:rFonts w:ascii="Verdana" w:hAnsi="Verdana"/>
          <w:sz w:val="20"/>
          <w:szCs w:val="20"/>
          <w:lang w:val="en"/>
        </w:rPr>
        <w:t>, Montana Bypass road and West</w:t>
      </w:r>
      <w:r>
        <w:rPr>
          <w:rFonts w:ascii="Verdana" w:hAnsi="Verdana"/>
          <w:sz w:val="20"/>
          <w:szCs w:val="20"/>
          <w:lang w:val="en"/>
        </w:rPr>
        <w:t>ern</w:t>
      </w:r>
      <w:r w:rsidRPr="0065043D">
        <w:rPr>
          <w:rFonts w:ascii="Verdana" w:hAnsi="Verdana"/>
          <w:sz w:val="20"/>
          <w:szCs w:val="20"/>
          <w:lang w:val="en"/>
        </w:rPr>
        <w:t xml:space="preserve"> Arc of SRR, with a total length of 56 km.</w:t>
      </w:r>
    </w:p>
    <w:p w14:paraId="32E4AB9D" w14:textId="77777777" w:rsidR="00575623" w:rsidRDefault="00575623" w:rsidP="00575623">
      <w:pPr>
        <w:jc w:val="both"/>
        <w:rPr>
          <w:rFonts w:ascii="Verdana" w:hAnsi="Verdana"/>
          <w:sz w:val="20"/>
          <w:szCs w:val="20"/>
          <w:lang w:val="en-US"/>
        </w:rPr>
      </w:pPr>
      <w:r w:rsidRPr="0004332D">
        <w:rPr>
          <w:rFonts w:ascii="Verdana" w:hAnsi="Verdana"/>
          <w:sz w:val="20"/>
          <w:szCs w:val="20"/>
          <w:lang w:val="en"/>
        </w:rPr>
        <w:t xml:space="preserve">Three projects, in which 82.5% of the funds invested in road infrastructure are concentrated, or BGN 1.410 billion, contribute to achieving a very high degree of integration into TEN-T on sections with a total length of 257.4 km. These include </w:t>
      </w:r>
      <w:proofErr w:type="spellStart"/>
      <w:r w:rsidRPr="0004332D">
        <w:rPr>
          <w:rFonts w:ascii="Verdana" w:hAnsi="Verdana"/>
          <w:sz w:val="20"/>
          <w:szCs w:val="20"/>
          <w:lang w:val="en"/>
        </w:rPr>
        <w:t>Trakia</w:t>
      </w:r>
      <w:proofErr w:type="spellEnd"/>
      <w:r w:rsidRPr="0004332D">
        <w:rPr>
          <w:rFonts w:ascii="Verdana" w:hAnsi="Verdana"/>
          <w:sz w:val="20"/>
          <w:szCs w:val="20"/>
          <w:lang w:val="en"/>
        </w:rPr>
        <w:t xml:space="preserve"> Motorway, Maritsa Motorway and Struma Motorway. In these projects, the most essential condition for a motorway or high-speed road is fulfilled, stopping/rest areas have been built; and the only item missing is safe and secure truck parking areas. The non-fulfillment of this requirement for the projects financed under OPT 2007-2013 should not be interpreted as a shortcoming of the programme as clarity on the minimum requirements for such parking areas was achieved only in early 2019, after the completion of a special study commissioned by the EC. </w:t>
      </w:r>
    </w:p>
    <w:p w14:paraId="09987B75" w14:textId="77777777" w:rsidR="00575623" w:rsidRDefault="00575623" w:rsidP="00575623">
      <w:pPr>
        <w:jc w:val="both"/>
        <w:rPr>
          <w:rFonts w:ascii="Verdana" w:hAnsi="Verdana"/>
          <w:sz w:val="20"/>
          <w:szCs w:val="20"/>
          <w:lang w:val="en-US"/>
        </w:rPr>
      </w:pPr>
      <w:r w:rsidRPr="0004332D">
        <w:rPr>
          <w:rFonts w:ascii="Verdana" w:hAnsi="Verdana"/>
          <w:sz w:val="20"/>
          <w:szCs w:val="20"/>
          <w:lang w:val="en"/>
        </w:rPr>
        <w:t>The remaining four projects worth a total of BGN 77.4 million, or 4.5% of the funds invested under OPT 2007-2013 in road infrastructure, do not contribute to the achievement of the technical requirements and, respectively, to the integration into TEN-T. These include the projects: Vratsa bypass road, Gabrovo bypass road, Modernization of viaducts, and Large SRR facilities. It should be noted that the new section of the Gabrovo bypass</w:t>
      </w:r>
      <w:r>
        <w:rPr>
          <w:rFonts w:ascii="Verdana" w:hAnsi="Verdana"/>
          <w:sz w:val="20"/>
          <w:szCs w:val="20"/>
          <w:lang w:val="en"/>
        </w:rPr>
        <w:t xml:space="preserve"> road</w:t>
      </w:r>
      <w:r w:rsidRPr="0004332D">
        <w:rPr>
          <w:rFonts w:ascii="Verdana" w:hAnsi="Verdana"/>
          <w:sz w:val="20"/>
          <w:szCs w:val="20"/>
          <w:lang w:val="en"/>
        </w:rPr>
        <w:t>, which is financed by the State Budget, contributes to the integration, but this does not apply to the sections rehabilitated under OPT 2007-2013.</w:t>
      </w:r>
    </w:p>
    <w:p w14:paraId="39C4EDAE" w14:textId="0B0B2182" w:rsidR="00575623" w:rsidRPr="00584504" w:rsidRDefault="00575623" w:rsidP="00575623">
      <w:pPr>
        <w:jc w:val="both"/>
        <w:rPr>
          <w:rFonts w:ascii="Verdana" w:hAnsi="Verdana"/>
          <w:sz w:val="20"/>
          <w:szCs w:val="20"/>
          <w:lang w:val="bg-BG"/>
        </w:rPr>
      </w:pPr>
      <w:r w:rsidRPr="00584504">
        <w:rPr>
          <w:rFonts w:ascii="Verdana" w:hAnsi="Verdana"/>
          <w:sz w:val="20"/>
          <w:szCs w:val="20"/>
          <w:lang w:val="en"/>
        </w:rPr>
        <w:t xml:space="preserve">The progress made with the implementation of the programme has been </w:t>
      </w:r>
      <w:r w:rsidR="00056933" w:rsidRPr="00584504">
        <w:rPr>
          <w:rFonts w:ascii="Verdana" w:hAnsi="Verdana"/>
          <w:sz w:val="20"/>
          <w:szCs w:val="20"/>
          <w:lang w:val="en"/>
        </w:rPr>
        <w:t>analyzed</w:t>
      </w:r>
      <w:r w:rsidRPr="00584504">
        <w:rPr>
          <w:rFonts w:ascii="Verdana" w:hAnsi="Verdana"/>
          <w:sz w:val="20"/>
          <w:szCs w:val="20"/>
          <w:lang w:val="en"/>
        </w:rPr>
        <w:t xml:space="preserve"> for the three main technical requirements:</w:t>
      </w:r>
    </w:p>
    <w:p w14:paraId="52DEEC33" w14:textId="77777777" w:rsidR="00575623" w:rsidRPr="00584504" w:rsidRDefault="00575623" w:rsidP="00575623">
      <w:pPr>
        <w:numPr>
          <w:ilvl w:val="0"/>
          <w:numId w:val="12"/>
        </w:numPr>
        <w:ind w:left="426" w:hanging="426"/>
        <w:jc w:val="both"/>
        <w:rPr>
          <w:rFonts w:ascii="Verdana" w:hAnsi="Verdana"/>
          <w:sz w:val="20"/>
          <w:szCs w:val="20"/>
          <w:lang w:val="bg-BG"/>
        </w:rPr>
      </w:pPr>
      <w:r w:rsidRPr="000B7FCC">
        <w:rPr>
          <w:rFonts w:ascii="Verdana" w:hAnsi="Verdana"/>
          <w:sz w:val="20"/>
          <w:szCs w:val="20"/>
          <w:lang w:val="en"/>
        </w:rPr>
        <w:t>Motorway or high-speed road that does not intersect at the same level with railway lines for the core network or conventional strategic road for the comprehensive network - as of 2007 the length of motorway sections in the TEN-T network is 400 km, which is 21.5% of the total length of TEN-T in Bulgaria; by 2019 the total length of the sections that meet this technical requirement is already 804.3 km, which is 34.9% of TEN-T; the contribution of OPT 2007-201</w:t>
      </w:r>
      <w:r>
        <w:rPr>
          <w:rFonts w:ascii="Verdana" w:hAnsi="Verdana"/>
          <w:sz w:val="20"/>
          <w:szCs w:val="20"/>
          <w:lang w:val="en"/>
        </w:rPr>
        <w:t>3</w:t>
      </w:r>
      <w:r w:rsidRPr="000B7FCC">
        <w:rPr>
          <w:rFonts w:ascii="Verdana" w:hAnsi="Verdana"/>
          <w:sz w:val="20"/>
          <w:szCs w:val="20"/>
          <w:lang w:val="en"/>
        </w:rPr>
        <w:t xml:space="preserve"> to this increase of 13.4 percentage points amounts to 311.4 km, which represents 77.5% of the new roads brought in line with the requirement; as of 2019, 61.5% of the OEM corridor on the territory of Bulgaria meets this requirement;</w:t>
      </w:r>
      <w:bookmarkStart w:id="89" w:name="_Hlk49704198"/>
      <w:bookmarkEnd w:id="89"/>
    </w:p>
    <w:p w14:paraId="4D183F03" w14:textId="77777777" w:rsidR="00575623" w:rsidRPr="00584504" w:rsidRDefault="00575623" w:rsidP="00575623">
      <w:pPr>
        <w:numPr>
          <w:ilvl w:val="0"/>
          <w:numId w:val="12"/>
        </w:numPr>
        <w:ind w:left="426" w:hanging="426"/>
        <w:jc w:val="both"/>
        <w:rPr>
          <w:rFonts w:ascii="Verdana" w:hAnsi="Verdana"/>
          <w:sz w:val="20"/>
          <w:szCs w:val="20"/>
          <w:lang w:val="bg-BG"/>
        </w:rPr>
      </w:pPr>
      <w:r w:rsidRPr="00584504">
        <w:rPr>
          <w:rFonts w:ascii="Verdana" w:hAnsi="Verdana"/>
          <w:sz w:val="20"/>
          <w:szCs w:val="20"/>
          <w:lang w:val="en"/>
        </w:rPr>
        <w:t xml:space="preserve">Rest </w:t>
      </w:r>
      <w:r>
        <w:rPr>
          <w:rFonts w:ascii="Verdana" w:hAnsi="Verdana"/>
          <w:sz w:val="20"/>
          <w:szCs w:val="20"/>
          <w:lang w:val="en"/>
        </w:rPr>
        <w:t>areas</w:t>
      </w:r>
      <w:r w:rsidRPr="00584504">
        <w:rPr>
          <w:rFonts w:ascii="Verdana" w:hAnsi="Verdana"/>
          <w:sz w:val="20"/>
          <w:szCs w:val="20"/>
          <w:lang w:val="en"/>
        </w:rPr>
        <w:t xml:space="preserve"> on motorways approximately every 100 km – on all highways there are built stop and rest zones, so by 2007 and 2019 compliance is 100%;</w:t>
      </w:r>
    </w:p>
    <w:p w14:paraId="363631CE" w14:textId="77777777" w:rsidR="00575623" w:rsidRPr="00584504" w:rsidRDefault="00575623" w:rsidP="00575623">
      <w:pPr>
        <w:numPr>
          <w:ilvl w:val="0"/>
          <w:numId w:val="12"/>
        </w:numPr>
        <w:ind w:left="426" w:hanging="426"/>
        <w:jc w:val="both"/>
        <w:rPr>
          <w:rFonts w:ascii="Verdana" w:hAnsi="Verdana"/>
          <w:sz w:val="20"/>
          <w:szCs w:val="20"/>
          <w:lang w:val="bg-BG"/>
        </w:rPr>
      </w:pPr>
      <w:r w:rsidRPr="00EC25D9">
        <w:rPr>
          <w:rFonts w:ascii="Verdana" w:hAnsi="Verdana"/>
          <w:sz w:val="20"/>
          <w:szCs w:val="20"/>
          <w:lang w:val="en"/>
        </w:rPr>
        <w:t xml:space="preserve">Parking areas with the appropriate level of safety and security for trucks/freight vehicles; Regulation 1315/2013 does not set a requirement for the number or density of such facilities, which makes a quantitative </w:t>
      </w:r>
      <w:r>
        <w:rPr>
          <w:rFonts w:ascii="Verdana" w:hAnsi="Verdana"/>
          <w:sz w:val="20"/>
          <w:szCs w:val="20"/>
          <w:lang w:val="en"/>
        </w:rPr>
        <w:t>evaluation</w:t>
      </w:r>
      <w:r w:rsidRPr="00EC25D9">
        <w:rPr>
          <w:rFonts w:ascii="Verdana" w:hAnsi="Verdana"/>
          <w:sz w:val="20"/>
          <w:szCs w:val="20"/>
          <w:lang w:val="en"/>
        </w:rPr>
        <w:t xml:space="preserve"> impossible, but anyway, OPT 2007-2013 has no relevance for this indicator.</w:t>
      </w:r>
    </w:p>
    <w:p w14:paraId="58216BE6" w14:textId="77777777" w:rsidR="00575623" w:rsidRPr="00EC25D9" w:rsidRDefault="00575623" w:rsidP="00575623">
      <w:pPr>
        <w:jc w:val="both"/>
        <w:rPr>
          <w:rFonts w:ascii="Verdana" w:hAnsi="Verdana"/>
          <w:sz w:val="20"/>
          <w:szCs w:val="20"/>
          <w:lang w:val="en-US"/>
        </w:rPr>
      </w:pPr>
      <w:r w:rsidRPr="00EC25D9">
        <w:rPr>
          <w:rFonts w:ascii="Verdana" w:hAnsi="Verdana"/>
          <w:sz w:val="20"/>
          <w:szCs w:val="20"/>
          <w:lang w:val="en-US"/>
        </w:rPr>
        <w:t>According to the analysis results of the fulfillment of the technical requirements, it can be concluded that by 2019 about 35% of the road TEN-T network in Bulgaria is integrated into TEN-T to a very high degree. The implementation of new sections of motorways and high-speed roads continues or has been planned for the period after 2020, which will allow:</w:t>
      </w:r>
    </w:p>
    <w:p w14:paraId="15353C03" w14:textId="77777777" w:rsidR="00575623" w:rsidRPr="00E57EDA" w:rsidRDefault="00575623" w:rsidP="00575623">
      <w:pPr>
        <w:numPr>
          <w:ilvl w:val="0"/>
          <w:numId w:val="15"/>
        </w:numPr>
        <w:ind w:left="426" w:hanging="426"/>
        <w:jc w:val="both"/>
        <w:rPr>
          <w:rFonts w:ascii="Verdana" w:hAnsi="Verdana"/>
          <w:sz w:val="20"/>
          <w:szCs w:val="20"/>
          <w:lang w:val="bg-BG"/>
        </w:rPr>
      </w:pPr>
      <w:r w:rsidRPr="00E57EDA">
        <w:rPr>
          <w:rFonts w:ascii="Verdana" w:hAnsi="Verdana"/>
          <w:sz w:val="20"/>
          <w:szCs w:val="20"/>
          <w:lang w:val="en"/>
        </w:rPr>
        <w:lastRenderedPageBreak/>
        <w:t xml:space="preserve">achieving the full integration of the OEM to TEN-T through the completion of Struma Motorway and the modernization and reconstruction to the speed road of the Vidin - Montana – Vratsa – </w:t>
      </w:r>
      <w:proofErr w:type="spellStart"/>
      <w:r w:rsidRPr="00E57EDA">
        <w:rPr>
          <w:rFonts w:ascii="Verdana" w:hAnsi="Verdana"/>
          <w:sz w:val="20"/>
          <w:szCs w:val="20"/>
          <w:lang w:val="en"/>
        </w:rPr>
        <w:t>Mezdra</w:t>
      </w:r>
      <w:proofErr w:type="spellEnd"/>
      <w:r w:rsidRPr="00E57EDA">
        <w:rPr>
          <w:rFonts w:ascii="Verdana" w:hAnsi="Verdana"/>
          <w:sz w:val="20"/>
          <w:szCs w:val="20"/>
          <w:lang w:val="en"/>
        </w:rPr>
        <w:t xml:space="preserve"> – </w:t>
      </w:r>
      <w:proofErr w:type="spellStart"/>
      <w:r w:rsidRPr="00E57EDA">
        <w:rPr>
          <w:rFonts w:ascii="Verdana" w:hAnsi="Verdana"/>
          <w:sz w:val="20"/>
          <w:szCs w:val="20"/>
          <w:lang w:val="en"/>
        </w:rPr>
        <w:t>Botevgrad</w:t>
      </w:r>
      <w:proofErr w:type="spellEnd"/>
      <w:r w:rsidRPr="00E57EDA">
        <w:rPr>
          <w:rFonts w:ascii="Verdana" w:hAnsi="Verdana"/>
          <w:sz w:val="20"/>
          <w:szCs w:val="20"/>
          <w:lang w:val="en"/>
        </w:rPr>
        <w:t xml:space="preserve"> strand; </w:t>
      </w:r>
    </w:p>
    <w:p w14:paraId="364BF052" w14:textId="77777777" w:rsidR="00575623" w:rsidRPr="00E57EDA" w:rsidRDefault="00575623" w:rsidP="00575623">
      <w:pPr>
        <w:numPr>
          <w:ilvl w:val="0"/>
          <w:numId w:val="15"/>
        </w:numPr>
        <w:ind w:left="426" w:hanging="426"/>
        <w:jc w:val="both"/>
        <w:rPr>
          <w:rFonts w:ascii="Verdana" w:hAnsi="Verdana"/>
          <w:sz w:val="20"/>
          <w:szCs w:val="20"/>
          <w:lang w:val="bg-BG"/>
        </w:rPr>
      </w:pPr>
      <w:r w:rsidRPr="00E57EDA">
        <w:rPr>
          <w:rFonts w:ascii="Verdana" w:hAnsi="Verdana"/>
          <w:sz w:val="20"/>
          <w:szCs w:val="20"/>
          <w:lang w:val="en"/>
        </w:rPr>
        <w:t xml:space="preserve">increasing the degree of integration on the core and comprehensive network through the completion of </w:t>
      </w:r>
      <w:proofErr w:type="spellStart"/>
      <w:r w:rsidRPr="00E57EDA">
        <w:rPr>
          <w:rFonts w:ascii="Verdana" w:hAnsi="Verdana"/>
          <w:sz w:val="20"/>
          <w:szCs w:val="20"/>
          <w:lang w:val="en"/>
        </w:rPr>
        <w:t>Hemus</w:t>
      </w:r>
      <w:proofErr w:type="spellEnd"/>
      <w:r w:rsidRPr="00E57EDA">
        <w:rPr>
          <w:rFonts w:ascii="Verdana" w:hAnsi="Verdana"/>
          <w:sz w:val="20"/>
          <w:szCs w:val="20"/>
          <w:lang w:val="en"/>
        </w:rPr>
        <w:t xml:space="preserve"> and Ruse – </w:t>
      </w:r>
      <w:proofErr w:type="spellStart"/>
      <w:r w:rsidRPr="00E57EDA">
        <w:rPr>
          <w:rFonts w:ascii="Verdana" w:hAnsi="Verdana"/>
          <w:sz w:val="20"/>
          <w:szCs w:val="20"/>
          <w:lang w:val="en"/>
        </w:rPr>
        <w:t>Veliko</w:t>
      </w:r>
      <w:proofErr w:type="spellEnd"/>
      <w:r w:rsidRPr="00E57EDA">
        <w:rPr>
          <w:rFonts w:ascii="Verdana" w:hAnsi="Verdana"/>
          <w:sz w:val="20"/>
          <w:szCs w:val="20"/>
          <w:lang w:val="en"/>
        </w:rPr>
        <w:t xml:space="preserve"> </w:t>
      </w:r>
      <w:proofErr w:type="spellStart"/>
      <w:r w:rsidRPr="00E57EDA">
        <w:rPr>
          <w:rFonts w:ascii="Verdana" w:hAnsi="Verdana"/>
          <w:sz w:val="20"/>
          <w:szCs w:val="20"/>
          <w:lang w:val="en"/>
        </w:rPr>
        <w:t>Tarnovo</w:t>
      </w:r>
      <w:proofErr w:type="spellEnd"/>
      <w:r w:rsidRPr="00E57EDA">
        <w:rPr>
          <w:rFonts w:ascii="Verdana" w:hAnsi="Verdana"/>
          <w:sz w:val="20"/>
          <w:szCs w:val="20"/>
          <w:lang w:val="en"/>
        </w:rPr>
        <w:t>.</w:t>
      </w:r>
    </w:p>
    <w:p w14:paraId="1A4F3A3B" w14:textId="77777777" w:rsidR="00575623" w:rsidRPr="00EC25D9" w:rsidRDefault="00575623" w:rsidP="00575623">
      <w:pPr>
        <w:jc w:val="both"/>
        <w:rPr>
          <w:rFonts w:ascii="Verdana" w:hAnsi="Verdana"/>
          <w:sz w:val="20"/>
          <w:szCs w:val="20"/>
          <w:lang w:val="en-US"/>
        </w:rPr>
      </w:pPr>
      <w:r w:rsidRPr="00EC25D9">
        <w:rPr>
          <w:rFonts w:ascii="Verdana" w:hAnsi="Verdana"/>
          <w:sz w:val="20"/>
          <w:szCs w:val="20"/>
          <w:lang w:val="en"/>
        </w:rPr>
        <w:t>It is recommended that appropriate methods be sought to encourage the construction of new and/or restoration of existing safe and secure parking areas. Taking into account the rising maintenance costs and the much lower than planned revenues from the toll system, it is also recommended that measures be taken to ensure adequate funding, which would prevent the lack of funding for the newly built high-quality road sections.</w:t>
      </w:r>
    </w:p>
    <w:p w14:paraId="6C79A500" w14:textId="77777777" w:rsidR="00575623" w:rsidRDefault="00575623" w:rsidP="00575623">
      <w:pPr>
        <w:jc w:val="both"/>
        <w:rPr>
          <w:rFonts w:ascii="Verdana" w:hAnsi="Verdana"/>
          <w:sz w:val="20"/>
          <w:szCs w:val="20"/>
          <w:lang w:val="en"/>
        </w:rPr>
      </w:pPr>
    </w:p>
    <w:p w14:paraId="11BBDA5A" w14:textId="77777777" w:rsidR="00575623" w:rsidRPr="00EC25D9" w:rsidRDefault="00575623" w:rsidP="00575623">
      <w:pPr>
        <w:jc w:val="both"/>
        <w:rPr>
          <w:rFonts w:ascii="Verdana" w:hAnsi="Verdana"/>
          <w:b/>
          <w:bCs/>
          <w:sz w:val="20"/>
          <w:szCs w:val="20"/>
          <w:lang w:val="en"/>
        </w:rPr>
      </w:pPr>
      <w:r w:rsidRPr="00EC25D9">
        <w:rPr>
          <w:rFonts w:ascii="Verdana" w:hAnsi="Verdana"/>
          <w:b/>
          <w:bCs/>
          <w:sz w:val="20"/>
          <w:szCs w:val="20"/>
          <w:lang w:val="en"/>
        </w:rPr>
        <w:t>Degree of integration into the network for rail- automotive terminals</w:t>
      </w:r>
    </w:p>
    <w:p w14:paraId="6EB47127" w14:textId="77777777" w:rsidR="00575623" w:rsidRPr="00EC25D9" w:rsidRDefault="00575623" w:rsidP="00575623">
      <w:pPr>
        <w:jc w:val="both"/>
        <w:rPr>
          <w:rFonts w:ascii="Verdana" w:hAnsi="Verdana"/>
          <w:sz w:val="20"/>
          <w:szCs w:val="20"/>
          <w:lang w:val="en-US"/>
        </w:rPr>
      </w:pPr>
      <w:r w:rsidRPr="00EC25D9">
        <w:rPr>
          <w:rFonts w:ascii="Verdana" w:hAnsi="Verdana"/>
          <w:sz w:val="20"/>
          <w:szCs w:val="20"/>
          <w:lang w:val="en"/>
        </w:rPr>
        <w:t>Under OPT 2007 - 2013, one project for the construction of a new rail-automotive terminal on OEM of the core TEN-T network has been implemented.</w:t>
      </w:r>
    </w:p>
    <w:p w14:paraId="1B65E9CB" w14:textId="77777777" w:rsidR="00575623" w:rsidRPr="00584504" w:rsidRDefault="00575623" w:rsidP="00575623">
      <w:pPr>
        <w:jc w:val="both"/>
        <w:rPr>
          <w:rFonts w:ascii="Verdana" w:hAnsi="Verdana"/>
          <w:sz w:val="20"/>
          <w:szCs w:val="20"/>
          <w:lang w:val="bg-BG"/>
        </w:rPr>
      </w:pPr>
      <w:r w:rsidRPr="00584504">
        <w:rPr>
          <w:rFonts w:ascii="Verdana" w:hAnsi="Verdana"/>
          <w:sz w:val="20"/>
          <w:szCs w:val="20"/>
          <w:lang w:val="en"/>
        </w:rPr>
        <w:t xml:space="preserve">According to Regulation 1315/2013, four railway and road terminals on the </w:t>
      </w:r>
      <w:r>
        <w:rPr>
          <w:rFonts w:ascii="Verdana" w:hAnsi="Verdana"/>
          <w:sz w:val="20"/>
          <w:szCs w:val="20"/>
          <w:lang w:val="en"/>
        </w:rPr>
        <w:t>core</w:t>
      </w:r>
      <w:r w:rsidRPr="00584504">
        <w:rPr>
          <w:rFonts w:ascii="Verdana" w:hAnsi="Verdana"/>
          <w:sz w:val="20"/>
          <w:szCs w:val="20"/>
          <w:lang w:val="en"/>
        </w:rPr>
        <w:t xml:space="preserve"> network are provided for Bulgaria and two on the comprehensive one. Currently, only the Intermodal Terminal Plovdiv is built and operates on the </w:t>
      </w:r>
      <w:r>
        <w:rPr>
          <w:rFonts w:ascii="Verdana" w:hAnsi="Verdana"/>
          <w:sz w:val="20"/>
          <w:szCs w:val="20"/>
          <w:lang w:val="en"/>
        </w:rPr>
        <w:t>core</w:t>
      </w:r>
      <w:r w:rsidRPr="00584504">
        <w:rPr>
          <w:rFonts w:ascii="Verdana" w:hAnsi="Verdana"/>
          <w:sz w:val="20"/>
          <w:szCs w:val="20"/>
          <w:lang w:val="en"/>
        </w:rPr>
        <w:t xml:space="preserve"> TEN-T network, which corresponds to 25% integration into the </w:t>
      </w:r>
      <w:r>
        <w:rPr>
          <w:rFonts w:ascii="Verdana" w:hAnsi="Verdana"/>
          <w:sz w:val="20"/>
          <w:szCs w:val="20"/>
          <w:lang w:val="en"/>
        </w:rPr>
        <w:t>core</w:t>
      </w:r>
      <w:r w:rsidRPr="00584504">
        <w:rPr>
          <w:rFonts w:ascii="Verdana" w:hAnsi="Verdana"/>
          <w:sz w:val="20"/>
          <w:szCs w:val="20"/>
          <w:lang w:val="en"/>
        </w:rPr>
        <w:t xml:space="preserve"> TEN-T network. The contribution to this achievement is to a large extent the OPT 2007 -2013, which finances the construction of the infrastructure of the terminal, as well as the concessionaire - Terminals EAD, which invests in the superstructure.</w:t>
      </w:r>
    </w:p>
    <w:p w14:paraId="2FC6D7B4" w14:textId="77777777" w:rsidR="00575623" w:rsidRPr="00B24B4C" w:rsidRDefault="00575623" w:rsidP="00575623">
      <w:pPr>
        <w:jc w:val="both"/>
        <w:rPr>
          <w:rFonts w:ascii="Verdana" w:hAnsi="Verdana"/>
          <w:sz w:val="20"/>
          <w:szCs w:val="20"/>
          <w:lang w:val="en-US"/>
        </w:rPr>
      </w:pPr>
      <w:r w:rsidRPr="00B24B4C">
        <w:rPr>
          <w:rFonts w:ascii="Verdana" w:hAnsi="Verdana"/>
          <w:sz w:val="20"/>
          <w:szCs w:val="20"/>
          <w:lang w:val="en"/>
        </w:rPr>
        <w:t>Given the achieved low level of integration, it is recommended that in the p</w:t>
      </w:r>
      <w:r>
        <w:rPr>
          <w:rFonts w:ascii="Verdana" w:hAnsi="Verdana"/>
          <w:sz w:val="20"/>
          <w:szCs w:val="20"/>
          <w:lang w:val="en"/>
        </w:rPr>
        <w:t>rogramming</w:t>
      </w:r>
      <w:r w:rsidRPr="00B24B4C">
        <w:rPr>
          <w:rFonts w:ascii="Verdana" w:hAnsi="Verdana"/>
          <w:sz w:val="20"/>
          <w:szCs w:val="20"/>
          <w:lang w:val="en"/>
        </w:rPr>
        <w:t xml:space="preserve"> period 2021 - 2027 the construction of at least two rail-automotive terminals on the core network – in Sofia and in Northern Bulgaria – be waged.</w:t>
      </w:r>
    </w:p>
    <w:p w14:paraId="7A4DEEC0" w14:textId="77777777" w:rsidR="00575623" w:rsidRPr="00584504" w:rsidRDefault="00575623" w:rsidP="00575623">
      <w:pPr>
        <w:numPr>
          <w:ilvl w:val="0"/>
          <w:numId w:val="22"/>
        </w:numPr>
        <w:contextualSpacing/>
        <w:jc w:val="both"/>
        <w:rPr>
          <w:rFonts w:ascii="Verdana" w:hAnsi="Verdana"/>
          <w:b/>
          <w:bCs/>
          <w:sz w:val="20"/>
          <w:szCs w:val="20"/>
          <w:lang w:val="bg-BG"/>
        </w:rPr>
      </w:pPr>
      <w:r w:rsidRPr="00584504">
        <w:rPr>
          <w:rFonts w:ascii="Verdana" w:hAnsi="Verdana"/>
          <w:b/>
          <w:bCs/>
          <w:sz w:val="20"/>
          <w:szCs w:val="20"/>
          <w:lang w:val="en"/>
        </w:rPr>
        <w:t>Inland waterways</w:t>
      </w:r>
    </w:p>
    <w:p w14:paraId="1ACD3E34" w14:textId="77777777" w:rsidR="00575623" w:rsidRDefault="00575623" w:rsidP="00575623">
      <w:pPr>
        <w:jc w:val="both"/>
        <w:rPr>
          <w:rFonts w:ascii="Verdana" w:hAnsi="Verdana"/>
          <w:sz w:val="20"/>
          <w:szCs w:val="20"/>
          <w:lang w:val="en"/>
        </w:rPr>
      </w:pPr>
      <w:r w:rsidRPr="00584504">
        <w:rPr>
          <w:rFonts w:ascii="Verdana" w:hAnsi="Verdana"/>
          <w:sz w:val="20"/>
          <w:szCs w:val="20"/>
          <w:lang w:val="en"/>
        </w:rPr>
        <w:t xml:space="preserve">According to OPT 2007-2013, two projects related to inland waterway transport have been implemented, which, of course, are along the RD corridor of the </w:t>
      </w:r>
      <w:r>
        <w:rPr>
          <w:rFonts w:ascii="Verdana" w:hAnsi="Verdana"/>
          <w:sz w:val="20"/>
          <w:szCs w:val="20"/>
          <w:lang w:val="en"/>
        </w:rPr>
        <w:t>core</w:t>
      </w:r>
      <w:r w:rsidRPr="00584504">
        <w:rPr>
          <w:rFonts w:ascii="Verdana" w:hAnsi="Verdana"/>
          <w:sz w:val="20"/>
          <w:szCs w:val="20"/>
          <w:lang w:val="en"/>
        </w:rPr>
        <w:t xml:space="preserve"> TEN-T. </w:t>
      </w:r>
    </w:p>
    <w:p w14:paraId="4ED80D82" w14:textId="3EAC8B3A" w:rsidR="00575623" w:rsidRPr="00584504" w:rsidRDefault="00575623" w:rsidP="00575623">
      <w:pPr>
        <w:jc w:val="both"/>
        <w:rPr>
          <w:rFonts w:ascii="Verdana" w:hAnsi="Verdana"/>
          <w:sz w:val="20"/>
          <w:szCs w:val="20"/>
          <w:lang w:val="bg-BG"/>
        </w:rPr>
      </w:pPr>
      <w:r w:rsidRPr="00584504">
        <w:rPr>
          <w:rFonts w:ascii="Verdana" w:hAnsi="Verdana"/>
          <w:sz w:val="20"/>
          <w:szCs w:val="20"/>
          <w:lang w:val="en"/>
        </w:rPr>
        <w:t xml:space="preserve">The progress made with the implementation of the programme has been </w:t>
      </w:r>
      <w:r w:rsidR="00056933" w:rsidRPr="00584504">
        <w:rPr>
          <w:rFonts w:ascii="Verdana" w:hAnsi="Verdana"/>
          <w:sz w:val="20"/>
          <w:szCs w:val="20"/>
          <w:lang w:val="en"/>
        </w:rPr>
        <w:t>analyzed</w:t>
      </w:r>
      <w:r w:rsidRPr="00584504">
        <w:rPr>
          <w:rFonts w:ascii="Verdana" w:hAnsi="Verdana"/>
          <w:sz w:val="20"/>
          <w:szCs w:val="20"/>
          <w:lang w:val="en"/>
        </w:rPr>
        <w:t xml:space="preserve"> for the four main technical requirements for inland waterways:</w:t>
      </w:r>
    </w:p>
    <w:p w14:paraId="518B0C0B" w14:textId="77777777" w:rsidR="00575623" w:rsidRPr="00584504" w:rsidRDefault="00575623" w:rsidP="00575623">
      <w:pPr>
        <w:numPr>
          <w:ilvl w:val="0"/>
          <w:numId w:val="13"/>
        </w:numPr>
        <w:ind w:left="426" w:hanging="426"/>
        <w:jc w:val="both"/>
        <w:rPr>
          <w:rFonts w:ascii="Verdana" w:hAnsi="Verdana"/>
          <w:sz w:val="20"/>
          <w:szCs w:val="20"/>
          <w:lang w:val="bg-BG"/>
        </w:rPr>
      </w:pPr>
      <w:r w:rsidRPr="00584504">
        <w:rPr>
          <w:rFonts w:ascii="Verdana" w:hAnsi="Verdana"/>
          <w:sz w:val="20"/>
          <w:szCs w:val="20"/>
          <w:lang w:val="en"/>
        </w:rPr>
        <w:t>The minimum requirements for class IV waterways:</w:t>
      </w:r>
    </w:p>
    <w:p w14:paraId="5E59D757" w14:textId="77777777" w:rsidR="00575623" w:rsidRPr="00584504" w:rsidRDefault="00575623" w:rsidP="00575623">
      <w:pPr>
        <w:numPr>
          <w:ilvl w:val="0"/>
          <w:numId w:val="14"/>
        </w:numPr>
        <w:ind w:left="426" w:hanging="426"/>
        <w:jc w:val="both"/>
        <w:rPr>
          <w:rFonts w:ascii="Verdana" w:hAnsi="Verdana"/>
          <w:sz w:val="20"/>
          <w:szCs w:val="20"/>
          <w:lang w:val="bg-BG"/>
        </w:rPr>
      </w:pPr>
      <w:r w:rsidRPr="00584504">
        <w:rPr>
          <w:rFonts w:ascii="Verdana" w:hAnsi="Verdana"/>
          <w:sz w:val="20"/>
          <w:szCs w:val="20"/>
          <w:lang w:val="en"/>
        </w:rPr>
        <w:t xml:space="preserve">According to a recommendation of the Danube Commission, depth should be provided along the fairway of at least 2.50 m at low ship regulation level and higher during 94 % of the year; the type of projects implemented under OPT 2007-2013 shows that </w:t>
      </w:r>
      <w:r>
        <w:rPr>
          <w:rFonts w:ascii="Verdana" w:hAnsi="Verdana"/>
          <w:sz w:val="20"/>
          <w:szCs w:val="20"/>
          <w:lang w:val="en"/>
        </w:rPr>
        <w:t>the programme</w:t>
      </w:r>
      <w:r w:rsidRPr="00584504">
        <w:rPr>
          <w:rFonts w:ascii="Verdana" w:hAnsi="Verdana"/>
          <w:sz w:val="20"/>
          <w:szCs w:val="20"/>
          <w:lang w:val="en"/>
        </w:rPr>
        <w:t xml:space="preserve"> does not contribute to this indicator;</w:t>
      </w:r>
    </w:p>
    <w:p w14:paraId="37A6FA2D" w14:textId="77777777" w:rsidR="00575623" w:rsidRPr="007401C4" w:rsidRDefault="00575623" w:rsidP="00575623">
      <w:pPr>
        <w:numPr>
          <w:ilvl w:val="0"/>
          <w:numId w:val="14"/>
        </w:numPr>
        <w:ind w:left="426" w:hanging="426"/>
        <w:jc w:val="both"/>
        <w:rPr>
          <w:rFonts w:ascii="Verdana" w:hAnsi="Verdana"/>
          <w:sz w:val="20"/>
          <w:szCs w:val="20"/>
          <w:lang w:val="bg-BG"/>
        </w:rPr>
      </w:pPr>
      <w:r w:rsidRPr="00B27DF9">
        <w:rPr>
          <w:rFonts w:ascii="Verdana" w:hAnsi="Verdana"/>
          <w:sz w:val="20"/>
          <w:szCs w:val="20"/>
          <w:lang w:val="en"/>
        </w:rPr>
        <w:t>As of 2007, the clearance height under the Danube bridge near Ruse - Giurgiu meets the technical requirement; as of 2019 the second bridge New Europe at the border crossing Vidin - Kalafat is also operational, and also meets the requirement; OPT 2007 - 2013 has no contribution on this indicator.</w:t>
      </w:r>
      <w:r w:rsidRPr="00584504">
        <w:rPr>
          <w:rFonts w:ascii="Verdana" w:hAnsi="Verdana"/>
          <w:sz w:val="20"/>
          <w:szCs w:val="20"/>
          <w:lang w:val="en"/>
        </w:rPr>
        <w:t xml:space="preserve"> </w:t>
      </w:r>
    </w:p>
    <w:p w14:paraId="1BD85476" w14:textId="77777777" w:rsidR="00575623" w:rsidRPr="00584504" w:rsidRDefault="00575623" w:rsidP="00575623">
      <w:pPr>
        <w:numPr>
          <w:ilvl w:val="0"/>
          <w:numId w:val="13"/>
        </w:numPr>
        <w:ind w:left="426" w:hanging="426"/>
        <w:jc w:val="both"/>
        <w:rPr>
          <w:rFonts w:ascii="Verdana" w:hAnsi="Verdana"/>
          <w:sz w:val="20"/>
          <w:szCs w:val="20"/>
          <w:lang w:val="bg-BG"/>
        </w:rPr>
      </w:pPr>
      <w:r w:rsidRPr="00584504">
        <w:rPr>
          <w:rFonts w:ascii="Verdana" w:hAnsi="Verdana"/>
          <w:sz w:val="20"/>
          <w:szCs w:val="20"/>
          <w:lang w:val="en"/>
        </w:rPr>
        <w:t>Telematic systems, including RIS – as of 2007 there is no RIS implemented, and as of 2019 – such operates and covers the entire Bulgarian section of the Danube River; integration under this indicator is 100%, which is entirely due to THE 2007-2013 OPT;</w:t>
      </w:r>
    </w:p>
    <w:p w14:paraId="552CEA9D" w14:textId="77777777" w:rsidR="00575623" w:rsidRPr="00584504" w:rsidRDefault="00575623" w:rsidP="00575623">
      <w:pPr>
        <w:numPr>
          <w:ilvl w:val="0"/>
          <w:numId w:val="13"/>
        </w:numPr>
        <w:ind w:left="426" w:hanging="426"/>
        <w:jc w:val="both"/>
        <w:rPr>
          <w:rFonts w:ascii="Verdana" w:hAnsi="Verdana"/>
          <w:sz w:val="20"/>
          <w:szCs w:val="20"/>
          <w:lang w:val="bg-BG"/>
        </w:rPr>
      </w:pPr>
      <w:r w:rsidRPr="00140A5F">
        <w:rPr>
          <w:rFonts w:ascii="Verdana" w:hAnsi="Verdana"/>
          <w:sz w:val="20"/>
          <w:szCs w:val="20"/>
          <w:lang w:val="en"/>
        </w:rPr>
        <w:t>Connectivity of the internal ports with the railway and road infrastructure for freight transport</w:t>
      </w:r>
      <w:r w:rsidRPr="00584504">
        <w:rPr>
          <w:rFonts w:ascii="Verdana" w:hAnsi="Verdana"/>
          <w:sz w:val="20"/>
          <w:szCs w:val="20"/>
          <w:lang w:val="en"/>
        </w:rPr>
        <w:t xml:space="preserve"> – and as of 2007 and 2019, three of the four ports on the </w:t>
      </w:r>
      <w:r>
        <w:rPr>
          <w:rFonts w:ascii="Verdana" w:hAnsi="Verdana"/>
          <w:sz w:val="20"/>
          <w:szCs w:val="20"/>
          <w:lang w:val="en"/>
        </w:rPr>
        <w:t>core</w:t>
      </w:r>
      <w:r w:rsidRPr="00584504">
        <w:rPr>
          <w:rFonts w:ascii="Verdana" w:hAnsi="Verdana"/>
          <w:sz w:val="20"/>
          <w:szCs w:val="20"/>
          <w:lang w:val="en"/>
        </w:rPr>
        <w:t xml:space="preserve"> network and </w:t>
      </w:r>
      <w:r w:rsidRPr="00584504">
        <w:rPr>
          <w:rFonts w:ascii="Verdana" w:hAnsi="Verdana"/>
          <w:sz w:val="20"/>
          <w:szCs w:val="20"/>
          <w:lang w:val="en"/>
        </w:rPr>
        <w:lastRenderedPageBreak/>
        <w:t xml:space="preserve">two of the three ports on the comprehensive network are connected to both the rail and road network; the high level of integration of inland ports into the TEN-T was achieved in the years before 2007 and </w:t>
      </w:r>
      <w:r>
        <w:rPr>
          <w:rFonts w:ascii="Verdana" w:hAnsi="Verdana"/>
          <w:sz w:val="20"/>
          <w:szCs w:val="20"/>
          <w:lang w:val="en"/>
        </w:rPr>
        <w:t>OPT</w:t>
      </w:r>
      <w:r w:rsidRPr="00584504">
        <w:rPr>
          <w:rFonts w:ascii="Verdana" w:hAnsi="Verdana"/>
          <w:sz w:val="20"/>
          <w:szCs w:val="20"/>
          <w:lang w:val="en"/>
        </w:rPr>
        <w:t xml:space="preserve"> 2007-2013 has no contribution to this;</w:t>
      </w:r>
    </w:p>
    <w:p w14:paraId="37316845" w14:textId="77777777" w:rsidR="00575623" w:rsidRPr="00B27DF9" w:rsidRDefault="00575623" w:rsidP="00575623">
      <w:pPr>
        <w:numPr>
          <w:ilvl w:val="0"/>
          <w:numId w:val="13"/>
        </w:numPr>
        <w:ind w:left="426" w:hanging="426"/>
        <w:jc w:val="both"/>
        <w:rPr>
          <w:rFonts w:ascii="Verdana" w:hAnsi="Verdana"/>
          <w:sz w:val="20"/>
          <w:szCs w:val="20"/>
          <w:lang w:val="bg-BG"/>
        </w:rPr>
      </w:pPr>
      <w:r w:rsidRPr="00140A5F">
        <w:rPr>
          <w:rFonts w:ascii="Verdana" w:hAnsi="Verdana"/>
          <w:sz w:val="20"/>
          <w:szCs w:val="20"/>
          <w:lang w:val="en"/>
        </w:rPr>
        <w:t>Modernization and expansion of the transport infrastructure capacity in port areas; no projects aimed at inland ports have been implemented during the OPT period and OPT 2007-2013 has no contribution to this part of TEN-T.</w:t>
      </w:r>
    </w:p>
    <w:p w14:paraId="2E7AFAFF" w14:textId="289A39CF" w:rsidR="00240521" w:rsidRDefault="00240521" w:rsidP="00240521">
      <w:pPr>
        <w:rPr>
          <w:rFonts w:ascii="Verdana" w:eastAsia="Calibri" w:hAnsi="Verdana" w:cs="Calibri"/>
          <w:color w:val="D7D2D9" w:themeColor="accent6" w:themeTint="66"/>
          <w:sz w:val="20"/>
          <w:szCs w:val="20"/>
          <w:lang w:val="bg-BG"/>
        </w:rPr>
      </w:pPr>
    </w:p>
    <w:p w14:paraId="3FA87611" w14:textId="3CC64909" w:rsidR="00423E81" w:rsidRDefault="00423E81" w:rsidP="00240521">
      <w:pPr>
        <w:rPr>
          <w:rFonts w:ascii="Verdana" w:eastAsia="Calibri" w:hAnsi="Verdana" w:cs="Calibri"/>
          <w:color w:val="D7D2D9" w:themeColor="accent6" w:themeTint="66"/>
          <w:sz w:val="20"/>
          <w:szCs w:val="20"/>
          <w:lang w:val="bg-BG"/>
        </w:rPr>
      </w:pPr>
    </w:p>
    <w:p w14:paraId="1DECB676" w14:textId="2227CFB0" w:rsidR="00423E81" w:rsidRDefault="00423E81" w:rsidP="00240521">
      <w:pPr>
        <w:rPr>
          <w:rFonts w:ascii="Verdana" w:eastAsia="Calibri" w:hAnsi="Verdana" w:cs="Calibri"/>
          <w:color w:val="D7D2D9" w:themeColor="accent6" w:themeTint="66"/>
          <w:sz w:val="20"/>
          <w:szCs w:val="20"/>
          <w:lang w:val="bg-BG"/>
        </w:rPr>
      </w:pPr>
    </w:p>
    <w:p w14:paraId="6C575F70" w14:textId="71D30F77" w:rsidR="00423E81" w:rsidRDefault="00423E81" w:rsidP="00240521">
      <w:pPr>
        <w:rPr>
          <w:rFonts w:ascii="Verdana" w:eastAsia="Calibri" w:hAnsi="Verdana" w:cs="Calibri"/>
          <w:color w:val="D7D2D9" w:themeColor="accent6" w:themeTint="66"/>
          <w:sz w:val="20"/>
          <w:szCs w:val="20"/>
          <w:lang w:val="bg-BG"/>
        </w:rPr>
      </w:pPr>
    </w:p>
    <w:p w14:paraId="49054E5A" w14:textId="2C74F1B8" w:rsidR="00423E81" w:rsidRDefault="00423E81" w:rsidP="00240521">
      <w:pPr>
        <w:rPr>
          <w:rFonts w:ascii="Verdana" w:eastAsia="Calibri" w:hAnsi="Verdana" w:cs="Calibri"/>
          <w:color w:val="D7D2D9" w:themeColor="accent6" w:themeTint="66"/>
          <w:sz w:val="20"/>
          <w:szCs w:val="20"/>
          <w:lang w:val="bg-BG"/>
        </w:rPr>
      </w:pPr>
    </w:p>
    <w:p w14:paraId="1D69F09E" w14:textId="247AEB7C" w:rsidR="00423E81" w:rsidRDefault="00423E81" w:rsidP="00240521">
      <w:pPr>
        <w:rPr>
          <w:rFonts w:ascii="Verdana" w:eastAsia="Calibri" w:hAnsi="Verdana" w:cs="Calibri"/>
          <w:color w:val="D7D2D9" w:themeColor="accent6" w:themeTint="66"/>
          <w:sz w:val="20"/>
          <w:szCs w:val="20"/>
          <w:lang w:val="bg-BG"/>
        </w:rPr>
      </w:pPr>
    </w:p>
    <w:p w14:paraId="1AA8C3EC" w14:textId="5BC5EE10" w:rsidR="00423E81" w:rsidRDefault="00423E81" w:rsidP="00240521">
      <w:pPr>
        <w:rPr>
          <w:rFonts w:ascii="Verdana" w:eastAsia="Calibri" w:hAnsi="Verdana" w:cs="Calibri"/>
          <w:color w:val="D7D2D9" w:themeColor="accent6" w:themeTint="66"/>
          <w:sz w:val="20"/>
          <w:szCs w:val="20"/>
          <w:lang w:val="bg-BG"/>
        </w:rPr>
      </w:pPr>
    </w:p>
    <w:p w14:paraId="534AD5F2" w14:textId="77777777" w:rsidR="00423E81" w:rsidRPr="00F50700" w:rsidRDefault="00423E81" w:rsidP="00240521">
      <w:pPr>
        <w:rPr>
          <w:rFonts w:ascii="Verdana" w:eastAsia="Calibri" w:hAnsi="Verdana" w:cs="Calibri"/>
          <w:color w:val="D7D2D9" w:themeColor="accent6" w:themeTint="66"/>
          <w:sz w:val="20"/>
          <w:szCs w:val="20"/>
          <w:lang w:val="bg-BG"/>
        </w:rPr>
      </w:pPr>
    </w:p>
    <w:p w14:paraId="03955F94" w14:textId="03BB53D9" w:rsidR="007502B1" w:rsidRPr="00F50700" w:rsidRDefault="007502B1" w:rsidP="00575623">
      <w:pPr>
        <w:pStyle w:val="Heading1"/>
        <w:numPr>
          <w:ilvl w:val="1"/>
          <w:numId w:val="58"/>
        </w:numPr>
        <w:shd w:val="clear" w:color="auto" w:fill="374C80" w:themeFill="accent1" w:themeFillShade="BF"/>
        <w:spacing w:before="120" w:after="120" w:line="240" w:lineRule="auto"/>
        <w:ind w:left="360"/>
        <w:jc w:val="both"/>
        <w:rPr>
          <w:rFonts w:ascii="Verdana" w:eastAsia="Calibri" w:hAnsi="Verdana" w:cs="Calibri"/>
          <w:b/>
          <w:bCs/>
          <w:color w:val="FFFFFF" w:themeColor="background1"/>
          <w:sz w:val="20"/>
          <w:szCs w:val="20"/>
          <w:lang w:val="bg-BG"/>
        </w:rPr>
      </w:pPr>
      <w:bookmarkStart w:id="90" w:name="_Toc62724398"/>
      <w:r w:rsidRPr="00F50700">
        <w:rPr>
          <w:rFonts w:ascii="Verdana" w:hAnsi="Verdana"/>
          <w:b/>
          <w:bCs/>
          <w:color w:val="FFFFFF" w:themeColor="background1"/>
          <w:sz w:val="20"/>
          <w:szCs w:val="20"/>
          <w:lang w:val="en"/>
        </w:rPr>
        <w:t>How has accessibility to settlements improved as a result of the projects implemented?</w:t>
      </w:r>
      <w:bookmarkEnd w:id="90"/>
    </w:p>
    <w:p w14:paraId="6756D89C" w14:textId="77777777" w:rsidR="00460D5B" w:rsidRPr="00584504" w:rsidRDefault="00460D5B" w:rsidP="00460D5B">
      <w:pPr>
        <w:jc w:val="both"/>
        <w:rPr>
          <w:rFonts w:ascii="Verdana" w:hAnsi="Verdana"/>
          <w:sz w:val="20"/>
          <w:szCs w:val="20"/>
          <w:lang w:val="bg-BG"/>
        </w:rPr>
      </w:pPr>
      <w:r w:rsidRPr="00584504">
        <w:rPr>
          <w:rFonts w:ascii="Verdana" w:hAnsi="Verdana"/>
          <w:sz w:val="20"/>
          <w:szCs w:val="20"/>
          <w:lang w:val="en"/>
        </w:rPr>
        <w:t xml:space="preserve">Although not mentioned as a separate specific objective, OPT 2007-2013 is aimed at achieving the objectives of the Strategy for development of the transport system of the Republic of Bulgaria by 2020, one of which </w:t>
      </w:r>
      <w:r w:rsidRPr="00584504">
        <w:rPr>
          <w:rFonts w:ascii="Verdana" w:hAnsi="Verdana"/>
          <w:b/>
          <w:i/>
          <w:sz w:val="20"/>
          <w:szCs w:val="20"/>
          <w:lang w:val="en"/>
        </w:rPr>
        <w:t>is regional and social cohesion</w:t>
      </w:r>
      <w:r w:rsidRPr="00584504">
        <w:rPr>
          <w:rFonts w:ascii="Verdana" w:hAnsi="Verdana"/>
          <w:sz w:val="20"/>
          <w:szCs w:val="20"/>
          <w:lang w:val="en"/>
        </w:rPr>
        <w:t xml:space="preserve"> through:</w:t>
      </w:r>
    </w:p>
    <w:p w14:paraId="09C0CD7D" w14:textId="77777777" w:rsidR="00460D5B" w:rsidRPr="00584504" w:rsidRDefault="00460D5B" w:rsidP="00460D5B">
      <w:pPr>
        <w:numPr>
          <w:ilvl w:val="1"/>
          <w:numId w:val="30"/>
        </w:numPr>
        <w:ind w:left="993"/>
        <w:jc w:val="both"/>
        <w:rPr>
          <w:rFonts w:ascii="Verdana" w:hAnsi="Verdana"/>
          <w:sz w:val="20"/>
          <w:szCs w:val="20"/>
          <w:lang w:val="bg-BG"/>
        </w:rPr>
      </w:pPr>
      <w:r w:rsidRPr="00584504">
        <w:rPr>
          <w:rFonts w:ascii="Verdana" w:hAnsi="Verdana"/>
          <w:sz w:val="20"/>
          <w:szCs w:val="20"/>
          <w:lang w:val="en"/>
        </w:rPr>
        <w:t xml:space="preserve">development of the transport sector in accordance with economic and social development at national and regional level; </w:t>
      </w:r>
    </w:p>
    <w:p w14:paraId="4497EEB4" w14:textId="77777777" w:rsidR="00460D5B" w:rsidRPr="00584504" w:rsidRDefault="00460D5B" w:rsidP="00460D5B">
      <w:pPr>
        <w:numPr>
          <w:ilvl w:val="1"/>
          <w:numId w:val="30"/>
        </w:numPr>
        <w:ind w:left="993"/>
        <w:jc w:val="both"/>
        <w:rPr>
          <w:rFonts w:ascii="Verdana" w:hAnsi="Verdana"/>
          <w:sz w:val="20"/>
          <w:szCs w:val="20"/>
          <w:lang w:val="bg-BG"/>
        </w:rPr>
      </w:pPr>
      <w:r w:rsidRPr="00584504">
        <w:rPr>
          <w:rFonts w:ascii="Verdana" w:hAnsi="Verdana"/>
          <w:sz w:val="20"/>
          <w:szCs w:val="20"/>
          <w:lang w:val="en"/>
        </w:rPr>
        <w:t xml:space="preserve">improving at regional level access to transport corridors and stimulating the development of border areas; </w:t>
      </w:r>
    </w:p>
    <w:p w14:paraId="13AD555F" w14:textId="77777777" w:rsidR="00460D5B" w:rsidRPr="00584504" w:rsidRDefault="00460D5B" w:rsidP="00460D5B">
      <w:pPr>
        <w:numPr>
          <w:ilvl w:val="1"/>
          <w:numId w:val="30"/>
        </w:numPr>
        <w:ind w:left="993"/>
        <w:jc w:val="both"/>
        <w:rPr>
          <w:rFonts w:ascii="Verdana" w:hAnsi="Verdana"/>
          <w:sz w:val="20"/>
          <w:szCs w:val="20"/>
          <w:lang w:val="bg-BG"/>
        </w:rPr>
      </w:pPr>
      <w:r w:rsidRPr="00584504">
        <w:rPr>
          <w:rFonts w:ascii="Verdana" w:hAnsi="Verdana"/>
          <w:sz w:val="20"/>
          <w:szCs w:val="20"/>
          <w:lang w:val="en"/>
        </w:rPr>
        <w:t>affordable public transport.</w:t>
      </w:r>
    </w:p>
    <w:p w14:paraId="7BB0D927" w14:textId="77777777" w:rsidR="00460D5B" w:rsidRPr="00584504" w:rsidRDefault="00460D5B" w:rsidP="00460D5B">
      <w:pPr>
        <w:jc w:val="both"/>
        <w:rPr>
          <w:rFonts w:ascii="Verdana" w:hAnsi="Verdana"/>
          <w:sz w:val="20"/>
          <w:szCs w:val="20"/>
          <w:lang w:val="bg-BG"/>
        </w:rPr>
      </w:pPr>
      <w:r w:rsidRPr="00584504">
        <w:rPr>
          <w:rFonts w:ascii="Verdana" w:hAnsi="Verdana"/>
          <w:sz w:val="20"/>
          <w:szCs w:val="20"/>
          <w:lang w:val="en"/>
        </w:rPr>
        <w:t xml:space="preserve">In the framework of cohesion policy, the implementation of the objectives of integration on the territory of the country through better accessibility and mobility is also supported by operational programme "Regional Development" (OPRD) 2007 -2013. </w:t>
      </w:r>
    </w:p>
    <w:p w14:paraId="4A879D7C" w14:textId="58304751" w:rsidR="00460D5B" w:rsidRPr="00584504" w:rsidRDefault="00460D5B" w:rsidP="00460D5B">
      <w:pPr>
        <w:jc w:val="both"/>
        <w:rPr>
          <w:rFonts w:ascii="Verdana" w:hAnsi="Verdana"/>
          <w:sz w:val="20"/>
          <w:szCs w:val="20"/>
          <w:lang w:val="bg-BG"/>
        </w:rPr>
      </w:pPr>
      <w:r w:rsidRPr="00584504">
        <w:rPr>
          <w:rFonts w:ascii="Verdana" w:hAnsi="Verdana"/>
          <w:sz w:val="20"/>
          <w:szCs w:val="20"/>
          <w:lang w:val="en"/>
        </w:rPr>
        <w:t xml:space="preserve">The identified needs and objectives set out in the </w:t>
      </w:r>
      <w:r>
        <w:rPr>
          <w:rFonts w:ascii="Verdana" w:hAnsi="Verdana"/>
          <w:sz w:val="20"/>
          <w:szCs w:val="20"/>
          <w:lang w:val="en"/>
        </w:rPr>
        <w:t>OPT 2007-2013</w:t>
      </w:r>
      <w:r w:rsidRPr="00584504">
        <w:rPr>
          <w:rFonts w:ascii="Verdana" w:hAnsi="Verdana"/>
          <w:sz w:val="20"/>
          <w:szCs w:val="20"/>
          <w:lang w:val="en"/>
        </w:rPr>
        <w:t xml:space="preserve"> and the project documentation with regard to the issue assessed are presented</w:t>
      </w:r>
      <w:r w:rsidR="00056933">
        <w:rPr>
          <w:rFonts w:ascii="Verdana" w:hAnsi="Verdana"/>
          <w:sz w:val="20"/>
          <w:szCs w:val="20"/>
          <w:lang w:val="en"/>
        </w:rPr>
        <w:t xml:space="preserve"> in </w:t>
      </w:r>
      <w:r w:rsidR="00056933">
        <w:rPr>
          <w:rFonts w:ascii="Verdana" w:hAnsi="Verdana"/>
          <w:sz w:val="20"/>
          <w:szCs w:val="20"/>
          <w:lang w:val="en"/>
        </w:rPr>
        <w:fldChar w:fldCharType="begin"/>
      </w:r>
      <w:r w:rsidR="00056933">
        <w:rPr>
          <w:rFonts w:ascii="Verdana" w:hAnsi="Verdana"/>
          <w:sz w:val="20"/>
          <w:szCs w:val="20"/>
          <w:lang w:val="en"/>
        </w:rPr>
        <w:instrText xml:space="preserve"> REF _Ref62725452 \h </w:instrText>
      </w:r>
      <w:r w:rsidR="00056933">
        <w:rPr>
          <w:rFonts w:ascii="Verdana" w:hAnsi="Verdana"/>
          <w:sz w:val="20"/>
          <w:szCs w:val="20"/>
          <w:lang w:val="en"/>
        </w:rPr>
      </w:r>
      <w:r w:rsidR="00056933">
        <w:rPr>
          <w:rFonts w:ascii="Verdana" w:hAnsi="Verdana"/>
          <w:sz w:val="20"/>
          <w:szCs w:val="20"/>
          <w:lang w:val="en"/>
        </w:rPr>
        <w:fldChar w:fldCharType="separate"/>
      </w:r>
      <w:r w:rsidR="00056933" w:rsidRPr="002A60EF">
        <w:rPr>
          <w:rFonts w:ascii="Verdana" w:hAnsi="Verdana"/>
          <w:color w:val="374C80" w:themeColor="accent1" w:themeShade="BF"/>
          <w:sz w:val="20"/>
          <w:szCs w:val="20"/>
        </w:rPr>
        <w:t xml:space="preserve">Table </w:t>
      </w:r>
      <w:r w:rsidR="00056933" w:rsidRPr="002A60EF">
        <w:rPr>
          <w:rFonts w:ascii="Verdana" w:hAnsi="Verdana"/>
          <w:noProof/>
          <w:color w:val="374C80" w:themeColor="accent1" w:themeShade="BF"/>
          <w:sz w:val="20"/>
          <w:szCs w:val="20"/>
        </w:rPr>
        <w:t>IV.5</w:t>
      </w:r>
      <w:r w:rsidR="00056933" w:rsidRPr="002A60EF">
        <w:rPr>
          <w:rFonts w:ascii="Verdana" w:hAnsi="Verdana"/>
          <w:color w:val="374C80" w:themeColor="accent1" w:themeShade="BF"/>
          <w:sz w:val="20"/>
          <w:szCs w:val="20"/>
        </w:rPr>
        <w:noBreakHyphen/>
      </w:r>
      <w:r w:rsidR="00056933" w:rsidRPr="002A60EF">
        <w:rPr>
          <w:rFonts w:ascii="Verdana" w:hAnsi="Verdana"/>
          <w:noProof/>
          <w:color w:val="374C80" w:themeColor="accent1" w:themeShade="BF"/>
          <w:sz w:val="20"/>
          <w:szCs w:val="20"/>
        </w:rPr>
        <w:t>1</w:t>
      </w:r>
      <w:r w:rsidR="00056933">
        <w:rPr>
          <w:rFonts w:ascii="Verdana" w:hAnsi="Verdana"/>
          <w:sz w:val="20"/>
          <w:szCs w:val="20"/>
          <w:lang w:val="en"/>
        </w:rPr>
        <w:fldChar w:fldCharType="end"/>
      </w:r>
      <w:r w:rsidRPr="00584504">
        <w:rPr>
          <w:rFonts w:ascii="Verdana" w:hAnsi="Verdana"/>
          <w:sz w:val="20"/>
          <w:szCs w:val="20"/>
          <w:lang w:val="en"/>
        </w:rPr>
        <w:t>.</w:t>
      </w:r>
      <w:r>
        <w:rPr>
          <w:rFonts w:ascii="Verdana" w:hAnsi="Verdana"/>
          <w:sz w:val="20"/>
          <w:szCs w:val="20"/>
          <w:lang w:val="en"/>
        </w:rPr>
        <w:t xml:space="preserve"> </w:t>
      </w:r>
      <w:r w:rsidRPr="00584504">
        <w:rPr>
          <w:rFonts w:ascii="Verdana" w:hAnsi="Verdana"/>
          <w:sz w:val="20"/>
          <w:szCs w:val="20"/>
          <w:lang w:val="en"/>
        </w:rPr>
        <w:t xml:space="preserve">Since the </w:t>
      </w:r>
      <w:proofErr w:type="spellStart"/>
      <w:r>
        <w:rPr>
          <w:rFonts w:ascii="Verdana" w:hAnsi="Verdana"/>
          <w:sz w:val="20"/>
          <w:szCs w:val="20"/>
          <w:lang w:val="en"/>
        </w:rPr>
        <w:t>programme</w:t>
      </w:r>
      <w:proofErr w:type="spellEnd"/>
      <w:r w:rsidRPr="00584504">
        <w:rPr>
          <w:rFonts w:ascii="Verdana" w:hAnsi="Verdana"/>
          <w:sz w:val="20"/>
          <w:szCs w:val="20"/>
          <w:lang w:val="en"/>
        </w:rPr>
        <w:t xml:space="preserve"> does not provide indicators for a specific result to improve territorial</w:t>
      </w:r>
      <w:r>
        <w:rPr>
          <w:rFonts w:ascii="Verdana" w:hAnsi="Verdana"/>
          <w:sz w:val="20"/>
          <w:szCs w:val="20"/>
          <w:lang w:val="en"/>
        </w:rPr>
        <w:t xml:space="preserve"> </w:t>
      </w:r>
      <w:r w:rsidRPr="00584504">
        <w:rPr>
          <w:rFonts w:ascii="Verdana" w:hAnsi="Verdana"/>
          <w:sz w:val="20"/>
          <w:szCs w:val="20"/>
          <w:lang w:val="en"/>
        </w:rPr>
        <w:t xml:space="preserve">accessibility, </w:t>
      </w:r>
      <w:r w:rsidRPr="00584504">
        <w:rPr>
          <w:rFonts w:ascii="Verdana" w:hAnsi="Verdana"/>
          <w:sz w:val="20"/>
          <w:szCs w:val="20"/>
          <w:lang w:val="en"/>
        </w:rPr>
        <w:fldChar w:fldCharType="begin"/>
      </w:r>
      <w:r w:rsidRPr="00584504">
        <w:rPr>
          <w:rFonts w:ascii="Verdana" w:hAnsi="Verdana"/>
          <w:sz w:val="20"/>
          <w:szCs w:val="20"/>
          <w:lang w:val="en"/>
        </w:rPr>
        <w:instrText xml:space="preserve"> REF _Ref50299908 \h  \* MERGEFORMAT </w:instrText>
      </w:r>
      <w:r w:rsidRPr="00584504">
        <w:rPr>
          <w:rFonts w:ascii="Verdana" w:hAnsi="Verdana"/>
          <w:sz w:val="20"/>
          <w:szCs w:val="20"/>
          <w:lang w:val="en"/>
        </w:rPr>
      </w:r>
      <w:r w:rsidRPr="00584504">
        <w:rPr>
          <w:rFonts w:ascii="Verdana" w:hAnsi="Verdana"/>
          <w:sz w:val="20"/>
          <w:szCs w:val="20"/>
          <w:lang w:val="en"/>
        </w:rPr>
        <w:fldChar w:fldCharType="separate"/>
      </w:r>
      <w:r w:rsidRPr="00584504">
        <w:rPr>
          <w:rFonts w:ascii="Verdana" w:hAnsi="Verdana"/>
          <w:sz w:val="20"/>
          <w:szCs w:val="20"/>
          <w:lang w:val="en"/>
        </w:rPr>
        <w:t>Table IV.5 1</w:t>
      </w:r>
      <w:r w:rsidRPr="00584504">
        <w:rPr>
          <w:rFonts w:ascii="Verdana" w:hAnsi="Verdana"/>
          <w:sz w:val="20"/>
          <w:szCs w:val="20"/>
          <w:lang w:val="en"/>
        </w:rPr>
        <w:noBreakHyphen/>
        <w:t xml:space="preserve"> sets out indicators that</w:t>
      </w:r>
      <w:r w:rsidRPr="00584504">
        <w:rPr>
          <w:rFonts w:ascii="Verdana" w:hAnsi="Verdana"/>
          <w:sz w:val="20"/>
          <w:szCs w:val="20"/>
          <w:lang w:val="en"/>
        </w:rPr>
        <w:fldChar w:fldCharType="end"/>
      </w:r>
      <w:r w:rsidRPr="00584504">
        <w:rPr>
          <w:rFonts w:ascii="Verdana" w:hAnsi="Verdana"/>
          <w:sz w:val="20"/>
          <w:szCs w:val="20"/>
          <w:lang w:val="en"/>
        </w:rPr>
        <w:t xml:space="preserve"> </w:t>
      </w:r>
      <w:proofErr w:type="gramStart"/>
      <w:r>
        <w:rPr>
          <w:rFonts w:ascii="Verdana" w:hAnsi="Verdana"/>
          <w:sz w:val="20"/>
          <w:szCs w:val="20"/>
          <w:lang w:val="en"/>
        </w:rPr>
        <w:t>are used</w:t>
      </w:r>
      <w:proofErr w:type="gramEnd"/>
      <w:r w:rsidRPr="00584504">
        <w:rPr>
          <w:rFonts w:ascii="Verdana" w:hAnsi="Verdana"/>
          <w:sz w:val="20"/>
          <w:szCs w:val="20"/>
          <w:lang w:val="en"/>
        </w:rPr>
        <w:t xml:space="preserve"> to assess results.</w:t>
      </w:r>
    </w:p>
    <w:p w14:paraId="4FB182AD" w14:textId="33B102EA" w:rsidR="00460D5B" w:rsidRPr="00584504" w:rsidRDefault="00460D5B" w:rsidP="00460D5B">
      <w:pPr>
        <w:pStyle w:val="Caption"/>
        <w:keepNext/>
        <w:rPr>
          <w:rFonts w:ascii="Verdana" w:hAnsi="Verdana"/>
          <w:sz w:val="20"/>
          <w:szCs w:val="20"/>
          <w:lang w:val="bg-BG"/>
        </w:rPr>
      </w:pPr>
    </w:p>
    <w:p w14:paraId="6F449F5A" w14:textId="560E7836" w:rsidR="002A60EF" w:rsidRPr="002A60EF" w:rsidRDefault="002A60EF" w:rsidP="002A60EF">
      <w:pPr>
        <w:pStyle w:val="Caption"/>
        <w:keepNext/>
        <w:rPr>
          <w:rFonts w:ascii="Verdana" w:hAnsi="Verdana"/>
          <w:color w:val="374C80" w:themeColor="accent1" w:themeShade="BF"/>
          <w:sz w:val="20"/>
          <w:szCs w:val="20"/>
        </w:rPr>
      </w:pPr>
      <w:bookmarkStart w:id="91" w:name="_Ref62725452"/>
      <w:bookmarkStart w:id="92" w:name="_Toc62724734"/>
      <w:r w:rsidRPr="002A60EF">
        <w:rPr>
          <w:rFonts w:ascii="Verdana" w:hAnsi="Verdana"/>
          <w:color w:val="374C80" w:themeColor="accent1" w:themeShade="BF"/>
          <w:sz w:val="20"/>
          <w:szCs w:val="20"/>
        </w:rPr>
        <w:t xml:space="preserve">Table </w:t>
      </w:r>
      <w:r w:rsidRPr="002A60EF">
        <w:rPr>
          <w:rFonts w:ascii="Verdana" w:hAnsi="Verdana"/>
          <w:color w:val="374C80" w:themeColor="accent1" w:themeShade="BF"/>
          <w:sz w:val="20"/>
          <w:szCs w:val="20"/>
        </w:rPr>
        <w:fldChar w:fldCharType="begin"/>
      </w:r>
      <w:r w:rsidRPr="002A60EF">
        <w:rPr>
          <w:rFonts w:ascii="Verdana" w:hAnsi="Verdana"/>
          <w:color w:val="374C80" w:themeColor="accent1" w:themeShade="BF"/>
          <w:sz w:val="20"/>
          <w:szCs w:val="20"/>
        </w:rPr>
        <w:instrText xml:space="preserve"> STYLEREF 1 \s </w:instrText>
      </w:r>
      <w:r w:rsidRPr="002A60EF">
        <w:rPr>
          <w:rFonts w:ascii="Verdana" w:hAnsi="Verdana"/>
          <w:color w:val="374C80" w:themeColor="accent1" w:themeShade="BF"/>
          <w:sz w:val="20"/>
          <w:szCs w:val="20"/>
        </w:rPr>
        <w:fldChar w:fldCharType="separate"/>
      </w:r>
      <w:r w:rsidRPr="002A60EF">
        <w:rPr>
          <w:rFonts w:ascii="Verdana" w:hAnsi="Verdana"/>
          <w:noProof/>
          <w:color w:val="374C80" w:themeColor="accent1" w:themeShade="BF"/>
          <w:sz w:val="20"/>
          <w:szCs w:val="20"/>
        </w:rPr>
        <w:t>IV.5</w:t>
      </w:r>
      <w:r w:rsidRPr="002A60EF">
        <w:rPr>
          <w:rFonts w:ascii="Verdana" w:hAnsi="Verdana"/>
          <w:color w:val="374C80" w:themeColor="accent1" w:themeShade="BF"/>
          <w:sz w:val="20"/>
          <w:szCs w:val="20"/>
        </w:rPr>
        <w:fldChar w:fldCharType="end"/>
      </w:r>
      <w:r w:rsidRPr="002A60EF">
        <w:rPr>
          <w:rFonts w:ascii="Verdana" w:hAnsi="Verdana"/>
          <w:color w:val="374C80" w:themeColor="accent1" w:themeShade="BF"/>
          <w:sz w:val="20"/>
          <w:szCs w:val="20"/>
        </w:rPr>
        <w:noBreakHyphen/>
      </w:r>
      <w:r w:rsidRPr="002A60EF">
        <w:rPr>
          <w:rFonts w:ascii="Verdana" w:hAnsi="Verdana"/>
          <w:color w:val="374C80" w:themeColor="accent1" w:themeShade="BF"/>
          <w:sz w:val="20"/>
          <w:szCs w:val="20"/>
        </w:rPr>
        <w:fldChar w:fldCharType="begin"/>
      </w:r>
      <w:r w:rsidRPr="002A60EF">
        <w:rPr>
          <w:rFonts w:ascii="Verdana" w:hAnsi="Verdana"/>
          <w:color w:val="374C80" w:themeColor="accent1" w:themeShade="BF"/>
          <w:sz w:val="20"/>
          <w:szCs w:val="20"/>
        </w:rPr>
        <w:instrText xml:space="preserve"> SEQ Table \* ARABIC \s 1 </w:instrText>
      </w:r>
      <w:r w:rsidRPr="002A60EF">
        <w:rPr>
          <w:rFonts w:ascii="Verdana" w:hAnsi="Verdana"/>
          <w:color w:val="374C80" w:themeColor="accent1" w:themeShade="BF"/>
          <w:sz w:val="20"/>
          <w:szCs w:val="20"/>
        </w:rPr>
        <w:fldChar w:fldCharType="separate"/>
      </w:r>
      <w:r w:rsidRPr="002A60EF">
        <w:rPr>
          <w:rFonts w:ascii="Verdana" w:hAnsi="Verdana"/>
          <w:noProof/>
          <w:color w:val="374C80" w:themeColor="accent1" w:themeShade="BF"/>
          <w:sz w:val="20"/>
          <w:szCs w:val="20"/>
        </w:rPr>
        <w:t>1</w:t>
      </w:r>
      <w:r w:rsidRPr="002A60EF">
        <w:rPr>
          <w:rFonts w:ascii="Verdana" w:hAnsi="Verdana"/>
          <w:color w:val="374C80" w:themeColor="accent1" w:themeShade="BF"/>
          <w:sz w:val="20"/>
          <w:szCs w:val="20"/>
        </w:rPr>
        <w:fldChar w:fldCharType="end"/>
      </w:r>
      <w:bookmarkEnd w:id="91"/>
      <w:r w:rsidRPr="002A60EF">
        <w:rPr>
          <w:rFonts w:ascii="Verdana" w:hAnsi="Verdana"/>
          <w:color w:val="374C80" w:themeColor="accent1" w:themeShade="BF"/>
          <w:sz w:val="20"/>
          <w:szCs w:val="20"/>
        </w:rPr>
        <w:t xml:space="preserve"> Identified needs and objectives of OPT 2007-2013</w:t>
      </w:r>
      <w:bookmarkEnd w:id="92"/>
    </w:p>
    <w:tbl>
      <w:tblPr>
        <w:tblW w:w="9062" w:type="dxa"/>
        <w:tblBorders>
          <w:top w:val="double" w:sz="4" w:space="0" w:color="6A84BE"/>
          <w:left w:val="double" w:sz="4" w:space="0" w:color="6A84BE"/>
          <w:bottom w:val="double" w:sz="4" w:space="0" w:color="6A84BE"/>
          <w:right w:val="double" w:sz="4" w:space="0" w:color="6A84BE"/>
          <w:insideH w:val="single" w:sz="6" w:space="0" w:color="6A84BE"/>
          <w:insideV w:val="single" w:sz="6" w:space="0" w:color="6A84BE"/>
        </w:tblBorders>
        <w:tblLook w:val="00A0" w:firstRow="1" w:lastRow="0" w:firstColumn="1" w:lastColumn="0" w:noHBand="0" w:noVBand="0"/>
      </w:tblPr>
      <w:tblGrid>
        <w:gridCol w:w="3042"/>
        <w:gridCol w:w="3101"/>
        <w:gridCol w:w="2919"/>
      </w:tblGrid>
      <w:tr w:rsidR="00460D5B" w:rsidRPr="00134718" w14:paraId="07CCA929" w14:textId="77777777" w:rsidTr="00AC2E19">
        <w:trPr>
          <w:tblHeader/>
        </w:trPr>
        <w:tc>
          <w:tcPr>
            <w:tcW w:w="3042" w:type="dxa"/>
            <w:shd w:val="clear" w:color="auto" w:fill="374C80"/>
          </w:tcPr>
          <w:p w14:paraId="67EEFE83" w14:textId="77777777" w:rsidR="00460D5B" w:rsidRPr="00134718" w:rsidRDefault="00460D5B" w:rsidP="00AC2E19">
            <w:pPr>
              <w:spacing w:after="0"/>
              <w:jc w:val="both"/>
              <w:rPr>
                <w:rFonts w:ascii="Verdana" w:hAnsi="Verdana"/>
                <w:b/>
                <w:color w:val="FFFFFF"/>
                <w:sz w:val="16"/>
                <w:szCs w:val="16"/>
                <w:lang w:val="bg-BG"/>
              </w:rPr>
            </w:pPr>
            <w:r w:rsidRPr="00134718">
              <w:rPr>
                <w:rFonts w:ascii="Verdana" w:hAnsi="Verdana"/>
                <w:b/>
                <w:color w:val="FFFFFF"/>
                <w:sz w:val="16"/>
                <w:szCs w:val="16"/>
                <w:lang w:val="en"/>
              </w:rPr>
              <w:t xml:space="preserve">Identified needs  </w:t>
            </w:r>
          </w:p>
        </w:tc>
        <w:tc>
          <w:tcPr>
            <w:tcW w:w="3101" w:type="dxa"/>
            <w:shd w:val="clear" w:color="auto" w:fill="374C80"/>
          </w:tcPr>
          <w:p w14:paraId="56A6D55C" w14:textId="77777777" w:rsidR="00460D5B" w:rsidRPr="00134718" w:rsidRDefault="00460D5B" w:rsidP="00AC2E19">
            <w:pPr>
              <w:spacing w:after="0"/>
              <w:jc w:val="both"/>
              <w:rPr>
                <w:rFonts w:ascii="Verdana" w:hAnsi="Verdana"/>
                <w:b/>
                <w:color w:val="FFFFFF"/>
                <w:sz w:val="16"/>
                <w:szCs w:val="16"/>
                <w:lang w:val="bg-BG"/>
              </w:rPr>
            </w:pPr>
            <w:r w:rsidRPr="00134718">
              <w:rPr>
                <w:rFonts w:ascii="Verdana" w:hAnsi="Verdana"/>
                <w:b/>
                <w:color w:val="FFFFFF"/>
                <w:sz w:val="16"/>
                <w:szCs w:val="16"/>
                <w:lang w:val="en"/>
              </w:rPr>
              <w:t>Objectives set/deriving as a result of needs</w:t>
            </w:r>
          </w:p>
        </w:tc>
        <w:tc>
          <w:tcPr>
            <w:tcW w:w="2919" w:type="dxa"/>
            <w:shd w:val="clear" w:color="auto" w:fill="374C80"/>
          </w:tcPr>
          <w:p w14:paraId="5954083B" w14:textId="77777777" w:rsidR="00460D5B" w:rsidRPr="00134718" w:rsidRDefault="00460D5B" w:rsidP="00AC2E19">
            <w:pPr>
              <w:spacing w:after="0"/>
              <w:jc w:val="both"/>
              <w:rPr>
                <w:rFonts w:ascii="Verdana" w:hAnsi="Verdana"/>
                <w:b/>
                <w:color w:val="FFFFFF"/>
                <w:sz w:val="16"/>
                <w:szCs w:val="16"/>
                <w:lang w:val="bg-BG"/>
              </w:rPr>
            </w:pPr>
            <w:r w:rsidRPr="00134718">
              <w:rPr>
                <w:rFonts w:ascii="Verdana" w:hAnsi="Verdana"/>
                <w:b/>
                <w:color w:val="FFFFFF"/>
                <w:sz w:val="16"/>
                <w:szCs w:val="16"/>
                <w:lang w:val="en"/>
              </w:rPr>
              <w:t>Results</w:t>
            </w:r>
          </w:p>
        </w:tc>
      </w:tr>
      <w:tr w:rsidR="00460D5B" w:rsidRPr="00134718" w14:paraId="73375ED9" w14:textId="77777777" w:rsidTr="00AC2E19">
        <w:tc>
          <w:tcPr>
            <w:tcW w:w="3042" w:type="dxa"/>
          </w:tcPr>
          <w:p w14:paraId="518248AF" w14:textId="77777777" w:rsidR="00460D5B" w:rsidRPr="00134718" w:rsidRDefault="00460D5B" w:rsidP="00AC2E19">
            <w:pPr>
              <w:jc w:val="both"/>
              <w:rPr>
                <w:rFonts w:ascii="Verdana" w:hAnsi="Verdana"/>
                <w:sz w:val="16"/>
                <w:szCs w:val="16"/>
                <w:lang w:val="en"/>
              </w:rPr>
            </w:pPr>
            <w:r w:rsidRPr="00134718">
              <w:rPr>
                <w:rFonts w:ascii="Verdana" w:hAnsi="Verdana"/>
                <w:sz w:val="16"/>
                <w:szCs w:val="16"/>
                <w:lang w:val="en"/>
              </w:rPr>
              <w:t>Existing transport links are unable to meet current and expected demand. As a result, growth opportunities, especially economic activities and tourism, are reduced.</w:t>
            </w:r>
          </w:p>
          <w:p w14:paraId="0E2B43A9" w14:textId="77777777" w:rsidR="00460D5B" w:rsidRPr="00134718" w:rsidRDefault="00460D5B" w:rsidP="00AC2E19">
            <w:pPr>
              <w:jc w:val="both"/>
              <w:rPr>
                <w:rFonts w:ascii="Verdana" w:hAnsi="Verdana"/>
                <w:sz w:val="16"/>
                <w:szCs w:val="16"/>
                <w:lang w:val="en"/>
              </w:rPr>
            </w:pPr>
            <w:r w:rsidRPr="00134718">
              <w:rPr>
                <w:rFonts w:ascii="Verdana" w:hAnsi="Verdana"/>
                <w:sz w:val="16"/>
                <w:szCs w:val="16"/>
                <w:lang w:val="en"/>
              </w:rPr>
              <w:lastRenderedPageBreak/>
              <w:t>Difficult access and poor conditions of transport infrastructure connecting rural areas and major cities.</w:t>
            </w:r>
          </w:p>
          <w:p w14:paraId="2CCF54F5" w14:textId="77777777" w:rsidR="00460D5B" w:rsidRPr="00134718" w:rsidRDefault="00460D5B" w:rsidP="00AC2E19">
            <w:pPr>
              <w:jc w:val="both"/>
              <w:rPr>
                <w:rFonts w:ascii="Verdana" w:hAnsi="Verdana"/>
                <w:sz w:val="16"/>
                <w:szCs w:val="16"/>
                <w:lang w:val="en"/>
              </w:rPr>
            </w:pPr>
            <w:r w:rsidRPr="00134718">
              <w:rPr>
                <w:rFonts w:ascii="Verdana" w:hAnsi="Verdana"/>
                <w:sz w:val="16"/>
                <w:szCs w:val="16"/>
                <w:lang w:val="en"/>
              </w:rPr>
              <w:t>Poor integration and accessibility to the peripheral regions.</w:t>
            </w:r>
          </w:p>
          <w:p w14:paraId="28FAF513" w14:textId="77777777" w:rsidR="00460D5B" w:rsidRPr="00134718" w:rsidRDefault="00460D5B" w:rsidP="00AC2E19">
            <w:pPr>
              <w:jc w:val="both"/>
              <w:rPr>
                <w:rFonts w:ascii="Verdana" w:hAnsi="Verdana"/>
                <w:sz w:val="16"/>
                <w:szCs w:val="16"/>
                <w:lang w:val="en-US"/>
              </w:rPr>
            </w:pPr>
            <w:r w:rsidRPr="00134718">
              <w:rPr>
                <w:rFonts w:ascii="Verdana" w:hAnsi="Verdana"/>
                <w:sz w:val="16"/>
                <w:szCs w:val="16"/>
                <w:lang w:val="en"/>
              </w:rPr>
              <w:t>Relatively closed transport system.</w:t>
            </w:r>
          </w:p>
        </w:tc>
        <w:tc>
          <w:tcPr>
            <w:tcW w:w="3101" w:type="dxa"/>
          </w:tcPr>
          <w:p w14:paraId="3E98AAFA" w14:textId="375C71B5" w:rsidR="00460D5B" w:rsidRDefault="00460D5B" w:rsidP="00134718">
            <w:pPr>
              <w:pStyle w:val="ListParagraph"/>
              <w:numPr>
                <w:ilvl w:val="0"/>
                <w:numId w:val="22"/>
              </w:numPr>
              <w:jc w:val="both"/>
              <w:rPr>
                <w:rFonts w:ascii="Verdana" w:hAnsi="Verdana"/>
                <w:sz w:val="16"/>
                <w:szCs w:val="16"/>
                <w:lang w:val="en-US"/>
              </w:rPr>
            </w:pPr>
            <w:r w:rsidRPr="00134718">
              <w:rPr>
                <w:rFonts w:ascii="Verdana" w:hAnsi="Verdana"/>
                <w:sz w:val="16"/>
                <w:szCs w:val="16"/>
                <w:lang w:val="en-US"/>
              </w:rPr>
              <w:lastRenderedPageBreak/>
              <w:t>Support for balanced regional development.</w:t>
            </w:r>
          </w:p>
          <w:p w14:paraId="7082F150" w14:textId="77777777" w:rsidR="00134718" w:rsidRPr="00134718" w:rsidRDefault="00134718" w:rsidP="00134718">
            <w:pPr>
              <w:pStyle w:val="ListParagraph"/>
              <w:ind w:left="408"/>
              <w:jc w:val="both"/>
              <w:rPr>
                <w:rFonts w:ascii="Verdana" w:hAnsi="Verdana"/>
                <w:sz w:val="16"/>
                <w:szCs w:val="16"/>
                <w:lang w:val="en-US"/>
              </w:rPr>
            </w:pPr>
          </w:p>
          <w:p w14:paraId="01E400D5" w14:textId="6A706B9E" w:rsidR="00460D5B" w:rsidRDefault="00460D5B" w:rsidP="00134718">
            <w:pPr>
              <w:pStyle w:val="ListParagraph"/>
              <w:numPr>
                <w:ilvl w:val="0"/>
                <w:numId w:val="22"/>
              </w:numPr>
              <w:spacing w:after="0"/>
              <w:jc w:val="both"/>
              <w:rPr>
                <w:rFonts w:ascii="Verdana" w:hAnsi="Verdana"/>
                <w:sz w:val="16"/>
                <w:szCs w:val="16"/>
                <w:lang w:val="en-US"/>
              </w:rPr>
            </w:pPr>
            <w:r w:rsidRPr="00134718">
              <w:rPr>
                <w:rFonts w:ascii="Verdana" w:hAnsi="Verdana"/>
                <w:sz w:val="16"/>
                <w:szCs w:val="16"/>
                <w:lang w:val="en-US"/>
              </w:rPr>
              <w:t xml:space="preserve">Improving the access of the population around the transport project with other </w:t>
            </w:r>
            <w:r w:rsidRPr="00134718">
              <w:rPr>
                <w:rFonts w:ascii="Verdana" w:hAnsi="Verdana"/>
                <w:sz w:val="16"/>
                <w:szCs w:val="16"/>
                <w:lang w:val="en-US"/>
              </w:rPr>
              <w:lastRenderedPageBreak/>
              <w:t>parts of the country and beyond.</w:t>
            </w:r>
          </w:p>
          <w:p w14:paraId="75DD796B" w14:textId="77777777" w:rsidR="00134718" w:rsidRPr="00134718" w:rsidRDefault="00134718" w:rsidP="00134718">
            <w:pPr>
              <w:spacing w:after="0"/>
              <w:jc w:val="both"/>
              <w:rPr>
                <w:rFonts w:ascii="Verdana" w:hAnsi="Verdana"/>
                <w:sz w:val="16"/>
                <w:szCs w:val="16"/>
                <w:lang w:val="en-US"/>
              </w:rPr>
            </w:pPr>
          </w:p>
          <w:p w14:paraId="23008DD9" w14:textId="47586B53" w:rsidR="00460D5B" w:rsidRDefault="00460D5B" w:rsidP="00134718">
            <w:pPr>
              <w:pStyle w:val="ListParagraph"/>
              <w:numPr>
                <w:ilvl w:val="0"/>
                <w:numId w:val="22"/>
              </w:numPr>
              <w:spacing w:after="0"/>
              <w:jc w:val="both"/>
              <w:rPr>
                <w:rFonts w:ascii="Verdana" w:hAnsi="Verdana"/>
                <w:sz w:val="16"/>
                <w:szCs w:val="16"/>
                <w:lang w:val="en-US"/>
              </w:rPr>
            </w:pPr>
            <w:r w:rsidRPr="00134718">
              <w:rPr>
                <w:rFonts w:ascii="Verdana" w:hAnsi="Verdana"/>
                <w:sz w:val="16"/>
                <w:szCs w:val="16"/>
                <w:lang w:val="en-US"/>
              </w:rPr>
              <w:t>Improving transport mobility and overcoming the isolation of remote areas.</w:t>
            </w:r>
          </w:p>
          <w:p w14:paraId="261A2746" w14:textId="77777777" w:rsidR="00134718" w:rsidRPr="00134718" w:rsidRDefault="00134718" w:rsidP="00134718">
            <w:pPr>
              <w:spacing w:after="0"/>
              <w:jc w:val="both"/>
              <w:rPr>
                <w:rFonts w:ascii="Verdana" w:hAnsi="Verdana"/>
                <w:sz w:val="16"/>
                <w:szCs w:val="16"/>
                <w:lang w:val="en-US"/>
              </w:rPr>
            </w:pPr>
          </w:p>
          <w:p w14:paraId="674E8696" w14:textId="1176AFBA" w:rsidR="00460D5B" w:rsidRPr="00134718" w:rsidRDefault="00460D5B" w:rsidP="00134718">
            <w:pPr>
              <w:pStyle w:val="ListParagraph"/>
              <w:numPr>
                <w:ilvl w:val="0"/>
                <w:numId w:val="22"/>
              </w:numPr>
              <w:jc w:val="both"/>
              <w:rPr>
                <w:rFonts w:ascii="Verdana" w:hAnsi="Verdana"/>
                <w:sz w:val="16"/>
                <w:szCs w:val="16"/>
                <w:lang w:val="en-US"/>
              </w:rPr>
            </w:pPr>
            <w:r w:rsidRPr="00134718">
              <w:rPr>
                <w:rFonts w:ascii="Verdana" w:hAnsi="Verdana"/>
                <w:sz w:val="16"/>
                <w:szCs w:val="16"/>
                <w:lang w:val="en-US"/>
              </w:rPr>
              <w:t xml:space="preserve">Improving the integration of Bulgarian regions in the EU and </w:t>
            </w:r>
            <w:r w:rsidR="00134718" w:rsidRPr="00134718">
              <w:rPr>
                <w:rFonts w:ascii="Verdana" w:hAnsi="Verdana"/>
                <w:sz w:val="16"/>
                <w:szCs w:val="16"/>
                <w:lang w:val="en-US"/>
              </w:rPr>
              <w:t>neighboring</w:t>
            </w:r>
            <w:r w:rsidRPr="00134718">
              <w:rPr>
                <w:rFonts w:ascii="Verdana" w:hAnsi="Verdana"/>
                <w:sz w:val="16"/>
                <w:szCs w:val="16"/>
                <w:lang w:val="en-US"/>
              </w:rPr>
              <w:t xml:space="preserve"> countries.</w:t>
            </w:r>
          </w:p>
          <w:p w14:paraId="4A8E27A5" w14:textId="77777777" w:rsidR="00460D5B" w:rsidRPr="00134718" w:rsidRDefault="00460D5B" w:rsidP="00AC2E19">
            <w:pPr>
              <w:jc w:val="both"/>
              <w:rPr>
                <w:rFonts w:ascii="Verdana" w:hAnsi="Verdana"/>
                <w:sz w:val="16"/>
                <w:szCs w:val="16"/>
                <w:lang w:val="bg-BG"/>
              </w:rPr>
            </w:pPr>
          </w:p>
        </w:tc>
        <w:tc>
          <w:tcPr>
            <w:tcW w:w="2919" w:type="dxa"/>
          </w:tcPr>
          <w:p w14:paraId="448CD2D8" w14:textId="7DB58524" w:rsidR="00134718" w:rsidRPr="00134718" w:rsidRDefault="00460D5B" w:rsidP="00134718">
            <w:pPr>
              <w:pStyle w:val="ListParagraph"/>
              <w:numPr>
                <w:ilvl w:val="3"/>
                <w:numId w:val="58"/>
              </w:numPr>
              <w:ind w:left="355" w:hanging="284"/>
              <w:jc w:val="both"/>
              <w:rPr>
                <w:rFonts w:ascii="Verdana" w:hAnsi="Verdana"/>
                <w:sz w:val="16"/>
                <w:szCs w:val="16"/>
              </w:rPr>
            </w:pPr>
            <w:r w:rsidRPr="00134718">
              <w:rPr>
                <w:rFonts w:ascii="Verdana" w:hAnsi="Verdana"/>
                <w:sz w:val="16"/>
                <w:szCs w:val="16"/>
                <w:lang w:val="en"/>
              </w:rPr>
              <w:lastRenderedPageBreak/>
              <w:t>Territorial distribution of the population, benefiting from the realization of transport projects.</w:t>
            </w:r>
          </w:p>
          <w:p w14:paraId="37C1B152" w14:textId="77777777" w:rsidR="00134718" w:rsidRPr="00134718" w:rsidRDefault="00134718" w:rsidP="00134718">
            <w:pPr>
              <w:pStyle w:val="ListParagraph"/>
              <w:ind w:left="355"/>
              <w:jc w:val="both"/>
              <w:rPr>
                <w:rFonts w:ascii="Verdana" w:hAnsi="Verdana"/>
                <w:sz w:val="16"/>
                <w:szCs w:val="16"/>
              </w:rPr>
            </w:pPr>
          </w:p>
          <w:p w14:paraId="00A78B4A" w14:textId="470095EE" w:rsidR="00134718" w:rsidRPr="00134718" w:rsidRDefault="00460D5B" w:rsidP="00134718">
            <w:pPr>
              <w:pStyle w:val="ListParagraph"/>
              <w:numPr>
                <w:ilvl w:val="3"/>
                <w:numId w:val="58"/>
              </w:numPr>
              <w:spacing w:after="0"/>
              <w:ind w:left="355" w:hanging="284"/>
              <w:jc w:val="both"/>
              <w:rPr>
                <w:rFonts w:ascii="Verdana" w:hAnsi="Verdana"/>
                <w:sz w:val="16"/>
                <w:szCs w:val="16"/>
              </w:rPr>
            </w:pPr>
            <w:r w:rsidRPr="00134718">
              <w:rPr>
                <w:rFonts w:ascii="Verdana" w:hAnsi="Verdana"/>
                <w:sz w:val="16"/>
                <w:szCs w:val="16"/>
                <w:lang w:val="en"/>
              </w:rPr>
              <w:t xml:space="preserve">Increased revenues, including revenues from </w:t>
            </w:r>
            <w:r w:rsidRPr="00134718">
              <w:rPr>
                <w:rFonts w:ascii="Verdana" w:hAnsi="Verdana"/>
                <w:sz w:val="16"/>
                <w:szCs w:val="16"/>
                <w:lang w:val="en"/>
              </w:rPr>
              <w:lastRenderedPageBreak/>
              <w:t>transport activity by region or output, including in the transport and storage sector.</w:t>
            </w:r>
          </w:p>
          <w:p w14:paraId="7C849D94" w14:textId="77777777" w:rsidR="00134718" w:rsidRPr="00134718" w:rsidRDefault="00134718" w:rsidP="00134718">
            <w:pPr>
              <w:spacing w:after="0"/>
              <w:jc w:val="both"/>
              <w:rPr>
                <w:rFonts w:ascii="Verdana" w:hAnsi="Verdana"/>
                <w:sz w:val="16"/>
                <w:szCs w:val="16"/>
              </w:rPr>
            </w:pPr>
          </w:p>
          <w:p w14:paraId="0F48B43E" w14:textId="1610085B" w:rsidR="00460D5B" w:rsidRPr="00134718" w:rsidRDefault="00460D5B" w:rsidP="00134718">
            <w:pPr>
              <w:pStyle w:val="ListParagraph"/>
              <w:numPr>
                <w:ilvl w:val="3"/>
                <w:numId w:val="58"/>
              </w:numPr>
              <w:spacing w:after="0"/>
              <w:ind w:left="355" w:hanging="284"/>
              <w:jc w:val="both"/>
              <w:rPr>
                <w:rFonts w:ascii="Verdana" w:hAnsi="Verdana"/>
                <w:sz w:val="16"/>
                <w:szCs w:val="16"/>
              </w:rPr>
            </w:pPr>
            <w:r w:rsidRPr="00134718">
              <w:rPr>
                <w:rFonts w:ascii="Verdana" w:hAnsi="Verdana"/>
                <w:sz w:val="16"/>
                <w:szCs w:val="16"/>
                <w:lang w:val="en"/>
              </w:rPr>
              <w:t>Economic growth dynamics by region.</w:t>
            </w:r>
          </w:p>
        </w:tc>
      </w:tr>
    </w:tbl>
    <w:p w14:paraId="2E3EB11B" w14:textId="77777777" w:rsidR="00460D5B" w:rsidRPr="00584504" w:rsidRDefault="00460D5B" w:rsidP="00460D5B">
      <w:pPr>
        <w:jc w:val="both"/>
        <w:rPr>
          <w:rFonts w:ascii="Verdana" w:hAnsi="Verdana"/>
          <w:i/>
          <w:iCs/>
          <w:sz w:val="20"/>
          <w:szCs w:val="20"/>
          <w:lang w:val="bg-BG"/>
        </w:rPr>
      </w:pPr>
      <w:r w:rsidRPr="00584504">
        <w:rPr>
          <w:rFonts w:ascii="Verdana" w:hAnsi="Verdana"/>
          <w:i/>
          <w:iCs/>
          <w:sz w:val="20"/>
          <w:szCs w:val="20"/>
          <w:lang w:val="en"/>
        </w:rPr>
        <w:lastRenderedPageBreak/>
        <w:t>Source: OPT, own assessment</w:t>
      </w:r>
    </w:p>
    <w:p w14:paraId="361D1F78" w14:textId="149CFDC5" w:rsidR="00460D5B" w:rsidRPr="007E1F25" w:rsidRDefault="00460D5B" w:rsidP="00460D5B">
      <w:pPr>
        <w:jc w:val="both"/>
        <w:rPr>
          <w:rFonts w:ascii="Verdana" w:hAnsi="Verdana"/>
          <w:sz w:val="20"/>
          <w:szCs w:val="20"/>
          <w:lang w:val="en"/>
        </w:rPr>
      </w:pPr>
      <w:r w:rsidRPr="00584504">
        <w:rPr>
          <w:rFonts w:ascii="Verdana" w:hAnsi="Verdana"/>
          <w:sz w:val="20"/>
          <w:szCs w:val="20"/>
          <w:lang w:val="en"/>
        </w:rPr>
        <w:t xml:space="preserve">As result indicators </w:t>
      </w:r>
      <w:r w:rsidR="00134718" w:rsidRPr="00584504">
        <w:rPr>
          <w:rFonts w:ascii="Verdana" w:hAnsi="Verdana"/>
          <w:sz w:val="20"/>
          <w:szCs w:val="20"/>
          <w:lang w:val="en"/>
        </w:rPr>
        <w:t>characterizing</w:t>
      </w:r>
      <w:r w:rsidRPr="00584504">
        <w:rPr>
          <w:rFonts w:ascii="Verdana" w:hAnsi="Verdana"/>
          <w:sz w:val="20"/>
          <w:szCs w:val="20"/>
          <w:lang w:val="en"/>
        </w:rPr>
        <w:t xml:space="preserve"> improved transport accessibility in different regions and localities, the programme indicators for the time saved (roads and rail) can also be used, but they are indicated only for the project end</w:t>
      </w:r>
      <w:r>
        <w:rPr>
          <w:rFonts w:ascii="Verdana" w:hAnsi="Verdana"/>
          <w:sz w:val="20"/>
          <w:szCs w:val="20"/>
          <w:lang w:val="en"/>
        </w:rPr>
        <w:t xml:space="preserve"> </w:t>
      </w:r>
      <w:r w:rsidRPr="00584504">
        <w:rPr>
          <w:rFonts w:ascii="Verdana" w:hAnsi="Verdana"/>
          <w:sz w:val="20"/>
          <w:szCs w:val="20"/>
          <w:lang w:val="en"/>
        </w:rPr>
        <w:t xml:space="preserve">points. </w:t>
      </w:r>
      <w:r w:rsidRPr="00216EB4">
        <w:rPr>
          <w:rFonts w:ascii="Verdana" w:hAnsi="Verdana"/>
          <w:sz w:val="20"/>
          <w:szCs w:val="20"/>
          <w:lang w:val="en"/>
        </w:rPr>
        <w:t xml:space="preserve">And different levels of spatial effects scale (direct/local, regional, national, cross-border) have been </w:t>
      </w:r>
      <w:r>
        <w:rPr>
          <w:rFonts w:ascii="Verdana" w:hAnsi="Verdana"/>
          <w:sz w:val="20"/>
          <w:szCs w:val="20"/>
          <w:lang w:val="en"/>
        </w:rPr>
        <w:t>i</w:t>
      </w:r>
      <w:r w:rsidRPr="00216EB4">
        <w:rPr>
          <w:rFonts w:ascii="Verdana" w:hAnsi="Verdana"/>
          <w:sz w:val="20"/>
          <w:szCs w:val="20"/>
          <w:lang w:val="en"/>
        </w:rPr>
        <w:t>dentified because the effects of a transport project also have a geographical scope including wider or smaller areas.</w:t>
      </w:r>
      <w:r>
        <w:rPr>
          <w:rFonts w:ascii="Verdana" w:hAnsi="Verdana"/>
          <w:sz w:val="20"/>
          <w:szCs w:val="20"/>
          <w:lang w:val="en"/>
        </w:rPr>
        <w:t xml:space="preserve"> </w:t>
      </w:r>
      <w:r w:rsidRPr="007E1F25">
        <w:rPr>
          <w:rFonts w:ascii="Verdana" w:hAnsi="Verdana"/>
          <w:sz w:val="20"/>
          <w:szCs w:val="20"/>
          <w:lang w:val="en"/>
        </w:rPr>
        <w:t>The analysis of the implemented projects, which contribute to changes in territorial accessibility and connectivity, shows the following results:</w:t>
      </w:r>
    </w:p>
    <w:p w14:paraId="164CFD16" w14:textId="77777777" w:rsidR="00460D5B" w:rsidRPr="007E1F25" w:rsidRDefault="00460D5B" w:rsidP="00460D5B">
      <w:pPr>
        <w:numPr>
          <w:ilvl w:val="0"/>
          <w:numId w:val="22"/>
        </w:numPr>
        <w:jc w:val="both"/>
        <w:rPr>
          <w:rFonts w:ascii="Verdana" w:hAnsi="Verdana"/>
          <w:sz w:val="20"/>
          <w:szCs w:val="20"/>
          <w:lang w:val="en-US"/>
        </w:rPr>
      </w:pPr>
      <w:r w:rsidRPr="007E1F25">
        <w:rPr>
          <w:rFonts w:ascii="Verdana" w:hAnsi="Verdana"/>
          <w:sz w:val="20"/>
          <w:szCs w:val="20"/>
          <w:lang w:val="en"/>
        </w:rPr>
        <w:t>Of the total rehabilitated and reconstructed 345 km railway road under Priority Axis 1 "Development</w:t>
      </w:r>
      <w:r>
        <w:rPr>
          <w:rFonts w:ascii="Verdana" w:hAnsi="Verdana"/>
          <w:sz w:val="20"/>
          <w:szCs w:val="20"/>
          <w:lang w:val="en"/>
        </w:rPr>
        <w:t xml:space="preserve"> </w:t>
      </w:r>
      <w:r w:rsidRPr="007E1F25">
        <w:rPr>
          <w:rFonts w:ascii="Verdana" w:hAnsi="Verdana"/>
          <w:sz w:val="20"/>
          <w:szCs w:val="20"/>
          <w:lang w:val="en"/>
        </w:rPr>
        <w:t>of railway infrastructure along the Trans-European and core national transport axes"</w:t>
      </w:r>
      <w:r>
        <w:rPr>
          <w:rFonts w:ascii="Verdana" w:hAnsi="Verdana"/>
          <w:sz w:val="20"/>
          <w:szCs w:val="20"/>
          <w:lang w:val="en"/>
        </w:rPr>
        <w:t xml:space="preserve"> </w:t>
      </w:r>
      <w:r w:rsidRPr="007E1F25">
        <w:rPr>
          <w:rFonts w:ascii="Verdana" w:hAnsi="Verdana"/>
          <w:sz w:val="20"/>
          <w:szCs w:val="20"/>
          <w:lang w:val="en"/>
        </w:rPr>
        <w:t xml:space="preserve">44% are on the territory of the South Central Region through the implementation of three projects: "Railway </w:t>
      </w:r>
      <w:proofErr w:type="spellStart"/>
      <w:r w:rsidRPr="007E1F25">
        <w:rPr>
          <w:rFonts w:ascii="Verdana" w:hAnsi="Verdana"/>
          <w:sz w:val="20"/>
          <w:szCs w:val="20"/>
          <w:lang w:val="en"/>
        </w:rPr>
        <w:t>Svilengrad</w:t>
      </w:r>
      <w:proofErr w:type="spellEnd"/>
      <w:r w:rsidRPr="007E1F25">
        <w:rPr>
          <w:rFonts w:ascii="Verdana" w:hAnsi="Verdana"/>
          <w:sz w:val="20"/>
          <w:szCs w:val="20"/>
          <w:lang w:val="en"/>
        </w:rPr>
        <w:t xml:space="preserve"> – Turkish border", "Railway </w:t>
      </w:r>
      <w:proofErr w:type="spellStart"/>
      <w:r w:rsidRPr="007E1F25">
        <w:rPr>
          <w:rFonts w:ascii="Verdana" w:hAnsi="Verdana"/>
          <w:sz w:val="20"/>
          <w:szCs w:val="20"/>
          <w:lang w:val="en"/>
        </w:rPr>
        <w:t>Parvomay</w:t>
      </w:r>
      <w:proofErr w:type="spellEnd"/>
      <w:r w:rsidRPr="007E1F25">
        <w:rPr>
          <w:rFonts w:ascii="Verdana" w:hAnsi="Verdana"/>
          <w:sz w:val="20"/>
          <w:szCs w:val="20"/>
          <w:lang w:val="en"/>
        </w:rPr>
        <w:t xml:space="preserve"> – </w:t>
      </w:r>
      <w:proofErr w:type="spellStart"/>
      <w:r w:rsidRPr="007E1F25">
        <w:rPr>
          <w:rFonts w:ascii="Verdana" w:hAnsi="Verdana"/>
          <w:sz w:val="20"/>
          <w:szCs w:val="20"/>
          <w:lang w:val="en"/>
        </w:rPr>
        <w:t>Svilengrad</w:t>
      </w:r>
      <w:proofErr w:type="spellEnd"/>
      <w:r w:rsidRPr="007E1F25">
        <w:rPr>
          <w:rFonts w:ascii="Verdana" w:hAnsi="Verdana"/>
          <w:sz w:val="20"/>
          <w:szCs w:val="20"/>
          <w:lang w:val="en"/>
        </w:rPr>
        <w:t xml:space="preserve">", "Railway </w:t>
      </w:r>
      <w:proofErr w:type="spellStart"/>
      <w:r w:rsidRPr="007E1F25">
        <w:rPr>
          <w:rFonts w:ascii="Verdana" w:hAnsi="Verdana"/>
          <w:sz w:val="20"/>
          <w:szCs w:val="20"/>
          <w:lang w:val="en"/>
        </w:rPr>
        <w:t>Septemvri</w:t>
      </w:r>
      <w:proofErr w:type="spellEnd"/>
      <w:r w:rsidRPr="007E1F25">
        <w:rPr>
          <w:rFonts w:ascii="Verdana" w:hAnsi="Verdana"/>
          <w:sz w:val="20"/>
          <w:szCs w:val="20"/>
          <w:lang w:val="en"/>
        </w:rPr>
        <w:t xml:space="preserve"> - Plovdiv", and 56% - on the territory of the South-East region, implemented under the </w:t>
      </w:r>
      <w:r w:rsidRPr="007B15DB">
        <w:rPr>
          <w:rFonts w:ascii="Verdana" w:hAnsi="Verdana"/>
          <w:sz w:val="20"/>
          <w:szCs w:val="20"/>
          <w:lang w:val="en"/>
        </w:rPr>
        <w:t xml:space="preserve">"Railway Plovdiv - </w:t>
      </w:r>
      <w:proofErr w:type="spellStart"/>
      <w:r w:rsidRPr="007B15DB">
        <w:rPr>
          <w:rFonts w:ascii="Verdana" w:hAnsi="Verdana"/>
          <w:sz w:val="20"/>
          <w:szCs w:val="20"/>
          <w:lang w:val="en"/>
        </w:rPr>
        <w:t>Burgas</w:t>
      </w:r>
      <w:proofErr w:type="spellEnd"/>
      <w:r w:rsidRPr="007B15DB">
        <w:rPr>
          <w:rFonts w:ascii="Verdana" w:hAnsi="Verdana"/>
          <w:sz w:val="20"/>
          <w:szCs w:val="20"/>
          <w:lang w:val="en"/>
        </w:rPr>
        <w:t>"</w:t>
      </w:r>
      <w:r w:rsidRPr="007E1F25">
        <w:rPr>
          <w:rFonts w:ascii="Verdana" w:hAnsi="Verdana"/>
          <w:sz w:val="20"/>
          <w:szCs w:val="20"/>
          <w:lang w:val="en"/>
        </w:rPr>
        <w:t xml:space="preserve">. The </w:t>
      </w:r>
      <w:r w:rsidRPr="007B15DB">
        <w:rPr>
          <w:rFonts w:ascii="Verdana" w:hAnsi="Verdana"/>
          <w:sz w:val="20"/>
          <w:szCs w:val="20"/>
          <w:lang w:val="en"/>
        </w:rPr>
        <w:t xml:space="preserve">settlements </w:t>
      </w:r>
      <w:r w:rsidRPr="007E1F25">
        <w:rPr>
          <w:rFonts w:ascii="Verdana" w:hAnsi="Verdana"/>
          <w:sz w:val="20"/>
          <w:szCs w:val="20"/>
          <w:lang w:val="en"/>
        </w:rPr>
        <w:t xml:space="preserve">in 19 municipalities: Plovdiv, </w:t>
      </w:r>
      <w:proofErr w:type="spellStart"/>
      <w:r w:rsidRPr="007E1F25">
        <w:rPr>
          <w:rFonts w:ascii="Verdana" w:hAnsi="Verdana"/>
          <w:sz w:val="20"/>
          <w:szCs w:val="20"/>
          <w:lang w:val="en"/>
        </w:rPr>
        <w:t>Haskovo</w:t>
      </w:r>
      <w:proofErr w:type="spellEnd"/>
      <w:r w:rsidRPr="007E1F25">
        <w:rPr>
          <w:rFonts w:ascii="Verdana" w:hAnsi="Verdana"/>
          <w:sz w:val="20"/>
          <w:szCs w:val="20"/>
          <w:lang w:val="en"/>
        </w:rPr>
        <w:t xml:space="preserve">, </w:t>
      </w:r>
      <w:proofErr w:type="spellStart"/>
      <w:r w:rsidRPr="007E1F25">
        <w:rPr>
          <w:rFonts w:ascii="Verdana" w:hAnsi="Verdana"/>
          <w:sz w:val="20"/>
          <w:szCs w:val="20"/>
          <w:lang w:val="en"/>
        </w:rPr>
        <w:t>Dimitrovgrad</w:t>
      </w:r>
      <w:proofErr w:type="spellEnd"/>
      <w:r w:rsidRPr="007E1F25">
        <w:rPr>
          <w:rFonts w:ascii="Verdana" w:hAnsi="Verdana"/>
          <w:sz w:val="20"/>
          <w:szCs w:val="20"/>
          <w:lang w:val="en"/>
        </w:rPr>
        <w:t xml:space="preserve">, </w:t>
      </w:r>
      <w:proofErr w:type="spellStart"/>
      <w:r w:rsidRPr="007E1F25">
        <w:rPr>
          <w:rFonts w:ascii="Verdana" w:hAnsi="Verdana"/>
          <w:sz w:val="20"/>
          <w:szCs w:val="20"/>
          <w:lang w:val="en"/>
        </w:rPr>
        <w:t>Parvomay</w:t>
      </w:r>
      <w:proofErr w:type="spellEnd"/>
      <w:r w:rsidRPr="007E1F25">
        <w:rPr>
          <w:rFonts w:ascii="Verdana" w:hAnsi="Verdana"/>
          <w:sz w:val="20"/>
          <w:szCs w:val="20"/>
          <w:lang w:val="en"/>
        </w:rPr>
        <w:t xml:space="preserve">, </w:t>
      </w:r>
      <w:proofErr w:type="spellStart"/>
      <w:r w:rsidRPr="007E1F25">
        <w:rPr>
          <w:rFonts w:ascii="Verdana" w:hAnsi="Verdana"/>
          <w:sz w:val="20"/>
          <w:szCs w:val="20"/>
          <w:lang w:val="en"/>
        </w:rPr>
        <w:t>Simeonovgrad</w:t>
      </w:r>
      <w:proofErr w:type="spellEnd"/>
      <w:r w:rsidRPr="007E1F25">
        <w:rPr>
          <w:rFonts w:ascii="Verdana" w:hAnsi="Verdana"/>
          <w:sz w:val="20"/>
          <w:szCs w:val="20"/>
          <w:lang w:val="en"/>
        </w:rPr>
        <w:t xml:space="preserve">, </w:t>
      </w:r>
      <w:proofErr w:type="spellStart"/>
      <w:r w:rsidRPr="007E1F25">
        <w:rPr>
          <w:rFonts w:ascii="Verdana" w:hAnsi="Verdana"/>
          <w:sz w:val="20"/>
          <w:szCs w:val="20"/>
          <w:lang w:val="en"/>
        </w:rPr>
        <w:t>Harmanli</w:t>
      </w:r>
      <w:proofErr w:type="spellEnd"/>
      <w:r w:rsidRPr="007E1F25">
        <w:rPr>
          <w:rFonts w:ascii="Verdana" w:hAnsi="Verdana"/>
          <w:sz w:val="20"/>
          <w:szCs w:val="20"/>
          <w:lang w:val="en"/>
        </w:rPr>
        <w:t xml:space="preserve">, </w:t>
      </w:r>
      <w:proofErr w:type="spellStart"/>
      <w:r w:rsidRPr="007E1F25">
        <w:rPr>
          <w:rFonts w:ascii="Verdana" w:hAnsi="Verdana"/>
          <w:sz w:val="20"/>
          <w:szCs w:val="20"/>
          <w:lang w:val="en"/>
        </w:rPr>
        <w:t>Sadovo</w:t>
      </w:r>
      <w:proofErr w:type="spellEnd"/>
      <w:r w:rsidRPr="007E1F25">
        <w:rPr>
          <w:rFonts w:ascii="Verdana" w:hAnsi="Verdana"/>
          <w:sz w:val="20"/>
          <w:szCs w:val="20"/>
          <w:lang w:val="en"/>
        </w:rPr>
        <w:t xml:space="preserve">, </w:t>
      </w:r>
      <w:proofErr w:type="spellStart"/>
      <w:r w:rsidRPr="007E1F25">
        <w:rPr>
          <w:rFonts w:ascii="Verdana" w:hAnsi="Verdana"/>
          <w:sz w:val="20"/>
          <w:szCs w:val="20"/>
          <w:lang w:val="en"/>
        </w:rPr>
        <w:t>Lyubimets</w:t>
      </w:r>
      <w:proofErr w:type="spellEnd"/>
      <w:r w:rsidRPr="007E1F25">
        <w:rPr>
          <w:rFonts w:ascii="Verdana" w:hAnsi="Verdana"/>
          <w:sz w:val="20"/>
          <w:szCs w:val="20"/>
          <w:lang w:val="en"/>
        </w:rPr>
        <w:t xml:space="preserve">, </w:t>
      </w:r>
      <w:proofErr w:type="spellStart"/>
      <w:r w:rsidRPr="007E1F25">
        <w:rPr>
          <w:rFonts w:ascii="Verdana" w:hAnsi="Verdana"/>
          <w:sz w:val="20"/>
          <w:szCs w:val="20"/>
          <w:lang w:val="en"/>
        </w:rPr>
        <w:t>Svilengrad</w:t>
      </w:r>
      <w:proofErr w:type="spellEnd"/>
      <w:r w:rsidRPr="007E1F25">
        <w:rPr>
          <w:rFonts w:ascii="Verdana" w:hAnsi="Verdana"/>
          <w:sz w:val="20"/>
          <w:szCs w:val="20"/>
          <w:lang w:val="en"/>
        </w:rPr>
        <w:t xml:space="preserve">, </w:t>
      </w:r>
      <w:proofErr w:type="spellStart"/>
      <w:r w:rsidRPr="007E1F25">
        <w:rPr>
          <w:rFonts w:ascii="Verdana" w:hAnsi="Verdana"/>
          <w:sz w:val="20"/>
          <w:szCs w:val="20"/>
          <w:lang w:val="en"/>
        </w:rPr>
        <w:t>Stara</w:t>
      </w:r>
      <w:proofErr w:type="spellEnd"/>
      <w:r w:rsidRPr="007E1F25">
        <w:rPr>
          <w:rFonts w:ascii="Verdana" w:hAnsi="Verdana"/>
          <w:sz w:val="20"/>
          <w:szCs w:val="20"/>
          <w:lang w:val="en"/>
        </w:rPr>
        <w:t xml:space="preserve"> Zagora, </w:t>
      </w:r>
      <w:proofErr w:type="spellStart"/>
      <w:r w:rsidRPr="007E1F25">
        <w:rPr>
          <w:rFonts w:ascii="Verdana" w:hAnsi="Verdana"/>
          <w:sz w:val="20"/>
          <w:szCs w:val="20"/>
          <w:lang w:val="en"/>
        </w:rPr>
        <w:t>Straldzha</w:t>
      </w:r>
      <w:proofErr w:type="spellEnd"/>
      <w:r w:rsidRPr="007E1F25">
        <w:rPr>
          <w:rFonts w:ascii="Verdana" w:hAnsi="Verdana"/>
          <w:sz w:val="20"/>
          <w:szCs w:val="20"/>
          <w:lang w:val="en"/>
        </w:rPr>
        <w:t xml:space="preserve">, Yambol, </w:t>
      </w:r>
      <w:proofErr w:type="spellStart"/>
      <w:r w:rsidRPr="007E1F25">
        <w:rPr>
          <w:rFonts w:ascii="Verdana" w:hAnsi="Verdana"/>
          <w:sz w:val="20"/>
          <w:szCs w:val="20"/>
          <w:lang w:val="en"/>
        </w:rPr>
        <w:t>Karnobat</w:t>
      </w:r>
      <w:proofErr w:type="spellEnd"/>
      <w:r w:rsidRPr="007E1F25">
        <w:rPr>
          <w:rFonts w:ascii="Verdana" w:hAnsi="Verdana"/>
          <w:sz w:val="20"/>
          <w:szCs w:val="20"/>
          <w:lang w:val="en"/>
        </w:rPr>
        <w:t xml:space="preserve">, </w:t>
      </w:r>
      <w:proofErr w:type="spellStart"/>
      <w:r w:rsidRPr="007E1F25">
        <w:rPr>
          <w:rFonts w:ascii="Verdana" w:hAnsi="Verdana"/>
          <w:sz w:val="20"/>
          <w:szCs w:val="20"/>
          <w:lang w:val="en"/>
        </w:rPr>
        <w:t>Aytos</w:t>
      </w:r>
      <w:proofErr w:type="spellEnd"/>
      <w:r w:rsidRPr="007E1F25">
        <w:rPr>
          <w:rFonts w:ascii="Verdana" w:hAnsi="Verdana"/>
          <w:sz w:val="20"/>
          <w:szCs w:val="20"/>
          <w:lang w:val="en"/>
        </w:rPr>
        <w:t xml:space="preserve">, </w:t>
      </w:r>
      <w:proofErr w:type="spellStart"/>
      <w:r w:rsidRPr="007E1F25">
        <w:rPr>
          <w:rFonts w:ascii="Verdana" w:hAnsi="Verdana"/>
          <w:sz w:val="20"/>
          <w:szCs w:val="20"/>
          <w:lang w:val="en"/>
        </w:rPr>
        <w:t>Burgas</w:t>
      </w:r>
      <w:proofErr w:type="spellEnd"/>
      <w:r w:rsidRPr="007E1F25">
        <w:rPr>
          <w:rFonts w:ascii="Verdana" w:hAnsi="Verdana"/>
          <w:sz w:val="20"/>
          <w:szCs w:val="20"/>
          <w:lang w:val="en"/>
        </w:rPr>
        <w:t xml:space="preserve">, </w:t>
      </w:r>
      <w:proofErr w:type="spellStart"/>
      <w:r w:rsidRPr="007E1F25">
        <w:rPr>
          <w:rFonts w:ascii="Verdana" w:hAnsi="Verdana"/>
          <w:sz w:val="20"/>
          <w:szCs w:val="20"/>
          <w:lang w:val="en"/>
        </w:rPr>
        <w:t>Pazardzhik</w:t>
      </w:r>
      <w:proofErr w:type="spellEnd"/>
      <w:r w:rsidRPr="007E1F25">
        <w:rPr>
          <w:rFonts w:ascii="Verdana" w:hAnsi="Verdana"/>
          <w:sz w:val="20"/>
          <w:szCs w:val="20"/>
          <w:lang w:val="en"/>
        </w:rPr>
        <w:t xml:space="preserve">, </w:t>
      </w:r>
      <w:proofErr w:type="spellStart"/>
      <w:r w:rsidRPr="007E1F25">
        <w:rPr>
          <w:rFonts w:ascii="Verdana" w:hAnsi="Verdana"/>
          <w:sz w:val="20"/>
          <w:szCs w:val="20"/>
          <w:lang w:val="en"/>
        </w:rPr>
        <w:t>Stamboliyski</w:t>
      </w:r>
      <w:proofErr w:type="spellEnd"/>
      <w:r w:rsidRPr="007E1F25">
        <w:rPr>
          <w:rFonts w:ascii="Verdana" w:hAnsi="Verdana"/>
          <w:sz w:val="20"/>
          <w:szCs w:val="20"/>
          <w:lang w:val="en"/>
        </w:rPr>
        <w:t xml:space="preserve">, Plovdiv and </w:t>
      </w:r>
      <w:proofErr w:type="spellStart"/>
      <w:r w:rsidRPr="007E1F25">
        <w:rPr>
          <w:rFonts w:ascii="Verdana" w:hAnsi="Verdana"/>
          <w:sz w:val="20"/>
          <w:szCs w:val="20"/>
          <w:lang w:val="en"/>
        </w:rPr>
        <w:t>Septemvri</w:t>
      </w:r>
      <w:proofErr w:type="spellEnd"/>
      <w:r w:rsidRPr="007E1F25">
        <w:rPr>
          <w:rFonts w:ascii="Verdana" w:hAnsi="Verdana"/>
          <w:sz w:val="20"/>
          <w:szCs w:val="20"/>
          <w:lang w:val="en"/>
        </w:rPr>
        <w:t xml:space="preserve"> have improved their transport access among themselves and to other parts of the country, as well as outside the country. The wider regional impact extends to the districts of Plovdiv, </w:t>
      </w:r>
      <w:proofErr w:type="spellStart"/>
      <w:r w:rsidRPr="007E1F25">
        <w:rPr>
          <w:rFonts w:ascii="Verdana" w:hAnsi="Verdana"/>
          <w:sz w:val="20"/>
          <w:szCs w:val="20"/>
          <w:lang w:val="en"/>
        </w:rPr>
        <w:t>Haskovo</w:t>
      </w:r>
      <w:proofErr w:type="spellEnd"/>
      <w:r w:rsidRPr="007E1F25">
        <w:rPr>
          <w:rFonts w:ascii="Verdana" w:hAnsi="Verdana"/>
          <w:sz w:val="20"/>
          <w:szCs w:val="20"/>
          <w:lang w:val="en"/>
        </w:rPr>
        <w:t xml:space="preserve">, </w:t>
      </w:r>
      <w:proofErr w:type="spellStart"/>
      <w:r w:rsidRPr="007E1F25">
        <w:rPr>
          <w:rFonts w:ascii="Verdana" w:hAnsi="Verdana"/>
          <w:sz w:val="20"/>
          <w:szCs w:val="20"/>
          <w:lang w:val="en"/>
        </w:rPr>
        <w:t>Stara</w:t>
      </w:r>
      <w:proofErr w:type="spellEnd"/>
      <w:r w:rsidRPr="007E1F25">
        <w:rPr>
          <w:rFonts w:ascii="Verdana" w:hAnsi="Verdana"/>
          <w:sz w:val="20"/>
          <w:szCs w:val="20"/>
          <w:lang w:val="en"/>
        </w:rPr>
        <w:t xml:space="preserve"> Zagora, Yambol, </w:t>
      </w:r>
      <w:proofErr w:type="spellStart"/>
      <w:r w:rsidRPr="007E1F25">
        <w:rPr>
          <w:rFonts w:ascii="Verdana" w:hAnsi="Verdana"/>
          <w:sz w:val="20"/>
          <w:szCs w:val="20"/>
          <w:lang w:val="en"/>
        </w:rPr>
        <w:t>Burgas</w:t>
      </w:r>
      <w:proofErr w:type="spellEnd"/>
      <w:r w:rsidRPr="007E1F25">
        <w:rPr>
          <w:rFonts w:ascii="Verdana" w:hAnsi="Verdana"/>
          <w:sz w:val="20"/>
          <w:szCs w:val="20"/>
          <w:lang w:val="en"/>
        </w:rPr>
        <w:t>.</w:t>
      </w:r>
    </w:p>
    <w:p w14:paraId="2295FB34" w14:textId="23D04530" w:rsidR="00460D5B" w:rsidRPr="00584504" w:rsidRDefault="00460D5B" w:rsidP="00460D5B">
      <w:pPr>
        <w:pStyle w:val="ListParagraph"/>
        <w:numPr>
          <w:ilvl w:val="0"/>
          <w:numId w:val="22"/>
        </w:numPr>
        <w:jc w:val="both"/>
        <w:rPr>
          <w:rFonts w:ascii="Verdana" w:hAnsi="Verdana"/>
          <w:sz w:val="20"/>
          <w:szCs w:val="20"/>
          <w:lang w:val="bg-BG"/>
        </w:rPr>
      </w:pPr>
      <w:r w:rsidRPr="00584504">
        <w:rPr>
          <w:rFonts w:ascii="Verdana" w:hAnsi="Verdana"/>
          <w:sz w:val="20"/>
          <w:szCs w:val="20"/>
          <w:lang w:val="en"/>
        </w:rPr>
        <w:t>The projects under Priority Axis 2 "Development of road infrastructure</w:t>
      </w:r>
      <w:r>
        <w:rPr>
          <w:rFonts w:ascii="Verdana" w:hAnsi="Verdana"/>
          <w:sz w:val="20"/>
          <w:szCs w:val="20"/>
          <w:lang w:val="en"/>
        </w:rPr>
        <w:t xml:space="preserve"> </w:t>
      </w:r>
      <w:r w:rsidRPr="00B315CB">
        <w:rPr>
          <w:rFonts w:ascii="Verdana" w:hAnsi="Verdana"/>
          <w:bCs/>
          <w:sz w:val="20"/>
          <w:szCs w:val="20"/>
          <w:lang w:val="en"/>
        </w:rPr>
        <w:t>along the Trans-European and</w:t>
      </w:r>
      <w:r w:rsidRPr="00584504">
        <w:rPr>
          <w:rFonts w:ascii="Verdana" w:hAnsi="Verdana"/>
          <w:sz w:val="20"/>
          <w:szCs w:val="20"/>
          <w:lang w:val="en"/>
        </w:rPr>
        <w:t xml:space="preserve"> </w:t>
      </w:r>
      <w:r>
        <w:rPr>
          <w:rFonts w:ascii="Verdana" w:hAnsi="Verdana"/>
          <w:sz w:val="20"/>
          <w:szCs w:val="20"/>
          <w:lang w:val="en"/>
        </w:rPr>
        <w:t>core</w:t>
      </w:r>
      <w:r w:rsidRPr="00584504">
        <w:rPr>
          <w:rFonts w:ascii="Verdana" w:hAnsi="Verdana"/>
          <w:sz w:val="20"/>
          <w:szCs w:val="20"/>
          <w:lang w:val="en"/>
        </w:rPr>
        <w:t xml:space="preserve"> national transport axes" are more evenly </w:t>
      </w:r>
      <w:r w:rsidRPr="00B315CB">
        <w:rPr>
          <w:rFonts w:ascii="Verdana" w:hAnsi="Verdana"/>
          <w:sz w:val="20"/>
          <w:szCs w:val="20"/>
          <w:lang w:val="en"/>
        </w:rPr>
        <w:t>distributed</w:t>
      </w:r>
      <w:r w:rsidRPr="00584504">
        <w:rPr>
          <w:rFonts w:ascii="Verdana" w:hAnsi="Verdana"/>
          <w:sz w:val="20"/>
          <w:szCs w:val="20"/>
          <w:lang w:val="en"/>
        </w:rPr>
        <w:t xml:space="preserve"> on the territory of the country. They are located in the South</w:t>
      </w:r>
      <w:r>
        <w:rPr>
          <w:rFonts w:ascii="Verdana" w:hAnsi="Verdana"/>
          <w:sz w:val="20"/>
          <w:szCs w:val="20"/>
          <w:lang w:val="en"/>
        </w:rPr>
        <w:t>e</w:t>
      </w:r>
      <w:r w:rsidRPr="00584504">
        <w:rPr>
          <w:rFonts w:ascii="Verdana" w:hAnsi="Verdana"/>
          <w:sz w:val="20"/>
          <w:szCs w:val="20"/>
          <w:lang w:val="en"/>
        </w:rPr>
        <w:t xml:space="preserve">ast, South Central and Southwest regions, as well as in the Northwest and North Central regions. </w:t>
      </w:r>
      <w:r w:rsidRPr="00C0368C">
        <w:rPr>
          <w:rFonts w:ascii="Verdana" w:hAnsi="Verdana"/>
          <w:sz w:val="20"/>
          <w:szCs w:val="20"/>
          <w:lang w:val="en"/>
        </w:rPr>
        <w:t>Of the total 310 km of new roads built, 45% are in the Southeast region.</w:t>
      </w:r>
    </w:p>
    <w:p w14:paraId="6ED2B4EE" w14:textId="77777777" w:rsidR="00460D5B" w:rsidRPr="00584504" w:rsidRDefault="00460D5B" w:rsidP="00460D5B">
      <w:pPr>
        <w:jc w:val="both"/>
        <w:rPr>
          <w:rFonts w:ascii="Verdana" w:hAnsi="Verdana"/>
          <w:sz w:val="20"/>
          <w:szCs w:val="20"/>
          <w:lang w:val="bg-BG" w:eastAsia="en-GB"/>
        </w:rPr>
      </w:pPr>
      <w:r w:rsidRPr="00584504">
        <w:rPr>
          <w:rFonts w:ascii="Verdana" w:hAnsi="Verdana"/>
          <w:sz w:val="20"/>
          <w:szCs w:val="20"/>
          <w:lang w:val="en"/>
        </w:rPr>
        <w:t xml:space="preserve">The direct territorial effect for improving the accessibility of the projects </w:t>
      </w:r>
      <w:r>
        <w:rPr>
          <w:rFonts w:ascii="Verdana" w:hAnsi="Verdana"/>
          <w:sz w:val="20"/>
          <w:szCs w:val="20"/>
          <w:lang w:val="en"/>
        </w:rPr>
        <w:t xml:space="preserve">implemented </w:t>
      </w:r>
      <w:r w:rsidRPr="00584504">
        <w:rPr>
          <w:rFonts w:ascii="Verdana" w:hAnsi="Verdana"/>
          <w:sz w:val="20"/>
          <w:szCs w:val="20"/>
          <w:lang w:val="en"/>
        </w:rPr>
        <w:t xml:space="preserve">extends to the settlements of 21 municipalities, including Nova Zagora, Yambol, </w:t>
      </w:r>
      <w:proofErr w:type="spellStart"/>
      <w:r w:rsidRPr="00584504">
        <w:rPr>
          <w:rFonts w:ascii="Verdana" w:hAnsi="Verdana"/>
          <w:sz w:val="20"/>
          <w:szCs w:val="20"/>
          <w:lang w:val="en"/>
        </w:rPr>
        <w:t>Tundzha</w:t>
      </w:r>
      <w:proofErr w:type="spellEnd"/>
      <w:r w:rsidRPr="00584504">
        <w:rPr>
          <w:rFonts w:ascii="Verdana" w:hAnsi="Verdana"/>
          <w:sz w:val="20"/>
          <w:szCs w:val="20"/>
          <w:lang w:val="en"/>
        </w:rPr>
        <w:t xml:space="preserve">, </w:t>
      </w:r>
      <w:proofErr w:type="spellStart"/>
      <w:r w:rsidRPr="00584504">
        <w:rPr>
          <w:rFonts w:ascii="Verdana" w:hAnsi="Verdana"/>
          <w:sz w:val="20"/>
          <w:szCs w:val="20"/>
          <w:lang w:val="en"/>
        </w:rPr>
        <w:t>Karnobat</w:t>
      </w:r>
      <w:proofErr w:type="spellEnd"/>
      <w:r w:rsidRPr="00584504">
        <w:rPr>
          <w:rFonts w:ascii="Verdana" w:hAnsi="Verdana"/>
          <w:sz w:val="20"/>
          <w:szCs w:val="20"/>
          <w:lang w:val="en"/>
        </w:rPr>
        <w:t xml:space="preserve">, </w:t>
      </w:r>
      <w:proofErr w:type="spellStart"/>
      <w:r w:rsidRPr="00584504">
        <w:rPr>
          <w:rFonts w:ascii="Verdana" w:hAnsi="Verdana"/>
          <w:sz w:val="20"/>
          <w:szCs w:val="20"/>
          <w:lang w:val="en"/>
        </w:rPr>
        <w:t>P</w:t>
      </w:r>
      <w:r>
        <w:rPr>
          <w:rFonts w:ascii="Verdana" w:hAnsi="Verdana"/>
          <w:sz w:val="20"/>
          <w:szCs w:val="20"/>
          <w:lang w:val="en"/>
        </w:rPr>
        <w:t>arvo</w:t>
      </w:r>
      <w:r w:rsidRPr="00584504">
        <w:rPr>
          <w:rFonts w:ascii="Verdana" w:hAnsi="Verdana"/>
          <w:sz w:val="20"/>
          <w:szCs w:val="20"/>
          <w:lang w:val="en"/>
        </w:rPr>
        <w:t>may</w:t>
      </w:r>
      <w:proofErr w:type="spellEnd"/>
      <w:r w:rsidRPr="00584504">
        <w:rPr>
          <w:rFonts w:ascii="Verdana" w:hAnsi="Verdana"/>
          <w:sz w:val="20"/>
          <w:szCs w:val="20"/>
          <w:lang w:val="en"/>
        </w:rPr>
        <w:t xml:space="preserve">, </w:t>
      </w:r>
      <w:proofErr w:type="spellStart"/>
      <w:r w:rsidRPr="00584504">
        <w:rPr>
          <w:rFonts w:ascii="Verdana" w:hAnsi="Verdana"/>
          <w:sz w:val="20"/>
          <w:szCs w:val="20"/>
          <w:lang w:val="en"/>
        </w:rPr>
        <w:t>Dimitrovgrad</w:t>
      </w:r>
      <w:proofErr w:type="spellEnd"/>
      <w:r w:rsidRPr="00584504">
        <w:rPr>
          <w:rFonts w:ascii="Verdana" w:hAnsi="Verdana"/>
          <w:sz w:val="20"/>
          <w:szCs w:val="20"/>
          <w:lang w:val="en"/>
        </w:rPr>
        <w:t xml:space="preserve">, </w:t>
      </w:r>
      <w:proofErr w:type="spellStart"/>
      <w:r w:rsidRPr="00584504">
        <w:rPr>
          <w:rFonts w:ascii="Verdana" w:hAnsi="Verdana"/>
          <w:sz w:val="20"/>
          <w:szCs w:val="20"/>
          <w:lang w:val="en"/>
        </w:rPr>
        <w:t>Harmanli</w:t>
      </w:r>
      <w:proofErr w:type="spellEnd"/>
      <w:r w:rsidRPr="00584504">
        <w:rPr>
          <w:rFonts w:ascii="Verdana" w:hAnsi="Verdana"/>
          <w:sz w:val="20"/>
          <w:szCs w:val="20"/>
          <w:lang w:val="en"/>
        </w:rPr>
        <w:t xml:space="preserve">, </w:t>
      </w:r>
      <w:proofErr w:type="spellStart"/>
      <w:r w:rsidRPr="00584504">
        <w:rPr>
          <w:rFonts w:ascii="Verdana" w:hAnsi="Verdana"/>
          <w:sz w:val="20"/>
          <w:szCs w:val="20"/>
          <w:lang w:val="en"/>
        </w:rPr>
        <w:t>Simeonovgrad</w:t>
      </w:r>
      <w:proofErr w:type="spellEnd"/>
      <w:r w:rsidRPr="00584504">
        <w:rPr>
          <w:rFonts w:ascii="Verdana" w:hAnsi="Verdana"/>
          <w:sz w:val="20"/>
          <w:szCs w:val="20"/>
          <w:lang w:val="en"/>
        </w:rPr>
        <w:t xml:space="preserve">, Sofia, </w:t>
      </w:r>
      <w:proofErr w:type="spellStart"/>
      <w:r w:rsidRPr="00584504">
        <w:rPr>
          <w:rFonts w:ascii="Verdana" w:hAnsi="Verdana"/>
          <w:sz w:val="20"/>
          <w:szCs w:val="20"/>
          <w:lang w:val="en"/>
        </w:rPr>
        <w:t>Momchilgrad</w:t>
      </w:r>
      <w:proofErr w:type="spellEnd"/>
      <w:r w:rsidRPr="00584504">
        <w:rPr>
          <w:rFonts w:ascii="Verdana" w:hAnsi="Verdana"/>
          <w:sz w:val="20"/>
          <w:szCs w:val="20"/>
          <w:lang w:val="en"/>
        </w:rPr>
        <w:t xml:space="preserve">, </w:t>
      </w:r>
      <w:proofErr w:type="spellStart"/>
      <w:r w:rsidRPr="00584504">
        <w:rPr>
          <w:rFonts w:ascii="Verdana" w:hAnsi="Verdana"/>
          <w:sz w:val="20"/>
          <w:szCs w:val="20"/>
          <w:lang w:val="en"/>
        </w:rPr>
        <w:t>Kardzhali</w:t>
      </w:r>
      <w:proofErr w:type="spellEnd"/>
      <w:r w:rsidRPr="00584504">
        <w:rPr>
          <w:rFonts w:ascii="Verdana" w:hAnsi="Verdana"/>
          <w:sz w:val="20"/>
          <w:szCs w:val="20"/>
          <w:lang w:val="en"/>
        </w:rPr>
        <w:t xml:space="preserve">, Jebel, </w:t>
      </w:r>
      <w:proofErr w:type="spellStart"/>
      <w:r w:rsidRPr="00584504">
        <w:rPr>
          <w:rFonts w:ascii="Verdana" w:hAnsi="Verdana"/>
          <w:sz w:val="20"/>
          <w:szCs w:val="20"/>
          <w:lang w:val="en"/>
        </w:rPr>
        <w:t>Radomir</w:t>
      </w:r>
      <w:proofErr w:type="spellEnd"/>
      <w:r w:rsidRPr="00584504">
        <w:rPr>
          <w:rFonts w:ascii="Verdana" w:hAnsi="Verdana"/>
          <w:sz w:val="20"/>
          <w:szCs w:val="20"/>
          <w:lang w:val="en"/>
        </w:rPr>
        <w:t xml:space="preserve">, </w:t>
      </w:r>
      <w:proofErr w:type="spellStart"/>
      <w:r w:rsidRPr="00584504">
        <w:rPr>
          <w:rFonts w:ascii="Verdana" w:hAnsi="Verdana"/>
          <w:sz w:val="20"/>
          <w:szCs w:val="20"/>
          <w:lang w:val="en"/>
        </w:rPr>
        <w:t>Dupnitsa</w:t>
      </w:r>
      <w:proofErr w:type="spellEnd"/>
      <w:r w:rsidRPr="00584504">
        <w:rPr>
          <w:rFonts w:ascii="Verdana" w:hAnsi="Verdana"/>
          <w:sz w:val="20"/>
          <w:szCs w:val="20"/>
          <w:lang w:val="en"/>
        </w:rPr>
        <w:t xml:space="preserve">, Blagoevgrad, Sandanski, Petrich, Vratsa, Montana, Sofia, Gabrovo. The wider effect contributes to improved transport accessibility and connectivity in the country and the EU of 15 out of 28 districts: Sliven, Yambol, </w:t>
      </w:r>
      <w:proofErr w:type="spellStart"/>
      <w:r w:rsidRPr="00584504">
        <w:rPr>
          <w:rFonts w:ascii="Verdana" w:hAnsi="Verdana"/>
          <w:sz w:val="20"/>
          <w:szCs w:val="20"/>
          <w:lang w:val="en"/>
        </w:rPr>
        <w:t>Burgas</w:t>
      </w:r>
      <w:proofErr w:type="spellEnd"/>
      <w:r w:rsidRPr="00584504">
        <w:rPr>
          <w:rFonts w:ascii="Verdana" w:hAnsi="Verdana"/>
          <w:sz w:val="20"/>
          <w:szCs w:val="20"/>
          <w:lang w:val="en"/>
        </w:rPr>
        <w:t xml:space="preserve">, Plovdiv, </w:t>
      </w:r>
      <w:proofErr w:type="spellStart"/>
      <w:r w:rsidRPr="00584504">
        <w:rPr>
          <w:rFonts w:ascii="Verdana" w:hAnsi="Verdana"/>
          <w:sz w:val="20"/>
          <w:szCs w:val="20"/>
          <w:lang w:val="en"/>
        </w:rPr>
        <w:t>Stara</w:t>
      </w:r>
      <w:proofErr w:type="spellEnd"/>
      <w:r w:rsidRPr="00584504">
        <w:rPr>
          <w:rFonts w:ascii="Verdana" w:hAnsi="Verdana"/>
          <w:sz w:val="20"/>
          <w:szCs w:val="20"/>
          <w:lang w:val="en"/>
        </w:rPr>
        <w:t xml:space="preserve"> Zagora, </w:t>
      </w:r>
      <w:proofErr w:type="spellStart"/>
      <w:r w:rsidRPr="00584504">
        <w:rPr>
          <w:rFonts w:ascii="Verdana" w:hAnsi="Verdana"/>
          <w:sz w:val="20"/>
          <w:szCs w:val="20"/>
          <w:lang w:val="en"/>
        </w:rPr>
        <w:t>Haskovo</w:t>
      </w:r>
      <w:proofErr w:type="spellEnd"/>
      <w:r w:rsidRPr="00584504">
        <w:rPr>
          <w:rFonts w:ascii="Verdana" w:hAnsi="Verdana"/>
          <w:sz w:val="20"/>
          <w:szCs w:val="20"/>
          <w:lang w:val="en"/>
        </w:rPr>
        <w:t xml:space="preserve">, Sofia city, </w:t>
      </w:r>
      <w:proofErr w:type="spellStart"/>
      <w:r w:rsidRPr="00584504">
        <w:rPr>
          <w:rFonts w:ascii="Verdana" w:hAnsi="Verdana"/>
          <w:sz w:val="20"/>
          <w:szCs w:val="20"/>
          <w:lang w:val="en"/>
        </w:rPr>
        <w:t>Kardzhali</w:t>
      </w:r>
      <w:proofErr w:type="spellEnd"/>
      <w:r w:rsidRPr="00584504">
        <w:rPr>
          <w:rFonts w:ascii="Verdana" w:hAnsi="Verdana"/>
          <w:sz w:val="20"/>
          <w:szCs w:val="20"/>
          <w:lang w:val="en"/>
        </w:rPr>
        <w:t xml:space="preserve">, Pernik, </w:t>
      </w:r>
      <w:proofErr w:type="spellStart"/>
      <w:r w:rsidRPr="00584504">
        <w:rPr>
          <w:rFonts w:ascii="Verdana" w:hAnsi="Verdana"/>
          <w:sz w:val="20"/>
          <w:szCs w:val="20"/>
          <w:lang w:val="en"/>
        </w:rPr>
        <w:t>Kyustendil</w:t>
      </w:r>
      <w:proofErr w:type="spellEnd"/>
      <w:r w:rsidRPr="00584504">
        <w:rPr>
          <w:rFonts w:ascii="Verdana" w:hAnsi="Verdana"/>
          <w:sz w:val="20"/>
          <w:szCs w:val="20"/>
          <w:lang w:val="en"/>
        </w:rPr>
        <w:t xml:space="preserve">, Blagoevgrad, Gabrovo, Montana, Vratsa, incl. Vidin. </w:t>
      </w:r>
      <w:r w:rsidRPr="00C0368C">
        <w:rPr>
          <w:rFonts w:ascii="Verdana" w:hAnsi="Verdana"/>
          <w:sz w:val="20"/>
          <w:szCs w:val="20"/>
          <w:lang w:val="en" w:eastAsia="en-GB"/>
        </w:rPr>
        <w:t>As a result of the operational programme, the share of the population benefiting from the implementation of transport projects is 44% in terms of a direct territorial scope within the municipalities, and 66% in terms of a wider regional scope in the districts.</w:t>
      </w:r>
    </w:p>
    <w:p w14:paraId="247413C3" w14:textId="77777777" w:rsidR="00460D5B" w:rsidRPr="00E93D10" w:rsidRDefault="00460D5B" w:rsidP="00460D5B">
      <w:pPr>
        <w:jc w:val="both"/>
        <w:rPr>
          <w:rFonts w:ascii="Verdana" w:hAnsi="Verdana"/>
          <w:sz w:val="20"/>
          <w:szCs w:val="20"/>
          <w:lang w:val="en-US" w:eastAsia="en-GB"/>
        </w:rPr>
      </w:pPr>
      <w:r w:rsidRPr="00E93D10">
        <w:rPr>
          <w:rFonts w:ascii="Verdana" w:hAnsi="Verdana"/>
          <w:sz w:val="20"/>
          <w:szCs w:val="20"/>
          <w:lang w:val="en-US" w:eastAsia="en-GB"/>
        </w:rPr>
        <w:lastRenderedPageBreak/>
        <w:t xml:space="preserve">Territorial distribution of EU aid in the country is decided in favor of the main investments, which are concentrated in the Trans-European transport network. The key assistance turned out to be mainly in the construction of high-class road infrastructure, followed by the railway. The largest inflow of funds was recorded in Southern Bulgaria. Little support was given to Northern Bulgaria, through the realized </w:t>
      </w:r>
      <w:r>
        <w:rPr>
          <w:rFonts w:ascii="Verdana" w:hAnsi="Verdana"/>
          <w:sz w:val="20"/>
          <w:szCs w:val="20"/>
          <w:lang w:val="en-US" w:eastAsia="en-GB"/>
        </w:rPr>
        <w:t>bypass roads</w:t>
      </w:r>
      <w:r w:rsidRPr="00E93D10">
        <w:rPr>
          <w:rFonts w:ascii="Verdana" w:hAnsi="Verdana"/>
          <w:sz w:val="20"/>
          <w:szCs w:val="20"/>
          <w:lang w:val="en-US" w:eastAsia="en-GB"/>
        </w:rPr>
        <w:t xml:space="preserve"> of Vratsa, Montana and Gabrovo.</w:t>
      </w:r>
    </w:p>
    <w:p w14:paraId="1426D8B7" w14:textId="77777777" w:rsidR="00460D5B" w:rsidRPr="00CA3CC5" w:rsidRDefault="00460D5B" w:rsidP="00460D5B">
      <w:pPr>
        <w:jc w:val="both"/>
        <w:rPr>
          <w:rFonts w:ascii="Verdana" w:hAnsi="Verdana"/>
          <w:sz w:val="20"/>
          <w:szCs w:val="20"/>
          <w:lang w:val="en-US" w:eastAsia="en-GB"/>
        </w:rPr>
      </w:pPr>
      <w:r w:rsidRPr="00CA3CC5">
        <w:rPr>
          <w:rFonts w:ascii="Verdana" w:hAnsi="Verdana"/>
          <w:sz w:val="20"/>
          <w:szCs w:val="20"/>
          <w:lang w:val="en-US" w:eastAsia="en-GB"/>
        </w:rPr>
        <w:t>The location of the projects is on territories with the highest concentration of population in the country. This underlines the positive effect of the operational program</w:t>
      </w:r>
      <w:r>
        <w:rPr>
          <w:rFonts w:ascii="Verdana" w:hAnsi="Verdana"/>
          <w:sz w:val="20"/>
          <w:szCs w:val="20"/>
          <w:lang w:val="en-US" w:eastAsia="en-GB"/>
        </w:rPr>
        <w:t>me results</w:t>
      </w:r>
      <w:r w:rsidRPr="00CA3CC5">
        <w:rPr>
          <w:rFonts w:ascii="Verdana" w:hAnsi="Verdana"/>
          <w:sz w:val="20"/>
          <w:szCs w:val="20"/>
          <w:lang w:val="en-US" w:eastAsia="en-GB"/>
        </w:rPr>
        <w:t>, as it provides appropriate transport solutions for the needs of a significant part of the population and its economic activity.</w:t>
      </w:r>
    </w:p>
    <w:p w14:paraId="315492CA" w14:textId="77777777" w:rsidR="00460D5B" w:rsidRPr="00584504" w:rsidRDefault="00460D5B" w:rsidP="00460D5B">
      <w:pPr>
        <w:spacing w:after="240"/>
        <w:jc w:val="both"/>
        <w:rPr>
          <w:rFonts w:ascii="Verdana" w:hAnsi="Verdana"/>
          <w:sz w:val="20"/>
          <w:szCs w:val="20"/>
          <w:lang w:val="bg-BG"/>
        </w:rPr>
      </w:pPr>
    </w:p>
    <w:p w14:paraId="14900C9A" w14:textId="77777777" w:rsidR="00460D5B" w:rsidRDefault="00460D5B" w:rsidP="00460D5B">
      <w:pPr>
        <w:spacing w:after="240"/>
        <w:jc w:val="both"/>
        <w:rPr>
          <w:rFonts w:ascii="Verdana" w:hAnsi="Verdana"/>
          <w:i/>
          <w:iCs/>
          <w:color w:val="374E81"/>
          <w:sz w:val="20"/>
          <w:szCs w:val="20"/>
          <w:lang w:val="en"/>
        </w:rPr>
      </w:pPr>
      <w:bookmarkStart w:id="93" w:name="_Ref55557233"/>
    </w:p>
    <w:p w14:paraId="21AFA459" w14:textId="6AEE4771" w:rsidR="00134718" w:rsidRPr="00134718" w:rsidRDefault="00134718" w:rsidP="00134718">
      <w:pPr>
        <w:pStyle w:val="Caption"/>
        <w:keepNext/>
        <w:jc w:val="both"/>
        <w:rPr>
          <w:rFonts w:ascii="Verdana" w:hAnsi="Verdana"/>
          <w:sz w:val="20"/>
          <w:szCs w:val="20"/>
        </w:rPr>
      </w:pPr>
      <w:bookmarkStart w:id="94" w:name="_Toc62724856"/>
      <w:bookmarkEnd w:id="93"/>
      <w:r w:rsidRPr="00134718">
        <w:rPr>
          <w:rFonts w:ascii="Verdana" w:hAnsi="Verdana"/>
          <w:sz w:val="20"/>
          <w:szCs w:val="20"/>
        </w:rPr>
        <w:t xml:space="preserve">Figure </w:t>
      </w:r>
      <w:r>
        <w:rPr>
          <w:rFonts w:ascii="Verdana" w:hAnsi="Verdana"/>
          <w:sz w:val="20"/>
          <w:szCs w:val="20"/>
        </w:rPr>
        <w:fldChar w:fldCharType="begin"/>
      </w:r>
      <w:r>
        <w:rPr>
          <w:rFonts w:ascii="Verdana" w:hAnsi="Verdana"/>
          <w:sz w:val="20"/>
          <w:szCs w:val="20"/>
        </w:rPr>
        <w:instrText xml:space="preserve"> STYLEREF 1 \s </w:instrText>
      </w:r>
      <w:r>
        <w:rPr>
          <w:rFonts w:ascii="Verdana" w:hAnsi="Verdana"/>
          <w:sz w:val="20"/>
          <w:szCs w:val="20"/>
        </w:rPr>
        <w:fldChar w:fldCharType="separate"/>
      </w:r>
      <w:r>
        <w:rPr>
          <w:rFonts w:ascii="Verdana" w:hAnsi="Verdana"/>
          <w:noProof/>
          <w:sz w:val="20"/>
          <w:szCs w:val="20"/>
        </w:rPr>
        <w:t>IV.5</w:t>
      </w:r>
      <w:r>
        <w:rPr>
          <w:rFonts w:ascii="Verdana" w:hAnsi="Verdana"/>
          <w:sz w:val="20"/>
          <w:szCs w:val="20"/>
        </w:rPr>
        <w:fldChar w:fldCharType="end"/>
      </w:r>
      <w:r>
        <w:rPr>
          <w:rFonts w:ascii="Verdana" w:hAnsi="Verdana"/>
          <w:sz w:val="20"/>
          <w:szCs w:val="20"/>
        </w:rPr>
        <w:noBreakHyphen/>
      </w:r>
      <w:r>
        <w:rPr>
          <w:rFonts w:ascii="Verdana" w:hAnsi="Verdana"/>
          <w:sz w:val="20"/>
          <w:szCs w:val="20"/>
        </w:rPr>
        <w:fldChar w:fldCharType="begin"/>
      </w:r>
      <w:r>
        <w:rPr>
          <w:rFonts w:ascii="Verdana" w:hAnsi="Verdana"/>
          <w:sz w:val="20"/>
          <w:szCs w:val="20"/>
        </w:rPr>
        <w:instrText xml:space="preserve"> SEQ Figure \* ARABIC \s 1 </w:instrText>
      </w:r>
      <w:r>
        <w:rPr>
          <w:rFonts w:ascii="Verdana" w:hAnsi="Verdana"/>
          <w:sz w:val="20"/>
          <w:szCs w:val="20"/>
        </w:rPr>
        <w:fldChar w:fldCharType="separate"/>
      </w:r>
      <w:r>
        <w:rPr>
          <w:rFonts w:ascii="Verdana" w:hAnsi="Verdana"/>
          <w:noProof/>
          <w:sz w:val="20"/>
          <w:szCs w:val="20"/>
        </w:rPr>
        <w:t>1</w:t>
      </w:r>
      <w:r>
        <w:rPr>
          <w:rFonts w:ascii="Verdana" w:hAnsi="Verdana"/>
          <w:sz w:val="20"/>
          <w:szCs w:val="20"/>
        </w:rPr>
        <w:fldChar w:fldCharType="end"/>
      </w:r>
      <w:r w:rsidRPr="00134718">
        <w:rPr>
          <w:rFonts w:ascii="Verdana" w:hAnsi="Verdana"/>
          <w:sz w:val="20"/>
          <w:szCs w:val="20"/>
        </w:rPr>
        <w:t xml:space="preserve"> Projects implemented under OPT 2007-2013 and territorial concentration of population in the country</w:t>
      </w:r>
      <w:bookmarkEnd w:id="94"/>
    </w:p>
    <w:p w14:paraId="3AE8FD65" w14:textId="23C6F5BE" w:rsidR="00460D5B" w:rsidRPr="00CA3CC5" w:rsidRDefault="00460D5B" w:rsidP="00460D5B">
      <w:pPr>
        <w:spacing w:after="0" w:line="240" w:lineRule="auto"/>
        <w:jc w:val="both"/>
        <w:rPr>
          <w:rFonts w:ascii="Verdana" w:hAnsi="Verdana"/>
          <w:sz w:val="20"/>
          <w:szCs w:val="20"/>
          <w:lang w:val="en-US"/>
        </w:rPr>
      </w:pPr>
      <w:r w:rsidRPr="00D420BD">
        <w:rPr>
          <w:noProof/>
          <w:lang w:val="bg-BG" w:eastAsia="bg-BG"/>
        </w:rPr>
        <w:drawing>
          <wp:inline distT="0" distB="0" distL="0" distR="0" wp14:anchorId="41C8A73D" wp14:editId="124CB4F6">
            <wp:extent cx="5753100" cy="4076700"/>
            <wp:effectExtent l="0" t="0" r="0" b="0"/>
            <wp:docPr id="24" name="Picture 24" descr="2 Map07_01_UnlinkedLegend_EN_s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2 Map07_01_UnlinkedLegend_EN_sm"/>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753100" cy="4076700"/>
                    </a:xfrm>
                    <a:prstGeom prst="rect">
                      <a:avLst/>
                    </a:prstGeom>
                    <a:noFill/>
                    <a:ln>
                      <a:noFill/>
                    </a:ln>
                  </pic:spPr>
                </pic:pic>
              </a:graphicData>
            </a:graphic>
          </wp:inline>
        </w:drawing>
      </w:r>
    </w:p>
    <w:p w14:paraId="174DE456" w14:textId="77777777" w:rsidR="00460D5B" w:rsidRPr="00584504" w:rsidRDefault="00460D5B" w:rsidP="00460D5B">
      <w:pPr>
        <w:rPr>
          <w:rFonts w:ascii="Verdana" w:hAnsi="Verdana"/>
          <w:i/>
          <w:iCs/>
          <w:sz w:val="20"/>
          <w:szCs w:val="20"/>
          <w:lang w:val="bg-BG"/>
        </w:rPr>
      </w:pPr>
      <w:r w:rsidRPr="00584504">
        <w:rPr>
          <w:rFonts w:ascii="Verdana" w:hAnsi="Verdana"/>
          <w:i/>
          <w:iCs/>
          <w:sz w:val="20"/>
          <w:szCs w:val="20"/>
          <w:lang w:val="en"/>
        </w:rPr>
        <w:t>Source: NSI, OPT GIS 2007-2013</w:t>
      </w:r>
    </w:p>
    <w:p w14:paraId="223D6626" w14:textId="77777777" w:rsidR="00460D5B" w:rsidRPr="002F3E70" w:rsidRDefault="00460D5B" w:rsidP="00460D5B">
      <w:pPr>
        <w:jc w:val="both"/>
        <w:rPr>
          <w:rFonts w:ascii="Verdana" w:hAnsi="Verdana"/>
          <w:sz w:val="20"/>
          <w:szCs w:val="20"/>
          <w:lang w:val="en-US" w:eastAsia="en-GB"/>
        </w:rPr>
      </w:pPr>
      <w:r w:rsidRPr="002F3E70">
        <w:rPr>
          <w:rFonts w:ascii="Verdana" w:hAnsi="Verdana"/>
          <w:sz w:val="20"/>
          <w:szCs w:val="20"/>
          <w:lang w:val="en" w:eastAsia="en-GB"/>
        </w:rPr>
        <w:t>The positive contribution of the program</w:t>
      </w:r>
      <w:r>
        <w:rPr>
          <w:rFonts w:ascii="Verdana" w:hAnsi="Verdana"/>
          <w:sz w:val="20"/>
          <w:szCs w:val="20"/>
          <w:lang w:val="en" w:eastAsia="en-GB"/>
        </w:rPr>
        <w:t>me</w:t>
      </w:r>
      <w:r w:rsidRPr="002F3E70">
        <w:rPr>
          <w:rFonts w:ascii="Verdana" w:hAnsi="Verdana"/>
          <w:sz w:val="20"/>
          <w:szCs w:val="20"/>
          <w:lang w:val="en" w:eastAsia="en-GB"/>
        </w:rPr>
        <w:t xml:space="preserve"> for the economic effect in the municipalities</w:t>
      </w:r>
      <w:r>
        <w:rPr>
          <w:rFonts w:ascii="Verdana" w:hAnsi="Verdana"/>
          <w:sz w:val="20"/>
          <w:szCs w:val="20"/>
          <w:lang w:val="en" w:eastAsia="en-GB"/>
        </w:rPr>
        <w:t xml:space="preserve"> </w:t>
      </w:r>
      <w:r>
        <w:rPr>
          <w:rFonts w:ascii="Verdana" w:hAnsi="Verdana"/>
          <w:sz w:val="20"/>
          <w:szCs w:val="20"/>
          <w:lang w:val="bg-BG" w:eastAsia="en-GB"/>
        </w:rPr>
        <w:t>(</w:t>
      </w:r>
      <w:r>
        <w:rPr>
          <w:rFonts w:ascii="Verdana" w:hAnsi="Verdana"/>
          <w:sz w:val="20"/>
          <w:szCs w:val="20"/>
          <w:lang w:val="en-US" w:eastAsia="en-GB"/>
        </w:rPr>
        <w:t>LAU1</w:t>
      </w:r>
      <w:r>
        <w:rPr>
          <w:rFonts w:ascii="Verdana" w:hAnsi="Verdana"/>
          <w:sz w:val="20"/>
          <w:szCs w:val="20"/>
          <w:lang w:val="bg-BG" w:eastAsia="en-GB"/>
        </w:rPr>
        <w:t xml:space="preserve">) </w:t>
      </w:r>
      <w:r w:rsidRPr="002F3E70">
        <w:rPr>
          <w:rFonts w:ascii="Verdana" w:hAnsi="Verdana"/>
          <w:sz w:val="20"/>
          <w:szCs w:val="20"/>
          <w:lang w:val="en" w:eastAsia="en-GB"/>
        </w:rPr>
        <w:t xml:space="preserve">and the districts </w:t>
      </w:r>
      <w:r>
        <w:rPr>
          <w:rFonts w:ascii="Verdana" w:hAnsi="Verdana"/>
          <w:sz w:val="20"/>
          <w:szCs w:val="20"/>
          <w:lang w:val="bg-BG" w:eastAsia="en-GB"/>
        </w:rPr>
        <w:t>(</w:t>
      </w:r>
      <w:r>
        <w:rPr>
          <w:rFonts w:ascii="Verdana" w:hAnsi="Verdana"/>
          <w:sz w:val="20"/>
          <w:szCs w:val="20"/>
          <w:lang w:val="en-US" w:eastAsia="en-GB"/>
        </w:rPr>
        <w:t>NUTS 3</w:t>
      </w:r>
      <w:r>
        <w:rPr>
          <w:rFonts w:ascii="Verdana" w:hAnsi="Verdana"/>
          <w:sz w:val="20"/>
          <w:szCs w:val="20"/>
          <w:lang w:val="bg-BG" w:eastAsia="en-GB"/>
        </w:rPr>
        <w:t xml:space="preserve">) </w:t>
      </w:r>
      <w:r w:rsidRPr="002F3E70">
        <w:rPr>
          <w:rFonts w:ascii="Verdana" w:hAnsi="Verdana"/>
          <w:sz w:val="20"/>
          <w:szCs w:val="20"/>
          <w:lang w:val="en" w:eastAsia="en-GB"/>
        </w:rPr>
        <w:t>through which the implemented projects pass is determined by:</w:t>
      </w:r>
    </w:p>
    <w:p w14:paraId="28848E68" w14:textId="36809BFC" w:rsidR="00460D5B" w:rsidRPr="00835E75" w:rsidRDefault="00134718" w:rsidP="00460D5B">
      <w:pPr>
        <w:numPr>
          <w:ilvl w:val="0"/>
          <w:numId w:val="57"/>
        </w:numPr>
        <w:jc w:val="both"/>
        <w:rPr>
          <w:rFonts w:ascii="Verdana" w:hAnsi="Verdana"/>
          <w:sz w:val="20"/>
          <w:szCs w:val="20"/>
          <w:lang w:val="en-US" w:eastAsia="en-GB"/>
        </w:rPr>
      </w:pPr>
      <w:r>
        <w:rPr>
          <w:rFonts w:ascii="Verdana" w:hAnsi="Verdana"/>
          <w:sz w:val="20"/>
          <w:szCs w:val="20"/>
          <w:lang w:val="en-US" w:eastAsia="en-GB"/>
        </w:rPr>
        <w:t>T</w:t>
      </w:r>
      <w:r w:rsidR="00460D5B" w:rsidRPr="00835E75">
        <w:rPr>
          <w:rFonts w:ascii="Verdana" w:hAnsi="Verdana"/>
          <w:sz w:val="20"/>
          <w:szCs w:val="20"/>
          <w:lang w:val="en-US" w:eastAsia="en-GB"/>
        </w:rPr>
        <w:t>he increased dynamics of production output in the "</w:t>
      </w:r>
      <w:r w:rsidR="00460D5B" w:rsidRPr="009D758D">
        <w:rPr>
          <w:rFonts w:ascii="Verdana" w:hAnsi="Verdana"/>
          <w:sz w:val="20"/>
          <w:szCs w:val="20"/>
          <w:lang w:val="en-US" w:eastAsia="en-GB"/>
        </w:rPr>
        <w:t>Transportation and storage" sector in those areas for the period 2008-2018 (162.3% vs. 160.5% average for</w:t>
      </w:r>
      <w:r w:rsidR="00460D5B" w:rsidRPr="00835E75">
        <w:rPr>
          <w:rFonts w:ascii="Verdana" w:hAnsi="Verdana"/>
          <w:sz w:val="20"/>
          <w:szCs w:val="20"/>
          <w:lang w:val="en-US" w:eastAsia="en-GB"/>
        </w:rPr>
        <w:t xml:space="preserve"> the country).</w:t>
      </w:r>
    </w:p>
    <w:p w14:paraId="0057F404" w14:textId="6AB55614" w:rsidR="00460D5B" w:rsidRDefault="00460D5B" w:rsidP="00460D5B">
      <w:pPr>
        <w:numPr>
          <w:ilvl w:val="0"/>
          <w:numId w:val="57"/>
        </w:numPr>
        <w:jc w:val="both"/>
        <w:rPr>
          <w:rFonts w:ascii="Verdana" w:hAnsi="Verdana"/>
          <w:sz w:val="20"/>
          <w:szCs w:val="20"/>
          <w:lang w:val="en-US" w:eastAsia="en-GB"/>
        </w:rPr>
      </w:pPr>
      <w:r w:rsidRPr="00835E75">
        <w:rPr>
          <w:rFonts w:ascii="Verdana" w:hAnsi="Verdana"/>
          <w:sz w:val="20"/>
          <w:szCs w:val="20"/>
          <w:lang w:val="en-US" w:eastAsia="en-GB"/>
        </w:rPr>
        <w:lastRenderedPageBreak/>
        <w:t>The scope of municipalities with improved transport services includes the municipalities that have the highest contribution in terms of production output in the sector "</w:t>
      </w:r>
      <w:r w:rsidRPr="00BF5375">
        <w:rPr>
          <w:rFonts w:ascii="Verdana" w:hAnsi="Verdana"/>
          <w:sz w:val="20"/>
          <w:szCs w:val="20"/>
          <w:lang w:val="en-US" w:eastAsia="en-GB"/>
        </w:rPr>
        <w:t>Transportation and storage" (</w:t>
      </w:r>
      <w:r w:rsidR="00056933">
        <w:rPr>
          <w:rFonts w:ascii="Verdana" w:hAnsi="Verdana"/>
          <w:sz w:val="20"/>
          <w:szCs w:val="20"/>
          <w:lang w:val="en-US" w:eastAsia="en-GB"/>
        </w:rPr>
        <w:fldChar w:fldCharType="begin"/>
      </w:r>
      <w:r w:rsidR="00056933">
        <w:rPr>
          <w:rFonts w:ascii="Verdana" w:hAnsi="Verdana"/>
          <w:sz w:val="20"/>
          <w:szCs w:val="20"/>
          <w:lang w:val="en-US" w:eastAsia="en-GB"/>
        </w:rPr>
        <w:instrText xml:space="preserve"> REF _Ref62725516 \h </w:instrText>
      </w:r>
      <w:r w:rsidR="00056933">
        <w:rPr>
          <w:rFonts w:ascii="Verdana" w:hAnsi="Verdana"/>
          <w:sz w:val="20"/>
          <w:szCs w:val="20"/>
          <w:lang w:val="en-US" w:eastAsia="en-GB"/>
        </w:rPr>
      </w:r>
      <w:r w:rsidR="00056933">
        <w:rPr>
          <w:rFonts w:ascii="Verdana" w:hAnsi="Verdana"/>
          <w:sz w:val="20"/>
          <w:szCs w:val="20"/>
          <w:lang w:val="en-US" w:eastAsia="en-GB"/>
        </w:rPr>
        <w:fldChar w:fldCharType="separate"/>
      </w:r>
      <w:r w:rsidR="00056933" w:rsidRPr="00134718">
        <w:rPr>
          <w:rFonts w:ascii="Verdana" w:hAnsi="Verdana"/>
          <w:sz w:val="20"/>
          <w:szCs w:val="20"/>
        </w:rPr>
        <w:t xml:space="preserve">Figure </w:t>
      </w:r>
      <w:r w:rsidR="00056933">
        <w:rPr>
          <w:rFonts w:ascii="Verdana" w:hAnsi="Verdana"/>
          <w:noProof/>
          <w:sz w:val="20"/>
          <w:szCs w:val="20"/>
        </w:rPr>
        <w:t>IV.5</w:t>
      </w:r>
      <w:r w:rsidR="00056933">
        <w:rPr>
          <w:rFonts w:ascii="Verdana" w:hAnsi="Verdana"/>
          <w:sz w:val="20"/>
          <w:szCs w:val="20"/>
        </w:rPr>
        <w:noBreakHyphen/>
      </w:r>
      <w:r w:rsidR="00056933">
        <w:rPr>
          <w:rFonts w:ascii="Verdana" w:hAnsi="Verdana"/>
          <w:noProof/>
          <w:sz w:val="20"/>
          <w:szCs w:val="20"/>
        </w:rPr>
        <w:t>2</w:t>
      </w:r>
      <w:r w:rsidR="00056933">
        <w:rPr>
          <w:rFonts w:ascii="Verdana" w:hAnsi="Verdana"/>
          <w:sz w:val="20"/>
          <w:szCs w:val="20"/>
          <w:lang w:val="en-US" w:eastAsia="en-GB"/>
        </w:rPr>
        <w:fldChar w:fldCharType="end"/>
      </w:r>
      <w:r w:rsidRPr="00835E75">
        <w:rPr>
          <w:rFonts w:ascii="Verdana" w:hAnsi="Verdana"/>
          <w:sz w:val="20"/>
          <w:szCs w:val="20"/>
          <w:lang w:val="en-US" w:eastAsia="en-GB"/>
        </w:rPr>
        <w:t xml:space="preserve">) and the total volume of output production </w:t>
      </w:r>
      <w:r>
        <w:rPr>
          <w:rFonts w:ascii="Verdana" w:hAnsi="Verdana"/>
          <w:sz w:val="20"/>
          <w:szCs w:val="20"/>
          <w:lang w:val="en-US" w:eastAsia="en-GB"/>
        </w:rPr>
        <w:t>of</w:t>
      </w:r>
      <w:r w:rsidRPr="00835E75">
        <w:rPr>
          <w:rFonts w:ascii="Verdana" w:hAnsi="Verdana"/>
          <w:sz w:val="20"/>
          <w:szCs w:val="20"/>
          <w:lang w:val="en-US" w:eastAsia="en-GB"/>
        </w:rPr>
        <w:t xml:space="preserve"> the </w:t>
      </w:r>
      <w:r w:rsidRPr="00056933">
        <w:rPr>
          <w:rFonts w:ascii="Verdana" w:hAnsi="Verdana"/>
          <w:sz w:val="20"/>
          <w:szCs w:val="20"/>
          <w:lang w:val="en-US" w:eastAsia="en-GB"/>
        </w:rPr>
        <w:t>country (</w:t>
      </w:r>
      <w:r w:rsidR="00056933" w:rsidRPr="00056933">
        <w:rPr>
          <w:rFonts w:ascii="Verdana" w:hAnsi="Verdana"/>
          <w:sz w:val="20"/>
          <w:szCs w:val="20"/>
          <w:lang w:val="en-US" w:eastAsia="en-GB"/>
        </w:rPr>
        <w:fldChar w:fldCharType="begin"/>
      </w:r>
      <w:r w:rsidR="00056933" w:rsidRPr="00056933">
        <w:rPr>
          <w:rFonts w:ascii="Verdana" w:hAnsi="Verdana"/>
          <w:sz w:val="20"/>
          <w:szCs w:val="20"/>
          <w:lang w:val="en-US" w:eastAsia="en-GB"/>
        </w:rPr>
        <w:instrText xml:space="preserve"> REF _Ref62725528 \h  \* MERGEFORMAT </w:instrText>
      </w:r>
      <w:r w:rsidR="00056933" w:rsidRPr="00056933">
        <w:rPr>
          <w:rFonts w:ascii="Verdana" w:hAnsi="Verdana"/>
          <w:sz w:val="20"/>
          <w:szCs w:val="20"/>
          <w:lang w:val="en-US" w:eastAsia="en-GB"/>
        </w:rPr>
      </w:r>
      <w:r w:rsidR="00056933" w:rsidRPr="00056933">
        <w:rPr>
          <w:rFonts w:ascii="Verdana" w:hAnsi="Verdana"/>
          <w:sz w:val="20"/>
          <w:szCs w:val="20"/>
          <w:lang w:val="en-US" w:eastAsia="en-GB"/>
        </w:rPr>
        <w:fldChar w:fldCharType="separate"/>
      </w:r>
      <w:r w:rsidR="00056933" w:rsidRPr="00056933">
        <w:rPr>
          <w:rFonts w:ascii="Verdana" w:hAnsi="Verdana"/>
          <w:sz w:val="20"/>
          <w:szCs w:val="20"/>
        </w:rPr>
        <w:t xml:space="preserve">Figure </w:t>
      </w:r>
      <w:r w:rsidR="00056933" w:rsidRPr="00056933">
        <w:rPr>
          <w:rFonts w:ascii="Verdana" w:hAnsi="Verdana"/>
          <w:noProof/>
          <w:sz w:val="20"/>
          <w:szCs w:val="20"/>
        </w:rPr>
        <w:t>IV.5</w:t>
      </w:r>
      <w:r w:rsidR="00056933" w:rsidRPr="00056933">
        <w:rPr>
          <w:rFonts w:ascii="Verdana" w:hAnsi="Verdana"/>
          <w:sz w:val="20"/>
          <w:szCs w:val="20"/>
        </w:rPr>
        <w:noBreakHyphen/>
      </w:r>
      <w:r w:rsidR="00056933" w:rsidRPr="00056933">
        <w:rPr>
          <w:rFonts w:ascii="Verdana" w:hAnsi="Verdana"/>
          <w:noProof/>
          <w:sz w:val="20"/>
          <w:szCs w:val="20"/>
        </w:rPr>
        <w:t>3</w:t>
      </w:r>
      <w:r w:rsidR="00056933" w:rsidRPr="00056933">
        <w:rPr>
          <w:rFonts w:ascii="Verdana" w:hAnsi="Verdana"/>
          <w:sz w:val="20"/>
          <w:szCs w:val="20"/>
          <w:lang w:val="en-US" w:eastAsia="en-GB"/>
        </w:rPr>
        <w:fldChar w:fldCharType="end"/>
      </w:r>
      <w:r w:rsidRPr="00056933">
        <w:rPr>
          <w:rFonts w:ascii="Verdana" w:hAnsi="Verdana"/>
          <w:sz w:val="20"/>
          <w:szCs w:val="20"/>
          <w:lang w:val="en-US" w:eastAsia="en-GB"/>
        </w:rPr>
        <w:t xml:space="preserve">). </w:t>
      </w:r>
    </w:p>
    <w:p w14:paraId="4938F4D3" w14:textId="77777777" w:rsidR="00460D5B" w:rsidRPr="00835E75" w:rsidRDefault="00460D5B" w:rsidP="00460D5B">
      <w:pPr>
        <w:numPr>
          <w:ilvl w:val="0"/>
          <w:numId w:val="57"/>
        </w:numPr>
        <w:jc w:val="both"/>
        <w:rPr>
          <w:rFonts w:ascii="Verdana" w:hAnsi="Verdana"/>
          <w:sz w:val="20"/>
          <w:szCs w:val="20"/>
          <w:lang w:val="en-US" w:eastAsia="en-GB"/>
        </w:rPr>
      </w:pPr>
      <w:r w:rsidRPr="00835E75">
        <w:rPr>
          <w:rFonts w:ascii="Verdana" w:hAnsi="Verdana"/>
          <w:sz w:val="20"/>
          <w:szCs w:val="20"/>
          <w:lang w:val="en-US" w:eastAsia="en-GB"/>
        </w:rPr>
        <w:t>In addition to the sector's own contribution to production and employment, the increased capacity and modernization of transport infrastructure in these municipalities contributes to the overall development of the local and regional economy and increase their competitiveness.</w:t>
      </w:r>
    </w:p>
    <w:p w14:paraId="29152569" w14:textId="77777777" w:rsidR="00460D5B" w:rsidRDefault="00460D5B" w:rsidP="00460D5B">
      <w:pPr>
        <w:rPr>
          <w:rFonts w:ascii="Verdana" w:hAnsi="Verdana"/>
          <w:bCs/>
          <w:i/>
          <w:color w:val="374E81"/>
          <w:sz w:val="20"/>
          <w:szCs w:val="20"/>
          <w:lang w:val="en"/>
        </w:rPr>
      </w:pPr>
    </w:p>
    <w:p w14:paraId="2B48FE71" w14:textId="77777777" w:rsidR="00460D5B" w:rsidRDefault="00460D5B" w:rsidP="00460D5B">
      <w:pPr>
        <w:rPr>
          <w:rFonts w:ascii="Verdana" w:hAnsi="Verdana"/>
          <w:bCs/>
          <w:i/>
          <w:color w:val="374E81"/>
          <w:sz w:val="20"/>
          <w:szCs w:val="20"/>
          <w:lang w:val="en"/>
        </w:rPr>
      </w:pPr>
    </w:p>
    <w:p w14:paraId="3A5C96A5" w14:textId="31D9FCDB" w:rsidR="00134718" w:rsidRPr="00134718" w:rsidRDefault="00134718" w:rsidP="00134718">
      <w:pPr>
        <w:pStyle w:val="Caption"/>
        <w:keepNext/>
        <w:rPr>
          <w:rFonts w:ascii="Verdana" w:hAnsi="Verdana"/>
          <w:sz w:val="20"/>
          <w:szCs w:val="20"/>
        </w:rPr>
      </w:pPr>
      <w:bookmarkStart w:id="95" w:name="_Ref62725516"/>
      <w:bookmarkStart w:id="96" w:name="_Toc62724857"/>
      <w:r w:rsidRPr="00134718">
        <w:rPr>
          <w:rFonts w:ascii="Verdana" w:hAnsi="Verdana"/>
          <w:sz w:val="20"/>
          <w:szCs w:val="20"/>
        </w:rPr>
        <w:t xml:space="preserve">Figure </w:t>
      </w:r>
      <w:r>
        <w:rPr>
          <w:rFonts w:ascii="Verdana" w:hAnsi="Verdana"/>
          <w:sz w:val="20"/>
          <w:szCs w:val="20"/>
        </w:rPr>
        <w:fldChar w:fldCharType="begin"/>
      </w:r>
      <w:r>
        <w:rPr>
          <w:rFonts w:ascii="Verdana" w:hAnsi="Verdana"/>
          <w:sz w:val="20"/>
          <w:szCs w:val="20"/>
        </w:rPr>
        <w:instrText xml:space="preserve"> STYLEREF 1 \s </w:instrText>
      </w:r>
      <w:r>
        <w:rPr>
          <w:rFonts w:ascii="Verdana" w:hAnsi="Verdana"/>
          <w:sz w:val="20"/>
          <w:szCs w:val="20"/>
        </w:rPr>
        <w:fldChar w:fldCharType="separate"/>
      </w:r>
      <w:r>
        <w:rPr>
          <w:rFonts w:ascii="Verdana" w:hAnsi="Verdana"/>
          <w:noProof/>
          <w:sz w:val="20"/>
          <w:szCs w:val="20"/>
        </w:rPr>
        <w:t>IV.5</w:t>
      </w:r>
      <w:r>
        <w:rPr>
          <w:rFonts w:ascii="Verdana" w:hAnsi="Verdana"/>
          <w:sz w:val="20"/>
          <w:szCs w:val="20"/>
        </w:rPr>
        <w:fldChar w:fldCharType="end"/>
      </w:r>
      <w:r>
        <w:rPr>
          <w:rFonts w:ascii="Verdana" w:hAnsi="Verdana"/>
          <w:sz w:val="20"/>
          <w:szCs w:val="20"/>
        </w:rPr>
        <w:noBreakHyphen/>
      </w:r>
      <w:r>
        <w:rPr>
          <w:rFonts w:ascii="Verdana" w:hAnsi="Verdana"/>
          <w:sz w:val="20"/>
          <w:szCs w:val="20"/>
        </w:rPr>
        <w:fldChar w:fldCharType="begin"/>
      </w:r>
      <w:r>
        <w:rPr>
          <w:rFonts w:ascii="Verdana" w:hAnsi="Verdana"/>
          <w:sz w:val="20"/>
          <w:szCs w:val="20"/>
        </w:rPr>
        <w:instrText xml:space="preserve"> SEQ Figure \* ARABIC \s 1 </w:instrText>
      </w:r>
      <w:r>
        <w:rPr>
          <w:rFonts w:ascii="Verdana" w:hAnsi="Verdana"/>
          <w:sz w:val="20"/>
          <w:szCs w:val="20"/>
        </w:rPr>
        <w:fldChar w:fldCharType="separate"/>
      </w:r>
      <w:r>
        <w:rPr>
          <w:rFonts w:ascii="Verdana" w:hAnsi="Verdana"/>
          <w:noProof/>
          <w:sz w:val="20"/>
          <w:szCs w:val="20"/>
        </w:rPr>
        <w:t>2</w:t>
      </w:r>
      <w:r>
        <w:rPr>
          <w:rFonts w:ascii="Verdana" w:hAnsi="Verdana"/>
          <w:sz w:val="20"/>
          <w:szCs w:val="20"/>
        </w:rPr>
        <w:fldChar w:fldCharType="end"/>
      </w:r>
      <w:bookmarkEnd w:id="95"/>
      <w:r w:rsidRPr="00134718">
        <w:rPr>
          <w:rFonts w:ascii="Verdana" w:hAnsi="Verdana"/>
          <w:sz w:val="20"/>
          <w:szCs w:val="20"/>
        </w:rPr>
        <w:t xml:space="preserve"> : Implemented projects under OPT 2007 - 2013 and production output in transportation and storage sector by municipalities - % of the total for the country – 2018</w:t>
      </w:r>
      <w:bookmarkEnd w:id="96"/>
    </w:p>
    <w:p w14:paraId="42FBED33" w14:textId="6F32538B" w:rsidR="00460D5B" w:rsidRDefault="00B31D39" w:rsidP="00460D5B">
      <w:pPr>
        <w:rPr>
          <w:noProof/>
          <w:szCs w:val="20"/>
          <w:lang w:val="en-US"/>
        </w:rPr>
      </w:pPr>
      <w:r w:rsidRPr="002B1D0C">
        <w:rPr>
          <w:rFonts w:ascii="Verdana" w:hAnsi="Verdana"/>
          <w:noProof/>
          <w:sz w:val="20"/>
          <w:szCs w:val="20"/>
          <w:lang w:val="bg-BG" w:eastAsia="bg-BG"/>
        </w:rPr>
        <w:drawing>
          <wp:inline distT="0" distB="0" distL="0" distR="0" wp14:anchorId="78BBF075" wp14:editId="10D9806E">
            <wp:extent cx="5760720" cy="3682692"/>
            <wp:effectExtent l="0" t="0" r="0" b="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760720" cy="3682692"/>
                    </a:xfrm>
                    <a:prstGeom prst="rect">
                      <a:avLst/>
                    </a:prstGeom>
                    <a:noFill/>
                    <a:ln>
                      <a:noFill/>
                    </a:ln>
                  </pic:spPr>
                </pic:pic>
              </a:graphicData>
            </a:graphic>
          </wp:inline>
        </w:drawing>
      </w:r>
    </w:p>
    <w:p w14:paraId="55C78768" w14:textId="77777777" w:rsidR="00460D5B" w:rsidRPr="00134718" w:rsidRDefault="00460D5B" w:rsidP="00460D5B">
      <w:pPr>
        <w:rPr>
          <w:rFonts w:ascii="Verdana" w:hAnsi="Verdana"/>
          <w:i/>
          <w:iCs/>
          <w:sz w:val="16"/>
          <w:szCs w:val="16"/>
          <w:lang w:val="bg-BG"/>
        </w:rPr>
      </w:pPr>
      <w:r w:rsidRPr="00134718">
        <w:rPr>
          <w:rFonts w:ascii="Verdana" w:hAnsi="Verdana"/>
          <w:i/>
          <w:iCs/>
          <w:sz w:val="16"/>
          <w:szCs w:val="16"/>
          <w:lang w:val="en"/>
        </w:rPr>
        <w:t>Source: NSI, OPT GIS 2007-2013</w:t>
      </w:r>
    </w:p>
    <w:p w14:paraId="62A27E5D" w14:textId="77777777" w:rsidR="00460D5B" w:rsidRDefault="00460D5B" w:rsidP="00460D5B">
      <w:pPr>
        <w:tabs>
          <w:tab w:val="left" w:pos="1260"/>
        </w:tabs>
        <w:spacing w:after="0" w:line="240" w:lineRule="auto"/>
        <w:rPr>
          <w:rFonts w:ascii="Verdana" w:hAnsi="Verdana"/>
          <w:i/>
          <w:iCs/>
          <w:color w:val="374E81"/>
          <w:sz w:val="20"/>
          <w:szCs w:val="20"/>
          <w:lang w:val="en"/>
        </w:rPr>
      </w:pPr>
    </w:p>
    <w:p w14:paraId="62B084B5" w14:textId="0B7FC2A2" w:rsidR="00134718" w:rsidRPr="00134718" w:rsidRDefault="00460D5B" w:rsidP="00134718">
      <w:pPr>
        <w:tabs>
          <w:tab w:val="left" w:pos="1260"/>
        </w:tabs>
        <w:spacing w:after="0" w:line="240" w:lineRule="auto"/>
        <w:jc w:val="both"/>
        <w:rPr>
          <w:rFonts w:ascii="Verdana" w:hAnsi="Verdana"/>
          <w:i/>
          <w:iCs/>
          <w:sz w:val="20"/>
          <w:szCs w:val="20"/>
        </w:rPr>
      </w:pPr>
      <w:r>
        <w:rPr>
          <w:rFonts w:ascii="Verdana" w:hAnsi="Verdana"/>
          <w:i/>
          <w:iCs/>
          <w:color w:val="374E81"/>
          <w:sz w:val="20"/>
          <w:szCs w:val="20"/>
          <w:lang w:val="en"/>
        </w:rPr>
        <w:br w:type="page"/>
      </w:r>
      <w:r w:rsidRPr="00584504">
        <w:rPr>
          <w:rFonts w:ascii="Verdana" w:hAnsi="Verdana"/>
          <w:i/>
          <w:iCs/>
          <w:color w:val="374E81"/>
          <w:sz w:val="20"/>
          <w:szCs w:val="20"/>
          <w:lang w:val="en"/>
        </w:rPr>
        <w:lastRenderedPageBreak/>
        <w:t xml:space="preserve"> </w:t>
      </w:r>
      <w:bookmarkStart w:id="97" w:name="_Ref62725528"/>
      <w:bookmarkStart w:id="98" w:name="_Toc62724858"/>
      <w:r w:rsidR="00134718" w:rsidRPr="00134718">
        <w:rPr>
          <w:rFonts w:ascii="Verdana" w:hAnsi="Verdana"/>
          <w:i/>
          <w:iCs/>
          <w:color w:val="242852" w:themeColor="text2"/>
          <w:sz w:val="20"/>
          <w:szCs w:val="20"/>
        </w:rPr>
        <w:t xml:space="preserve">Figure </w:t>
      </w:r>
      <w:r w:rsidR="00134718" w:rsidRPr="00134718">
        <w:rPr>
          <w:rFonts w:ascii="Verdana" w:hAnsi="Verdana"/>
          <w:i/>
          <w:iCs/>
          <w:color w:val="242852" w:themeColor="text2"/>
          <w:sz w:val="20"/>
          <w:szCs w:val="20"/>
        </w:rPr>
        <w:fldChar w:fldCharType="begin"/>
      </w:r>
      <w:r w:rsidR="00134718" w:rsidRPr="00134718">
        <w:rPr>
          <w:rFonts w:ascii="Verdana" w:hAnsi="Verdana"/>
          <w:i/>
          <w:iCs/>
          <w:color w:val="242852" w:themeColor="text2"/>
          <w:sz w:val="20"/>
          <w:szCs w:val="20"/>
        </w:rPr>
        <w:instrText xml:space="preserve"> STYLEREF 1 \s </w:instrText>
      </w:r>
      <w:r w:rsidR="00134718" w:rsidRPr="00134718">
        <w:rPr>
          <w:rFonts w:ascii="Verdana" w:hAnsi="Verdana"/>
          <w:i/>
          <w:iCs/>
          <w:color w:val="242852" w:themeColor="text2"/>
          <w:sz w:val="20"/>
          <w:szCs w:val="20"/>
        </w:rPr>
        <w:fldChar w:fldCharType="separate"/>
      </w:r>
      <w:r w:rsidR="00134718" w:rsidRPr="00134718">
        <w:rPr>
          <w:rFonts w:ascii="Verdana" w:hAnsi="Verdana"/>
          <w:i/>
          <w:iCs/>
          <w:noProof/>
          <w:color w:val="242852" w:themeColor="text2"/>
          <w:sz w:val="20"/>
          <w:szCs w:val="20"/>
        </w:rPr>
        <w:t>IV.5</w:t>
      </w:r>
      <w:r w:rsidR="00134718" w:rsidRPr="00134718">
        <w:rPr>
          <w:rFonts w:ascii="Verdana" w:hAnsi="Verdana"/>
          <w:i/>
          <w:iCs/>
          <w:color w:val="242852" w:themeColor="text2"/>
          <w:sz w:val="20"/>
          <w:szCs w:val="20"/>
        </w:rPr>
        <w:fldChar w:fldCharType="end"/>
      </w:r>
      <w:r w:rsidR="00134718" w:rsidRPr="00134718">
        <w:rPr>
          <w:rFonts w:ascii="Verdana" w:hAnsi="Verdana"/>
          <w:i/>
          <w:iCs/>
          <w:color w:val="242852" w:themeColor="text2"/>
          <w:sz w:val="20"/>
          <w:szCs w:val="20"/>
        </w:rPr>
        <w:noBreakHyphen/>
      </w:r>
      <w:r w:rsidR="00134718" w:rsidRPr="00134718">
        <w:rPr>
          <w:rFonts w:ascii="Verdana" w:hAnsi="Verdana"/>
          <w:i/>
          <w:iCs/>
          <w:color w:val="242852" w:themeColor="text2"/>
          <w:sz w:val="20"/>
          <w:szCs w:val="20"/>
        </w:rPr>
        <w:fldChar w:fldCharType="begin"/>
      </w:r>
      <w:r w:rsidR="00134718" w:rsidRPr="00134718">
        <w:rPr>
          <w:rFonts w:ascii="Verdana" w:hAnsi="Verdana"/>
          <w:i/>
          <w:iCs/>
          <w:color w:val="242852" w:themeColor="text2"/>
          <w:sz w:val="20"/>
          <w:szCs w:val="20"/>
        </w:rPr>
        <w:instrText xml:space="preserve"> SEQ Figure \* ARABIC \s 1 </w:instrText>
      </w:r>
      <w:r w:rsidR="00134718" w:rsidRPr="00134718">
        <w:rPr>
          <w:rFonts w:ascii="Verdana" w:hAnsi="Verdana"/>
          <w:i/>
          <w:iCs/>
          <w:color w:val="242852" w:themeColor="text2"/>
          <w:sz w:val="20"/>
          <w:szCs w:val="20"/>
        </w:rPr>
        <w:fldChar w:fldCharType="separate"/>
      </w:r>
      <w:r w:rsidR="00134718" w:rsidRPr="00134718">
        <w:rPr>
          <w:rFonts w:ascii="Verdana" w:hAnsi="Verdana"/>
          <w:i/>
          <w:iCs/>
          <w:noProof/>
          <w:color w:val="242852" w:themeColor="text2"/>
          <w:sz w:val="20"/>
          <w:szCs w:val="20"/>
        </w:rPr>
        <w:t>3</w:t>
      </w:r>
      <w:r w:rsidR="00134718" w:rsidRPr="00134718">
        <w:rPr>
          <w:rFonts w:ascii="Verdana" w:hAnsi="Verdana"/>
          <w:i/>
          <w:iCs/>
          <w:color w:val="242852" w:themeColor="text2"/>
          <w:sz w:val="20"/>
          <w:szCs w:val="20"/>
        </w:rPr>
        <w:fldChar w:fldCharType="end"/>
      </w:r>
      <w:bookmarkEnd w:id="97"/>
      <w:r w:rsidR="00134718" w:rsidRPr="00134718">
        <w:rPr>
          <w:rFonts w:ascii="Verdana" w:hAnsi="Verdana"/>
          <w:i/>
          <w:iCs/>
          <w:color w:val="242852" w:themeColor="text2"/>
          <w:sz w:val="20"/>
          <w:szCs w:val="20"/>
        </w:rPr>
        <w:t xml:space="preserve"> Implemented projects under OPT 2007 - 2013 and % of increase in production output in nominal terms in transportation and storage sector by municipalities for the period 2008 - 2018</w:t>
      </w:r>
      <w:bookmarkEnd w:id="98"/>
    </w:p>
    <w:p w14:paraId="5D1A82D8" w14:textId="53FEAD72" w:rsidR="00460D5B" w:rsidRDefault="00B31D39" w:rsidP="00460D5B">
      <w:pPr>
        <w:rPr>
          <w:noProof/>
          <w:szCs w:val="20"/>
          <w:lang w:val="bg-BG" w:eastAsia="bg-BG"/>
        </w:rPr>
      </w:pPr>
      <w:r w:rsidRPr="006B1E8F">
        <w:rPr>
          <w:rFonts w:ascii="Verdana" w:hAnsi="Verdana"/>
          <w:noProof/>
          <w:color w:val="374E81"/>
          <w:sz w:val="20"/>
          <w:szCs w:val="20"/>
          <w:lang w:val="bg-BG" w:eastAsia="bg-BG"/>
        </w:rPr>
        <w:drawing>
          <wp:inline distT="0" distB="0" distL="0" distR="0" wp14:anchorId="6C50E027" wp14:editId="0B6C4CDF">
            <wp:extent cx="5760720" cy="3786647"/>
            <wp:effectExtent l="0" t="0" r="0" b="4445"/>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760720" cy="3786647"/>
                    </a:xfrm>
                    <a:prstGeom prst="rect">
                      <a:avLst/>
                    </a:prstGeom>
                    <a:noFill/>
                    <a:ln>
                      <a:noFill/>
                    </a:ln>
                  </pic:spPr>
                </pic:pic>
              </a:graphicData>
            </a:graphic>
          </wp:inline>
        </w:drawing>
      </w:r>
    </w:p>
    <w:p w14:paraId="5D1A73F4" w14:textId="77777777" w:rsidR="00460D5B" w:rsidRPr="00584504" w:rsidRDefault="00460D5B" w:rsidP="00460D5B">
      <w:pPr>
        <w:rPr>
          <w:rFonts w:ascii="Verdana" w:hAnsi="Verdana"/>
          <w:sz w:val="20"/>
          <w:szCs w:val="20"/>
          <w:lang w:val="bg-BG"/>
        </w:rPr>
      </w:pPr>
      <w:r w:rsidRPr="00584504">
        <w:rPr>
          <w:rFonts w:ascii="Verdana" w:hAnsi="Verdana"/>
          <w:i/>
          <w:iCs/>
          <w:sz w:val="20"/>
          <w:szCs w:val="20"/>
          <w:lang w:val="en"/>
        </w:rPr>
        <w:t>Source: NSI, OPT GIS 2007-2013</w:t>
      </w:r>
    </w:p>
    <w:p w14:paraId="5ADF4F86" w14:textId="77777777" w:rsidR="00460D5B" w:rsidRPr="00584504" w:rsidRDefault="00460D5B" w:rsidP="00460D5B">
      <w:pPr>
        <w:jc w:val="both"/>
        <w:rPr>
          <w:rFonts w:ascii="Verdana" w:hAnsi="Verdana"/>
          <w:sz w:val="20"/>
          <w:szCs w:val="20"/>
          <w:lang w:val="bg-BG" w:eastAsia="en-GB"/>
        </w:rPr>
      </w:pPr>
      <w:r w:rsidRPr="00584504">
        <w:rPr>
          <w:rFonts w:ascii="Verdana" w:hAnsi="Verdana"/>
          <w:sz w:val="20"/>
          <w:szCs w:val="20"/>
          <w:lang w:val="en" w:eastAsia="en-GB"/>
        </w:rPr>
        <w:t xml:space="preserve">In general, the effects of the projects depending on the spatial scale of the impacts of the projects implemented under </w:t>
      </w:r>
      <w:r>
        <w:rPr>
          <w:rFonts w:ascii="Verdana" w:hAnsi="Verdana"/>
          <w:sz w:val="20"/>
          <w:szCs w:val="20"/>
          <w:lang w:val="en" w:eastAsia="en-GB"/>
        </w:rPr>
        <w:t>OPT</w:t>
      </w:r>
      <w:r w:rsidRPr="00584504">
        <w:rPr>
          <w:rFonts w:ascii="Verdana" w:hAnsi="Verdana"/>
          <w:sz w:val="20"/>
          <w:szCs w:val="20"/>
          <w:lang w:val="en" w:eastAsia="en-GB"/>
        </w:rPr>
        <w:t xml:space="preserve"> 2007 - 2013 are divided into:</w:t>
      </w:r>
    </w:p>
    <w:p w14:paraId="43FAB97F" w14:textId="28500E98" w:rsidR="00460D5B" w:rsidRPr="00584504" w:rsidRDefault="00460D5B" w:rsidP="00460D5B">
      <w:pPr>
        <w:numPr>
          <w:ilvl w:val="0"/>
          <w:numId w:val="33"/>
        </w:numPr>
        <w:spacing w:before="120" w:after="120" w:line="240" w:lineRule="auto"/>
        <w:jc w:val="both"/>
        <w:rPr>
          <w:rFonts w:ascii="Verdana" w:eastAsia="Batang" w:hAnsi="Verdana"/>
          <w:sz w:val="20"/>
          <w:szCs w:val="20"/>
          <w:lang w:val="bg-BG" w:eastAsia="ko-KR"/>
        </w:rPr>
      </w:pPr>
      <w:r w:rsidRPr="00584504">
        <w:rPr>
          <w:rFonts w:ascii="Verdana" w:hAnsi="Verdana"/>
          <w:b/>
          <w:sz w:val="20"/>
          <w:szCs w:val="20"/>
          <w:lang w:val="en" w:eastAsia="ko-KR"/>
        </w:rPr>
        <w:t xml:space="preserve">Local effects </w:t>
      </w:r>
      <w:r w:rsidRPr="0053407D">
        <w:rPr>
          <w:rFonts w:ascii="Verdana" w:hAnsi="Verdana"/>
          <w:bCs/>
          <w:sz w:val="20"/>
          <w:szCs w:val="20"/>
          <w:lang w:val="en" w:eastAsia="ko-KR"/>
        </w:rPr>
        <w:t>affecting the specific settlement and municipality where the project is located. The territorial distribution of the projects leads to an increase in the accessibility of the settlements in 33 municipalities. The number of the population benefiting from the new and improved transport links as a result of the operational programme in these municipalities is 44% of the total for the country, i.e. a high share of the covered population is noted due to the fact that these are municipalities with higher demographic potentials. The total territory of the municipalities covered by the implemented projects</w:t>
      </w:r>
      <w:r>
        <w:rPr>
          <w:rFonts w:ascii="Verdana" w:hAnsi="Verdana"/>
          <w:b/>
          <w:sz w:val="20"/>
          <w:szCs w:val="20"/>
          <w:lang w:val="en" w:eastAsia="ko-KR"/>
        </w:rPr>
        <w:t xml:space="preserve"> </w:t>
      </w:r>
      <w:r w:rsidRPr="00584504">
        <w:rPr>
          <w:rFonts w:ascii="Verdana" w:hAnsi="Verdana"/>
          <w:sz w:val="20"/>
          <w:szCs w:val="20"/>
          <w:lang w:val="en" w:eastAsia="ko-KR"/>
        </w:rPr>
        <w:t xml:space="preserve">is 18.4 million </w:t>
      </w:r>
      <w:proofErr w:type="spellStart"/>
      <w:r w:rsidRPr="00F6635F">
        <w:rPr>
          <w:rFonts w:ascii="Verdana" w:hAnsi="Verdana"/>
          <w:sz w:val="20"/>
          <w:szCs w:val="20"/>
          <w:lang w:val="en" w:eastAsia="ko-KR"/>
        </w:rPr>
        <w:t>decar</w:t>
      </w:r>
      <w:r w:rsidR="00056933">
        <w:rPr>
          <w:rFonts w:ascii="Verdana" w:hAnsi="Verdana"/>
          <w:sz w:val="20"/>
          <w:szCs w:val="20"/>
          <w:lang w:val="en" w:eastAsia="ko-KR"/>
        </w:rPr>
        <w:t>e</w:t>
      </w:r>
      <w:r w:rsidRPr="00F6635F">
        <w:rPr>
          <w:rFonts w:ascii="Verdana" w:hAnsi="Verdana"/>
          <w:sz w:val="20"/>
          <w:szCs w:val="20"/>
          <w:lang w:val="en" w:eastAsia="ko-KR"/>
        </w:rPr>
        <w:t>s</w:t>
      </w:r>
      <w:proofErr w:type="spellEnd"/>
      <w:r w:rsidRPr="00584504">
        <w:rPr>
          <w:rFonts w:ascii="Verdana" w:hAnsi="Verdana"/>
          <w:sz w:val="20"/>
          <w:szCs w:val="20"/>
          <w:lang w:val="en" w:eastAsia="ko-KR"/>
        </w:rPr>
        <w:t xml:space="preserve"> or nearly 20% of that of the country.</w:t>
      </w:r>
      <w:r w:rsidRPr="00584504">
        <w:rPr>
          <w:rFonts w:ascii="Verdana" w:hAnsi="Verdana"/>
          <w:sz w:val="20"/>
          <w:szCs w:val="20"/>
          <w:lang w:val="en"/>
        </w:rPr>
        <w:t xml:space="preserve"> </w:t>
      </w:r>
      <w:r w:rsidRPr="00584504">
        <w:rPr>
          <w:rFonts w:ascii="Verdana" w:hAnsi="Verdana"/>
          <w:sz w:val="20"/>
          <w:szCs w:val="20"/>
          <w:lang w:val="en" w:eastAsia="ko-KR"/>
        </w:rPr>
        <w:t xml:space="preserve">The economic contribution of the municipalities with improved transport services is decisive for the national economy – they produce 68% of </w:t>
      </w:r>
      <w:r w:rsidRPr="00584504">
        <w:rPr>
          <w:rFonts w:ascii="Verdana" w:hAnsi="Verdana"/>
          <w:sz w:val="20"/>
          <w:szCs w:val="20"/>
          <w:lang w:val="en"/>
        </w:rPr>
        <w:t>the production</w:t>
      </w:r>
      <w:r>
        <w:rPr>
          <w:rFonts w:ascii="Verdana" w:hAnsi="Verdana"/>
          <w:sz w:val="20"/>
          <w:szCs w:val="20"/>
          <w:lang w:val="en"/>
        </w:rPr>
        <w:t xml:space="preserve"> output </w:t>
      </w:r>
      <w:r w:rsidRPr="00584504">
        <w:rPr>
          <w:rFonts w:ascii="Verdana" w:hAnsi="Verdana"/>
          <w:sz w:val="20"/>
          <w:szCs w:val="20"/>
          <w:lang w:val="en"/>
        </w:rPr>
        <w:t>in the transport</w:t>
      </w:r>
      <w:r>
        <w:rPr>
          <w:rFonts w:ascii="Verdana" w:hAnsi="Verdana"/>
          <w:sz w:val="20"/>
          <w:szCs w:val="20"/>
          <w:lang w:val="en"/>
        </w:rPr>
        <w:t xml:space="preserve">ation and </w:t>
      </w:r>
      <w:r w:rsidRPr="00584504">
        <w:rPr>
          <w:rFonts w:ascii="Verdana" w:hAnsi="Verdana"/>
          <w:sz w:val="20"/>
          <w:szCs w:val="20"/>
          <w:lang w:val="en"/>
        </w:rPr>
        <w:t xml:space="preserve">storage sector and </w:t>
      </w:r>
      <w:r w:rsidRPr="00584504">
        <w:rPr>
          <w:rFonts w:ascii="Verdana" w:hAnsi="Verdana"/>
          <w:sz w:val="20"/>
          <w:szCs w:val="20"/>
          <w:lang w:val="en" w:eastAsia="ko-KR"/>
        </w:rPr>
        <w:t xml:space="preserve">62% of </w:t>
      </w:r>
      <w:r w:rsidRPr="00584504">
        <w:rPr>
          <w:rFonts w:ascii="Verdana" w:hAnsi="Verdana"/>
          <w:sz w:val="20"/>
          <w:szCs w:val="20"/>
          <w:lang w:val="en"/>
        </w:rPr>
        <w:t xml:space="preserve">the total volume of production </w:t>
      </w:r>
      <w:r>
        <w:rPr>
          <w:rFonts w:ascii="Verdana" w:hAnsi="Verdana"/>
          <w:sz w:val="20"/>
          <w:szCs w:val="20"/>
          <w:lang w:val="en"/>
        </w:rPr>
        <w:t xml:space="preserve">output </w:t>
      </w:r>
      <w:r w:rsidRPr="00584504">
        <w:rPr>
          <w:rFonts w:ascii="Verdana" w:hAnsi="Verdana"/>
          <w:sz w:val="20"/>
          <w:szCs w:val="20"/>
          <w:lang w:val="en"/>
        </w:rPr>
        <w:t xml:space="preserve">in </w:t>
      </w:r>
      <w:r w:rsidRPr="00584504">
        <w:rPr>
          <w:rFonts w:ascii="Verdana" w:hAnsi="Verdana"/>
          <w:sz w:val="20"/>
          <w:szCs w:val="20"/>
          <w:lang w:val="en" w:eastAsia="ko-KR"/>
        </w:rPr>
        <w:t>Bulgaria.</w:t>
      </w:r>
    </w:p>
    <w:p w14:paraId="04AB139C" w14:textId="101E90DC" w:rsidR="00460D5B" w:rsidRPr="00584504" w:rsidRDefault="00460D5B" w:rsidP="00460D5B">
      <w:pPr>
        <w:numPr>
          <w:ilvl w:val="0"/>
          <w:numId w:val="33"/>
        </w:numPr>
        <w:spacing w:before="120" w:after="120" w:line="240" w:lineRule="auto"/>
        <w:jc w:val="both"/>
        <w:rPr>
          <w:rFonts w:ascii="Verdana" w:eastAsia="Batang" w:hAnsi="Verdana"/>
          <w:sz w:val="20"/>
          <w:szCs w:val="20"/>
          <w:lang w:val="bg-BG" w:eastAsia="ko-KR"/>
        </w:rPr>
      </w:pPr>
      <w:r w:rsidRPr="00584504">
        <w:rPr>
          <w:rFonts w:ascii="Verdana" w:hAnsi="Verdana"/>
          <w:b/>
          <w:sz w:val="20"/>
          <w:szCs w:val="20"/>
          <w:lang w:val="en" w:eastAsia="ko-KR"/>
        </w:rPr>
        <w:t xml:space="preserve">Regional effects </w:t>
      </w:r>
      <w:r w:rsidRPr="008D30EE">
        <w:rPr>
          <w:rFonts w:ascii="Verdana" w:hAnsi="Verdana"/>
          <w:bCs/>
          <w:sz w:val="20"/>
          <w:szCs w:val="20"/>
          <w:lang w:val="en" w:eastAsia="ko-KR"/>
        </w:rPr>
        <w:t>related to the impact of the project on a wider territorial scope – regional.</w:t>
      </w:r>
      <w:r w:rsidRPr="00584504">
        <w:rPr>
          <w:rFonts w:ascii="Verdana" w:hAnsi="Verdana"/>
          <w:b/>
          <w:sz w:val="20"/>
          <w:szCs w:val="20"/>
          <w:lang w:val="en" w:eastAsia="ko-KR"/>
        </w:rPr>
        <w:t xml:space="preserve"> </w:t>
      </w:r>
      <w:r w:rsidRPr="008D30EE">
        <w:rPr>
          <w:rFonts w:ascii="Verdana" w:hAnsi="Verdana"/>
          <w:bCs/>
          <w:sz w:val="20"/>
          <w:szCs w:val="20"/>
          <w:lang w:val="en" w:eastAsia="ko-KR"/>
        </w:rPr>
        <w:t>Most supported as newly built ro</w:t>
      </w:r>
      <w:r w:rsidRPr="00584504">
        <w:rPr>
          <w:rFonts w:ascii="Verdana" w:hAnsi="Verdana"/>
          <w:sz w:val="20"/>
          <w:szCs w:val="20"/>
          <w:lang w:val="en" w:eastAsia="ko-KR"/>
        </w:rPr>
        <w:t xml:space="preserve">ad infrastructure (motorways) and rehabilitated and reconstructed railways are South-East and </w:t>
      </w:r>
      <w:r w:rsidR="00B31D39" w:rsidRPr="00584504">
        <w:rPr>
          <w:rFonts w:ascii="Verdana" w:hAnsi="Verdana"/>
          <w:sz w:val="20"/>
          <w:szCs w:val="20"/>
          <w:lang w:val="en" w:eastAsia="ko-KR"/>
        </w:rPr>
        <w:t xml:space="preserve">South-Central </w:t>
      </w:r>
      <w:r w:rsidR="00B31D39" w:rsidRPr="00584504">
        <w:rPr>
          <w:rFonts w:ascii="Verdana" w:hAnsi="Verdana"/>
          <w:sz w:val="20"/>
          <w:szCs w:val="20"/>
          <w:lang w:val="en"/>
        </w:rPr>
        <w:t>Region</w:t>
      </w:r>
      <w:r w:rsidRPr="00584504">
        <w:rPr>
          <w:rFonts w:ascii="Verdana" w:hAnsi="Verdana"/>
          <w:sz w:val="20"/>
          <w:szCs w:val="20"/>
          <w:lang w:val="en" w:eastAsia="ko-KR"/>
        </w:rPr>
        <w:t>.</w:t>
      </w:r>
      <w:r w:rsidRPr="00584504">
        <w:rPr>
          <w:rFonts w:ascii="Verdana" w:hAnsi="Verdana"/>
          <w:sz w:val="20"/>
          <w:szCs w:val="20"/>
          <w:lang w:val="en"/>
        </w:rPr>
        <w:t xml:space="preserve"> </w:t>
      </w:r>
      <w:r w:rsidRPr="00584504">
        <w:rPr>
          <w:rFonts w:ascii="Verdana" w:hAnsi="Verdana"/>
          <w:sz w:val="20"/>
          <w:szCs w:val="20"/>
          <w:lang w:val="en" w:eastAsia="ko-KR"/>
        </w:rPr>
        <w:t>The effects of OPT 2007-2013</w:t>
      </w:r>
      <w:r>
        <w:rPr>
          <w:rFonts w:ascii="Verdana" w:hAnsi="Verdana"/>
          <w:sz w:val="20"/>
          <w:szCs w:val="20"/>
          <w:lang w:val="en" w:eastAsia="ko-KR"/>
        </w:rPr>
        <w:t xml:space="preserve"> </w:t>
      </w:r>
      <w:r w:rsidRPr="00584504">
        <w:rPr>
          <w:rFonts w:ascii="Verdana" w:hAnsi="Verdana"/>
          <w:sz w:val="20"/>
          <w:szCs w:val="20"/>
          <w:lang w:val="en"/>
        </w:rPr>
        <w:t xml:space="preserve">are most pronounced in the </w:t>
      </w:r>
      <w:r>
        <w:rPr>
          <w:rFonts w:ascii="Verdana" w:hAnsi="Verdana"/>
          <w:sz w:val="20"/>
          <w:szCs w:val="20"/>
          <w:lang w:val="en"/>
        </w:rPr>
        <w:t>districts</w:t>
      </w:r>
      <w:r w:rsidRPr="00584504">
        <w:rPr>
          <w:rFonts w:ascii="Verdana" w:hAnsi="Verdana"/>
          <w:sz w:val="20"/>
          <w:szCs w:val="20"/>
          <w:lang w:val="en" w:eastAsia="ko-KR"/>
        </w:rPr>
        <w:t xml:space="preserve"> Plovdiv, </w:t>
      </w:r>
      <w:proofErr w:type="spellStart"/>
      <w:r w:rsidRPr="00584504">
        <w:rPr>
          <w:rFonts w:ascii="Verdana" w:hAnsi="Verdana"/>
          <w:sz w:val="20"/>
          <w:szCs w:val="20"/>
          <w:lang w:val="en" w:eastAsia="ko-KR"/>
        </w:rPr>
        <w:t>Haskovo</w:t>
      </w:r>
      <w:proofErr w:type="spellEnd"/>
      <w:r w:rsidRPr="00584504">
        <w:rPr>
          <w:rFonts w:ascii="Verdana" w:hAnsi="Verdana"/>
          <w:sz w:val="20"/>
          <w:szCs w:val="20"/>
          <w:lang w:val="en" w:eastAsia="ko-KR"/>
        </w:rPr>
        <w:t xml:space="preserve">, </w:t>
      </w:r>
      <w:proofErr w:type="spellStart"/>
      <w:r w:rsidRPr="00584504">
        <w:rPr>
          <w:rFonts w:ascii="Verdana" w:hAnsi="Verdana"/>
          <w:sz w:val="20"/>
          <w:szCs w:val="20"/>
          <w:lang w:val="en" w:eastAsia="ko-KR"/>
        </w:rPr>
        <w:t>Stara</w:t>
      </w:r>
      <w:proofErr w:type="spellEnd"/>
      <w:r w:rsidRPr="00584504">
        <w:rPr>
          <w:rFonts w:ascii="Verdana" w:hAnsi="Verdana"/>
          <w:sz w:val="20"/>
          <w:szCs w:val="20"/>
          <w:lang w:val="en" w:eastAsia="ko-KR"/>
        </w:rPr>
        <w:t xml:space="preserve"> Zagora, Yambol</w:t>
      </w:r>
      <w:r w:rsidRPr="00584504">
        <w:rPr>
          <w:rFonts w:ascii="Verdana" w:hAnsi="Verdana"/>
          <w:sz w:val="20"/>
          <w:szCs w:val="20"/>
          <w:lang w:val="en"/>
        </w:rPr>
        <w:t xml:space="preserve"> and </w:t>
      </w:r>
      <w:proofErr w:type="spellStart"/>
      <w:r w:rsidRPr="00584504">
        <w:rPr>
          <w:rFonts w:ascii="Verdana" w:hAnsi="Verdana"/>
          <w:sz w:val="20"/>
          <w:szCs w:val="20"/>
          <w:lang w:val="en"/>
        </w:rPr>
        <w:t>Burgas</w:t>
      </w:r>
      <w:proofErr w:type="spellEnd"/>
      <w:r w:rsidRPr="00584504">
        <w:rPr>
          <w:rFonts w:ascii="Verdana" w:hAnsi="Verdana"/>
          <w:sz w:val="20"/>
          <w:szCs w:val="20"/>
          <w:lang w:val="en"/>
        </w:rPr>
        <w:t xml:space="preserve"> as</w:t>
      </w:r>
      <w:r w:rsidRPr="00584504">
        <w:rPr>
          <w:rFonts w:ascii="Verdana" w:hAnsi="Verdana"/>
          <w:sz w:val="20"/>
          <w:szCs w:val="20"/>
          <w:lang w:val="en" w:eastAsia="ko-KR"/>
        </w:rPr>
        <w:t xml:space="preserve"> a</w:t>
      </w:r>
      <w:r w:rsidRPr="00584504">
        <w:rPr>
          <w:rFonts w:ascii="Verdana" w:hAnsi="Verdana"/>
          <w:sz w:val="20"/>
          <w:szCs w:val="20"/>
          <w:lang w:val="en"/>
        </w:rPr>
        <w:t xml:space="preserve"> result</w:t>
      </w:r>
      <w:r>
        <w:rPr>
          <w:rFonts w:ascii="Verdana" w:hAnsi="Verdana"/>
          <w:sz w:val="20"/>
          <w:szCs w:val="20"/>
          <w:lang w:val="en"/>
        </w:rPr>
        <w:t xml:space="preserve"> </w:t>
      </w:r>
      <w:r w:rsidRPr="00584504">
        <w:rPr>
          <w:rFonts w:ascii="Verdana" w:hAnsi="Verdana"/>
          <w:sz w:val="20"/>
          <w:szCs w:val="20"/>
          <w:lang w:val="en" w:eastAsia="ko-KR"/>
        </w:rPr>
        <w:t>of increased</w:t>
      </w:r>
      <w:r w:rsidRPr="00584504">
        <w:rPr>
          <w:rFonts w:ascii="Verdana" w:hAnsi="Verdana"/>
          <w:sz w:val="20"/>
          <w:szCs w:val="20"/>
          <w:lang w:val="en"/>
        </w:rPr>
        <w:t xml:space="preserve"> capacity</w:t>
      </w:r>
      <w:r w:rsidRPr="00584504">
        <w:rPr>
          <w:rFonts w:ascii="Verdana" w:hAnsi="Verdana"/>
          <w:sz w:val="20"/>
          <w:szCs w:val="20"/>
          <w:lang w:val="en" w:eastAsia="ko-KR"/>
        </w:rPr>
        <w:t xml:space="preserve"> and improved </w:t>
      </w:r>
      <w:r w:rsidRPr="00584504">
        <w:rPr>
          <w:rFonts w:ascii="Verdana" w:hAnsi="Verdana"/>
          <w:sz w:val="20"/>
          <w:szCs w:val="20"/>
          <w:lang w:val="en"/>
        </w:rPr>
        <w:t xml:space="preserve">quality of railway and road </w:t>
      </w:r>
      <w:r w:rsidRPr="00584504">
        <w:rPr>
          <w:rFonts w:ascii="Verdana" w:hAnsi="Verdana"/>
          <w:sz w:val="20"/>
          <w:szCs w:val="20"/>
          <w:lang w:val="en" w:eastAsia="ko-KR"/>
        </w:rPr>
        <w:t>infrastructure.</w:t>
      </w:r>
    </w:p>
    <w:p w14:paraId="321BEC50" w14:textId="77777777" w:rsidR="00460D5B" w:rsidRPr="00584504" w:rsidRDefault="00460D5B" w:rsidP="00460D5B">
      <w:pPr>
        <w:numPr>
          <w:ilvl w:val="0"/>
          <w:numId w:val="33"/>
        </w:numPr>
        <w:spacing w:before="120" w:after="120" w:line="240" w:lineRule="auto"/>
        <w:jc w:val="both"/>
        <w:rPr>
          <w:rFonts w:ascii="Verdana" w:eastAsia="Batang" w:hAnsi="Verdana"/>
          <w:sz w:val="20"/>
          <w:szCs w:val="20"/>
          <w:lang w:val="bg-BG" w:eastAsia="ko-KR"/>
        </w:rPr>
      </w:pPr>
      <w:r w:rsidRPr="00584504">
        <w:rPr>
          <w:rFonts w:ascii="Verdana" w:hAnsi="Verdana"/>
          <w:b/>
          <w:sz w:val="20"/>
          <w:szCs w:val="20"/>
          <w:lang w:val="en" w:eastAsia="ko-KR"/>
        </w:rPr>
        <w:t xml:space="preserve">National effects </w:t>
      </w:r>
      <w:r w:rsidRPr="008D30EE">
        <w:rPr>
          <w:rFonts w:ascii="Verdana" w:hAnsi="Verdana"/>
          <w:bCs/>
          <w:sz w:val="20"/>
          <w:szCs w:val="20"/>
          <w:lang w:val="en" w:eastAsia="ko-KR"/>
        </w:rPr>
        <w:t>that have an impact with a national scope.</w:t>
      </w:r>
      <w:r w:rsidRPr="00584504">
        <w:rPr>
          <w:rFonts w:ascii="Verdana" w:hAnsi="Verdana"/>
          <w:b/>
          <w:sz w:val="20"/>
          <w:szCs w:val="20"/>
          <w:lang w:val="en" w:eastAsia="ko-KR"/>
        </w:rPr>
        <w:t xml:space="preserve"> </w:t>
      </w:r>
      <w:r w:rsidRPr="008D30EE">
        <w:rPr>
          <w:rFonts w:ascii="Verdana" w:hAnsi="Verdana"/>
          <w:bCs/>
          <w:sz w:val="20"/>
          <w:szCs w:val="20"/>
          <w:lang w:val="en" w:eastAsia="ko-KR"/>
        </w:rPr>
        <w:t>It is predominantly the construction of transport projects in Southern Bulgaria, financed by the operational programme, while in Northern Bulgaria they are poorly supported. As a major reason it should be pointed</w:t>
      </w:r>
      <w:r>
        <w:rPr>
          <w:rFonts w:ascii="Verdana" w:hAnsi="Verdana"/>
          <w:bCs/>
          <w:sz w:val="20"/>
          <w:szCs w:val="20"/>
          <w:lang w:val="en" w:eastAsia="ko-KR"/>
        </w:rPr>
        <w:t xml:space="preserve"> </w:t>
      </w:r>
      <w:r w:rsidRPr="008D30EE">
        <w:rPr>
          <w:rFonts w:ascii="Verdana" w:hAnsi="Verdana"/>
          <w:bCs/>
          <w:sz w:val="20"/>
          <w:szCs w:val="20"/>
          <w:lang w:val="en" w:eastAsia="ko-KR"/>
        </w:rPr>
        <w:t xml:space="preserve">out </w:t>
      </w:r>
      <w:r w:rsidRPr="00584504">
        <w:rPr>
          <w:rFonts w:ascii="Verdana" w:hAnsi="Verdana"/>
          <w:sz w:val="20"/>
          <w:szCs w:val="20"/>
          <w:lang w:val="en" w:eastAsia="ko-KR"/>
        </w:rPr>
        <w:t xml:space="preserve">that the overall objective of OPT 2007 -2013 </w:t>
      </w:r>
      <w:r w:rsidRPr="00584504">
        <w:rPr>
          <w:rFonts w:ascii="Verdana" w:hAnsi="Verdana"/>
          <w:sz w:val="20"/>
          <w:szCs w:val="20"/>
          <w:lang w:val="en" w:eastAsia="ko-KR"/>
        </w:rPr>
        <w:lastRenderedPageBreak/>
        <w:t>is aimed at projects promoting the TEN-T network in the country. The</w:t>
      </w:r>
      <w:r w:rsidRPr="00584504">
        <w:rPr>
          <w:rFonts w:ascii="Verdana" w:hAnsi="Verdana"/>
          <w:sz w:val="20"/>
          <w:szCs w:val="20"/>
          <w:lang w:val="en"/>
        </w:rPr>
        <w:t xml:space="preserve"> funded projects do not sufficiently improve the internal connectivity, the one between the less developed regions of Bulgaria. Peripheral regions that benefit greatly from investments are part of the border territories with Greece and Turkey. As a positive effect, it can be noted that there has been an improvement in accessibility to key centers in Bulgaria – the centers of the first and second hierarchical levels – the cities of Sofia, Plovdiv, </w:t>
      </w:r>
      <w:proofErr w:type="spellStart"/>
      <w:r w:rsidRPr="00584504">
        <w:rPr>
          <w:rFonts w:ascii="Verdana" w:hAnsi="Verdana"/>
          <w:sz w:val="20"/>
          <w:szCs w:val="20"/>
          <w:lang w:val="en"/>
        </w:rPr>
        <w:t>Stara</w:t>
      </w:r>
      <w:proofErr w:type="spellEnd"/>
      <w:r w:rsidRPr="00584504">
        <w:rPr>
          <w:rFonts w:ascii="Verdana" w:hAnsi="Verdana"/>
          <w:sz w:val="20"/>
          <w:szCs w:val="20"/>
          <w:lang w:val="en"/>
        </w:rPr>
        <w:t xml:space="preserve"> Zagora, </w:t>
      </w:r>
      <w:proofErr w:type="spellStart"/>
      <w:r w:rsidRPr="00584504">
        <w:rPr>
          <w:rFonts w:ascii="Verdana" w:hAnsi="Verdana"/>
          <w:sz w:val="20"/>
          <w:szCs w:val="20"/>
          <w:lang w:val="en"/>
        </w:rPr>
        <w:t>Burgas</w:t>
      </w:r>
      <w:proofErr w:type="spellEnd"/>
      <w:r w:rsidRPr="00584504">
        <w:rPr>
          <w:rFonts w:ascii="Verdana" w:hAnsi="Verdana"/>
          <w:sz w:val="20"/>
          <w:szCs w:val="20"/>
          <w:lang w:val="en"/>
        </w:rPr>
        <w:t xml:space="preserve">, Blagoevgrad, which are major </w:t>
      </w:r>
      <w:r>
        <w:rPr>
          <w:rFonts w:ascii="Verdana" w:hAnsi="Verdana"/>
          <w:sz w:val="20"/>
          <w:szCs w:val="20"/>
          <w:lang w:val="en"/>
        </w:rPr>
        <w:t>drivers</w:t>
      </w:r>
      <w:r w:rsidRPr="00584504">
        <w:rPr>
          <w:rFonts w:ascii="Verdana" w:hAnsi="Verdana"/>
          <w:sz w:val="20"/>
          <w:szCs w:val="20"/>
          <w:lang w:val="en"/>
        </w:rPr>
        <w:t xml:space="preserve"> of growth in the national territory.</w:t>
      </w:r>
    </w:p>
    <w:p w14:paraId="74458C15" w14:textId="5C2A55BD" w:rsidR="00460D5B" w:rsidRPr="00584504" w:rsidRDefault="00460D5B" w:rsidP="00460D5B">
      <w:pPr>
        <w:numPr>
          <w:ilvl w:val="0"/>
          <w:numId w:val="33"/>
        </w:numPr>
        <w:spacing w:before="120" w:after="120" w:line="240" w:lineRule="auto"/>
        <w:jc w:val="both"/>
        <w:rPr>
          <w:rFonts w:ascii="Verdana" w:eastAsia="Batang" w:hAnsi="Verdana"/>
          <w:sz w:val="20"/>
          <w:szCs w:val="20"/>
          <w:lang w:val="bg-BG" w:eastAsia="ko-KR"/>
        </w:rPr>
      </w:pPr>
      <w:r w:rsidRPr="00584504">
        <w:rPr>
          <w:rFonts w:ascii="Verdana" w:hAnsi="Verdana"/>
          <w:b/>
          <w:sz w:val="20"/>
          <w:szCs w:val="20"/>
          <w:lang w:val="en" w:eastAsia="ko-KR"/>
        </w:rPr>
        <w:t>Transnational and cross-border effects</w:t>
      </w:r>
      <w:r w:rsidRPr="00584504">
        <w:rPr>
          <w:rFonts w:ascii="Verdana" w:hAnsi="Verdana"/>
          <w:sz w:val="20"/>
          <w:szCs w:val="20"/>
          <w:lang w:val="en" w:eastAsia="ko-KR"/>
        </w:rPr>
        <w:t>.</w:t>
      </w:r>
      <w:r w:rsidRPr="00584504">
        <w:rPr>
          <w:rFonts w:ascii="Verdana" w:hAnsi="Verdana"/>
          <w:sz w:val="20"/>
          <w:szCs w:val="20"/>
          <w:lang w:val="en"/>
        </w:rPr>
        <w:t xml:space="preserve"> Ultimately, this network must serve and stimulate the future full integration of </w:t>
      </w:r>
      <w:r>
        <w:rPr>
          <w:rFonts w:ascii="Verdana" w:hAnsi="Verdana"/>
          <w:sz w:val="20"/>
          <w:szCs w:val="20"/>
          <w:lang w:val="en"/>
        </w:rPr>
        <w:t>EU</w:t>
      </w:r>
      <w:r w:rsidRPr="00584504">
        <w:rPr>
          <w:rFonts w:ascii="Verdana" w:hAnsi="Verdana"/>
          <w:sz w:val="20"/>
          <w:szCs w:val="20"/>
          <w:lang w:val="en"/>
        </w:rPr>
        <w:t xml:space="preserve"> Member States' economies, as well as meet current needs. In this respect, the majority of projects contribute to the construction of the TEN-T network in the country, especially given that Bulgaria is one of the EU </w:t>
      </w:r>
      <w:r w:rsidR="00B31D39" w:rsidRPr="00584504">
        <w:rPr>
          <w:rFonts w:ascii="Verdana" w:hAnsi="Verdana"/>
          <w:sz w:val="20"/>
          <w:szCs w:val="20"/>
          <w:lang w:val="en"/>
        </w:rPr>
        <w:t>members</w:t>
      </w:r>
      <w:r w:rsidRPr="00584504">
        <w:rPr>
          <w:rFonts w:ascii="Verdana" w:hAnsi="Verdana"/>
          <w:sz w:val="20"/>
          <w:szCs w:val="20"/>
          <w:lang w:val="en"/>
        </w:rPr>
        <w:t xml:space="preserve"> states with the lowest network. </w:t>
      </w:r>
      <w:r w:rsidRPr="00584504">
        <w:rPr>
          <w:rFonts w:ascii="Verdana" w:hAnsi="Verdana"/>
          <w:sz w:val="20"/>
          <w:szCs w:val="20"/>
          <w:lang w:val="en" w:eastAsia="en-GB"/>
        </w:rPr>
        <w:t xml:space="preserve">There has been an improvement in accessibility with </w:t>
      </w:r>
      <w:r w:rsidR="00B31D39" w:rsidRPr="00584504">
        <w:rPr>
          <w:rFonts w:ascii="Verdana" w:hAnsi="Verdana"/>
          <w:sz w:val="20"/>
          <w:szCs w:val="20"/>
          <w:lang w:val="en" w:eastAsia="en-GB"/>
        </w:rPr>
        <w:t>neighboring</w:t>
      </w:r>
      <w:r w:rsidRPr="00584504">
        <w:rPr>
          <w:rFonts w:ascii="Verdana" w:hAnsi="Verdana"/>
          <w:sz w:val="20"/>
          <w:szCs w:val="20"/>
          <w:lang w:val="en" w:eastAsia="en-GB"/>
        </w:rPr>
        <w:t xml:space="preserve"> countries - Greece and Turkey.</w:t>
      </w:r>
    </w:p>
    <w:p w14:paraId="2B1BE55C" w14:textId="77777777" w:rsidR="00460D5B" w:rsidRPr="00E81497" w:rsidRDefault="00460D5B" w:rsidP="00460D5B">
      <w:pPr>
        <w:jc w:val="both"/>
        <w:rPr>
          <w:rFonts w:ascii="Verdana" w:hAnsi="Verdana"/>
          <w:sz w:val="20"/>
          <w:szCs w:val="20"/>
          <w:lang w:val="bg-BG" w:eastAsia="en-GB"/>
        </w:rPr>
      </w:pPr>
      <w:r w:rsidRPr="00584504">
        <w:rPr>
          <w:rFonts w:ascii="Verdana" w:hAnsi="Verdana"/>
          <w:sz w:val="20"/>
          <w:szCs w:val="20"/>
          <w:lang w:val="en" w:eastAsia="en-GB"/>
        </w:rPr>
        <w:t xml:space="preserve">It </w:t>
      </w:r>
      <w:r>
        <w:rPr>
          <w:rFonts w:ascii="Verdana" w:hAnsi="Verdana"/>
          <w:sz w:val="20"/>
          <w:szCs w:val="20"/>
          <w:lang w:val="en" w:eastAsia="en-GB"/>
        </w:rPr>
        <w:t>can be</w:t>
      </w:r>
      <w:r w:rsidRPr="00584504">
        <w:rPr>
          <w:rFonts w:ascii="Verdana" w:hAnsi="Verdana"/>
          <w:sz w:val="20"/>
          <w:szCs w:val="20"/>
          <w:lang w:val="en" w:eastAsia="en-GB"/>
        </w:rPr>
        <w:t xml:space="preserve"> concluded that the most efficient projects are those that meet clear transport needs and generate direct transport benefits (such as </w:t>
      </w:r>
      <w:r w:rsidRPr="00E81497">
        <w:rPr>
          <w:rFonts w:ascii="Verdana" w:hAnsi="Verdana"/>
          <w:sz w:val="20"/>
          <w:szCs w:val="20"/>
          <w:lang w:val="en" w:eastAsia="en-GB"/>
        </w:rPr>
        <w:t>time savings, reduction of vehicle operating costs and reliability of journey times) and lead to improved accessibility and connectivity of settlements as main drivers of economic and social growth and meeting the needs of the population.</w:t>
      </w:r>
    </w:p>
    <w:p w14:paraId="683ACB44" w14:textId="2457A8CE" w:rsidR="00460D5B" w:rsidRPr="00163427" w:rsidRDefault="00460D5B" w:rsidP="00460D5B">
      <w:pPr>
        <w:spacing w:before="120" w:after="120" w:line="240" w:lineRule="auto"/>
        <w:jc w:val="both"/>
        <w:rPr>
          <w:rFonts w:ascii="Verdana" w:hAnsi="Verdana"/>
          <w:sz w:val="20"/>
          <w:szCs w:val="20"/>
          <w:lang w:val="en-US" w:eastAsia="en-GB"/>
        </w:rPr>
      </w:pPr>
      <w:r w:rsidRPr="00E81497">
        <w:rPr>
          <w:rFonts w:ascii="Verdana" w:hAnsi="Verdana"/>
          <w:sz w:val="20"/>
          <w:szCs w:val="20"/>
          <w:lang w:val="en" w:eastAsia="en-GB"/>
        </w:rPr>
        <w:t xml:space="preserve">The principle of additionality should be applied in a hierarchical perspective in such a way that lower-level investments can be attached to key investment projects nationally or regionally or through which this objective can be achieved. This is also related to the fact that major transport projects are being phased in and time-consuming and several investment projects need to be combined synergistically in order to achieve the full potential of the long-term effects generated. In this regard, it is essential to achieve optimal </w:t>
      </w:r>
      <w:proofErr w:type="spellStart"/>
      <w:r w:rsidRPr="00E81497">
        <w:rPr>
          <w:rFonts w:ascii="Verdana" w:hAnsi="Verdana"/>
          <w:sz w:val="20"/>
          <w:szCs w:val="20"/>
          <w:lang w:val="bg-BG" w:eastAsia="en-GB"/>
        </w:rPr>
        <w:t>complementarity</w:t>
      </w:r>
      <w:proofErr w:type="spellEnd"/>
      <w:r w:rsidRPr="00E81497">
        <w:rPr>
          <w:rFonts w:ascii="Verdana" w:hAnsi="Verdana"/>
          <w:sz w:val="20"/>
          <w:szCs w:val="20"/>
          <w:lang w:val="en" w:eastAsia="en-GB"/>
        </w:rPr>
        <w:t xml:space="preserve"> and integration between the two operational </w:t>
      </w:r>
      <w:proofErr w:type="spellStart"/>
      <w:r w:rsidRPr="00E81497">
        <w:rPr>
          <w:rFonts w:ascii="Verdana" w:hAnsi="Verdana"/>
          <w:sz w:val="20"/>
          <w:szCs w:val="20"/>
          <w:lang w:val="en" w:eastAsia="en-GB"/>
        </w:rPr>
        <w:t>programm</w:t>
      </w:r>
      <w:r w:rsidRPr="00E81497">
        <w:rPr>
          <w:rFonts w:ascii="Verdana" w:hAnsi="Verdana"/>
          <w:sz w:val="20"/>
          <w:szCs w:val="20"/>
          <w:lang w:val="bg-BG" w:eastAsia="en-GB"/>
        </w:rPr>
        <w:t>es</w:t>
      </w:r>
      <w:proofErr w:type="spellEnd"/>
      <w:r w:rsidRPr="00E81497">
        <w:rPr>
          <w:rFonts w:ascii="Verdana" w:hAnsi="Verdana"/>
          <w:sz w:val="20"/>
          <w:szCs w:val="20"/>
          <w:lang w:val="bg-BG" w:eastAsia="en-GB"/>
        </w:rPr>
        <w:t xml:space="preserve"> - Transport </w:t>
      </w:r>
      <w:proofErr w:type="spellStart"/>
      <w:r w:rsidRPr="00E81497">
        <w:rPr>
          <w:rFonts w:ascii="Verdana" w:hAnsi="Verdana"/>
          <w:sz w:val="20"/>
          <w:szCs w:val="20"/>
          <w:lang w:val="bg-BG" w:eastAsia="en-GB"/>
        </w:rPr>
        <w:t>and</w:t>
      </w:r>
      <w:proofErr w:type="spellEnd"/>
      <w:r w:rsidRPr="00E81497">
        <w:rPr>
          <w:rFonts w:ascii="Verdana" w:hAnsi="Verdana"/>
          <w:sz w:val="20"/>
          <w:szCs w:val="20"/>
          <w:lang w:val="bg-BG" w:eastAsia="en-GB"/>
        </w:rPr>
        <w:t xml:space="preserve"> Regional </w:t>
      </w:r>
      <w:proofErr w:type="spellStart"/>
      <w:r w:rsidRPr="00E81497">
        <w:rPr>
          <w:rFonts w:ascii="Verdana" w:hAnsi="Verdana"/>
          <w:sz w:val="20"/>
          <w:szCs w:val="20"/>
          <w:lang w:val="bg-BG" w:eastAsia="en-GB"/>
        </w:rPr>
        <w:t>Development</w:t>
      </w:r>
      <w:proofErr w:type="spellEnd"/>
      <w:r w:rsidRPr="00E81497">
        <w:rPr>
          <w:rFonts w:ascii="Verdana" w:hAnsi="Verdana"/>
          <w:sz w:val="20"/>
          <w:szCs w:val="20"/>
          <w:lang w:val="bg-BG" w:eastAsia="en-GB"/>
        </w:rPr>
        <w:t>.</w:t>
      </w:r>
    </w:p>
    <w:p w14:paraId="338624E1" w14:textId="54CDD10A" w:rsidR="0021550B" w:rsidRDefault="0021550B">
      <w:pPr>
        <w:rPr>
          <w:rFonts w:ascii="Verdana" w:eastAsia="Calibri" w:hAnsi="Verdana" w:cs="Calibri"/>
          <w:color w:val="FFFFFF" w:themeColor="background1"/>
          <w:sz w:val="20"/>
          <w:szCs w:val="20"/>
          <w:lang w:val="bg-BG"/>
        </w:rPr>
      </w:pPr>
    </w:p>
    <w:p w14:paraId="76D95827" w14:textId="0B17C31D" w:rsidR="00B31D39" w:rsidRDefault="00B31D39">
      <w:pPr>
        <w:rPr>
          <w:rFonts w:ascii="Verdana" w:eastAsia="Calibri" w:hAnsi="Verdana" w:cs="Calibri"/>
          <w:color w:val="FFFFFF" w:themeColor="background1"/>
          <w:sz w:val="20"/>
          <w:szCs w:val="20"/>
          <w:lang w:val="bg-BG"/>
        </w:rPr>
      </w:pPr>
    </w:p>
    <w:p w14:paraId="29A4D53A" w14:textId="585F5D59" w:rsidR="00B31D39" w:rsidRDefault="00B31D39">
      <w:pPr>
        <w:rPr>
          <w:rFonts w:ascii="Verdana" w:eastAsia="Calibri" w:hAnsi="Verdana" w:cs="Calibri"/>
          <w:color w:val="FFFFFF" w:themeColor="background1"/>
          <w:sz w:val="20"/>
          <w:szCs w:val="20"/>
          <w:lang w:val="bg-BG"/>
        </w:rPr>
      </w:pPr>
    </w:p>
    <w:p w14:paraId="5D8D0D40" w14:textId="2FC06FCD" w:rsidR="00B31D39" w:rsidRDefault="00B31D39">
      <w:pPr>
        <w:rPr>
          <w:rFonts w:ascii="Verdana" w:eastAsia="Calibri" w:hAnsi="Verdana" w:cs="Calibri"/>
          <w:color w:val="FFFFFF" w:themeColor="background1"/>
          <w:sz w:val="20"/>
          <w:szCs w:val="20"/>
          <w:lang w:val="bg-BG"/>
        </w:rPr>
      </w:pPr>
    </w:p>
    <w:p w14:paraId="048DE684" w14:textId="3DCE3968" w:rsidR="00B31D39" w:rsidRDefault="00B31D39">
      <w:pPr>
        <w:rPr>
          <w:rFonts w:ascii="Verdana" w:eastAsia="Calibri" w:hAnsi="Verdana" w:cs="Calibri"/>
          <w:color w:val="FFFFFF" w:themeColor="background1"/>
          <w:sz w:val="20"/>
          <w:szCs w:val="20"/>
          <w:lang w:val="bg-BG"/>
        </w:rPr>
      </w:pPr>
    </w:p>
    <w:p w14:paraId="2B7D2AEA" w14:textId="2C527BD0" w:rsidR="00B31D39" w:rsidRDefault="00B31D39">
      <w:pPr>
        <w:rPr>
          <w:rFonts w:ascii="Verdana" w:eastAsia="Calibri" w:hAnsi="Verdana" w:cs="Calibri"/>
          <w:color w:val="FFFFFF" w:themeColor="background1"/>
          <w:sz w:val="20"/>
          <w:szCs w:val="20"/>
          <w:lang w:val="bg-BG"/>
        </w:rPr>
      </w:pPr>
    </w:p>
    <w:p w14:paraId="7364B872" w14:textId="7B1324A2" w:rsidR="00B31D39" w:rsidRDefault="00B31D39">
      <w:pPr>
        <w:rPr>
          <w:rFonts w:ascii="Verdana" w:eastAsia="Calibri" w:hAnsi="Verdana" w:cs="Calibri"/>
          <w:color w:val="FFFFFF" w:themeColor="background1"/>
          <w:sz w:val="20"/>
          <w:szCs w:val="20"/>
          <w:lang w:val="bg-BG"/>
        </w:rPr>
      </w:pPr>
    </w:p>
    <w:p w14:paraId="28715596" w14:textId="4FDAE7DA" w:rsidR="00B31D39" w:rsidRDefault="00B31D39">
      <w:pPr>
        <w:rPr>
          <w:rFonts w:ascii="Verdana" w:eastAsia="Calibri" w:hAnsi="Verdana" w:cs="Calibri"/>
          <w:color w:val="FFFFFF" w:themeColor="background1"/>
          <w:sz w:val="20"/>
          <w:szCs w:val="20"/>
          <w:lang w:val="bg-BG"/>
        </w:rPr>
      </w:pPr>
    </w:p>
    <w:p w14:paraId="1BFD7D99" w14:textId="7A072879" w:rsidR="00B31D39" w:rsidRDefault="00B31D39">
      <w:pPr>
        <w:rPr>
          <w:rFonts w:ascii="Verdana" w:eastAsia="Calibri" w:hAnsi="Verdana" w:cs="Calibri"/>
          <w:color w:val="FFFFFF" w:themeColor="background1"/>
          <w:sz w:val="20"/>
          <w:szCs w:val="20"/>
          <w:lang w:val="bg-BG"/>
        </w:rPr>
      </w:pPr>
    </w:p>
    <w:p w14:paraId="7FA8AAD5" w14:textId="62E54818" w:rsidR="00B31D39" w:rsidRDefault="00B31D39">
      <w:pPr>
        <w:rPr>
          <w:rFonts w:ascii="Verdana" w:eastAsia="Calibri" w:hAnsi="Verdana" w:cs="Calibri"/>
          <w:color w:val="FFFFFF" w:themeColor="background1"/>
          <w:sz w:val="20"/>
          <w:szCs w:val="20"/>
          <w:lang w:val="bg-BG"/>
        </w:rPr>
      </w:pPr>
    </w:p>
    <w:p w14:paraId="110BB563" w14:textId="77777777" w:rsidR="00B31D39" w:rsidRPr="00F50700" w:rsidRDefault="00B31D39">
      <w:pPr>
        <w:rPr>
          <w:rFonts w:ascii="Verdana" w:eastAsia="Calibri" w:hAnsi="Verdana" w:cs="Calibri"/>
          <w:color w:val="FFFFFF" w:themeColor="background1"/>
          <w:sz w:val="20"/>
          <w:szCs w:val="20"/>
          <w:lang w:val="bg-BG"/>
        </w:rPr>
      </w:pPr>
    </w:p>
    <w:p w14:paraId="4565267E" w14:textId="61414408" w:rsidR="007502B1" w:rsidRPr="00F50700" w:rsidRDefault="007502B1" w:rsidP="001C5979">
      <w:pPr>
        <w:pStyle w:val="Heading1"/>
        <w:numPr>
          <w:ilvl w:val="1"/>
          <w:numId w:val="58"/>
        </w:numPr>
        <w:shd w:val="clear" w:color="auto" w:fill="374C80" w:themeFill="accent1" w:themeFillShade="BF"/>
        <w:spacing w:before="120" w:after="120" w:line="240" w:lineRule="auto"/>
        <w:ind w:left="360"/>
        <w:jc w:val="both"/>
        <w:rPr>
          <w:rFonts w:ascii="Verdana" w:eastAsia="Calibri" w:hAnsi="Verdana" w:cs="Calibri"/>
          <w:b/>
          <w:bCs/>
          <w:color w:val="FFFFFF" w:themeColor="background1"/>
          <w:sz w:val="20"/>
          <w:szCs w:val="20"/>
          <w:lang w:val="bg-BG"/>
        </w:rPr>
      </w:pPr>
      <w:bookmarkStart w:id="99" w:name="_Toc62724399"/>
      <w:r w:rsidRPr="00F50700">
        <w:rPr>
          <w:rFonts w:ascii="Verdana" w:hAnsi="Verdana"/>
          <w:b/>
          <w:bCs/>
          <w:color w:val="FFFFFF" w:themeColor="background1"/>
          <w:sz w:val="20"/>
          <w:szCs w:val="20"/>
          <w:lang w:val="en"/>
        </w:rPr>
        <w:t>Is transport infrastructure less busy and a balance between different modes of transport achieved?</w:t>
      </w:r>
      <w:bookmarkEnd w:id="99"/>
    </w:p>
    <w:p w14:paraId="3C3097B1" w14:textId="1FB44D18" w:rsidR="00905ED1" w:rsidRPr="006F4ED5" w:rsidRDefault="00905ED1" w:rsidP="00905ED1">
      <w:pPr>
        <w:spacing w:line="240" w:lineRule="auto"/>
        <w:jc w:val="both"/>
        <w:rPr>
          <w:rFonts w:ascii="Verdana" w:hAnsi="Verdana"/>
          <w:sz w:val="20"/>
          <w:szCs w:val="20"/>
          <w:lang w:val="en" w:eastAsia="en-GB"/>
        </w:rPr>
      </w:pPr>
      <w:r w:rsidRPr="006F4ED5">
        <w:rPr>
          <w:rFonts w:ascii="Verdana" w:hAnsi="Verdana"/>
          <w:sz w:val="20"/>
          <w:szCs w:val="20"/>
          <w:lang w:val="en" w:eastAsia="en-GB"/>
        </w:rPr>
        <w:t>The question is relevant to the second specific objective of the programme, which is: “</w:t>
      </w:r>
      <w:r w:rsidR="00DC443D">
        <w:rPr>
          <w:rFonts w:ascii="Verdana" w:hAnsi="Verdana"/>
          <w:sz w:val="20"/>
          <w:szCs w:val="20"/>
          <w:lang w:val="en" w:eastAsia="en-GB"/>
        </w:rPr>
        <w:t>Is a b</w:t>
      </w:r>
      <w:r w:rsidRPr="006F4ED5">
        <w:rPr>
          <w:rFonts w:ascii="Verdana" w:hAnsi="Verdana"/>
          <w:sz w:val="20"/>
          <w:szCs w:val="20"/>
          <w:lang w:val="en" w:eastAsia="en-GB"/>
        </w:rPr>
        <w:t xml:space="preserve">alance between different modes of transport </w:t>
      </w:r>
      <w:r w:rsidR="006F4ED5" w:rsidRPr="006F4ED5">
        <w:rPr>
          <w:rFonts w:ascii="Verdana" w:hAnsi="Verdana"/>
          <w:sz w:val="20"/>
          <w:szCs w:val="20"/>
          <w:lang w:val="en" w:eastAsia="en-GB"/>
        </w:rPr>
        <w:t>achieved</w:t>
      </w:r>
      <w:r w:rsidRPr="006F4ED5">
        <w:rPr>
          <w:rFonts w:ascii="Verdana" w:hAnsi="Verdana"/>
          <w:sz w:val="20"/>
          <w:szCs w:val="20"/>
          <w:lang w:val="en" w:eastAsia="en-GB"/>
        </w:rPr>
        <w:t>”. The emphasis on the balance between different modes of transport is justified by the fact that, at the time of preparation of the programme</w:t>
      </w:r>
      <w:r w:rsidR="0085056D">
        <w:rPr>
          <w:rFonts w:ascii="Verdana" w:hAnsi="Verdana"/>
          <w:sz w:val="20"/>
          <w:szCs w:val="20"/>
          <w:lang w:eastAsia="en-GB"/>
        </w:rPr>
        <w:t>, “t</w:t>
      </w:r>
      <w:r w:rsidRPr="006F4ED5">
        <w:rPr>
          <w:rFonts w:ascii="Verdana" w:hAnsi="Verdana"/>
          <w:sz w:val="20"/>
          <w:szCs w:val="20"/>
          <w:lang w:val="en" w:eastAsia="en-GB"/>
        </w:rPr>
        <w:t xml:space="preserve">he majority of passengers and goods are transported by road" and by the need for sustainable development of the transport system. The sustainable </w:t>
      </w:r>
      <w:r w:rsidRPr="006F4ED5">
        <w:rPr>
          <w:rFonts w:ascii="Verdana" w:hAnsi="Verdana"/>
          <w:sz w:val="20"/>
          <w:szCs w:val="20"/>
          <w:lang w:val="en" w:eastAsia="en-GB"/>
        </w:rPr>
        <w:lastRenderedPageBreak/>
        <w:t>development of transport is a precondition for sustainable and balanced long-term economic growth of the country.</w:t>
      </w:r>
    </w:p>
    <w:p w14:paraId="2F3825F0" w14:textId="77777777" w:rsidR="00905ED1" w:rsidRPr="006F4ED5" w:rsidRDefault="00905ED1" w:rsidP="00905ED1">
      <w:pPr>
        <w:spacing w:line="240" w:lineRule="auto"/>
        <w:jc w:val="both"/>
        <w:rPr>
          <w:rFonts w:ascii="Verdana" w:hAnsi="Verdana"/>
          <w:sz w:val="20"/>
          <w:szCs w:val="20"/>
          <w:lang w:val="en" w:eastAsia="en-GB"/>
        </w:rPr>
      </w:pPr>
      <w:r w:rsidRPr="006F4ED5">
        <w:rPr>
          <w:rFonts w:ascii="Verdana" w:hAnsi="Verdana"/>
          <w:sz w:val="20"/>
          <w:szCs w:val="20"/>
          <w:lang w:val="en" w:eastAsia="en-GB"/>
        </w:rPr>
        <w:t>Taking into account the outlined political and strategic context, the evaluation question should be divided into two parts:</w:t>
      </w:r>
    </w:p>
    <w:p w14:paraId="58A98115" w14:textId="7CD8FEF6" w:rsidR="00905ED1" w:rsidRPr="00B31D39" w:rsidRDefault="00905ED1" w:rsidP="00B31D39">
      <w:pPr>
        <w:pStyle w:val="ListParagraph"/>
        <w:numPr>
          <w:ilvl w:val="0"/>
          <w:numId w:val="63"/>
        </w:numPr>
        <w:spacing w:line="360" w:lineRule="auto"/>
        <w:jc w:val="both"/>
        <w:rPr>
          <w:rFonts w:ascii="Verdana" w:hAnsi="Verdana"/>
          <w:sz w:val="20"/>
          <w:szCs w:val="20"/>
          <w:lang w:val="en" w:eastAsia="en-GB"/>
        </w:rPr>
      </w:pPr>
      <w:r w:rsidRPr="006F4ED5">
        <w:rPr>
          <w:rFonts w:ascii="Verdana" w:hAnsi="Verdana"/>
          <w:sz w:val="20"/>
          <w:szCs w:val="20"/>
          <w:lang w:val="en" w:eastAsia="en-GB"/>
        </w:rPr>
        <w:t xml:space="preserve">Is transport infrastructure less busy? </w:t>
      </w:r>
      <w:r w:rsidR="00B31D39">
        <w:rPr>
          <w:rFonts w:ascii="Verdana" w:hAnsi="Verdana"/>
          <w:sz w:val="20"/>
          <w:szCs w:val="20"/>
          <w:lang w:val="en" w:eastAsia="en-GB"/>
        </w:rPr>
        <w:t>a</w:t>
      </w:r>
      <w:r w:rsidRPr="00B31D39">
        <w:rPr>
          <w:rFonts w:ascii="Verdana" w:hAnsi="Verdana"/>
          <w:sz w:val="20"/>
          <w:szCs w:val="20"/>
          <w:lang w:val="en" w:eastAsia="en-GB"/>
        </w:rPr>
        <w:t>nd</w:t>
      </w:r>
    </w:p>
    <w:p w14:paraId="79C9D9EB" w14:textId="77777777" w:rsidR="00905ED1" w:rsidRPr="006F4ED5" w:rsidRDefault="00905ED1" w:rsidP="00B31D39">
      <w:pPr>
        <w:pStyle w:val="ListParagraph"/>
        <w:numPr>
          <w:ilvl w:val="0"/>
          <w:numId w:val="63"/>
        </w:numPr>
        <w:spacing w:line="360" w:lineRule="auto"/>
        <w:jc w:val="both"/>
        <w:rPr>
          <w:rFonts w:ascii="Verdana" w:hAnsi="Verdana"/>
          <w:sz w:val="20"/>
          <w:szCs w:val="20"/>
          <w:lang w:val="en" w:eastAsia="en-GB"/>
        </w:rPr>
      </w:pPr>
      <w:r w:rsidRPr="006F4ED5">
        <w:rPr>
          <w:rFonts w:ascii="Verdana" w:hAnsi="Verdana"/>
          <w:sz w:val="20"/>
          <w:szCs w:val="20"/>
          <w:lang w:val="en" w:eastAsia="en-GB"/>
        </w:rPr>
        <w:t>Has a balance been achieved between different modes of transport?</w:t>
      </w:r>
    </w:p>
    <w:p w14:paraId="4FB9FDA9" w14:textId="5A572744" w:rsidR="00905ED1" w:rsidRPr="006F4ED5" w:rsidRDefault="00905ED1" w:rsidP="00905ED1">
      <w:pPr>
        <w:spacing w:line="240" w:lineRule="auto"/>
        <w:jc w:val="both"/>
        <w:rPr>
          <w:rFonts w:ascii="Verdana" w:hAnsi="Verdana"/>
          <w:sz w:val="20"/>
          <w:szCs w:val="20"/>
          <w:lang w:val="en" w:eastAsia="en-GB"/>
        </w:rPr>
      </w:pPr>
      <w:r w:rsidRPr="006F4ED5">
        <w:rPr>
          <w:rFonts w:ascii="Verdana" w:hAnsi="Verdana"/>
          <w:sz w:val="20"/>
          <w:szCs w:val="20"/>
          <w:lang w:val="en" w:eastAsia="en-GB"/>
        </w:rPr>
        <w:t xml:space="preserve">These two aspects are to some extent interlinked, given the expectation that if a transfer of passengers and/or freight from one mode of transport is achieved, it can be expected that its infrastructure will be less busy in contrast to the infrastructure of the other mode of transport to which traffic is redirected. On the other hand, an infrastructure can be less busy and without a decrease of passengers and/or cargo due to the increase in its capacity, which is undoubtedly achieved </w:t>
      </w:r>
      <w:r w:rsidR="00DC443D">
        <w:rPr>
          <w:rFonts w:ascii="Verdana" w:hAnsi="Verdana"/>
          <w:sz w:val="20"/>
          <w:szCs w:val="20"/>
          <w:lang w:val="en" w:eastAsia="en-GB"/>
        </w:rPr>
        <w:t>by</w:t>
      </w:r>
      <w:r w:rsidRPr="006F4ED5">
        <w:rPr>
          <w:rFonts w:ascii="Verdana" w:hAnsi="Verdana"/>
          <w:sz w:val="20"/>
          <w:szCs w:val="20"/>
          <w:lang w:val="en" w:eastAsia="en-GB"/>
        </w:rPr>
        <w:t xml:space="preserve"> the implementation of many of the projects financed under OPT 2007-2013. Therefore, the answers to these questions require a different approach and analysis of different types and sources of information.</w:t>
      </w:r>
    </w:p>
    <w:p w14:paraId="2D452ED0" w14:textId="77777777" w:rsidR="00905ED1" w:rsidRPr="006F4ED5" w:rsidRDefault="00905ED1" w:rsidP="00905ED1">
      <w:pPr>
        <w:spacing w:line="240" w:lineRule="auto"/>
        <w:jc w:val="both"/>
        <w:rPr>
          <w:rFonts w:ascii="Verdana" w:hAnsi="Verdana"/>
          <w:sz w:val="20"/>
          <w:szCs w:val="20"/>
          <w:lang w:val="en" w:eastAsia="en-GB"/>
        </w:rPr>
      </w:pPr>
      <w:r w:rsidRPr="006F4ED5">
        <w:rPr>
          <w:rFonts w:ascii="Verdana" w:hAnsi="Verdana"/>
          <w:sz w:val="20"/>
          <w:szCs w:val="20"/>
          <w:lang w:val="en" w:eastAsia="en-GB"/>
        </w:rPr>
        <w:t xml:space="preserve">Under the OPT 2007-2013, 25 investment projects totaling EUR 3.922 billion were implemented, 18 of which l of EUR 3.765 billion, or 96% of the total investments made. The workload of transport infrastructure has been assessed by comparing traffic and capacity. National evaluation is a huge task that goes far beyond the framework of this study, which is why the current evaluation focuses on the sections of transport infrastructure on which investment projects under the OPT 2007-2013 have been implemented. </w:t>
      </w:r>
    </w:p>
    <w:p w14:paraId="5221A30D" w14:textId="77777777" w:rsidR="00905ED1" w:rsidRPr="006F4ED5" w:rsidRDefault="00905ED1" w:rsidP="00905ED1">
      <w:pPr>
        <w:widowControl w:val="0"/>
        <w:spacing w:line="240" w:lineRule="auto"/>
        <w:jc w:val="both"/>
        <w:rPr>
          <w:rFonts w:ascii="Verdana" w:hAnsi="Verdana"/>
          <w:sz w:val="20"/>
          <w:szCs w:val="20"/>
          <w:lang w:val="en" w:eastAsia="en-GB"/>
        </w:rPr>
      </w:pPr>
      <w:r w:rsidRPr="006F4ED5">
        <w:rPr>
          <w:rFonts w:ascii="Verdana" w:hAnsi="Verdana"/>
          <w:sz w:val="20"/>
          <w:szCs w:val="20"/>
          <w:lang w:val="en" w:eastAsia="en-GB"/>
        </w:rPr>
        <w:t>In order to answer the question of whether a balance has been achieved between modes of transport and what is the trend, it is necessary to examine how the performance indicators of the competing modes have changed.</w:t>
      </w:r>
    </w:p>
    <w:p w14:paraId="6F78FA1E" w14:textId="77777777" w:rsidR="00905ED1" w:rsidRPr="006F4ED5" w:rsidRDefault="00905ED1" w:rsidP="00905ED1">
      <w:pPr>
        <w:widowControl w:val="0"/>
        <w:spacing w:line="240" w:lineRule="auto"/>
        <w:jc w:val="both"/>
        <w:rPr>
          <w:rFonts w:ascii="Verdana" w:hAnsi="Verdana"/>
          <w:sz w:val="20"/>
          <w:szCs w:val="20"/>
          <w:lang w:val="en" w:eastAsia="en-GB"/>
        </w:rPr>
      </w:pPr>
      <w:r w:rsidRPr="006F4ED5">
        <w:rPr>
          <w:rFonts w:ascii="Verdana" w:hAnsi="Verdana"/>
          <w:sz w:val="20"/>
          <w:szCs w:val="20"/>
          <w:lang w:val="en" w:eastAsia="en-GB"/>
        </w:rPr>
        <w:t xml:space="preserve">The comparison was made separately for passenger and freight transport, examining the change of the indicator carried </w:t>
      </w:r>
      <w:r w:rsidRPr="00E81497">
        <w:rPr>
          <w:rFonts w:ascii="Verdana" w:hAnsi="Verdana"/>
          <w:sz w:val="20"/>
          <w:szCs w:val="20"/>
          <w:lang w:val="en" w:eastAsia="en-GB"/>
        </w:rPr>
        <w:t xml:space="preserve">out in </w:t>
      </w:r>
      <w:proofErr w:type="spellStart"/>
      <w:r w:rsidRPr="00E81497">
        <w:rPr>
          <w:rFonts w:ascii="Verdana" w:hAnsi="Verdana"/>
          <w:sz w:val="20"/>
          <w:szCs w:val="20"/>
          <w:lang w:val="en" w:eastAsia="en-GB"/>
        </w:rPr>
        <w:t>pkm</w:t>
      </w:r>
      <w:proofErr w:type="spellEnd"/>
      <w:r w:rsidRPr="00E81497">
        <w:rPr>
          <w:rFonts w:ascii="Verdana" w:hAnsi="Verdana"/>
          <w:sz w:val="20"/>
          <w:szCs w:val="20"/>
          <w:lang w:val="en" w:eastAsia="en-GB"/>
        </w:rPr>
        <w:t xml:space="preserve"> and </w:t>
      </w:r>
      <w:proofErr w:type="spellStart"/>
      <w:r w:rsidRPr="00E81497">
        <w:rPr>
          <w:rFonts w:ascii="Verdana" w:hAnsi="Verdana"/>
          <w:sz w:val="20"/>
          <w:szCs w:val="20"/>
          <w:lang w:val="en" w:eastAsia="en-GB"/>
        </w:rPr>
        <w:t>tkm</w:t>
      </w:r>
      <w:proofErr w:type="spellEnd"/>
      <w:r w:rsidRPr="00E81497">
        <w:rPr>
          <w:rFonts w:ascii="Verdana" w:hAnsi="Verdana"/>
          <w:sz w:val="20"/>
          <w:szCs w:val="20"/>
          <w:lang w:val="en" w:eastAsia="en-GB"/>
        </w:rPr>
        <w:t xml:space="preserve"> respectively. In order to ensure comparability between modes of transport, only a section in an internal communication</w:t>
      </w:r>
      <w:r w:rsidRPr="006F4ED5">
        <w:rPr>
          <w:rFonts w:ascii="Verdana" w:hAnsi="Verdana"/>
          <w:sz w:val="20"/>
          <w:szCs w:val="20"/>
          <w:lang w:val="en" w:eastAsia="en-GB"/>
        </w:rPr>
        <w:t xml:space="preserve"> was examined: Bulgarian railway carriers do not carry out transport outside the country, while road and especially freight road carriers are very active in an international direction, which are not relevant to the subject matter of the OPT 2007- 2013. </w:t>
      </w:r>
      <w:r w:rsidRPr="006F4ED5">
        <w:rPr>
          <w:rFonts w:ascii="Verdana" w:hAnsi="Verdana"/>
          <w:sz w:val="20"/>
          <w:szCs w:val="20"/>
          <w:lang w:val="en" w:eastAsia="en-GB"/>
        </w:rPr>
        <w:footnoteReference w:id="18"/>
      </w:r>
    </w:p>
    <w:p w14:paraId="0F204D48" w14:textId="77777777" w:rsidR="00905ED1" w:rsidRPr="006F4ED5" w:rsidRDefault="00905ED1" w:rsidP="00905ED1">
      <w:pPr>
        <w:widowControl w:val="0"/>
        <w:spacing w:line="240" w:lineRule="auto"/>
        <w:jc w:val="both"/>
        <w:rPr>
          <w:rFonts w:ascii="Verdana" w:eastAsia="Calibri" w:hAnsi="Verdana" w:cstheme="minorHAnsi"/>
          <w:b/>
          <w:i/>
          <w:iCs/>
          <w:color w:val="000000"/>
          <w:sz w:val="20"/>
          <w:szCs w:val="20"/>
          <w:lang w:val="bg-BG"/>
        </w:rPr>
      </w:pPr>
      <w:r w:rsidRPr="006F4ED5">
        <w:rPr>
          <w:rFonts w:ascii="Verdana" w:hAnsi="Verdana"/>
          <w:b/>
          <w:i/>
          <w:iCs/>
          <w:color w:val="000000"/>
          <w:sz w:val="20"/>
          <w:szCs w:val="20"/>
          <w:lang w:val="en"/>
        </w:rPr>
        <w:t>Passenger transport</w:t>
      </w:r>
    </w:p>
    <w:p w14:paraId="65418AB6" w14:textId="5D9CA5A6" w:rsidR="00905ED1" w:rsidRPr="006F4ED5" w:rsidRDefault="00905ED1" w:rsidP="00905ED1">
      <w:pPr>
        <w:widowControl w:val="0"/>
        <w:spacing w:line="240" w:lineRule="auto"/>
        <w:jc w:val="both"/>
        <w:rPr>
          <w:rFonts w:ascii="Verdana" w:hAnsi="Verdana"/>
          <w:sz w:val="20"/>
          <w:szCs w:val="20"/>
          <w:lang w:val="en" w:eastAsia="en-GB"/>
        </w:rPr>
      </w:pPr>
      <w:r w:rsidRPr="006F4ED5">
        <w:rPr>
          <w:rFonts w:ascii="Verdana" w:hAnsi="Verdana"/>
          <w:sz w:val="20"/>
          <w:szCs w:val="20"/>
          <w:lang w:val="en" w:eastAsia="en-GB"/>
        </w:rPr>
        <w:t xml:space="preserve">In the case of long-distance transport, the competing modes of transport are rail and road, the latter being subdivided into bus and passenger cars. Official data on the work carried out are available only for the public types – rail and bus. </w:t>
      </w:r>
      <w:r w:rsidR="00DC443D">
        <w:rPr>
          <w:rFonts w:ascii="Verdana" w:hAnsi="Verdana"/>
          <w:sz w:val="20"/>
          <w:szCs w:val="20"/>
          <w:lang w:val="en" w:eastAsia="en-GB"/>
        </w:rPr>
        <w:t>B</w:t>
      </w:r>
      <w:r w:rsidRPr="006F4ED5">
        <w:rPr>
          <w:rFonts w:ascii="Verdana" w:hAnsi="Verdana"/>
          <w:sz w:val="20"/>
          <w:szCs w:val="20"/>
          <w:lang w:val="en" w:eastAsia="en-GB"/>
        </w:rPr>
        <w:t>etween 2007 and 2018, the share of the railway in the work carried out decreased by 3 percentage points from 20.1% to 17.1%. It should be noted that in 2015 and 2016, it is even lower reaching 13.9%, after which a gradual recovery begins.</w:t>
      </w:r>
    </w:p>
    <w:p w14:paraId="1E7353DE" w14:textId="77777777" w:rsidR="00905ED1" w:rsidRPr="006F4ED5" w:rsidRDefault="00905ED1" w:rsidP="00905ED1">
      <w:pPr>
        <w:jc w:val="both"/>
        <w:rPr>
          <w:rFonts w:ascii="Verdana" w:hAnsi="Verdana"/>
          <w:sz w:val="20"/>
          <w:szCs w:val="20"/>
          <w:lang w:val="en" w:eastAsia="en-GB"/>
        </w:rPr>
      </w:pPr>
      <w:r w:rsidRPr="006F4ED5">
        <w:rPr>
          <w:rFonts w:ascii="Verdana" w:hAnsi="Verdana"/>
          <w:sz w:val="20"/>
          <w:szCs w:val="20"/>
          <w:lang w:val="en" w:eastAsia="en-GB"/>
        </w:rPr>
        <w:t>For passenger car trips, only an indirect assessment can be made by comparing the number of passengers transported with public modes of transport: from 2007 to 2018, the number decreased by 30%. With a population drop of 8.4% over the same period and mobility increase, it is obvious that there is a transfer from public modes of transport to individual car trips. This conclusion is also confirmed by the data from the traffic intensity censuses, which, as shown in the previous section, is increasing.</w:t>
      </w:r>
    </w:p>
    <w:p w14:paraId="496526C4" w14:textId="62FE5CDF" w:rsidR="00905ED1" w:rsidRPr="006F4ED5" w:rsidRDefault="00905ED1" w:rsidP="00905ED1">
      <w:pPr>
        <w:jc w:val="both"/>
        <w:rPr>
          <w:rFonts w:ascii="Verdana" w:hAnsi="Verdana"/>
          <w:sz w:val="20"/>
          <w:szCs w:val="20"/>
          <w:lang w:val="en" w:eastAsia="en-GB"/>
        </w:rPr>
      </w:pPr>
      <w:r w:rsidRPr="006F4ED5">
        <w:rPr>
          <w:rFonts w:ascii="Verdana" w:hAnsi="Verdana"/>
          <w:sz w:val="20"/>
          <w:szCs w:val="20"/>
          <w:lang w:val="en" w:eastAsia="en-GB"/>
        </w:rPr>
        <w:t xml:space="preserve">For urban trips in Sofia, there is a clear trend to increase in the period 2007 -2013, followed by a decrease in 2014 and a phased recovery. A correlation between the growth of km of </w:t>
      </w:r>
      <w:r w:rsidRPr="006F4ED5">
        <w:rPr>
          <w:rFonts w:ascii="Verdana" w:hAnsi="Verdana"/>
          <w:sz w:val="20"/>
          <w:szCs w:val="20"/>
          <w:lang w:val="en" w:eastAsia="en-GB"/>
        </w:rPr>
        <w:lastRenderedPageBreak/>
        <w:t>metro lines in operation and the trips implemented is also visible.</w:t>
      </w:r>
      <w:r w:rsidRPr="006F4ED5">
        <w:rPr>
          <w:rFonts w:ascii="Verdana" w:hAnsi="Verdana"/>
          <w:bCs/>
          <w:color w:val="000000"/>
          <w:sz w:val="20"/>
          <w:szCs w:val="20"/>
          <w:lang w:val="en"/>
        </w:rPr>
        <w:t xml:space="preserve"> </w:t>
      </w:r>
      <w:r w:rsidRPr="006F4ED5">
        <w:rPr>
          <w:rFonts w:ascii="Verdana" w:hAnsi="Verdana"/>
          <w:sz w:val="20"/>
          <w:szCs w:val="20"/>
          <w:lang w:val="en" w:eastAsia="en-GB"/>
        </w:rPr>
        <w:t>There is no data available to assess what the distribution of trips by mode of transport was at the baseline of year 2007.</w:t>
      </w:r>
      <w:r w:rsidRPr="006F4ED5">
        <w:rPr>
          <w:rFonts w:ascii="Verdana" w:hAnsi="Verdana"/>
          <w:bCs/>
          <w:color w:val="000000"/>
          <w:sz w:val="20"/>
          <w:szCs w:val="20"/>
          <w:lang w:val="en"/>
        </w:rPr>
        <w:t xml:space="preserve"> </w:t>
      </w:r>
      <w:r w:rsidRPr="006F4ED5">
        <w:rPr>
          <w:rFonts w:ascii="Verdana" w:hAnsi="Verdana"/>
          <w:sz w:val="20"/>
          <w:szCs w:val="20"/>
          <w:lang w:val="en" w:eastAsia="en-GB"/>
        </w:rPr>
        <w:t>The data show that the relative share of trips with individual motorized transport remains practically at the same level, but the relative share of non-motorized trips – on foot or by bicycle increases by 9.7 percentage points. The 10% drop in the share of public transport and the increasing number of metro passengers suggests that they come from other types of public transport – tram, trolleybus and bus.</w:t>
      </w:r>
      <w:r w:rsidRPr="006F4ED5">
        <w:rPr>
          <w:rFonts w:ascii="Verdana" w:hAnsi="Verdana"/>
          <w:sz w:val="20"/>
          <w:szCs w:val="20"/>
          <w:lang w:val="en" w:eastAsia="en-GB"/>
        </w:rPr>
        <w:footnoteReference w:id="19"/>
      </w:r>
    </w:p>
    <w:p w14:paraId="488D131B" w14:textId="77777777" w:rsidR="00905ED1" w:rsidRPr="006F4ED5" w:rsidRDefault="00905ED1" w:rsidP="00905ED1">
      <w:pPr>
        <w:widowControl w:val="0"/>
        <w:spacing w:line="240" w:lineRule="auto"/>
        <w:jc w:val="both"/>
        <w:rPr>
          <w:rFonts w:ascii="Verdana" w:eastAsia="Calibri" w:hAnsi="Verdana" w:cstheme="minorHAnsi"/>
          <w:b/>
          <w:i/>
          <w:iCs/>
          <w:color w:val="000000"/>
          <w:sz w:val="20"/>
          <w:szCs w:val="20"/>
          <w:lang w:val="bg-BG"/>
        </w:rPr>
      </w:pPr>
      <w:r w:rsidRPr="006F4ED5">
        <w:rPr>
          <w:rFonts w:ascii="Verdana" w:hAnsi="Verdana"/>
          <w:b/>
          <w:i/>
          <w:iCs/>
          <w:color w:val="000000"/>
          <w:sz w:val="20"/>
          <w:szCs w:val="20"/>
          <w:lang w:val="en"/>
        </w:rPr>
        <w:t>Freight transport</w:t>
      </w:r>
    </w:p>
    <w:p w14:paraId="6722CDD8" w14:textId="77777777" w:rsidR="00905ED1" w:rsidRPr="006F4ED5" w:rsidRDefault="00905ED1" w:rsidP="00B31D39">
      <w:pPr>
        <w:widowControl w:val="0"/>
        <w:spacing w:line="240" w:lineRule="auto"/>
        <w:jc w:val="both"/>
        <w:rPr>
          <w:rFonts w:ascii="Verdana" w:hAnsi="Verdana"/>
          <w:sz w:val="20"/>
          <w:szCs w:val="20"/>
          <w:lang w:val="en" w:eastAsia="en-GB"/>
        </w:rPr>
      </w:pPr>
      <w:r w:rsidRPr="006F4ED5">
        <w:rPr>
          <w:rFonts w:ascii="Verdana" w:hAnsi="Verdana"/>
          <w:sz w:val="20"/>
          <w:szCs w:val="20"/>
          <w:lang w:val="en" w:eastAsia="en-GB"/>
        </w:rPr>
        <w:t>In the case of freight transport, the competing modes of transport in an internal communication are rail and road transport, as water transport serves only international trade. The analysis compared road transport data for a fee and rail transport. On average, around 48% of the total work of road transport was carried out in the analysis period by road transport, but as a rule it is used for transportation of small quantities of goods which are not suitable for rail. The inclusion of own vehicle transport would distort the comparison between road and rail transport and therefore it is not included in the comparison.</w:t>
      </w:r>
    </w:p>
    <w:p w14:paraId="3D3FCBE8" w14:textId="77777777" w:rsidR="00905ED1" w:rsidRPr="006F4ED5" w:rsidRDefault="00905ED1" w:rsidP="00B31D39">
      <w:pPr>
        <w:widowControl w:val="0"/>
        <w:spacing w:line="240" w:lineRule="auto"/>
        <w:jc w:val="both"/>
        <w:rPr>
          <w:rFonts w:ascii="Verdana" w:hAnsi="Verdana"/>
          <w:sz w:val="20"/>
          <w:szCs w:val="20"/>
          <w:lang w:val="en" w:eastAsia="en-GB"/>
        </w:rPr>
      </w:pPr>
      <w:r w:rsidRPr="006F4ED5">
        <w:rPr>
          <w:rFonts w:ascii="Verdana" w:hAnsi="Verdana"/>
          <w:sz w:val="20"/>
          <w:szCs w:val="20"/>
          <w:lang w:val="en" w:eastAsia="en-GB"/>
        </w:rPr>
        <w:t>The finding made in the OPT 2007-2013 that the majority of goods are transported by road is valid at present:</w:t>
      </w:r>
    </w:p>
    <w:p w14:paraId="537E6776" w14:textId="77777777" w:rsidR="00905ED1" w:rsidRPr="006F4ED5" w:rsidRDefault="00905ED1" w:rsidP="00B31D39">
      <w:pPr>
        <w:widowControl w:val="0"/>
        <w:numPr>
          <w:ilvl w:val="0"/>
          <w:numId w:val="19"/>
        </w:numPr>
        <w:spacing w:line="240" w:lineRule="auto"/>
        <w:ind w:left="426" w:hanging="426"/>
        <w:jc w:val="both"/>
        <w:rPr>
          <w:rFonts w:ascii="Verdana" w:hAnsi="Verdana"/>
          <w:sz w:val="20"/>
          <w:szCs w:val="20"/>
          <w:lang w:val="en" w:eastAsia="en-GB"/>
        </w:rPr>
      </w:pPr>
      <w:r w:rsidRPr="006F4ED5">
        <w:rPr>
          <w:rFonts w:ascii="Verdana" w:hAnsi="Verdana"/>
          <w:sz w:val="20"/>
          <w:szCs w:val="20"/>
          <w:lang w:val="en" w:eastAsia="en-GB"/>
        </w:rPr>
        <w:t>as of 2007, 26 % of the goods transported in an internal communication for payment were transported by rail;</w:t>
      </w:r>
    </w:p>
    <w:p w14:paraId="3353EE16" w14:textId="77777777" w:rsidR="00905ED1" w:rsidRPr="006F4ED5" w:rsidRDefault="00905ED1" w:rsidP="00B31D39">
      <w:pPr>
        <w:widowControl w:val="0"/>
        <w:numPr>
          <w:ilvl w:val="0"/>
          <w:numId w:val="19"/>
        </w:numPr>
        <w:spacing w:line="240" w:lineRule="auto"/>
        <w:ind w:left="426" w:hanging="426"/>
        <w:jc w:val="both"/>
        <w:rPr>
          <w:rFonts w:ascii="Verdana" w:hAnsi="Verdana"/>
          <w:sz w:val="20"/>
          <w:szCs w:val="20"/>
          <w:lang w:val="en" w:eastAsia="en-GB"/>
        </w:rPr>
      </w:pPr>
      <w:r w:rsidRPr="006F4ED5">
        <w:rPr>
          <w:rFonts w:ascii="Verdana" w:hAnsi="Verdana"/>
          <w:sz w:val="20"/>
          <w:szCs w:val="20"/>
          <w:lang w:val="en" w:eastAsia="en-GB"/>
        </w:rPr>
        <w:t>by 2019, the relative share of the railway has fallen by 4.4 percentage points to 21.6%.</w:t>
      </w:r>
    </w:p>
    <w:p w14:paraId="35E1A220" w14:textId="77777777" w:rsidR="00905ED1" w:rsidRPr="006F4ED5" w:rsidRDefault="00905ED1" w:rsidP="00B31D39">
      <w:pPr>
        <w:widowControl w:val="0"/>
        <w:spacing w:line="240" w:lineRule="auto"/>
        <w:jc w:val="both"/>
        <w:rPr>
          <w:rFonts w:ascii="Verdana" w:hAnsi="Verdana"/>
          <w:sz w:val="20"/>
          <w:szCs w:val="20"/>
          <w:lang w:val="en" w:eastAsia="en-GB"/>
        </w:rPr>
      </w:pPr>
      <w:r w:rsidRPr="006F4ED5">
        <w:rPr>
          <w:rFonts w:ascii="Verdana" w:hAnsi="Verdana"/>
          <w:sz w:val="20"/>
          <w:szCs w:val="20"/>
          <w:lang w:val="en" w:eastAsia="en-GB"/>
        </w:rPr>
        <w:t xml:space="preserve">Comparing, however, the work done, shown in the following diagram, the situation looks different: as of 2007, the railway prevailed with 67.8% of the </w:t>
      </w:r>
      <w:r w:rsidRPr="00E81497">
        <w:rPr>
          <w:rFonts w:ascii="Verdana" w:hAnsi="Verdana"/>
          <w:sz w:val="20"/>
          <w:szCs w:val="20"/>
          <w:lang w:val="en" w:eastAsia="en-GB"/>
        </w:rPr>
        <w:t xml:space="preserve">amount of </w:t>
      </w:r>
      <w:proofErr w:type="spellStart"/>
      <w:r w:rsidRPr="00E81497">
        <w:rPr>
          <w:rFonts w:ascii="Verdana" w:hAnsi="Verdana"/>
          <w:sz w:val="20"/>
          <w:szCs w:val="20"/>
          <w:lang w:val="en" w:eastAsia="en-GB"/>
        </w:rPr>
        <w:t>tkm</w:t>
      </w:r>
      <w:proofErr w:type="spellEnd"/>
      <w:r w:rsidRPr="00E81497">
        <w:rPr>
          <w:rFonts w:ascii="Verdana" w:hAnsi="Verdana"/>
          <w:sz w:val="20"/>
          <w:szCs w:val="20"/>
          <w:lang w:val="en" w:eastAsia="en-GB"/>
        </w:rPr>
        <w:t>. As of 2019</w:t>
      </w:r>
      <w:r w:rsidRPr="006F4ED5">
        <w:rPr>
          <w:rFonts w:ascii="Verdana" w:hAnsi="Verdana"/>
          <w:sz w:val="20"/>
          <w:szCs w:val="20"/>
          <w:lang w:val="en" w:eastAsia="en-GB"/>
        </w:rPr>
        <w:t>, the relative share of road transport has increased by 6.6 percentage points compared to 2007, but the ratio remains in favor of the railway with a share of 61.2%.</w:t>
      </w:r>
    </w:p>
    <w:p w14:paraId="2C158130" w14:textId="77777777" w:rsidR="00905ED1" w:rsidRPr="006F4ED5" w:rsidRDefault="00905ED1" w:rsidP="00905ED1">
      <w:pPr>
        <w:jc w:val="both"/>
        <w:rPr>
          <w:rFonts w:ascii="Verdana" w:hAnsi="Verdana"/>
          <w:sz w:val="20"/>
          <w:szCs w:val="20"/>
          <w:lang w:val="en" w:eastAsia="en-GB"/>
        </w:rPr>
      </w:pPr>
    </w:p>
    <w:p w14:paraId="5009E6ED" w14:textId="77777777" w:rsidR="00905ED1" w:rsidRPr="006F4ED5" w:rsidRDefault="00905ED1" w:rsidP="00905ED1">
      <w:pPr>
        <w:jc w:val="both"/>
        <w:rPr>
          <w:rFonts w:ascii="Verdana" w:hAnsi="Verdana" w:cs="Times New Roman"/>
          <w:sz w:val="20"/>
          <w:szCs w:val="20"/>
          <w:lang w:val="bg-BG" w:eastAsia="en-GB"/>
        </w:rPr>
      </w:pPr>
      <w:r w:rsidRPr="006F4ED5">
        <w:rPr>
          <w:rFonts w:ascii="Verdana" w:hAnsi="Verdana"/>
          <w:sz w:val="20"/>
          <w:szCs w:val="20"/>
          <w:lang w:val="en" w:eastAsia="en-GB"/>
        </w:rPr>
        <w:t>In the case of freight transport, the competing modes of transport in an internal communication are rail and road transport, as water transport serves only international trade. The analysis compared road transport data for a fee and rail transport. On average, around 48% of the total work of road transport was carried out in the analysis period by road transport, but as a rule it is used for the carriage of small quantities of short-haul goods which are not suitable for rail. The inclusion of transport on own account would distort the comparison between road and rail transport and is therefore not included in the comparison.</w:t>
      </w:r>
    </w:p>
    <w:p w14:paraId="26ECFFCB" w14:textId="77777777" w:rsidR="00905ED1" w:rsidRPr="006F4ED5" w:rsidRDefault="00905ED1" w:rsidP="00905ED1">
      <w:pPr>
        <w:jc w:val="both"/>
        <w:rPr>
          <w:rFonts w:ascii="Verdana" w:hAnsi="Verdana" w:cs="Times New Roman"/>
          <w:sz w:val="20"/>
          <w:szCs w:val="20"/>
          <w:lang w:val="bg-BG" w:eastAsia="en-GB"/>
        </w:rPr>
      </w:pPr>
      <w:r w:rsidRPr="006F4ED5">
        <w:rPr>
          <w:rFonts w:ascii="Verdana" w:hAnsi="Verdana"/>
          <w:sz w:val="20"/>
          <w:szCs w:val="20"/>
          <w:lang w:val="en" w:eastAsia="en-GB"/>
        </w:rPr>
        <w:t>The finding made in THE 2007-2013 OTT that the majority of goods are transported by road is valid at present:</w:t>
      </w:r>
    </w:p>
    <w:p w14:paraId="6D1DE596" w14:textId="77777777" w:rsidR="00905ED1" w:rsidRPr="006F4ED5" w:rsidRDefault="00905ED1" w:rsidP="00905ED1">
      <w:pPr>
        <w:widowControl w:val="0"/>
        <w:numPr>
          <w:ilvl w:val="0"/>
          <w:numId w:val="19"/>
        </w:numPr>
        <w:spacing w:line="240" w:lineRule="auto"/>
        <w:ind w:left="426" w:hanging="426"/>
        <w:jc w:val="both"/>
        <w:rPr>
          <w:rFonts w:ascii="Verdana" w:eastAsia="Calibri" w:hAnsi="Verdana" w:cstheme="minorHAnsi"/>
          <w:bCs/>
          <w:color w:val="000000"/>
          <w:sz w:val="20"/>
          <w:szCs w:val="20"/>
          <w:lang w:val="bg-BG"/>
        </w:rPr>
      </w:pPr>
      <w:r w:rsidRPr="006F4ED5">
        <w:rPr>
          <w:rFonts w:ascii="Verdana" w:hAnsi="Verdana"/>
          <w:bCs/>
          <w:color w:val="000000"/>
          <w:sz w:val="20"/>
          <w:szCs w:val="20"/>
          <w:lang w:val="en"/>
        </w:rPr>
        <w:t>as of 2007, 26% of the goods transported in an internal communication were transported by rail in return for</w:t>
      </w:r>
    </w:p>
    <w:p w14:paraId="2EFD9957" w14:textId="77777777" w:rsidR="00905ED1" w:rsidRPr="006F4ED5" w:rsidRDefault="00905ED1" w:rsidP="00905ED1">
      <w:pPr>
        <w:widowControl w:val="0"/>
        <w:numPr>
          <w:ilvl w:val="0"/>
          <w:numId w:val="19"/>
        </w:numPr>
        <w:spacing w:line="240" w:lineRule="auto"/>
        <w:ind w:left="426" w:hanging="426"/>
        <w:jc w:val="both"/>
        <w:rPr>
          <w:rFonts w:ascii="Verdana" w:eastAsia="Calibri" w:hAnsi="Verdana" w:cstheme="minorHAnsi"/>
          <w:bCs/>
          <w:color w:val="000000"/>
          <w:sz w:val="20"/>
          <w:szCs w:val="20"/>
          <w:lang w:val="bg-BG"/>
        </w:rPr>
      </w:pPr>
      <w:r w:rsidRPr="006F4ED5">
        <w:rPr>
          <w:rFonts w:ascii="Verdana" w:hAnsi="Verdana"/>
          <w:bCs/>
          <w:color w:val="000000"/>
          <w:sz w:val="20"/>
          <w:szCs w:val="20"/>
          <w:lang w:val="en"/>
        </w:rPr>
        <w:t>by 2019, the relative share of the railway has fallen by 4.4 percentage points to 21.6%.</w:t>
      </w:r>
    </w:p>
    <w:p w14:paraId="51F05D2B" w14:textId="57EB10D8" w:rsidR="00905ED1" w:rsidRPr="006F4ED5" w:rsidRDefault="00905ED1" w:rsidP="00905ED1">
      <w:pPr>
        <w:jc w:val="both"/>
        <w:rPr>
          <w:rFonts w:ascii="Verdana" w:hAnsi="Verdana"/>
          <w:sz w:val="20"/>
          <w:szCs w:val="20"/>
          <w:lang w:val="en" w:eastAsia="en-GB"/>
        </w:rPr>
      </w:pPr>
      <w:r w:rsidRPr="006F4ED5">
        <w:rPr>
          <w:rFonts w:ascii="Verdana" w:hAnsi="Verdana"/>
          <w:sz w:val="20"/>
          <w:szCs w:val="20"/>
          <w:lang w:val="en" w:eastAsia="en-GB"/>
        </w:rPr>
        <w:t xml:space="preserve">Comparing, however, the work done, shown in the following diagram, the situation looks different: as of 2007, the railway had a preponderance of 67.8% of the amount per </w:t>
      </w:r>
      <w:r w:rsidR="00B31D39" w:rsidRPr="006F4ED5">
        <w:rPr>
          <w:rFonts w:ascii="Verdana" w:hAnsi="Verdana"/>
          <w:sz w:val="20"/>
          <w:szCs w:val="20"/>
          <w:lang w:val="en" w:eastAsia="en-GB"/>
        </w:rPr>
        <w:t>ton</w:t>
      </w:r>
      <w:r w:rsidRPr="006F4ED5">
        <w:rPr>
          <w:rFonts w:ascii="Verdana" w:hAnsi="Verdana"/>
          <w:sz w:val="20"/>
          <w:szCs w:val="20"/>
          <w:lang w:val="en" w:eastAsia="en-GB"/>
        </w:rPr>
        <w:t xml:space="preserve"> </w:t>
      </w:r>
      <w:r w:rsidR="00B31D39" w:rsidRPr="006F4ED5">
        <w:rPr>
          <w:rFonts w:ascii="Verdana" w:hAnsi="Verdana"/>
          <w:sz w:val="20"/>
          <w:szCs w:val="20"/>
          <w:lang w:val="en" w:eastAsia="en-GB"/>
        </w:rPr>
        <w:t>kilometer</w:t>
      </w:r>
      <w:r w:rsidRPr="006F4ED5">
        <w:rPr>
          <w:rFonts w:ascii="Verdana" w:hAnsi="Verdana"/>
          <w:sz w:val="20"/>
          <w:szCs w:val="20"/>
          <w:lang w:val="en" w:eastAsia="en-GB"/>
        </w:rPr>
        <w:t xml:space="preserve">. As of 2019, the relative share of road transport has increased by 6.6 percentage points compared to 2007, but the ratio remains in favor of the railway with a share of 61.2%. It should be noted that during the economic crisis the relative share of the railway </w:t>
      </w:r>
      <w:r w:rsidRPr="006F4ED5">
        <w:rPr>
          <w:rFonts w:ascii="Verdana" w:hAnsi="Verdana"/>
          <w:sz w:val="20"/>
          <w:szCs w:val="20"/>
          <w:lang w:val="en" w:eastAsia="en-GB"/>
        </w:rPr>
        <w:lastRenderedPageBreak/>
        <w:t>fell to 48% - in 2009 it slowly and gradually recovered to reach the highest value in 2019. 2007, 12.9 million euro. 2010 and 14.9 million euro, respectively. for 2019.</w:t>
      </w:r>
    </w:p>
    <w:p w14:paraId="0D332E2A" w14:textId="77777777" w:rsidR="00905ED1" w:rsidRPr="006F4ED5" w:rsidRDefault="00905ED1" w:rsidP="00905ED1">
      <w:pPr>
        <w:widowControl w:val="0"/>
        <w:spacing w:after="0" w:line="240" w:lineRule="auto"/>
        <w:jc w:val="both"/>
        <w:rPr>
          <w:rFonts w:ascii="Verdana" w:hAnsi="Verdana"/>
          <w:sz w:val="20"/>
          <w:szCs w:val="20"/>
          <w:lang w:val="en" w:eastAsia="en-GB"/>
        </w:rPr>
      </w:pPr>
      <w:r w:rsidRPr="006F4ED5">
        <w:rPr>
          <w:rFonts w:ascii="Verdana" w:hAnsi="Verdana"/>
          <w:sz w:val="20"/>
          <w:szCs w:val="20"/>
          <w:lang w:val="en" w:eastAsia="en-GB"/>
        </w:rPr>
        <w:t>It should be noted that during the economic crisis the relative share of the railway fell below 50% - to 48% - in 2009 and then slowly and gradually recovered to reach the highest value in 2019. The data for transported goods shows that railway freight transport sector reached the levels before the financial-economic crisis: 2007, 12.9 million euro and 14.9 million euro, respectively for 2019.</w:t>
      </w:r>
    </w:p>
    <w:p w14:paraId="35211A42" w14:textId="77777777" w:rsidR="00B31D39" w:rsidRDefault="00B31D39" w:rsidP="00905ED1">
      <w:pPr>
        <w:tabs>
          <w:tab w:val="left" w:pos="4429"/>
          <w:tab w:val="left" w:pos="8746"/>
        </w:tabs>
        <w:spacing w:line="240" w:lineRule="auto"/>
        <w:jc w:val="both"/>
        <w:rPr>
          <w:rFonts w:ascii="Verdana" w:hAnsi="Verdana"/>
          <w:b/>
          <w:sz w:val="20"/>
          <w:szCs w:val="20"/>
          <w:lang w:val="en" w:eastAsia="en-GB"/>
        </w:rPr>
      </w:pPr>
    </w:p>
    <w:p w14:paraId="7F7EB82D" w14:textId="6FF2151E" w:rsidR="00905ED1" w:rsidRPr="006F4ED5" w:rsidRDefault="00905ED1" w:rsidP="00905ED1">
      <w:pPr>
        <w:tabs>
          <w:tab w:val="left" w:pos="4429"/>
          <w:tab w:val="left" w:pos="8746"/>
        </w:tabs>
        <w:spacing w:line="240" w:lineRule="auto"/>
        <w:jc w:val="both"/>
        <w:rPr>
          <w:rFonts w:ascii="Verdana" w:hAnsi="Verdana"/>
          <w:sz w:val="20"/>
          <w:szCs w:val="20"/>
          <w:lang w:val="en" w:eastAsia="en-GB"/>
        </w:rPr>
      </w:pPr>
      <w:r w:rsidRPr="006F4ED5">
        <w:rPr>
          <w:rFonts w:ascii="Verdana" w:hAnsi="Verdana"/>
          <w:b/>
          <w:sz w:val="20"/>
          <w:szCs w:val="20"/>
          <w:lang w:val="en" w:eastAsia="en-GB"/>
        </w:rPr>
        <w:t>Reducing the load on the transport network</w:t>
      </w:r>
      <w:r w:rsidRPr="006F4ED5">
        <w:rPr>
          <w:rFonts w:ascii="Verdana" w:hAnsi="Verdana"/>
          <w:sz w:val="20"/>
          <w:szCs w:val="20"/>
          <w:lang w:val="en" w:eastAsia="en-GB"/>
        </w:rPr>
        <w:t xml:space="preserve"> is not explicitly mentioned as a target of the OPT 2007-2013, nor as an indicator to be observed.</w:t>
      </w:r>
    </w:p>
    <w:p w14:paraId="3B6C9C05" w14:textId="77777777" w:rsidR="00905ED1" w:rsidRPr="006F4ED5" w:rsidRDefault="00905ED1" w:rsidP="00905ED1">
      <w:pPr>
        <w:numPr>
          <w:ilvl w:val="0"/>
          <w:numId w:val="16"/>
        </w:numPr>
        <w:tabs>
          <w:tab w:val="left" w:pos="567"/>
          <w:tab w:val="left" w:pos="4429"/>
          <w:tab w:val="left" w:pos="8746"/>
        </w:tabs>
        <w:spacing w:line="240" w:lineRule="auto"/>
        <w:ind w:left="426" w:hanging="426"/>
        <w:jc w:val="both"/>
        <w:rPr>
          <w:rFonts w:ascii="Verdana" w:hAnsi="Verdana"/>
          <w:sz w:val="20"/>
          <w:szCs w:val="20"/>
          <w:lang w:val="en" w:eastAsia="en-GB"/>
        </w:rPr>
      </w:pPr>
      <w:r w:rsidRPr="006F4ED5">
        <w:rPr>
          <w:rFonts w:ascii="Verdana" w:hAnsi="Verdana"/>
          <w:sz w:val="20"/>
          <w:szCs w:val="20"/>
          <w:lang w:val="en" w:eastAsia="en-GB"/>
        </w:rPr>
        <w:t>The evaluation carried out in the programme for railway and port infrastructure shows that capacity is available and therefore the construction of an additional one is not a deliberately sought result; in railway infrastructure modernization projects, which increase project speeds in order to increase competitiveness and implement ERTMS in order to increase safety and efficiency, it is natural to achieve capacity increase.</w:t>
      </w:r>
    </w:p>
    <w:p w14:paraId="50AA4774" w14:textId="77777777" w:rsidR="00905ED1" w:rsidRPr="006F4ED5" w:rsidRDefault="00905ED1" w:rsidP="00905ED1">
      <w:pPr>
        <w:numPr>
          <w:ilvl w:val="0"/>
          <w:numId w:val="16"/>
        </w:numPr>
        <w:tabs>
          <w:tab w:val="left" w:pos="567"/>
          <w:tab w:val="left" w:pos="4429"/>
          <w:tab w:val="left" w:pos="8746"/>
        </w:tabs>
        <w:spacing w:line="240" w:lineRule="auto"/>
        <w:ind w:left="426" w:hanging="426"/>
        <w:jc w:val="both"/>
        <w:rPr>
          <w:rFonts w:ascii="Verdana" w:hAnsi="Verdana"/>
          <w:sz w:val="20"/>
          <w:szCs w:val="20"/>
          <w:lang w:val="en" w:eastAsia="en-GB"/>
        </w:rPr>
      </w:pPr>
      <w:r w:rsidRPr="006F4ED5">
        <w:rPr>
          <w:rFonts w:ascii="Verdana" w:hAnsi="Verdana"/>
          <w:sz w:val="20"/>
          <w:szCs w:val="20"/>
          <w:lang w:val="en" w:eastAsia="en-GB"/>
        </w:rPr>
        <w:t>As a strong side of road infrastructure, it is pointed out that " sections of the road system with reduced traffic capacity are very few", i.e. the majority of road infrastructure also has sufficient spare capacity and only a small number and length sections are defined as "narrow".</w:t>
      </w:r>
    </w:p>
    <w:p w14:paraId="2F840C9A" w14:textId="77777777" w:rsidR="00905ED1" w:rsidRPr="006F4ED5" w:rsidRDefault="00905ED1" w:rsidP="00905ED1">
      <w:pPr>
        <w:tabs>
          <w:tab w:val="left" w:pos="4429"/>
          <w:tab w:val="left" w:pos="8746"/>
        </w:tabs>
        <w:spacing w:line="240" w:lineRule="auto"/>
        <w:jc w:val="both"/>
        <w:rPr>
          <w:rFonts w:ascii="Verdana" w:hAnsi="Verdana"/>
          <w:sz w:val="20"/>
          <w:szCs w:val="20"/>
          <w:lang w:val="en" w:eastAsia="en-GB"/>
        </w:rPr>
      </w:pPr>
      <w:r w:rsidRPr="006F4ED5">
        <w:rPr>
          <w:rFonts w:ascii="Verdana" w:hAnsi="Verdana"/>
          <w:sz w:val="20"/>
          <w:szCs w:val="20"/>
          <w:lang w:val="en" w:eastAsia="en-GB"/>
        </w:rPr>
        <w:t>Confirmation that reducing the load on transport infrastructure is not a sought-after effect of the programme is the SWOT analysis, in which the load on the transport infrastructure is viewed positively:</w:t>
      </w:r>
    </w:p>
    <w:p w14:paraId="77E43327" w14:textId="77777777" w:rsidR="00905ED1" w:rsidRPr="006F4ED5" w:rsidRDefault="00905ED1" w:rsidP="00905ED1">
      <w:pPr>
        <w:numPr>
          <w:ilvl w:val="0"/>
          <w:numId w:val="17"/>
        </w:numPr>
        <w:tabs>
          <w:tab w:val="left" w:pos="4429"/>
          <w:tab w:val="left" w:pos="8746"/>
        </w:tabs>
        <w:spacing w:line="240" w:lineRule="auto"/>
        <w:ind w:left="426" w:hanging="426"/>
        <w:jc w:val="both"/>
        <w:rPr>
          <w:rFonts w:ascii="Verdana" w:hAnsi="Verdana"/>
          <w:sz w:val="20"/>
          <w:szCs w:val="20"/>
          <w:lang w:val="en" w:eastAsia="en-GB"/>
        </w:rPr>
      </w:pPr>
      <w:r w:rsidRPr="006F4ED5">
        <w:rPr>
          <w:rFonts w:ascii="Verdana" w:hAnsi="Verdana"/>
          <w:sz w:val="20"/>
          <w:szCs w:val="20"/>
          <w:lang w:val="en" w:eastAsia="en-GB"/>
        </w:rPr>
        <w:t>"Attracting more international transit traffic for the full use of the strategic location of the country" was considered a favorable option for the transport system, and</w:t>
      </w:r>
    </w:p>
    <w:p w14:paraId="088B5CC0" w14:textId="77777777" w:rsidR="00905ED1" w:rsidRPr="006F4ED5" w:rsidRDefault="00905ED1" w:rsidP="00905ED1">
      <w:pPr>
        <w:numPr>
          <w:ilvl w:val="0"/>
          <w:numId w:val="17"/>
        </w:numPr>
        <w:tabs>
          <w:tab w:val="left" w:pos="4429"/>
          <w:tab w:val="left" w:pos="8746"/>
        </w:tabs>
        <w:spacing w:line="240" w:lineRule="auto"/>
        <w:ind w:left="426" w:hanging="426"/>
        <w:jc w:val="both"/>
        <w:rPr>
          <w:rFonts w:ascii="Verdana" w:hAnsi="Verdana"/>
          <w:sz w:val="20"/>
          <w:szCs w:val="20"/>
          <w:lang w:val="en" w:eastAsia="en-GB"/>
        </w:rPr>
      </w:pPr>
      <w:r w:rsidRPr="006F4ED5">
        <w:rPr>
          <w:rFonts w:ascii="Verdana" w:hAnsi="Verdana"/>
          <w:sz w:val="20"/>
          <w:szCs w:val="20"/>
          <w:lang w:val="en" w:eastAsia="en-GB"/>
        </w:rPr>
        <w:t>"Diversion of international transit traffic outside the territory of Bulgaria" is indicated as a threat.</w:t>
      </w:r>
    </w:p>
    <w:p w14:paraId="6571F5B5" w14:textId="77777777" w:rsidR="00905ED1" w:rsidRPr="006F4ED5" w:rsidRDefault="00905ED1" w:rsidP="00905ED1">
      <w:pPr>
        <w:tabs>
          <w:tab w:val="left" w:pos="4429"/>
          <w:tab w:val="left" w:pos="8746"/>
        </w:tabs>
        <w:spacing w:line="240" w:lineRule="auto"/>
        <w:jc w:val="both"/>
        <w:rPr>
          <w:rFonts w:ascii="Verdana" w:hAnsi="Verdana"/>
          <w:sz w:val="20"/>
          <w:szCs w:val="20"/>
          <w:lang w:val="en" w:eastAsia="en-GB"/>
        </w:rPr>
      </w:pPr>
      <w:r w:rsidRPr="006F4ED5">
        <w:rPr>
          <w:rFonts w:ascii="Verdana" w:hAnsi="Verdana"/>
          <w:sz w:val="20"/>
          <w:szCs w:val="20"/>
          <w:lang w:val="en" w:eastAsia="en-GB"/>
        </w:rPr>
        <w:t>Further, the European Transport Policy advocates increasing the efficiency of the transport system, which is achieved by making effective use of available infrastructure and efficiently investing in a new or modernized one.</w:t>
      </w:r>
    </w:p>
    <w:p w14:paraId="5FEC174A" w14:textId="77777777" w:rsidR="00905ED1" w:rsidRPr="006F4ED5" w:rsidRDefault="00905ED1" w:rsidP="00905ED1">
      <w:pPr>
        <w:tabs>
          <w:tab w:val="left" w:pos="4429"/>
          <w:tab w:val="left" w:pos="8746"/>
        </w:tabs>
        <w:spacing w:line="240" w:lineRule="auto"/>
        <w:jc w:val="both"/>
        <w:rPr>
          <w:rFonts w:ascii="Verdana" w:hAnsi="Verdana"/>
          <w:sz w:val="20"/>
          <w:szCs w:val="20"/>
          <w:lang w:val="en" w:eastAsia="en-GB"/>
        </w:rPr>
      </w:pPr>
      <w:r w:rsidRPr="006F4ED5">
        <w:rPr>
          <w:rFonts w:ascii="Verdana" w:hAnsi="Verdana"/>
          <w:sz w:val="20"/>
          <w:szCs w:val="20"/>
          <w:lang w:val="en" w:eastAsia="en-GB"/>
        </w:rPr>
        <w:t>The conclusion is that the reduced load on the transport infrastructure does not directly provide useful information, but should be interpreted in relation to its traffic:</w:t>
      </w:r>
    </w:p>
    <w:p w14:paraId="7F46595B" w14:textId="77777777" w:rsidR="00905ED1" w:rsidRPr="00B31D39" w:rsidRDefault="00905ED1" w:rsidP="00B31D39">
      <w:pPr>
        <w:numPr>
          <w:ilvl w:val="0"/>
          <w:numId w:val="18"/>
        </w:numPr>
        <w:tabs>
          <w:tab w:val="left" w:pos="4429"/>
          <w:tab w:val="left" w:pos="8746"/>
        </w:tabs>
        <w:spacing w:line="240" w:lineRule="auto"/>
        <w:ind w:left="426" w:hanging="426"/>
        <w:jc w:val="both"/>
        <w:rPr>
          <w:rFonts w:ascii="Verdana" w:hAnsi="Verdana"/>
          <w:bCs/>
          <w:sz w:val="20"/>
          <w:szCs w:val="20"/>
          <w:lang w:val="en" w:eastAsia="en-GB"/>
        </w:rPr>
      </w:pPr>
      <w:r w:rsidRPr="006F4ED5">
        <w:rPr>
          <w:rFonts w:ascii="Verdana" w:hAnsi="Verdana"/>
          <w:b/>
          <w:sz w:val="20"/>
          <w:szCs w:val="20"/>
          <w:lang w:val="en" w:eastAsia="en-GB"/>
        </w:rPr>
        <w:t xml:space="preserve">With the highest efficiency and efficiency </w:t>
      </w:r>
      <w:r w:rsidRPr="00B31D39">
        <w:rPr>
          <w:rFonts w:ascii="Verdana" w:hAnsi="Verdana"/>
          <w:bCs/>
          <w:sz w:val="20"/>
          <w:szCs w:val="20"/>
          <w:lang w:val="en" w:eastAsia="en-GB"/>
        </w:rPr>
        <w:t>are projects where capacity is increased, but the load rate is higher than the initial due to the increase in traffic; such a result is an indicator of very good economic returns on invested funds and proper selection of projects; such are:</w:t>
      </w:r>
    </w:p>
    <w:p w14:paraId="48DEF257" w14:textId="77777777" w:rsidR="00905ED1" w:rsidRPr="006F4ED5" w:rsidRDefault="00905ED1" w:rsidP="00B31D39">
      <w:pPr>
        <w:numPr>
          <w:ilvl w:val="1"/>
          <w:numId w:val="18"/>
        </w:numPr>
        <w:tabs>
          <w:tab w:val="left" w:pos="4429"/>
          <w:tab w:val="left" w:pos="8746"/>
        </w:tabs>
        <w:spacing w:line="240" w:lineRule="auto"/>
        <w:ind w:left="709" w:hanging="283"/>
        <w:jc w:val="both"/>
        <w:rPr>
          <w:rFonts w:ascii="Verdana" w:hAnsi="Verdana"/>
          <w:sz w:val="20"/>
          <w:szCs w:val="20"/>
          <w:lang w:val="en" w:eastAsia="en-GB"/>
        </w:rPr>
      </w:pPr>
      <w:r w:rsidRPr="006F4ED5">
        <w:rPr>
          <w:rFonts w:ascii="Verdana" w:hAnsi="Verdana"/>
          <w:sz w:val="20"/>
          <w:szCs w:val="20"/>
          <w:lang w:val="en" w:eastAsia="en-GB"/>
        </w:rPr>
        <w:t xml:space="preserve">first, the projects for new metro lines, </w:t>
      </w:r>
      <w:proofErr w:type="spellStart"/>
      <w:r w:rsidRPr="006F4ED5">
        <w:rPr>
          <w:rFonts w:ascii="Verdana" w:hAnsi="Verdana"/>
          <w:sz w:val="20"/>
          <w:szCs w:val="20"/>
          <w:lang w:val="en" w:eastAsia="en-GB"/>
        </w:rPr>
        <w:t>totalling</w:t>
      </w:r>
      <w:proofErr w:type="spellEnd"/>
      <w:r w:rsidRPr="006F4ED5">
        <w:rPr>
          <w:rFonts w:ascii="Verdana" w:hAnsi="Verdana"/>
          <w:sz w:val="20"/>
          <w:szCs w:val="20"/>
          <w:lang w:val="en" w:eastAsia="en-GB"/>
        </w:rPr>
        <w:t xml:space="preserve"> EUR 1.279 billion. Lv. 32.6% of total investments; it should be recognized that not only does OPT 2007-2013 contribute to this result, just under 74 % (20.7 km) of a total of 28.1 km of new metro lines have been built under</w:t>
      </w:r>
      <w:r w:rsidRPr="006F4ED5">
        <w:rPr>
          <w:rFonts w:ascii="Verdana" w:hAnsi="Verdana"/>
          <w:sz w:val="20"/>
          <w:szCs w:val="20"/>
          <w:lang w:eastAsia="en-GB"/>
        </w:rPr>
        <w:footnoteReference w:id="20"/>
      </w:r>
      <w:r w:rsidRPr="006F4ED5">
        <w:rPr>
          <w:rFonts w:ascii="Verdana" w:hAnsi="Verdana"/>
          <w:sz w:val="20"/>
          <w:szCs w:val="20"/>
          <w:lang w:val="en" w:eastAsia="en-GB"/>
        </w:rPr>
        <w:t xml:space="preserve"> the programme;</w:t>
      </w:r>
    </w:p>
    <w:p w14:paraId="2C03DE3B" w14:textId="77777777" w:rsidR="00905ED1" w:rsidRPr="006F4ED5" w:rsidRDefault="00905ED1" w:rsidP="00B31D39">
      <w:pPr>
        <w:numPr>
          <w:ilvl w:val="1"/>
          <w:numId w:val="18"/>
        </w:numPr>
        <w:tabs>
          <w:tab w:val="left" w:pos="4429"/>
          <w:tab w:val="left" w:pos="8746"/>
        </w:tabs>
        <w:spacing w:line="240" w:lineRule="auto"/>
        <w:ind w:left="709" w:hanging="283"/>
        <w:jc w:val="both"/>
        <w:rPr>
          <w:rFonts w:ascii="Verdana" w:hAnsi="Verdana"/>
          <w:sz w:val="20"/>
          <w:szCs w:val="20"/>
          <w:lang w:val="en" w:eastAsia="en-GB"/>
        </w:rPr>
      </w:pPr>
      <w:r w:rsidRPr="006F4ED5">
        <w:rPr>
          <w:rFonts w:ascii="Verdana" w:hAnsi="Verdana"/>
          <w:sz w:val="20"/>
          <w:szCs w:val="20"/>
          <w:lang w:val="en" w:eastAsia="en-GB"/>
        </w:rPr>
        <w:t xml:space="preserve">the project BG161PO004-2.0.01-0008 </w:t>
      </w:r>
      <w:proofErr w:type="spellStart"/>
      <w:r w:rsidRPr="006F4ED5">
        <w:rPr>
          <w:rFonts w:ascii="Verdana" w:hAnsi="Verdana"/>
          <w:sz w:val="20"/>
          <w:szCs w:val="20"/>
          <w:lang w:val="en" w:eastAsia="en-GB"/>
        </w:rPr>
        <w:t>Kardzhali</w:t>
      </w:r>
      <w:proofErr w:type="spellEnd"/>
      <w:r w:rsidRPr="006F4ED5">
        <w:rPr>
          <w:rFonts w:ascii="Verdana" w:hAnsi="Verdana"/>
          <w:sz w:val="20"/>
          <w:szCs w:val="20"/>
          <w:lang w:val="en" w:eastAsia="en-GB"/>
        </w:rPr>
        <w:t xml:space="preserve"> – </w:t>
      </w:r>
      <w:proofErr w:type="spellStart"/>
      <w:r w:rsidRPr="006F4ED5">
        <w:rPr>
          <w:rFonts w:ascii="Verdana" w:hAnsi="Verdana"/>
          <w:sz w:val="20"/>
          <w:szCs w:val="20"/>
          <w:lang w:val="en" w:eastAsia="en-GB"/>
        </w:rPr>
        <w:t>Podkova</w:t>
      </w:r>
      <w:proofErr w:type="spellEnd"/>
      <w:r w:rsidRPr="006F4ED5">
        <w:rPr>
          <w:rFonts w:ascii="Verdana" w:hAnsi="Verdana"/>
          <w:sz w:val="20"/>
          <w:szCs w:val="20"/>
          <w:lang w:val="en" w:eastAsia="en-GB"/>
        </w:rPr>
        <w:t>, the investments for which are only 1.4% of the total.</w:t>
      </w:r>
    </w:p>
    <w:p w14:paraId="2B71431E" w14:textId="77777777" w:rsidR="00905ED1" w:rsidRPr="006F4ED5" w:rsidRDefault="00905ED1" w:rsidP="00B31D39">
      <w:pPr>
        <w:numPr>
          <w:ilvl w:val="0"/>
          <w:numId w:val="18"/>
        </w:numPr>
        <w:tabs>
          <w:tab w:val="left" w:pos="4429"/>
          <w:tab w:val="left" w:pos="8746"/>
        </w:tabs>
        <w:spacing w:line="240" w:lineRule="auto"/>
        <w:ind w:left="426" w:hanging="426"/>
        <w:jc w:val="both"/>
        <w:rPr>
          <w:rFonts w:ascii="Verdana" w:hAnsi="Verdana"/>
          <w:sz w:val="20"/>
          <w:szCs w:val="20"/>
          <w:lang w:val="en" w:eastAsia="en-GB"/>
        </w:rPr>
      </w:pPr>
      <w:r w:rsidRPr="006F4ED5">
        <w:rPr>
          <w:rFonts w:ascii="Verdana" w:hAnsi="Verdana"/>
          <w:sz w:val="20"/>
          <w:szCs w:val="20"/>
          <w:lang w:val="en" w:eastAsia="en-GB"/>
        </w:rPr>
        <w:t xml:space="preserve">Projects with traffic growth are showing </w:t>
      </w:r>
      <w:r w:rsidRPr="00B31D39">
        <w:rPr>
          <w:rFonts w:ascii="Verdana" w:hAnsi="Verdana"/>
          <w:b/>
          <w:bCs/>
          <w:sz w:val="20"/>
          <w:szCs w:val="20"/>
          <w:lang w:val="en" w:eastAsia="en-GB"/>
        </w:rPr>
        <w:t>good performance</w:t>
      </w:r>
      <w:r w:rsidRPr="006F4ED5">
        <w:rPr>
          <w:rFonts w:ascii="Verdana" w:hAnsi="Verdana"/>
          <w:sz w:val="20"/>
          <w:szCs w:val="20"/>
          <w:lang w:val="en" w:eastAsia="en-GB"/>
        </w:rPr>
        <w:t>, but infrastructure load is lower than the base year due to increased capacity; such projects are:</w:t>
      </w:r>
    </w:p>
    <w:p w14:paraId="3328ACE4" w14:textId="77777777" w:rsidR="00905ED1" w:rsidRPr="006F4ED5" w:rsidRDefault="00905ED1" w:rsidP="00B31D39">
      <w:pPr>
        <w:numPr>
          <w:ilvl w:val="1"/>
          <w:numId w:val="18"/>
        </w:numPr>
        <w:tabs>
          <w:tab w:val="left" w:pos="4429"/>
          <w:tab w:val="left" w:pos="8746"/>
        </w:tabs>
        <w:spacing w:line="240" w:lineRule="auto"/>
        <w:ind w:left="709" w:hanging="283"/>
        <w:jc w:val="both"/>
        <w:rPr>
          <w:rFonts w:ascii="Verdana" w:hAnsi="Verdana"/>
          <w:sz w:val="20"/>
          <w:szCs w:val="20"/>
          <w:lang w:val="en" w:eastAsia="en-GB"/>
        </w:rPr>
      </w:pPr>
      <w:r w:rsidRPr="006F4ED5">
        <w:rPr>
          <w:rFonts w:ascii="Verdana" w:hAnsi="Verdana"/>
          <w:sz w:val="20"/>
          <w:szCs w:val="20"/>
          <w:lang w:val="en" w:eastAsia="en-GB"/>
        </w:rPr>
        <w:t>from the rail network</w:t>
      </w:r>
    </w:p>
    <w:p w14:paraId="3A7D7C3F" w14:textId="77777777" w:rsidR="00905ED1" w:rsidRPr="006F4ED5" w:rsidRDefault="00905ED1" w:rsidP="00B31D39">
      <w:pPr>
        <w:numPr>
          <w:ilvl w:val="2"/>
          <w:numId w:val="18"/>
        </w:numPr>
        <w:tabs>
          <w:tab w:val="left" w:pos="4429"/>
          <w:tab w:val="left" w:pos="8746"/>
        </w:tabs>
        <w:spacing w:line="240" w:lineRule="auto"/>
        <w:ind w:left="1134" w:hanging="283"/>
        <w:jc w:val="both"/>
        <w:rPr>
          <w:rFonts w:ascii="Verdana" w:hAnsi="Verdana"/>
          <w:sz w:val="20"/>
          <w:szCs w:val="20"/>
          <w:lang w:val="en" w:eastAsia="en-GB"/>
        </w:rPr>
      </w:pPr>
      <w:r w:rsidRPr="006F4ED5">
        <w:rPr>
          <w:rFonts w:ascii="Verdana" w:hAnsi="Verdana"/>
          <w:sz w:val="20"/>
          <w:szCs w:val="20"/>
          <w:lang w:val="en" w:eastAsia="en-GB"/>
        </w:rPr>
        <w:lastRenderedPageBreak/>
        <w:t xml:space="preserve">railway line Plovdiv – </w:t>
      </w:r>
      <w:proofErr w:type="spellStart"/>
      <w:r w:rsidRPr="006F4ED5">
        <w:rPr>
          <w:rFonts w:ascii="Verdana" w:hAnsi="Verdana"/>
          <w:sz w:val="20"/>
          <w:szCs w:val="20"/>
          <w:lang w:val="en" w:eastAsia="en-GB"/>
        </w:rPr>
        <w:t>Svilengrad</w:t>
      </w:r>
      <w:proofErr w:type="spellEnd"/>
      <w:r w:rsidRPr="006F4ED5">
        <w:rPr>
          <w:rFonts w:ascii="Verdana" w:hAnsi="Verdana"/>
          <w:sz w:val="20"/>
          <w:szCs w:val="20"/>
          <w:lang w:val="en" w:eastAsia="en-GB"/>
        </w:rPr>
        <w:t xml:space="preserve">, Phase 2, section </w:t>
      </w:r>
      <w:proofErr w:type="spellStart"/>
      <w:r w:rsidRPr="006F4ED5">
        <w:rPr>
          <w:rFonts w:ascii="Verdana" w:hAnsi="Verdana"/>
          <w:sz w:val="20"/>
          <w:szCs w:val="20"/>
          <w:lang w:val="en" w:eastAsia="en-GB"/>
        </w:rPr>
        <w:t>Parvomai</w:t>
      </w:r>
      <w:proofErr w:type="spellEnd"/>
      <w:r w:rsidRPr="006F4ED5">
        <w:rPr>
          <w:rFonts w:ascii="Verdana" w:hAnsi="Verdana"/>
          <w:sz w:val="20"/>
          <w:szCs w:val="20"/>
          <w:lang w:val="en" w:eastAsia="en-GB"/>
        </w:rPr>
        <w:t xml:space="preserve"> - </w:t>
      </w:r>
      <w:proofErr w:type="spellStart"/>
      <w:r w:rsidRPr="006F4ED5">
        <w:rPr>
          <w:rFonts w:ascii="Verdana" w:hAnsi="Verdana"/>
          <w:sz w:val="20"/>
          <w:szCs w:val="20"/>
          <w:lang w:val="en" w:eastAsia="en-GB"/>
        </w:rPr>
        <w:t>Svilengrad</w:t>
      </w:r>
      <w:proofErr w:type="spellEnd"/>
      <w:r w:rsidRPr="006F4ED5">
        <w:rPr>
          <w:rFonts w:ascii="Verdana" w:hAnsi="Verdana"/>
          <w:sz w:val="20"/>
          <w:szCs w:val="20"/>
          <w:lang w:val="en" w:eastAsia="en-GB"/>
        </w:rPr>
        <w:t xml:space="preserve"> where the traffic growth is over 50% and</w:t>
      </w:r>
    </w:p>
    <w:p w14:paraId="7B14596B" w14:textId="77777777" w:rsidR="00905ED1" w:rsidRPr="006F4ED5" w:rsidRDefault="00905ED1" w:rsidP="00B31D39">
      <w:pPr>
        <w:numPr>
          <w:ilvl w:val="2"/>
          <w:numId w:val="18"/>
        </w:numPr>
        <w:tabs>
          <w:tab w:val="left" w:pos="4429"/>
          <w:tab w:val="left" w:pos="8746"/>
        </w:tabs>
        <w:spacing w:line="240" w:lineRule="auto"/>
        <w:ind w:left="1134" w:hanging="283"/>
        <w:jc w:val="both"/>
        <w:rPr>
          <w:rFonts w:ascii="Verdana" w:hAnsi="Verdana"/>
          <w:sz w:val="20"/>
          <w:szCs w:val="20"/>
          <w:lang w:val="en" w:eastAsia="en-GB"/>
        </w:rPr>
      </w:pPr>
      <w:r w:rsidRPr="006F4ED5">
        <w:rPr>
          <w:rFonts w:ascii="Verdana" w:hAnsi="Verdana"/>
          <w:sz w:val="20"/>
          <w:szCs w:val="20"/>
          <w:lang w:val="en" w:eastAsia="en-GB"/>
        </w:rPr>
        <w:t xml:space="preserve">railway line Plovdiv - </w:t>
      </w:r>
      <w:proofErr w:type="spellStart"/>
      <w:r w:rsidRPr="006F4ED5">
        <w:rPr>
          <w:rFonts w:ascii="Verdana" w:hAnsi="Verdana"/>
          <w:sz w:val="20"/>
          <w:szCs w:val="20"/>
          <w:lang w:val="en" w:eastAsia="en-GB"/>
        </w:rPr>
        <w:t>Burgas</w:t>
      </w:r>
      <w:proofErr w:type="spellEnd"/>
      <w:r w:rsidRPr="006F4ED5">
        <w:rPr>
          <w:rFonts w:ascii="Verdana" w:hAnsi="Verdana"/>
          <w:sz w:val="20"/>
          <w:szCs w:val="20"/>
          <w:lang w:val="en" w:eastAsia="en-GB"/>
        </w:rPr>
        <w:t xml:space="preserve"> with 25% growth</w:t>
      </w:r>
    </w:p>
    <w:p w14:paraId="56B76A96" w14:textId="77777777" w:rsidR="00905ED1" w:rsidRPr="006F4ED5" w:rsidRDefault="00905ED1" w:rsidP="00B31D39">
      <w:pPr>
        <w:numPr>
          <w:ilvl w:val="1"/>
          <w:numId w:val="18"/>
        </w:numPr>
        <w:tabs>
          <w:tab w:val="left" w:pos="4429"/>
          <w:tab w:val="left" w:pos="8746"/>
        </w:tabs>
        <w:spacing w:line="240" w:lineRule="auto"/>
        <w:ind w:left="709" w:hanging="425"/>
        <w:jc w:val="both"/>
        <w:rPr>
          <w:rFonts w:ascii="Verdana" w:hAnsi="Verdana"/>
          <w:sz w:val="20"/>
          <w:szCs w:val="20"/>
          <w:lang w:val="en" w:eastAsia="en-GB"/>
        </w:rPr>
      </w:pPr>
      <w:r w:rsidRPr="006F4ED5">
        <w:rPr>
          <w:rFonts w:ascii="Verdana" w:hAnsi="Verdana"/>
          <w:sz w:val="20"/>
          <w:szCs w:val="20"/>
          <w:lang w:val="en" w:eastAsia="en-GB"/>
        </w:rPr>
        <w:t>of the road network:</w:t>
      </w:r>
    </w:p>
    <w:p w14:paraId="5580DB20" w14:textId="77777777" w:rsidR="00905ED1" w:rsidRPr="006F4ED5" w:rsidRDefault="00905ED1" w:rsidP="00B31D39">
      <w:pPr>
        <w:numPr>
          <w:ilvl w:val="2"/>
          <w:numId w:val="18"/>
        </w:numPr>
        <w:tabs>
          <w:tab w:val="left" w:pos="4429"/>
          <w:tab w:val="left" w:pos="8746"/>
        </w:tabs>
        <w:spacing w:line="240" w:lineRule="auto"/>
        <w:ind w:left="1134" w:hanging="283"/>
        <w:jc w:val="both"/>
        <w:rPr>
          <w:rFonts w:ascii="Verdana" w:hAnsi="Verdana"/>
          <w:sz w:val="20"/>
          <w:szCs w:val="20"/>
          <w:lang w:val="en" w:eastAsia="en-GB"/>
        </w:rPr>
      </w:pPr>
      <w:r w:rsidRPr="006F4ED5">
        <w:rPr>
          <w:rFonts w:ascii="Verdana" w:hAnsi="Verdana"/>
          <w:sz w:val="20"/>
          <w:szCs w:val="20"/>
          <w:lang w:val="en" w:eastAsia="en-GB"/>
        </w:rPr>
        <w:t>first of all, Struma Motorway and SRR – Road Junction Yana, followed by</w:t>
      </w:r>
    </w:p>
    <w:p w14:paraId="4B634446" w14:textId="77777777" w:rsidR="00905ED1" w:rsidRPr="006F4ED5" w:rsidRDefault="00905ED1" w:rsidP="00B31D39">
      <w:pPr>
        <w:numPr>
          <w:ilvl w:val="2"/>
          <w:numId w:val="18"/>
        </w:numPr>
        <w:tabs>
          <w:tab w:val="left" w:pos="4429"/>
          <w:tab w:val="left" w:pos="8746"/>
        </w:tabs>
        <w:spacing w:line="240" w:lineRule="auto"/>
        <w:ind w:left="1134" w:hanging="283"/>
        <w:jc w:val="both"/>
        <w:rPr>
          <w:rFonts w:ascii="Verdana" w:hAnsi="Verdana"/>
          <w:sz w:val="20"/>
          <w:szCs w:val="20"/>
          <w:lang w:val="en" w:eastAsia="en-GB"/>
        </w:rPr>
      </w:pPr>
      <w:proofErr w:type="spellStart"/>
      <w:r w:rsidRPr="006F4ED5">
        <w:rPr>
          <w:rFonts w:ascii="Verdana" w:hAnsi="Verdana"/>
          <w:sz w:val="20"/>
          <w:szCs w:val="20"/>
          <w:lang w:val="en" w:eastAsia="en-GB"/>
        </w:rPr>
        <w:t>Trakia</w:t>
      </w:r>
      <w:proofErr w:type="spellEnd"/>
      <w:r w:rsidRPr="006F4ED5">
        <w:rPr>
          <w:rFonts w:ascii="Verdana" w:hAnsi="Verdana"/>
          <w:sz w:val="20"/>
          <w:szCs w:val="20"/>
          <w:lang w:val="en" w:eastAsia="en-GB"/>
        </w:rPr>
        <w:t xml:space="preserve"> Motorway and</w:t>
      </w:r>
    </w:p>
    <w:p w14:paraId="3A3F0F9D" w14:textId="77777777" w:rsidR="00905ED1" w:rsidRPr="006F4ED5" w:rsidRDefault="00905ED1" w:rsidP="00B31D39">
      <w:pPr>
        <w:numPr>
          <w:ilvl w:val="2"/>
          <w:numId w:val="18"/>
        </w:numPr>
        <w:tabs>
          <w:tab w:val="left" w:pos="4429"/>
          <w:tab w:val="left" w:pos="8746"/>
        </w:tabs>
        <w:spacing w:line="240" w:lineRule="auto"/>
        <w:ind w:left="1134" w:hanging="283"/>
        <w:jc w:val="both"/>
        <w:rPr>
          <w:rFonts w:ascii="Verdana" w:hAnsi="Verdana"/>
          <w:sz w:val="20"/>
          <w:szCs w:val="20"/>
          <w:lang w:val="en" w:eastAsia="en-GB"/>
        </w:rPr>
      </w:pPr>
      <w:r w:rsidRPr="006F4ED5">
        <w:rPr>
          <w:rFonts w:ascii="Verdana" w:hAnsi="Verdana"/>
          <w:sz w:val="20"/>
          <w:szCs w:val="20"/>
          <w:lang w:val="en" w:eastAsia="en-GB"/>
        </w:rPr>
        <w:t xml:space="preserve">Western arc of SRR and Maritsa Motorway, as well as </w:t>
      </w:r>
    </w:p>
    <w:p w14:paraId="2046E03D" w14:textId="77777777" w:rsidR="00905ED1" w:rsidRPr="006F4ED5" w:rsidRDefault="00905ED1" w:rsidP="00B31D39">
      <w:pPr>
        <w:numPr>
          <w:ilvl w:val="1"/>
          <w:numId w:val="18"/>
        </w:numPr>
        <w:tabs>
          <w:tab w:val="left" w:pos="4429"/>
          <w:tab w:val="left" w:pos="8746"/>
        </w:tabs>
        <w:spacing w:line="240" w:lineRule="auto"/>
        <w:ind w:left="709" w:hanging="425"/>
        <w:jc w:val="both"/>
        <w:rPr>
          <w:rFonts w:ascii="Verdana" w:hAnsi="Verdana"/>
          <w:sz w:val="20"/>
          <w:szCs w:val="20"/>
          <w:lang w:val="en" w:eastAsia="en-GB"/>
        </w:rPr>
      </w:pPr>
      <w:r w:rsidRPr="006F4ED5">
        <w:rPr>
          <w:rFonts w:ascii="Verdana" w:hAnsi="Verdana"/>
          <w:sz w:val="20"/>
          <w:szCs w:val="20"/>
          <w:lang w:val="en" w:eastAsia="en-GB"/>
        </w:rPr>
        <w:t>Intermodal Terminal in Plovdiv</w:t>
      </w:r>
    </w:p>
    <w:p w14:paraId="5A1554B5" w14:textId="77777777" w:rsidR="00905ED1" w:rsidRPr="006F4ED5" w:rsidRDefault="00905ED1" w:rsidP="00B31D39">
      <w:pPr>
        <w:numPr>
          <w:ilvl w:val="0"/>
          <w:numId w:val="18"/>
        </w:numPr>
        <w:tabs>
          <w:tab w:val="left" w:pos="4429"/>
          <w:tab w:val="left" w:pos="8746"/>
        </w:tabs>
        <w:spacing w:line="240" w:lineRule="auto"/>
        <w:ind w:left="426" w:hanging="426"/>
        <w:jc w:val="both"/>
        <w:rPr>
          <w:rFonts w:ascii="Verdana" w:hAnsi="Verdana"/>
          <w:sz w:val="20"/>
          <w:szCs w:val="20"/>
          <w:lang w:val="en" w:eastAsia="en-GB"/>
        </w:rPr>
      </w:pPr>
      <w:r w:rsidRPr="00B31D39">
        <w:rPr>
          <w:rFonts w:ascii="Verdana" w:hAnsi="Verdana"/>
          <w:b/>
          <w:bCs/>
          <w:sz w:val="20"/>
          <w:szCs w:val="20"/>
          <w:lang w:val="en" w:eastAsia="en-GB"/>
        </w:rPr>
        <w:t>Low to medium efficiency</w:t>
      </w:r>
      <w:r w:rsidRPr="006F4ED5">
        <w:rPr>
          <w:rFonts w:ascii="Verdana" w:hAnsi="Verdana"/>
          <w:sz w:val="20"/>
          <w:szCs w:val="20"/>
          <w:lang w:val="en" w:eastAsia="en-GB"/>
        </w:rPr>
        <w:t xml:space="preserve"> projects are projects where traffic remains at the same levels or even decreases; by 2019, these are:</w:t>
      </w:r>
    </w:p>
    <w:p w14:paraId="7F5F87B4" w14:textId="77777777" w:rsidR="00905ED1" w:rsidRPr="006F4ED5" w:rsidRDefault="00905ED1" w:rsidP="00B31D39">
      <w:pPr>
        <w:numPr>
          <w:ilvl w:val="2"/>
          <w:numId w:val="18"/>
        </w:numPr>
        <w:tabs>
          <w:tab w:val="left" w:pos="4429"/>
          <w:tab w:val="left" w:pos="8746"/>
        </w:tabs>
        <w:spacing w:line="240" w:lineRule="auto"/>
        <w:ind w:left="1134" w:hanging="283"/>
        <w:jc w:val="both"/>
        <w:rPr>
          <w:rFonts w:ascii="Verdana" w:hAnsi="Verdana"/>
          <w:sz w:val="20"/>
          <w:szCs w:val="20"/>
          <w:lang w:val="en" w:eastAsia="en-GB"/>
        </w:rPr>
      </w:pPr>
      <w:r w:rsidRPr="006F4ED5">
        <w:rPr>
          <w:rFonts w:ascii="Verdana" w:hAnsi="Verdana"/>
          <w:sz w:val="20"/>
          <w:szCs w:val="20"/>
          <w:lang w:val="en" w:eastAsia="en-GB"/>
        </w:rPr>
        <w:t xml:space="preserve">Railway line </w:t>
      </w:r>
      <w:proofErr w:type="spellStart"/>
      <w:r w:rsidRPr="006F4ED5">
        <w:rPr>
          <w:rFonts w:ascii="Verdana" w:hAnsi="Verdana"/>
          <w:sz w:val="20"/>
          <w:szCs w:val="20"/>
          <w:lang w:val="en" w:eastAsia="en-GB"/>
        </w:rPr>
        <w:t>Septemvri</w:t>
      </w:r>
      <w:proofErr w:type="spellEnd"/>
      <w:r w:rsidRPr="006F4ED5">
        <w:rPr>
          <w:rFonts w:ascii="Verdana" w:hAnsi="Verdana"/>
          <w:sz w:val="20"/>
          <w:szCs w:val="20"/>
          <w:lang w:val="en" w:eastAsia="en-GB"/>
        </w:rPr>
        <w:t xml:space="preserve"> – Plovdiv and</w:t>
      </w:r>
    </w:p>
    <w:p w14:paraId="0EE6106F" w14:textId="77777777" w:rsidR="00905ED1" w:rsidRPr="006F4ED5" w:rsidRDefault="00905ED1" w:rsidP="00B31D39">
      <w:pPr>
        <w:numPr>
          <w:ilvl w:val="2"/>
          <w:numId w:val="18"/>
        </w:numPr>
        <w:tabs>
          <w:tab w:val="left" w:pos="4429"/>
          <w:tab w:val="left" w:pos="8746"/>
        </w:tabs>
        <w:spacing w:after="0" w:line="240" w:lineRule="auto"/>
        <w:ind w:left="1134" w:hanging="283"/>
        <w:jc w:val="both"/>
        <w:rPr>
          <w:rFonts w:ascii="Verdana" w:hAnsi="Verdana"/>
          <w:sz w:val="20"/>
          <w:szCs w:val="20"/>
          <w:lang w:val="en" w:eastAsia="en-GB"/>
        </w:rPr>
      </w:pPr>
      <w:r w:rsidRPr="006F4ED5">
        <w:rPr>
          <w:rFonts w:ascii="Verdana" w:hAnsi="Verdana"/>
          <w:sz w:val="20"/>
          <w:szCs w:val="20"/>
          <w:lang w:val="en" w:eastAsia="en-GB"/>
        </w:rPr>
        <w:t xml:space="preserve">Railway line </w:t>
      </w:r>
      <w:proofErr w:type="spellStart"/>
      <w:r w:rsidRPr="006F4ED5">
        <w:rPr>
          <w:rFonts w:ascii="Verdana" w:hAnsi="Verdana"/>
          <w:sz w:val="20"/>
          <w:szCs w:val="20"/>
          <w:lang w:val="en" w:eastAsia="en-GB"/>
        </w:rPr>
        <w:t>Svilengrad</w:t>
      </w:r>
      <w:proofErr w:type="spellEnd"/>
      <w:r w:rsidRPr="006F4ED5">
        <w:rPr>
          <w:rFonts w:ascii="Verdana" w:hAnsi="Verdana"/>
          <w:sz w:val="20"/>
          <w:szCs w:val="20"/>
          <w:lang w:val="en" w:eastAsia="en-GB"/>
        </w:rPr>
        <w:t xml:space="preserve"> – Turkish border</w:t>
      </w:r>
    </w:p>
    <w:p w14:paraId="2B113889" w14:textId="77777777" w:rsidR="00905ED1" w:rsidRPr="006F4ED5" w:rsidRDefault="00905ED1" w:rsidP="00B31D39">
      <w:pPr>
        <w:tabs>
          <w:tab w:val="left" w:pos="4429"/>
          <w:tab w:val="left" w:pos="8746"/>
        </w:tabs>
        <w:spacing w:line="240" w:lineRule="auto"/>
        <w:ind w:left="709"/>
        <w:jc w:val="both"/>
        <w:rPr>
          <w:rFonts w:ascii="Verdana" w:hAnsi="Verdana"/>
          <w:sz w:val="20"/>
          <w:szCs w:val="20"/>
          <w:lang w:val="en" w:eastAsia="en-GB"/>
        </w:rPr>
      </w:pPr>
      <w:r w:rsidRPr="006F4ED5">
        <w:rPr>
          <w:rFonts w:ascii="Verdana" w:hAnsi="Verdana"/>
          <w:sz w:val="20"/>
          <w:szCs w:val="20"/>
          <w:lang w:val="en" w:eastAsia="en-GB"/>
        </w:rPr>
        <w:t xml:space="preserve">In </w:t>
      </w:r>
      <w:proofErr w:type="spellStart"/>
      <w:r w:rsidRPr="006F4ED5">
        <w:rPr>
          <w:rFonts w:ascii="Verdana" w:hAnsi="Verdana"/>
          <w:sz w:val="20"/>
          <w:szCs w:val="20"/>
          <w:lang w:val="en" w:eastAsia="en-GB"/>
        </w:rPr>
        <w:t>analysing</w:t>
      </w:r>
      <w:proofErr w:type="spellEnd"/>
      <w:r w:rsidRPr="006F4ED5">
        <w:rPr>
          <w:rFonts w:ascii="Verdana" w:hAnsi="Verdana"/>
          <w:sz w:val="20"/>
          <w:szCs w:val="20"/>
          <w:lang w:val="en" w:eastAsia="en-GB"/>
        </w:rPr>
        <w:t xml:space="preserve"> these specific projects, two factors should be taken into account:</w:t>
      </w:r>
    </w:p>
    <w:p w14:paraId="4EB29AD0" w14:textId="77777777" w:rsidR="00905ED1" w:rsidRPr="006F4ED5" w:rsidRDefault="00905ED1" w:rsidP="00B31D39">
      <w:pPr>
        <w:numPr>
          <w:ilvl w:val="1"/>
          <w:numId w:val="18"/>
        </w:numPr>
        <w:tabs>
          <w:tab w:val="left" w:pos="4429"/>
          <w:tab w:val="left" w:pos="8746"/>
        </w:tabs>
        <w:spacing w:line="240" w:lineRule="auto"/>
        <w:ind w:left="709" w:hanging="425"/>
        <w:jc w:val="both"/>
        <w:rPr>
          <w:rFonts w:ascii="Verdana" w:hAnsi="Verdana"/>
          <w:sz w:val="20"/>
          <w:szCs w:val="20"/>
          <w:lang w:val="en" w:eastAsia="en-GB"/>
        </w:rPr>
      </w:pPr>
      <w:r w:rsidRPr="006F4ED5">
        <w:rPr>
          <w:rFonts w:ascii="Verdana" w:hAnsi="Verdana"/>
          <w:sz w:val="20"/>
          <w:szCs w:val="20"/>
          <w:lang w:val="en" w:eastAsia="en-GB"/>
        </w:rPr>
        <w:t xml:space="preserve">it is likely that the traffic for 2007 under the direction Plovdiv – </w:t>
      </w:r>
      <w:proofErr w:type="spellStart"/>
      <w:r w:rsidRPr="006F4ED5">
        <w:rPr>
          <w:rFonts w:ascii="Verdana" w:hAnsi="Verdana"/>
          <w:sz w:val="20"/>
          <w:szCs w:val="20"/>
          <w:lang w:val="en" w:eastAsia="en-GB"/>
        </w:rPr>
        <w:t>Svilengrad</w:t>
      </w:r>
      <w:proofErr w:type="spellEnd"/>
      <w:r w:rsidRPr="006F4ED5">
        <w:rPr>
          <w:rFonts w:ascii="Verdana" w:hAnsi="Verdana"/>
          <w:sz w:val="20"/>
          <w:szCs w:val="20"/>
          <w:lang w:val="en" w:eastAsia="en-GB"/>
        </w:rPr>
        <w:t xml:space="preserve"> has been negatively affected by the construction works that are underway in this period under Phase 1 of the project</w:t>
      </w:r>
    </w:p>
    <w:p w14:paraId="34E9FC7F" w14:textId="77777777" w:rsidR="00905ED1" w:rsidRPr="006F4ED5" w:rsidRDefault="00905ED1" w:rsidP="00B31D39">
      <w:pPr>
        <w:numPr>
          <w:ilvl w:val="1"/>
          <w:numId w:val="18"/>
        </w:numPr>
        <w:tabs>
          <w:tab w:val="left" w:pos="4429"/>
          <w:tab w:val="left" w:pos="8746"/>
        </w:tabs>
        <w:spacing w:line="240" w:lineRule="auto"/>
        <w:ind w:left="709" w:hanging="425"/>
        <w:jc w:val="both"/>
        <w:rPr>
          <w:rFonts w:ascii="Verdana" w:hAnsi="Verdana"/>
          <w:sz w:val="20"/>
          <w:szCs w:val="20"/>
          <w:lang w:val="en" w:eastAsia="en-GB"/>
        </w:rPr>
      </w:pPr>
      <w:r w:rsidRPr="006F4ED5">
        <w:rPr>
          <w:rFonts w:ascii="Verdana" w:hAnsi="Verdana"/>
          <w:sz w:val="20"/>
          <w:szCs w:val="20"/>
          <w:lang w:val="en" w:eastAsia="en-GB"/>
        </w:rPr>
        <w:t xml:space="preserve">traffic for 2019 on the Sofia-Plovdiv line is also likely to be negatively affected by the construction work in the Sofia - Elin </w:t>
      </w:r>
      <w:proofErr w:type="spellStart"/>
      <w:r w:rsidRPr="006F4ED5">
        <w:rPr>
          <w:rFonts w:ascii="Verdana" w:hAnsi="Verdana"/>
          <w:sz w:val="20"/>
          <w:szCs w:val="20"/>
          <w:lang w:val="en" w:eastAsia="en-GB"/>
        </w:rPr>
        <w:t>Pelin</w:t>
      </w:r>
      <w:proofErr w:type="spellEnd"/>
      <w:r w:rsidRPr="006F4ED5">
        <w:rPr>
          <w:rFonts w:ascii="Verdana" w:hAnsi="Verdana"/>
          <w:sz w:val="20"/>
          <w:szCs w:val="20"/>
          <w:lang w:val="en" w:eastAsia="en-GB"/>
        </w:rPr>
        <w:t xml:space="preserve"> section, as well as those on the territory of Serbia</w:t>
      </w:r>
    </w:p>
    <w:p w14:paraId="0F88734D" w14:textId="77777777" w:rsidR="00905ED1" w:rsidRPr="006F4ED5" w:rsidRDefault="00905ED1" w:rsidP="00B31D39">
      <w:pPr>
        <w:numPr>
          <w:ilvl w:val="1"/>
          <w:numId w:val="18"/>
        </w:numPr>
        <w:tabs>
          <w:tab w:val="left" w:pos="4429"/>
          <w:tab w:val="left" w:pos="8746"/>
        </w:tabs>
        <w:spacing w:line="240" w:lineRule="auto"/>
        <w:ind w:left="709" w:hanging="425"/>
        <w:jc w:val="both"/>
        <w:rPr>
          <w:rFonts w:ascii="Verdana" w:hAnsi="Verdana"/>
          <w:sz w:val="20"/>
          <w:szCs w:val="20"/>
          <w:lang w:val="en" w:eastAsia="en-GB"/>
        </w:rPr>
      </w:pPr>
      <w:r w:rsidRPr="006F4ED5">
        <w:rPr>
          <w:rFonts w:ascii="Verdana" w:hAnsi="Verdana"/>
          <w:sz w:val="20"/>
          <w:szCs w:val="20"/>
          <w:lang w:val="en" w:eastAsia="en-GB"/>
        </w:rPr>
        <w:t>in order to feel tangible effects of investments in railway infrastructure, it is necessary to complete the construction activities on the whole route; in the 2014-2020 programming period, investments in the remaining sections and measures complementing the sections initiated in the first programming period continue.</w:t>
      </w:r>
    </w:p>
    <w:p w14:paraId="00BBF850" w14:textId="77777777" w:rsidR="00905ED1" w:rsidRPr="006F4ED5" w:rsidRDefault="00905ED1" w:rsidP="00905ED1">
      <w:pPr>
        <w:spacing w:line="240" w:lineRule="auto"/>
        <w:jc w:val="both"/>
        <w:rPr>
          <w:rFonts w:ascii="Verdana" w:hAnsi="Verdana"/>
          <w:sz w:val="20"/>
          <w:szCs w:val="20"/>
          <w:lang w:val="bg-BG"/>
        </w:rPr>
      </w:pPr>
      <w:r w:rsidRPr="006F4ED5">
        <w:rPr>
          <w:rFonts w:ascii="Verdana" w:hAnsi="Verdana"/>
          <w:sz w:val="20"/>
          <w:szCs w:val="20"/>
          <w:lang w:val="en"/>
        </w:rPr>
        <w:t xml:space="preserve">There could not be a definite answer whether a balance between different transport modes is achieved, as the specifics of the separate market segments should be taken into consideration. </w:t>
      </w:r>
    </w:p>
    <w:p w14:paraId="4631D666" w14:textId="77777777" w:rsidR="00905ED1" w:rsidRPr="006F4ED5" w:rsidRDefault="00905ED1" w:rsidP="00905ED1">
      <w:pPr>
        <w:spacing w:line="240" w:lineRule="auto"/>
        <w:jc w:val="both"/>
        <w:rPr>
          <w:rFonts w:ascii="Verdana" w:hAnsi="Verdana"/>
          <w:sz w:val="20"/>
          <w:szCs w:val="20"/>
          <w:lang w:val="bg-BG"/>
        </w:rPr>
      </w:pPr>
      <w:r w:rsidRPr="006F4ED5">
        <w:rPr>
          <w:rFonts w:ascii="Verdana" w:hAnsi="Verdana"/>
          <w:sz w:val="20"/>
          <w:szCs w:val="20"/>
          <w:lang w:val="en"/>
        </w:rPr>
        <w:t xml:space="preserve">In </w:t>
      </w:r>
      <w:r w:rsidRPr="006F4ED5">
        <w:rPr>
          <w:rFonts w:ascii="Verdana" w:hAnsi="Verdana"/>
          <w:b/>
          <w:bCs/>
          <w:i/>
          <w:iCs/>
          <w:sz w:val="20"/>
          <w:szCs w:val="20"/>
          <w:lang w:val="en"/>
        </w:rPr>
        <w:t>the case of passenger intercity</w:t>
      </w:r>
      <w:r w:rsidRPr="006F4ED5">
        <w:rPr>
          <w:rFonts w:ascii="Verdana" w:hAnsi="Verdana"/>
          <w:sz w:val="20"/>
          <w:szCs w:val="20"/>
          <w:lang w:val="en"/>
        </w:rPr>
        <w:t xml:space="preserve"> transport, the railway continues to lose market share, which, without taking into account </w:t>
      </w:r>
      <w:r w:rsidRPr="006F4ED5">
        <w:rPr>
          <w:rFonts w:ascii="Verdana" w:hAnsi="Verdana"/>
          <w:b/>
          <w:bCs/>
          <w:sz w:val="20"/>
          <w:szCs w:val="20"/>
          <w:lang w:val="en"/>
        </w:rPr>
        <w:t xml:space="preserve">other socio-economic factors </w:t>
      </w:r>
      <w:r w:rsidRPr="006F4ED5">
        <w:rPr>
          <w:rFonts w:ascii="Verdana" w:hAnsi="Verdana"/>
          <w:sz w:val="20"/>
          <w:szCs w:val="20"/>
          <w:lang w:val="en"/>
        </w:rPr>
        <w:t>strongly influencing the choice of mode of transport and focusing solely on the contribution of the OPT, is a logical result of:</w:t>
      </w:r>
    </w:p>
    <w:p w14:paraId="00FAEFE2" w14:textId="77777777" w:rsidR="00905ED1" w:rsidRPr="006F4ED5" w:rsidRDefault="00905ED1" w:rsidP="00905ED1">
      <w:pPr>
        <w:numPr>
          <w:ilvl w:val="0"/>
          <w:numId w:val="64"/>
        </w:numPr>
        <w:spacing w:line="240" w:lineRule="auto"/>
        <w:ind w:left="426" w:hanging="426"/>
        <w:jc w:val="both"/>
        <w:rPr>
          <w:rFonts w:ascii="Verdana" w:hAnsi="Verdana"/>
          <w:sz w:val="20"/>
          <w:szCs w:val="20"/>
          <w:lang w:val="bg-BG"/>
        </w:rPr>
      </w:pPr>
      <w:r w:rsidRPr="006F4ED5">
        <w:rPr>
          <w:rFonts w:ascii="Verdana" w:hAnsi="Verdana"/>
          <w:sz w:val="20"/>
          <w:szCs w:val="20"/>
          <w:lang w:val="en"/>
        </w:rPr>
        <w:t>The funds invested in projects to improve the quality of road infrastructure are twice as much as those allocated to the railway infrastructure</w:t>
      </w:r>
    </w:p>
    <w:p w14:paraId="35D17477" w14:textId="614619E7" w:rsidR="00905ED1" w:rsidRPr="006F4ED5" w:rsidRDefault="00905ED1" w:rsidP="00905ED1">
      <w:pPr>
        <w:numPr>
          <w:ilvl w:val="0"/>
          <w:numId w:val="64"/>
        </w:numPr>
        <w:spacing w:line="240" w:lineRule="auto"/>
        <w:ind w:left="426" w:hanging="426"/>
        <w:jc w:val="both"/>
        <w:rPr>
          <w:rFonts w:ascii="Verdana" w:hAnsi="Verdana"/>
          <w:sz w:val="20"/>
          <w:szCs w:val="20"/>
          <w:lang w:val="bg-BG"/>
        </w:rPr>
      </w:pPr>
      <w:r w:rsidRPr="006F4ED5">
        <w:rPr>
          <w:rFonts w:ascii="Verdana" w:hAnsi="Verdana"/>
          <w:sz w:val="20"/>
          <w:szCs w:val="20"/>
          <w:lang w:val="en"/>
        </w:rPr>
        <w:t xml:space="preserve">53% of all funds invested by OPT 2007-2013 in road infrastructure are for </w:t>
      </w:r>
      <w:proofErr w:type="spellStart"/>
      <w:r w:rsidRPr="006F4ED5">
        <w:rPr>
          <w:rFonts w:ascii="Verdana" w:hAnsi="Verdana"/>
          <w:sz w:val="20"/>
          <w:szCs w:val="20"/>
          <w:lang w:val="en"/>
        </w:rPr>
        <w:t>Trakia</w:t>
      </w:r>
      <w:proofErr w:type="spellEnd"/>
      <w:r w:rsidRPr="006F4ED5">
        <w:rPr>
          <w:rFonts w:ascii="Verdana" w:hAnsi="Verdana"/>
          <w:sz w:val="20"/>
          <w:szCs w:val="20"/>
          <w:lang w:val="en"/>
        </w:rPr>
        <w:t xml:space="preserve"> And Maritsa Motorway, which reports reduced load, ease of traffic, increase in average speed, respectively shortening travel time, security and comfort of road traffic; these newly built motorway sections directly compete with the </w:t>
      </w:r>
      <w:r w:rsidR="00B31D39" w:rsidRPr="006F4ED5">
        <w:rPr>
          <w:rFonts w:ascii="Verdana" w:hAnsi="Verdana"/>
          <w:sz w:val="20"/>
          <w:szCs w:val="20"/>
          <w:lang w:val="en"/>
        </w:rPr>
        <w:t>railway lines</w:t>
      </w:r>
      <w:r w:rsidRPr="006F4ED5">
        <w:rPr>
          <w:rFonts w:ascii="Verdana" w:hAnsi="Verdana"/>
          <w:sz w:val="20"/>
          <w:szCs w:val="20"/>
          <w:lang w:val="en"/>
        </w:rPr>
        <w:t xml:space="preserve"> Plovdiv - </w:t>
      </w:r>
      <w:proofErr w:type="spellStart"/>
      <w:r w:rsidRPr="006F4ED5">
        <w:rPr>
          <w:rFonts w:ascii="Verdana" w:hAnsi="Verdana"/>
          <w:sz w:val="20"/>
          <w:szCs w:val="20"/>
          <w:lang w:val="en"/>
        </w:rPr>
        <w:t>Burgas</w:t>
      </w:r>
      <w:proofErr w:type="spellEnd"/>
      <w:r w:rsidRPr="006F4ED5">
        <w:rPr>
          <w:rFonts w:ascii="Verdana" w:hAnsi="Verdana"/>
          <w:sz w:val="20"/>
          <w:szCs w:val="20"/>
          <w:lang w:val="en"/>
        </w:rPr>
        <w:t xml:space="preserve"> and Plovdiv – </w:t>
      </w:r>
      <w:proofErr w:type="spellStart"/>
      <w:r w:rsidRPr="006F4ED5">
        <w:rPr>
          <w:rFonts w:ascii="Verdana" w:hAnsi="Verdana"/>
          <w:sz w:val="20"/>
          <w:szCs w:val="20"/>
          <w:lang w:val="en"/>
        </w:rPr>
        <w:t>Svilengrad</w:t>
      </w:r>
      <w:proofErr w:type="spellEnd"/>
      <w:r w:rsidRPr="006F4ED5">
        <w:rPr>
          <w:rFonts w:ascii="Verdana" w:hAnsi="Verdana"/>
          <w:sz w:val="20"/>
          <w:szCs w:val="20"/>
          <w:lang w:val="en"/>
        </w:rPr>
        <w:t>, on which no competitive level of service has been achieved partly due to the technical parameters of the Plovdiv-</w:t>
      </w:r>
      <w:proofErr w:type="spellStart"/>
      <w:r w:rsidRPr="006F4ED5">
        <w:rPr>
          <w:rFonts w:ascii="Verdana" w:hAnsi="Verdana"/>
          <w:sz w:val="20"/>
          <w:szCs w:val="20"/>
          <w:lang w:val="en"/>
        </w:rPr>
        <w:t>Burgas</w:t>
      </w:r>
      <w:proofErr w:type="spellEnd"/>
      <w:r w:rsidRPr="006F4ED5">
        <w:rPr>
          <w:rFonts w:ascii="Verdana" w:hAnsi="Verdana"/>
          <w:sz w:val="20"/>
          <w:szCs w:val="20"/>
          <w:lang w:val="en"/>
        </w:rPr>
        <w:t xml:space="preserve"> line, partly due to the lack of suitable for speeds up to 160 km/h</w:t>
      </w:r>
    </w:p>
    <w:p w14:paraId="3F6DB806" w14:textId="77777777" w:rsidR="00905ED1" w:rsidRPr="006F4ED5" w:rsidRDefault="00905ED1" w:rsidP="00905ED1">
      <w:pPr>
        <w:numPr>
          <w:ilvl w:val="0"/>
          <w:numId w:val="64"/>
        </w:numPr>
        <w:spacing w:line="240" w:lineRule="auto"/>
        <w:ind w:left="426" w:hanging="426"/>
        <w:jc w:val="both"/>
        <w:rPr>
          <w:rFonts w:ascii="Verdana" w:hAnsi="Verdana"/>
          <w:sz w:val="20"/>
          <w:szCs w:val="20"/>
          <w:lang w:val="bg-BG"/>
        </w:rPr>
      </w:pPr>
      <w:r w:rsidRPr="006F4ED5">
        <w:rPr>
          <w:rFonts w:ascii="Verdana" w:hAnsi="Verdana"/>
          <w:sz w:val="20"/>
          <w:szCs w:val="20"/>
          <w:lang w:val="en"/>
        </w:rPr>
        <w:t>Over 1/3 of the financial resource for railway projects is invested in the Plovdiv -</w:t>
      </w:r>
      <w:proofErr w:type="spellStart"/>
      <w:r w:rsidRPr="006F4ED5">
        <w:rPr>
          <w:rFonts w:ascii="Verdana" w:hAnsi="Verdana"/>
          <w:sz w:val="20"/>
          <w:szCs w:val="20"/>
          <w:lang w:val="en"/>
        </w:rPr>
        <w:t>Svilengrad</w:t>
      </w:r>
      <w:proofErr w:type="spellEnd"/>
      <w:r w:rsidRPr="006F4ED5">
        <w:rPr>
          <w:rFonts w:ascii="Verdana" w:hAnsi="Verdana"/>
          <w:sz w:val="20"/>
          <w:szCs w:val="20"/>
          <w:lang w:val="en"/>
        </w:rPr>
        <w:t xml:space="preserve"> section, which is not of paramount importance for passenger transport and accordingly does not make a significant contribution to the results at national level.</w:t>
      </w:r>
    </w:p>
    <w:p w14:paraId="6F39855C" w14:textId="77777777" w:rsidR="00905ED1" w:rsidRPr="006F4ED5" w:rsidRDefault="00905ED1" w:rsidP="00905ED1">
      <w:pPr>
        <w:spacing w:line="240" w:lineRule="auto"/>
        <w:jc w:val="both"/>
        <w:rPr>
          <w:rFonts w:ascii="Verdana" w:hAnsi="Verdana"/>
          <w:sz w:val="20"/>
          <w:szCs w:val="20"/>
          <w:lang w:val="bg-BG"/>
        </w:rPr>
      </w:pPr>
      <w:r w:rsidRPr="006F4ED5">
        <w:rPr>
          <w:rFonts w:ascii="Verdana" w:hAnsi="Verdana"/>
          <w:sz w:val="20"/>
          <w:szCs w:val="20"/>
          <w:lang w:val="en"/>
        </w:rPr>
        <w:lastRenderedPageBreak/>
        <w:t>As mentioned above, significant positive changes should be expected at the completion of the railway section Sofia - Plovdiv, which connects the two largest cities in the country and whose direction is the highest demand for long-distance passenger trips.</w:t>
      </w:r>
    </w:p>
    <w:p w14:paraId="71869B19" w14:textId="51774ADD" w:rsidR="00905ED1" w:rsidRPr="00E81497" w:rsidRDefault="00905ED1" w:rsidP="00905ED1">
      <w:pPr>
        <w:spacing w:line="240" w:lineRule="auto"/>
        <w:jc w:val="both"/>
        <w:rPr>
          <w:rFonts w:ascii="Verdana" w:hAnsi="Verdana"/>
          <w:sz w:val="20"/>
          <w:szCs w:val="20"/>
          <w:lang w:val="en"/>
        </w:rPr>
      </w:pPr>
      <w:r w:rsidRPr="006F4ED5">
        <w:rPr>
          <w:rFonts w:ascii="Verdana" w:hAnsi="Verdana"/>
          <w:sz w:val="20"/>
          <w:szCs w:val="20"/>
          <w:lang w:val="en"/>
        </w:rPr>
        <w:t xml:space="preserve">With regard to passenger public transport in Sofia, the ratio is in favor of public and non-motorized transport with about 70% total share compared to about 30% for individual motorized transport. The significant growth in the work carried out </w:t>
      </w:r>
      <w:r w:rsidRPr="00E81497">
        <w:rPr>
          <w:rFonts w:ascii="Verdana" w:hAnsi="Verdana"/>
          <w:sz w:val="20"/>
          <w:szCs w:val="20"/>
          <w:lang w:val="en"/>
        </w:rPr>
        <w:t xml:space="preserve">by Metropolitan </w:t>
      </w:r>
      <w:r w:rsidR="00B31D39" w:rsidRPr="00E81497">
        <w:rPr>
          <w:rFonts w:ascii="Verdana" w:hAnsi="Verdana"/>
          <w:sz w:val="20"/>
          <w:szCs w:val="20"/>
          <w:lang w:val="en"/>
        </w:rPr>
        <w:t>JSC</w:t>
      </w:r>
      <w:r w:rsidRPr="00E81497">
        <w:rPr>
          <w:rFonts w:ascii="Verdana" w:hAnsi="Verdana"/>
          <w:sz w:val="20"/>
          <w:szCs w:val="20"/>
          <w:lang w:val="en"/>
        </w:rPr>
        <w:t xml:space="preserve"> in </w:t>
      </w:r>
      <w:proofErr w:type="spellStart"/>
      <w:r w:rsidRPr="00E81497">
        <w:rPr>
          <w:rFonts w:ascii="Verdana" w:hAnsi="Verdana"/>
          <w:sz w:val="20"/>
          <w:szCs w:val="20"/>
          <w:lang w:val="en"/>
        </w:rPr>
        <w:t>pkm</w:t>
      </w:r>
      <w:proofErr w:type="spellEnd"/>
      <w:r w:rsidRPr="00E81497">
        <w:rPr>
          <w:rFonts w:ascii="Verdana" w:hAnsi="Verdana"/>
          <w:sz w:val="20"/>
          <w:szCs w:val="20"/>
          <w:lang w:val="en"/>
        </w:rPr>
        <w:t xml:space="preserve"> /passenger </w:t>
      </w:r>
      <w:r w:rsidR="00B31D39" w:rsidRPr="00E81497">
        <w:rPr>
          <w:rFonts w:ascii="Verdana" w:hAnsi="Verdana"/>
          <w:sz w:val="20"/>
          <w:szCs w:val="20"/>
          <w:lang w:val="en"/>
        </w:rPr>
        <w:t>kilometers</w:t>
      </w:r>
      <w:r w:rsidRPr="00E81497">
        <w:rPr>
          <w:rFonts w:ascii="Verdana" w:hAnsi="Verdana"/>
          <w:sz w:val="20"/>
          <w:szCs w:val="20"/>
          <w:lang w:val="en"/>
        </w:rPr>
        <w:t>/ is a strong indicator that the built infrastructure is actively used. Taking into account the trends in other cities in Bulgaria (and not only), in which the share of public transport is lower than that of car trips, the retention of the share of individual motorized trips in Sofia at the same level can be seen as a very good achievement, supported by the four projects funded by OPT 2007-2 013. And in this case, the factors influencing the choice of the mode of transport depend on a number of other elements of the socio-economic environment and the achievement of optimal results depends on the coordinated impact.</w:t>
      </w:r>
    </w:p>
    <w:p w14:paraId="53F8F914" w14:textId="4F8AD4E5" w:rsidR="00905ED1" w:rsidRPr="006F4ED5" w:rsidRDefault="00905ED1" w:rsidP="00905ED1">
      <w:pPr>
        <w:spacing w:line="240" w:lineRule="auto"/>
        <w:jc w:val="both"/>
        <w:rPr>
          <w:rFonts w:ascii="Verdana" w:hAnsi="Verdana"/>
          <w:sz w:val="20"/>
          <w:szCs w:val="20"/>
          <w:lang w:val="en"/>
        </w:rPr>
      </w:pPr>
      <w:r w:rsidRPr="00E81497">
        <w:rPr>
          <w:rFonts w:ascii="Verdana" w:hAnsi="Verdana"/>
          <w:sz w:val="20"/>
          <w:szCs w:val="20"/>
          <w:lang w:val="en"/>
        </w:rPr>
        <w:t xml:space="preserve">However, in the case of freight inland transport, the ratio to the base year and to 2019 is in </w:t>
      </w:r>
      <w:r w:rsidR="00B31D39" w:rsidRPr="00E81497">
        <w:rPr>
          <w:rFonts w:ascii="Verdana" w:hAnsi="Verdana"/>
          <w:sz w:val="20"/>
          <w:szCs w:val="20"/>
          <w:lang w:val="en"/>
        </w:rPr>
        <w:t>favor</w:t>
      </w:r>
      <w:r w:rsidRPr="00E81497">
        <w:rPr>
          <w:rFonts w:ascii="Verdana" w:hAnsi="Verdana"/>
          <w:sz w:val="20"/>
          <w:szCs w:val="20"/>
          <w:lang w:val="en"/>
        </w:rPr>
        <w:t xml:space="preserve"> of the railway, whose relative share of the total work carried out in </w:t>
      </w:r>
      <w:proofErr w:type="spellStart"/>
      <w:r w:rsidRPr="00E81497">
        <w:rPr>
          <w:rFonts w:ascii="Verdana" w:hAnsi="Verdana"/>
          <w:sz w:val="20"/>
          <w:szCs w:val="20"/>
          <w:lang w:val="en"/>
        </w:rPr>
        <w:t>tkm</w:t>
      </w:r>
      <w:proofErr w:type="spellEnd"/>
      <w:r w:rsidRPr="00E81497">
        <w:rPr>
          <w:rFonts w:ascii="Verdana" w:hAnsi="Verdana"/>
          <w:sz w:val="20"/>
          <w:szCs w:val="20"/>
          <w:lang w:val="en"/>
        </w:rPr>
        <w:t xml:space="preserve"> decreases. It should be acknowledged that intermodal transport through newly built and put into service in 2018 terminal in Plovdiv is growing at a steady rate and positive development can be expected in the coming years. The impact of the OPT 2007-2013 rail projects cannot</w:t>
      </w:r>
      <w:r w:rsidRPr="006F4ED5">
        <w:rPr>
          <w:rFonts w:ascii="Verdana" w:hAnsi="Verdana"/>
          <w:sz w:val="20"/>
          <w:szCs w:val="20"/>
          <w:lang w:val="en"/>
        </w:rPr>
        <w:t xml:space="preserve"> be fully examined due to the interdependence with other ongoing projects under the same programme.</w:t>
      </w:r>
    </w:p>
    <w:p w14:paraId="11785CCB" w14:textId="77777777" w:rsidR="00905ED1" w:rsidRPr="006F4ED5" w:rsidRDefault="00905ED1" w:rsidP="00905ED1">
      <w:pPr>
        <w:jc w:val="both"/>
        <w:rPr>
          <w:rFonts w:ascii="Verdana" w:hAnsi="Verdana"/>
          <w:sz w:val="20"/>
          <w:szCs w:val="20"/>
          <w:lang w:val="en"/>
        </w:rPr>
      </w:pPr>
      <w:r w:rsidRPr="006F4ED5">
        <w:rPr>
          <w:rFonts w:ascii="Verdana" w:hAnsi="Verdana"/>
          <w:sz w:val="20"/>
          <w:szCs w:val="20"/>
          <w:lang w:val="en"/>
        </w:rPr>
        <w:t>An appropriate indicator for assessing the balance between modes of transport would be the ratio between the work carried out in passenger and freight transport in the relevant market segments – urban, long-distance and possibly international. However, it should be taken into account that the work carried out by passenger cars is not monitored by the NSI and the collection of such data will require further studies and analyses.</w:t>
      </w:r>
    </w:p>
    <w:p w14:paraId="48565245" w14:textId="77777777" w:rsidR="00DB4345" w:rsidRPr="00F50700" w:rsidRDefault="00DB4345" w:rsidP="006E2FC7">
      <w:pPr>
        <w:spacing w:line="240" w:lineRule="auto"/>
        <w:ind w:left="426" w:hanging="426"/>
        <w:rPr>
          <w:rFonts w:ascii="Verdana" w:eastAsia="Calibri" w:hAnsi="Verdana" w:cs="Calibri"/>
          <w:color w:val="FFFFFF" w:themeColor="background1"/>
          <w:sz w:val="20"/>
          <w:szCs w:val="20"/>
          <w:lang w:val="bg-BG"/>
        </w:rPr>
      </w:pPr>
    </w:p>
    <w:p w14:paraId="70B0C7F1" w14:textId="7F33EF46" w:rsidR="007502B1" w:rsidRPr="00F50700" w:rsidRDefault="007502B1" w:rsidP="0048262D">
      <w:pPr>
        <w:pStyle w:val="Heading1"/>
        <w:numPr>
          <w:ilvl w:val="1"/>
          <w:numId w:val="58"/>
        </w:numPr>
        <w:shd w:val="clear" w:color="auto" w:fill="374C80" w:themeFill="accent1" w:themeFillShade="BF"/>
        <w:spacing w:before="120" w:after="120" w:line="240" w:lineRule="auto"/>
        <w:ind w:left="0" w:firstLine="0"/>
        <w:jc w:val="both"/>
        <w:rPr>
          <w:rFonts w:ascii="Verdana" w:eastAsia="Calibri" w:hAnsi="Verdana" w:cs="Calibri"/>
          <w:b/>
          <w:bCs/>
          <w:color w:val="FFFFFF" w:themeColor="background1"/>
          <w:sz w:val="20"/>
          <w:szCs w:val="20"/>
          <w:lang w:val="bg-BG"/>
        </w:rPr>
      </w:pPr>
      <w:bookmarkStart w:id="100" w:name="_Ref50296601"/>
      <w:bookmarkStart w:id="101" w:name="_Ref50464370"/>
      <w:bookmarkStart w:id="102" w:name="_Ref50464954"/>
      <w:bookmarkStart w:id="103" w:name="_Toc62724400"/>
      <w:r w:rsidRPr="00F50700">
        <w:rPr>
          <w:rFonts w:ascii="Verdana" w:hAnsi="Verdana"/>
          <w:b/>
          <w:bCs/>
          <w:color w:val="FFFFFF" w:themeColor="background1"/>
          <w:sz w:val="20"/>
          <w:szCs w:val="20"/>
          <w:lang w:val="en"/>
        </w:rPr>
        <w:t>What are the economic and environmental benefits and effects for the transport sector?</w:t>
      </w:r>
      <w:bookmarkEnd w:id="100"/>
      <w:bookmarkEnd w:id="101"/>
      <w:bookmarkEnd w:id="102"/>
      <w:bookmarkEnd w:id="103"/>
    </w:p>
    <w:p w14:paraId="03FE345D" w14:textId="30CC4FB8" w:rsidR="007431CB" w:rsidRPr="00F50700" w:rsidRDefault="007431CB" w:rsidP="006E2FC7">
      <w:pPr>
        <w:spacing w:line="240" w:lineRule="auto"/>
        <w:ind w:left="426" w:hanging="426"/>
        <w:rPr>
          <w:rFonts w:ascii="Verdana" w:eastAsia="Calibri" w:hAnsi="Verdana" w:cs="Calibri"/>
          <w:color w:val="FFFFFF" w:themeColor="background1"/>
          <w:sz w:val="20"/>
          <w:szCs w:val="20"/>
          <w:lang w:val="bg-BG"/>
        </w:rPr>
      </w:pPr>
    </w:p>
    <w:p w14:paraId="7FD881A9" w14:textId="18961719" w:rsidR="0024029C" w:rsidRPr="004772EE" w:rsidRDefault="0024029C" w:rsidP="00E81497">
      <w:pPr>
        <w:keepNext/>
        <w:keepLines/>
        <w:spacing w:before="120" w:after="120"/>
        <w:jc w:val="both"/>
        <w:outlineLvl w:val="2"/>
        <w:rPr>
          <w:rFonts w:ascii="Verdana" w:eastAsiaTheme="majorEastAsia" w:hAnsi="Verdana" w:cstheme="majorBidi"/>
          <w:b/>
          <w:bCs/>
          <w:smallCaps/>
          <w:color w:val="374C80" w:themeColor="accent1" w:themeShade="BF"/>
          <w:sz w:val="20"/>
          <w:szCs w:val="20"/>
        </w:rPr>
      </w:pPr>
      <w:r w:rsidRPr="000506E6">
        <w:rPr>
          <w:rFonts w:ascii="Verdana" w:hAnsi="Verdana"/>
          <w:b/>
          <w:bCs/>
          <w:smallCaps/>
          <w:color w:val="374C80" w:themeColor="accent1" w:themeShade="BF"/>
          <w:sz w:val="20"/>
          <w:szCs w:val="20"/>
          <w:lang w:val="en"/>
        </w:rPr>
        <w:t>Economic effects for transport sector</w:t>
      </w:r>
      <w:r w:rsidR="004772EE">
        <w:rPr>
          <w:rFonts w:ascii="Verdana" w:hAnsi="Verdana"/>
          <w:b/>
          <w:bCs/>
          <w:smallCaps/>
          <w:color w:val="374C80" w:themeColor="accent1" w:themeShade="BF"/>
          <w:sz w:val="20"/>
          <w:szCs w:val="20"/>
          <w:lang w:val="bg-BG"/>
        </w:rPr>
        <w:t xml:space="preserve"> </w:t>
      </w:r>
      <w:r w:rsidR="004772EE">
        <w:rPr>
          <w:rFonts w:ascii="Verdana" w:hAnsi="Verdana"/>
          <w:b/>
          <w:bCs/>
          <w:smallCaps/>
          <w:color w:val="374C80" w:themeColor="accent1" w:themeShade="BF"/>
          <w:sz w:val="20"/>
          <w:szCs w:val="20"/>
        </w:rPr>
        <w:t>resulting from implementation of opt</w:t>
      </w:r>
    </w:p>
    <w:p w14:paraId="1CC4F020" w14:textId="5A902394" w:rsidR="0024029C" w:rsidRPr="00EE612B" w:rsidRDefault="0024029C" w:rsidP="00E81497">
      <w:pPr>
        <w:spacing w:before="120" w:after="120"/>
        <w:jc w:val="both"/>
        <w:rPr>
          <w:rFonts w:ascii="Verdana" w:hAnsi="Verdana"/>
          <w:sz w:val="20"/>
          <w:szCs w:val="20"/>
          <w:lang w:val="bg-BG"/>
        </w:rPr>
      </w:pPr>
      <w:r w:rsidRPr="00EE612B">
        <w:rPr>
          <w:rFonts w:ascii="Verdana" w:hAnsi="Verdana"/>
          <w:sz w:val="20"/>
          <w:szCs w:val="20"/>
          <w:lang w:val="en-US"/>
        </w:rPr>
        <w:t>For the assessment of the net effects on the transport sector resulting from the OPT implementation, the results of the impact of the EU funds as of 31.12.2019 have been used. The latter have been obtained by means of an application of the SIBILA 2.0 model (published by the MF). In addition, OPT intermediate assessments have also been included. The programme</w:t>
      </w:r>
      <w:r w:rsidR="004772EE" w:rsidRPr="00EE612B">
        <w:rPr>
          <w:rFonts w:ascii="Verdana" w:hAnsi="Verdana"/>
          <w:sz w:val="20"/>
          <w:szCs w:val="20"/>
          <w:lang w:val="en-US"/>
        </w:rPr>
        <w:t xml:space="preserve"> </w:t>
      </w:r>
      <w:r w:rsidRPr="00EE612B">
        <w:rPr>
          <w:rFonts w:ascii="Verdana" w:hAnsi="Verdana"/>
          <w:sz w:val="20"/>
          <w:szCs w:val="20"/>
          <w:lang w:val="en-US"/>
        </w:rPr>
        <w:t>impact has been evaluated on real GDP, on exports/imports of goods and services, on private/public consumption, on employment, inflation and on budget balance at the end of 2015, and at the end of 2019.</w:t>
      </w:r>
      <w:r w:rsidRPr="00EE612B">
        <w:rPr>
          <w:rFonts w:ascii="Verdana" w:hAnsi="Verdana"/>
          <w:sz w:val="20"/>
          <w:szCs w:val="20"/>
          <w:lang w:val="en"/>
        </w:rPr>
        <w:t xml:space="preserve"> The most significant economic benefits are split in two directions </w:t>
      </w:r>
      <w:r w:rsidRPr="00EE612B">
        <w:rPr>
          <w:rFonts w:ascii="Verdana" w:hAnsi="Verdana"/>
          <w:b/>
          <w:bCs/>
          <w:sz w:val="20"/>
          <w:szCs w:val="20"/>
          <w:lang w:val="en"/>
        </w:rPr>
        <w:t xml:space="preserve">– one is the </w:t>
      </w:r>
      <w:r w:rsidR="00B31D39" w:rsidRPr="00EE612B">
        <w:rPr>
          <w:rFonts w:ascii="Verdana" w:hAnsi="Verdana"/>
          <w:b/>
          <w:bCs/>
          <w:sz w:val="20"/>
          <w:szCs w:val="20"/>
          <w:lang w:val="en"/>
        </w:rPr>
        <w:t>labor</w:t>
      </w:r>
      <w:r w:rsidRPr="00EE612B">
        <w:rPr>
          <w:rFonts w:ascii="Verdana" w:hAnsi="Verdana"/>
          <w:b/>
          <w:bCs/>
          <w:sz w:val="20"/>
          <w:szCs w:val="20"/>
          <w:lang w:val="en"/>
        </w:rPr>
        <w:t xml:space="preserve"> market, and the other is investment activity.</w:t>
      </w:r>
      <w:r w:rsidRPr="00EE612B">
        <w:rPr>
          <w:rFonts w:ascii="Verdana" w:hAnsi="Verdana"/>
          <w:sz w:val="20"/>
          <w:szCs w:val="20"/>
          <w:lang w:val="en"/>
        </w:rPr>
        <w:t xml:space="preserve"> The effect on employment at the end of 2015 amounted to 1.1%, and as of the end of 2019, it fades as expected, as a sufficiently long period of time had passed after the completion of the OPT projects.</w:t>
      </w:r>
    </w:p>
    <w:p w14:paraId="4A3CC368" w14:textId="62EA0B0A" w:rsidR="0024029C" w:rsidRPr="00EE612B" w:rsidRDefault="0024029C" w:rsidP="00E81497">
      <w:pPr>
        <w:spacing w:before="120" w:after="120"/>
        <w:jc w:val="both"/>
        <w:rPr>
          <w:rFonts w:ascii="Verdana" w:hAnsi="Verdana"/>
          <w:sz w:val="20"/>
          <w:szCs w:val="20"/>
          <w:lang w:val="bg-BG"/>
        </w:rPr>
      </w:pPr>
      <w:r w:rsidRPr="00EE612B">
        <w:rPr>
          <w:rFonts w:ascii="Verdana" w:hAnsi="Verdana"/>
          <w:sz w:val="20"/>
          <w:szCs w:val="20"/>
          <w:lang w:val="en"/>
        </w:rPr>
        <w:t xml:space="preserve">The economic effects on the transport sector are also positive. On the one hand, this sector is closely related to the construction sector. Furthermore, any investment activity in infrastructure leads to a significant increase in employment and in the gross value added of transport economic activities. On the other hand, some of the most affected businesses from the presence/absence of road infrastructure are exactly those in the Transport sector. The improvement in transport services’ efficiency and in the quality of road infrastructure </w:t>
      </w:r>
      <w:r w:rsidRPr="00EE612B">
        <w:rPr>
          <w:rFonts w:ascii="Verdana" w:hAnsi="Verdana"/>
          <w:sz w:val="20"/>
          <w:szCs w:val="20"/>
          <w:lang w:val="en"/>
        </w:rPr>
        <w:lastRenderedPageBreak/>
        <w:t xml:space="preserve">leads to the significant improvement in competitiveness within the sector. In addition, the number of employed persons in that sector should be considered: in 2019, their number in activities related to Transport, Storage and Communications amounted to 211.13 thousand people. The latter means that even with small net effects, the impact is related to a </w:t>
      </w:r>
      <w:r w:rsidR="004772EE" w:rsidRPr="00EE612B">
        <w:rPr>
          <w:rFonts w:ascii="Verdana" w:hAnsi="Verdana"/>
          <w:sz w:val="20"/>
          <w:szCs w:val="20"/>
          <w:lang w:val="en"/>
        </w:rPr>
        <w:t>significant</w:t>
      </w:r>
      <w:r w:rsidRPr="00EE612B">
        <w:rPr>
          <w:rFonts w:ascii="Verdana" w:hAnsi="Verdana"/>
          <w:sz w:val="20"/>
          <w:szCs w:val="20"/>
          <w:lang w:val="en"/>
        </w:rPr>
        <w:t xml:space="preserve"> number of jobs.</w:t>
      </w:r>
    </w:p>
    <w:p w14:paraId="39E03870" w14:textId="63BAC07B" w:rsidR="00B31D39" w:rsidRPr="00B31D39" w:rsidRDefault="00B31D39" w:rsidP="00B31D39">
      <w:pPr>
        <w:pStyle w:val="Caption"/>
        <w:keepNext/>
        <w:rPr>
          <w:rFonts w:ascii="Verdana" w:hAnsi="Verdana"/>
          <w:sz w:val="20"/>
          <w:szCs w:val="20"/>
        </w:rPr>
      </w:pPr>
      <w:bookmarkStart w:id="104" w:name="_Toc62724735"/>
      <w:r w:rsidRPr="00B31D39">
        <w:rPr>
          <w:rFonts w:ascii="Verdana" w:hAnsi="Verdana"/>
          <w:sz w:val="20"/>
          <w:szCs w:val="20"/>
        </w:rPr>
        <w:t xml:space="preserve">Table </w:t>
      </w:r>
      <w:r w:rsidR="002A60EF">
        <w:rPr>
          <w:rFonts w:ascii="Verdana" w:hAnsi="Verdana"/>
          <w:sz w:val="20"/>
          <w:szCs w:val="20"/>
        </w:rPr>
        <w:fldChar w:fldCharType="begin"/>
      </w:r>
      <w:r w:rsidR="002A60EF">
        <w:rPr>
          <w:rFonts w:ascii="Verdana" w:hAnsi="Verdana"/>
          <w:sz w:val="20"/>
          <w:szCs w:val="20"/>
        </w:rPr>
        <w:instrText xml:space="preserve"> STYLEREF 1 \s </w:instrText>
      </w:r>
      <w:r w:rsidR="002A60EF">
        <w:rPr>
          <w:rFonts w:ascii="Verdana" w:hAnsi="Verdana"/>
          <w:sz w:val="20"/>
          <w:szCs w:val="20"/>
        </w:rPr>
        <w:fldChar w:fldCharType="separate"/>
      </w:r>
      <w:r w:rsidR="002A60EF">
        <w:rPr>
          <w:rFonts w:ascii="Verdana" w:hAnsi="Verdana"/>
          <w:noProof/>
          <w:sz w:val="20"/>
          <w:szCs w:val="20"/>
        </w:rPr>
        <w:t>IV.7</w:t>
      </w:r>
      <w:r w:rsidR="002A60EF">
        <w:rPr>
          <w:rFonts w:ascii="Verdana" w:hAnsi="Verdana"/>
          <w:sz w:val="20"/>
          <w:szCs w:val="20"/>
        </w:rPr>
        <w:fldChar w:fldCharType="end"/>
      </w:r>
      <w:r w:rsidR="002A60EF">
        <w:rPr>
          <w:rFonts w:ascii="Verdana" w:hAnsi="Verdana"/>
          <w:sz w:val="20"/>
          <w:szCs w:val="20"/>
        </w:rPr>
        <w:noBreakHyphen/>
      </w:r>
      <w:r w:rsidR="002A60EF">
        <w:rPr>
          <w:rFonts w:ascii="Verdana" w:hAnsi="Verdana"/>
          <w:sz w:val="20"/>
          <w:szCs w:val="20"/>
        </w:rPr>
        <w:fldChar w:fldCharType="begin"/>
      </w:r>
      <w:r w:rsidR="002A60EF">
        <w:rPr>
          <w:rFonts w:ascii="Verdana" w:hAnsi="Verdana"/>
          <w:sz w:val="20"/>
          <w:szCs w:val="20"/>
        </w:rPr>
        <w:instrText xml:space="preserve"> SEQ Table \* ARABIC \s 1 </w:instrText>
      </w:r>
      <w:r w:rsidR="002A60EF">
        <w:rPr>
          <w:rFonts w:ascii="Verdana" w:hAnsi="Verdana"/>
          <w:sz w:val="20"/>
          <w:szCs w:val="20"/>
        </w:rPr>
        <w:fldChar w:fldCharType="separate"/>
      </w:r>
      <w:r w:rsidR="002A60EF">
        <w:rPr>
          <w:rFonts w:ascii="Verdana" w:hAnsi="Verdana"/>
          <w:noProof/>
          <w:sz w:val="20"/>
          <w:szCs w:val="20"/>
        </w:rPr>
        <w:t>1</w:t>
      </w:r>
      <w:r w:rsidR="002A60EF">
        <w:rPr>
          <w:rFonts w:ascii="Verdana" w:hAnsi="Verdana"/>
          <w:sz w:val="20"/>
          <w:szCs w:val="20"/>
        </w:rPr>
        <w:fldChar w:fldCharType="end"/>
      </w:r>
      <w:r w:rsidRPr="00B31D39">
        <w:rPr>
          <w:rFonts w:ascii="Verdana" w:hAnsi="Verdana"/>
          <w:sz w:val="20"/>
          <w:szCs w:val="20"/>
        </w:rPr>
        <w:t xml:space="preserve"> Net effects of the implementation of the OPT at the end of 2015, and at the end of 2019</w:t>
      </w:r>
      <w:bookmarkEnd w:id="104"/>
    </w:p>
    <w:tbl>
      <w:tblPr>
        <w:tblStyle w:val="TableGridLight"/>
        <w:tblW w:w="90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35"/>
        <w:gridCol w:w="2322"/>
        <w:gridCol w:w="2592"/>
      </w:tblGrid>
      <w:tr w:rsidR="0024029C" w:rsidRPr="00B31D39" w14:paraId="6A0DFBB8" w14:textId="77777777" w:rsidTr="00AC2E19">
        <w:trPr>
          <w:trHeight w:val="332"/>
        </w:trPr>
        <w:tc>
          <w:tcPr>
            <w:tcW w:w="4135" w:type="dxa"/>
            <w:shd w:val="clear" w:color="auto" w:fill="374C80" w:themeFill="accent1" w:themeFillShade="BF"/>
          </w:tcPr>
          <w:p w14:paraId="4FB052A8" w14:textId="77777777" w:rsidR="0024029C" w:rsidRPr="00B31D39" w:rsidRDefault="0024029C" w:rsidP="00AC2E19">
            <w:pPr>
              <w:widowControl w:val="0"/>
              <w:autoSpaceDE w:val="0"/>
              <w:autoSpaceDN w:val="0"/>
              <w:spacing w:before="56"/>
              <w:ind w:left="69"/>
              <w:rPr>
                <w:rFonts w:ascii="Verdana" w:eastAsia="Calibri" w:hAnsi="Verdana" w:cs="Calibri"/>
                <w:b/>
                <w:bCs/>
                <w:color w:val="FFFFFF" w:themeColor="background1"/>
                <w:sz w:val="18"/>
                <w:lang w:bidi="bg-BG"/>
              </w:rPr>
            </w:pPr>
            <w:r w:rsidRPr="00B31D39">
              <w:rPr>
                <w:rFonts w:ascii="Verdana" w:hAnsi="Verdana"/>
                <w:b/>
                <w:bCs/>
                <w:color w:val="FFFFFF" w:themeColor="background1"/>
                <w:sz w:val="18"/>
                <w:lang w:val="en" w:bidi="bg-BG"/>
              </w:rPr>
              <w:t>Macroeconomic indicator</w:t>
            </w:r>
          </w:p>
        </w:tc>
        <w:tc>
          <w:tcPr>
            <w:tcW w:w="2322" w:type="dxa"/>
            <w:shd w:val="clear" w:color="auto" w:fill="374C80" w:themeFill="accent1" w:themeFillShade="BF"/>
          </w:tcPr>
          <w:p w14:paraId="3A5FDE0F" w14:textId="77777777" w:rsidR="0024029C" w:rsidRPr="00B31D39" w:rsidRDefault="0024029C" w:rsidP="00AC2E19">
            <w:pPr>
              <w:widowControl w:val="0"/>
              <w:autoSpaceDE w:val="0"/>
              <w:autoSpaceDN w:val="0"/>
              <w:spacing w:before="56"/>
              <w:ind w:right="73"/>
              <w:jc w:val="center"/>
              <w:rPr>
                <w:rFonts w:ascii="Verdana" w:eastAsia="Calibri" w:hAnsi="Verdana" w:cs="Calibri"/>
                <w:b/>
                <w:bCs/>
                <w:color w:val="FFFFFF" w:themeColor="background1"/>
                <w:sz w:val="18"/>
                <w:lang w:bidi="bg-BG"/>
              </w:rPr>
            </w:pPr>
            <w:r w:rsidRPr="00B31D39">
              <w:rPr>
                <w:rFonts w:ascii="Verdana" w:hAnsi="Verdana"/>
                <w:b/>
                <w:bCs/>
                <w:color w:val="FFFFFF" w:themeColor="background1"/>
                <w:sz w:val="18"/>
                <w:lang w:val="en" w:bidi="bg-BG"/>
              </w:rPr>
              <w:t xml:space="preserve">Effect at the end of 2015 </w:t>
            </w:r>
            <w:r w:rsidRPr="00B31D39">
              <w:rPr>
                <w:rFonts w:ascii="Verdana" w:hAnsi="Verdana"/>
                <w:b/>
                <w:bCs/>
                <w:color w:val="FFFFFF" w:themeColor="background1"/>
                <w:sz w:val="18"/>
                <w:vertAlign w:val="superscript"/>
                <w:lang w:val="en" w:bidi="bg-BG"/>
              </w:rPr>
              <w:footnoteReference w:id="21"/>
            </w:r>
          </w:p>
        </w:tc>
        <w:tc>
          <w:tcPr>
            <w:tcW w:w="2592" w:type="dxa"/>
            <w:shd w:val="clear" w:color="auto" w:fill="374C80" w:themeFill="accent1" w:themeFillShade="BF"/>
          </w:tcPr>
          <w:p w14:paraId="0AD6B5ED" w14:textId="4449AC4A" w:rsidR="0024029C" w:rsidRPr="00B31D39" w:rsidRDefault="0024029C" w:rsidP="00AC2E19">
            <w:pPr>
              <w:widowControl w:val="0"/>
              <w:autoSpaceDE w:val="0"/>
              <w:autoSpaceDN w:val="0"/>
              <w:spacing w:before="56"/>
              <w:ind w:right="73"/>
              <w:jc w:val="center"/>
              <w:rPr>
                <w:rFonts w:ascii="Verdana" w:eastAsia="Calibri" w:hAnsi="Verdana" w:cs="Calibri"/>
                <w:b/>
                <w:bCs/>
                <w:color w:val="FFFFFF" w:themeColor="background1"/>
                <w:sz w:val="18"/>
                <w:lang w:bidi="bg-BG"/>
              </w:rPr>
            </w:pPr>
            <w:r w:rsidRPr="00B31D39">
              <w:rPr>
                <w:rFonts w:ascii="Verdana" w:hAnsi="Verdana"/>
                <w:b/>
                <w:bCs/>
                <w:color w:val="FFFFFF" w:themeColor="background1"/>
                <w:sz w:val="18"/>
                <w:lang w:val="en" w:bidi="bg-BG"/>
              </w:rPr>
              <w:t>Expert assessment of the effect towards the end of 2019</w:t>
            </w:r>
          </w:p>
        </w:tc>
      </w:tr>
      <w:tr w:rsidR="0024029C" w:rsidRPr="00B31D39" w14:paraId="0F02B936" w14:textId="77777777" w:rsidTr="00AC2E19">
        <w:trPr>
          <w:trHeight w:val="313"/>
        </w:trPr>
        <w:tc>
          <w:tcPr>
            <w:tcW w:w="4135" w:type="dxa"/>
            <w:shd w:val="clear" w:color="auto" w:fill="D9DFEF" w:themeFill="accent1" w:themeFillTint="33"/>
          </w:tcPr>
          <w:p w14:paraId="357EABA5" w14:textId="06317E8A" w:rsidR="0024029C" w:rsidRPr="00B31D39" w:rsidRDefault="00B31D39" w:rsidP="00AC2E19">
            <w:pPr>
              <w:widowControl w:val="0"/>
              <w:autoSpaceDE w:val="0"/>
              <w:autoSpaceDN w:val="0"/>
              <w:spacing w:before="37"/>
              <w:rPr>
                <w:rFonts w:ascii="Verdana" w:eastAsia="Calibri" w:hAnsi="Verdana" w:cs="Calibri"/>
                <w:b/>
                <w:bCs/>
                <w:i/>
                <w:iCs/>
                <w:color w:val="4A66AC" w:themeColor="accent1"/>
                <w:sz w:val="18"/>
                <w:lang w:bidi="bg-BG"/>
              </w:rPr>
            </w:pPr>
            <w:r w:rsidRPr="00B31D39">
              <w:rPr>
                <w:rFonts w:ascii="Verdana" w:hAnsi="Verdana"/>
                <w:b/>
                <w:bCs/>
                <w:i/>
                <w:iCs/>
                <w:color w:val="4A66AC" w:themeColor="accent1"/>
                <w:sz w:val="18"/>
                <w:lang w:val="en" w:bidi="bg-BG"/>
              </w:rPr>
              <w:t>Labor</w:t>
            </w:r>
            <w:r w:rsidR="0024029C" w:rsidRPr="00B31D39">
              <w:rPr>
                <w:rFonts w:ascii="Verdana" w:hAnsi="Verdana"/>
                <w:b/>
                <w:bCs/>
                <w:i/>
                <w:iCs/>
                <w:color w:val="4A66AC" w:themeColor="accent1"/>
                <w:sz w:val="18"/>
                <w:lang w:val="en" w:bidi="bg-BG"/>
              </w:rPr>
              <w:t xml:space="preserve"> market</w:t>
            </w:r>
          </w:p>
        </w:tc>
        <w:tc>
          <w:tcPr>
            <w:tcW w:w="2322" w:type="dxa"/>
          </w:tcPr>
          <w:p w14:paraId="578B9EB3" w14:textId="77777777" w:rsidR="0024029C" w:rsidRPr="00B31D39" w:rsidRDefault="0024029C" w:rsidP="00AC2E19">
            <w:pPr>
              <w:widowControl w:val="0"/>
              <w:autoSpaceDE w:val="0"/>
              <w:autoSpaceDN w:val="0"/>
              <w:spacing w:before="37"/>
              <w:ind w:left="848" w:right="829"/>
              <w:jc w:val="center"/>
              <w:rPr>
                <w:rFonts w:ascii="Verdana" w:eastAsia="Calibri" w:hAnsi="Verdana" w:cs="Calibri"/>
                <w:i/>
                <w:iCs/>
                <w:color w:val="4A66AC" w:themeColor="accent1"/>
                <w:sz w:val="18"/>
                <w:lang w:bidi="bg-BG"/>
              </w:rPr>
            </w:pPr>
          </w:p>
        </w:tc>
        <w:tc>
          <w:tcPr>
            <w:tcW w:w="2592" w:type="dxa"/>
          </w:tcPr>
          <w:p w14:paraId="225416FD" w14:textId="77777777" w:rsidR="0024029C" w:rsidRPr="00B31D39" w:rsidRDefault="0024029C" w:rsidP="00AC2E19">
            <w:pPr>
              <w:widowControl w:val="0"/>
              <w:autoSpaceDE w:val="0"/>
              <w:autoSpaceDN w:val="0"/>
              <w:spacing w:before="37"/>
              <w:ind w:left="848" w:right="829"/>
              <w:jc w:val="center"/>
              <w:rPr>
                <w:rFonts w:ascii="Verdana" w:eastAsia="Calibri" w:hAnsi="Verdana" w:cs="Calibri"/>
                <w:i/>
                <w:iCs/>
                <w:color w:val="4A66AC" w:themeColor="accent1"/>
                <w:sz w:val="18"/>
                <w:lang w:bidi="bg-BG"/>
              </w:rPr>
            </w:pPr>
          </w:p>
        </w:tc>
      </w:tr>
      <w:tr w:rsidR="0024029C" w:rsidRPr="00B31D39" w14:paraId="21EBB441" w14:textId="77777777" w:rsidTr="00AC2E19">
        <w:trPr>
          <w:trHeight w:val="313"/>
        </w:trPr>
        <w:tc>
          <w:tcPr>
            <w:tcW w:w="4135" w:type="dxa"/>
            <w:shd w:val="clear" w:color="auto" w:fill="D9DFEF" w:themeFill="accent1" w:themeFillTint="33"/>
          </w:tcPr>
          <w:p w14:paraId="76880329" w14:textId="77777777" w:rsidR="0024029C" w:rsidRPr="00B31D39" w:rsidRDefault="0024029C" w:rsidP="00AC2E19">
            <w:pPr>
              <w:widowControl w:val="0"/>
              <w:autoSpaceDE w:val="0"/>
              <w:autoSpaceDN w:val="0"/>
              <w:spacing w:before="37"/>
              <w:rPr>
                <w:rFonts w:ascii="Verdana" w:eastAsia="Calibri" w:hAnsi="Verdana" w:cs="Calibri"/>
                <w:b/>
                <w:bCs/>
                <w:sz w:val="18"/>
                <w:lang w:bidi="bg-BG"/>
              </w:rPr>
            </w:pPr>
            <w:r w:rsidRPr="00B31D39">
              <w:rPr>
                <w:rFonts w:ascii="Verdana" w:hAnsi="Verdana"/>
                <w:b/>
                <w:bCs/>
                <w:sz w:val="18"/>
                <w:lang w:val="en" w:bidi="bg-BG"/>
              </w:rPr>
              <w:t>Employment (15-64), thousand</w:t>
            </w:r>
          </w:p>
        </w:tc>
        <w:tc>
          <w:tcPr>
            <w:tcW w:w="2322" w:type="dxa"/>
          </w:tcPr>
          <w:p w14:paraId="5AEE4516" w14:textId="77777777" w:rsidR="0024029C" w:rsidRPr="00B31D39" w:rsidRDefault="0024029C" w:rsidP="00AC2E19">
            <w:pPr>
              <w:widowControl w:val="0"/>
              <w:autoSpaceDE w:val="0"/>
              <w:autoSpaceDN w:val="0"/>
              <w:spacing w:before="34"/>
              <w:ind w:left="340" w:right="433"/>
              <w:jc w:val="center"/>
              <w:rPr>
                <w:rFonts w:ascii="Verdana" w:eastAsia="Calibri" w:hAnsi="Verdana" w:cs="Calibri"/>
                <w:sz w:val="18"/>
                <w:lang w:bidi="bg-BG"/>
              </w:rPr>
            </w:pPr>
            <w:r w:rsidRPr="00B31D39">
              <w:rPr>
                <w:rFonts w:ascii="Verdana" w:hAnsi="Verdana"/>
                <w:sz w:val="18"/>
                <w:lang w:val="en" w:bidi="bg-BG"/>
              </w:rPr>
              <w:t>1.1%</w:t>
            </w:r>
          </w:p>
        </w:tc>
        <w:tc>
          <w:tcPr>
            <w:tcW w:w="2592" w:type="dxa"/>
          </w:tcPr>
          <w:p w14:paraId="01DD4D50" w14:textId="77777777" w:rsidR="0024029C" w:rsidRPr="00B31D39" w:rsidRDefault="0024029C" w:rsidP="00AC2E19">
            <w:pPr>
              <w:widowControl w:val="0"/>
              <w:autoSpaceDE w:val="0"/>
              <w:autoSpaceDN w:val="0"/>
              <w:spacing w:before="34"/>
              <w:ind w:left="340" w:right="433"/>
              <w:jc w:val="center"/>
              <w:rPr>
                <w:rFonts w:ascii="Verdana" w:eastAsia="Calibri" w:hAnsi="Verdana" w:cs="Calibri"/>
                <w:sz w:val="18"/>
                <w:lang w:bidi="bg-BG"/>
              </w:rPr>
            </w:pPr>
            <w:r w:rsidRPr="00B31D39">
              <w:rPr>
                <w:rFonts w:ascii="Verdana" w:hAnsi="Verdana"/>
                <w:sz w:val="18"/>
                <w:lang w:val="en" w:bidi="bg-BG"/>
              </w:rPr>
              <w:t>0.09%</w:t>
            </w:r>
          </w:p>
        </w:tc>
      </w:tr>
      <w:tr w:rsidR="0024029C" w:rsidRPr="00B31D39" w14:paraId="7B79888F" w14:textId="77777777" w:rsidTr="00AC2E19">
        <w:trPr>
          <w:trHeight w:val="313"/>
        </w:trPr>
        <w:tc>
          <w:tcPr>
            <w:tcW w:w="4135" w:type="dxa"/>
            <w:shd w:val="clear" w:color="auto" w:fill="D9DFEF" w:themeFill="accent1" w:themeFillTint="33"/>
          </w:tcPr>
          <w:p w14:paraId="6A6EF250" w14:textId="77777777" w:rsidR="0024029C" w:rsidRPr="00B31D39" w:rsidRDefault="0024029C" w:rsidP="00AC2E19">
            <w:pPr>
              <w:widowControl w:val="0"/>
              <w:autoSpaceDE w:val="0"/>
              <w:autoSpaceDN w:val="0"/>
              <w:spacing w:before="37"/>
              <w:rPr>
                <w:rFonts w:ascii="Verdana" w:eastAsia="Calibri" w:hAnsi="Verdana" w:cs="Calibri"/>
                <w:b/>
                <w:bCs/>
                <w:i/>
                <w:iCs/>
                <w:color w:val="4A66AC" w:themeColor="accent1"/>
                <w:sz w:val="18"/>
                <w:lang w:bidi="bg-BG"/>
              </w:rPr>
            </w:pPr>
            <w:r w:rsidRPr="00B31D39">
              <w:rPr>
                <w:rFonts w:ascii="Verdana" w:hAnsi="Verdana"/>
                <w:b/>
                <w:bCs/>
                <w:i/>
                <w:iCs/>
                <w:color w:val="4A66AC" w:themeColor="accent1"/>
                <w:sz w:val="18"/>
                <w:lang w:val="en" w:bidi="bg-BG"/>
              </w:rPr>
              <w:t>GDP and selected components of GDP</w:t>
            </w:r>
          </w:p>
        </w:tc>
        <w:tc>
          <w:tcPr>
            <w:tcW w:w="2322" w:type="dxa"/>
          </w:tcPr>
          <w:p w14:paraId="3D52C998" w14:textId="77777777" w:rsidR="0024029C" w:rsidRPr="00B31D39" w:rsidRDefault="0024029C" w:rsidP="00AC2E19">
            <w:pPr>
              <w:widowControl w:val="0"/>
              <w:autoSpaceDE w:val="0"/>
              <w:autoSpaceDN w:val="0"/>
              <w:spacing w:before="37"/>
              <w:ind w:left="848" w:right="829"/>
              <w:jc w:val="center"/>
              <w:rPr>
                <w:rFonts w:ascii="Verdana" w:eastAsia="Calibri" w:hAnsi="Verdana" w:cs="Calibri"/>
                <w:i/>
                <w:iCs/>
                <w:color w:val="4A66AC" w:themeColor="accent1"/>
                <w:sz w:val="18"/>
                <w:lang w:bidi="bg-BG"/>
              </w:rPr>
            </w:pPr>
          </w:p>
        </w:tc>
        <w:tc>
          <w:tcPr>
            <w:tcW w:w="2592" w:type="dxa"/>
          </w:tcPr>
          <w:p w14:paraId="2C0CA097" w14:textId="77777777" w:rsidR="0024029C" w:rsidRPr="00B31D39" w:rsidRDefault="0024029C" w:rsidP="00AC2E19">
            <w:pPr>
              <w:widowControl w:val="0"/>
              <w:autoSpaceDE w:val="0"/>
              <w:autoSpaceDN w:val="0"/>
              <w:spacing w:before="37"/>
              <w:ind w:left="848" w:right="829"/>
              <w:jc w:val="center"/>
              <w:rPr>
                <w:rFonts w:ascii="Verdana" w:eastAsia="Calibri" w:hAnsi="Verdana" w:cs="Calibri"/>
                <w:i/>
                <w:iCs/>
                <w:color w:val="4A66AC" w:themeColor="accent1"/>
                <w:sz w:val="18"/>
                <w:lang w:bidi="bg-BG"/>
              </w:rPr>
            </w:pPr>
          </w:p>
        </w:tc>
      </w:tr>
      <w:tr w:rsidR="0024029C" w:rsidRPr="00B31D39" w14:paraId="770DAC2F" w14:textId="77777777" w:rsidTr="00AC2E19">
        <w:trPr>
          <w:trHeight w:val="313"/>
        </w:trPr>
        <w:tc>
          <w:tcPr>
            <w:tcW w:w="4135" w:type="dxa"/>
            <w:shd w:val="clear" w:color="auto" w:fill="D9DFEF" w:themeFill="accent1" w:themeFillTint="33"/>
          </w:tcPr>
          <w:p w14:paraId="0078CFA3" w14:textId="77777777" w:rsidR="0024029C" w:rsidRPr="00B31D39" w:rsidRDefault="0024029C" w:rsidP="00AC2E19">
            <w:pPr>
              <w:widowControl w:val="0"/>
              <w:tabs>
                <w:tab w:val="left" w:pos="887"/>
              </w:tabs>
              <w:autoSpaceDE w:val="0"/>
              <w:autoSpaceDN w:val="0"/>
              <w:spacing w:before="37"/>
              <w:rPr>
                <w:rFonts w:ascii="Verdana" w:eastAsia="Calibri" w:hAnsi="Verdana" w:cs="Calibri"/>
                <w:b/>
                <w:bCs/>
                <w:sz w:val="18"/>
                <w:lang w:bidi="bg-BG"/>
              </w:rPr>
            </w:pPr>
            <w:r w:rsidRPr="00B31D39">
              <w:rPr>
                <w:rFonts w:ascii="Verdana" w:hAnsi="Verdana"/>
                <w:b/>
                <w:bCs/>
                <w:sz w:val="18"/>
                <w:lang w:val="en" w:bidi="bg-BG"/>
              </w:rPr>
              <w:t>GDP</w:t>
            </w:r>
          </w:p>
        </w:tc>
        <w:tc>
          <w:tcPr>
            <w:tcW w:w="2322" w:type="dxa"/>
          </w:tcPr>
          <w:p w14:paraId="35C25318" w14:textId="77777777" w:rsidR="0024029C" w:rsidRPr="00B31D39" w:rsidRDefault="0024029C" w:rsidP="00AC2E19">
            <w:pPr>
              <w:widowControl w:val="0"/>
              <w:autoSpaceDE w:val="0"/>
              <w:autoSpaceDN w:val="0"/>
              <w:spacing w:before="34"/>
              <w:ind w:left="340" w:right="433"/>
              <w:jc w:val="center"/>
              <w:rPr>
                <w:rFonts w:ascii="Verdana" w:eastAsia="Calibri" w:hAnsi="Verdana" w:cs="Calibri"/>
                <w:sz w:val="18"/>
                <w:lang w:bidi="bg-BG"/>
              </w:rPr>
            </w:pPr>
            <w:r w:rsidRPr="00B31D39">
              <w:rPr>
                <w:rFonts w:ascii="Verdana" w:hAnsi="Verdana"/>
                <w:sz w:val="18"/>
                <w:lang w:val="en" w:bidi="bg-BG"/>
              </w:rPr>
              <w:t>1.1%</w:t>
            </w:r>
          </w:p>
        </w:tc>
        <w:tc>
          <w:tcPr>
            <w:tcW w:w="2592" w:type="dxa"/>
          </w:tcPr>
          <w:p w14:paraId="7AFA8001" w14:textId="77777777" w:rsidR="0024029C" w:rsidRPr="00B31D39" w:rsidRDefault="0024029C" w:rsidP="00AC2E19">
            <w:pPr>
              <w:widowControl w:val="0"/>
              <w:autoSpaceDE w:val="0"/>
              <w:autoSpaceDN w:val="0"/>
              <w:spacing w:before="34"/>
              <w:ind w:left="340" w:right="433"/>
              <w:jc w:val="center"/>
              <w:rPr>
                <w:rFonts w:ascii="Verdana" w:eastAsia="Calibri" w:hAnsi="Verdana" w:cs="Calibri"/>
                <w:sz w:val="18"/>
                <w:lang w:bidi="bg-BG"/>
              </w:rPr>
            </w:pPr>
            <w:r w:rsidRPr="00B31D39">
              <w:rPr>
                <w:rFonts w:ascii="Verdana" w:hAnsi="Verdana"/>
                <w:sz w:val="18"/>
                <w:lang w:val="en" w:bidi="bg-BG"/>
              </w:rPr>
              <w:t>0.09%</w:t>
            </w:r>
          </w:p>
        </w:tc>
      </w:tr>
      <w:tr w:rsidR="0024029C" w:rsidRPr="00B31D39" w14:paraId="691BC50C" w14:textId="77777777" w:rsidTr="00AC2E19">
        <w:trPr>
          <w:trHeight w:val="313"/>
        </w:trPr>
        <w:tc>
          <w:tcPr>
            <w:tcW w:w="4135" w:type="dxa"/>
            <w:shd w:val="clear" w:color="auto" w:fill="D9DFEF" w:themeFill="accent1" w:themeFillTint="33"/>
          </w:tcPr>
          <w:p w14:paraId="629370CC" w14:textId="77777777" w:rsidR="0024029C" w:rsidRPr="00B31D39" w:rsidRDefault="0024029C" w:rsidP="00AC2E19">
            <w:pPr>
              <w:widowControl w:val="0"/>
              <w:autoSpaceDE w:val="0"/>
              <w:autoSpaceDN w:val="0"/>
              <w:spacing w:before="37"/>
              <w:rPr>
                <w:rFonts w:ascii="Verdana" w:eastAsia="Calibri" w:hAnsi="Verdana" w:cs="Calibri"/>
                <w:b/>
                <w:bCs/>
                <w:sz w:val="18"/>
                <w:lang w:bidi="bg-BG"/>
              </w:rPr>
            </w:pPr>
            <w:r w:rsidRPr="00B31D39">
              <w:rPr>
                <w:rFonts w:ascii="Verdana" w:hAnsi="Verdana"/>
                <w:b/>
                <w:bCs/>
                <w:sz w:val="18"/>
                <w:lang w:val="en" w:bidi="bg-BG"/>
              </w:rPr>
              <w:t>Export of goods and services</w:t>
            </w:r>
          </w:p>
        </w:tc>
        <w:tc>
          <w:tcPr>
            <w:tcW w:w="2322" w:type="dxa"/>
          </w:tcPr>
          <w:p w14:paraId="4D5B2756" w14:textId="77777777" w:rsidR="0024029C" w:rsidRPr="00B31D39" w:rsidRDefault="0024029C" w:rsidP="00AC2E19">
            <w:pPr>
              <w:widowControl w:val="0"/>
              <w:autoSpaceDE w:val="0"/>
              <w:autoSpaceDN w:val="0"/>
              <w:spacing w:before="34"/>
              <w:ind w:left="340" w:right="433"/>
              <w:jc w:val="center"/>
              <w:rPr>
                <w:rFonts w:ascii="Verdana" w:eastAsia="Calibri" w:hAnsi="Verdana" w:cs="Calibri"/>
                <w:sz w:val="18"/>
                <w:lang w:bidi="bg-BG"/>
              </w:rPr>
            </w:pPr>
            <w:r w:rsidRPr="00B31D39">
              <w:rPr>
                <w:rFonts w:ascii="Verdana" w:hAnsi="Verdana"/>
                <w:sz w:val="18"/>
                <w:lang w:val="en" w:bidi="bg-BG"/>
              </w:rPr>
              <w:t>0.1%</w:t>
            </w:r>
          </w:p>
        </w:tc>
        <w:tc>
          <w:tcPr>
            <w:tcW w:w="2592" w:type="dxa"/>
          </w:tcPr>
          <w:p w14:paraId="3D00F74B" w14:textId="77777777" w:rsidR="0024029C" w:rsidRPr="00B31D39" w:rsidRDefault="0024029C" w:rsidP="00AC2E19">
            <w:pPr>
              <w:widowControl w:val="0"/>
              <w:autoSpaceDE w:val="0"/>
              <w:autoSpaceDN w:val="0"/>
              <w:spacing w:before="34"/>
              <w:ind w:left="340" w:right="433"/>
              <w:jc w:val="center"/>
              <w:rPr>
                <w:rFonts w:ascii="Verdana" w:eastAsia="Calibri" w:hAnsi="Verdana" w:cs="Calibri"/>
                <w:sz w:val="18"/>
                <w:lang w:bidi="bg-BG"/>
              </w:rPr>
            </w:pPr>
            <w:r w:rsidRPr="00B31D39">
              <w:rPr>
                <w:rFonts w:ascii="Verdana" w:hAnsi="Verdana"/>
                <w:sz w:val="18"/>
                <w:lang w:val="en" w:bidi="bg-BG"/>
              </w:rPr>
              <w:t>0.0%</w:t>
            </w:r>
          </w:p>
        </w:tc>
      </w:tr>
      <w:tr w:rsidR="0024029C" w:rsidRPr="00B31D39" w14:paraId="7DFF4A73" w14:textId="77777777" w:rsidTr="00AC2E19">
        <w:trPr>
          <w:trHeight w:val="313"/>
        </w:trPr>
        <w:tc>
          <w:tcPr>
            <w:tcW w:w="4135" w:type="dxa"/>
            <w:shd w:val="clear" w:color="auto" w:fill="D9DFEF" w:themeFill="accent1" w:themeFillTint="33"/>
          </w:tcPr>
          <w:p w14:paraId="69633E2A" w14:textId="77777777" w:rsidR="0024029C" w:rsidRPr="00B31D39" w:rsidRDefault="0024029C" w:rsidP="00AC2E19">
            <w:pPr>
              <w:widowControl w:val="0"/>
              <w:autoSpaceDE w:val="0"/>
              <w:autoSpaceDN w:val="0"/>
              <w:spacing w:before="37"/>
              <w:rPr>
                <w:rFonts w:ascii="Verdana" w:eastAsia="Calibri" w:hAnsi="Verdana" w:cs="Calibri"/>
                <w:b/>
                <w:bCs/>
                <w:sz w:val="18"/>
                <w:lang w:bidi="bg-BG"/>
              </w:rPr>
            </w:pPr>
            <w:r w:rsidRPr="00B31D39">
              <w:rPr>
                <w:rFonts w:ascii="Verdana" w:hAnsi="Verdana"/>
                <w:b/>
                <w:bCs/>
                <w:sz w:val="18"/>
                <w:lang w:val="en" w:bidi="bg-BG"/>
              </w:rPr>
              <w:t>Import of goods and services</w:t>
            </w:r>
          </w:p>
        </w:tc>
        <w:tc>
          <w:tcPr>
            <w:tcW w:w="2322" w:type="dxa"/>
          </w:tcPr>
          <w:p w14:paraId="1F54C52D" w14:textId="77777777" w:rsidR="0024029C" w:rsidRPr="00B31D39" w:rsidRDefault="0024029C" w:rsidP="00AC2E19">
            <w:pPr>
              <w:widowControl w:val="0"/>
              <w:autoSpaceDE w:val="0"/>
              <w:autoSpaceDN w:val="0"/>
              <w:spacing w:before="34"/>
              <w:ind w:left="340" w:right="433"/>
              <w:jc w:val="center"/>
              <w:rPr>
                <w:rFonts w:ascii="Verdana" w:eastAsia="Calibri" w:hAnsi="Verdana" w:cs="Calibri"/>
                <w:sz w:val="18"/>
                <w:lang w:bidi="bg-BG"/>
              </w:rPr>
            </w:pPr>
            <w:r w:rsidRPr="00B31D39">
              <w:rPr>
                <w:rFonts w:ascii="Verdana" w:hAnsi="Verdana"/>
                <w:sz w:val="18"/>
                <w:lang w:val="en" w:bidi="bg-BG"/>
              </w:rPr>
              <w:t>2.2%</w:t>
            </w:r>
          </w:p>
        </w:tc>
        <w:tc>
          <w:tcPr>
            <w:tcW w:w="2592" w:type="dxa"/>
          </w:tcPr>
          <w:p w14:paraId="121D02C0" w14:textId="77777777" w:rsidR="0024029C" w:rsidRPr="00B31D39" w:rsidRDefault="0024029C" w:rsidP="00AC2E19">
            <w:pPr>
              <w:widowControl w:val="0"/>
              <w:autoSpaceDE w:val="0"/>
              <w:autoSpaceDN w:val="0"/>
              <w:spacing w:before="34"/>
              <w:ind w:left="340" w:right="433"/>
              <w:jc w:val="center"/>
              <w:rPr>
                <w:rFonts w:ascii="Verdana" w:eastAsia="Calibri" w:hAnsi="Verdana" w:cs="Calibri"/>
                <w:sz w:val="18"/>
                <w:lang w:bidi="bg-BG"/>
              </w:rPr>
            </w:pPr>
            <w:r w:rsidRPr="00B31D39">
              <w:rPr>
                <w:rFonts w:ascii="Verdana" w:hAnsi="Verdana"/>
                <w:sz w:val="18"/>
                <w:lang w:val="en" w:bidi="bg-BG"/>
              </w:rPr>
              <w:t>0.4%</w:t>
            </w:r>
          </w:p>
        </w:tc>
      </w:tr>
      <w:tr w:rsidR="0024029C" w:rsidRPr="00B31D39" w14:paraId="264E4371" w14:textId="77777777" w:rsidTr="00AC2E19">
        <w:trPr>
          <w:trHeight w:val="313"/>
        </w:trPr>
        <w:tc>
          <w:tcPr>
            <w:tcW w:w="4135" w:type="dxa"/>
            <w:shd w:val="clear" w:color="auto" w:fill="D9DFEF" w:themeFill="accent1" w:themeFillTint="33"/>
          </w:tcPr>
          <w:p w14:paraId="45D821A7" w14:textId="77777777" w:rsidR="0024029C" w:rsidRPr="00B31D39" w:rsidRDefault="0024029C" w:rsidP="00AC2E19">
            <w:pPr>
              <w:widowControl w:val="0"/>
              <w:autoSpaceDE w:val="0"/>
              <w:autoSpaceDN w:val="0"/>
              <w:spacing w:before="37"/>
              <w:rPr>
                <w:rFonts w:ascii="Verdana" w:eastAsia="Calibri" w:hAnsi="Verdana" w:cs="Calibri"/>
                <w:b/>
                <w:bCs/>
                <w:sz w:val="18"/>
                <w:lang w:bidi="bg-BG"/>
              </w:rPr>
            </w:pPr>
            <w:r w:rsidRPr="00B31D39">
              <w:rPr>
                <w:rFonts w:ascii="Verdana" w:hAnsi="Verdana"/>
                <w:b/>
                <w:bCs/>
                <w:sz w:val="18"/>
                <w:lang w:val="en" w:bidi="bg-BG"/>
              </w:rPr>
              <w:t>Private consumption</w:t>
            </w:r>
          </w:p>
        </w:tc>
        <w:tc>
          <w:tcPr>
            <w:tcW w:w="2322" w:type="dxa"/>
          </w:tcPr>
          <w:p w14:paraId="0F8FD186" w14:textId="77777777" w:rsidR="0024029C" w:rsidRPr="00B31D39" w:rsidRDefault="0024029C" w:rsidP="00AC2E19">
            <w:pPr>
              <w:widowControl w:val="0"/>
              <w:autoSpaceDE w:val="0"/>
              <w:autoSpaceDN w:val="0"/>
              <w:spacing w:before="34"/>
              <w:ind w:left="340" w:right="433"/>
              <w:jc w:val="center"/>
              <w:rPr>
                <w:rFonts w:ascii="Verdana" w:eastAsia="Calibri" w:hAnsi="Verdana" w:cs="Calibri"/>
                <w:sz w:val="18"/>
                <w:lang w:bidi="bg-BG"/>
              </w:rPr>
            </w:pPr>
            <w:r w:rsidRPr="00B31D39">
              <w:rPr>
                <w:rFonts w:ascii="Verdana" w:hAnsi="Verdana"/>
                <w:sz w:val="18"/>
                <w:lang w:val="en" w:bidi="bg-BG"/>
              </w:rPr>
              <w:t>1.3%</w:t>
            </w:r>
          </w:p>
        </w:tc>
        <w:tc>
          <w:tcPr>
            <w:tcW w:w="2592" w:type="dxa"/>
          </w:tcPr>
          <w:p w14:paraId="1B65AA98" w14:textId="77777777" w:rsidR="0024029C" w:rsidRPr="00B31D39" w:rsidRDefault="0024029C" w:rsidP="00AC2E19">
            <w:pPr>
              <w:widowControl w:val="0"/>
              <w:autoSpaceDE w:val="0"/>
              <w:autoSpaceDN w:val="0"/>
              <w:spacing w:before="34"/>
              <w:ind w:left="340" w:right="433"/>
              <w:jc w:val="center"/>
              <w:rPr>
                <w:rFonts w:ascii="Verdana" w:eastAsia="Calibri" w:hAnsi="Verdana" w:cs="Calibri"/>
                <w:sz w:val="18"/>
                <w:lang w:bidi="bg-BG"/>
              </w:rPr>
            </w:pPr>
            <w:r w:rsidRPr="00B31D39">
              <w:rPr>
                <w:rFonts w:ascii="Verdana" w:hAnsi="Verdana"/>
                <w:sz w:val="18"/>
                <w:lang w:val="en" w:bidi="bg-BG"/>
              </w:rPr>
              <w:t>0.1%</w:t>
            </w:r>
          </w:p>
        </w:tc>
      </w:tr>
      <w:tr w:rsidR="0024029C" w:rsidRPr="00B31D39" w14:paraId="546B313A" w14:textId="77777777" w:rsidTr="00AC2E19">
        <w:trPr>
          <w:trHeight w:val="313"/>
        </w:trPr>
        <w:tc>
          <w:tcPr>
            <w:tcW w:w="4135" w:type="dxa"/>
            <w:shd w:val="clear" w:color="auto" w:fill="D9DFEF" w:themeFill="accent1" w:themeFillTint="33"/>
          </w:tcPr>
          <w:p w14:paraId="237DFEB3" w14:textId="77777777" w:rsidR="0024029C" w:rsidRPr="00B31D39" w:rsidRDefault="0024029C" w:rsidP="00AC2E19">
            <w:pPr>
              <w:widowControl w:val="0"/>
              <w:autoSpaceDE w:val="0"/>
              <w:autoSpaceDN w:val="0"/>
              <w:spacing w:before="37"/>
              <w:rPr>
                <w:rFonts w:ascii="Verdana" w:eastAsia="Calibri" w:hAnsi="Verdana" w:cs="Calibri"/>
                <w:b/>
                <w:bCs/>
                <w:sz w:val="18"/>
                <w:lang w:bidi="bg-BG"/>
              </w:rPr>
            </w:pPr>
            <w:r w:rsidRPr="00B31D39">
              <w:rPr>
                <w:rFonts w:ascii="Verdana" w:hAnsi="Verdana"/>
                <w:b/>
                <w:bCs/>
                <w:sz w:val="18"/>
                <w:lang w:val="en" w:bidi="bg-BG"/>
              </w:rPr>
              <w:t>Private investment</w:t>
            </w:r>
          </w:p>
        </w:tc>
        <w:tc>
          <w:tcPr>
            <w:tcW w:w="2322" w:type="dxa"/>
          </w:tcPr>
          <w:p w14:paraId="33A0D8CB" w14:textId="77777777" w:rsidR="0024029C" w:rsidRPr="00B31D39" w:rsidRDefault="0024029C" w:rsidP="00AC2E19">
            <w:pPr>
              <w:widowControl w:val="0"/>
              <w:autoSpaceDE w:val="0"/>
              <w:autoSpaceDN w:val="0"/>
              <w:spacing w:before="34"/>
              <w:ind w:left="340" w:right="433"/>
              <w:jc w:val="center"/>
              <w:rPr>
                <w:rFonts w:ascii="Verdana" w:eastAsia="Calibri" w:hAnsi="Verdana" w:cs="Calibri"/>
                <w:sz w:val="18"/>
                <w:lang w:bidi="bg-BG"/>
              </w:rPr>
            </w:pPr>
            <w:r w:rsidRPr="00B31D39">
              <w:rPr>
                <w:rFonts w:ascii="Verdana" w:hAnsi="Verdana"/>
                <w:sz w:val="18"/>
                <w:lang w:val="en" w:bidi="bg-BG"/>
              </w:rPr>
              <w:t>2.4%</w:t>
            </w:r>
          </w:p>
        </w:tc>
        <w:tc>
          <w:tcPr>
            <w:tcW w:w="2592" w:type="dxa"/>
          </w:tcPr>
          <w:p w14:paraId="3CA9AD54" w14:textId="77777777" w:rsidR="0024029C" w:rsidRPr="00B31D39" w:rsidRDefault="0024029C" w:rsidP="00AC2E19">
            <w:pPr>
              <w:widowControl w:val="0"/>
              <w:autoSpaceDE w:val="0"/>
              <w:autoSpaceDN w:val="0"/>
              <w:spacing w:before="34"/>
              <w:ind w:left="340" w:right="433"/>
              <w:jc w:val="center"/>
              <w:rPr>
                <w:rFonts w:ascii="Verdana" w:eastAsia="Calibri" w:hAnsi="Verdana" w:cs="Calibri"/>
                <w:sz w:val="18"/>
                <w:lang w:bidi="bg-BG"/>
              </w:rPr>
            </w:pPr>
            <w:r w:rsidRPr="00B31D39">
              <w:rPr>
                <w:rFonts w:ascii="Verdana" w:hAnsi="Verdana"/>
                <w:sz w:val="18"/>
                <w:lang w:val="en" w:bidi="bg-BG"/>
              </w:rPr>
              <w:t>0.2%</w:t>
            </w:r>
          </w:p>
        </w:tc>
      </w:tr>
      <w:tr w:rsidR="0024029C" w:rsidRPr="00B31D39" w14:paraId="40FFEA2D" w14:textId="77777777" w:rsidTr="00AC2E19">
        <w:trPr>
          <w:trHeight w:val="313"/>
        </w:trPr>
        <w:tc>
          <w:tcPr>
            <w:tcW w:w="4135" w:type="dxa"/>
            <w:shd w:val="clear" w:color="auto" w:fill="D9DFEF" w:themeFill="accent1" w:themeFillTint="33"/>
          </w:tcPr>
          <w:p w14:paraId="2F4C6360" w14:textId="77777777" w:rsidR="0024029C" w:rsidRPr="00B31D39" w:rsidRDefault="0024029C" w:rsidP="00AC2E19">
            <w:pPr>
              <w:widowControl w:val="0"/>
              <w:autoSpaceDE w:val="0"/>
              <w:autoSpaceDN w:val="0"/>
              <w:spacing w:before="34"/>
              <w:rPr>
                <w:rFonts w:ascii="Verdana" w:eastAsia="Calibri" w:hAnsi="Verdana" w:cs="Calibri"/>
                <w:b/>
                <w:bCs/>
                <w:i/>
                <w:iCs/>
                <w:sz w:val="18"/>
                <w:lang w:bidi="bg-BG"/>
              </w:rPr>
            </w:pPr>
            <w:r w:rsidRPr="00B31D39">
              <w:rPr>
                <w:rFonts w:ascii="Verdana" w:hAnsi="Verdana"/>
                <w:b/>
                <w:bCs/>
                <w:i/>
                <w:iCs/>
                <w:color w:val="4A66AC" w:themeColor="accent1"/>
                <w:sz w:val="18"/>
                <w:lang w:val="en" w:bidi="bg-BG"/>
              </w:rPr>
              <w:t>Fiscal sector</w:t>
            </w:r>
          </w:p>
        </w:tc>
        <w:tc>
          <w:tcPr>
            <w:tcW w:w="2322" w:type="dxa"/>
          </w:tcPr>
          <w:p w14:paraId="208D2388" w14:textId="77777777" w:rsidR="0024029C" w:rsidRPr="00B31D39" w:rsidRDefault="0024029C" w:rsidP="00AC2E19">
            <w:pPr>
              <w:widowControl w:val="0"/>
              <w:autoSpaceDE w:val="0"/>
              <w:autoSpaceDN w:val="0"/>
              <w:spacing w:before="34"/>
              <w:ind w:left="848" w:right="829"/>
              <w:jc w:val="center"/>
              <w:rPr>
                <w:rFonts w:ascii="Verdana" w:eastAsia="Calibri" w:hAnsi="Verdana" w:cs="Calibri"/>
                <w:sz w:val="18"/>
                <w:lang w:bidi="bg-BG"/>
              </w:rPr>
            </w:pPr>
          </w:p>
        </w:tc>
        <w:tc>
          <w:tcPr>
            <w:tcW w:w="2592" w:type="dxa"/>
          </w:tcPr>
          <w:p w14:paraId="6198E116" w14:textId="77777777" w:rsidR="0024029C" w:rsidRPr="00B31D39" w:rsidRDefault="0024029C" w:rsidP="00AC2E19">
            <w:pPr>
              <w:widowControl w:val="0"/>
              <w:autoSpaceDE w:val="0"/>
              <w:autoSpaceDN w:val="0"/>
              <w:spacing w:before="34"/>
              <w:ind w:left="848" w:right="829"/>
              <w:jc w:val="center"/>
              <w:rPr>
                <w:rFonts w:ascii="Verdana" w:eastAsia="Calibri" w:hAnsi="Verdana" w:cs="Calibri"/>
                <w:sz w:val="18"/>
                <w:lang w:bidi="bg-BG"/>
              </w:rPr>
            </w:pPr>
          </w:p>
        </w:tc>
      </w:tr>
      <w:tr w:rsidR="0024029C" w:rsidRPr="00B31D39" w14:paraId="6C32A3C0" w14:textId="77777777" w:rsidTr="00AC2E19">
        <w:trPr>
          <w:trHeight w:val="313"/>
        </w:trPr>
        <w:tc>
          <w:tcPr>
            <w:tcW w:w="4135" w:type="dxa"/>
            <w:shd w:val="clear" w:color="auto" w:fill="D9DFEF" w:themeFill="accent1" w:themeFillTint="33"/>
          </w:tcPr>
          <w:p w14:paraId="34C78A61" w14:textId="77777777" w:rsidR="0024029C" w:rsidRPr="00B31D39" w:rsidRDefault="0024029C" w:rsidP="00AC2E19">
            <w:pPr>
              <w:widowControl w:val="0"/>
              <w:autoSpaceDE w:val="0"/>
              <w:autoSpaceDN w:val="0"/>
              <w:spacing w:before="37"/>
              <w:rPr>
                <w:rFonts w:ascii="Verdana" w:eastAsia="Calibri" w:hAnsi="Verdana" w:cs="Calibri"/>
                <w:b/>
                <w:bCs/>
                <w:sz w:val="18"/>
                <w:lang w:bidi="bg-BG"/>
              </w:rPr>
            </w:pPr>
            <w:r w:rsidRPr="00B31D39">
              <w:rPr>
                <w:rFonts w:ascii="Verdana" w:hAnsi="Verdana"/>
                <w:b/>
                <w:bCs/>
                <w:sz w:val="18"/>
                <w:lang w:val="en" w:bidi="bg-BG"/>
              </w:rPr>
              <w:t>Budget balance, % of GDP</w:t>
            </w:r>
          </w:p>
        </w:tc>
        <w:tc>
          <w:tcPr>
            <w:tcW w:w="2322" w:type="dxa"/>
          </w:tcPr>
          <w:p w14:paraId="66147065" w14:textId="77777777" w:rsidR="0024029C" w:rsidRPr="00B31D39" w:rsidRDefault="0024029C" w:rsidP="00AC2E19">
            <w:pPr>
              <w:widowControl w:val="0"/>
              <w:autoSpaceDE w:val="0"/>
              <w:autoSpaceDN w:val="0"/>
              <w:spacing w:before="34"/>
              <w:ind w:left="340" w:right="433"/>
              <w:jc w:val="center"/>
              <w:rPr>
                <w:rFonts w:ascii="Verdana" w:eastAsia="Calibri" w:hAnsi="Verdana" w:cs="Calibri"/>
                <w:sz w:val="18"/>
                <w:lang w:bidi="bg-BG"/>
              </w:rPr>
            </w:pPr>
            <w:r w:rsidRPr="00B31D39">
              <w:rPr>
                <w:rFonts w:ascii="Verdana" w:hAnsi="Verdana"/>
                <w:sz w:val="18"/>
                <w:lang w:val="en" w:bidi="bg-BG"/>
              </w:rPr>
              <w:t>0.1 BC</w:t>
            </w:r>
          </w:p>
        </w:tc>
        <w:tc>
          <w:tcPr>
            <w:tcW w:w="2592" w:type="dxa"/>
          </w:tcPr>
          <w:p w14:paraId="3928C5A2" w14:textId="77777777" w:rsidR="0024029C" w:rsidRPr="00B31D39" w:rsidRDefault="0024029C" w:rsidP="00AC2E19">
            <w:pPr>
              <w:widowControl w:val="0"/>
              <w:autoSpaceDE w:val="0"/>
              <w:autoSpaceDN w:val="0"/>
              <w:spacing w:before="34"/>
              <w:ind w:left="340" w:right="433"/>
              <w:jc w:val="center"/>
              <w:rPr>
                <w:rFonts w:ascii="Verdana" w:eastAsia="Calibri" w:hAnsi="Verdana" w:cs="Calibri"/>
                <w:sz w:val="18"/>
                <w:lang w:bidi="bg-BG"/>
              </w:rPr>
            </w:pPr>
            <w:r w:rsidRPr="00B31D39">
              <w:rPr>
                <w:rFonts w:ascii="Verdana" w:hAnsi="Verdana"/>
                <w:sz w:val="18"/>
                <w:lang w:val="en" w:bidi="bg-BG"/>
              </w:rPr>
              <w:t>0.0 BC</w:t>
            </w:r>
          </w:p>
        </w:tc>
      </w:tr>
    </w:tbl>
    <w:p w14:paraId="1FB7CE2F" w14:textId="77777777" w:rsidR="0024029C" w:rsidRPr="00B31D39" w:rsidRDefault="0024029C" w:rsidP="0024029C">
      <w:pPr>
        <w:jc w:val="both"/>
        <w:rPr>
          <w:rFonts w:ascii="Verdana" w:hAnsi="Verdana"/>
          <w:i/>
          <w:sz w:val="16"/>
          <w:szCs w:val="16"/>
          <w:lang w:val="bg-BG"/>
        </w:rPr>
      </w:pPr>
      <w:r w:rsidRPr="00B31D39">
        <w:rPr>
          <w:rFonts w:ascii="Verdana" w:hAnsi="Verdana"/>
          <w:i/>
          <w:iCs/>
          <w:sz w:val="16"/>
          <w:szCs w:val="16"/>
          <w:lang w:val="en"/>
        </w:rPr>
        <w:t xml:space="preserve">Source: </w:t>
      </w:r>
      <w:proofErr w:type="spellStart"/>
      <w:r w:rsidRPr="00B31D39">
        <w:rPr>
          <w:rFonts w:ascii="Verdana" w:hAnsi="Verdana"/>
          <w:i/>
          <w:iCs/>
          <w:sz w:val="16"/>
          <w:szCs w:val="16"/>
          <w:lang w:val="en"/>
        </w:rPr>
        <w:t>MoC</w:t>
      </w:r>
      <w:proofErr w:type="spellEnd"/>
      <w:r w:rsidRPr="00B31D39">
        <w:rPr>
          <w:rFonts w:ascii="Verdana" w:hAnsi="Verdana"/>
          <w:i/>
          <w:iCs/>
          <w:sz w:val="16"/>
          <w:szCs w:val="16"/>
          <w:lang w:val="en"/>
        </w:rPr>
        <w:t>, SIBILA 2.0, own calculations</w:t>
      </w:r>
    </w:p>
    <w:p w14:paraId="696DB66A" w14:textId="77777777" w:rsidR="0024029C" w:rsidRPr="00EE612B" w:rsidRDefault="0024029C" w:rsidP="0024029C">
      <w:pPr>
        <w:jc w:val="both"/>
        <w:rPr>
          <w:rFonts w:ascii="Verdana" w:hAnsi="Verdana"/>
          <w:sz w:val="20"/>
          <w:szCs w:val="20"/>
          <w:lang w:val="bg-BG"/>
        </w:rPr>
      </w:pPr>
      <w:r w:rsidRPr="00EE612B">
        <w:rPr>
          <w:rFonts w:ascii="Verdana" w:hAnsi="Verdana"/>
          <w:sz w:val="20"/>
          <w:szCs w:val="20"/>
          <w:lang w:val="en"/>
        </w:rPr>
        <w:t>The impact assessment of the OPT on the transport sector shows that the effect on employment at the end of 2015 amounted to 1.4% - i.e. nearly 3.0 thousand people were employed in the sector following the projects implementation, and they would not have been employed should the programme had not been implemented.</w:t>
      </w:r>
    </w:p>
    <w:p w14:paraId="30FBFC71" w14:textId="72BB878A" w:rsidR="0024029C" w:rsidRPr="00242734" w:rsidRDefault="0024029C" w:rsidP="0024029C">
      <w:pPr>
        <w:keepNext/>
        <w:spacing w:after="200" w:line="240" w:lineRule="auto"/>
        <w:rPr>
          <w:rFonts w:ascii="Verdana" w:hAnsi="Verdana"/>
          <w:i/>
          <w:iCs/>
          <w:color w:val="242852" w:themeColor="text2"/>
          <w:sz w:val="20"/>
          <w:szCs w:val="20"/>
          <w:lang w:val="bg-BG"/>
        </w:rPr>
      </w:pPr>
    </w:p>
    <w:p w14:paraId="5FAF6713" w14:textId="5597C29D" w:rsidR="00B31D39" w:rsidRPr="00B31D39" w:rsidRDefault="00B31D39" w:rsidP="00B31D39">
      <w:pPr>
        <w:pStyle w:val="Caption"/>
        <w:keepNext/>
        <w:rPr>
          <w:rFonts w:ascii="Verdana" w:hAnsi="Verdana"/>
          <w:sz w:val="20"/>
          <w:szCs w:val="20"/>
        </w:rPr>
      </w:pPr>
      <w:bookmarkStart w:id="105" w:name="_Toc62724736"/>
      <w:r w:rsidRPr="00B31D39">
        <w:rPr>
          <w:rFonts w:ascii="Verdana" w:hAnsi="Verdana"/>
          <w:sz w:val="20"/>
          <w:szCs w:val="20"/>
        </w:rPr>
        <w:t xml:space="preserve">Table </w:t>
      </w:r>
      <w:r w:rsidR="002A60EF">
        <w:rPr>
          <w:rFonts w:ascii="Verdana" w:hAnsi="Verdana"/>
          <w:sz w:val="20"/>
          <w:szCs w:val="20"/>
        </w:rPr>
        <w:fldChar w:fldCharType="begin"/>
      </w:r>
      <w:r w:rsidR="002A60EF">
        <w:rPr>
          <w:rFonts w:ascii="Verdana" w:hAnsi="Verdana"/>
          <w:sz w:val="20"/>
          <w:szCs w:val="20"/>
        </w:rPr>
        <w:instrText xml:space="preserve"> STYLEREF 1 \s </w:instrText>
      </w:r>
      <w:r w:rsidR="002A60EF">
        <w:rPr>
          <w:rFonts w:ascii="Verdana" w:hAnsi="Verdana"/>
          <w:sz w:val="20"/>
          <w:szCs w:val="20"/>
        </w:rPr>
        <w:fldChar w:fldCharType="separate"/>
      </w:r>
      <w:r w:rsidR="002A60EF">
        <w:rPr>
          <w:rFonts w:ascii="Verdana" w:hAnsi="Verdana"/>
          <w:noProof/>
          <w:sz w:val="20"/>
          <w:szCs w:val="20"/>
        </w:rPr>
        <w:t>IV.7</w:t>
      </w:r>
      <w:r w:rsidR="002A60EF">
        <w:rPr>
          <w:rFonts w:ascii="Verdana" w:hAnsi="Verdana"/>
          <w:sz w:val="20"/>
          <w:szCs w:val="20"/>
        </w:rPr>
        <w:fldChar w:fldCharType="end"/>
      </w:r>
      <w:r w:rsidR="002A60EF">
        <w:rPr>
          <w:rFonts w:ascii="Verdana" w:hAnsi="Verdana"/>
          <w:sz w:val="20"/>
          <w:szCs w:val="20"/>
        </w:rPr>
        <w:noBreakHyphen/>
      </w:r>
      <w:r w:rsidR="002A60EF">
        <w:rPr>
          <w:rFonts w:ascii="Verdana" w:hAnsi="Verdana"/>
          <w:sz w:val="20"/>
          <w:szCs w:val="20"/>
        </w:rPr>
        <w:fldChar w:fldCharType="begin"/>
      </w:r>
      <w:r w:rsidR="002A60EF">
        <w:rPr>
          <w:rFonts w:ascii="Verdana" w:hAnsi="Verdana"/>
          <w:sz w:val="20"/>
          <w:szCs w:val="20"/>
        </w:rPr>
        <w:instrText xml:space="preserve"> SEQ Table \* ARABIC \s 1 </w:instrText>
      </w:r>
      <w:r w:rsidR="002A60EF">
        <w:rPr>
          <w:rFonts w:ascii="Verdana" w:hAnsi="Verdana"/>
          <w:sz w:val="20"/>
          <w:szCs w:val="20"/>
        </w:rPr>
        <w:fldChar w:fldCharType="separate"/>
      </w:r>
      <w:r w:rsidR="002A60EF">
        <w:rPr>
          <w:rFonts w:ascii="Verdana" w:hAnsi="Verdana"/>
          <w:noProof/>
          <w:sz w:val="20"/>
          <w:szCs w:val="20"/>
        </w:rPr>
        <w:t>2</w:t>
      </w:r>
      <w:r w:rsidR="002A60EF">
        <w:rPr>
          <w:rFonts w:ascii="Verdana" w:hAnsi="Verdana"/>
          <w:sz w:val="20"/>
          <w:szCs w:val="20"/>
        </w:rPr>
        <w:fldChar w:fldCharType="end"/>
      </w:r>
      <w:r w:rsidRPr="00B31D39">
        <w:rPr>
          <w:rFonts w:ascii="Verdana" w:hAnsi="Verdana"/>
          <w:sz w:val="20"/>
          <w:szCs w:val="20"/>
        </w:rPr>
        <w:t xml:space="preserve">  Economic effects on the transport sector at the end of 2015, and at the end of 2019</w:t>
      </w:r>
      <w:bookmarkEnd w:id="105"/>
    </w:p>
    <w:tbl>
      <w:tblPr>
        <w:tblStyle w:val="TableGridLight"/>
        <w:tblW w:w="90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65"/>
        <w:gridCol w:w="2610"/>
        <w:gridCol w:w="2610"/>
      </w:tblGrid>
      <w:tr w:rsidR="0024029C" w:rsidRPr="00B31D39" w14:paraId="5A1D5FD4" w14:textId="77777777" w:rsidTr="00AC2E19">
        <w:trPr>
          <w:trHeight w:val="288"/>
        </w:trPr>
        <w:tc>
          <w:tcPr>
            <w:tcW w:w="3865" w:type="dxa"/>
            <w:shd w:val="clear" w:color="auto" w:fill="374C80" w:themeFill="accent1" w:themeFillShade="BF"/>
            <w:noWrap/>
            <w:hideMark/>
          </w:tcPr>
          <w:p w14:paraId="4E103F29" w14:textId="77777777" w:rsidR="0024029C" w:rsidRPr="00B31D39" w:rsidRDefault="0024029C" w:rsidP="00AC2E19">
            <w:pPr>
              <w:rPr>
                <w:rFonts w:ascii="Verdana" w:hAnsi="Verdana"/>
                <w:b/>
                <w:bCs/>
                <w:color w:val="FFFFFF" w:themeColor="background1"/>
                <w:sz w:val="18"/>
                <w:szCs w:val="18"/>
                <w:lang w:val="en-US"/>
              </w:rPr>
            </w:pPr>
            <w:r w:rsidRPr="00B31D39">
              <w:rPr>
                <w:rFonts w:ascii="Verdana" w:hAnsi="Verdana"/>
                <w:b/>
                <w:bCs/>
                <w:color w:val="FFFFFF" w:themeColor="background1"/>
                <w:sz w:val="18"/>
                <w:szCs w:val="18"/>
                <w:lang w:val="en"/>
              </w:rPr>
              <w:t>Macroeconomic indicator</w:t>
            </w:r>
          </w:p>
        </w:tc>
        <w:tc>
          <w:tcPr>
            <w:tcW w:w="2610" w:type="dxa"/>
            <w:shd w:val="clear" w:color="auto" w:fill="374C80" w:themeFill="accent1" w:themeFillShade="BF"/>
            <w:noWrap/>
            <w:hideMark/>
          </w:tcPr>
          <w:p w14:paraId="6053E601" w14:textId="77777777" w:rsidR="0024029C" w:rsidRPr="00B31D39" w:rsidRDefault="0024029C" w:rsidP="00AC2E19">
            <w:pPr>
              <w:jc w:val="center"/>
              <w:rPr>
                <w:rFonts w:ascii="Verdana" w:hAnsi="Verdana"/>
                <w:b/>
                <w:bCs/>
                <w:color w:val="FFFFFF" w:themeColor="background1"/>
                <w:sz w:val="18"/>
                <w:szCs w:val="18"/>
                <w:lang w:val="en-US"/>
              </w:rPr>
            </w:pPr>
            <w:r w:rsidRPr="00B31D39">
              <w:rPr>
                <w:rFonts w:ascii="Verdana" w:hAnsi="Verdana"/>
                <w:b/>
                <w:bCs/>
                <w:color w:val="FFFFFF" w:themeColor="background1"/>
                <w:sz w:val="18"/>
                <w:szCs w:val="18"/>
                <w:lang w:val="en"/>
              </w:rPr>
              <w:t>Net effect at the end of the</w:t>
            </w:r>
          </w:p>
          <w:p w14:paraId="0DAB939A" w14:textId="77777777" w:rsidR="0024029C" w:rsidRPr="00B31D39" w:rsidRDefault="0024029C" w:rsidP="00AC2E19">
            <w:pPr>
              <w:jc w:val="center"/>
              <w:rPr>
                <w:rFonts w:ascii="Verdana" w:hAnsi="Verdana"/>
                <w:b/>
                <w:bCs/>
                <w:color w:val="FFFFFF" w:themeColor="background1"/>
                <w:sz w:val="18"/>
                <w:szCs w:val="18"/>
                <w:lang w:val="en-US"/>
              </w:rPr>
            </w:pPr>
            <w:r w:rsidRPr="00B31D39">
              <w:rPr>
                <w:rFonts w:ascii="Verdana" w:hAnsi="Verdana"/>
                <w:b/>
                <w:bCs/>
                <w:color w:val="FFFFFF" w:themeColor="background1"/>
                <w:sz w:val="18"/>
                <w:szCs w:val="18"/>
                <w:lang w:val="en"/>
              </w:rPr>
              <w:t>2015</w:t>
            </w:r>
          </w:p>
        </w:tc>
        <w:tc>
          <w:tcPr>
            <w:tcW w:w="2610" w:type="dxa"/>
            <w:shd w:val="clear" w:color="auto" w:fill="374C80" w:themeFill="accent1" w:themeFillShade="BF"/>
            <w:noWrap/>
            <w:hideMark/>
          </w:tcPr>
          <w:p w14:paraId="0A4A2941" w14:textId="77777777" w:rsidR="0024029C" w:rsidRPr="00B31D39" w:rsidRDefault="0024029C" w:rsidP="00AC2E19">
            <w:pPr>
              <w:jc w:val="center"/>
              <w:rPr>
                <w:rFonts w:ascii="Verdana" w:hAnsi="Verdana"/>
                <w:b/>
                <w:bCs/>
                <w:color w:val="FFFFFF" w:themeColor="background1"/>
                <w:sz w:val="18"/>
                <w:szCs w:val="18"/>
                <w:lang w:val="en-US"/>
              </w:rPr>
            </w:pPr>
            <w:r w:rsidRPr="00B31D39">
              <w:rPr>
                <w:rFonts w:ascii="Verdana" w:hAnsi="Verdana"/>
                <w:b/>
                <w:bCs/>
                <w:color w:val="FFFFFF" w:themeColor="background1"/>
                <w:sz w:val="18"/>
                <w:szCs w:val="18"/>
                <w:lang w:val="en"/>
              </w:rPr>
              <w:t>Expert assessment of the net effect at the end of 2019</w:t>
            </w:r>
          </w:p>
        </w:tc>
      </w:tr>
      <w:tr w:rsidR="0024029C" w:rsidRPr="00B31D39" w14:paraId="53F83698" w14:textId="77777777" w:rsidTr="00AC2E19">
        <w:trPr>
          <w:trHeight w:val="288"/>
        </w:trPr>
        <w:tc>
          <w:tcPr>
            <w:tcW w:w="3865" w:type="dxa"/>
            <w:noWrap/>
            <w:hideMark/>
          </w:tcPr>
          <w:p w14:paraId="33F23137" w14:textId="77777777" w:rsidR="0024029C" w:rsidRPr="00B31D39" w:rsidRDefault="0024029C" w:rsidP="00AC2E19">
            <w:pPr>
              <w:rPr>
                <w:rFonts w:ascii="Verdana" w:hAnsi="Verdana"/>
                <w:b/>
                <w:bCs/>
                <w:color w:val="000000"/>
                <w:sz w:val="18"/>
                <w:szCs w:val="18"/>
                <w:lang w:val="en-US"/>
              </w:rPr>
            </w:pPr>
            <w:r w:rsidRPr="00B31D39">
              <w:rPr>
                <w:rFonts w:ascii="Verdana" w:hAnsi="Verdana"/>
                <w:b/>
                <w:bCs/>
                <w:color w:val="000000"/>
                <w:sz w:val="18"/>
                <w:szCs w:val="18"/>
                <w:lang w:val="en"/>
              </w:rPr>
              <w:t>Employment (15-64), thousand</w:t>
            </w:r>
          </w:p>
        </w:tc>
        <w:tc>
          <w:tcPr>
            <w:tcW w:w="2610" w:type="dxa"/>
            <w:noWrap/>
            <w:hideMark/>
          </w:tcPr>
          <w:p w14:paraId="6D56E5B7" w14:textId="77777777" w:rsidR="0024029C" w:rsidRPr="00B31D39" w:rsidRDefault="0024029C" w:rsidP="00AC2E19">
            <w:pPr>
              <w:jc w:val="center"/>
              <w:rPr>
                <w:rFonts w:ascii="Verdana" w:hAnsi="Verdana"/>
                <w:color w:val="000000"/>
                <w:sz w:val="18"/>
                <w:szCs w:val="18"/>
                <w:lang w:val="en-US"/>
              </w:rPr>
            </w:pPr>
            <w:r w:rsidRPr="00B31D39">
              <w:rPr>
                <w:rFonts w:ascii="Verdana" w:hAnsi="Verdana"/>
                <w:color w:val="000000"/>
                <w:sz w:val="18"/>
                <w:szCs w:val="18"/>
                <w:lang w:val="en"/>
              </w:rPr>
              <w:t>1.40%</w:t>
            </w:r>
          </w:p>
        </w:tc>
        <w:tc>
          <w:tcPr>
            <w:tcW w:w="2610" w:type="dxa"/>
            <w:noWrap/>
            <w:hideMark/>
          </w:tcPr>
          <w:p w14:paraId="39B79C69" w14:textId="77777777" w:rsidR="0024029C" w:rsidRPr="00B31D39" w:rsidRDefault="0024029C" w:rsidP="00AC2E19">
            <w:pPr>
              <w:jc w:val="center"/>
              <w:rPr>
                <w:rFonts w:ascii="Verdana" w:hAnsi="Verdana"/>
                <w:color w:val="000000"/>
                <w:sz w:val="18"/>
                <w:szCs w:val="18"/>
                <w:lang w:val="en-US"/>
              </w:rPr>
            </w:pPr>
            <w:r w:rsidRPr="00B31D39">
              <w:rPr>
                <w:rFonts w:ascii="Verdana" w:hAnsi="Verdana"/>
                <w:color w:val="000000"/>
                <w:sz w:val="18"/>
                <w:szCs w:val="18"/>
                <w:lang w:val="en"/>
              </w:rPr>
              <w:t>0.05%</w:t>
            </w:r>
          </w:p>
        </w:tc>
      </w:tr>
      <w:tr w:rsidR="0024029C" w:rsidRPr="00B31D39" w14:paraId="7E919136" w14:textId="77777777" w:rsidTr="00AC2E19">
        <w:trPr>
          <w:trHeight w:val="288"/>
        </w:trPr>
        <w:tc>
          <w:tcPr>
            <w:tcW w:w="3865" w:type="dxa"/>
            <w:noWrap/>
            <w:hideMark/>
          </w:tcPr>
          <w:p w14:paraId="745345E0" w14:textId="77777777" w:rsidR="0024029C" w:rsidRPr="00B31D39" w:rsidRDefault="0024029C" w:rsidP="00AC2E19">
            <w:pPr>
              <w:rPr>
                <w:rFonts w:ascii="Verdana" w:hAnsi="Verdana"/>
                <w:b/>
                <w:bCs/>
                <w:color w:val="000000"/>
                <w:sz w:val="18"/>
                <w:szCs w:val="18"/>
                <w:lang w:val="en-US"/>
              </w:rPr>
            </w:pPr>
            <w:r w:rsidRPr="00B31D39">
              <w:rPr>
                <w:rFonts w:ascii="Verdana" w:hAnsi="Verdana"/>
                <w:b/>
                <w:bCs/>
                <w:color w:val="000000"/>
                <w:sz w:val="18"/>
                <w:szCs w:val="18"/>
                <w:lang w:val="en"/>
              </w:rPr>
              <w:t>Gross value added</w:t>
            </w:r>
          </w:p>
        </w:tc>
        <w:tc>
          <w:tcPr>
            <w:tcW w:w="2610" w:type="dxa"/>
            <w:noWrap/>
            <w:hideMark/>
          </w:tcPr>
          <w:p w14:paraId="39AC885A" w14:textId="77777777" w:rsidR="0024029C" w:rsidRPr="00B31D39" w:rsidRDefault="0024029C" w:rsidP="00AC2E19">
            <w:pPr>
              <w:jc w:val="center"/>
              <w:rPr>
                <w:rFonts w:ascii="Verdana" w:hAnsi="Verdana"/>
                <w:color w:val="000000"/>
                <w:sz w:val="18"/>
                <w:szCs w:val="18"/>
                <w:lang w:val="en-US"/>
              </w:rPr>
            </w:pPr>
            <w:r w:rsidRPr="00B31D39">
              <w:rPr>
                <w:rFonts w:ascii="Verdana" w:hAnsi="Verdana"/>
                <w:color w:val="000000"/>
                <w:sz w:val="18"/>
                <w:szCs w:val="18"/>
                <w:lang w:val="en"/>
              </w:rPr>
              <w:t>0.50%</w:t>
            </w:r>
          </w:p>
        </w:tc>
        <w:tc>
          <w:tcPr>
            <w:tcW w:w="2610" w:type="dxa"/>
            <w:noWrap/>
            <w:hideMark/>
          </w:tcPr>
          <w:p w14:paraId="2AF7C6C7" w14:textId="77777777" w:rsidR="0024029C" w:rsidRPr="00B31D39" w:rsidRDefault="0024029C" w:rsidP="00AC2E19">
            <w:pPr>
              <w:jc w:val="center"/>
              <w:rPr>
                <w:rFonts w:ascii="Verdana" w:hAnsi="Verdana"/>
                <w:color w:val="000000"/>
                <w:sz w:val="18"/>
                <w:szCs w:val="18"/>
                <w:lang w:val="en-US"/>
              </w:rPr>
            </w:pPr>
            <w:r w:rsidRPr="00B31D39">
              <w:rPr>
                <w:rFonts w:ascii="Verdana" w:hAnsi="Verdana"/>
                <w:color w:val="000000"/>
                <w:sz w:val="18"/>
                <w:szCs w:val="18"/>
                <w:lang w:val="en"/>
              </w:rPr>
              <w:t>0.02%</w:t>
            </w:r>
          </w:p>
        </w:tc>
      </w:tr>
    </w:tbl>
    <w:p w14:paraId="317CCB6A" w14:textId="77777777" w:rsidR="0024029C" w:rsidRPr="00242734" w:rsidRDefault="0024029C" w:rsidP="0024029C">
      <w:pPr>
        <w:jc w:val="both"/>
        <w:rPr>
          <w:rFonts w:ascii="Verdana" w:hAnsi="Verdana"/>
          <w:i/>
          <w:iCs/>
          <w:sz w:val="20"/>
          <w:szCs w:val="20"/>
          <w:lang w:val="bg-BG"/>
        </w:rPr>
      </w:pPr>
      <w:r w:rsidRPr="00242734">
        <w:rPr>
          <w:rFonts w:ascii="Verdana" w:hAnsi="Verdana"/>
          <w:i/>
          <w:iCs/>
          <w:sz w:val="20"/>
          <w:szCs w:val="20"/>
          <w:lang w:val="en"/>
        </w:rPr>
        <w:t xml:space="preserve">Source: </w:t>
      </w:r>
      <w:proofErr w:type="spellStart"/>
      <w:r w:rsidRPr="00242734">
        <w:rPr>
          <w:rFonts w:ascii="Verdana" w:hAnsi="Verdana"/>
          <w:i/>
          <w:iCs/>
          <w:sz w:val="20"/>
          <w:szCs w:val="20"/>
          <w:lang w:val="en"/>
        </w:rPr>
        <w:t>MoC</w:t>
      </w:r>
      <w:proofErr w:type="spellEnd"/>
      <w:r w:rsidRPr="00242734">
        <w:rPr>
          <w:rFonts w:ascii="Verdana" w:hAnsi="Verdana"/>
          <w:i/>
          <w:iCs/>
          <w:sz w:val="20"/>
          <w:szCs w:val="20"/>
          <w:lang w:val="en"/>
        </w:rPr>
        <w:t>, SIBILA 2.0, Own Calculations</w:t>
      </w:r>
    </w:p>
    <w:p w14:paraId="1B9472A8" w14:textId="77777777" w:rsidR="0024029C" w:rsidRPr="002B1D0C" w:rsidRDefault="0024029C" w:rsidP="0024029C">
      <w:pPr>
        <w:jc w:val="both"/>
        <w:rPr>
          <w:rFonts w:ascii="Verdana" w:eastAsiaTheme="majorEastAsia" w:hAnsi="Verdana" w:cstheme="majorBidi"/>
          <w:b/>
          <w:bCs/>
          <w:smallCaps/>
          <w:color w:val="243255" w:themeColor="accent1" w:themeShade="7F"/>
          <w:sz w:val="20"/>
          <w:szCs w:val="20"/>
          <w:lang w:val="bg-BG"/>
        </w:rPr>
      </w:pPr>
    </w:p>
    <w:p w14:paraId="70EFC337" w14:textId="40523A49" w:rsidR="005F2EA4" w:rsidRPr="00324242" w:rsidRDefault="005F2EA4" w:rsidP="00186F51">
      <w:pPr>
        <w:keepNext/>
        <w:keepLines/>
        <w:spacing w:before="40" w:after="0"/>
        <w:jc w:val="both"/>
        <w:outlineLvl w:val="2"/>
        <w:rPr>
          <w:rFonts w:ascii="Verdana" w:eastAsiaTheme="majorEastAsia" w:hAnsi="Verdana" w:cstheme="majorBidi"/>
          <w:b/>
          <w:bCs/>
          <w:smallCaps/>
          <w:color w:val="243255" w:themeColor="accent1" w:themeShade="7F"/>
          <w:sz w:val="20"/>
          <w:szCs w:val="20"/>
          <w:lang w:val="bg-BG"/>
        </w:rPr>
      </w:pPr>
      <w:r w:rsidRPr="00324242">
        <w:rPr>
          <w:rFonts w:ascii="Verdana" w:hAnsi="Verdana"/>
          <w:b/>
          <w:bCs/>
          <w:smallCaps/>
          <w:color w:val="243255" w:themeColor="accent1" w:themeShade="7F"/>
          <w:sz w:val="20"/>
          <w:szCs w:val="20"/>
          <w:lang w:val="en"/>
        </w:rPr>
        <w:t>Forecasts and projections of the economic benefits of major projects</w:t>
      </w:r>
    </w:p>
    <w:p w14:paraId="69DEDF71" w14:textId="346EACDA" w:rsidR="00C749A9" w:rsidRDefault="00186F51" w:rsidP="00B31D39">
      <w:pPr>
        <w:widowControl w:val="0"/>
        <w:spacing w:before="120" w:line="240" w:lineRule="auto"/>
        <w:jc w:val="both"/>
        <w:rPr>
          <w:rFonts w:ascii="Verdana" w:hAnsi="Verdana"/>
          <w:sz w:val="20"/>
          <w:szCs w:val="20"/>
          <w:lang w:val="en"/>
        </w:rPr>
      </w:pPr>
      <w:r w:rsidRPr="00324242">
        <w:rPr>
          <w:rFonts w:ascii="Verdana" w:hAnsi="Verdana"/>
          <w:sz w:val="20"/>
          <w:szCs w:val="20"/>
          <w:lang w:val="en"/>
        </w:rPr>
        <w:t xml:space="preserve">For the purposes of the major projects implemented under </w:t>
      </w:r>
      <w:r w:rsidR="003D48C1">
        <w:rPr>
          <w:rFonts w:ascii="Verdana" w:hAnsi="Verdana"/>
          <w:sz w:val="20"/>
          <w:szCs w:val="20"/>
          <w:lang w:val="en"/>
        </w:rPr>
        <w:t>PA 1, 2 and 3</w:t>
      </w:r>
      <w:r w:rsidRPr="00324242">
        <w:rPr>
          <w:rFonts w:ascii="Verdana" w:hAnsi="Verdana"/>
          <w:sz w:val="20"/>
          <w:szCs w:val="20"/>
          <w:lang w:val="en"/>
        </w:rPr>
        <w:t xml:space="preserve">, cost-benefit analyses have been prepared, </w:t>
      </w:r>
      <w:r w:rsidR="00FF5026">
        <w:rPr>
          <w:rFonts w:ascii="Verdana" w:hAnsi="Verdana"/>
          <w:sz w:val="20"/>
          <w:szCs w:val="20"/>
          <w:lang w:val="en"/>
        </w:rPr>
        <w:t xml:space="preserve">which included appraisal of </w:t>
      </w:r>
      <w:r w:rsidRPr="00324242">
        <w:rPr>
          <w:rFonts w:ascii="Verdana" w:hAnsi="Verdana"/>
          <w:sz w:val="20"/>
          <w:szCs w:val="20"/>
          <w:lang w:val="en"/>
        </w:rPr>
        <w:t xml:space="preserve">the main economic and environmental impacts. </w:t>
      </w:r>
      <w:r w:rsidR="00C749A9">
        <w:rPr>
          <w:rFonts w:ascii="Verdana" w:hAnsi="Verdana"/>
          <w:sz w:val="20"/>
          <w:szCs w:val="20"/>
          <w:lang w:val="en"/>
        </w:rPr>
        <w:t>The CBA</w:t>
      </w:r>
      <w:r w:rsidR="008D2202">
        <w:rPr>
          <w:rFonts w:ascii="Verdana" w:hAnsi="Verdana"/>
          <w:sz w:val="20"/>
          <w:szCs w:val="20"/>
          <w:lang w:val="en"/>
        </w:rPr>
        <w:t xml:space="preserve"> aim to analyze the project general impacts on society in terms of costs and benefits. </w:t>
      </w:r>
      <w:r w:rsidR="007B0238">
        <w:rPr>
          <w:rFonts w:ascii="Verdana" w:hAnsi="Verdana"/>
          <w:sz w:val="20"/>
          <w:szCs w:val="20"/>
          <w:lang w:val="en"/>
        </w:rPr>
        <w:t xml:space="preserve">The CBA contain forecast for net economic and environmental impacts for the project reference periods of 30 years.  </w:t>
      </w:r>
    </w:p>
    <w:p w14:paraId="1AE56AB4" w14:textId="7444957C" w:rsidR="00560A2C" w:rsidRPr="00560A2C" w:rsidRDefault="00C74345" w:rsidP="00B31D39">
      <w:pPr>
        <w:jc w:val="both"/>
        <w:rPr>
          <w:rFonts w:ascii="Verdana" w:hAnsi="Verdana"/>
          <w:sz w:val="20"/>
          <w:szCs w:val="20"/>
        </w:rPr>
      </w:pPr>
      <w:r w:rsidRPr="00B31D39">
        <w:rPr>
          <w:rFonts w:ascii="Verdana" w:hAnsi="Verdana"/>
          <w:b/>
          <w:bCs/>
          <w:sz w:val="20"/>
          <w:szCs w:val="20"/>
          <w:lang w:val="en"/>
        </w:rPr>
        <w:lastRenderedPageBreak/>
        <w:t>The travel time saved is a major economic benefit for all projects under PA 1, 2 and 3</w:t>
      </w:r>
      <w:r w:rsidRPr="00C74345">
        <w:rPr>
          <w:rFonts w:ascii="Verdana" w:hAnsi="Verdana"/>
          <w:sz w:val="20"/>
          <w:szCs w:val="20"/>
          <w:lang w:val="en"/>
        </w:rPr>
        <w:t xml:space="preserve">, </w:t>
      </w:r>
      <w:r w:rsidRPr="00B31D39">
        <w:rPr>
          <w:rFonts w:ascii="Verdana" w:hAnsi="Verdana"/>
          <w:b/>
          <w:bCs/>
          <w:sz w:val="20"/>
          <w:szCs w:val="20"/>
          <w:lang w:val="en"/>
        </w:rPr>
        <w:t>with a total share exceeding 70% of all benefits</w:t>
      </w:r>
      <w:r w:rsidRPr="00C74345">
        <w:rPr>
          <w:rFonts w:ascii="Verdana" w:hAnsi="Verdana"/>
          <w:sz w:val="20"/>
          <w:szCs w:val="20"/>
          <w:lang w:val="en"/>
        </w:rPr>
        <w:t>, reported also as result indicator on the first three OPT priority axes.</w:t>
      </w:r>
      <w:r w:rsidR="00560A2C" w:rsidRPr="00560A2C">
        <w:rPr>
          <w:rFonts w:ascii="Verdana" w:hAnsi="Verdana"/>
          <w:sz w:val="20"/>
          <w:szCs w:val="20"/>
          <w:lang w:val="en"/>
        </w:rPr>
        <w:t xml:space="preserve"> The benefits from removing one-level crossings in railway projects contribute to both time savings and safety. </w:t>
      </w:r>
    </w:p>
    <w:p w14:paraId="6B818C73" w14:textId="41323FBF" w:rsidR="00C74345" w:rsidRDefault="00C74345" w:rsidP="00186F51">
      <w:pPr>
        <w:widowControl w:val="0"/>
        <w:spacing w:before="120" w:line="240" w:lineRule="auto"/>
        <w:jc w:val="both"/>
        <w:rPr>
          <w:rFonts w:ascii="Verdana" w:hAnsi="Verdana"/>
          <w:sz w:val="20"/>
          <w:szCs w:val="20"/>
          <w:lang w:val="en"/>
        </w:rPr>
      </w:pPr>
    </w:p>
    <w:p w14:paraId="626BBDE9" w14:textId="5DE71B27" w:rsidR="002F4360" w:rsidRPr="002F4360" w:rsidRDefault="002F4360" w:rsidP="002F4360">
      <w:pPr>
        <w:keepNext/>
        <w:spacing w:after="200" w:line="240" w:lineRule="auto"/>
        <w:jc w:val="center"/>
        <w:rPr>
          <w:rFonts w:ascii="Verdana" w:hAnsi="Verdana"/>
          <w:i/>
          <w:iCs/>
          <w:color w:val="242852" w:themeColor="text2"/>
          <w:sz w:val="18"/>
          <w:szCs w:val="18"/>
        </w:rPr>
      </w:pPr>
      <w:bookmarkStart w:id="106" w:name="_Ref62720706"/>
      <w:bookmarkStart w:id="107" w:name="_Toc62475931"/>
      <w:bookmarkStart w:id="108" w:name="_Toc62724859"/>
      <w:r w:rsidRPr="002F4360">
        <w:rPr>
          <w:rFonts w:ascii="Verdana" w:hAnsi="Verdana"/>
          <w:i/>
          <w:iCs/>
          <w:color w:val="242852" w:themeColor="text2"/>
          <w:sz w:val="18"/>
          <w:szCs w:val="18"/>
        </w:rPr>
        <w:t xml:space="preserve">Figure </w:t>
      </w:r>
      <w:r w:rsidR="00134718">
        <w:rPr>
          <w:rFonts w:ascii="Verdana" w:hAnsi="Verdana"/>
          <w:i/>
          <w:iCs/>
          <w:color w:val="242852" w:themeColor="text2"/>
          <w:sz w:val="18"/>
          <w:szCs w:val="18"/>
        </w:rPr>
        <w:fldChar w:fldCharType="begin"/>
      </w:r>
      <w:r w:rsidR="00134718">
        <w:rPr>
          <w:rFonts w:ascii="Verdana" w:hAnsi="Verdana"/>
          <w:i/>
          <w:iCs/>
          <w:color w:val="242852" w:themeColor="text2"/>
          <w:sz w:val="18"/>
          <w:szCs w:val="18"/>
        </w:rPr>
        <w:instrText xml:space="preserve"> STYLEREF 1 \s </w:instrText>
      </w:r>
      <w:r w:rsidR="00134718">
        <w:rPr>
          <w:rFonts w:ascii="Verdana" w:hAnsi="Verdana"/>
          <w:i/>
          <w:iCs/>
          <w:color w:val="242852" w:themeColor="text2"/>
          <w:sz w:val="18"/>
          <w:szCs w:val="18"/>
        </w:rPr>
        <w:fldChar w:fldCharType="separate"/>
      </w:r>
      <w:r w:rsidR="00B31D39">
        <w:rPr>
          <w:rFonts w:ascii="Verdana" w:hAnsi="Verdana"/>
          <w:i/>
          <w:iCs/>
          <w:noProof/>
          <w:color w:val="242852" w:themeColor="text2"/>
          <w:sz w:val="18"/>
          <w:szCs w:val="18"/>
        </w:rPr>
        <w:t>IV.7</w:t>
      </w:r>
      <w:r w:rsidR="00134718">
        <w:rPr>
          <w:rFonts w:ascii="Verdana" w:hAnsi="Verdana"/>
          <w:i/>
          <w:iCs/>
          <w:color w:val="242852" w:themeColor="text2"/>
          <w:sz w:val="18"/>
          <w:szCs w:val="18"/>
        </w:rPr>
        <w:fldChar w:fldCharType="end"/>
      </w:r>
      <w:r w:rsidR="00134718">
        <w:rPr>
          <w:rFonts w:ascii="Verdana" w:hAnsi="Verdana"/>
          <w:i/>
          <w:iCs/>
          <w:color w:val="242852" w:themeColor="text2"/>
          <w:sz w:val="18"/>
          <w:szCs w:val="18"/>
        </w:rPr>
        <w:noBreakHyphen/>
      </w:r>
      <w:r w:rsidR="00134718">
        <w:rPr>
          <w:rFonts w:ascii="Verdana" w:hAnsi="Verdana"/>
          <w:i/>
          <w:iCs/>
          <w:color w:val="242852" w:themeColor="text2"/>
          <w:sz w:val="18"/>
          <w:szCs w:val="18"/>
        </w:rPr>
        <w:fldChar w:fldCharType="begin"/>
      </w:r>
      <w:r w:rsidR="00134718">
        <w:rPr>
          <w:rFonts w:ascii="Verdana" w:hAnsi="Verdana"/>
          <w:i/>
          <w:iCs/>
          <w:color w:val="242852" w:themeColor="text2"/>
          <w:sz w:val="18"/>
          <w:szCs w:val="18"/>
        </w:rPr>
        <w:instrText xml:space="preserve"> SEQ Figure \* ARABIC \s 1 </w:instrText>
      </w:r>
      <w:r w:rsidR="00134718">
        <w:rPr>
          <w:rFonts w:ascii="Verdana" w:hAnsi="Verdana"/>
          <w:i/>
          <w:iCs/>
          <w:color w:val="242852" w:themeColor="text2"/>
          <w:sz w:val="18"/>
          <w:szCs w:val="18"/>
        </w:rPr>
        <w:fldChar w:fldCharType="separate"/>
      </w:r>
      <w:r w:rsidR="00B31D39">
        <w:rPr>
          <w:rFonts w:ascii="Verdana" w:hAnsi="Verdana"/>
          <w:i/>
          <w:iCs/>
          <w:noProof/>
          <w:color w:val="242852" w:themeColor="text2"/>
          <w:sz w:val="18"/>
          <w:szCs w:val="18"/>
        </w:rPr>
        <w:t>1</w:t>
      </w:r>
      <w:r w:rsidR="00134718">
        <w:rPr>
          <w:rFonts w:ascii="Verdana" w:hAnsi="Verdana"/>
          <w:i/>
          <w:iCs/>
          <w:color w:val="242852" w:themeColor="text2"/>
          <w:sz w:val="18"/>
          <w:szCs w:val="18"/>
        </w:rPr>
        <w:fldChar w:fldCharType="end"/>
      </w:r>
      <w:bookmarkEnd w:id="106"/>
      <w:r w:rsidRPr="002F4360">
        <w:rPr>
          <w:rFonts w:ascii="Verdana" w:hAnsi="Verdana"/>
          <w:i/>
          <w:iCs/>
          <w:color w:val="242852" w:themeColor="text2"/>
          <w:sz w:val="18"/>
          <w:szCs w:val="18"/>
          <w:lang w:val="bg-BG"/>
        </w:rPr>
        <w:t xml:space="preserve">: </w:t>
      </w:r>
      <w:proofErr w:type="spellStart"/>
      <w:r w:rsidRPr="002F4360">
        <w:rPr>
          <w:rFonts w:ascii="Verdana" w:hAnsi="Verdana"/>
          <w:i/>
          <w:iCs/>
          <w:color w:val="242852" w:themeColor="text2"/>
          <w:sz w:val="18"/>
          <w:szCs w:val="18"/>
          <w:lang w:val="bg-BG"/>
        </w:rPr>
        <w:t>Distribution</w:t>
      </w:r>
      <w:proofErr w:type="spellEnd"/>
      <w:r w:rsidRPr="002F4360">
        <w:rPr>
          <w:rFonts w:ascii="Verdana" w:hAnsi="Verdana"/>
          <w:i/>
          <w:iCs/>
          <w:color w:val="242852" w:themeColor="text2"/>
          <w:sz w:val="18"/>
          <w:szCs w:val="18"/>
          <w:lang w:val="bg-BG"/>
        </w:rPr>
        <w:t xml:space="preserve"> </w:t>
      </w:r>
      <w:proofErr w:type="spellStart"/>
      <w:r w:rsidRPr="002F4360">
        <w:rPr>
          <w:rFonts w:ascii="Verdana" w:hAnsi="Verdana"/>
          <w:i/>
          <w:iCs/>
          <w:color w:val="242852" w:themeColor="text2"/>
          <w:sz w:val="18"/>
          <w:szCs w:val="18"/>
          <w:lang w:val="bg-BG"/>
        </w:rPr>
        <w:t>of</w:t>
      </w:r>
      <w:proofErr w:type="spellEnd"/>
      <w:r w:rsidRPr="002F4360">
        <w:rPr>
          <w:rFonts w:ascii="Verdana" w:hAnsi="Verdana"/>
          <w:i/>
          <w:iCs/>
          <w:color w:val="242852" w:themeColor="text2"/>
          <w:sz w:val="18"/>
          <w:szCs w:val="18"/>
          <w:lang w:val="bg-BG"/>
        </w:rPr>
        <w:t xml:space="preserve"> </w:t>
      </w:r>
      <w:proofErr w:type="spellStart"/>
      <w:r w:rsidRPr="002F4360">
        <w:rPr>
          <w:rFonts w:ascii="Verdana" w:hAnsi="Verdana"/>
          <w:i/>
          <w:iCs/>
          <w:color w:val="242852" w:themeColor="text2"/>
          <w:sz w:val="18"/>
          <w:szCs w:val="18"/>
          <w:lang w:val="bg-BG"/>
        </w:rPr>
        <w:t>benefits</w:t>
      </w:r>
      <w:proofErr w:type="spellEnd"/>
      <w:r w:rsidRPr="002F4360">
        <w:rPr>
          <w:rFonts w:ascii="Verdana" w:hAnsi="Verdana"/>
          <w:i/>
          <w:iCs/>
          <w:color w:val="242852" w:themeColor="text2"/>
          <w:sz w:val="18"/>
          <w:szCs w:val="18"/>
          <w:lang w:val="bg-BG"/>
        </w:rPr>
        <w:t xml:space="preserve"> </w:t>
      </w:r>
      <w:proofErr w:type="spellStart"/>
      <w:r w:rsidRPr="002F4360">
        <w:rPr>
          <w:rFonts w:ascii="Verdana" w:hAnsi="Verdana"/>
          <w:i/>
          <w:iCs/>
          <w:color w:val="242852" w:themeColor="text2"/>
          <w:sz w:val="18"/>
          <w:szCs w:val="18"/>
          <w:lang w:val="bg-BG"/>
        </w:rPr>
        <w:t>by</w:t>
      </w:r>
      <w:proofErr w:type="spellEnd"/>
      <w:r w:rsidRPr="002F4360">
        <w:rPr>
          <w:rFonts w:ascii="Verdana" w:hAnsi="Verdana"/>
          <w:i/>
          <w:iCs/>
          <w:color w:val="242852" w:themeColor="text2"/>
          <w:sz w:val="18"/>
          <w:szCs w:val="18"/>
          <w:lang w:val="bg-BG"/>
        </w:rPr>
        <w:t xml:space="preserve"> </w:t>
      </w:r>
      <w:proofErr w:type="spellStart"/>
      <w:r w:rsidRPr="002F4360">
        <w:rPr>
          <w:rFonts w:ascii="Verdana" w:hAnsi="Verdana"/>
          <w:i/>
          <w:iCs/>
          <w:color w:val="242852" w:themeColor="text2"/>
          <w:sz w:val="18"/>
          <w:szCs w:val="18"/>
          <w:lang w:val="bg-BG"/>
        </w:rPr>
        <w:t>Priority</w:t>
      </w:r>
      <w:proofErr w:type="spellEnd"/>
      <w:r w:rsidRPr="002F4360">
        <w:rPr>
          <w:rFonts w:ascii="Verdana" w:hAnsi="Verdana"/>
          <w:i/>
          <w:iCs/>
          <w:color w:val="242852" w:themeColor="text2"/>
          <w:sz w:val="18"/>
          <w:szCs w:val="18"/>
          <w:lang w:val="bg-BG"/>
        </w:rPr>
        <w:t xml:space="preserve"> </w:t>
      </w:r>
      <w:proofErr w:type="spellStart"/>
      <w:r w:rsidRPr="002F4360">
        <w:rPr>
          <w:rFonts w:ascii="Verdana" w:hAnsi="Verdana"/>
          <w:i/>
          <w:iCs/>
          <w:color w:val="242852" w:themeColor="text2"/>
          <w:sz w:val="18"/>
          <w:szCs w:val="18"/>
          <w:lang w:val="bg-BG"/>
        </w:rPr>
        <w:t>Axes</w:t>
      </w:r>
      <w:proofErr w:type="spellEnd"/>
      <w:r w:rsidRPr="002F4360">
        <w:rPr>
          <w:rFonts w:ascii="Verdana" w:hAnsi="Verdana"/>
          <w:i/>
          <w:iCs/>
          <w:color w:val="242852" w:themeColor="text2"/>
          <w:sz w:val="18"/>
          <w:szCs w:val="18"/>
          <w:lang w:val="bg-BG"/>
        </w:rPr>
        <w:t xml:space="preserve"> </w:t>
      </w:r>
      <w:proofErr w:type="spellStart"/>
      <w:r w:rsidRPr="002F4360">
        <w:rPr>
          <w:rFonts w:ascii="Verdana" w:hAnsi="Verdana"/>
          <w:i/>
          <w:iCs/>
          <w:color w:val="242852" w:themeColor="text2"/>
          <w:sz w:val="18"/>
          <w:szCs w:val="18"/>
          <w:lang w:val="bg-BG"/>
        </w:rPr>
        <w:t>up</w:t>
      </w:r>
      <w:proofErr w:type="spellEnd"/>
      <w:r w:rsidRPr="002F4360">
        <w:rPr>
          <w:rFonts w:ascii="Verdana" w:hAnsi="Verdana"/>
          <w:i/>
          <w:iCs/>
          <w:color w:val="242852" w:themeColor="text2"/>
          <w:sz w:val="18"/>
          <w:szCs w:val="18"/>
          <w:lang w:val="bg-BG"/>
        </w:rPr>
        <w:t xml:space="preserve"> </w:t>
      </w:r>
      <w:proofErr w:type="spellStart"/>
      <w:r w:rsidRPr="002F4360">
        <w:rPr>
          <w:rFonts w:ascii="Verdana" w:hAnsi="Verdana"/>
          <w:i/>
          <w:iCs/>
          <w:color w:val="242852" w:themeColor="text2"/>
          <w:sz w:val="18"/>
          <w:szCs w:val="18"/>
          <w:lang w:val="bg-BG"/>
        </w:rPr>
        <w:t>to</w:t>
      </w:r>
      <w:proofErr w:type="spellEnd"/>
      <w:r w:rsidRPr="002F4360">
        <w:rPr>
          <w:rFonts w:ascii="Verdana" w:hAnsi="Verdana"/>
          <w:i/>
          <w:iCs/>
          <w:color w:val="242852" w:themeColor="text2"/>
          <w:sz w:val="18"/>
          <w:szCs w:val="18"/>
          <w:lang w:val="bg-BG"/>
        </w:rPr>
        <w:t xml:space="preserve"> 2019</w:t>
      </w:r>
      <w:bookmarkEnd w:id="107"/>
      <w:bookmarkEnd w:id="108"/>
    </w:p>
    <w:p w14:paraId="5A618024" w14:textId="77777777" w:rsidR="002F4360" w:rsidRPr="002F4360" w:rsidRDefault="002F4360" w:rsidP="002F4360">
      <w:pPr>
        <w:jc w:val="center"/>
        <w:rPr>
          <w:rFonts w:ascii="Verdana" w:hAnsi="Verdana"/>
          <w:noProof/>
          <w:sz w:val="20"/>
          <w:lang w:val="bg-BG"/>
        </w:rPr>
      </w:pPr>
      <w:r w:rsidRPr="002F4360">
        <w:rPr>
          <w:rFonts w:ascii="Verdana" w:hAnsi="Verdana"/>
          <w:noProof/>
          <w:sz w:val="20"/>
          <w:lang w:val="bg-BG" w:eastAsia="bg-BG"/>
        </w:rPr>
        <w:drawing>
          <wp:inline distT="0" distB="0" distL="0" distR="0" wp14:anchorId="18290E03" wp14:editId="45F3BB3E">
            <wp:extent cx="4152900" cy="2419350"/>
            <wp:effectExtent l="0" t="0" r="0" b="0"/>
            <wp:docPr id="4" name="Chart 4">
              <a:extLst xmlns:a="http://schemas.openxmlformats.org/drawingml/2006/main">
                <a:ext uri="{FF2B5EF4-FFF2-40B4-BE49-F238E27FC236}">
                  <a16:creationId xmlns:a16="http://schemas.microsoft.com/office/drawing/2014/main" id="{A0BB8BC5-49B4-4D4D-BA7E-1B34D5BEC18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697DBF84" w14:textId="77777777" w:rsidR="002F4360" w:rsidRPr="002F4360" w:rsidRDefault="002F4360" w:rsidP="002F4360">
      <w:pPr>
        <w:jc w:val="both"/>
        <w:rPr>
          <w:rFonts w:ascii="Verdana" w:hAnsi="Verdana"/>
          <w:i/>
          <w:iCs/>
          <w:sz w:val="18"/>
          <w:szCs w:val="18"/>
        </w:rPr>
      </w:pPr>
      <w:r w:rsidRPr="002F4360">
        <w:rPr>
          <w:rFonts w:ascii="Verdana" w:hAnsi="Verdana"/>
          <w:i/>
          <w:iCs/>
          <w:sz w:val="18"/>
          <w:szCs w:val="18"/>
          <w:lang w:val="en"/>
        </w:rPr>
        <w:t>Source: Monitoring model, CBA, own calculations</w:t>
      </w:r>
    </w:p>
    <w:p w14:paraId="2AE05261" w14:textId="3C2DC885" w:rsidR="007A3623" w:rsidRPr="00774C7E" w:rsidRDefault="007A3623" w:rsidP="007A3623">
      <w:pPr>
        <w:spacing w:after="0" w:line="240" w:lineRule="auto"/>
        <w:jc w:val="both"/>
        <w:rPr>
          <w:rFonts w:ascii="Verdana" w:hAnsi="Verdana"/>
          <w:sz w:val="20"/>
          <w:szCs w:val="20"/>
        </w:rPr>
      </w:pPr>
      <w:r w:rsidRPr="00774C7E">
        <w:rPr>
          <w:rFonts w:ascii="Verdana" w:hAnsi="Verdana"/>
          <w:sz w:val="20"/>
          <w:szCs w:val="20"/>
          <w:lang w:val="en"/>
        </w:rPr>
        <w:t xml:space="preserve">On the basis of the OPT monitoring model and input data up to 2019 for </w:t>
      </w:r>
      <w:r w:rsidRPr="00E81497">
        <w:rPr>
          <w:rFonts w:ascii="Verdana" w:hAnsi="Verdana"/>
          <w:sz w:val="20"/>
          <w:szCs w:val="20"/>
          <w:lang w:val="en"/>
        </w:rPr>
        <w:t>rail,</w:t>
      </w:r>
      <w:r w:rsidR="00774C7E" w:rsidRPr="00E81497">
        <w:rPr>
          <w:rFonts w:ascii="Verdana" w:hAnsi="Verdana"/>
          <w:sz w:val="20"/>
          <w:szCs w:val="20"/>
          <w:lang w:val="en"/>
        </w:rPr>
        <w:t xml:space="preserve"> </w:t>
      </w:r>
      <w:r w:rsidR="00774C7E" w:rsidRPr="00E81497">
        <w:rPr>
          <w:rFonts w:ascii="Verdana" w:hAnsi="Verdana"/>
          <w:color w:val="242852" w:themeColor="text2"/>
          <w:sz w:val="20"/>
          <w:szCs w:val="20"/>
          <w:lang w:val="en"/>
        </w:rPr>
        <w:fldChar w:fldCharType="begin"/>
      </w:r>
      <w:r w:rsidR="00774C7E" w:rsidRPr="00E81497">
        <w:rPr>
          <w:rFonts w:ascii="Verdana" w:hAnsi="Verdana"/>
          <w:color w:val="242852" w:themeColor="text2"/>
          <w:sz w:val="20"/>
          <w:szCs w:val="20"/>
          <w:lang w:val="en"/>
        </w:rPr>
        <w:instrText xml:space="preserve"> REF _Ref62720706 \h  \* MERGEFORMAT </w:instrText>
      </w:r>
      <w:r w:rsidR="00774C7E" w:rsidRPr="00E81497">
        <w:rPr>
          <w:rFonts w:ascii="Verdana" w:hAnsi="Verdana"/>
          <w:color w:val="242852" w:themeColor="text2"/>
          <w:sz w:val="20"/>
          <w:szCs w:val="20"/>
          <w:lang w:val="en"/>
        </w:rPr>
      </w:r>
      <w:r w:rsidR="00774C7E" w:rsidRPr="00E81497">
        <w:rPr>
          <w:rFonts w:ascii="Verdana" w:hAnsi="Verdana"/>
          <w:color w:val="242852" w:themeColor="text2"/>
          <w:sz w:val="20"/>
          <w:szCs w:val="20"/>
          <w:lang w:val="en"/>
        </w:rPr>
        <w:fldChar w:fldCharType="separate"/>
      </w:r>
      <w:r w:rsidR="00774C7E" w:rsidRPr="00E81497">
        <w:rPr>
          <w:rFonts w:ascii="Verdana" w:hAnsi="Verdana"/>
          <w:color w:val="242852" w:themeColor="text2"/>
          <w:sz w:val="20"/>
          <w:szCs w:val="20"/>
        </w:rPr>
        <w:t xml:space="preserve">Figure </w:t>
      </w:r>
      <w:r w:rsidR="00774C7E" w:rsidRPr="00E81497">
        <w:rPr>
          <w:rFonts w:ascii="Verdana" w:hAnsi="Verdana"/>
          <w:noProof/>
          <w:color w:val="242852" w:themeColor="text2"/>
          <w:sz w:val="20"/>
          <w:szCs w:val="20"/>
        </w:rPr>
        <w:t>IV.7</w:t>
      </w:r>
      <w:r w:rsidR="00774C7E" w:rsidRPr="00E81497">
        <w:rPr>
          <w:rFonts w:ascii="Verdana" w:hAnsi="Verdana"/>
          <w:color w:val="242852" w:themeColor="text2"/>
          <w:sz w:val="20"/>
          <w:szCs w:val="20"/>
        </w:rPr>
        <w:noBreakHyphen/>
      </w:r>
      <w:r w:rsidR="00774C7E" w:rsidRPr="00E81497">
        <w:rPr>
          <w:rFonts w:ascii="Verdana" w:hAnsi="Verdana"/>
          <w:noProof/>
          <w:color w:val="242852" w:themeColor="text2"/>
          <w:sz w:val="20"/>
          <w:szCs w:val="20"/>
        </w:rPr>
        <w:t>1</w:t>
      </w:r>
      <w:r w:rsidR="00774C7E" w:rsidRPr="00E81497">
        <w:rPr>
          <w:rFonts w:ascii="Verdana" w:hAnsi="Verdana"/>
          <w:color w:val="242852" w:themeColor="text2"/>
          <w:sz w:val="20"/>
          <w:szCs w:val="20"/>
          <w:lang w:val="en"/>
        </w:rPr>
        <w:fldChar w:fldCharType="end"/>
      </w:r>
      <w:r w:rsidR="00774C7E" w:rsidRPr="00E81497">
        <w:rPr>
          <w:rFonts w:ascii="Verdana" w:hAnsi="Verdana"/>
          <w:color w:val="242852" w:themeColor="text2"/>
          <w:sz w:val="20"/>
          <w:szCs w:val="20"/>
          <w:lang w:val="en"/>
        </w:rPr>
        <w:t xml:space="preserve"> </w:t>
      </w:r>
      <w:r w:rsidR="00774C7E" w:rsidRPr="00E81497">
        <w:rPr>
          <w:rFonts w:ascii="Verdana" w:hAnsi="Verdana"/>
          <w:sz w:val="20"/>
          <w:szCs w:val="20"/>
          <w:lang w:val="en"/>
        </w:rPr>
        <w:t xml:space="preserve">and </w:t>
      </w:r>
      <w:r w:rsidR="00774C7E" w:rsidRPr="00E81497">
        <w:rPr>
          <w:rFonts w:ascii="Verdana" w:hAnsi="Verdana"/>
          <w:color w:val="242852" w:themeColor="text2"/>
          <w:sz w:val="20"/>
          <w:szCs w:val="20"/>
          <w:lang w:val="en"/>
        </w:rPr>
        <w:fldChar w:fldCharType="begin"/>
      </w:r>
      <w:r w:rsidR="00774C7E" w:rsidRPr="00E81497">
        <w:rPr>
          <w:rFonts w:ascii="Verdana" w:hAnsi="Verdana"/>
          <w:color w:val="242852" w:themeColor="text2"/>
          <w:sz w:val="20"/>
          <w:szCs w:val="20"/>
          <w:lang w:val="en"/>
        </w:rPr>
        <w:instrText xml:space="preserve"> REF _Ref62720709 \h  \* MERGEFORMAT </w:instrText>
      </w:r>
      <w:r w:rsidR="00774C7E" w:rsidRPr="00E81497">
        <w:rPr>
          <w:rFonts w:ascii="Verdana" w:hAnsi="Verdana"/>
          <w:color w:val="242852" w:themeColor="text2"/>
          <w:sz w:val="20"/>
          <w:szCs w:val="20"/>
          <w:lang w:val="en"/>
        </w:rPr>
      </w:r>
      <w:r w:rsidR="00774C7E" w:rsidRPr="00E81497">
        <w:rPr>
          <w:rFonts w:ascii="Verdana" w:hAnsi="Verdana"/>
          <w:color w:val="242852" w:themeColor="text2"/>
          <w:sz w:val="20"/>
          <w:szCs w:val="20"/>
          <w:lang w:val="en"/>
        </w:rPr>
        <w:fldChar w:fldCharType="separate"/>
      </w:r>
      <w:r w:rsidR="00774C7E" w:rsidRPr="00E81497">
        <w:rPr>
          <w:rFonts w:ascii="Verdana" w:hAnsi="Verdana"/>
          <w:color w:val="242852" w:themeColor="text2"/>
          <w:sz w:val="20"/>
          <w:szCs w:val="20"/>
        </w:rPr>
        <w:t xml:space="preserve">Figure </w:t>
      </w:r>
      <w:r w:rsidR="00774C7E" w:rsidRPr="00E81497">
        <w:rPr>
          <w:rFonts w:ascii="Verdana" w:hAnsi="Verdana"/>
          <w:noProof/>
          <w:color w:val="242852" w:themeColor="text2"/>
          <w:sz w:val="20"/>
          <w:szCs w:val="20"/>
        </w:rPr>
        <w:t>IV.7</w:t>
      </w:r>
      <w:r w:rsidR="00774C7E" w:rsidRPr="00E81497">
        <w:rPr>
          <w:rFonts w:ascii="Verdana" w:hAnsi="Verdana"/>
          <w:color w:val="242852" w:themeColor="text2"/>
          <w:sz w:val="20"/>
          <w:szCs w:val="20"/>
        </w:rPr>
        <w:noBreakHyphen/>
      </w:r>
      <w:r w:rsidR="00774C7E" w:rsidRPr="00E81497">
        <w:rPr>
          <w:rFonts w:ascii="Verdana" w:hAnsi="Verdana"/>
          <w:noProof/>
          <w:color w:val="242852" w:themeColor="text2"/>
          <w:sz w:val="20"/>
          <w:szCs w:val="20"/>
        </w:rPr>
        <w:t>3</w:t>
      </w:r>
      <w:r w:rsidR="00774C7E" w:rsidRPr="00E81497">
        <w:rPr>
          <w:rFonts w:ascii="Verdana" w:hAnsi="Verdana"/>
          <w:color w:val="242852" w:themeColor="text2"/>
          <w:sz w:val="20"/>
          <w:szCs w:val="20"/>
          <w:lang w:val="en"/>
        </w:rPr>
        <w:fldChar w:fldCharType="end"/>
      </w:r>
      <w:r w:rsidR="00B31D39" w:rsidRPr="00E81497">
        <w:rPr>
          <w:rFonts w:ascii="Verdana" w:hAnsi="Verdana"/>
          <w:sz w:val="20"/>
          <w:szCs w:val="20"/>
          <w:lang w:val="en"/>
        </w:rPr>
        <w:t xml:space="preserve"> </w:t>
      </w:r>
      <w:r w:rsidRPr="00E81497">
        <w:rPr>
          <w:rFonts w:ascii="Verdana" w:hAnsi="Verdana"/>
          <w:sz w:val="20"/>
          <w:szCs w:val="20"/>
          <w:lang w:val="en"/>
        </w:rPr>
        <w:fldChar w:fldCharType="begin"/>
      </w:r>
      <w:r w:rsidRPr="00E81497">
        <w:rPr>
          <w:rFonts w:ascii="Verdana" w:hAnsi="Verdana"/>
          <w:sz w:val="20"/>
          <w:szCs w:val="20"/>
          <w:lang w:val="en"/>
        </w:rPr>
        <w:instrText xml:space="preserve"> REF _Ref50421448 \h  \* MERGEFORMAT </w:instrText>
      </w:r>
      <w:r w:rsidRPr="00E81497">
        <w:rPr>
          <w:rFonts w:ascii="Verdana" w:hAnsi="Verdana"/>
          <w:sz w:val="20"/>
          <w:szCs w:val="20"/>
          <w:lang w:val="en"/>
        </w:rPr>
      </w:r>
      <w:r w:rsidRPr="00E81497">
        <w:rPr>
          <w:rFonts w:ascii="Verdana" w:hAnsi="Verdana"/>
          <w:sz w:val="20"/>
          <w:szCs w:val="20"/>
          <w:lang w:val="en"/>
        </w:rPr>
        <w:fldChar w:fldCharType="separate"/>
      </w:r>
      <w:r w:rsidRPr="00E81497">
        <w:rPr>
          <w:rFonts w:ascii="Verdana" w:hAnsi="Verdana"/>
          <w:sz w:val="20"/>
          <w:szCs w:val="20"/>
          <w:lang w:val="en"/>
        </w:rPr>
        <w:t xml:space="preserve"> show the distribution of the recalculated achieved benefits for the period of exploitation </w:t>
      </w:r>
      <w:r w:rsidRPr="00E81497">
        <w:rPr>
          <w:rFonts w:ascii="Verdana" w:hAnsi="Verdana"/>
          <w:sz w:val="20"/>
          <w:szCs w:val="20"/>
          <w:lang w:val="en"/>
        </w:rPr>
        <w:fldChar w:fldCharType="end"/>
      </w:r>
      <w:r w:rsidRPr="00E81497">
        <w:rPr>
          <w:rFonts w:ascii="Verdana" w:hAnsi="Verdana"/>
          <w:sz w:val="20"/>
          <w:szCs w:val="20"/>
          <w:lang w:val="en"/>
        </w:rPr>
        <w:t>until 2019.</w:t>
      </w:r>
      <w:r w:rsidR="00774C7E" w:rsidRPr="00E81497">
        <w:rPr>
          <w:rFonts w:ascii="Verdana" w:hAnsi="Verdana"/>
          <w:sz w:val="20"/>
          <w:szCs w:val="20"/>
        </w:rPr>
        <w:t xml:space="preserve"> </w:t>
      </w:r>
      <w:r w:rsidR="00774C7E" w:rsidRPr="00E81497">
        <w:rPr>
          <w:rFonts w:ascii="Verdana" w:hAnsi="Verdana"/>
          <w:sz w:val="20"/>
          <w:szCs w:val="20"/>
          <w:lang w:val="en"/>
        </w:rPr>
        <w:t xml:space="preserve">The value of the total realized benefits as of 2019 amounts to EUR 1,296 </w:t>
      </w:r>
      <w:proofErr w:type="gramStart"/>
      <w:r w:rsidR="00774C7E" w:rsidRPr="00E81497">
        <w:rPr>
          <w:rFonts w:ascii="Verdana" w:hAnsi="Verdana"/>
          <w:sz w:val="20"/>
          <w:szCs w:val="20"/>
          <w:lang w:val="en"/>
        </w:rPr>
        <w:t>thousand</w:t>
      </w:r>
      <w:proofErr w:type="gramEnd"/>
      <w:r w:rsidR="00774C7E" w:rsidRPr="00E81497">
        <w:rPr>
          <w:rFonts w:ascii="Verdana" w:hAnsi="Verdana"/>
          <w:sz w:val="20"/>
          <w:szCs w:val="20"/>
          <w:lang w:val="en"/>
        </w:rPr>
        <w:t xml:space="preserve">, distributed by priority axes as shown in </w:t>
      </w:r>
      <w:r w:rsidR="00774C7E" w:rsidRPr="00E81497">
        <w:rPr>
          <w:rFonts w:ascii="Verdana" w:hAnsi="Verdana"/>
          <w:sz w:val="20"/>
          <w:szCs w:val="20"/>
          <w:lang w:val="en"/>
        </w:rPr>
        <w:fldChar w:fldCharType="begin"/>
      </w:r>
      <w:r w:rsidR="00774C7E" w:rsidRPr="00E81497">
        <w:rPr>
          <w:rFonts w:ascii="Verdana" w:hAnsi="Verdana"/>
          <w:sz w:val="20"/>
          <w:szCs w:val="20"/>
          <w:lang w:val="en"/>
        </w:rPr>
        <w:instrText xml:space="preserve"> REF _Ref62720706 \h  \* MERGEFORMAT </w:instrText>
      </w:r>
      <w:r w:rsidR="00774C7E" w:rsidRPr="00E81497">
        <w:rPr>
          <w:rFonts w:ascii="Verdana" w:hAnsi="Verdana"/>
          <w:sz w:val="20"/>
          <w:szCs w:val="20"/>
          <w:lang w:val="en"/>
        </w:rPr>
      </w:r>
      <w:r w:rsidR="00774C7E" w:rsidRPr="00E81497">
        <w:rPr>
          <w:rFonts w:ascii="Verdana" w:hAnsi="Verdana"/>
          <w:sz w:val="20"/>
          <w:szCs w:val="20"/>
          <w:lang w:val="en"/>
        </w:rPr>
        <w:fldChar w:fldCharType="separate"/>
      </w:r>
      <w:r w:rsidR="00774C7E" w:rsidRPr="00E81497">
        <w:rPr>
          <w:rFonts w:ascii="Verdana" w:hAnsi="Verdana"/>
          <w:color w:val="242852" w:themeColor="text2"/>
          <w:sz w:val="20"/>
          <w:szCs w:val="20"/>
        </w:rPr>
        <w:t xml:space="preserve">Figure </w:t>
      </w:r>
      <w:r w:rsidR="00774C7E" w:rsidRPr="00E81497">
        <w:rPr>
          <w:rFonts w:ascii="Verdana" w:hAnsi="Verdana"/>
          <w:noProof/>
          <w:color w:val="242852" w:themeColor="text2"/>
          <w:sz w:val="20"/>
          <w:szCs w:val="20"/>
        </w:rPr>
        <w:t>IV.7</w:t>
      </w:r>
      <w:r w:rsidR="00774C7E" w:rsidRPr="00E81497">
        <w:rPr>
          <w:rFonts w:ascii="Verdana" w:hAnsi="Verdana"/>
          <w:color w:val="242852" w:themeColor="text2"/>
          <w:sz w:val="20"/>
          <w:szCs w:val="20"/>
        </w:rPr>
        <w:noBreakHyphen/>
      </w:r>
      <w:r w:rsidR="00774C7E" w:rsidRPr="00E81497">
        <w:rPr>
          <w:rFonts w:ascii="Verdana" w:hAnsi="Verdana"/>
          <w:noProof/>
          <w:color w:val="242852" w:themeColor="text2"/>
          <w:sz w:val="20"/>
          <w:szCs w:val="20"/>
        </w:rPr>
        <w:t>1</w:t>
      </w:r>
      <w:r w:rsidR="00774C7E" w:rsidRPr="00E81497">
        <w:rPr>
          <w:rFonts w:ascii="Verdana" w:hAnsi="Verdana"/>
          <w:sz w:val="20"/>
          <w:szCs w:val="20"/>
          <w:lang w:val="en"/>
        </w:rPr>
        <w:fldChar w:fldCharType="end"/>
      </w:r>
      <w:r w:rsidR="00774C7E" w:rsidRPr="00E81497">
        <w:rPr>
          <w:rFonts w:ascii="Verdana" w:hAnsi="Verdana"/>
          <w:sz w:val="20"/>
          <w:szCs w:val="20"/>
          <w:lang w:val="en"/>
        </w:rPr>
        <w:t>.</w:t>
      </w:r>
    </w:p>
    <w:p w14:paraId="123585F0" w14:textId="662AC271" w:rsidR="00186F51" w:rsidRPr="00774C7E" w:rsidRDefault="00186F51" w:rsidP="005027F6">
      <w:pPr>
        <w:jc w:val="both"/>
        <w:rPr>
          <w:rFonts w:ascii="Verdana" w:hAnsi="Verdana"/>
          <w:b/>
          <w:bCs/>
          <w:sz w:val="20"/>
          <w:szCs w:val="20"/>
          <w:lang w:val="bg-BG"/>
        </w:rPr>
      </w:pPr>
    </w:p>
    <w:p w14:paraId="44CAAEBB" w14:textId="3D1BAB34" w:rsidR="001E326C" w:rsidRPr="001E326C" w:rsidRDefault="001E326C" w:rsidP="001E326C">
      <w:pPr>
        <w:jc w:val="both"/>
        <w:rPr>
          <w:rFonts w:ascii="Verdana" w:hAnsi="Verdana"/>
          <w:sz w:val="20"/>
          <w:szCs w:val="20"/>
          <w:lang w:val="bg-BG"/>
        </w:rPr>
      </w:pPr>
      <w:r w:rsidRPr="001E326C">
        <w:rPr>
          <w:rFonts w:ascii="Verdana" w:hAnsi="Verdana"/>
          <w:b/>
          <w:bCs/>
          <w:sz w:val="20"/>
          <w:szCs w:val="20"/>
          <w:lang w:val="en"/>
        </w:rPr>
        <w:t xml:space="preserve">The time saved </w:t>
      </w:r>
      <w:r w:rsidRPr="001E326C">
        <w:rPr>
          <w:rFonts w:ascii="Verdana" w:hAnsi="Verdana"/>
          <w:sz w:val="20"/>
          <w:lang w:val="en"/>
        </w:rPr>
        <w:t xml:space="preserve">is a major economic benefit with a net positive effect in all major investment </w:t>
      </w:r>
      <w:r w:rsidRPr="001E326C">
        <w:rPr>
          <w:rFonts w:ascii="Verdana" w:hAnsi="Verdana"/>
          <w:sz w:val="20"/>
          <w:szCs w:val="20"/>
          <w:lang w:val="en"/>
        </w:rPr>
        <w:t xml:space="preserve">projects, accounting for more than 70% of all benefits. The case studies performed under </w:t>
      </w:r>
      <w:r w:rsidR="00241BB1" w:rsidRPr="001E326C">
        <w:rPr>
          <w:rFonts w:ascii="Verdana" w:hAnsi="Verdana"/>
          <w:sz w:val="20"/>
          <w:szCs w:val="20"/>
          <w:lang w:val="en"/>
        </w:rPr>
        <w:t>Activity</w:t>
      </w:r>
      <w:r w:rsidRPr="001E326C">
        <w:rPr>
          <w:rFonts w:ascii="Verdana" w:hAnsi="Verdana"/>
          <w:sz w:val="20"/>
          <w:szCs w:val="20"/>
          <w:lang w:val="en"/>
        </w:rPr>
        <w:t xml:space="preserve"> 3 show the following results:</w:t>
      </w:r>
    </w:p>
    <w:p w14:paraId="2E9E1420" w14:textId="77777777" w:rsidR="001E326C" w:rsidRPr="001E326C" w:rsidRDefault="001E326C" w:rsidP="001E326C">
      <w:pPr>
        <w:numPr>
          <w:ilvl w:val="0"/>
          <w:numId w:val="41"/>
        </w:numPr>
        <w:spacing w:after="120" w:line="264" w:lineRule="auto"/>
        <w:contextualSpacing/>
        <w:jc w:val="both"/>
        <w:rPr>
          <w:rFonts w:ascii="Verdana" w:hAnsi="Verdana"/>
          <w:sz w:val="20"/>
          <w:szCs w:val="20"/>
          <w:lang w:val="bg-BG"/>
        </w:rPr>
      </w:pPr>
      <w:r w:rsidRPr="001E326C">
        <w:rPr>
          <w:rFonts w:ascii="Verdana" w:hAnsi="Verdana"/>
          <w:i/>
          <w:iCs/>
          <w:sz w:val="20"/>
          <w:szCs w:val="20"/>
          <w:lang w:val="en"/>
        </w:rPr>
        <w:t xml:space="preserve">For projects in the railway sector, </w:t>
      </w:r>
      <w:r w:rsidRPr="001E326C">
        <w:rPr>
          <w:rFonts w:ascii="Verdana" w:hAnsi="Verdana"/>
          <w:sz w:val="20"/>
          <w:szCs w:val="20"/>
          <w:lang w:val="en"/>
        </w:rPr>
        <w:t>the net benefits of the time saved for the period from putting into exploitation until 2019 are at a lower value than those projected in the CBA, for two main reasons – a lower reported volume of passenger and freight transport and a lower value of time compared to the projected increase for the period 2016-2019 in the CBA.</w:t>
      </w:r>
      <w:r w:rsidRPr="001E326C">
        <w:rPr>
          <w:rFonts w:ascii="Verdana" w:hAnsi="Verdana"/>
          <w:sz w:val="20"/>
          <w:szCs w:val="20"/>
          <w:vertAlign w:val="superscript"/>
          <w:lang w:val="en"/>
        </w:rPr>
        <w:footnoteReference w:id="22"/>
      </w:r>
    </w:p>
    <w:p w14:paraId="0176E173" w14:textId="390A3F3F" w:rsidR="001E326C" w:rsidRPr="002C49CB" w:rsidRDefault="001E326C" w:rsidP="001E326C">
      <w:pPr>
        <w:numPr>
          <w:ilvl w:val="0"/>
          <w:numId w:val="41"/>
        </w:numPr>
        <w:spacing w:after="120" w:line="264" w:lineRule="auto"/>
        <w:contextualSpacing/>
        <w:jc w:val="both"/>
        <w:rPr>
          <w:rFonts w:ascii="Verdana" w:hAnsi="Verdana"/>
          <w:sz w:val="20"/>
          <w:szCs w:val="20"/>
          <w:lang w:val="bg-BG"/>
        </w:rPr>
      </w:pPr>
      <w:r w:rsidRPr="001E326C">
        <w:rPr>
          <w:rFonts w:ascii="Verdana" w:hAnsi="Verdana"/>
          <w:i/>
          <w:iCs/>
          <w:sz w:val="20"/>
          <w:szCs w:val="20"/>
          <w:lang w:val="en"/>
        </w:rPr>
        <w:t xml:space="preserve">In the case of road projects and metro expansion projects, </w:t>
      </w:r>
      <w:r w:rsidRPr="001E326C">
        <w:rPr>
          <w:rFonts w:ascii="Verdana" w:hAnsi="Verdana"/>
          <w:sz w:val="20"/>
          <w:szCs w:val="20"/>
          <w:lang w:val="en"/>
        </w:rPr>
        <w:t>the achieved benefits are closer to what was projected</w:t>
      </w:r>
      <w:r w:rsidRPr="001E326C">
        <w:rPr>
          <w:rFonts w:ascii="Verdana" w:hAnsi="Verdana"/>
          <w:sz w:val="20"/>
          <w:lang w:val="en"/>
        </w:rPr>
        <w:t xml:space="preserve"> due to the significant reported volume of traffic generated. In these projects the value of time also </w:t>
      </w:r>
      <w:r w:rsidR="00241BB1" w:rsidRPr="001E326C">
        <w:rPr>
          <w:rFonts w:ascii="Verdana" w:hAnsi="Verdana"/>
          <w:sz w:val="20"/>
          <w:lang w:val="en"/>
        </w:rPr>
        <w:t>increased</w:t>
      </w:r>
      <w:r w:rsidRPr="001E326C">
        <w:rPr>
          <w:rFonts w:ascii="Verdana" w:hAnsi="Verdana"/>
          <w:sz w:val="20"/>
          <w:lang w:val="en"/>
        </w:rPr>
        <w:t xml:space="preserve"> slowly than forecasted in the ex-ante CBA, and therefore the net values are lower than forecasted.</w:t>
      </w:r>
    </w:p>
    <w:p w14:paraId="63B9F6E0" w14:textId="77777777" w:rsidR="002C49CB" w:rsidRPr="001E326C" w:rsidRDefault="002C49CB" w:rsidP="002C49CB">
      <w:pPr>
        <w:spacing w:after="120" w:line="264" w:lineRule="auto"/>
        <w:contextualSpacing/>
        <w:jc w:val="both"/>
        <w:rPr>
          <w:rFonts w:ascii="Verdana" w:hAnsi="Verdana"/>
          <w:sz w:val="20"/>
          <w:szCs w:val="20"/>
          <w:lang w:val="bg-BG"/>
        </w:rPr>
      </w:pPr>
    </w:p>
    <w:p w14:paraId="7040E516" w14:textId="77777777" w:rsidR="002C49CB" w:rsidRPr="002C49CB" w:rsidRDefault="002C49CB" w:rsidP="002C49CB">
      <w:pPr>
        <w:jc w:val="both"/>
        <w:rPr>
          <w:rFonts w:ascii="Verdana" w:hAnsi="Verdana"/>
          <w:sz w:val="20"/>
          <w:szCs w:val="20"/>
          <w:lang w:val="bg-BG"/>
        </w:rPr>
      </w:pPr>
      <w:r w:rsidRPr="002C49CB">
        <w:rPr>
          <w:rFonts w:ascii="Verdana" w:hAnsi="Verdana"/>
          <w:b/>
          <w:bCs/>
          <w:sz w:val="20"/>
          <w:szCs w:val="20"/>
          <w:lang w:val="en"/>
        </w:rPr>
        <w:t>Saved costs from reduced transport</w:t>
      </w:r>
      <w:r w:rsidRPr="002C49CB">
        <w:rPr>
          <w:rFonts w:ascii="Verdana" w:hAnsi="Verdana"/>
          <w:sz w:val="20"/>
          <w:szCs w:val="20"/>
          <w:lang w:val="en"/>
        </w:rPr>
        <w:t xml:space="preserve"> </w:t>
      </w:r>
      <w:r w:rsidRPr="002C49CB">
        <w:rPr>
          <w:rFonts w:ascii="Verdana" w:hAnsi="Verdana"/>
          <w:b/>
          <w:bCs/>
          <w:sz w:val="20"/>
          <w:szCs w:val="20"/>
          <w:lang w:val="en"/>
        </w:rPr>
        <w:t>accidents</w:t>
      </w:r>
      <w:r w:rsidRPr="002C49CB">
        <w:rPr>
          <w:rFonts w:ascii="Verdana" w:hAnsi="Verdana"/>
          <w:sz w:val="20"/>
          <w:szCs w:val="20"/>
          <w:lang w:val="en"/>
        </w:rPr>
        <w:t xml:space="preserve"> is the second most important benefit, appraised in all CBA of major projects.</w:t>
      </w:r>
    </w:p>
    <w:p w14:paraId="04A17003" w14:textId="6E59964C" w:rsidR="002C49CB" w:rsidRDefault="002C49CB" w:rsidP="002C49CB">
      <w:pPr>
        <w:jc w:val="both"/>
        <w:rPr>
          <w:rFonts w:ascii="Verdana" w:hAnsi="Verdana"/>
          <w:sz w:val="20"/>
          <w:szCs w:val="20"/>
          <w:lang w:val="en"/>
        </w:rPr>
      </w:pPr>
      <w:r w:rsidRPr="002C49CB">
        <w:rPr>
          <w:rFonts w:ascii="Verdana" w:hAnsi="Verdana"/>
          <w:sz w:val="20"/>
          <w:szCs w:val="20"/>
          <w:lang w:val="en"/>
        </w:rPr>
        <w:lastRenderedPageBreak/>
        <w:t xml:space="preserve">In the case of railway projects and projects for Sofia metro extension, the reduction of the cost of transport accidents was projected both on the basis of increased safety on the railways and the assumption of diverted road traffic. </w:t>
      </w:r>
    </w:p>
    <w:p w14:paraId="7DE7DEF6" w14:textId="43617F39" w:rsidR="00E847C1" w:rsidRDefault="00E847C1" w:rsidP="002C49CB">
      <w:pPr>
        <w:jc w:val="both"/>
        <w:rPr>
          <w:rFonts w:ascii="Verdana" w:hAnsi="Verdana"/>
          <w:sz w:val="20"/>
          <w:szCs w:val="20"/>
          <w:lang w:val="en"/>
        </w:rPr>
      </w:pPr>
    </w:p>
    <w:p w14:paraId="4CFBFBB2" w14:textId="77777777" w:rsidR="00E847C1" w:rsidRPr="00E847C1" w:rsidRDefault="00E847C1" w:rsidP="00E847C1">
      <w:pPr>
        <w:jc w:val="both"/>
        <w:rPr>
          <w:rFonts w:ascii="Verdana" w:hAnsi="Verdana"/>
          <w:sz w:val="20"/>
        </w:rPr>
      </w:pPr>
    </w:p>
    <w:p w14:paraId="02A8C21A" w14:textId="7410E8D1" w:rsidR="00F53119" w:rsidRPr="00F53119" w:rsidRDefault="00F53119" w:rsidP="00F53119">
      <w:pPr>
        <w:keepNext/>
        <w:spacing w:after="200" w:line="240" w:lineRule="auto"/>
        <w:jc w:val="both"/>
        <w:rPr>
          <w:rFonts w:ascii="Verdana" w:hAnsi="Verdana"/>
          <w:i/>
          <w:iCs/>
          <w:color w:val="242852" w:themeColor="text2"/>
          <w:sz w:val="18"/>
          <w:szCs w:val="18"/>
        </w:rPr>
      </w:pPr>
      <w:bookmarkStart w:id="109" w:name="_Toc62475932"/>
      <w:bookmarkStart w:id="110" w:name="_Toc62724860"/>
      <w:r w:rsidRPr="00F53119">
        <w:rPr>
          <w:rFonts w:ascii="Verdana" w:hAnsi="Verdana"/>
          <w:i/>
          <w:iCs/>
          <w:color w:val="242852" w:themeColor="text2"/>
          <w:sz w:val="18"/>
          <w:szCs w:val="18"/>
        </w:rPr>
        <w:t xml:space="preserve">Figure </w:t>
      </w:r>
      <w:r w:rsidR="00134718">
        <w:rPr>
          <w:rFonts w:ascii="Verdana" w:hAnsi="Verdana"/>
          <w:i/>
          <w:iCs/>
          <w:color w:val="242852" w:themeColor="text2"/>
          <w:sz w:val="18"/>
          <w:szCs w:val="18"/>
        </w:rPr>
        <w:fldChar w:fldCharType="begin"/>
      </w:r>
      <w:r w:rsidR="00134718">
        <w:rPr>
          <w:rFonts w:ascii="Verdana" w:hAnsi="Verdana"/>
          <w:i/>
          <w:iCs/>
          <w:color w:val="242852" w:themeColor="text2"/>
          <w:sz w:val="18"/>
          <w:szCs w:val="18"/>
        </w:rPr>
        <w:instrText xml:space="preserve"> STYLEREF 1 \s </w:instrText>
      </w:r>
      <w:r w:rsidR="00134718">
        <w:rPr>
          <w:rFonts w:ascii="Verdana" w:hAnsi="Verdana"/>
          <w:i/>
          <w:iCs/>
          <w:color w:val="242852" w:themeColor="text2"/>
          <w:sz w:val="18"/>
          <w:szCs w:val="18"/>
        </w:rPr>
        <w:fldChar w:fldCharType="separate"/>
      </w:r>
      <w:r w:rsidR="00774C7E">
        <w:rPr>
          <w:rFonts w:ascii="Verdana" w:hAnsi="Verdana"/>
          <w:i/>
          <w:iCs/>
          <w:noProof/>
          <w:color w:val="242852" w:themeColor="text2"/>
          <w:sz w:val="18"/>
          <w:szCs w:val="18"/>
        </w:rPr>
        <w:t>IV.7</w:t>
      </w:r>
      <w:r w:rsidR="00134718">
        <w:rPr>
          <w:rFonts w:ascii="Verdana" w:hAnsi="Verdana"/>
          <w:i/>
          <w:iCs/>
          <w:color w:val="242852" w:themeColor="text2"/>
          <w:sz w:val="18"/>
          <w:szCs w:val="18"/>
        </w:rPr>
        <w:fldChar w:fldCharType="end"/>
      </w:r>
      <w:r w:rsidR="00134718">
        <w:rPr>
          <w:rFonts w:ascii="Verdana" w:hAnsi="Verdana"/>
          <w:i/>
          <w:iCs/>
          <w:color w:val="242852" w:themeColor="text2"/>
          <w:sz w:val="18"/>
          <w:szCs w:val="18"/>
        </w:rPr>
        <w:noBreakHyphen/>
      </w:r>
      <w:r w:rsidR="00134718">
        <w:rPr>
          <w:rFonts w:ascii="Verdana" w:hAnsi="Verdana"/>
          <w:i/>
          <w:iCs/>
          <w:color w:val="242852" w:themeColor="text2"/>
          <w:sz w:val="18"/>
          <w:szCs w:val="18"/>
        </w:rPr>
        <w:fldChar w:fldCharType="begin"/>
      </w:r>
      <w:r w:rsidR="00134718">
        <w:rPr>
          <w:rFonts w:ascii="Verdana" w:hAnsi="Verdana"/>
          <w:i/>
          <w:iCs/>
          <w:color w:val="242852" w:themeColor="text2"/>
          <w:sz w:val="18"/>
          <w:szCs w:val="18"/>
        </w:rPr>
        <w:instrText xml:space="preserve"> SEQ Figure \* ARABIC \s 1 </w:instrText>
      </w:r>
      <w:r w:rsidR="00134718">
        <w:rPr>
          <w:rFonts w:ascii="Verdana" w:hAnsi="Verdana"/>
          <w:i/>
          <w:iCs/>
          <w:color w:val="242852" w:themeColor="text2"/>
          <w:sz w:val="18"/>
          <w:szCs w:val="18"/>
        </w:rPr>
        <w:fldChar w:fldCharType="separate"/>
      </w:r>
      <w:r w:rsidR="00774C7E">
        <w:rPr>
          <w:rFonts w:ascii="Verdana" w:hAnsi="Verdana"/>
          <w:i/>
          <w:iCs/>
          <w:noProof/>
          <w:color w:val="242852" w:themeColor="text2"/>
          <w:sz w:val="18"/>
          <w:szCs w:val="18"/>
        </w:rPr>
        <w:t>2</w:t>
      </w:r>
      <w:r w:rsidR="00134718">
        <w:rPr>
          <w:rFonts w:ascii="Verdana" w:hAnsi="Verdana"/>
          <w:i/>
          <w:iCs/>
          <w:color w:val="242852" w:themeColor="text2"/>
          <w:sz w:val="18"/>
          <w:szCs w:val="18"/>
        </w:rPr>
        <w:fldChar w:fldCharType="end"/>
      </w:r>
      <w:r w:rsidRPr="00F53119">
        <w:rPr>
          <w:rFonts w:ascii="Verdana" w:hAnsi="Verdana"/>
          <w:i/>
          <w:iCs/>
          <w:color w:val="242852" w:themeColor="text2"/>
          <w:sz w:val="18"/>
          <w:szCs w:val="18"/>
          <w:lang w:val="bg-BG"/>
        </w:rPr>
        <w:t xml:space="preserve">: </w:t>
      </w:r>
      <w:proofErr w:type="spellStart"/>
      <w:r w:rsidRPr="00F53119">
        <w:rPr>
          <w:rFonts w:ascii="Verdana" w:hAnsi="Verdana"/>
          <w:i/>
          <w:iCs/>
          <w:color w:val="242852" w:themeColor="text2"/>
          <w:sz w:val="18"/>
          <w:szCs w:val="18"/>
          <w:lang w:val="bg-BG"/>
        </w:rPr>
        <w:t>Main</w:t>
      </w:r>
      <w:proofErr w:type="spellEnd"/>
      <w:r w:rsidRPr="00F53119">
        <w:rPr>
          <w:rFonts w:ascii="Verdana" w:hAnsi="Verdana"/>
          <w:i/>
          <w:iCs/>
          <w:color w:val="242852" w:themeColor="text2"/>
          <w:sz w:val="18"/>
          <w:szCs w:val="18"/>
          <w:lang w:val="bg-BG"/>
        </w:rPr>
        <w:t xml:space="preserve"> </w:t>
      </w:r>
      <w:proofErr w:type="spellStart"/>
      <w:r w:rsidRPr="00F53119">
        <w:rPr>
          <w:rFonts w:ascii="Verdana" w:hAnsi="Verdana"/>
          <w:i/>
          <w:iCs/>
          <w:color w:val="242852" w:themeColor="text2"/>
          <w:sz w:val="18"/>
          <w:szCs w:val="18"/>
          <w:lang w:val="bg-BG"/>
        </w:rPr>
        <w:t>economic</w:t>
      </w:r>
      <w:proofErr w:type="spellEnd"/>
      <w:r w:rsidRPr="00F53119">
        <w:rPr>
          <w:rFonts w:ascii="Verdana" w:hAnsi="Verdana"/>
          <w:i/>
          <w:iCs/>
          <w:color w:val="242852" w:themeColor="text2"/>
          <w:sz w:val="18"/>
          <w:szCs w:val="18"/>
          <w:lang w:val="bg-BG"/>
        </w:rPr>
        <w:t xml:space="preserve"> </w:t>
      </w:r>
      <w:proofErr w:type="spellStart"/>
      <w:r w:rsidRPr="00F53119">
        <w:rPr>
          <w:rFonts w:ascii="Verdana" w:hAnsi="Verdana"/>
          <w:i/>
          <w:iCs/>
          <w:color w:val="242852" w:themeColor="text2"/>
          <w:sz w:val="18"/>
          <w:szCs w:val="18"/>
          <w:lang w:val="bg-BG"/>
        </w:rPr>
        <w:t>and</w:t>
      </w:r>
      <w:proofErr w:type="spellEnd"/>
      <w:r w:rsidRPr="00F53119">
        <w:rPr>
          <w:rFonts w:ascii="Verdana" w:hAnsi="Verdana"/>
          <w:i/>
          <w:iCs/>
          <w:color w:val="242852" w:themeColor="text2"/>
          <w:sz w:val="18"/>
          <w:szCs w:val="18"/>
          <w:lang w:val="bg-BG"/>
        </w:rPr>
        <w:t xml:space="preserve"> </w:t>
      </w:r>
      <w:proofErr w:type="spellStart"/>
      <w:r w:rsidRPr="00F53119">
        <w:rPr>
          <w:rFonts w:ascii="Verdana" w:hAnsi="Verdana"/>
          <w:i/>
          <w:iCs/>
          <w:color w:val="242852" w:themeColor="text2"/>
          <w:sz w:val="18"/>
          <w:szCs w:val="18"/>
          <w:lang w:val="bg-BG"/>
        </w:rPr>
        <w:t>environmental</w:t>
      </w:r>
      <w:proofErr w:type="spellEnd"/>
      <w:r w:rsidRPr="00F53119">
        <w:rPr>
          <w:rFonts w:ascii="Verdana" w:hAnsi="Verdana"/>
          <w:i/>
          <w:iCs/>
          <w:color w:val="242852" w:themeColor="text2"/>
          <w:sz w:val="18"/>
          <w:szCs w:val="18"/>
          <w:lang w:val="bg-BG"/>
        </w:rPr>
        <w:t xml:space="preserve"> </w:t>
      </w:r>
      <w:proofErr w:type="spellStart"/>
      <w:r w:rsidRPr="00F53119">
        <w:rPr>
          <w:rFonts w:ascii="Verdana" w:hAnsi="Verdana"/>
          <w:i/>
          <w:iCs/>
          <w:color w:val="242852" w:themeColor="text2"/>
          <w:sz w:val="18"/>
          <w:szCs w:val="18"/>
          <w:lang w:val="bg-BG"/>
        </w:rPr>
        <w:t>impacts</w:t>
      </w:r>
      <w:proofErr w:type="spellEnd"/>
      <w:r w:rsidRPr="00F53119">
        <w:rPr>
          <w:rFonts w:ascii="Verdana" w:hAnsi="Verdana"/>
          <w:i/>
          <w:iCs/>
          <w:color w:val="242852" w:themeColor="text2"/>
          <w:sz w:val="18"/>
          <w:szCs w:val="18"/>
          <w:lang w:val="bg-BG"/>
        </w:rPr>
        <w:t xml:space="preserve"> </w:t>
      </w:r>
      <w:proofErr w:type="spellStart"/>
      <w:r w:rsidRPr="00F53119">
        <w:rPr>
          <w:rFonts w:ascii="Verdana" w:hAnsi="Verdana"/>
          <w:i/>
          <w:iCs/>
          <w:color w:val="242852" w:themeColor="text2"/>
          <w:sz w:val="18"/>
          <w:szCs w:val="18"/>
          <w:lang w:val="bg-BG"/>
        </w:rPr>
        <w:t>up</w:t>
      </w:r>
      <w:proofErr w:type="spellEnd"/>
      <w:r w:rsidRPr="00F53119">
        <w:rPr>
          <w:rFonts w:ascii="Verdana" w:hAnsi="Verdana"/>
          <w:i/>
          <w:iCs/>
          <w:color w:val="242852" w:themeColor="text2"/>
          <w:sz w:val="18"/>
          <w:szCs w:val="18"/>
          <w:lang w:val="bg-BG"/>
        </w:rPr>
        <w:t xml:space="preserve"> </w:t>
      </w:r>
      <w:proofErr w:type="spellStart"/>
      <w:r w:rsidRPr="00F53119">
        <w:rPr>
          <w:rFonts w:ascii="Verdana" w:hAnsi="Verdana"/>
          <w:i/>
          <w:iCs/>
          <w:color w:val="242852" w:themeColor="text2"/>
          <w:sz w:val="18"/>
          <w:szCs w:val="18"/>
          <w:lang w:val="bg-BG"/>
        </w:rPr>
        <w:t>to</w:t>
      </w:r>
      <w:proofErr w:type="spellEnd"/>
      <w:r w:rsidRPr="00F53119">
        <w:rPr>
          <w:rFonts w:ascii="Verdana" w:hAnsi="Verdana"/>
          <w:i/>
          <w:iCs/>
          <w:color w:val="242852" w:themeColor="text2"/>
          <w:sz w:val="18"/>
          <w:szCs w:val="18"/>
          <w:lang w:val="bg-BG"/>
        </w:rPr>
        <w:t xml:space="preserve"> 2019</w:t>
      </w:r>
      <w:bookmarkEnd w:id="109"/>
      <w:bookmarkEnd w:id="110"/>
    </w:p>
    <w:p w14:paraId="1F2B06B6" w14:textId="77777777" w:rsidR="00F53119" w:rsidRPr="00F53119" w:rsidRDefault="00F53119" w:rsidP="00F53119">
      <w:pPr>
        <w:jc w:val="both"/>
        <w:rPr>
          <w:rFonts w:ascii="Verdana" w:hAnsi="Verdana"/>
          <w:b/>
          <w:bCs/>
          <w:sz w:val="20"/>
        </w:rPr>
      </w:pPr>
      <w:r w:rsidRPr="00F53119">
        <w:rPr>
          <w:rFonts w:ascii="Verdana" w:hAnsi="Verdana"/>
          <w:noProof/>
          <w:sz w:val="20"/>
          <w:lang w:val="bg-BG" w:eastAsia="bg-BG"/>
        </w:rPr>
        <w:drawing>
          <wp:inline distT="0" distB="0" distL="0" distR="0" wp14:anchorId="1EDD4EFF" wp14:editId="491FB658">
            <wp:extent cx="5760720" cy="4495800"/>
            <wp:effectExtent l="0" t="0" r="11430" b="0"/>
            <wp:docPr id="17" name="Chart 17">
              <a:extLst xmlns:a="http://schemas.openxmlformats.org/drawingml/2006/main">
                <a:ext uri="{FF2B5EF4-FFF2-40B4-BE49-F238E27FC236}">
                  <a16:creationId xmlns:a16="http://schemas.microsoft.com/office/drawing/2014/main" id="{59A2D7B7-8E74-4E1B-A4F4-711F30928F7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50AD2E7D" w14:textId="77777777" w:rsidR="00F53119" w:rsidRPr="00F53119" w:rsidRDefault="00F53119" w:rsidP="00F53119">
      <w:pPr>
        <w:jc w:val="both"/>
        <w:rPr>
          <w:rFonts w:ascii="Verdana" w:hAnsi="Verdana"/>
          <w:i/>
          <w:iCs/>
          <w:sz w:val="18"/>
          <w:szCs w:val="18"/>
        </w:rPr>
      </w:pPr>
      <w:r w:rsidRPr="00F53119">
        <w:rPr>
          <w:rFonts w:ascii="Verdana" w:hAnsi="Verdana"/>
          <w:i/>
          <w:iCs/>
          <w:sz w:val="18"/>
          <w:szCs w:val="18"/>
          <w:lang w:val="en"/>
        </w:rPr>
        <w:t>Source: Monitoring model, CBA, own calculations</w:t>
      </w:r>
    </w:p>
    <w:p w14:paraId="4FA798E8" w14:textId="450B483F" w:rsidR="00F03F4F" w:rsidRPr="00774C7E" w:rsidRDefault="00F03F4F" w:rsidP="00F03F4F">
      <w:pPr>
        <w:jc w:val="both"/>
        <w:rPr>
          <w:rFonts w:ascii="Verdana" w:hAnsi="Verdana"/>
          <w:sz w:val="20"/>
          <w:szCs w:val="20"/>
          <w:lang w:val="bg-BG"/>
        </w:rPr>
      </w:pPr>
      <w:r w:rsidRPr="00F50700">
        <w:rPr>
          <w:rFonts w:ascii="Verdana" w:hAnsi="Verdana"/>
          <w:b/>
          <w:bCs/>
          <w:sz w:val="20"/>
          <w:szCs w:val="20"/>
          <w:lang w:val="en"/>
        </w:rPr>
        <w:t xml:space="preserve">Cost savings from reduced transport accidents </w:t>
      </w:r>
      <w:r w:rsidRPr="00774C7E">
        <w:rPr>
          <w:rFonts w:ascii="Verdana" w:hAnsi="Verdana"/>
          <w:sz w:val="20"/>
          <w:szCs w:val="20"/>
          <w:lang w:val="en"/>
        </w:rPr>
        <w:t>are the second most important benefit, valued in all APs of major projects. In the case of rail proj</w:t>
      </w:r>
      <w:r w:rsidR="00594791" w:rsidRPr="00774C7E">
        <w:rPr>
          <w:rFonts w:ascii="Verdana" w:hAnsi="Verdana"/>
          <w:sz w:val="20"/>
          <w:szCs w:val="20"/>
          <w:lang w:val="en"/>
        </w:rPr>
        <w:t>ects and extension projects of S</w:t>
      </w:r>
      <w:r w:rsidRPr="00774C7E">
        <w:rPr>
          <w:rFonts w:ascii="Verdana" w:hAnsi="Verdana"/>
          <w:sz w:val="20"/>
          <w:szCs w:val="20"/>
          <w:lang w:val="en"/>
        </w:rPr>
        <w:t xml:space="preserve">ofia metro, the reduction of the cost of transport accidents is projected both on the basis of increased railway safety and the assumption of diverted road traffic. </w:t>
      </w:r>
    </w:p>
    <w:p w14:paraId="575D6C6D" w14:textId="58657955" w:rsidR="007E531C" w:rsidRPr="00E847C1" w:rsidRDefault="007E531C" w:rsidP="007E531C">
      <w:pPr>
        <w:keepNext/>
        <w:spacing w:after="200" w:line="240" w:lineRule="auto"/>
        <w:jc w:val="center"/>
        <w:rPr>
          <w:rFonts w:ascii="Verdana" w:hAnsi="Verdana"/>
          <w:i/>
          <w:iCs/>
          <w:color w:val="242852" w:themeColor="text2"/>
          <w:sz w:val="18"/>
          <w:szCs w:val="18"/>
        </w:rPr>
      </w:pPr>
      <w:bookmarkStart w:id="111" w:name="_Ref62720709"/>
      <w:bookmarkStart w:id="112" w:name="_Toc62475930"/>
      <w:bookmarkStart w:id="113" w:name="_Toc62724861"/>
      <w:r w:rsidRPr="00E847C1">
        <w:rPr>
          <w:rFonts w:ascii="Verdana" w:hAnsi="Verdana"/>
          <w:i/>
          <w:iCs/>
          <w:color w:val="242852" w:themeColor="text2"/>
          <w:sz w:val="18"/>
          <w:szCs w:val="18"/>
        </w:rPr>
        <w:lastRenderedPageBreak/>
        <w:t xml:space="preserve">Figure </w:t>
      </w:r>
      <w:r w:rsidR="00134718">
        <w:rPr>
          <w:rFonts w:ascii="Verdana" w:hAnsi="Verdana"/>
          <w:i/>
          <w:iCs/>
          <w:color w:val="242852" w:themeColor="text2"/>
          <w:sz w:val="18"/>
          <w:szCs w:val="18"/>
        </w:rPr>
        <w:fldChar w:fldCharType="begin"/>
      </w:r>
      <w:r w:rsidR="00134718">
        <w:rPr>
          <w:rFonts w:ascii="Verdana" w:hAnsi="Verdana"/>
          <w:i/>
          <w:iCs/>
          <w:color w:val="242852" w:themeColor="text2"/>
          <w:sz w:val="18"/>
          <w:szCs w:val="18"/>
        </w:rPr>
        <w:instrText xml:space="preserve"> STYLEREF 1 \s </w:instrText>
      </w:r>
      <w:r w:rsidR="00134718">
        <w:rPr>
          <w:rFonts w:ascii="Verdana" w:hAnsi="Verdana"/>
          <w:i/>
          <w:iCs/>
          <w:color w:val="242852" w:themeColor="text2"/>
          <w:sz w:val="18"/>
          <w:szCs w:val="18"/>
        </w:rPr>
        <w:fldChar w:fldCharType="separate"/>
      </w:r>
      <w:r w:rsidR="00774C7E">
        <w:rPr>
          <w:rFonts w:ascii="Verdana" w:hAnsi="Verdana"/>
          <w:i/>
          <w:iCs/>
          <w:noProof/>
          <w:color w:val="242852" w:themeColor="text2"/>
          <w:sz w:val="18"/>
          <w:szCs w:val="18"/>
        </w:rPr>
        <w:t>IV.7</w:t>
      </w:r>
      <w:r w:rsidR="00134718">
        <w:rPr>
          <w:rFonts w:ascii="Verdana" w:hAnsi="Verdana"/>
          <w:i/>
          <w:iCs/>
          <w:color w:val="242852" w:themeColor="text2"/>
          <w:sz w:val="18"/>
          <w:szCs w:val="18"/>
        </w:rPr>
        <w:fldChar w:fldCharType="end"/>
      </w:r>
      <w:r w:rsidR="00134718">
        <w:rPr>
          <w:rFonts w:ascii="Verdana" w:hAnsi="Verdana"/>
          <w:i/>
          <w:iCs/>
          <w:color w:val="242852" w:themeColor="text2"/>
          <w:sz w:val="18"/>
          <w:szCs w:val="18"/>
        </w:rPr>
        <w:noBreakHyphen/>
      </w:r>
      <w:r w:rsidR="00134718">
        <w:rPr>
          <w:rFonts w:ascii="Verdana" w:hAnsi="Verdana"/>
          <w:i/>
          <w:iCs/>
          <w:color w:val="242852" w:themeColor="text2"/>
          <w:sz w:val="18"/>
          <w:szCs w:val="18"/>
        </w:rPr>
        <w:fldChar w:fldCharType="begin"/>
      </w:r>
      <w:r w:rsidR="00134718">
        <w:rPr>
          <w:rFonts w:ascii="Verdana" w:hAnsi="Verdana"/>
          <w:i/>
          <w:iCs/>
          <w:color w:val="242852" w:themeColor="text2"/>
          <w:sz w:val="18"/>
          <w:szCs w:val="18"/>
        </w:rPr>
        <w:instrText xml:space="preserve"> SEQ Figure \* ARABIC \s 1 </w:instrText>
      </w:r>
      <w:r w:rsidR="00134718">
        <w:rPr>
          <w:rFonts w:ascii="Verdana" w:hAnsi="Verdana"/>
          <w:i/>
          <w:iCs/>
          <w:color w:val="242852" w:themeColor="text2"/>
          <w:sz w:val="18"/>
          <w:szCs w:val="18"/>
        </w:rPr>
        <w:fldChar w:fldCharType="separate"/>
      </w:r>
      <w:r w:rsidR="00774C7E">
        <w:rPr>
          <w:rFonts w:ascii="Verdana" w:hAnsi="Verdana"/>
          <w:i/>
          <w:iCs/>
          <w:noProof/>
          <w:color w:val="242852" w:themeColor="text2"/>
          <w:sz w:val="18"/>
          <w:szCs w:val="18"/>
        </w:rPr>
        <w:t>3</w:t>
      </w:r>
      <w:r w:rsidR="00134718">
        <w:rPr>
          <w:rFonts w:ascii="Verdana" w:hAnsi="Verdana"/>
          <w:i/>
          <w:iCs/>
          <w:color w:val="242852" w:themeColor="text2"/>
          <w:sz w:val="18"/>
          <w:szCs w:val="18"/>
        </w:rPr>
        <w:fldChar w:fldCharType="end"/>
      </w:r>
      <w:bookmarkEnd w:id="111"/>
      <w:r w:rsidRPr="00E847C1">
        <w:rPr>
          <w:rFonts w:ascii="Verdana" w:hAnsi="Verdana"/>
          <w:i/>
          <w:iCs/>
          <w:color w:val="242852" w:themeColor="text2"/>
          <w:sz w:val="18"/>
          <w:szCs w:val="18"/>
          <w:lang w:val="bg-BG"/>
        </w:rPr>
        <w:t xml:space="preserve">: </w:t>
      </w:r>
      <w:proofErr w:type="spellStart"/>
      <w:r w:rsidRPr="00E847C1">
        <w:rPr>
          <w:rFonts w:ascii="Verdana" w:hAnsi="Verdana"/>
          <w:i/>
          <w:iCs/>
          <w:color w:val="242852" w:themeColor="text2"/>
          <w:sz w:val="18"/>
          <w:szCs w:val="18"/>
          <w:lang w:val="bg-BG"/>
        </w:rPr>
        <w:t>Distribution</w:t>
      </w:r>
      <w:proofErr w:type="spellEnd"/>
      <w:r w:rsidRPr="00E847C1">
        <w:rPr>
          <w:rFonts w:ascii="Verdana" w:hAnsi="Verdana"/>
          <w:i/>
          <w:iCs/>
          <w:color w:val="242852" w:themeColor="text2"/>
          <w:sz w:val="18"/>
          <w:szCs w:val="18"/>
          <w:lang w:val="bg-BG"/>
        </w:rPr>
        <w:t xml:space="preserve"> </w:t>
      </w:r>
      <w:proofErr w:type="spellStart"/>
      <w:r w:rsidRPr="00E847C1">
        <w:rPr>
          <w:rFonts w:ascii="Verdana" w:hAnsi="Verdana"/>
          <w:i/>
          <w:iCs/>
          <w:color w:val="242852" w:themeColor="text2"/>
          <w:sz w:val="18"/>
          <w:szCs w:val="18"/>
          <w:lang w:val="bg-BG"/>
        </w:rPr>
        <w:t>of</w:t>
      </w:r>
      <w:proofErr w:type="spellEnd"/>
      <w:r w:rsidRPr="00E847C1">
        <w:rPr>
          <w:rFonts w:ascii="Verdana" w:hAnsi="Verdana"/>
          <w:i/>
          <w:iCs/>
          <w:color w:val="242852" w:themeColor="text2"/>
          <w:sz w:val="18"/>
          <w:szCs w:val="18"/>
          <w:lang w:val="bg-BG"/>
        </w:rPr>
        <w:t xml:space="preserve"> </w:t>
      </w:r>
      <w:proofErr w:type="spellStart"/>
      <w:r w:rsidRPr="00E847C1">
        <w:rPr>
          <w:rFonts w:ascii="Verdana" w:hAnsi="Verdana"/>
          <w:i/>
          <w:iCs/>
          <w:color w:val="242852" w:themeColor="text2"/>
          <w:sz w:val="18"/>
          <w:szCs w:val="18"/>
          <w:lang w:val="bg-BG"/>
        </w:rPr>
        <w:t>economic</w:t>
      </w:r>
      <w:proofErr w:type="spellEnd"/>
      <w:r w:rsidRPr="00E847C1">
        <w:rPr>
          <w:rFonts w:ascii="Verdana" w:hAnsi="Verdana"/>
          <w:i/>
          <w:iCs/>
          <w:color w:val="242852" w:themeColor="text2"/>
          <w:sz w:val="18"/>
          <w:szCs w:val="18"/>
          <w:lang w:val="bg-BG"/>
        </w:rPr>
        <w:t xml:space="preserve"> </w:t>
      </w:r>
      <w:proofErr w:type="spellStart"/>
      <w:r w:rsidRPr="00E847C1">
        <w:rPr>
          <w:rFonts w:ascii="Verdana" w:hAnsi="Verdana"/>
          <w:i/>
          <w:iCs/>
          <w:color w:val="242852" w:themeColor="text2"/>
          <w:sz w:val="18"/>
          <w:szCs w:val="18"/>
          <w:lang w:val="bg-BG"/>
        </w:rPr>
        <w:t>benefits</w:t>
      </w:r>
      <w:proofErr w:type="spellEnd"/>
      <w:r w:rsidRPr="00E847C1">
        <w:rPr>
          <w:rFonts w:ascii="Verdana" w:hAnsi="Verdana"/>
          <w:i/>
          <w:iCs/>
          <w:color w:val="242852" w:themeColor="text2"/>
          <w:sz w:val="18"/>
          <w:szCs w:val="18"/>
          <w:lang w:val="bg-BG"/>
        </w:rPr>
        <w:t xml:space="preserve"> </w:t>
      </w:r>
      <w:proofErr w:type="spellStart"/>
      <w:r w:rsidRPr="00E847C1">
        <w:rPr>
          <w:rFonts w:ascii="Verdana" w:hAnsi="Verdana"/>
          <w:i/>
          <w:iCs/>
          <w:color w:val="242852" w:themeColor="text2"/>
          <w:sz w:val="18"/>
          <w:szCs w:val="18"/>
          <w:lang w:val="bg-BG"/>
        </w:rPr>
        <w:t>as</w:t>
      </w:r>
      <w:proofErr w:type="spellEnd"/>
      <w:r w:rsidRPr="00E847C1">
        <w:rPr>
          <w:rFonts w:ascii="Verdana" w:hAnsi="Verdana"/>
          <w:i/>
          <w:iCs/>
          <w:color w:val="242852" w:themeColor="text2"/>
          <w:sz w:val="18"/>
          <w:szCs w:val="18"/>
          <w:lang w:val="bg-BG"/>
        </w:rPr>
        <w:t xml:space="preserve"> </w:t>
      </w:r>
      <w:proofErr w:type="spellStart"/>
      <w:r w:rsidRPr="00E847C1">
        <w:rPr>
          <w:rFonts w:ascii="Verdana" w:hAnsi="Verdana"/>
          <w:i/>
          <w:iCs/>
          <w:color w:val="242852" w:themeColor="text2"/>
          <w:sz w:val="18"/>
          <w:szCs w:val="18"/>
          <w:lang w:val="bg-BG"/>
        </w:rPr>
        <w:t>of</w:t>
      </w:r>
      <w:proofErr w:type="spellEnd"/>
      <w:r w:rsidRPr="00E847C1">
        <w:rPr>
          <w:rFonts w:ascii="Verdana" w:hAnsi="Verdana"/>
          <w:i/>
          <w:iCs/>
          <w:color w:val="242852" w:themeColor="text2"/>
          <w:sz w:val="18"/>
          <w:szCs w:val="18"/>
          <w:lang w:val="bg-BG"/>
        </w:rPr>
        <w:t xml:space="preserve"> 2019</w:t>
      </w:r>
      <w:bookmarkEnd w:id="112"/>
      <w:bookmarkEnd w:id="113"/>
    </w:p>
    <w:p w14:paraId="361572DB" w14:textId="77777777" w:rsidR="007E531C" w:rsidRPr="00E847C1" w:rsidRDefault="007E531C" w:rsidP="007E531C">
      <w:pPr>
        <w:jc w:val="center"/>
        <w:rPr>
          <w:rFonts w:ascii="Verdana" w:hAnsi="Verdana"/>
          <w:sz w:val="20"/>
        </w:rPr>
      </w:pPr>
      <w:r w:rsidRPr="00E847C1">
        <w:rPr>
          <w:rFonts w:ascii="Verdana" w:hAnsi="Verdana"/>
          <w:noProof/>
          <w:sz w:val="20"/>
          <w:lang w:val="bg-BG" w:eastAsia="bg-BG"/>
        </w:rPr>
        <w:drawing>
          <wp:inline distT="0" distB="0" distL="0" distR="0" wp14:anchorId="345AD8DD" wp14:editId="25828432">
            <wp:extent cx="5010150" cy="4581525"/>
            <wp:effectExtent l="0" t="0" r="0" b="9525"/>
            <wp:docPr id="61" name="Chart 61">
              <a:extLst xmlns:a="http://schemas.openxmlformats.org/drawingml/2006/main">
                <a:ext uri="{FF2B5EF4-FFF2-40B4-BE49-F238E27FC236}">
                  <a16:creationId xmlns:a16="http://schemas.microsoft.com/office/drawing/2014/main" id="{9CA4A84A-B08F-49CB-BBCF-084E67408CF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6FE40C8E" w14:textId="77777777" w:rsidR="007E531C" w:rsidRPr="00A47BC2" w:rsidRDefault="007E531C" w:rsidP="007E531C">
      <w:pPr>
        <w:jc w:val="both"/>
        <w:rPr>
          <w:rFonts w:ascii="Verdana" w:hAnsi="Verdana"/>
          <w:i/>
          <w:iCs/>
          <w:sz w:val="16"/>
          <w:szCs w:val="16"/>
        </w:rPr>
      </w:pPr>
      <w:r w:rsidRPr="00A47BC2">
        <w:rPr>
          <w:rFonts w:ascii="Verdana" w:hAnsi="Verdana"/>
          <w:i/>
          <w:iCs/>
          <w:sz w:val="16"/>
          <w:szCs w:val="16"/>
          <w:lang w:val="en"/>
        </w:rPr>
        <w:t>Source:</w:t>
      </w:r>
      <w:r w:rsidRPr="00A47BC2">
        <w:rPr>
          <w:rFonts w:ascii="Verdana" w:hAnsi="Verdana"/>
          <w:sz w:val="16"/>
          <w:szCs w:val="16"/>
          <w:lang w:val="en"/>
        </w:rPr>
        <w:t xml:space="preserve"> </w:t>
      </w:r>
      <w:r w:rsidRPr="00A47BC2">
        <w:rPr>
          <w:rFonts w:ascii="Verdana" w:hAnsi="Verdana"/>
          <w:i/>
          <w:iCs/>
          <w:sz w:val="16"/>
          <w:szCs w:val="16"/>
          <w:lang w:val="en"/>
        </w:rPr>
        <w:t xml:space="preserve"> Monitoring model, CBA, own calculations</w:t>
      </w:r>
    </w:p>
    <w:p w14:paraId="1AC28AFD" w14:textId="77777777" w:rsidR="007E531C" w:rsidRPr="00E847C1" w:rsidRDefault="007E531C" w:rsidP="007E531C">
      <w:pPr>
        <w:jc w:val="both"/>
        <w:rPr>
          <w:rFonts w:ascii="Verdana" w:hAnsi="Verdana"/>
          <w:i/>
          <w:iCs/>
          <w:sz w:val="18"/>
          <w:szCs w:val="18"/>
        </w:rPr>
      </w:pPr>
    </w:p>
    <w:p w14:paraId="23F8CBE1" w14:textId="4B82FB87" w:rsidR="00C56043" w:rsidRPr="00C56043" w:rsidRDefault="00C56043" w:rsidP="00C56043">
      <w:pPr>
        <w:spacing w:before="120" w:line="240" w:lineRule="auto"/>
        <w:jc w:val="both"/>
        <w:rPr>
          <w:rFonts w:ascii="Verdana" w:eastAsia="SimSun" w:hAnsi="Verdana"/>
          <w:sz w:val="20"/>
          <w:szCs w:val="20"/>
          <w:lang w:val="ru-RU" w:eastAsia="zh-CN"/>
        </w:rPr>
      </w:pPr>
      <w:r w:rsidRPr="00C56043">
        <w:rPr>
          <w:rFonts w:ascii="Verdana" w:hAnsi="Verdana"/>
          <w:sz w:val="20"/>
          <w:szCs w:val="20"/>
          <w:lang w:val="en" w:eastAsia="zh-CN"/>
        </w:rPr>
        <w:t>Road safety is influenced by wide range of factors, one of which is the status of road infrastructure. The statistics on</w:t>
      </w:r>
      <w:r w:rsidRPr="00C56043">
        <w:rPr>
          <w:rFonts w:ascii="Verdana" w:hAnsi="Verdana"/>
          <w:sz w:val="20"/>
          <w:lang w:val="en"/>
        </w:rPr>
        <w:t xml:space="preserve"> </w:t>
      </w:r>
      <w:r w:rsidRPr="00C56043">
        <w:rPr>
          <w:rFonts w:ascii="Verdana" w:hAnsi="Verdana"/>
          <w:sz w:val="20"/>
          <w:szCs w:val="20"/>
          <w:lang w:val="en" w:eastAsia="zh-CN"/>
        </w:rPr>
        <w:t>serious accidents for the</w:t>
      </w:r>
      <w:r w:rsidRPr="00C56043">
        <w:rPr>
          <w:rFonts w:ascii="Verdana" w:hAnsi="Verdana"/>
          <w:sz w:val="20"/>
          <w:lang w:val="en"/>
        </w:rPr>
        <w:t xml:space="preserve"> period</w:t>
      </w:r>
      <w:r w:rsidRPr="00C56043">
        <w:rPr>
          <w:rFonts w:ascii="Verdana" w:hAnsi="Verdana"/>
          <w:sz w:val="20"/>
          <w:szCs w:val="20"/>
          <w:lang w:val="en" w:eastAsia="zh-CN"/>
        </w:rPr>
        <w:t xml:space="preserve"> 2010-2018 at national and</w:t>
      </w:r>
      <w:r w:rsidRPr="00C56043">
        <w:rPr>
          <w:rFonts w:ascii="Verdana" w:hAnsi="Verdana"/>
          <w:sz w:val="20"/>
          <w:lang w:val="en"/>
        </w:rPr>
        <w:t xml:space="preserve"> </w:t>
      </w:r>
      <w:r w:rsidRPr="00C56043">
        <w:rPr>
          <w:rFonts w:ascii="Verdana" w:hAnsi="Verdana"/>
          <w:sz w:val="20"/>
          <w:szCs w:val="20"/>
          <w:lang w:val="en" w:eastAsia="zh-CN"/>
        </w:rPr>
        <w:t>regional level do</w:t>
      </w:r>
      <w:r w:rsidRPr="00C56043">
        <w:rPr>
          <w:rFonts w:ascii="Verdana" w:hAnsi="Verdana"/>
          <w:sz w:val="20"/>
          <w:lang w:val="en"/>
        </w:rPr>
        <w:t>es</w:t>
      </w:r>
      <w:r w:rsidRPr="00C56043">
        <w:rPr>
          <w:rFonts w:ascii="Verdana" w:hAnsi="Verdana"/>
          <w:sz w:val="20"/>
          <w:szCs w:val="20"/>
          <w:lang w:val="en" w:eastAsia="zh-CN"/>
        </w:rPr>
        <w:t xml:space="preserve"> not outline a clear trend. The condition of the roads is the cause of accidents in less than 1 % of all accidents. The main causes of accidents are traffic violations, technical failures of vehicles, etc. </w:t>
      </w:r>
      <w:r w:rsidRPr="00C56043">
        <w:rPr>
          <w:rFonts w:ascii="Verdana" w:hAnsi="Verdana"/>
          <w:sz w:val="20"/>
          <w:lang w:val="en"/>
        </w:rPr>
        <w:t xml:space="preserve">For this reason, the benefits of the implementation of road projects under OPT are one of the factors for reducing road traffic accidents, but are not the main factor, therefore accident statistics cannot be interpreted </w:t>
      </w:r>
      <w:r w:rsidRPr="00C56043">
        <w:rPr>
          <w:rFonts w:ascii="Verdana" w:hAnsi="Verdana"/>
          <w:sz w:val="20"/>
          <w:szCs w:val="20"/>
          <w:lang w:val="en" w:eastAsia="zh-CN"/>
        </w:rPr>
        <w:t>unambiguously as being influenced by the implementation of the projects.</w:t>
      </w:r>
    </w:p>
    <w:p w14:paraId="396C472D" w14:textId="2D2CC037" w:rsidR="00741320" w:rsidRPr="00741320" w:rsidRDefault="00741320" w:rsidP="00741320">
      <w:pPr>
        <w:spacing w:before="120" w:line="240" w:lineRule="auto"/>
        <w:jc w:val="both"/>
        <w:rPr>
          <w:rFonts w:ascii="Verdana" w:eastAsia="SimSun" w:hAnsi="Verdana"/>
          <w:sz w:val="20"/>
          <w:szCs w:val="20"/>
          <w:lang w:val="ru-RU" w:eastAsia="zh-CN"/>
        </w:rPr>
      </w:pPr>
      <w:r w:rsidRPr="00741320">
        <w:rPr>
          <w:rFonts w:ascii="Verdana" w:hAnsi="Verdana"/>
          <w:sz w:val="20"/>
          <w:szCs w:val="20"/>
          <w:lang w:val="en" w:eastAsia="zh-CN"/>
        </w:rPr>
        <w:t>The impact of railway and metro projects on road traffic is indirect, calculated by diverted road traffic. Positive data in this direction are the increase in the number of trips on metro lines, as well as the increase in the share of the metro in the volume of urban transport. The data on road traffic accidents for Sofia – city show a steady decrease for the period 2016-2019,</w:t>
      </w:r>
      <w:r w:rsidRPr="00741320">
        <w:rPr>
          <w:rFonts w:ascii="Verdana" w:hAnsi="Verdana"/>
          <w:sz w:val="20"/>
          <w:szCs w:val="20"/>
          <w:lang w:val="en" w:eastAsia="zh-CN"/>
        </w:rPr>
        <w:fldChar w:fldCharType="begin"/>
      </w:r>
      <w:r w:rsidRPr="00741320">
        <w:rPr>
          <w:rFonts w:ascii="Verdana" w:hAnsi="Verdana"/>
          <w:sz w:val="20"/>
          <w:szCs w:val="20"/>
          <w:lang w:val="en" w:eastAsia="zh-CN"/>
        </w:rPr>
        <w:instrText xml:space="preserve"> REF _Ref50466768 \h  \* MERGEFORMAT </w:instrText>
      </w:r>
      <w:r w:rsidRPr="00741320">
        <w:rPr>
          <w:rFonts w:ascii="Verdana" w:hAnsi="Verdana"/>
          <w:sz w:val="20"/>
          <w:szCs w:val="20"/>
          <w:lang w:val="en" w:eastAsia="zh-CN"/>
        </w:rPr>
      </w:r>
      <w:r w:rsidRPr="00741320">
        <w:rPr>
          <w:rFonts w:ascii="Verdana" w:hAnsi="Verdana"/>
          <w:sz w:val="20"/>
          <w:szCs w:val="20"/>
          <w:lang w:val="en" w:eastAsia="zh-CN"/>
        </w:rPr>
        <w:fldChar w:fldCharType="separate"/>
      </w:r>
      <w:r w:rsidRPr="00741320">
        <w:rPr>
          <w:rFonts w:ascii="Verdana" w:hAnsi="Verdana"/>
          <w:sz w:val="20"/>
          <w:szCs w:val="20"/>
          <w:lang w:val="en" w:eastAsia="zh-CN"/>
        </w:rPr>
        <w:t xml:space="preserve"> therefore a positive contribution of the realized projects for the Sofia</w:t>
      </w:r>
      <w:r w:rsidRPr="00741320">
        <w:rPr>
          <w:rFonts w:ascii="Verdana" w:hAnsi="Verdana"/>
          <w:sz w:val="20"/>
          <w:szCs w:val="20"/>
          <w:lang w:val="en" w:eastAsia="zh-CN"/>
        </w:rPr>
        <w:fldChar w:fldCharType="end"/>
      </w:r>
      <w:r w:rsidRPr="00741320">
        <w:rPr>
          <w:rFonts w:ascii="Verdana" w:hAnsi="Verdana"/>
          <w:sz w:val="20"/>
          <w:szCs w:val="20"/>
          <w:lang w:val="en" w:eastAsia="zh-CN"/>
        </w:rPr>
        <w:t xml:space="preserve"> metro can be reported.</w:t>
      </w:r>
      <w:r w:rsidR="00C90D38" w:rsidRPr="00C90D38">
        <w:rPr>
          <w:rFonts w:ascii="Verdana" w:hAnsi="Verdana"/>
          <w:sz w:val="20"/>
          <w:szCs w:val="20"/>
          <w:lang w:val="en" w:eastAsia="zh-CN"/>
        </w:rPr>
        <w:t xml:space="preserve"> </w:t>
      </w:r>
      <w:r w:rsidRPr="00741320">
        <w:rPr>
          <w:rFonts w:ascii="Verdana" w:hAnsi="Verdana"/>
          <w:sz w:val="20"/>
          <w:szCs w:val="20"/>
          <w:lang w:val="en" w:eastAsia="zh-CN"/>
        </w:rPr>
        <w:t>Railway safety data are only available at</w:t>
      </w:r>
      <w:r w:rsidRPr="00741320">
        <w:rPr>
          <w:rFonts w:ascii="Verdana" w:hAnsi="Verdana"/>
          <w:sz w:val="20"/>
          <w:lang w:val="en"/>
        </w:rPr>
        <w:t xml:space="preserve"> national level and show a downward trend in the</w:t>
      </w:r>
      <w:r w:rsidRPr="00741320">
        <w:rPr>
          <w:rFonts w:ascii="Verdana" w:hAnsi="Verdana"/>
          <w:sz w:val="20"/>
          <w:szCs w:val="20"/>
          <w:lang w:val="en" w:eastAsia="zh-CN"/>
        </w:rPr>
        <w:t xml:space="preserve"> period 2007-2018,</w:t>
      </w:r>
      <w:r w:rsidRPr="00741320">
        <w:rPr>
          <w:rFonts w:ascii="Verdana" w:hAnsi="Verdana"/>
          <w:sz w:val="20"/>
          <w:lang w:val="en"/>
        </w:rPr>
        <w:t xml:space="preserve"> therefore a </w:t>
      </w:r>
      <w:r w:rsidR="008A620B" w:rsidRPr="00741320">
        <w:rPr>
          <w:rFonts w:ascii="Verdana" w:hAnsi="Verdana"/>
          <w:sz w:val="20"/>
          <w:lang w:val="en"/>
        </w:rPr>
        <w:t>positive</w:t>
      </w:r>
      <w:r w:rsidRPr="00741320">
        <w:rPr>
          <w:rFonts w:ascii="Verdana" w:hAnsi="Verdana"/>
          <w:sz w:val="20"/>
          <w:lang w:val="en"/>
        </w:rPr>
        <w:t xml:space="preserve"> OPT contribution can be assumed, with </w:t>
      </w:r>
      <w:r w:rsidR="008A620B" w:rsidRPr="00741320">
        <w:rPr>
          <w:rFonts w:ascii="Verdana" w:hAnsi="Verdana"/>
          <w:sz w:val="20"/>
          <w:lang w:val="en"/>
        </w:rPr>
        <w:t>optimization</w:t>
      </w:r>
      <w:r w:rsidRPr="00741320">
        <w:rPr>
          <w:rFonts w:ascii="Verdana" w:hAnsi="Verdana"/>
          <w:sz w:val="20"/>
          <w:lang w:val="en"/>
        </w:rPr>
        <w:t xml:space="preserve"> of safety levels within the projects implemented under PA 1.</w:t>
      </w:r>
    </w:p>
    <w:p w14:paraId="7F230396" w14:textId="32DFD9D5" w:rsidR="00513F46" w:rsidRPr="00513F46" w:rsidRDefault="00513F46" w:rsidP="005E01CD">
      <w:pPr>
        <w:jc w:val="both"/>
        <w:rPr>
          <w:rFonts w:ascii="Verdana" w:hAnsi="Verdana"/>
          <w:sz w:val="20"/>
          <w:szCs w:val="20"/>
        </w:rPr>
      </w:pPr>
      <w:r w:rsidRPr="00513F46">
        <w:rPr>
          <w:rFonts w:ascii="Verdana" w:hAnsi="Verdana"/>
          <w:sz w:val="20"/>
          <w:szCs w:val="20"/>
          <w:lang w:val="en"/>
        </w:rPr>
        <w:t xml:space="preserve">The main environmental impacts of transport </w:t>
      </w:r>
      <w:r w:rsidRPr="00513F46">
        <w:rPr>
          <w:rFonts w:ascii="Verdana" w:hAnsi="Verdana"/>
          <w:b/>
          <w:bCs/>
          <w:sz w:val="20"/>
          <w:szCs w:val="20"/>
          <w:lang w:val="en"/>
        </w:rPr>
        <w:t>projects include air pollution, climate change, noise and vibration impacts.</w:t>
      </w:r>
      <w:r w:rsidRPr="00513F46">
        <w:rPr>
          <w:rFonts w:ascii="Verdana" w:hAnsi="Verdana"/>
          <w:sz w:val="20"/>
          <w:lang w:val="en"/>
        </w:rPr>
        <w:t xml:space="preserve"> According to the results </w:t>
      </w:r>
      <w:r w:rsidRPr="00513F46">
        <w:rPr>
          <w:rFonts w:ascii="Verdana" w:hAnsi="Verdana"/>
          <w:b/>
          <w:bCs/>
          <w:sz w:val="20"/>
          <w:szCs w:val="20"/>
          <w:lang w:val="en"/>
        </w:rPr>
        <w:t xml:space="preserve">of the prepared cost-benefit analyses, </w:t>
      </w:r>
      <w:r w:rsidRPr="00513F46">
        <w:rPr>
          <w:rFonts w:ascii="Verdana" w:hAnsi="Verdana"/>
          <w:sz w:val="20"/>
          <w:lang w:val="en"/>
        </w:rPr>
        <w:t xml:space="preserve">the environmental impacts of major OPT investment projects have a </w:t>
      </w:r>
      <w:r w:rsidRPr="00513F46">
        <w:rPr>
          <w:rFonts w:ascii="Verdana" w:hAnsi="Verdana"/>
          <w:sz w:val="20"/>
          <w:lang w:val="en"/>
        </w:rPr>
        <w:lastRenderedPageBreak/>
        <w:t xml:space="preserve">net positive value for </w:t>
      </w:r>
      <w:r w:rsidR="00EF6619" w:rsidRPr="00513F46">
        <w:rPr>
          <w:rFonts w:ascii="Verdana" w:hAnsi="Verdana"/>
          <w:sz w:val="20"/>
          <w:lang w:val="en"/>
        </w:rPr>
        <w:t>railway</w:t>
      </w:r>
      <w:r w:rsidRPr="00513F46">
        <w:rPr>
          <w:rFonts w:ascii="Verdana" w:hAnsi="Verdana"/>
          <w:sz w:val="20"/>
          <w:lang w:val="en"/>
        </w:rPr>
        <w:t xml:space="preserve"> and metro projects, while the majority of road projects have a negative</w:t>
      </w:r>
      <w:r w:rsidRPr="00513F46">
        <w:rPr>
          <w:rFonts w:ascii="Verdana" w:hAnsi="Verdana"/>
          <w:sz w:val="20"/>
          <w:szCs w:val="20"/>
          <w:lang w:val="en"/>
        </w:rPr>
        <w:t xml:space="preserve"> impact. This</w:t>
      </w:r>
      <w:r w:rsidRPr="00513F46">
        <w:rPr>
          <w:rFonts w:ascii="Verdana" w:hAnsi="Verdana"/>
          <w:sz w:val="20"/>
          <w:lang w:val="en"/>
        </w:rPr>
        <w:t xml:space="preserve"> is due to the specific</w:t>
      </w:r>
      <w:r w:rsidR="00956759">
        <w:rPr>
          <w:rFonts w:ascii="Verdana" w:hAnsi="Verdana"/>
          <w:sz w:val="20"/>
          <w:lang w:val="en"/>
        </w:rPr>
        <w:t>s</w:t>
      </w:r>
      <w:r w:rsidRPr="00513F46">
        <w:rPr>
          <w:rFonts w:ascii="Verdana" w:hAnsi="Verdana"/>
          <w:sz w:val="20"/>
          <w:lang w:val="en"/>
        </w:rPr>
        <w:t xml:space="preserve"> of the projects in the road sector and the methodology applied for calculating the impacts in the</w:t>
      </w:r>
      <w:r w:rsidRPr="00513F46">
        <w:rPr>
          <w:rFonts w:ascii="Verdana" w:hAnsi="Verdana"/>
          <w:sz w:val="20"/>
          <w:szCs w:val="20"/>
          <w:lang w:val="en"/>
        </w:rPr>
        <w:t xml:space="preserve"> cost-benefit analyses – increased</w:t>
      </w:r>
      <w:r w:rsidRPr="00513F46">
        <w:rPr>
          <w:rFonts w:ascii="Verdana" w:hAnsi="Verdana"/>
          <w:sz w:val="20"/>
          <w:lang w:val="en"/>
        </w:rPr>
        <w:t xml:space="preserve"> traffic and increased speed on the built roads lead to an increase in carbon emissions and have a negative impact on climate change.</w:t>
      </w:r>
      <w:r w:rsidR="00BF1E59" w:rsidRPr="00BF1E59">
        <w:rPr>
          <w:rFonts w:ascii="Verdana" w:hAnsi="Verdana"/>
          <w:sz w:val="20"/>
          <w:szCs w:val="20"/>
          <w:lang w:val="en"/>
        </w:rPr>
        <w:t xml:space="preserve"> The reduction in carbon emissions was calculated as a positive net impact in PA 1 and 3, </w:t>
      </w:r>
      <w:r w:rsidR="00BF1E59" w:rsidRPr="00BF1E59">
        <w:rPr>
          <w:rFonts w:ascii="Verdana" w:hAnsi="Verdana"/>
          <w:sz w:val="20"/>
          <w:lang w:val="en"/>
        </w:rPr>
        <w:t xml:space="preserve">again on the basis of forecasts of diverted road traffic and the electrification of railway sections, while </w:t>
      </w:r>
      <w:r w:rsidR="00BF1E59" w:rsidRPr="00BF1E59">
        <w:rPr>
          <w:rFonts w:ascii="Verdana" w:hAnsi="Verdana"/>
          <w:sz w:val="20"/>
          <w:szCs w:val="20"/>
          <w:lang w:val="en"/>
        </w:rPr>
        <w:t>in road projects under PA 2</w:t>
      </w:r>
      <w:r w:rsidR="00BF1E59" w:rsidRPr="00BF1E59">
        <w:rPr>
          <w:rFonts w:ascii="Verdana" w:hAnsi="Verdana"/>
          <w:sz w:val="20"/>
          <w:lang w:val="en"/>
        </w:rPr>
        <w:t xml:space="preserve"> the net impact for</w:t>
      </w:r>
      <w:r w:rsidR="00BF1E59" w:rsidRPr="00BF1E59">
        <w:rPr>
          <w:rFonts w:ascii="Verdana" w:hAnsi="Verdana"/>
          <w:sz w:val="20"/>
          <w:szCs w:val="20"/>
          <w:lang w:val="en"/>
        </w:rPr>
        <w:t xml:space="preserve"> reducing air pollution</w:t>
      </w:r>
      <w:r w:rsidR="00BF1E59" w:rsidRPr="00BF1E59">
        <w:rPr>
          <w:rFonts w:ascii="Verdana" w:hAnsi="Verdana"/>
          <w:sz w:val="20"/>
          <w:lang w:val="en"/>
        </w:rPr>
        <w:t xml:space="preserve"> </w:t>
      </w:r>
      <w:r w:rsidR="00BF1E59" w:rsidRPr="00BF1E59">
        <w:rPr>
          <w:rFonts w:ascii="Verdana" w:hAnsi="Verdana"/>
          <w:sz w:val="20"/>
          <w:szCs w:val="20"/>
          <w:lang w:val="en"/>
        </w:rPr>
        <w:t>was negative.</w:t>
      </w:r>
      <w:r w:rsidR="005E01CD">
        <w:rPr>
          <w:rFonts w:ascii="Verdana" w:hAnsi="Verdana"/>
          <w:sz w:val="20"/>
          <w:szCs w:val="20"/>
        </w:rPr>
        <w:t xml:space="preserve"> </w:t>
      </w:r>
      <w:r w:rsidR="005E01CD" w:rsidRPr="005E01CD">
        <w:rPr>
          <w:rFonts w:ascii="Verdana" w:hAnsi="Verdana"/>
          <w:sz w:val="20"/>
          <w:lang w:val="en"/>
        </w:rPr>
        <w:t xml:space="preserve">The positive environmental effects of projects in the railway sector </w:t>
      </w:r>
      <w:r w:rsidR="0065081C">
        <w:rPr>
          <w:rFonts w:ascii="Verdana" w:hAnsi="Verdana"/>
          <w:sz w:val="20"/>
          <w:lang w:val="en"/>
        </w:rPr>
        <w:t>have been</w:t>
      </w:r>
      <w:r w:rsidR="005E01CD" w:rsidRPr="005E01CD">
        <w:rPr>
          <w:rFonts w:ascii="Verdana" w:hAnsi="Verdana"/>
          <w:sz w:val="20"/>
          <w:lang w:val="en"/>
        </w:rPr>
        <w:t xml:space="preserve"> based on</w:t>
      </w:r>
      <w:r w:rsidR="00FD3FE9">
        <w:rPr>
          <w:rFonts w:ascii="Verdana" w:hAnsi="Verdana"/>
          <w:sz w:val="20"/>
          <w:lang w:val="en"/>
        </w:rPr>
        <w:t xml:space="preserve"> assumed</w:t>
      </w:r>
      <w:r w:rsidR="005E01CD" w:rsidRPr="005E01CD">
        <w:rPr>
          <w:rFonts w:ascii="Verdana" w:hAnsi="Verdana"/>
          <w:sz w:val="20"/>
          <w:lang w:val="en"/>
        </w:rPr>
        <w:t xml:space="preserve"> diverted road traffic and traffic from other types of public transport in the CBA forecasts, as well as the electrification of railway lines within the projects.  </w:t>
      </w:r>
    </w:p>
    <w:p w14:paraId="063038D7" w14:textId="77777777" w:rsidR="000C1E98" w:rsidRPr="000C1E98" w:rsidRDefault="000C1E98" w:rsidP="000C1E98">
      <w:pPr>
        <w:widowControl w:val="0"/>
        <w:spacing w:before="120" w:line="240" w:lineRule="auto"/>
        <w:jc w:val="both"/>
        <w:rPr>
          <w:rFonts w:ascii="Verdana" w:hAnsi="Verdana" w:cs="Tahoma"/>
          <w:sz w:val="20"/>
          <w:szCs w:val="20"/>
          <w:lang w:val="ru-RU"/>
        </w:rPr>
      </w:pPr>
      <w:r w:rsidRPr="000C1E98">
        <w:rPr>
          <w:rFonts w:ascii="Verdana" w:hAnsi="Verdana"/>
          <w:sz w:val="20"/>
          <w:szCs w:val="20"/>
          <w:lang w:val="en"/>
        </w:rPr>
        <w:t xml:space="preserve">The value of all impacts (positive and negative) valued in the CBA is directly dependent on the generated traffic in rail, road and urban transport. The majority of the CBA of major projects were developed on the basis of the 2010 demand forecast by mode of transport set out in the GTMP. </w:t>
      </w:r>
    </w:p>
    <w:p w14:paraId="2B006F6A" w14:textId="77777777" w:rsidR="00F43191" w:rsidRPr="00F43191" w:rsidRDefault="00F43191" w:rsidP="00F43191">
      <w:pPr>
        <w:widowControl w:val="0"/>
        <w:spacing w:before="120" w:line="240" w:lineRule="auto"/>
        <w:jc w:val="both"/>
        <w:rPr>
          <w:rFonts w:ascii="Verdana" w:hAnsi="Verdana" w:cs="Tahoma"/>
          <w:sz w:val="20"/>
          <w:szCs w:val="20"/>
          <w:lang w:val="ru-RU"/>
        </w:rPr>
      </w:pPr>
      <w:r w:rsidRPr="00F43191">
        <w:rPr>
          <w:rFonts w:ascii="Verdana" w:hAnsi="Verdana"/>
          <w:sz w:val="20"/>
          <w:szCs w:val="20"/>
          <w:lang w:val="en"/>
        </w:rPr>
        <w:t>The highest share of the environmental benefits has been reported for the projects implemented under PA 1 – about 6% of all benefits, 11.1 thousand euro. For the period up to 2019, and the environmental benefits under PA 3 are 3% of the total benefits under this axis, worth EUR 7.7 thousand. The net environmental impact of projects under PA 2 is negative but represents only 4% of the total value of the positive impacts of time saved, reduced road accident costs and reduced operating costs.</w:t>
      </w:r>
    </w:p>
    <w:p w14:paraId="47CE7E40" w14:textId="5FDBBF32" w:rsidR="003811A2" w:rsidRPr="00324242" w:rsidRDefault="003811A2" w:rsidP="003811A2">
      <w:pPr>
        <w:widowControl w:val="0"/>
        <w:spacing w:before="120" w:line="240" w:lineRule="auto"/>
        <w:jc w:val="center"/>
        <w:rPr>
          <w:rFonts w:ascii="Verdana" w:hAnsi="Verdana" w:cs="Tahoma"/>
          <w:sz w:val="20"/>
          <w:szCs w:val="20"/>
          <w:lang w:val="bg-BG"/>
        </w:rPr>
      </w:pPr>
    </w:p>
    <w:p w14:paraId="23A6C062" w14:textId="089EF24B" w:rsidR="005F2EA4" w:rsidRDefault="001901F4" w:rsidP="00186F51">
      <w:pPr>
        <w:keepNext/>
        <w:keepLines/>
        <w:spacing w:before="40" w:after="0"/>
        <w:jc w:val="both"/>
        <w:outlineLvl w:val="2"/>
        <w:rPr>
          <w:rFonts w:ascii="Verdana" w:hAnsi="Verdana"/>
          <w:b/>
          <w:bCs/>
          <w:smallCaps/>
          <w:color w:val="374E81"/>
          <w:sz w:val="20"/>
          <w:szCs w:val="20"/>
        </w:rPr>
      </w:pPr>
      <w:r w:rsidRPr="00324242">
        <w:rPr>
          <w:rFonts w:ascii="Verdana" w:hAnsi="Verdana"/>
          <w:b/>
          <w:bCs/>
          <w:smallCaps/>
          <w:color w:val="374E81"/>
          <w:sz w:val="20"/>
          <w:szCs w:val="20"/>
          <w:lang w:val="en"/>
        </w:rPr>
        <w:t xml:space="preserve">Measures to reduce </w:t>
      </w:r>
      <w:r w:rsidR="00606CD1">
        <w:rPr>
          <w:rFonts w:ascii="Verdana" w:hAnsi="Verdana"/>
          <w:b/>
          <w:bCs/>
          <w:smallCaps/>
          <w:color w:val="374E81"/>
          <w:sz w:val="20"/>
          <w:szCs w:val="20"/>
        </w:rPr>
        <w:t>negative environmental impacts</w:t>
      </w:r>
    </w:p>
    <w:p w14:paraId="0E3684C6" w14:textId="2E15CF9F" w:rsidR="005C1CA8" w:rsidRPr="005C1CA8" w:rsidRDefault="005C1CA8" w:rsidP="008042A7">
      <w:pPr>
        <w:spacing w:before="120" w:line="240" w:lineRule="auto"/>
        <w:jc w:val="both"/>
        <w:rPr>
          <w:rFonts w:ascii="Verdana" w:hAnsi="Verdana" w:cs="Tahoma"/>
          <w:sz w:val="20"/>
          <w:szCs w:val="20"/>
          <w:lang w:val="ru-RU"/>
        </w:rPr>
      </w:pPr>
      <w:r w:rsidRPr="005C1CA8">
        <w:rPr>
          <w:rFonts w:ascii="Verdana" w:hAnsi="Verdana"/>
          <w:sz w:val="20"/>
          <w:szCs w:val="20"/>
          <w:lang w:val="en" w:eastAsia="zh-CN"/>
        </w:rPr>
        <w:t xml:space="preserve">The environmental impact of the OPT is covered by the initial programming by the Environmental Assessment of the OPT, prepared and </w:t>
      </w:r>
      <w:r w:rsidRPr="005C1CA8">
        <w:rPr>
          <w:rFonts w:ascii="Verdana" w:hAnsi="Verdana"/>
          <w:sz w:val="20"/>
          <w:szCs w:val="20"/>
          <w:lang w:val="en"/>
        </w:rPr>
        <w:t xml:space="preserve">adopted by the MOEW in 2007, in accordance with </w:t>
      </w:r>
      <w:r w:rsidRPr="005C1CA8">
        <w:rPr>
          <w:rFonts w:ascii="Verdana" w:hAnsi="Verdana"/>
          <w:sz w:val="20"/>
          <w:szCs w:val="20"/>
          <w:lang w:val="en" w:eastAsia="zh-CN"/>
        </w:rPr>
        <w:t xml:space="preserve">Directive 2001/42/EU on </w:t>
      </w:r>
      <w:r w:rsidRPr="005C1CA8">
        <w:rPr>
          <w:rFonts w:ascii="Verdana" w:hAnsi="Verdana"/>
          <w:sz w:val="20"/>
          <w:szCs w:val="20"/>
          <w:lang w:val="en"/>
        </w:rPr>
        <w:t xml:space="preserve">the assessment of the effects of certain plans and programmes on the environment (SEA Directive) and in accordance with the national Ordinance for carrying out an environmental assessment of plans and programmes. The results of the Environmental Impact Assessment had not </w:t>
      </w:r>
      <w:r w:rsidR="008042A7" w:rsidRPr="005C1CA8">
        <w:rPr>
          <w:rFonts w:ascii="Verdana" w:hAnsi="Verdana"/>
          <w:sz w:val="20"/>
          <w:szCs w:val="20"/>
          <w:lang w:val="en"/>
        </w:rPr>
        <w:t>required</w:t>
      </w:r>
      <w:r w:rsidRPr="005C1CA8">
        <w:rPr>
          <w:rFonts w:ascii="Verdana" w:hAnsi="Verdana"/>
          <w:sz w:val="20"/>
          <w:szCs w:val="20"/>
          <w:lang w:val="en"/>
        </w:rPr>
        <w:t xml:space="preserve"> any changes in the scope and priority axes of the </w:t>
      </w:r>
      <w:r w:rsidRPr="005C1CA8">
        <w:rPr>
          <w:rFonts w:ascii="Verdana" w:hAnsi="Verdana"/>
          <w:sz w:val="20"/>
          <w:szCs w:val="20"/>
          <w:lang w:val="en" w:eastAsia="ar-SA"/>
        </w:rPr>
        <w:t>OPT.</w:t>
      </w:r>
      <w:r w:rsidRPr="005C1CA8">
        <w:rPr>
          <w:rFonts w:ascii="Verdana" w:hAnsi="Verdana"/>
          <w:sz w:val="20"/>
          <w:szCs w:val="20"/>
          <w:lang w:val="en"/>
        </w:rPr>
        <w:t xml:space="preserve"> Projects providing for investment proposals requiring an EIA/EA under the Biodiversity </w:t>
      </w:r>
      <w:r w:rsidR="008042A7" w:rsidRPr="005C1CA8">
        <w:rPr>
          <w:rFonts w:ascii="Verdana" w:hAnsi="Verdana"/>
          <w:sz w:val="20"/>
          <w:szCs w:val="20"/>
          <w:lang w:val="en"/>
        </w:rPr>
        <w:t>Protection</w:t>
      </w:r>
      <w:r w:rsidRPr="005C1CA8">
        <w:rPr>
          <w:rFonts w:ascii="Verdana" w:hAnsi="Verdana"/>
          <w:sz w:val="20"/>
          <w:szCs w:val="20"/>
          <w:lang w:val="en"/>
        </w:rPr>
        <w:t xml:space="preserve"> Law have been approved following a positive EIA/EA decision and taking into account the recommendations in the evaluations carried out and/or the EIA/EA opinion decision. In the process of project preparation and design the following actions have been carried out:</w:t>
      </w:r>
    </w:p>
    <w:p w14:paraId="5C9068FC" w14:textId="77777777" w:rsidR="005C1CA8" w:rsidRPr="005C1CA8" w:rsidRDefault="005C1CA8" w:rsidP="008042A7">
      <w:pPr>
        <w:numPr>
          <w:ilvl w:val="0"/>
          <w:numId w:val="24"/>
        </w:numPr>
        <w:spacing w:before="120" w:after="120" w:line="240" w:lineRule="auto"/>
        <w:contextualSpacing/>
        <w:jc w:val="both"/>
        <w:rPr>
          <w:rFonts w:ascii="Verdana" w:hAnsi="Verdana" w:cs="Tahoma"/>
          <w:sz w:val="20"/>
          <w:szCs w:val="20"/>
          <w:lang w:val="ru-RU"/>
        </w:rPr>
      </w:pPr>
      <w:r w:rsidRPr="005C1CA8">
        <w:rPr>
          <w:rFonts w:ascii="Verdana" w:hAnsi="Verdana"/>
          <w:sz w:val="20"/>
          <w:szCs w:val="20"/>
          <w:lang w:val="en"/>
        </w:rPr>
        <w:t>Study for sites of cultural and historical heritage of the territories for carrying out construction works;</w:t>
      </w:r>
    </w:p>
    <w:p w14:paraId="2B186935" w14:textId="77777777" w:rsidR="005C1CA8" w:rsidRPr="005C1CA8" w:rsidRDefault="005C1CA8" w:rsidP="008042A7">
      <w:pPr>
        <w:numPr>
          <w:ilvl w:val="0"/>
          <w:numId w:val="24"/>
        </w:numPr>
        <w:spacing w:before="120" w:after="120" w:line="240" w:lineRule="auto"/>
        <w:contextualSpacing/>
        <w:jc w:val="both"/>
        <w:rPr>
          <w:rFonts w:ascii="Verdana" w:hAnsi="Verdana" w:cs="Tahoma"/>
          <w:sz w:val="20"/>
          <w:szCs w:val="20"/>
          <w:lang w:val="ru-RU"/>
        </w:rPr>
      </w:pPr>
      <w:r w:rsidRPr="005C1CA8">
        <w:rPr>
          <w:rFonts w:ascii="Verdana" w:hAnsi="Verdana"/>
          <w:sz w:val="20"/>
          <w:szCs w:val="20"/>
          <w:lang w:val="en"/>
        </w:rPr>
        <w:t>Preparation of a landscape scheme to provide the necessary landscaping along the length of the roads;</w:t>
      </w:r>
    </w:p>
    <w:p w14:paraId="6288F20A" w14:textId="77777777" w:rsidR="005C1CA8" w:rsidRPr="005C1CA8" w:rsidRDefault="005C1CA8" w:rsidP="008042A7">
      <w:pPr>
        <w:numPr>
          <w:ilvl w:val="0"/>
          <w:numId w:val="24"/>
        </w:numPr>
        <w:spacing w:before="120" w:after="120" w:line="240" w:lineRule="auto"/>
        <w:contextualSpacing/>
        <w:jc w:val="both"/>
        <w:rPr>
          <w:rFonts w:ascii="Verdana" w:hAnsi="Verdana" w:cs="Tahoma"/>
          <w:sz w:val="20"/>
          <w:szCs w:val="20"/>
          <w:lang w:val="ru-RU"/>
        </w:rPr>
      </w:pPr>
      <w:r w:rsidRPr="005C1CA8">
        <w:rPr>
          <w:rFonts w:ascii="Verdana" w:hAnsi="Verdana"/>
          <w:sz w:val="20"/>
          <w:szCs w:val="20"/>
          <w:lang w:val="en"/>
        </w:rPr>
        <w:t>Afforestation of the slopes in rehabilitation of road infrastructure in order to stabilize them and prevent erosion</w:t>
      </w:r>
    </w:p>
    <w:p w14:paraId="3ABA5707" w14:textId="77777777" w:rsidR="005C1CA8" w:rsidRPr="005C1CA8" w:rsidRDefault="005C1CA8" w:rsidP="008042A7">
      <w:pPr>
        <w:numPr>
          <w:ilvl w:val="0"/>
          <w:numId w:val="24"/>
        </w:numPr>
        <w:spacing w:before="120" w:after="120" w:line="240" w:lineRule="auto"/>
        <w:contextualSpacing/>
        <w:jc w:val="both"/>
        <w:rPr>
          <w:rFonts w:ascii="Verdana" w:hAnsi="Verdana" w:cs="Tahoma"/>
          <w:sz w:val="20"/>
          <w:szCs w:val="20"/>
          <w:lang w:val="ru-RU"/>
        </w:rPr>
      </w:pPr>
      <w:r w:rsidRPr="005C1CA8">
        <w:rPr>
          <w:rFonts w:ascii="Verdana" w:hAnsi="Verdana"/>
          <w:sz w:val="20"/>
          <w:szCs w:val="20"/>
          <w:lang w:val="en"/>
        </w:rPr>
        <w:t>Construction of noise protection screens in areas with noise levels above the limit values;</w:t>
      </w:r>
    </w:p>
    <w:p w14:paraId="19A988E1" w14:textId="77777777" w:rsidR="005C1CA8" w:rsidRPr="005C1CA8" w:rsidRDefault="005C1CA8" w:rsidP="008042A7">
      <w:pPr>
        <w:numPr>
          <w:ilvl w:val="0"/>
          <w:numId w:val="24"/>
        </w:numPr>
        <w:spacing w:before="120" w:after="120" w:line="240" w:lineRule="auto"/>
        <w:contextualSpacing/>
        <w:jc w:val="both"/>
        <w:rPr>
          <w:rFonts w:ascii="Verdana" w:hAnsi="Verdana" w:cs="Tahoma"/>
          <w:sz w:val="20"/>
          <w:szCs w:val="20"/>
          <w:lang w:val="ru-RU"/>
        </w:rPr>
      </w:pPr>
      <w:r w:rsidRPr="005C1CA8">
        <w:rPr>
          <w:rFonts w:ascii="Verdana" w:hAnsi="Verdana"/>
          <w:sz w:val="20"/>
          <w:szCs w:val="20"/>
          <w:lang w:val="en"/>
        </w:rPr>
        <w:t>Construction of specialized facilities /underground tunnels, bridges/ to preserve the connection between the populations of the species around the transport corridors and avoid the complete fragmentation of habitats;</w:t>
      </w:r>
    </w:p>
    <w:p w14:paraId="17F4D158" w14:textId="77777777" w:rsidR="005C1CA8" w:rsidRPr="005C1CA8" w:rsidRDefault="005C1CA8" w:rsidP="008042A7">
      <w:pPr>
        <w:numPr>
          <w:ilvl w:val="0"/>
          <w:numId w:val="24"/>
        </w:numPr>
        <w:spacing w:before="120" w:after="120" w:line="240" w:lineRule="auto"/>
        <w:contextualSpacing/>
        <w:jc w:val="both"/>
        <w:rPr>
          <w:rFonts w:ascii="Verdana" w:hAnsi="Verdana" w:cs="Tahoma"/>
          <w:sz w:val="20"/>
          <w:szCs w:val="20"/>
          <w:lang w:val="ru-RU"/>
        </w:rPr>
      </w:pPr>
      <w:r w:rsidRPr="005C1CA8">
        <w:rPr>
          <w:rFonts w:ascii="Verdana" w:hAnsi="Verdana"/>
          <w:sz w:val="20"/>
          <w:szCs w:val="20"/>
          <w:lang w:val="en"/>
        </w:rPr>
        <w:t>Implementation of plans to minimize adverse effects /noise, dust/;</w:t>
      </w:r>
    </w:p>
    <w:p w14:paraId="260FD9E3" w14:textId="77777777" w:rsidR="005C1CA8" w:rsidRPr="005C1CA8" w:rsidRDefault="005C1CA8" w:rsidP="008042A7">
      <w:pPr>
        <w:numPr>
          <w:ilvl w:val="0"/>
          <w:numId w:val="24"/>
        </w:numPr>
        <w:spacing w:before="120" w:after="120" w:line="240" w:lineRule="auto"/>
        <w:contextualSpacing/>
        <w:jc w:val="both"/>
        <w:rPr>
          <w:rFonts w:ascii="Verdana" w:hAnsi="Verdana" w:cs="Tahoma"/>
          <w:sz w:val="20"/>
          <w:szCs w:val="20"/>
          <w:lang w:val="ru-RU"/>
        </w:rPr>
      </w:pPr>
      <w:r w:rsidRPr="005C1CA8">
        <w:rPr>
          <w:rFonts w:ascii="Verdana" w:hAnsi="Verdana"/>
          <w:sz w:val="20"/>
          <w:szCs w:val="20"/>
          <w:lang w:val="en"/>
        </w:rPr>
        <w:t>Provision of environmental management plans and contingency measures, as well as an environmental impact monitoring plan;</w:t>
      </w:r>
    </w:p>
    <w:p w14:paraId="34833A5F" w14:textId="77777777" w:rsidR="008042A7" w:rsidRPr="008042A7" w:rsidRDefault="005C1CA8" w:rsidP="008042A7">
      <w:pPr>
        <w:numPr>
          <w:ilvl w:val="0"/>
          <w:numId w:val="24"/>
        </w:numPr>
        <w:spacing w:before="120" w:after="120" w:line="240" w:lineRule="auto"/>
        <w:contextualSpacing/>
        <w:jc w:val="both"/>
        <w:rPr>
          <w:rFonts w:ascii="Verdana" w:hAnsi="Verdana" w:cs="Tahoma"/>
          <w:sz w:val="20"/>
          <w:szCs w:val="20"/>
          <w:lang w:val="ru-RU"/>
        </w:rPr>
      </w:pPr>
      <w:r w:rsidRPr="005C1CA8">
        <w:rPr>
          <w:rFonts w:ascii="Verdana" w:hAnsi="Verdana"/>
          <w:sz w:val="20"/>
          <w:szCs w:val="20"/>
          <w:lang w:val="en"/>
        </w:rPr>
        <w:t>Compliance with the provisions of the Biodiversity Protection Law on the conservation of protected species.</w:t>
      </w:r>
    </w:p>
    <w:p w14:paraId="5C51F364" w14:textId="77777777" w:rsidR="008042A7" w:rsidRPr="008042A7" w:rsidRDefault="008042A7" w:rsidP="008042A7">
      <w:pPr>
        <w:spacing w:before="120" w:after="120" w:line="240" w:lineRule="auto"/>
        <w:contextualSpacing/>
        <w:jc w:val="both"/>
        <w:rPr>
          <w:rFonts w:ascii="Verdana" w:hAnsi="Verdana" w:cs="Tahoma"/>
          <w:sz w:val="20"/>
          <w:szCs w:val="20"/>
          <w:lang w:val="ru-RU"/>
        </w:rPr>
      </w:pPr>
    </w:p>
    <w:p w14:paraId="02226192" w14:textId="2F900CEF" w:rsidR="008042A7" w:rsidRPr="008042A7" w:rsidRDefault="008042A7" w:rsidP="00A47BC2">
      <w:pPr>
        <w:spacing w:before="120" w:after="120" w:line="240" w:lineRule="auto"/>
        <w:contextualSpacing/>
        <w:jc w:val="both"/>
        <w:rPr>
          <w:rFonts w:ascii="Verdana" w:hAnsi="Verdana"/>
          <w:sz w:val="20"/>
          <w:szCs w:val="20"/>
          <w:lang w:val="en"/>
        </w:rPr>
      </w:pPr>
      <w:r w:rsidRPr="008042A7">
        <w:rPr>
          <w:rFonts w:ascii="Verdana" w:hAnsi="Verdana"/>
          <w:sz w:val="20"/>
          <w:szCs w:val="20"/>
          <w:lang w:val="en"/>
        </w:rPr>
        <w:lastRenderedPageBreak/>
        <w:t>Measures to reduce harmful effects on the environment are covered by the Environmental Impact Assessment of OPT and projects, providing for investment proposals for which the EIA/EA is required under the Environment Protection Act. These projects have been approved after obtaining a positive EIA decision / EA statement and on condition that the recommended measures are taken.</w:t>
      </w:r>
      <w:r w:rsidR="00A47BC2">
        <w:rPr>
          <w:rFonts w:ascii="Verdana" w:hAnsi="Verdana"/>
          <w:sz w:val="20"/>
          <w:szCs w:val="20"/>
          <w:lang w:val="en"/>
        </w:rPr>
        <w:t xml:space="preserve"> </w:t>
      </w:r>
      <w:r w:rsidRPr="008042A7">
        <w:rPr>
          <w:rFonts w:ascii="Verdana" w:hAnsi="Verdana"/>
          <w:sz w:val="20"/>
          <w:szCs w:val="20"/>
          <w:lang w:val="en"/>
        </w:rPr>
        <w:t>The monitoring of the implemented measures was carried out through reports on the monitoring and control of the environmental impact of OPT and the General Transport Master Plan, which show that the envisaged measures were complied with and the respective ecological infrastructure has been built. Measures were recommended to ensure the maintenance of the constructed facilities so as not to compromise their efficiency.</w:t>
      </w:r>
    </w:p>
    <w:p w14:paraId="66EA8ED6" w14:textId="77777777" w:rsidR="005F2EA4" w:rsidRPr="00F50700" w:rsidRDefault="005F2EA4" w:rsidP="005F2EA4">
      <w:pPr>
        <w:widowControl w:val="0"/>
        <w:spacing w:before="120" w:line="240" w:lineRule="auto"/>
        <w:jc w:val="both"/>
        <w:rPr>
          <w:rFonts w:ascii="Verdana" w:hAnsi="Verdana" w:cs="Tahoma"/>
          <w:lang w:val="bg-BG"/>
        </w:rPr>
      </w:pPr>
    </w:p>
    <w:p w14:paraId="09EEE84F" w14:textId="29060E84" w:rsidR="007502B1" w:rsidRPr="00F50700" w:rsidRDefault="007502B1" w:rsidP="0048262D">
      <w:pPr>
        <w:pStyle w:val="Heading1"/>
        <w:numPr>
          <w:ilvl w:val="1"/>
          <w:numId w:val="58"/>
        </w:numPr>
        <w:shd w:val="clear" w:color="auto" w:fill="374C80" w:themeFill="accent1" w:themeFillShade="BF"/>
        <w:spacing w:before="120" w:after="120" w:line="240" w:lineRule="auto"/>
        <w:ind w:left="0" w:firstLine="0"/>
        <w:jc w:val="both"/>
        <w:rPr>
          <w:rFonts w:ascii="Verdana" w:eastAsia="Calibri" w:hAnsi="Verdana" w:cs="Calibri"/>
          <w:b/>
          <w:bCs/>
          <w:color w:val="FFFFFF" w:themeColor="background1"/>
          <w:sz w:val="20"/>
          <w:szCs w:val="20"/>
          <w:lang w:val="bg-BG"/>
        </w:rPr>
      </w:pPr>
      <w:bookmarkStart w:id="114" w:name="_Ref50297083"/>
      <w:bookmarkStart w:id="115" w:name="_Toc62724401"/>
      <w:r w:rsidRPr="00F50700">
        <w:rPr>
          <w:rFonts w:ascii="Verdana" w:hAnsi="Verdana"/>
          <w:b/>
          <w:bCs/>
          <w:color w:val="FFFFFF" w:themeColor="background1"/>
          <w:sz w:val="20"/>
          <w:szCs w:val="20"/>
          <w:lang w:val="en"/>
        </w:rPr>
        <w:t>What is the contribution</w:t>
      </w:r>
      <w:r w:rsidR="00ED2DA0">
        <w:rPr>
          <w:rFonts w:ascii="Verdana" w:hAnsi="Verdana"/>
          <w:b/>
          <w:bCs/>
          <w:color w:val="FFFFFF" w:themeColor="background1"/>
          <w:sz w:val="20"/>
          <w:szCs w:val="20"/>
          <w:lang w:val="en"/>
        </w:rPr>
        <w:t xml:space="preserve"> of OPT</w:t>
      </w:r>
      <w:r w:rsidRPr="00F50700">
        <w:rPr>
          <w:rFonts w:ascii="Verdana" w:hAnsi="Verdana"/>
          <w:b/>
          <w:bCs/>
          <w:color w:val="FFFFFF" w:themeColor="background1"/>
          <w:sz w:val="20"/>
          <w:szCs w:val="20"/>
          <w:lang w:val="en"/>
        </w:rPr>
        <w:t xml:space="preserve"> to sustainable development policy?</w:t>
      </w:r>
      <w:bookmarkEnd w:id="114"/>
      <w:bookmarkEnd w:id="115"/>
    </w:p>
    <w:p w14:paraId="1E6ADEE5" w14:textId="77777777" w:rsidR="00E22F39" w:rsidRPr="00012B1C" w:rsidRDefault="00E22F39" w:rsidP="006E2FC7">
      <w:pPr>
        <w:suppressAutoHyphens/>
        <w:spacing w:before="60" w:after="60" w:line="240" w:lineRule="auto"/>
        <w:jc w:val="both"/>
        <w:rPr>
          <w:rFonts w:ascii="Verdana" w:hAnsi="Verdana"/>
          <w:color w:val="000000"/>
          <w:sz w:val="20"/>
          <w:szCs w:val="20"/>
          <w:lang w:val="bg-BG" w:eastAsia="ar-SA"/>
        </w:rPr>
      </w:pPr>
    </w:p>
    <w:p w14:paraId="17DCE6A2" w14:textId="5A5E956B" w:rsidR="0044016B" w:rsidRPr="00012B1C" w:rsidRDefault="00230559" w:rsidP="0044016B">
      <w:pPr>
        <w:suppressAutoHyphens/>
        <w:spacing w:before="60" w:after="60" w:line="240" w:lineRule="auto"/>
        <w:jc w:val="both"/>
        <w:rPr>
          <w:rFonts w:ascii="Verdana" w:hAnsi="Verdana"/>
          <w:color w:val="000000"/>
          <w:sz w:val="20"/>
          <w:szCs w:val="20"/>
          <w:lang w:val="ru-RU" w:eastAsia="ar-SA"/>
        </w:rPr>
      </w:pPr>
      <w:r w:rsidRPr="00012B1C">
        <w:rPr>
          <w:rFonts w:ascii="Verdana" w:hAnsi="Verdana"/>
          <w:color w:val="000000"/>
          <w:sz w:val="20"/>
          <w:szCs w:val="20"/>
          <w:lang w:val="en" w:eastAsia="ar-SA"/>
        </w:rPr>
        <w:t xml:space="preserve">The sustainable development of transport infrastructure is </w:t>
      </w:r>
      <w:r w:rsidRPr="00012B1C">
        <w:rPr>
          <w:rFonts w:ascii="Verdana" w:hAnsi="Verdana"/>
          <w:color w:val="000000"/>
          <w:sz w:val="20"/>
          <w:szCs w:val="20"/>
          <w:lang w:eastAsia="ar-SA"/>
        </w:rPr>
        <w:t xml:space="preserve">a crucial factor for </w:t>
      </w:r>
      <w:r w:rsidRPr="00012B1C">
        <w:rPr>
          <w:rFonts w:ascii="Verdana" w:hAnsi="Verdana"/>
          <w:color w:val="000000"/>
          <w:sz w:val="20"/>
          <w:szCs w:val="20"/>
          <w:lang w:val="en" w:eastAsia="ar-SA"/>
        </w:rPr>
        <w:t>socio-economic development of the country and was integrated into the process of OPT development</w:t>
      </w:r>
      <w:r w:rsidRPr="00012B1C">
        <w:rPr>
          <w:rFonts w:ascii="Verdana" w:hAnsi="Verdana"/>
          <w:sz w:val="20"/>
          <w:szCs w:val="20"/>
          <w:lang w:val="en"/>
        </w:rPr>
        <w:t xml:space="preserve"> </w:t>
      </w:r>
      <w:r w:rsidR="00A47BC2" w:rsidRPr="00012B1C">
        <w:rPr>
          <w:rFonts w:ascii="Verdana" w:hAnsi="Verdana"/>
          <w:color w:val="000000"/>
          <w:sz w:val="20"/>
          <w:szCs w:val="20"/>
          <w:lang w:val="en" w:eastAsia="ar-SA"/>
        </w:rPr>
        <w:t>at</w:t>
      </w:r>
      <w:r w:rsidR="0044016B" w:rsidRPr="00012B1C">
        <w:rPr>
          <w:rFonts w:ascii="Verdana" w:hAnsi="Verdana"/>
          <w:color w:val="000000"/>
          <w:sz w:val="20"/>
          <w:szCs w:val="20"/>
          <w:lang w:val="en" w:eastAsia="ar-SA"/>
        </w:rPr>
        <w:t xml:space="preserve"> the programming stage, the principles of sustainable development have been set out in the objectives and priorities of the OPT. The main objective of the OPT is </w:t>
      </w:r>
      <w:r w:rsidR="0044016B" w:rsidRPr="00012B1C">
        <w:rPr>
          <w:rFonts w:ascii="Verdana" w:hAnsi="Verdana"/>
          <w:i/>
          <w:iCs/>
          <w:color w:val="000000"/>
          <w:sz w:val="20"/>
          <w:szCs w:val="20"/>
          <w:lang w:val="en" w:eastAsia="ar-SA"/>
        </w:rPr>
        <w:t>the development of a sustainable transport</w:t>
      </w:r>
      <w:r w:rsidR="0044016B" w:rsidRPr="00012B1C">
        <w:rPr>
          <w:rFonts w:ascii="Verdana" w:hAnsi="Verdana"/>
          <w:sz w:val="20"/>
          <w:szCs w:val="20"/>
          <w:lang w:val="en"/>
        </w:rPr>
        <w:t xml:space="preserve"> system in two target</w:t>
      </w:r>
      <w:r w:rsidR="0044016B" w:rsidRPr="00012B1C">
        <w:rPr>
          <w:rFonts w:ascii="Verdana" w:hAnsi="Verdana"/>
          <w:color w:val="000000"/>
          <w:sz w:val="20"/>
          <w:szCs w:val="20"/>
          <w:lang w:val="en" w:eastAsia="ar-SA"/>
        </w:rPr>
        <w:t xml:space="preserve"> areas:</w:t>
      </w:r>
    </w:p>
    <w:p w14:paraId="108884CF" w14:textId="79971CF5" w:rsidR="0044016B" w:rsidRPr="0044016B" w:rsidRDefault="0044016B" w:rsidP="0044016B">
      <w:pPr>
        <w:numPr>
          <w:ilvl w:val="0"/>
          <w:numId w:val="26"/>
        </w:numPr>
        <w:suppressAutoHyphens/>
        <w:spacing w:before="60" w:after="60" w:line="240" w:lineRule="auto"/>
        <w:ind w:left="426" w:hanging="426"/>
        <w:contextualSpacing/>
        <w:jc w:val="both"/>
        <w:rPr>
          <w:rFonts w:ascii="Verdana" w:hAnsi="Verdana"/>
          <w:i/>
          <w:iCs/>
          <w:color w:val="000000"/>
          <w:sz w:val="20"/>
          <w:szCs w:val="20"/>
          <w:lang w:val="ru-RU" w:eastAsia="ar-SA"/>
        </w:rPr>
      </w:pPr>
      <w:r w:rsidRPr="0044016B">
        <w:rPr>
          <w:rFonts w:ascii="Verdana" w:hAnsi="Verdana"/>
          <w:i/>
          <w:iCs/>
          <w:color w:val="000000"/>
          <w:sz w:val="20"/>
          <w:szCs w:val="20"/>
          <w:lang w:val="en" w:eastAsia="ar-SA"/>
        </w:rPr>
        <w:t>Integration of the national transport system into the EU transport network through Priority Axes 1 and 2</w:t>
      </w:r>
    </w:p>
    <w:p w14:paraId="605BB644" w14:textId="353EE335" w:rsidR="0044016B" w:rsidRPr="0044016B" w:rsidRDefault="0044016B" w:rsidP="0044016B">
      <w:pPr>
        <w:numPr>
          <w:ilvl w:val="0"/>
          <w:numId w:val="26"/>
        </w:numPr>
        <w:suppressAutoHyphens/>
        <w:spacing w:before="60" w:after="60" w:line="240" w:lineRule="auto"/>
        <w:ind w:left="426" w:hanging="426"/>
        <w:contextualSpacing/>
        <w:jc w:val="both"/>
        <w:rPr>
          <w:rFonts w:ascii="Verdana" w:hAnsi="Verdana"/>
          <w:i/>
          <w:iCs/>
          <w:color w:val="000000"/>
          <w:sz w:val="20"/>
          <w:szCs w:val="20"/>
          <w:lang w:val="ru-RU" w:eastAsia="ar-SA"/>
        </w:rPr>
      </w:pPr>
      <w:r w:rsidRPr="0044016B">
        <w:rPr>
          <w:rFonts w:ascii="Verdana" w:hAnsi="Verdana"/>
          <w:i/>
          <w:iCs/>
          <w:color w:val="000000"/>
          <w:sz w:val="20"/>
          <w:szCs w:val="20"/>
          <w:lang w:eastAsia="ar-SA"/>
        </w:rPr>
        <w:t>Achievement of balance</w:t>
      </w:r>
      <w:r w:rsidRPr="0044016B">
        <w:rPr>
          <w:rFonts w:ascii="Verdana" w:hAnsi="Verdana"/>
          <w:i/>
          <w:iCs/>
          <w:color w:val="000000"/>
          <w:sz w:val="20"/>
          <w:szCs w:val="20"/>
          <w:lang w:val="en" w:eastAsia="ar-SA"/>
        </w:rPr>
        <w:t xml:space="preserve"> between transport modes through Priority Axes 2 and 3</w:t>
      </w:r>
    </w:p>
    <w:p w14:paraId="1954EC52" w14:textId="77777777" w:rsidR="00FA34CB" w:rsidRPr="00FA34CB" w:rsidRDefault="00FA34CB" w:rsidP="00FA34CB">
      <w:pPr>
        <w:suppressAutoHyphens/>
        <w:spacing w:before="60" w:after="60" w:line="240" w:lineRule="auto"/>
        <w:jc w:val="both"/>
        <w:rPr>
          <w:rFonts w:ascii="Verdana" w:hAnsi="Verdana"/>
          <w:color w:val="000000"/>
          <w:sz w:val="20"/>
          <w:szCs w:val="20"/>
          <w:lang w:val="ru-RU" w:eastAsia="ar-SA"/>
        </w:rPr>
      </w:pPr>
    </w:p>
    <w:p w14:paraId="551B7CE6" w14:textId="4EDA8CE4" w:rsidR="005D1974" w:rsidRPr="005D1974" w:rsidRDefault="00FA34CB" w:rsidP="005D1974">
      <w:pPr>
        <w:suppressAutoHyphens/>
        <w:spacing w:before="60" w:after="60" w:line="240" w:lineRule="auto"/>
        <w:jc w:val="both"/>
        <w:rPr>
          <w:rFonts w:ascii="Verdana" w:hAnsi="Verdana"/>
          <w:color w:val="000000"/>
          <w:sz w:val="20"/>
          <w:szCs w:val="20"/>
          <w:lang w:val="ru-RU" w:eastAsia="ar-SA"/>
        </w:rPr>
      </w:pPr>
      <w:r w:rsidRPr="00012B1C">
        <w:rPr>
          <w:rFonts w:ascii="Verdana" w:hAnsi="Verdana"/>
          <w:color w:val="000000"/>
          <w:sz w:val="20"/>
          <w:szCs w:val="20"/>
          <w:lang w:val="en" w:eastAsia="ar-SA"/>
        </w:rPr>
        <w:t xml:space="preserve">The </w:t>
      </w:r>
      <w:r w:rsidR="005D1974" w:rsidRPr="00012B1C">
        <w:rPr>
          <w:rFonts w:ascii="Verdana" w:hAnsi="Verdana"/>
          <w:color w:val="000000"/>
          <w:sz w:val="20"/>
          <w:szCs w:val="20"/>
          <w:lang w:val="en" w:eastAsia="ar-SA"/>
        </w:rPr>
        <w:t>prioritization</w:t>
      </w:r>
      <w:r w:rsidRPr="00012B1C">
        <w:rPr>
          <w:rFonts w:ascii="Verdana" w:hAnsi="Verdana"/>
          <w:color w:val="000000"/>
          <w:sz w:val="20"/>
          <w:szCs w:val="20"/>
          <w:lang w:val="en" w:eastAsia="ar-SA"/>
        </w:rPr>
        <w:t xml:space="preserve"> and selection of OPT projects was carried out at the programming stage, in compliance with the principles of sustainable development and through a multi-criteria analysis including socio-economic criterion, environmental criterion and criterion for access of Bulgarian National transport network to the </w:t>
      </w:r>
      <w:r w:rsidR="005D1974" w:rsidRPr="00012B1C">
        <w:rPr>
          <w:rFonts w:ascii="Verdana" w:hAnsi="Verdana"/>
          <w:color w:val="000000"/>
          <w:sz w:val="20"/>
          <w:szCs w:val="20"/>
          <w:lang w:val="en" w:eastAsia="ar-SA"/>
        </w:rPr>
        <w:t>European</w:t>
      </w:r>
      <w:r w:rsidRPr="00012B1C">
        <w:rPr>
          <w:rFonts w:ascii="Verdana" w:hAnsi="Verdana"/>
          <w:color w:val="000000"/>
          <w:sz w:val="20"/>
          <w:szCs w:val="20"/>
          <w:lang w:val="en" w:eastAsia="ar-SA"/>
        </w:rPr>
        <w:t xml:space="preserve"> Transport system. </w:t>
      </w:r>
      <w:r w:rsidR="005D1974" w:rsidRPr="00012B1C">
        <w:rPr>
          <w:rFonts w:ascii="Verdana" w:hAnsi="Verdana"/>
          <w:color w:val="000000"/>
          <w:sz w:val="20"/>
          <w:szCs w:val="20"/>
          <w:lang w:val="en" w:eastAsia="ar-SA"/>
        </w:rPr>
        <w:t xml:space="preserve">At the implementation stage of the programme, the principles of sustainable development were based on project requirements and were integrated in the project documentation – technical documentation, application forms, cost-benefit analyses, environmental impact assessments and compatibility assessments, etc. In the implementation phase, a GEMP has also been prepared, within which regular environmental monitoring reports are </w:t>
      </w:r>
      <w:r w:rsidR="00FD3FE9" w:rsidRPr="00012B1C">
        <w:rPr>
          <w:rFonts w:ascii="Verdana" w:hAnsi="Verdana"/>
          <w:color w:val="000000"/>
          <w:sz w:val="20"/>
          <w:szCs w:val="20"/>
          <w:lang w:val="en" w:eastAsia="ar-SA"/>
        </w:rPr>
        <w:t>submitted</w:t>
      </w:r>
      <w:r w:rsidR="00FD3FE9">
        <w:rPr>
          <w:rFonts w:ascii="Verdana" w:hAnsi="Verdana"/>
          <w:color w:val="000000"/>
          <w:sz w:val="20"/>
          <w:szCs w:val="20"/>
          <w:lang w:val="en" w:eastAsia="ar-SA"/>
        </w:rPr>
        <w:t>.</w:t>
      </w:r>
      <w:r w:rsidR="00FD3FE9" w:rsidRPr="005D1974">
        <w:rPr>
          <w:rFonts w:ascii="Verdana" w:hAnsi="Verdana"/>
          <w:color w:val="000000"/>
          <w:sz w:val="20"/>
          <w:szCs w:val="20"/>
          <w:lang w:val="en" w:eastAsia="ar-SA"/>
        </w:rPr>
        <w:t xml:space="preserve"> After</w:t>
      </w:r>
      <w:r w:rsidR="005D1974" w:rsidRPr="005D1974">
        <w:rPr>
          <w:rFonts w:ascii="Verdana" w:hAnsi="Verdana"/>
          <w:color w:val="000000"/>
          <w:sz w:val="20"/>
          <w:szCs w:val="20"/>
          <w:lang w:val="en" w:eastAsia="ar-SA"/>
        </w:rPr>
        <w:t xml:space="preserve"> projects implementation, sustainability is being monitored through final project and programme reports, the results achieved, including product and result indicators, preparation of ex-post cost-benefit analyses, sustainability reports within a 5-year period after the </w:t>
      </w:r>
      <w:r w:rsidR="00A47BC2" w:rsidRPr="005D1974">
        <w:rPr>
          <w:rFonts w:ascii="Verdana" w:hAnsi="Verdana"/>
          <w:color w:val="000000"/>
          <w:sz w:val="20"/>
          <w:szCs w:val="20"/>
          <w:lang w:val="en" w:eastAsia="ar-SA"/>
        </w:rPr>
        <w:t>project’s</w:t>
      </w:r>
      <w:r w:rsidR="005D1974" w:rsidRPr="005D1974">
        <w:rPr>
          <w:rFonts w:ascii="Verdana" w:hAnsi="Verdana"/>
          <w:color w:val="000000"/>
          <w:sz w:val="20"/>
          <w:szCs w:val="20"/>
          <w:lang w:val="en" w:eastAsia="ar-SA"/>
        </w:rPr>
        <w:t xml:space="preserve"> completion. </w:t>
      </w:r>
    </w:p>
    <w:p w14:paraId="761EE8B5" w14:textId="77777777" w:rsidR="00324242" w:rsidRPr="00F50700" w:rsidRDefault="00324242" w:rsidP="00726D9D">
      <w:pPr>
        <w:widowControl w:val="0"/>
        <w:jc w:val="both"/>
        <w:rPr>
          <w:rFonts w:ascii="Verdana" w:hAnsi="Verdana" w:cs="Tahoma"/>
          <w:sz w:val="20"/>
          <w:szCs w:val="20"/>
          <w:lang w:val="bg-BG"/>
        </w:rPr>
      </w:pPr>
    </w:p>
    <w:p w14:paraId="151EA35B" w14:textId="77777777" w:rsidR="00A47BC2" w:rsidRDefault="00A47BC2" w:rsidP="002025A2">
      <w:pPr>
        <w:contextualSpacing/>
        <w:jc w:val="both"/>
        <w:rPr>
          <w:rFonts w:ascii="Verdana" w:eastAsiaTheme="majorEastAsia" w:hAnsi="Verdana" w:cstheme="majorBidi"/>
          <w:b/>
          <w:bCs/>
          <w:smallCaps/>
          <w:color w:val="374C80" w:themeColor="accent1" w:themeShade="BF"/>
          <w:sz w:val="20"/>
          <w:szCs w:val="20"/>
          <w:shd w:val="clear" w:color="auto" w:fill="FFFFFF" w:themeFill="background1"/>
          <w:lang w:val="en"/>
        </w:rPr>
      </w:pPr>
      <w:bookmarkStart w:id="116" w:name="_Toc55559375"/>
      <w:bookmarkStart w:id="117" w:name="_Toc59445406"/>
      <w:bookmarkStart w:id="118" w:name="_Toc62476076"/>
    </w:p>
    <w:p w14:paraId="2E48A205" w14:textId="77777777" w:rsidR="00A47BC2" w:rsidRDefault="00A47BC2" w:rsidP="002025A2">
      <w:pPr>
        <w:contextualSpacing/>
        <w:jc w:val="both"/>
        <w:rPr>
          <w:rFonts w:ascii="Verdana" w:eastAsiaTheme="majorEastAsia" w:hAnsi="Verdana" w:cstheme="majorBidi"/>
          <w:b/>
          <w:bCs/>
          <w:smallCaps/>
          <w:color w:val="374C80" w:themeColor="accent1" w:themeShade="BF"/>
          <w:sz w:val="20"/>
          <w:szCs w:val="20"/>
          <w:shd w:val="clear" w:color="auto" w:fill="FFFFFF" w:themeFill="background1"/>
          <w:lang w:val="en"/>
        </w:rPr>
      </w:pPr>
    </w:p>
    <w:p w14:paraId="620BB9E8" w14:textId="536D970D" w:rsidR="002025A2" w:rsidRPr="002025A2" w:rsidRDefault="002025A2" w:rsidP="002025A2">
      <w:pPr>
        <w:contextualSpacing/>
        <w:jc w:val="both"/>
        <w:rPr>
          <w:rFonts w:ascii="Verdana" w:hAnsi="Verdana"/>
          <w:b/>
          <w:bCs/>
          <w:smallCaps/>
          <w:color w:val="374C80" w:themeColor="accent1" w:themeShade="BF"/>
          <w:sz w:val="20"/>
          <w:szCs w:val="20"/>
          <w:lang w:val="ru-RU"/>
        </w:rPr>
      </w:pPr>
      <w:r w:rsidRPr="002025A2">
        <w:rPr>
          <w:rFonts w:ascii="Verdana" w:eastAsiaTheme="majorEastAsia" w:hAnsi="Verdana" w:cstheme="majorBidi"/>
          <w:b/>
          <w:bCs/>
          <w:smallCaps/>
          <w:color w:val="374C80" w:themeColor="accent1" w:themeShade="BF"/>
          <w:sz w:val="20"/>
          <w:szCs w:val="20"/>
          <w:shd w:val="clear" w:color="auto" w:fill="FFFFFF" w:themeFill="background1"/>
          <w:lang w:val="en"/>
        </w:rPr>
        <w:t>Contribution to the achievement of European</w:t>
      </w:r>
      <w:bookmarkEnd w:id="116"/>
      <w:bookmarkEnd w:id="117"/>
      <w:bookmarkEnd w:id="118"/>
      <w:r w:rsidRPr="002025A2">
        <w:rPr>
          <w:rFonts w:ascii="Verdana" w:hAnsi="Verdana"/>
          <w:b/>
          <w:bCs/>
          <w:smallCaps/>
          <w:color w:val="374C80" w:themeColor="accent1" w:themeShade="BF"/>
          <w:sz w:val="20"/>
          <w:szCs w:val="20"/>
          <w:lang w:val="en"/>
        </w:rPr>
        <w:t xml:space="preserve"> transport policy objectives</w:t>
      </w:r>
    </w:p>
    <w:p w14:paraId="44AAD107" w14:textId="77777777" w:rsidR="00A47BC2" w:rsidRDefault="00A47BC2" w:rsidP="00017907">
      <w:pPr>
        <w:jc w:val="both"/>
        <w:rPr>
          <w:rFonts w:ascii="Verdana" w:hAnsi="Verdana"/>
          <w:sz w:val="20"/>
          <w:szCs w:val="20"/>
          <w:lang w:val="en"/>
        </w:rPr>
      </w:pPr>
    </w:p>
    <w:p w14:paraId="296B4222" w14:textId="17FD7E3E" w:rsidR="00017907" w:rsidRPr="00017907" w:rsidRDefault="00017907" w:rsidP="00017907">
      <w:pPr>
        <w:jc w:val="both"/>
        <w:rPr>
          <w:rFonts w:ascii="Verdana" w:hAnsi="Verdana"/>
          <w:sz w:val="20"/>
          <w:szCs w:val="20"/>
          <w:lang w:val="bg-BG"/>
        </w:rPr>
      </w:pPr>
      <w:r w:rsidRPr="00017907">
        <w:rPr>
          <w:rFonts w:ascii="Verdana" w:hAnsi="Verdana"/>
          <w:sz w:val="20"/>
          <w:szCs w:val="20"/>
          <w:lang w:val="en"/>
        </w:rPr>
        <w:t xml:space="preserve">OPT demonstrates a high degree of coherence with the strategic objectives and guidelines of transport policy at EU level, both at the initial programming stage and within programme modifications. The development </w:t>
      </w:r>
      <w:r w:rsidRPr="00017907">
        <w:rPr>
          <w:rFonts w:ascii="Verdana" w:hAnsi="Verdana"/>
          <w:sz w:val="20"/>
          <w:lang w:val="en"/>
        </w:rPr>
        <w:t xml:space="preserve">of </w:t>
      </w:r>
      <w:r w:rsidRPr="00017907">
        <w:rPr>
          <w:rFonts w:ascii="Verdana" w:hAnsi="Verdana"/>
          <w:sz w:val="20"/>
          <w:szCs w:val="20"/>
          <w:lang w:val="en"/>
        </w:rPr>
        <w:t>TEN-T</w:t>
      </w:r>
      <w:r w:rsidRPr="00017907">
        <w:rPr>
          <w:rFonts w:ascii="Verdana" w:hAnsi="Verdana"/>
          <w:sz w:val="20"/>
          <w:lang w:val="en"/>
        </w:rPr>
        <w:t xml:space="preserve"> network was a key precondition for selection of priority projects under OPT</w:t>
      </w:r>
      <w:r w:rsidRPr="00017907">
        <w:rPr>
          <w:rFonts w:ascii="Verdana" w:hAnsi="Verdana"/>
          <w:sz w:val="20"/>
          <w:szCs w:val="20"/>
          <w:lang w:val="en"/>
        </w:rPr>
        <w:t>.</w:t>
      </w:r>
      <w:r w:rsidRPr="00017907">
        <w:rPr>
          <w:rFonts w:ascii="Verdana" w:hAnsi="Verdana"/>
          <w:sz w:val="20"/>
          <w:lang w:val="en"/>
        </w:rPr>
        <w:t xml:space="preserve">  </w:t>
      </w:r>
      <w:r w:rsidRPr="00017907">
        <w:rPr>
          <w:rFonts w:ascii="Verdana" w:hAnsi="Verdana"/>
          <w:sz w:val="20"/>
          <w:szCs w:val="20"/>
          <w:lang w:val="en"/>
        </w:rPr>
        <w:t xml:space="preserve">The orientation of PA 1 </w:t>
      </w:r>
      <w:r w:rsidR="00A47BC2">
        <w:rPr>
          <w:rFonts w:ascii="Verdana" w:hAnsi="Verdana"/>
          <w:sz w:val="20"/>
          <w:szCs w:val="20"/>
          <w:lang w:val="en"/>
        </w:rPr>
        <w:t>a</w:t>
      </w:r>
      <w:r w:rsidRPr="00017907">
        <w:rPr>
          <w:rFonts w:ascii="Verdana" w:hAnsi="Verdana"/>
          <w:sz w:val="20"/>
          <w:szCs w:val="20"/>
          <w:lang w:val="en"/>
        </w:rPr>
        <w:t>nd 2 towards rail and road infrastructure along the Trans-European and main national transport axes ensures</w:t>
      </w:r>
      <w:r w:rsidRPr="00017907">
        <w:rPr>
          <w:rFonts w:ascii="Verdana" w:hAnsi="Verdana"/>
          <w:sz w:val="20"/>
          <w:lang w:val="en"/>
        </w:rPr>
        <w:t xml:space="preserve"> a significant</w:t>
      </w:r>
      <w:r w:rsidRPr="00017907">
        <w:rPr>
          <w:rFonts w:ascii="Verdana" w:hAnsi="Verdana"/>
          <w:sz w:val="20"/>
          <w:szCs w:val="20"/>
          <w:lang w:val="en"/>
        </w:rPr>
        <w:t xml:space="preserve"> contribution</w:t>
      </w:r>
      <w:r w:rsidRPr="00017907">
        <w:rPr>
          <w:rFonts w:ascii="Verdana" w:hAnsi="Verdana"/>
          <w:sz w:val="20"/>
          <w:lang w:val="en"/>
        </w:rPr>
        <w:t xml:space="preserve"> </w:t>
      </w:r>
      <w:r w:rsidRPr="00017907">
        <w:rPr>
          <w:rFonts w:ascii="Verdana" w:hAnsi="Verdana"/>
          <w:sz w:val="20"/>
          <w:szCs w:val="20"/>
          <w:lang w:val="en"/>
        </w:rPr>
        <w:t>to EU transport policy.</w:t>
      </w:r>
    </w:p>
    <w:p w14:paraId="12D4E0F4" w14:textId="77777777" w:rsidR="00017907" w:rsidRPr="00017907" w:rsidRDefault="00017907" w:rsidP="00017907">
      <w:pPr>
        <w:jc w:val="both"/>
        <w:rPr>
          <w:rFonts w:ascii="Verdana" w:hAnsi="Verdana"/>
          <w:sz w:val="20"/>
          <w:szCs w:val="20"/>
          <w:lang w:val="bg-BG"/>
        </w:rPr>
      </w:pPr>
      <w:r w:rsidRPr="00017907">
        <w:rPr>
          <w:rFonts w:ascii="Verdana" w:hAnsi="Verdana"/>
          <w:sz w:val="20"/>
          <w:szCs w:val="20"/>
          <w:lang w:val="en"/>
        </w:rPr>
        <w:t xml:space="preserve">The environmental impact assessment was carried out at programme and project level, by complying with the requirements of environmental legislation to carry out environmental </w:t>
      </w:r>
      <w:r w:rsidRPr="00017907">
        <w:rPr>
          <w:rFonts w:ascii="Verdana" w:hAnsi="Verdana"/>
          <w:sz w:val="20"/>
          <w:lang w:val="en"/>
        </w:rPr>
        <w:t xml:space="preserve">and </w:t>
      </w:r>
      <w:r w:rsidRPr="00017907">
        <w:rPr>
          <w:rFonts w:ascii="Verdana" w:hAnsi="Verdana"/>
          <w:sz w:val="20"/>
          <w:szCs w:val="20"/>
          <w:lang w:val="en"/>
        </w:rPr>
        <w:t>compatibility assessments under the EPA and BPA.</w:t>
      </w:r>
    </w:p>
    <w:p w14:paraId="61AF20BF" w14:textId="7CC24A8C" w:rsidR="00017907" w:rsidRPr="00017907" w:rsidRDefault="00017907" w:rsidP="00017907">
      <w:pPr>
        <w:jc w:val="both"/>
        <w:rPr>
          <w:rFonts w:ascii="Verdana" w:hAnsi="Verdana"/>
          <w:sz w:val="20"/>
          <w:szCs w:val="20"/>
          <w:lang w:val="bg-BG"/>
        </w:rPr>
      </w:pPr>
      <w:r w:rsidRPr="00017907">
        <w:rPr>
          <w:rFonts w:ascii="Verdana" w:hAnsi="Verdana"/>
          <w:sz w:val="20"/>
          <w:szCs w:val="20"/>
          <w:lang w:val="en"/>
        </w:rPr>
        <w:lastRenderedPageBreak/>
        <w:t>Some target parameters of the European transport system have been embedded in the economic and environmental impacts studied and valued under the CBA of major projects. The implementation of railway and urban transport projects has contributed to diversion of road traffic, reduced number of private vehicles and the reduced carbon monoxide emissions. The projects implemented in the railway sector under PA 1 achieved a direct contribution to the objective for diverting goods from road transport, which was also examined in the demand forecasts within CBA.</w:t>
      </w:r>
      <w:r w:rsidR="00A47BC2">
        <w:rPr>
          <w:rFonts w:ascii="Verdana" w:hAnsi="Verdana"/>
          <w:sz w:val="20"/>
          <w:szCs w:val="20"/>
          <w:lang w:val="en-US"/>
        </w:rPr>
        <w:t xml:space="preserve"> </w:t>
      </w:r>
      <w:r w:rsidRPr="00017907">
        <w:rPr>
          <w:rFonts w:ascii="Verdana" w:hAnsi="Verdana"/>
          <w:sz w:val="20"/>
          <w:szCs w:val="20"/>
          <w:lang w:val="en"/>
        </w:rPr>
        <w:t xml:space="preserve">The contribution of OPT projects to environmental protection was justified by the environmental benefits generated by the projects. Application forms </w:t>
      </w:r>
      <w:r w:rsidR="00A47BC2" w:rsidRPr="00017907">
        <w:rPr>
          <w:rFonts w:ascii="Verdana" w:hAnsi="Verdana"/>
          <w:sz w:val="20"/>
          <w:szCs w:val="20"/>
          <w:lang w:val="en"/>
        </w:rPr>
        <w:t>contain</w:t>
      </w:r>
      <w:r w:rsidRPr="00017907">
        <w:rPr>
          <w:rFonts w:ascii="Verdana" w:hAnsi="Verdana"/>
          <w:sz w:val="20"/>
          <w:szCs w:val="20"/>
          <w:lang w:val="en"/>
        </w:rPr>
        <w:t xml:space="preserve"> a section on environmental impact analysis, including information on the projects’ contribution to sustainable development, including the climate change measures, protection of biodiversity, compliance with the principles of preventive and corrective impact, with priority at the source of harmful environmental impacts, and compliance with the polluter pays principle.</w:t>
      </w:r>
    </w:p>
    <w:p w14:paraId="2201068F" w14:textId="32C8EFA3" w:rsidR="00793FB0" w:rsidRPr="00DF2B77" w:rsidRDefault="00793FB0" w:rsidP="00793FB0">
      <w:pPr>
        <w:spacing w:before="120" w:after="0" w:line="240" w:lineRule="auto"/>
        <w:jc w:val="both"/>
        <w:rPr>
          <w:rFonts w:ascii="Verdana" w:hAnsi="Verdana"/>
          <w:sz w:val="20"/>
          <w:szCs w:val="20"/>
          <w:lang w:val="bg-BG"/>
        </w:rPr>
      </w:pPr>
    </w:p>
    <w:p w14:paraId="14E4BF03" w14:textId="2965E8D9" w:rsidR="00F02C42" w:rsidRPr="00F02C42" w:rsidRDefault="00F02C42" w:rsidP="00F02C42">
      <w:pPr>
        <w:jc w:val="both"/>
        <w:rPr>
          <w:rFonts w:ascii="Verdana" w:hAnsi="Verdana"/>
          <w:sz w:val="20"/>
          <w:szCs w:val="20"/>
          <w:lang w:val="bg-BG"/>
        </w:rPr>
      </w:pPr>
      <w:r w:rsidRPr="00F02C42">
        <w:rPr>
          <w:rFonts w:ascii="Verdana" w:hAnsi="Verdana"/>
          <w:sz w:val="20"/>
          <w:szCs w:val="20"/>
          <w:lang w:val="en"/>
        </w:rPr>
        <w:t xml:space="preserve">The OPT contribution to sustainable development has been analyzed in quality and </w:t>
      </w:r>
      <w:r w:rsidR="00DF2B77" w:rsidRPr="00DF2B77">
        <w:rPr>
          <w:rFonts w:ascii="Verdana" w:hAnsi="Verdana"/>
          <w:sz w:val="20"/>
          <w:szCs w:val="20"/>
          <w:lang w:val="en"/>
        </w:rPr>
        <w:t>quantity</w:t>
      </w:r>
      <w:r w:rsidRPr="00F02C42">
        <w:rPr>
          <w:rFonts w:ascii="Verdana" w:hAnsi="Verdana"/>
          <w:sz w:val="20"/>
          <w:szCs w:val="20"/>
          <w:lang w:val="en"/>
        </w:rPr>
        <w:t xml:space="preserve"> terms at different levels:</w:t>
      </w:r>
    </w:p>
    <w:p w14:paraId="2680A3F1" w14:textId="77777777" w:rsidR="00F02C42" w:rsidRPr="00F02C42" w:rsidRDefault="00F02C42" w:rsidP="00F02C42">
      <w:pPr>
        <w:numPr>
          <w:ilvl w:val="0"/>
          <w:numId w:val="28"/>
        </w:numPr>
        <w:spacing w:before="120" w:after="0" w:line="240" w:lineRule="auto"/>
        <w:contextualSpacing/>
        <w:jc w:val="both"/>
        <w:rPr>
          <w:rFonts w:ascii="Verdana" w:hAnsi="Verdana" w:cs="Tahoma"/>
          <w:sz w:val="20"/>
          <w:szCs w:val="20"/>
          <w:lang w:val="bg-BG"/>
        </w:rPr>
      </w:pPr>
      <w:r w:rsidRPr="00F02C42">
        <w:rPr>
          <w:rFonts w:ascii="Verdana" w:hAnsi="Verdana"/>
          <w:sz w:val="20"/>
          <w:szCs w:val="20"/>
          <w:lang w:val="en"/>
        </w:rPr>
        <w:t>At programme level, through OPT environmental impact assessment and the monitoring of environmental impacts in the course of the implementation of the programme, under the General Environment Monitoring Plan (GEMP);</w:t>
      </w:r>
    </w:p>
    <w:p w14:paraId="301E23D4" w14:textId="77777777" w:rsidR="00F02C42" w:rsidRPr="00F02C42" w:rsidRDefault="00F02C42" w:rsidP="00F02C42">
      <w:pPr>
        <w:numPr>
          <w:ilvl w:val="0"/>
          <w:numId w:val="28"/>
        </w:numPr>
        <w:spacing w:before="120" w:after="0" w:line="240" w:lineRule="auto"/>
        <w:jc w:val="both"/>
        <w:rPr>
          <w:rFonts w:ascii="Verdana" w:hAnsi="Verdana"/>
          <w:sz w:val="20"/>
          <w:szCs w:val="20"/>
          <w:lang w:val="bg-BG"/>
        </w:rPr>
      </w:pPr>
      <w:r w:rsidRPr="00F02C42">
        <w:rPr>
          <w:rFonts w:ascii="Verdana" w:hAnsi="Verdana"/>
          <w:sz w:val="20"/>
          <w:szCs w:val="20"/>
          <w:lang w:val="en"/>
        </w:rPr>
        <w:t>At project level, by applying environmental procedures under EPA and BPA, by examining the economic and environmental impacts of major projects under PA 1, 2 and 3, as</w:t>
      </w:r>
      <w:r w:rsidRPr="00F02C42">
        <w:rPr>
          <w:rFonts w:ascii="Verdana" w:hAnsi="Verdana"/>
          <w:sz w:val="20"/>
          <w:lang w:val="en"/>
        </w:rPr>
        <w:t xml:space="preserve"> well as contribution of OPT projects to sustainable development and horizontal EU policies. The achievements were reported in the project final reports and sustainability reports due five years after projects’ completion. </w:t>
      </w:r>
    </w:p>
    <w:p w14:paraId="0F51363D" w14:textId="77777777" w:rsidR="00F02C42" w:rsidRPr="00F02C42" w:rsidRDefault="00F02C42" w:rsidP="00F02C42">
      <w:pPr>
        <w:spacing w:before="120" w:after="0" w:line="240" w:lineRule="auto"/>
        <w:contextualSpacing/>
        <w:jc w:val="both"/>
        <w:rPr>
          <w:rFonts w:ascii="Verdana" w:hAnsi="Verdana"/>
          <w:sz w:val="20"/>
          <w:szCs w:val="20"/>
          <w:lang w:val="bg-BG"/>
        </w:rPr>
      </w:pPr>
    </w:p>
    <w:p w14:paraId="399A7ACF" w14:textId="77777777" w:rsidR="00F02C42" w:rsidRPr="00F02C42" w:rsidRDefault="00F02C42" w:rsidP="0058052D">
      <w:pPr>
        <w:contextualSpacing/>
        <w:jc w:val="both"/>
        <w:rPr>
          <w:rFonts w:ascii="Verdana" w:eastAsiaTheme="majorEastAsia" w:hAnsi="Verdana" w:cstheme="majorBidi"/>
          <w:b/>
          <w:bCs/>
          <w:smallCaps/>
          <w:color w:val="374C80" w:themeColor="accent1" w:themeShade="BF"/>
          <w:sz w:val="20"/>
          <w:szCs w:val="20"/>
          <w:shd w:val="clear" w:color="auto" w:fill="FFFFFF" w:themeFill="background1"/>
          <w:lang w:val="en"/>
        </w:rPr>
      </w:pPr>
      <w:r w:rsidRPr="00F02C42">
        <w:rPr>
          <w:rFonts w:ascii="Verdana" w:eastAsiaTheme="majorEastAsia" w:hAnsi="Verdana" w:cstheme="majorBidi"/>
          <w:b/>
          <w:bCs/>
          <w:smallCaps/>
          <w:color w:val="374C80" w:themeColor="accent1" w:themeShade="BF"/>
          <w:sz w:val="20"/>
          <w:szCs w:val="20"/>
          <w:shd w:val="clear" w:color="auto" w:fill="FFFFFF" w:themeFill="background1"/>
          <w:lang w:val="en"/>
        </w:rPr>
        <w:t>Contribution to the achievement of the objectives of the national sustainable development goals</w:t>
      </w:r>
    </w:p>
    <w:p w14:paraId="59069929" w14:textId="77777777" w:rsidR="0058052D" w:rsidRDefault="0058052D" w:rsidP="00F02C42">
      <w:pPr>
        <w:jc w:val="both"/>
        <w:rPr>
          <w:rFonts w:ascii="Verdana" w:hAnsi="Verdana"/>
          <w:color w:val="000000" w:themeColor="text1"/>
          <w:sz w:val="20"/>
          <w:szCs w:val="20"/>
          <w:highlight w:val="yellow"/>
          <w:lang w:val="en"/>
        </w:rPr>
      </w:pPr>
    </w:p>
    <w:p w14:paraId="4D55805F" w14:textId="77777777" w:rsidR="00435AC1" w:rsidRPr="00435AC1" w:rsidRDefault="00F02C42" w:rsidP="00F02C42">
      <w:pPr>
        <w:jc w:val="both"/>
        <w:rPr>
          <w:rFonts w:ascii="Verdana" w:hAnsi="Verdana"/>
          <w:sz w:val="20"/>
          <w:lang w:val="en"/>
        </w:rPr>
      </w:pPr>
      <w:r w:rsidRPr="00F02C42">
        <w:rPr>
          <w:rFonts w:ascii="Verdana" w:hAnsi="Verdana"/>
          <w:color w:val="000000" w:themeColor="text1"/>
          <w:sz w:val="20"/>
          <w:szCs w:val="20"/>
          <w:lang w:val="en"/>
        </w:rPr>
        <w:t>The OPT contribution was guaranteed by the methodology for prioritization of projects in Annex No5 of the programme, which contains criteria for Ten-T network connectivity, cross-border</w:t>
      </w:r>
      <w:r w:rsidRPr="00F02C42">
        <w:rPr>
          <w:rFonts w:ascii="Verdana" w:hAnsi="Verdana"/>
          <w:sz w:val="20"/>
          <w:lang w:val="en"/>
        </w:rPr>
        <w:t xml:space="preserve"> connections, economic and environmental</w:t>
      </w:r>
      <w:r w:rsidRPr="00F02C42">
        <w:rPr>
          <w:rFonts w:ascii="Verdana" w:hAnsi="Verdana"/>
          <w:color w:val="000000" w:themeColor="text1"/>
          <w:sz w:val="20"/>
          <w:szCs w:val="20"/>
          <w:lang w:val="en"/>
        </w:rPr>
        <w:t xml:space="preserve"> criteria. </w:t>
      </w:r>
      <w:r w:rsidRPr="00F02C42">
        <w:rPr>
          <w:rFonts w:ascii="Verdana" w:hAnsi="Verdana"/>
          <w:sz w:val="20"/>
          <w:lang w:val="en"/>
        </w:rPr>
        <w:t xml:space="preserve"> The programme has a direct and main contribution to the completion of the national road network and motorways, for beneficiary’s NRIC, Metropolitan JSC and RIA, OPT is the major source of financing of their investment activity for the programming period 2007-2013. </w:t>
      </w:r>
      <w:r w:rsidR="00406F53" w:rsidRPr="00435AC1">
        <w:rPr>
          <w:rFonts w:ascii="Verdana" w:hAnsi="Verdana"/>
          <w:sz w:val="20"/>
          <w:lang w:val="en"/>
        </w:rPr>
        <w:t>The completed i</w:t>
      </w:r>
      <w:r w:rsidR="00B47E6F" w:rsidRPr="00435AC1">
        <w:rPr>
          <w:rFonts w:ascii="Verdana" w:hAnsi="Verdana"/>
          <w:sz w:val="20"/>
          <w:lang w:val="en"/>
        </w:rPr>
        <w:t>nvestment projects have generated benefits like time savings, reduction of accidents,</w:t>
      </w:r>
      <w:r w:rsidR="00435AC1" w:rsidRPr="00435AC1">
        <w:rPr>
          <w:rFonts w:ascii="Verdana" w:hAnsi="Verdana"/>
          <w:sz w:val="20"/>
          <w:lang w:val="en"/>
        </w:rPr>
        <w:t xml:space="preserve"> reduction of carbon emissions, noise and pollution, reduction in traffic jams and diversion of traffic to more ecologically friendly transport modes.</w:t>
      </w:r>
    </w:p>
    <w:p w14:paraId="6D88DFCB" w14:textId="7DCE4232" w:rsidR="00435AC1" w:rsidRPr="004829AD" w:rsidRDefault="00F02C42" w:rsidP="00F02C42">
      <w:pPr>
        <w:jc w:val="both"/>
        <w:rPr>
          <w:rFonts w:ascii="Verdana" w:hAnsi="Verdana"/>
          <w:sz w:val="20"/>
          <w:szCs w:val="20"/>
          <w:lang w:val="en"/>
        </w:rPr>
      </w:pPr>
      <w:r w:rsidRPr="00F02C42">
        <w:rPr>
          <w:rFonts w:ascii="Verdana" w:hAnsi="Verdana"/>
          <w:sz w:val="20"/>
          <w:szCs w:val="20"/>
          <w:lang w:val="en"/>
        </w:rPr>
        <w:t xml:space="preserve">The contribution of OPT </w:t>
      </w:r>
      <w:r w:rsidRPr="00F02C42">
        <w:rPr>
          <w:rFonts w:ascii="Verdana" w:hAnsi="Verdana"/>
          <w:sz w:val="20"/>
          <w:lang w:val="en"/>
        </w:rPr>
        <w:t xml:space="preserve">to </w:t>
      </w:r>
      <w:r w:rsidRPr="00F02C42">
        <w:rPr>
          <w:rFonts w:ascii="Verdana" w:hAnsi="Verdana"/>
          <w:sz w:val="20"/>
          <w:szCs w:val="20"/>
          <w:lang w:val="en"/>
        </w:rPr>
        <w:t xml:space="preserve">the construction of </w:t>
      </w:r>
      <w:r w:rsidRPr="00A47BC2">
        <w:rPr>
          <w:rFonts w:ascii="Verdana" w:hAnsi="Verdana"/>
          <w:b/>
          <w:bCs/>
          <w:sz w:val="20"/>
          <w:szCs w:val="20"/>
          <w:lang w:val="en"/>
        </w:rPr>
        <w:t>railway infrastructure</w:t>
      </w:r>
      <w:r w:rsidRPr="00F02C42">
        <w:rPr>
          <w:rFonts w:ascii="Verdana" w:hAnsi="Verdana"/>
          <w:sz w:val="20"/>
          <w:szCs w:val="20"/>
          <w:lang w:val="en"/>
        </w:rPr>
        <w:t xml:space="preserve">, as measured by the indicator "reconstructed/rehabilitated </w:t>
      </w:r>
      <w:r w:rsidR="00A47BC2" w:rsidRPr="00F02C42">
        <w:rPr>
          <w:rFonts w:ascii="Verdana" w:hAnsi="Verdana"/>
          <w:sz w:val="20"/>
          <w:szCs w:val="20"/>
          <w:lang w:val="en"/>
        </w:rPr>
        <w:t>railway lines</w:t>
      </w:r>
      <w:r w:rsidRPr="00F02C42">
        <w:rPr>
          <w:rFonts w:ascii="Verdana" w:hAnsi="Verdana"/>
          <w:sz w:val="20"/>
          <w:szCs w:val="20"/>
          <w:lang w:val="en"/>
        </w:rPr>
        <w:t xml:space="preserve"> /km/ is 345 km as of 2015, </w:t>
      </w:r>
      <w:r w:rsidRPr="00F02C42">
        <w:rPr>
          <w:rFonts w:ascii="Verdana" w:hAnsi="Verdana"/>
          <w:sz w:val="20"/>
          <w:lang w:val="en"/>
        </w:rPr>
        <w:t xml:space="preserve">which accounts for about 6% of the total length of the railway network in the country and 15% of the length of the </w:t>
      </w:r>
      <w:r w:rsidRPr="00F02C42">
        <w:rPr>
          <w:rFonts w:ascii="Verdana" w:hAnsi="Verdana"/>
          <w:sz w:val="20"/>
          <w:szCs w:val="20"/>
          <w:lang w:val="en"/>
        </w:rPr>
        <w:t xml:space="preserve">main TEN-T network. </w:t>
      </w:r>
      <w:r w:rsidR="00435AC1" w:rsidRPr="004829AD">
        <w:rPr>
          <w:rFonts w:ascii="Verdana" w:hAnsi="Verdana"/>
          <w:sz w:val="20"/>
          <w:szCs w:val="20"/>
          <w:lang w:val="en"/>
        </w:rPr>
        <w:t>Fir the period 2007-2015, OPT has been main financial source for implementation of NRIC investment programme.</w:t>
      </w:r>
    </w:p>
    <w:p w14:paraId="57A56D3B" w14:textId="77777777" w:rsidR="00F02C42" w:rsidRPr="00F02C42" w:rsidRDefault="00F02C42" w:rsidP="00F02C42">
      <w:pPr>
        <w:jc w:val="both"/>
        <w:rPr>
          <w:rFonts w:ascii="Verdana" w:hAnsi="Verdana" w:cs="TimesNewRomanPS-BoldMT"/>
          <w:sz w:val="20"/>
          <w:szCs w:val="20"/>
          <w:lang w:val="bg-BG"/>
        </w:rPr>
      </w:pPr>
      <w:r w:rsidRPr="00F02C42">
        <w:rPr>
          <w:rFonts w:ascii="Verdana" w:hAnsi="Verdana"/>
          <w:sz w:val="20"/>
          <w:szCs w:val="20"/>
          <w:lang w:val="en"/>
        </w:rPr>
        <w:t xml:space="preserve">The priority </w:t>
      </w:r>
      <w:r w:rsidRPr="001C40A0">
        <w:rPr>
          <w:rFonts w:ascii="Verdana" w:hAnsi="Verdana"/>
          <w:b/>
          <w:bCs/>
          <w:sz w:val="20"/>
          <w:szCs w:val="20"/>
          <w:lang w:val="en"/>
        </w:rPr>
        <w:t>road projects</w:t>
      </w:r>
      <w:r w:rsidRPr="00F02C42">
        <w:rPr>
          <w:rFonts w:ascii="Verdana" w:hAnsi="Verdana"/>
          <w:sz w:val="20"/>
          <w:szCs w:val="20"/>
          <w:lang w:val="en"/>
        </w:rPr>
        <w:t xml:space="preserve"> planned under the National Transport Strategy </w:t>
      </w:r>
      <w:r w:rsidRPr="00F02C42">
        <w:rPr>
          <w:rFonts w:ascii="Verdana" w:hAnsi="Verdana"/>
          <w:sz w:val="20"/>
          <w:lang w:val="en"/>
        </w:rPr>
        <w:t xml:space="preserve">with funding OPT were 10 projects, 5 of which were implemented under the program. Additionally, included road projects for </w:t>
      </w:r>
      <w:proofErr w:type="spellStart"/>
      <w:r w:rsidRPr="00F02C42">
        <w:rPr>
          <w:rFonts w:ascii="Verdana" w:hAnsi="Verdana"/>
          <w:sz w:val="20"/>
          <w:lang w:val="en"/>
        </w:rPr>
        <w:t>Trakia</w:t>
      </w:r>
      <w:proofErr w:type="spellEnd"/>
      <w:r w:rsidRPr="00F02C42">
        <w:rPr>
          <w:rFonts w:ascii="Verdana" w:hAnsi="Verdana"/>
          <w:sz w:val="20"/>
          <w:lang w:val="en"/>
        </w:rPr>
        <w:t xml:space="preserve"> and Struma motorways and Sofia – </w:t>
      </w:r>
      <w:proofErr w:type="spellStart"/>
      <w:r w:rsidRPr="00F02C42">
        <w:rPr>
          <w:rFonts w:ascii="Verdana" w:hAnsi="Verdana"/>
          <w:sz w:val="20"/>
          <w:lang w:val="en"/>
        </w:rPr>
        <w:t>Kalotina</w:t>
      </w:r>
      <w:proofErr w:type="spellEnd"/>
      <w:r w:rsidRPr="00F02C42">
        <w:rPr>
          <w:rFonts w:ascii="Verdana" w:hAnsi="Verdana"/>
          <w:sz w:val="20"/>
          <w:lang w:val="en"/>
        </w:rPr>
        <w:t xml:space="preserve"> SRR were also implemented. OPT is a major source of financing of the investment projects of RIA for the construction and rehabilitation of motorways and first-class roads during the</w:t>
      </w:r>
      <w:r w:rsidRPr="00F02C42">
        <w:rPr>
          <w:rFonts w:ascii="Verdana" w:hAnsi="Verdana"/>
          <w:sz w:val="20"/>
          <w:szCs w:val="20"/>
          <w:lang w:val="en"/>
        </w:rPr>
        <w:t xml:space="preserve"> programming period 2007-2013. Under OPT altogether 310 km new roads were build including first-class roads and motorways, accounting for 77% of the total volume of new </w:t>
      </w:r>
      <w:r w:rsidRPr="00F02C42">
        <w:rPr>
          <w:rFonts w:ascii="Verdana" w:hAnsi="Verdana"/>
          <w:sz w:val="20"/>
          <w:szCs w:val="20"/>
          <w:lang w:val="en"/>
        </w:rPr>
        <w:lastRenderedPageBreak/>
        <w:t>roads built in this class for the period 2005-2015 and 54% of the total</w:t>
      </w:r>
      <w:r w:rsidRPr="00F02C42">
        <w:rPr>
          <w:rFonts w:ascii="Verdana" w:hAnsi="Verdana"/>
          <w:sz w:val="20"/>
          <w:lang w:val="en"/>
        </w:rPr>
        <w:t xml:space="preserve"> length of newly built roads.</w:t>
      </w:r>
    </w:p>
    <w:p w14:paraId="005C603B" w14:textId="77777777" w:rsidR="00F02C42" w:rsidRPr="00F02C42" w:rsidRDefault="00F02C42" w:rsidP="00F02C42">
      <w:pPr>
        <w:jc w:val="both"/>
        <w:rPr>
          <w:rFonts w:ascii="Verdana" w:hAnsi="Verdana"/>
          <w:sz w:val="20"/>
          <w:szCs w:val="20"/>
          <w:lang w:val="bg-BG"/>
        </w:rPr>
      </w:pPr>
      <w:r w:rsidRPr="00F02C42">
        <w:rPr>
          <w:rFonts w:ascii="Verdana" w:hAnsi="Verdana"/>
          <w:sz w:val="20"/>
          <w:szCs w:val="20"/>
          <w:lang w:val="en"/>
        </w:rPr>
        <w:t xml:space="preserve">In terms of </w:t>
      </w:r>
      <w:r w:rsidRPr="001C40A0">
        <w:rPr>
          <w:rFonts w:ascii="Verdana" w:hAnsi="Verdana"/>
          <w:b/>
          <w:bCs/>
          <w:sz w:val="20"/>
          <w:szCs w:val="20"/>
          <w:lang w:val="en"/>
        </w:rPr>
        <w:t xml:space="preserve">urban </w:t>
      </w:r>
      <w:r w:rsidRPr="00F02C42">
        <w:rPr>
          <w:rFonts w:ascii="Verdana" w:hAnsi="Verdana"/>
          <w:b/>
          <w:bCs/>
          <w:sz w:val="20"/>
          <w:szCs w:val="20"/>
          <w:lang w:val="en"/>
        </w:rPr>
        <w:t>transport development, a</w:t>
      </w:r>
      <w:r w:rsidRPr="00F02C42">
        <w:rPr>
          <w:rFonts w:ascii="Verdana" w:hAnsi="Verdana"/>
          <w:sz w:val="20"/>
          <w:lang w:val="en"/>
        </w:rPr>
        <w:t xml:space="preserve"> </w:t>
      </w:r>
      <w:r w:rsidRPr="00F02C42">
        <w:rPr>
          <w:rFonts w:ascii="Verdana" w:hAnsi="Verdana"/>
          <w:sz w:val="20"/>
          <w:szCs w:val="20"/>
          <w:lang w:val="en"/>
        </w:rPr>
        <w:t>significantly greater contribution has been made than planned.</w:t>
      </w:r>
      <w:r w:rsidRPr="00F02C42">
        <w:rPr>
          <w:rFonts w:ascii="Verdana" w:hAnsi="Verdana"/>
          <w:sz w:val="20"/>
          <w:lang w:val="en"/>
        </w:rPr>
        <w:t xml:space="preserve"> One project for funding under the OPT for extension of the Sofia metro was initially planned and in the course of programme implementation 3 additional projects for metro extension were implemented, one of which was originally envisaged for implementation </w:t>
      </w:r>
      <w:r w:rsidRPr="00F02C42">
        <w:rPr>
          <w:rFonts w:ascii="Verdana" w:hAnsi="Verdana"/>
          <w:sz w:val="20"/>
          <w:szCs w:val="20"/>
          <w:lang w:val="en"/>
        </w:rPr>
        <w:t>under OPTTI.</w:t>
      </w:r>
    </w:p>
    <w:p w14:paraId="4DD407AE" w14:textId="08A3DF04" w:rsidR="00466677" w:rsidRPr="00466677" w:rsidRDefault="00466677" w:rsidP="00466677">
      <w:pPr>
        <w:spacing w:before="120" w:after="120" w:line="240" w:lineRule="auto"/>
        <w:jc w:val="both"/>
        <w:rPr>
          <w:rFonts w:ascii="Verdana" w:hAnsi="Verdana" w:cs="Tahoma"/>
          <w:sz w:val="20"/>
          <w:szCs w:val="20"/>
        </w:rPr>
      </w:pPr>
      <w:r w:rsidRPr="00466677">
        <w:rPr>
          <w:rFonts w:ascii="Verdana" w:hAnsi="Verdana"/>
          <w:sz w:val="20"/>
          <w:szCs w:val="20"/>
          <w:lang w:val="en"/>
        </w:rPr>
        <w:t xml:space="preserve">Within the framework of the cost-benefit analyses for major projects under PA 1, 2 and 3, an economic analysis was carried out, which includes the evaluation of the economic impact of projects, according to the EC Guidance to cost benefit </w:t>
      </w:r>
      <w:r w:rsidR="00340331" w:rsidRPr="00340331">
        <w:rPr>
          <w:rFonts w:ascii="Verdana" w:hAnsi="Verdana"/>
          <w:sz w:val="20"/>
          <w:szCs w:val="20"/>
          <w:lang w:val="en"/>
        </w:rPr>
        <w:t>analysis</w:t>
      </w:r>
      <w:r w:rsidRPr="00466677">
        <w:rPr>
          <w:rFonts w:ascii="Verdana" w:hAnsi="Verdana"/>
          <w:sz w:val="20"/>
          <w:szCs w:val="20"/>
          <w:lang w:val="en"/>
        </w:rPr>
        <w:t xml:space="preserve"> of investment projects. National CBA guidelines were used to </w:t>
      </w:r>
      <w:r w:rsidR="00340331" w:rsidRPr="00340331">
        <w:rPr>
          <w:rFonts w:ascii="Verdana" w:hAnsi="Verdana"/>
          <w:sz w:val="20"/>
          <w:szCs w:val="20"/>
          <w:lang w:val="en"/>
        </w:rPr>
        <w:t>appraise</w:t>
      </w:r>
      <w:r w:rsidRPr="00466677">
        <w:rPr>
          <w:rFonts w:ascii="Verdana" w:hAnsi="Verdana"/>
          <w:sz w:val="20"/>
          <w:szCs w:val="20"/>
          <w:lang w:val="en"/>
        </w:rPr>
        <w:t xml:space="preserve"> the benefits in the CBA, as well as other </w:t>
      </w:r>
      <w:r w:rsidR="00C41F05" w:rsidRPr="00340331">
        <w:rPr>
          <w:rFonts w:ascii="Verdana" w:hAnsi="Verdana"/>
          <w:sz w:val="20"/>
          <w:szCs w:val="20"/>
          <w:lang w:val="en"/>
        </w:rPr>
        <w:t>applicable</w:t>
      </w:r>
      <w:r w:rsidRPr="00466677">
        <w:rPr>
          <w:rFonts w:ascii="Verdana" w:hAnsi="Verdana"/>
          <w:sz w:val="20"/>
          <w:szCs w:val="20"/>
          <w:lang w:val="en"/>
        </w:rPr>
        <w:t xml:space="preserve"> methodologies. </w:t>
      </w:r>
      <w:r w:rsidRPr="00466677">
        <w:rPr>
          <w:rFonts w:ascii="Verdana" w:hAnsi="Verdana"/>
          <w:sz w:val="20"/>
          <w:szCs w:val="20"/>
          <w:vertAlign w:val="superscript"/>
          <w:lang w:val="en"/>
        </w:rPr>
        <w:footnoteReference w:id="23"/>
      </w:r>
      <w:r w:rsidR="00340331">
        <w:rPr>
          <w:rFonts w:ascii="Verdana" w:hAnsi="Verdana"/>
          <w:sz w:val="20"/>
          <w:szCs w:val="20"/>
          <w:lang w:val="en"/>
        </w:rPr>
        <w:t xml:space="preserve">  </w:t>
      </w:r>
      <w:r w:rsidRPr="00466677">
        <w:rPr>
          <w:rFonts w:ascii="Verdana" w:hAnsi="Verdana"/>
          <w:sz w:val="20"/>
          <w:szCs w:val="20"/>
          <w:lang w:val="en"/>
        </w:rPr>
        <w:t>The economic analysis aims to assess the impacts of the project on society as a whole, both in terms of costs and benefits. The impact of transport projects includes</w:t>
      </w:r>
      <w:r w:rsidRPr="00466677">
        <w:rPr>
          <w:rFonts w:ascii="Verdana" w:hAnsi="Verdana"/>
          <w:sz w:val="20"/>
          <w:lang w:val="en"/>
        </w:rPr>
        <w:t xml:space="preserve"> the following main economic</w:t>
      </w:r>
      <w:r w:rsidRPr="00466677">
        <w:rPr>
          <w:rFonts w:ascii="Verdana" w:hAnsi="Verdana"/>
          <w:b/>
          <w:bCs/>
          <w:sz w:val="20"/>
          <w:szCs w:val="20"/>
          <w:lang w:val="en"/>
        </w:rPr>
        <w:t xml:space="preserve"> benefits:</w:t>
      </w:r>
      <w:r w:rsidRPr="00466677">
        <w:rPr>
          <w:rFonts w:ascii="Verdana" w:hAnsi="Verdana"/>
          <w:sz w:val="20"/>
          <w:lang w:val="en"/>
        </w:rPr>
        <w:t xml:space="preserve"> </w:t>
      </w:r>
      <w:r w:rsidRPr="00466677">
        <w:rPr>
          <w:rFonts w:ascii="Verdana" w:hAnsi="Verdana"/>
          <w:sz w:val="20"/>
          <w:szCs w:val="20"/>
          <w:lang w:val="en"/>
        </w:rPr>
        <w:t xml:space="preserve"> </w:t>
      </w:r>
    </w:p>
    <w:p w14:paraId="5A377A99" w14:textId="2B0440AA" w:rsidR="00466677" w:rsidRPr="00466677" w:rsidRDefault="00466677" w:rsidP="00466677">
      <w:pPr>
        <w:numPr>
          <w:ilvl w:val="0"/>
          <w:numId w:val="27"/>
        </w:numPr>
        <w:spacing w:before="120" w:after="120" w:line="240" w:lineRule="auto"/>
        <w:ind w:left="426" w:hanging="426"/>
        <w:jc w:val="both"/>
        <w:rPr>
          <w:rFonts w:ascii="Verdana" w:hAnsi="Verdana" w:cs="Tahoma"/>
          <w:i/>
          <w:iCs/>
          <w:sz w:val="20"/>
          <w:szCs w:val="20"/>
        </w:rPr>
      </w:pPr>
      <w:r w:rsidRPr="00466677">
        <w:rPr>
          <w:rFonts w:ascii="Verdana" w:hAnsi="Verdana"/>
          <w:i/>
          <w:iCs/>
          <w:sz w:val="20"/>
          <w:szCs w:val="20"/>
          <w:lang w:val="en"/>
        </w:rPr>
        <w:t>Saved travel time</w:t>
      </w:r>
    </w:p>
    <w:p w14:paraId="1D671800" w14:textId="21468FB8" w:rsidR="00466677" w:rsidRPr="00466677" w:rsidRDefault="00466677" w:rsidP="00466677">
      <w:pPr>
        <w:numPr>
          <w:ilvl w:val="0"/>
          <w:numId w:val="27"/>
        </w:numPr>
        <w:spacing w:before="120" w:after="120" w:line="240" w:lineRule="auto"/>
        <w:ind w:left="426" w:hanging="426"/>
        <w:jc w:val="both"/>
        <w:rPr>
          <w:rFonts w:ascii="Verdana" w:hAnsi="Verdana" w:cs="Tahoma"/>
          <w:i/>
          <w:iCs/>
          <w:sz w:val="20"/>
          <w:szCs w:val="20"/>
        </w:rPr>
      </w:pPr>
      <w:r w:rsidRPr="00466677">
        <w:rPr>
          <w:rFonts w:ascii="Verdana" w:hAnsi="Verdana"/>
          <w:i/>
          <w:iCs/>
          <w:sz w:val="20"/>
          <w:szCs w:val="20"/>
          <w:lang w:val="en"/>
        </w:rPr>
        <w:t>Reduced vehicle operation costs</w:t>
      </w:r>
    </w:p>
    <w:p w14:paraId="1710785E" w14:textId="5D3183C9" w:rsidR="00466677" w:rsidRPr="00466677" w:rsidRDefault="00466677" w:rsidP="00466677">
      <w:pPr>
        <w:numPr>
          <w:ilvl w:val="0"/>
          <w:numId w:val="27"/>
        </w:numPr>
        <w:spacing w:before="120" w:after="120" w:line="240" w:lineRule="auto"/>
        <w:ind w:left="426" w:hanging="426"/>
        <w:jc w:val="both"/>
        <w:rPr>
          <w:rFonts w:ascii="Verdana" w:hAnsi="Verdana" w:cs="Tahoma"/>
          <w:i/>
          <w:iCs/>
          <w:sz w:val="20"/>
          <w:szCs w:val="20"/>
        </w:rPr>
      </w:pPr>
      <w:r w:rsidRPr="00466677">
        <w:rPr>
          <w:rFonts w:ascii="Verdana" w:hAnsi="Verdana"/>
          <w:i/>
          <w:iCs/>
          <w:sz w:val="20"/>
          <w:szCs w:val="20"/>
          <w:lang w:val="en"/>
        </w:rPr>
        <w:t>Increased safety – saved costs related to transport accidents</w:t>
      </w:r>
    </w:p>
    <w:p w14:paraId="6DE662BF" w14:textId="4F99A18A" w:rsidR="00466677" w:rsidRPr="00466677" w:rsidRDefault="00466677" w:rsidP="00466677">
      <w:pPr>
        <w:numPr>
          <w:ilvl w:val="0"/>
          <w:numId w:val="27"/>
        </w:numPr>
        <w:spacing w:before="120" w:after="120" w:line="240" w:lineRule="auto"/>
        <w:ind w:left="426" w:hanging="426"/>
        <w:jc w:val="both"/>
        <w:rPr>
          <w:rFonts w:ascii="Verdana" w:hAnsi="Verdana" w:cs="Tahoma"/>
          <w:i/>
          <w:iCs/>
          <w:sz w:val="20"/>
          <w:szCs w:val="20"/>
        </w:rPr>
      </w:pPr>
      <w:r w:rsidRPr="00466677">
        <w:rPr>
          <w:rFonts w:ascii="Verdana" w:hAnsi="Verdana"/>
          <w:i/>
          <w:iCs/>
          <w:sz w:val="20"/>
          <w:szCs w:val="20"/>
          <w:lang w:val="en"/>
        </w:rPr>
        <w:t>Environmental benefits – reducing air pollution</w:t>
      </w:r>
      <w:r w:rsidRPr="00466677">
        <w:rPr>
          <w:rFonts w:ascii="Verdana" w:hAnsi="Verdana"/>
          <w:i/>
          <w:iCs/>
          <w:sz w:val="20"/>
          <w:lang w:val="en"/>
        </w:rPr>
        <w:t xml:space="preserve"> and</w:t>
      </w:r>
      <w:r w:rsidRPr="00466677">
        <w:rPr>
          <w:rFonts w:ascii="Verdana" w:hAnsi="Verdana"/>
          <w:i/>
          <w:iCs/>
          <w:sz w:val="20"/>
          <w:szCs w:val="20"/>
          <w:lang w:val="en"/>
        </w:rPr>
        <w:t xml:space="preserve"> contributing to climate</w:t>
      </w:r>
      <w:r w:rsidRPr="00466677">
        <w:rPr>
          <w:rFonts w:ascii="Verdana" w:hAnsi="Verdana"/>
          <w:i/>
          <w:iCs/>
          <w:sz w:val="20"/>
          <w:lang w:val="en"/>
        </w:rPr>
        <w:t xml:space="preserve"> </w:t>
      </w:r>
      <w:r w:rsidRPr="00466677">
        <w:rPr>
          <w:rFonts w:ascii="Verdana" w:hAnsi="Verdana"/>
          <w:i/>
          <w:iCs/>
          <w:sz w:val="20"/>
          <w:szCs w:val="20"/>
          <w:lang w:val="en"/>
        </w:rPr>
        <w:t>change combatting</w:t>
      </w:r>
    </w:p>
    <w:bookmarkEnd w:id="1"/>
    <w:p w14:paraId="69EF21E7" w14:textId="1783694C" w:rsidR="005D5A80" w:rsidRPr="00AF1DFA" w:rsidRDefault="005D5A80" w:rsidP="00AF1DFA">
      <w:pPr>
        <w:spacing w:before="120" w:after="120" w:line="240" w:lineRule="auto"/>
        <w:jc w:val="both"/>
        <w:rPr>
          <w:rFonts w:ascii="Verdana" w:hAnsi="Verdana" w:cs="Tahoma"/>
          <w:sz w:val="20"/>
          <w:szCs w:val="20"/>
        </w:rPr>
      </w:pPr>
      <w:r w:rsidRPr="00AF1DFA">
        <w:rPr>
          <w:rFonts w:ascii="Verdana" w:hAnsi="Verdana"/>
          <w:sz w:val="20"/>
          <w:szCs w:val="20"/>
          <w:lang w:val="en"/>
        </w:rPr>
        <w:t>The share of the benefits of time saved is highest for projects under PA 1 and 2 (average 75%)</w:t>
      </w:r>
      <w:r w:rsidR="00AF1DFA">
        <w:rPr>
          <w:rFonts w:ascii="Verdana" w:hAnsi="Verdana"/>
          <w:sz w:val="20"/>
          <w:szCs w:val="20"/>
          <w:lang w:val="en"/>
        </w:rPr>
        <w:t xml:space="preserve">. </w:t>
      </w:r>
      <w:r w:rsidRPr="00AF1DFA">
        <w:rPr>
          <w:rFonts w:ascii="Verdana" w:hAnsi="Verdana"/>
          <w:sz w:val="20"/>
          <w:szCs w:val="20"/>
          <w:lang w:val="en"/>
        </w:rPr>
        <w:t>PA 2 has the highest share of contribution /64% of the achieved benefits/, which is partially due to the longer exploitation period of road projects.</w:t>
      </w:r>
    </w:p>
    <w:p w14:paraId="15F48DDC" w14:textId="77777777" w:rsidR="005D5A80" w:rsidRPr="00AF1DFA" w:rsidRDefault="005D5A80" w:rsidP="00AF1DFA">
      <w:pPr>
        <w:spacing w:before="120" w:after="120" w:line="240" w:lineRule="auto"/>
        <w:jc w:val="both"/>
        <w:rPr>
          <w:rFonts w:ascii="Verdana" w:hAnsi="Verdana" w:cs="Tahoma"/>
          <w:sz w:val="20"/>
          <w:szCs w:val="20"/>
          <w:lang w:eastAsia="en-GB"/>
        </w:rPr>
      </w:pPr>
      <w:r w:rsidRPr="00AF1DFA">
        <w:rPr>
          <w:rFonts w:ascii="Verdana" w:hAnsi="Verdana"/>
          <w:sz w:val="20"/>
          <w:szCs w:val="20"/>
          <w:lang w:val="en" w:eastAsia="en-GB"/>
        </w:rPr>
        <w:t>The results of the effects examined show that in the railway sector the benefits achieved are lower than predicted due to lower level of reported number of passengers and freight, compared to the forecasted values. However, currently the trend is increasing, and this will also increase the benefits achieved in the long term.</w:t>
      </w:r>
    </w:p>
    <w:p w14:paraId="61F2FCD3" w14:textId="77777777" w:rsidR="005D5A80" w:rsidRPr="00AF1DFA" w:rsidRDefault="005D5A80" w:rsidP="00AF1DFA">
      <w:pPr>
        <w:spacing w:before="120" w:after="120" w:line="240" w:lineRule="auto"/>
        <w:jc w:val="both"/>
        <w:rPr>
          <w:rFonts w:ascii="Verdana" w:hAnsi="Verdana" w:cs="Tahoma"/>
          <w:sz w:val="20"/>
          <w:szCs w:val="20"/>
        </w:rPr>
      </w:pPr>
      <w:r w:rsidRPr="00AF1DFA">
        <w:rPr>
          <w:rFonts w:ascii="Verdana" w:hAnsi="Verdana"/>
          <w:sz w:val="20"/>
          <w:szCs w:val="20"/>
          <w:lang w:val="en"/>
        </w:rPr>
        <w:t xml:space="preserve">In the road sector, reported traffic shows a significant increase, which is one of the reasons for the high share of PA 2 in the realized overall benefits of OPT. As regards the contribution of the Sofia Metro extension projects, in some of them the realized benefits are similar to those projected and in others the results are substantially lower than forecasted, due to an overestimated number of passengers in the ex-ante CBA. </w:t>
      </w:r>
    </w:p>
    <w:p w14:paraId="41DA0491" w14:textId="77777777" w:rsidR="005D5A80" w:rsidRPr="005D5A80" w:rsidRDefault="005D5A80" w:rsidP="004B28F6">
      <w:pPr>
        <w:pStyle w:val="ListParagraph"/>
        <w:spacing w:after="0" w:line="240" w:lineRule="auto"/>
        <w:rPr>
          <w:rFonts w:cs="Calibri"/>
          <w:color w:val="000000"/>
          <w:sz w:val="16"/>
          <w:szCs w:val="16"/>
          <w:lang w:val="bg-BG" w:eastAsia="en-GB"/>
        </w:rPr>
      </w:pPr>
    </w:p>
    <w:p w14:paraId="3D9B83B2" w14:textId="3B21F92F" w:rsidR="005D5A80" w:rsidRPr="004B28F6" w:rsidRDefault="005D5A80" w:rsidP="001C40A0">
      <w:pPr>
        <w:pStyle w:val="Caption"/>
        <w:keepNext/>
        <w:rPr>
          <w:rFonts w:ascii="Verdana" w:hAnsi="Verdana"/>
          <w:sz w:val="20"/>
          <w:szCs w:val="20"/>
        </w:rPr>
      </w:pPr>
      <w:bookmarkStart w:id="119" w:name="_Toc62475940"/>
      <w:bookmarkStart w:id="120" w:name="_Toc62724862"/>
      <w:r w:rsidRPr="004B28F6">
        <w:rPr>
          <w:rFonts w:ascii="Verdana" w:hAnsi="Verdana"/>
          <w:sz w:val="20"/>
          <w:szCs w:val="20"/>
        </w:rPr>
        <w:lastRenderedPageBreak/>
        <w:t xml:space="preserve">Figure </w:t>
      </w:r>
      <w:r w:rsidR="00134718">
        <w:rPr>
          <w:rFonts w:ascii="Verdana" w:hAnsi="Verdana"/>
          <w:sz w:val="20"/>
          <w:szCs w:val="20"/>
        </w:rPr>
        <w:fldChar w:fldCharType="begin"/>
      </w:r>
      <w:r w:rsidR="00134718">
        <w:rPr>
          <w:rFonts w:ascii="Verdana" w:hAnsi="Verdana"/>
          <w:sz w:val="20"/>
          <w:szCs w:val="20"/>
        </w:rPr>
        <w:instrText xml:space="preserve"> STYLEREF 1 \s </w:instrText>
      </w:r>
      <w:r w:rsidR="00134718">
        <w:rPr>
          <w:rFonts w:ascii="Verdana" w:hAnsi="Verdana"/>
          <w:sz w:val="20"/>
          <w:szCs w:val="20"/>
        </w:rPr>
        <w:fldChar w:fldCharType="separate"/>
      </w:r>
      <w:r w:rsidR="001C40A0">
        <w:rPr>
          <w:rFonts w:ascii="Verdana" w:hAnsi="Verdana"/>
          <w:noProof/>
          <w:sz w:val="20"/>
          <w:szCs w:val="20"/>
        </w:rPr>
        <w:t>IV.8</w:t>
      </w:r>
      <w:r w:rsidR="00134718">
        <w:rPr>
          <w:rFonts w:ascii="Verdana" w:hAnsi="Verdana"/>
          <w:sz w:val="20"/>
          <w:szCs w:val="20"/>
        </w:rPr>
        <w:fldChar w:fldCharType="end"/>
      </w:r>
      <w:r w:rsidR="00134718">
        <w:rPr>
          <w:rFonts w:ascii="Verdana" w:hAnsi="Verdana"/>
          <w:sz w:val="20"/>
          <w:szCs w:val="20"/>
        </w:rPr>
        <w:noBreakHyphen/>
      </w:r>
      <w:r w:rsidR="00134718">
        <w:rPr>
          <w:rFonts w:ascii="Verdana" w:hAnsi="Verdana"/>
          <w:sz w:val="20"/>
          <w:szCs w:val="20"/>
        </w:rPr>
        <w:fldChar w:fldCharType="begin"/>
      </w:r>
      <w:r w:rsidR="00134718">
        <w:rPr>
          <w:rFonts w:ascii="Verdana" w:hAnsi="Verdana"/>
          <w:sz w:val="20"/>
          <w:szCs w:val="20"/>
        </w:rPr>
        <w:instrText xml:space="preserve"> SEQ Figure \* ARABIC \s 1 </w:instrText>
      </w:r>
      <w:r w:rsidR="00134718">
        <w:rPr>
          <w:rFonts w:ascii="Verdana" w:hAnsi="Verdana"/>
          <w:sz w:val="20"/>
          <w:szCs w:val="20"/>
        </w:rPr>
        <w:fldChar w:fldCharType="separate"/>
      </w:r>
      <w:r w:rsidR="001C40A0">
        <w:rPr>
          <w:rFonts w:ascii="Verdana" w:hAnsi="Verdana"/>
          <w:noProof/>
          <w:sz w:val="20"/>
          <w:szCs w:val="20"/>
        </w:rPr>
        <w:t>1</w:t>
      </w:r>
      <w:r w:rsidR="00134718">
        <w:rPr>
          <w:rFonts w:ascii="Verdana" w:hAnsi="Verdana"/>
          <w:sz w:val="20"/>
          <w:szCs w:val="20"/>
        </w:rPr>
        <w:fldChar w:fldCharType="end"/>
      </w:r>
      <w:r w:rsidRPr="004B28F6">
        <w:rPr>
          <w:rFonts w:ascii="Verdana" w:hAnsi="Verdana"/>
          <w:sz w:val="20"/>
          <w:szCs w:val="20"/>
        </w:rPr>
        <w:t xml:space="preserve"> Achieved impacts of major investment projects by priority axes, 2007-2019</w:t>
      </w:r>
      <w:bookmarkEnd w:id="119"/>
      <w:bookmarkEnd w:id="120"/>
    </w:p>
    <w:p w14:paraId="04003684" w14:textId="77777777" w:rsidR="004B28F6" w:rsidRPr="004B28F6" w:rsidRDefault="005D5A80" w:rsidP="004B28F6">
      <w:pPr>
        <w:ind w:left="360"/>
        <w:jc w:val="center"/>
        <w:rPr>
          <w:lang w:val="bg-BG"/>
        </w:rPr>
      </w:pPr>
      <w:r w:rsidRPr="005D5A80">
        <w:rPr>
          <w:noProof/>
          <w:lang w:val="bg-BG" w:eastAsia="bg-BG"/>
        </w:rPr>
        <w:drawing>
          <wp:inline distT="0" distB="0" distL="0" distR="0" wp14:anchorId="40451AAA" wp14:editId="150AAD3F">
            <wp:extent cx="4114800" cy="3028950"/>
            <wp:effectExtent l="0" t="0" r="0" b="0"/>
            <wp:docPr id="20" name="Chart 20">
              <a:extLst xmlns:a="http://schemas.openxmlformats.org/drawingml/2006/main">
                <a:ext uri="{FF2B5EF4-FFF2-40B4-BE49-F238E27FC236}">
                  <a16:creationId xmlns:a16="http://schemas.microsoft.com/office/drawing/2014/main" id="{1FC0DDA5-95A9-4C06-8323-4C03241A3B5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4388E88F" w14:textId="6A77763F" w:rsidR="005D5A80" w:rsidRPr="001C40A0" w:rsidRDefault="005D5A80" w:rsidP="001C40A0">
      <w:pPr>
        <w:pStyle w:val="ListParagraph"/>
        <w:ind w:firstLine="720"/>
        <w:rPr>
          <w:rFonts w:ascii="Verdana" w:hAnsi="Verdana"/>
          <w:sz w:val="16"/>
          <w:szCs w:val="16"/>
          <w:lang w:val="bg-BG"/>
        </w:rPr>
      </w:pPr>
      <w:r w:rsidRPr="001C40A0">
        <w:rPr>
          <w:rFonts w:ascii="Verdana" w:hAnsi="Verdana"/>
          <w:i/>
          <w:iCs/>
          <w:sz w:val="16"/>
          <w:szCs w:val="16"/>
          <w:lang w:val="en"/>
        </w:rPr>
        <w:t>Source: OPT Monitoring Model, CBA, Own Calculations</w:t>
      </w:r>
    </w:p>
    <w:p w14:paraId="03752B3B" w14:textId="2E0124EB" w:rsidR="00793FB0" w:rsidRPr="004B28F6" w:rsidRDefault="00793FB0" w:rsidP="004B28F6">
      <w:pPr>
        <w:pStyle w:val="ListParagraph"/>
        <w:numPr>
          <w:ilvl w:val="0"/>
          <w:numId w:val="27"/>
        </w:numPr>
        <w:spacing w:after="0" w:line="240" w:lineRule="auto"/>
        <w:jc w:val="center"/>
        <w:rPr>
          <w:rFonts w:ascii="Verdana" w:hAnsi="Verdana" w:cs="Calibri"/>
          <w:color w:val="000000"/>
          <w:sz w:val="20"/>
          <w:szCs w:val="20"/>
          <w:lang w:eastAsia="en-GB"/>
        </w:rPr>
        <w:sectPr w:rsidR="00793FB0" w:rsidRPr="004B28F6" w:rsidSect="00167D9D">
          <w:headerReference w:type="default" r:id="rId34"/>
          <w:footerReference w:type="default" r:id="rId35"/>
          <w:pgSz w:w="11906" w:h="16838"/>
          <w:pgMar w:top="1417" w:right="1417" w:bottom="1417" w:left="1417" w:header="708" w:footer="464" w:gutter="0"/>
          <w:cols w:space="708"/>
          <w:docGrid w:linePitch="360"/>
        </w:sectPr>
      </w:pPr>
    </w:p>
    <w:p w14:paraId="3BE45930" w14:textId="6E7ECFC6" w:rsidR="00293B1E" w:rsidRPr="00F50700" w:rsidRDefault="00293B1E" w:rsidP="00293B1E">
      <w:pPr>
        <w:tabs>
          <w:tab w:val="left" w:pos="5498"/>
        </w:tabs>
        <w:rPr>
          <w:rFonts w:ascii="Verdana" w:hAnsi="Verdana"/>
          <w:lang w:val="bg-BG"/>
        </w:rPr>
      </w:pPr>
      <w:bookmarkStart w:id="121" w:name="_GoBack"/>
      <w:r w:rsidRPr="00F50700">
        <w:rPr>
          <w:rFonts w:ascii="Verdana" w:hAnsi="Verdana"/>
          <w:lang w:val="bg-BG"/>
        </w:rPr>
        <w:lastRenderedPageBreak/>
        <w:tab/>
      </w:r>
    </w:p>
    <w:p w14:paraId="7BEB762D" w14:textId="69A58A79" w:rsidR="007502B1" w:rsidRPr="00F50700" w:rsidRDefault="007502B1" w:rsidP="0048262D">
      <w:pPr>
        <w:pStyle w:val="Heading1"/>
        <w:numPr>
          <w:ilvl w:val="1"/>
          <w:numId w:val="58"/>
        </w:numPr>
        <w:shd w:val="clear" w:color="auto" w:fill="374C80" w:themeFill="accent1" w:themeFillShade="BF"/>
        <w:spacing w:before="120" w:after="120" w:line="240" w:lineRule="auto"/>
        <w:ind w:left="0" w:firstLine="0"/>
        <w:jc w:val="both"/>
        <w:rPr>
          <w:rFonts w:ascii="Verdana" w:eastAsia="Calibri" w:hAnsi="Verdana" w:cs="Calibri"/>
          <w:b/>
          <w:bCs/>
          <w:color w:val="FFFFFF" w:themeColor="background1"/>
          <w:sz w:val="20"/>
          <w:szCs w:val="20"/>
          <w:lang w:val="bg-BG"/>
        </w:rPr>
      </w:pPr>
      <w:bookmarkStart w:id="122" w:name="_Toc62724402"/>
      <w:bookmarkEnd w:id="121"/>
      <w:r w:rsidRPr="00F50700">
        <w:rPr>
          <w:rFonts w:ascii="Verdana" w:hAnsi="Verdana"/>
          <w:b/>
          <w:bCs/>
          <w:color w:val="FFFFFF" w:themeColor="background1"/>
          <w:sz w:val="20"/>
          <w:szCs w:val="20"/>
          <w:lang w:val="en"/>
        </w:rPr>
        <w:t>What are the main problems encountered in the process of preparing and implementing projects?</w:t>
      </w:r>
      <w:bookmarkEnd w:id="122"/>
    </w:p>
    <w:p w14:paraId="22DD759A" w14:textId="77777777" w:rsidR="009E3309" w:rsidRPr="00F50700" w:rsidRDefault="009E3309" w:rsidP="009E3309">
      <w:pPr>
        <w:spacing w:after="0" w:line="240" w:lineRule="auto"/>
        <w:jc w:val="both"/>
        <w:rPr>
          <w:rFonts w:ascii="Verdana" w:hAnsi="Verdana" w:cs="Tahoma"/>
          <w:sz w:val="20"/>
          <w:szCs w:val="20"/>
          <w:lang w:val="bg-BG" w:eastAsia="en-GB"/>
        </w:rPr>
      </w:pPr>
    </w:p>
    <w:p w14:paraId="1106A89D" w14:textId="77777777" w:rsidR="00AA2585" w:rsidRPr="00AA2585" w:rsidRDefault="00AA2585" w:rsidP="00AA2585">
      <w:pPr>
        <w:spacing w:before="60" w:after="60" w:line="240" w:lineRule="auto"/>
        <w:jc w:val="both"/>
        <w:rPr>
          <w:rFonts w:ascii="Verdana" w:hAnsi="Verdana" w:cs="Times New Roman"/>
          <w:sz w:val="20"/>
          <w:szCs w:val="20"/>
          <w:lang w:val="bg-BG" w:eastAsia="en-GB"/>
        </w:rPr>
      </w:pPr>
      <w:r w:rsidRPr="00AA2585">
        <w:rPr>
          <w:rFonts w:ascii="Verdana" w:hAnsi="Verdana"/>
          <w:sz w:val="20"/>
          <w:szCs w:val="20"/>
          <w:lang w:val="en" w:eastAsia="en-GB"/>
        </w:rPr>
        <w:t xml:space="preserve">The main problems identified in the </w:t>
      </w:r>
      <w:r w:rsidRPr="00AA2585">
        <w:rPr>
          <w:rFonts w:ascii="Verdana" w:hAnsi="Verdana"/>
          <w:sz w:val="20"/>
          <w:szCs w:val="20"/>
          <w:lang w:val="en-US" w:eastAsia="en-GB"/>
        </w:rPr>
        <w:t>OPT</w:t>
      </w:r>
      <w:r w:rsidRPr="00AA2585">
        <w:rPr>
          <w:rFonts w:ascii="Verdana" w:hAnsi="Verdana"/>
          <w:sz w:val="20"/>
          <w:szCs w:val="20"/>
          <w:lang w:val="en" w:eastAsia="en-GB"/>
        </w:rPr>
        <w:t xml:space="preserve"> implementation are the following:</w:t>
      </w:r>
    </w:p>
    <w:p w14:paraId="477F468F" w14:textId="77777777" w:rsidR="00AA2585" w:rsidRPr="00AA2585" w:rsidRDefault="00AA2585" w:rsidP="00AA2585">
      <w:pPr>
        <w:numPr>
          <w:ilvl w:val="0"/>
          <w:numId w:val="21"/>
        </w:numPr>
        <w:spacing w:before="60" w:after="60" w:line="240" w:lineRule="auto"/>
        <w:jc w:val="both"/>
        <w:rPr>
          <w:rFonts w:ascii="Verdana" w:hAnsi="Verdana" w:cs="Times New Roman"/>
          <w:sz w:val="20"/>
          <w:szCs w:val="20"/>
          <w:lang w:val="bg-BG" w:eastAsia="en-GB"/>
        </w:rPr>
      </w:pPr>
      <w:r w:rsidRPr="00AA2585">
        <w:rPr>
          <w:rFonts w:ascii="Verdana" w:hAnsi="Verdana"/>
          <w:sz w:val="20"/>
          <w:szCs w:val="20"/>
          <w:lang w:val="en" w:eastAsia="en-GB"/>
        </w:rPr>
        <w:t>lack of sufficient financial resources to prepare projects for OPT funding, pre-financing and regular payment with contractors;</w:t>
      </w:r>
    </w:p>
    <w:p w14:paraId="78C2A646" w14:textId="77777777" w:rsidR="00AA2585" w:rsidRPr="00AA2585" w:rsidRDefault="00AA2585" w:rsidP="00AA2585">
      <w:pPr>
        <w:numPr>
          <w:ilvl w:val="0"/>
          <w:numId w:val="21"/>
        </w:numPr>
        <w:spacing w:before="60" w:after="60" w:line="240" w:lineRule="auto"/>
        <w:jc w:val="both"/>
        <w:rPr>
          <w:rFonts w:ascii="Verdana" w:hAnsi="Verdana" w:cs="Times New Roman"/>
          <w:sz w:val="20"/>
          <w:szCs w:val="20"/>
          <w:lang w:val="bg-BG" w:eastAsia="en-GB"/>
        </w:rPr>
      </w:pPr>
      <w:r w:rsidRPr="00AA2585">
        <w:rPr>
          <w:rFonts w:ascii="Verdana" w:hAnsi="Verdana"/>
          <w:sz w:val="20"/>
          <w:szCs w:val="20"/>
          <w:lang w:val="en" w:eastAsia="en-GB"/>
        </w:rPr>
        <w:t>difficulties in development of feasibility studies and selection of project options;</w:t>
      </w:r>
    </w:p>
    <w:p w14:paraId="5E71D2D3" w14:textId="77777777" w:rsidR="00AA2585" w:rsidRPr="00AA2585" w:rsidRDefault="00AA2585" w:rsidP="00AA2585">
      <w:pPr>
        <w:numPr>
          <w:ilvl w:val="0"/>
          <w:numId w:val="21"/>
        </w:numPr>
        <w:spacing w:before="60" w:after="60" w:line="240" w:lineRule="auto"/>
        <w:jc w:val="both"/>
        <w:rPr>
          <w:rFonts w:ascii="Verdana" w:hAnsi="Verdana" w:cs="Times New Roman"/>
          <w:sz w:val="20"/>
          <w:szCs w:val="20"/>
          <w:lang w:val="bg-BG" w:eastAsia="en-GB"/>
        </w:rPr>
      </w:pPr>
      <w:r w:rsidRPr="00AA2585">
        <w:rPr>
          <w:rFonts w:ascii="Verdana" w:hAnsi="Verdana"/>
          <w:sz w:val="20"/>
          <w:szCs w:val="20"/>
          <w:lang w:val="en" w:eastAsia="en-GB"/>
        </w:rPr>
        <w:t>need to update the AF and the supporting documents such as FS and CBA;</w:t>
      </w:r>
    </w:p>
    <w:p w14:paraId="4FB1CB2F" w14:textId="77777777" w:rsidR="00AA2585" w:rsidRPr="00AA2585" w:rsidRDefault="00AA2585" w:rsidP="00AA2585">
      <w:pPr>
        <w:numPr>
          <w:ilvl w:val="0"/>
          <w:numId w:val="21"/>
        </w:numPr>
        <w:spacing w:before="60" w:after="60" w:line="240" w:lineRule="auto"/>
        <w:jc w:val="both"/>
        <w:rPr>
          <w:rFonts w:ascii="Verdana" w:hAnsi="Verdana" w:cs="Times New Roman"/>
          <w:sz w:val="20"/>
          <w:szCs w:val="20"/>
          <w:lang w:val="bg-BG" w:eastAsia="en-GB"/>
        </w:rPr>
      </w:pPr>
      <w:r w:rsidRPr="00AA2585">
        <w:rPr>
          <w:rFonts w:ascii="Verdana" w:hAnsi="Verdana"/>
          <w:sz w:val="20"/>
          <w:szCs w:val="20"/>
          <w:lang w:val="en" w:eastAsia="en-GB"/>
        </w:rPr>
        <w:t>unrealistic project activities planning;</w:t>
      </w:r>
    </w:p>
    <w:p w14:paraId="72CC9E71" w14:textId="353B8FB3" w:rsidR="00AA2585" w:rsidRPr="00AA2585" w:rsidRDefault="00AA2585" w:rsidP="00AA2585">
      <w:pPr>
        <w:numPr>
          <w:ilvl w:val="0"/>
          <w:numId w:val="20"/>
        </w:numPr>
        <w:spacing w:before="60" w:after="60" w:line="240" w:lineRule="auto"/>
        <w:jc w:val="both"/>
        <w:rPr>
          <w:rFonts w:ascii="Verdana" w:hAnsi="Verdana" w:cs="Tahoma"/>
          <w:sz w:val="20"/>
          <w:szCs w:val="20"/>
          <w:lang w:val="bg-BG" w:eastAsia="en-GB"/>
        </w:rPr>
      </w:pPr>
      <w:r w:rsidRPr="00AA2585">
        <w:rPr>
          <w:rFonts w:ascii="Verdana" w:hAnsi="Verdana"/>
          <w:sz w:val="20"/>
          <w:szCs w:val="20"/>
          <w:lang w:val="en" w:eastAsia="en-GB"/>
        </w:rPr>
        <w:t xml:space="preserve">problems with tender procedures, building permits, </w:t>
      </w:r>
      <w:r w:rsidR="00DC443D">
        <w:rPr>
          <w:rFonts w:ascii="Verdana" w:hAnsi="Verdana"/>
          <w:sz w:val="20"/>
          <w:szCs w:val="20"/>
          <w:lang w:val="en" w:eastAsia="en-GB"/>
        </w:rPr>
        <w:t>l</w:t>
      </w:r>
      <w:r w:rsidRPr="00AA2585">
        <w:rPr>
          <w:rFonts w:ascii="Verdana" w:hAnsi="Verdana"/>
          <w:sz w:val="20"/>
          <w:szCs w:val="20"/>
          <w:lang w:val="en-US" w:eastAsia="en-GB"/>
        </w:rPr>
        <w:t>and acquisition</w:t>
      </w:r>
      <w:r w:rsidRPr="00AA2585">
        <w:rPr>
          <w:rFonts w:ascii="Verdana" w:hAnsi="Verdana"/>
          <w:sz w:val="20"/>
          <w:szCs w:val="20"/>
          <w:lang w:val="en" w:eastAsia="en-GB"/>
        </w:rPr>
        <w:t xml:space="preserve"> procedures, EIA and archaeological studies;</w:t>
      </w:r>
    </w:p>
    <w:p w14:paraId="2EE7431F" w14:textId="4904833E" w:rsidR="00AA2585" w:rsidRPr="00AA2585" w:rsidRDefault="00AA2585" w:rsidP="00AA2585">
      <w:pPr>
        <w:numPr>
          <w:ilvl w:val="0"/>
          <w:numId w:val="20"/>
        </w:numPr>
        <w:spacing w:before="60" w:after="60" w:line="240" w:lineRule="auto"/>
        <w:jc w:val="both"/>
        <w:rPr>
          <w:rFonts w:ascii="Verdana" w:hAnsi="Verdana" w:cs="Tahoma"/>
          <w:sz w:val="20"/>
          <w:szCs w:val="20"/>
          <w:lang w:val="bg-BG" w:eastAsia="en-GB"/>
        </w:rPr>
      </w:pPr>
      <w:r w:rsidRPr="00AA2585">
        <w:rPr>
          <w:rFonts w:ascii="Verdana" w:hAnsi="Verdana"/>
          <w:sz w:val="20"/>
          <w:szCs w:val="20"/>
          <w:lang w:val="en" w:eastAsia="en-GB"/>
        </w:rPr>
        <w:t>occurrence of un</w:t>
      </w:r>
      <w:r w:rsidR="00DC443D">
        <w:rPr>
          <w:rFonts w:ascii="Verdana" w:hAnsi="Verdana"/>
          <w:sz w:val="20"/>
          <w:szCs w:val="20"/>
          <w:lang w:val="en" w:eastAsia="en-GB"/>
        </w:rPr>
        <w:t>foreseen</w:t>
      </w:r>
      <w:r w:rsidRPr="00AA2585">
        <w:rPr>
          <w:rFonts w:ascii="Verdana" w:hAnsi="Verdana"/>
          <w:sz w:val="20"/>
          <w:szCs w:val="20"/>
          <w:lang w:val="en" w:eastAsia="en-GB"/>
        </w:rPr>
        <w:t xml:space="preserve"> works, including modification of technical solutions and other circumstances delaying the works contracts</w:t>
      </w:r>
      <w:r w:rsidRPr="00AA2585">
        <w:rPr>
          <w:rFonts w:ascii="Verdana" w:eastAsia="Helvetica" w:hAnsi="Verdana" w:cs="Helvetica"/>
          <w:sz w:val="20"/>
          <w:szCs w:val="20"/>
          <w:lang w:val="en" w:eastAsia="en-GB"/>
        </w:rPr>
        <w:t>’</w:t>
      </w:r>
      <w:r w:rsidRPr="00AA2585">
        <w:rPr>
          <w:rFonts w:ascii="Verdana" w:hAnsi="Verdana"/>
          <w:sz w:val="20"/>
          <w:szCs w:val="20"/>
          <w:lang w:val="en" w:eastAsia="en-GB"/>
        </w:rPr>
        <w:t xml:space="preserve"> implementation;</w:t>
      </w:r>
    </w:p>
    <w:p w14:paraId="7906CFA7" w14:textId="77777777" w:rsidR="00AA2585" w:rsidRPr="00AA2585" w:rsidRDefault="00AA2585" w:rsidP="00AA2585">
      <w:pPr>
        <w:numPr>
          <w:ilvl w:val="0"/>
          <w:numId w:val="20"/>
        </w:numPr>
        <w:spacing w:before="60" w:after="60" w:line="240" w:lineRule="auto"/>
        <w:jc w:val="both"/>
        <w:rPr>
          <w:rFonts w:ascii="Verdana" w:hAnsi="Verdana" w:cs="Tahoma"/>
          <w:sz w:val="20"/>
          <w:szCs w:val="20"/>
          <w:lang w:val="bg-BG" w:eastAsia="en-GB"/>
        </w:rPr>
      </w:pPr>
      <w:r w:rsidRPr="00AA2585">
        <w:rPr>
          <w:rFonts w:ascii="Verdana" w:hAnsi="Verdana"/>
          <w:sz w:val="20"/>
          <w:szCs w:val="20"/>
          <w:lang w:val="en" w:eastAsia="en-GB"/>
        </w:rPr>
        <w:t>lack of experience and capacity in the infrastructure projects management;</w:t>
      </w:r>
    </w:p>
    <w:p w14:paraId="1559403E" w14:textId="5E2191BB" w:rsidR="00AA2585" w:rsidRPr="00AA2585" w:rsidRDefault="00AA2585" w:rsidP="00AA2585">
      <w:pPr>
        <w:numPr>
          <w:ilvl w:val="0"/>
          <w:numId w:val="20"/>
        </w:numPr>
        <w:spacing w:before="60" w:after="60" w:line="240" w:lineRule="auto"/>
        <w:jc w:val="both"/>
        <w:rPr>
          <w:rFonts w:ascii="Verdana" w:hAnsi="Verdana" w:cs="Tahoma"/>
          <w:sz w:val="20"/>
          <w:szCs w:val="20"/>
          <w:lang w:val="bg-BG" w:eastAsia="en-GB"/>
        </w:rPr>
      </w:pPr>
      <w:r w:rsidRPr="00AA2585">
        <w:rPr>
          <w:rFonts w:ascii="Verdana" w:hAnsi="Verdana"/>
          <w:sz w:val="20"/>
          <w:szCs w:val="20"/>
          <w:lang w:val="en" w:eastAsia="en-GB"/>
        </w:rPr>
        <w:t>institutional and organizational problems.</w:t>
      </w:r>
    </w:p>
    <w:p w14:paraId="1C0246B2" w14:textId="77777777" w:rsidR="00AA2585" w:rsidRPr="00AA2585" w:rsidRDefault="00AA2585" w:rsidP="00AA2585">
      <w:pPr>
        <w:spacing w:before="60" w:after="60" w:line="240" w:lineRule="auto"/>
        <w:ind w:left="360"/>
        <w:jc w:val="both"/>
        <w:rPr>
          <w:rFonts w:ascii="Verdana" w:hAnsi="Verdana" w:cs="Tahoma"/>
          <w:sz w:val="20"/>
          <w:szCs w:val="20"/>
          <w:lang w:val="bg-BG" w:eastAsia="en-GB"/>
        </w:rPr>
      </w:pPr>
    </w:p>
    <w:p w14:paraId="1E5EC8AC" w14:textId="77777777" w:rsidR="00AA2585" w:rsidRPr="00AA2585" w:rsidRDefault="00AA2585" w:rsidP="00AA2585">
      <w:pPr>
        <w:spacing w:after="0" w:line="240" w:lineRule="auto"/>
        <w:jc w:val="both"/>
        <w:rPr>
          <w:rFonts w:ascii="Verdana" w:hAnsi="Verdana" w:cs="Times New Roman"/>
          <w:sz w:val="20"/>
          <w:szCs w:val="20"/>
          <w:lang w:val="bg-BG" w:eastAsia="en-GB"/>
        </w:rPr>
      </w:pPr>
      <w:r w:rsidRPr="00AA2585">
        <w:rPr>
          <w:rFonts w:ascii="Verdana" w:hAnsi="Verdana"/>
          <w:sz w:val="20"/>
          <w:szCs w:val="20"/>
          <w:lang w:val="en" w:eastAsia="en-GB"/>
        </w:rPr>
        <w:t>These problems lead to difficulties and delays such as:</w:t>
      </w:r>
    </w:p>
    <w:p w14:paraId="35453631" w14:textId="77777777" w:rsidR="00AA2585" w:rsidRPr="00AA2585" w:rsidRDefault="00AA2585" w:rsidP="00AA2585">
      <w:pPr>
        <w:numPr>
          <w:ilvl w:val="0"/>
          <w:numId w:val="38"/>
        </w:numPr>
        <w:spacing w:after="0" w:line="240" w:lineRule="auto"/>
        <w:contextualSpacing/>
        <w:jc w:val="both"/>
        <w:rPr>
          <w:rFonts w:ascii="Verdana" w:hAnsi="Verdana"/>
          <w:sz w:val="20"/>
          <w:szCs w:val="20"/>
          <w:lang w:val="bg-BG"/>
        </w:rPr>
      </w:pPr>
      <w:r w:rsidRPr="00AA2585">
        <w:rPr>
          <w:rFonts w:ascii="Verdana" w:hAnsi="Verdana"/>
          <w:sz w:val="20"/>
          <w:szCs w:val="20"/>
          <w:lang w:val="en"/>
        </w:rPr>
        <w:t>AF approval and grant contract signing;</w:t>
      </w:r>
    </w:p>
    <w:p w14:paraId="3B3CC91F" w14:textId="240CF5F2" w:rsidR="00AA2585" w:rsidRPr="00AA2585" w:rsidRDefault="00AA2585" w:rsidP="00AA2585">
      <w:pPr>
        <w:numPr>
          <w:ilvl w:val="0"/>
          <w:numId w:val="38"/>
        </w:numPr>
        <w:spacing w:after="0" w:line="240" w:lineRule="auto"/>
        <w:contextualSpacing/>
        <w:jc w:val="both"/>
        <w:rPr>
          <w:rFonts w:ascii="Verdana" w:hAnsi="Verdana"/>
          <w:sz w:val="20"/>
          <w:szCs w:val="20"/>
          <w:lang w:val="bg-BG"/>
        </w:rPr>
      </w:pPr>
      <w:r w:rsidRPr="00AA2585">
        <w:rPr>
          <w:rFonts w:ascii="Verdana" w:hAnsi="Verdana"/>
          <w:sz w:val="20"/>
          <w:szCs w:val="20"/>
          <w:lang w:val="en"/>
        </w:rPr>
        <w:t xml:space="preserve">dropping </w:t>
      </w:r>
      <w:r w:rsidR="00DC443D">
        <w:rPr>
          <w:rFonts w:ascii="Verdana" w:hAnsi="Verdana"/>
          <w:sz w:val="20"/>
          <w:szCs w:val="20"/>
          <w:lang w:val="en"/>
        </w:rPr>
        <w:t xml:space="preserve">off of </w:t>
      </w:r>
      <w:r w:rsidRPr="00AA2585">
        <w:rPr>
          <w:rFonts w:ascii="Verdana" w:hAnsi="Verdana"/>
          <w:sz w:val="20"/>
          <w:szCs w:val="20"/>
          <w:lang w:val="en"/>
        </w:rPr>
        <w:t xml:space="preserve">some of the projects originally included in the </w:t>
      </w:r>
      <w:r w:rsidR="00DC443D">
        <w:rPr>
          <w:rFonts w:ascii="Verdana" w:hAnsi="Verdana"/>
          <w:sz w:val="20"/>
          <w:szCs w:val="20"/>
          <w:lang w:val="en"/>
        </w:rPr>
        <w:t xml:space="preserve">list of </w:t>
      </w:r>
      <w:r w:rsidRPr="00AA2585">
        <w:rPr>
          <w:rFonts w:ascii="Verdana" w:hAnsi="Verdana"/>
          <w:sz w:val="20"/>
          <w:szCs w:val="20"/>
          <w:lang w:val="en"/>
        </w:rPr>
        <w:t>priorit</w:t>
      </w:r>
      <w:r w:rsidR="00DC443D">
        <w:rPr>
          <w:rFonts w:ascii="Verdana" w:hAnsi="Verdana"/>
          <w:sz w:val="20"/>
          <w:szCs w:val="20"/>
          <w:lang w:val="en"/>
        </w:rPr>
        <w:t>y</w:t>
      </w:r>
      <w:r w:rsidRPr="00AA2585">
        <w:rPr>
          <w:rFonts w:ascii="Verdana" w:hAnsi="Verdana"/>
          <w:sz w:val="20"/>
          <w:szCs w:val="20"/>
          <w:lang w:val="en"/>
        </w:rPr>
        <w:t xml:space="preserve"> projects;</w:t>
      </w:r>
    </w:p>
    <w:p w14:paraId="25FC8381" w14:textId="77777777" w:rsidR="00AA2585" w:rsidRPr="00AA2585" w:rsidRDefault="00AA2585" w:rsidP="00AA2585">
      <w:pPr>
        <w:numPr>
          <w:ilvl w:val="0"/>
          <w:numId w:val="38"/>
        </w:numPr>
        <w:spacing w:after="0" w:line="240" w:lineRule="auto"/>
        <w:contextualSpacing/>
        <w:jc w:val="both"/>
        <w:rPr>
          <w:rFonts w:ascii="Verdana" w:hAnsi="Verdana"/>
          <w:sz w:val="20"/>
          <w:szCs w:val="20"/>
          <w:lang w:val="bg-BG"/>
        </w:rPr>
      </w:pPr>
      <w:r w:rsidRPr="00AA2585">
        <w:rPr>
          <w:rFonts w:ascii="Verdana" w:hAnsi="Verdana"/>
          <w:sz w:val="20"/>
          <w:szCs w:val="20"/>
          <w:lang w:val="en"/>
        </w:rPr>
        <w:t>inclusion of alternative mature projects in the programme with its amendments;</w:t>
      </w:r>
    </w:p>
    <w:p w14:paraId="634DAC26" w14:textId="77777777" w:rsidR="00AA2585" w:rsidRPr="00AA2585" w:rsidRDefault="00AA2585" w:rsidP="00AA2585">
      <w:pPr>
        <w:numPr>
          <w:ilvl w:val="0"/>
          <w:numId w:val="38"/>
        </w:numPr>
        <w:spacing w:after="0" w:line="240" w:lineRule="auto"/>
        <w:contextualSpacing/>
        <w:jc w:val="both"/>
        <w:rPr>
          <w:rFonts w:ascii="Verdana" w:hAnsi="Verdana"/>
          <w:sz w:val="20"/>
          <w:szCs w:val="20"/>
          <w:lang w:val="bg-BG"/>
        </w:rPr>
      </w:pPr>
      <w:r w:rsidRPr="00AA2585">
        <w:rPr>
          <w:rFonts w:ascii="Verdana" w:hAnsi="Verdana"/>
          <w:sz w:val="20"/>
          <w:szCs w:val="20"/>
          <w:lang w:val="en"/>
        </w:rPr>
        <w:t>'reverse phasing';</w:t>
      </w:r>
    </w:p>
    <w:p w14:paraId="35D2282A" w14:textId="77777777" w:rsidR="00AA2585" w:rsidRPr="00AA2585" w:rsidRDefault="00AA2585" w:rsidP="00AA2585">
      <w:pPr>
        <w:numPr>
          <w:ilvl w:val="0"/>
          <w:numId w:val="38"/>
        </w:numPr>
        <w:spacing w:after="0" w:line="240" w:lineRule="auto"/>
        <w:contextualSpacing/>
        <w:jc w:val="both"/>
        <w:rPr>
          <w:rFonts w:ascii="Verdana" w:hAnsi="Verdana"/>
          <w:sz w:val="20"/>
          <w:szCs w:val="20"/>
          <w:lang w:val="bg-BG"/>
        </w:rPr>
      </w:pPr>
      <w:r w:rsidRPr="00AA2585">
        <w:rPr>
          <w:rFonts w:ascii="Verdana" w:hAnsi="Verdana"/>
          <w:sz w:val="20"/>
          <w:szCs w:val="20"/>
          <w:lang w:val="en"/>
        </w:rPr>
        <w:t>change in projects</w:t>
      </w:r>
      <w:r w:rsidRPr="00AA2585">
        <w:rPr>
          <w:rFonts w:ascii="Verdana" w:eastAsia="Helvetica" w:hAnsi="Verdana" w:cs="Helvetica"/>
          <w:sz w:val="20"/>
          <w:szCs w:val="20"/>
          <w:lang w:val="en"/>
        </w:rPr>
        <w:t>’</w:t>
      </w:r>
      <w:r w:rsidRPr="00AA2585">
        <w:rPr>
          <w:rFonts w:ascii="Verdana" w:hAnsi="Verdana"/>
          <w:sz w:val="20"/>
          <w:szCs w:val="20"/>
          <w:lang w:val="en"/>
        </w:rPr>
        <w:t xml:space="preserve"> scope;</w:t>
      </w:r>
    </w:p>
    <w:p w14:paraId="5A5B9E7C" w14:textId="20441D7B" w:rsidR="00AA2585" w:rsidRPr="00AA2585" w:rsidRDefault="00AA2585" w:rsidP="00AA2585">
      <w:pPr>
        <w:numPr>
          <w:ilvl w:val="0"/>
          <w:numId w:val="38"/>
        </w:numPr>
        <w:spacing w:after="0" w:line="240" w:lineRule="auto"/>
        <w:contextualSpacing/>
        <w:jc w:val="both"/>
        <w:rPr>
          <w:rFonts w:ascii="Verdana" w:hAnsi="Verdana"/>
          <w:sz w:val="20"/>
          <w:szCs w:val="20"/>
          <w:lang w:val="bg-BG"/>
        </w:rPr>
      </w:pPr>
      <w:r w:rsidRPr="00AA2585">
        <w:rPr>
          <w:rFonts w:ascii="Verdana" w:hAnsi="Verdana"/>
          <w:sz w:val="20"/>
          <w:szCs w:val="20"/>
          <w:lang w:val="en"/>
        </w:rPr>
        <w:t>projects</w:t>
      </w:r>
      <w:r w:rsidRPr="00AA2585">
        <w:rPr>
          <w:rFonts w:ascii="Verdana" w:eastAsia="Helvetica" w:hAnsi="Verdana" w:cs="Helvetica"/>
          <w:sz w:val="20"/>
          <w:szCs w:val="20"/>
          <w:lang w:val="en"/>
        </w:rPr>
        <w:t>’</w:t>
      </w:r>
      <w:r w:rsidRPr="00AA2585">
        <w:rPr>
          <w:rFonts w:ascii="Verdana" w:hAnsi="Verdana"/>
          <w:sz w:val="20"/>
          <w:szCs w:val="20"/>
          <w:lang w:val="en"/>
        </w:rPr>
        <w:t xml:space="preserve"> phasing</w:t>
      </w:r>
      <w:r w:rsidR="00DC443D">
        <w:rPr>
          <w:rFonts w:ascii="Verdana" w:hAnsi="Verdana"/>
          <w:sz w:val="20"/>
          <w:szCs w:val="20"/>
          <w:lang w:val="en"/>
        </w:rPr>
        <w:t>;</w:t>
      </w:r>
    </w:p>
    <w:p w14:paraId="07DBE2FA" w14:textId="77777777" w:rsidR="00AA2585" w:rsidRPr="00AA2585" w:rsidRDefault="00AA2585" w:rsidP="00AA2585">
      <w:pPr>
        <w:numPr>
          <w:ilvl w:val="0"/>
          <w:numId w:val="38"/>
        </w:numPr>
        <w:spacing w:after="0" w:line="240" w:lineRule="auto"/>
        <w:contextualSpacing/>
        <w:jc w:val="both"/>
        <w:rPr>
          <w:rFonts w:ascii="Verdana" w:hAnsi="Verdana"/>
          <w:sz w:val="20"/>
          <w:szCs w:val="20"/>
          <w:lang w:val="bg-BG"/>
        </w:rPr>
      </w:pPr>
      <w:r w:rsidRPr="00AA2585">
        <w:rPr>
          <w:rFonts w:ascii="Verdana" w:hAnsi="Verdana"/>
          <w:sz w:val="20"/>
          <w:szCs w:val="20"/>
          <w:lang w:val="en"/>
        </w:rPr>
        <w:t>change of programme indicators;</w:t>
      </w:r>
    </w:p>
    <w:p w14:paraId="199F41D3" w14:textId="702BC5FB" w:rsidR="00AA2585" w:rsidRPr="00AA2585" w:rsidRDefault="00AA2585" w:rsidP="00AA2585">
      <w:pPr>
        <w:numPr>
          <w:ilvl w:val="0"/>
          <w:numId w:val="38"/>
        </w:numPr>
        <w:spacing w:after="0" w:line="240" w:lineRule="auto"/>
        <w:contextualSpacing/>
        <w:jc w:val="both"/>
        <w:rPr>
          <w:rFonts w:ascii="Verdana" w:hAnsi="Verdana" w:cs="Tahoma"/>
          <w:sz w:val="20"/>
          <w:szCs w:val="20"/>
          <w:lang w:val="bg-BG"/>
        </w:rPr>
      </w:pPr>
      <w:r w:rsidRPr="00AA2585">
        <w:rPr>
          <w:rFonts w:ascii="Verdana" w:hAnsi="Verdana"/>
          <w:sz w:val="20"/>
          <w:szCs w:val="20"/>
          <w:lang w:val="en"/>
        </w:rPr>
        <w:t>provision of funds under OPTTI 2014-2020 for the mature projects preparation in the railway sector.</w:t>
      </w:r>
    </w:p>
    <w:p w14:paraId="0DAD0D8D" w14:textId="77777777" w:rsidR="00AA2585" w:rsidRPr="00AA2585" w:rsidRDefault="00AA2585" w:rsidP="00AA2585">
      <w:pPr>
        <w:spacing w:after="0" w:line="240" w:lineRule="auto"/>
        <w:ind w:left="420"/>
        <w:contextualSpacing/>
        <w:jc w:val="both"/>
        <w:rPr>
          <w:rFonts w:ascii="Verdana" w:hAnsi="Verdana" w:cs="Tahoma"/>
          <w:sz w:val="20"/>
          <w:szCs w:val="20"/>
          <w:lang w:val="bg-BG"/>
        </w:rPr>
      </w:pPr>
    </w:p>
    <w:p w14:paraId="42EDA227" w14:textId="1257C8C5" w:rsidR="00AA2585" w:rsidRPr="00AA2585" w:rsidRDefault="00AA2585" w:rsidP="00AA2585">
      <w:pPr>
        <w:spacing w:line="240" w:lineRule="auto"/>
        <w:jc w:val="both"/>
        <w:rPr>
          <w:rFonts w:ascii="Verdana" w:hAnsi="Verdana" w:cs="Tahoma"/>
          <w:sz w:val="20"/>
          <w:szCs w:val="20"/>
          <w:lang w:val="bg-BG"/>
        </w:rPr>
      </w:pPr>
      <w:r w:rsidRPr="00AA2585">
        <w:rPr>
          <w:rFonts w:ascii="Verdana" w:hAnsi="Verdana"/>
          <w:sz w:val="20"/>
          <w:szCs w:val="20"/>
          <w:lang w:val="en"/>
        </w:rPr>
        <w:t>Regardless of the problems identified, the beneficiaries and the MA demonstrated good communication and cooperation for problem solving in operational manner and risk management as to prevent the loss of funds under the Programme. All measures within the MA</w:t>
      </w:r>
      <w:r w:rsidRPr="00AA2585">
        <w:rPr>
          <w:rFonts w:ascii="Verdana" w:eastAsia="Helvetica" w:hAnsi="Verdana" w:cs="Helvetica"/>
          <w:sz w:val="20"/>
          <w:szCs w:val="20"/>
          <w:lang w:val="en"/>
        </w:rPr>
        <w:t>’</w:t>
      </w:r>
      <w:r w:rsidRPr="00AA2585">
        <w:rPr>
          <w:rFonts w:ascii="Verdana" w:hAnsi="Verdana"/>
          <w:sz w:val="20"/>
          <w:szCs w:val="20"/>
          <w:lang w:val="en"/>
        </w:rPr>
        <w:t>s and beneficiaries</w:t>
      </w:r>
      <w:r w:rsidRPr="00AA2585">
        <w:rPr>
          <w:rFonts w:ascii="Verdana" w:eastAsia="Helvetica" w:hAnsi="Verdana" w:cs="Helvetica"/>
          <w:sz w:val="20"/>
          <w:szCs w:val="20"/>
          <w:lang w:val="en"/>
        </w:rPr>
        <w:t>’</w:t>
      </w:r>
      <w:r w:rsidRPr="00AA2585">
        <w:rPr>
          <w:rFonts w:ascii="Verdana" w:hAnsi="Verdana"/>
          <w:sz w:val="20"/>
          <w:szCs w:val="20"/>
          <w:lang w:val="en"/>
        </w:rPr>
        <w:t xml:space="preserve"> competence</w:t>
      </w:r>
      <w:r w:rsidR="00DC443D">
        <w:rPr>
          <w:rFonts w:ascii="Verdana" w:hAnsi="Verdana"/>
          <w:sz w:val="20"/>
          <w:szCs w:val="20"/>
          <w:lang w:val="en"/>
        </w:rPr>
        <w:t>s</w:t>
      </w:r>
      <w:r w:rsidRPr="00AA2585">
        <w:rPr>
          <w:rFonts w:ascii="Verdana" w:hAnsi="Verdana"/>
          <w:sz w:val="20"/>
          <w:szCs w:val="20"/>
          <w:lang w:val="en"/>
        </w:rPr>
        <w:t xml:space="preserve"> have been taken, including legislative amendments concerning procedures related to </w:t>
      </w:r>
      <w:r w:rsidR="001C40A0" w:rsidRPr="00AA2585">
        <w:rPr>
          <w:rFonts w:ascii="Verdana" w:hAnsi="Verdana"/>
          <w:sz w:val="20"/>
          <w:szCs w:val="20"/>
          <w:lang w:val="en"/>
        </w:rPr>
        <w:t>Special</w:t>
      </w:r>
      <w:r w:rsidRPr="00AA2585">
        <w:rPr>
          <w:rFonts w:ascii="Verdana" w:hAnsi="Verdana"/>
          <w:sz w:val="20"/>
          <w:szCs w:val="20"/>
          <w:lang w:val="en"/>
        </w:rPr>
        <w:t xml:space="preserve"> </w:t>
      </w:r>
      <w:r>
        <w:rPr>
          <w:rFonts w:ascii="Verdana" w:hAnsi="Verdana"/>
          <w:sz w:val="20"/>
          <w:szCs w:val="20"/>
          <w:lang w:val="en"/>
        </w:rPr>
        <w:t>D</w:t>
      </w:r>
      <w:r w:rsidRPr="00AA2585">
        <w:rPr>
          <w:rFonts w:ascii="Verdana" w:hAnsi="Verdana"/>
          <w:sz w:val="20"/>
          <w:szCs w:val="20"/>
          <w:lang w:val="en"/>
        </w:rPr>
        <w:t xml:space="preserve">evelopment </w:t>
      </w:r>
      <w:r>
        <w:rPr>
          <w:rFonts w:ascii="Verdana" w:hAnsi="Verdana"/>
          <w:sz w:val="20"/>
          <w:szCs w:val="20"/>
          <w:lang w:val="en"/>
        </w:rPr>
        <w:t>A</w:t>
      </w:r>
      <w:r w:rsidRPr="00AA2585">
        <w:rPr>
          <w:rFonts w:ascii="Verdana" w:hAnsi="Verdana"/>
          <w:sz w:val="20"/>
          <w:szCs w:val="20"/>
          <w:lang w:val="en"/>
        </w:rPr>
        <w:t>ct.  As a result of the efforts made, the Programme ended with an excellent level of implementation.</w:t>
      </w:r>
    </w:p>
    <w:p w14:paraId="31729A65" w14:textId="4CBDF340" w:rsidR="00AA2585" w:rsidRPr="00AA2585" w:rsidRDefault="00AA2585" w:rsidP="00AA2585">
      <w:pPr>
        <w:spacing w:line="240" w:lineRule="auto"/>
        <w:jc w:val="both"/>
        <w:rPr>
          <w:rFonts w:ascii="Verdana" w:hAnsi="Verdana" w:cs="Tahoma"/>
          <w:sz w:val="20"/>
          <w:szCs w:val="20"/>
          <w:lang w:val="bg-BG"/>
        </w:rPr>
      </w:pPr>
      <w:r w:rsidRPr="00AA2585">
        <w:rPr>
          <w:rFonts w:ascii="Verdana" w:hAnsi="Verdana"/>
          <w:sz w:val="20"/>
          <w:szCs w:val="20"/>
          <w:lang w:val="en"/>
        </w:rPr>
        <w:t xml:space="preserve">In the extended evaluation report, </w:t>
      </w:r>
      <w:r w:rsidR="001C40A0">
        <w:rPr>
          <w:rFonts w:ascii="Verdana" w:hAnsi="Verdana"/>
          <w:sz w:val="20"/>
          <w:szCs w:val="20"/>
          <w:lang w:val="en"/>
        </w:rPr>
        <w:t>t</w:t>
      </w:r>
      <w:r w:rsidRPr="00AA2585">
        <w:rPr>
          <w:rFonts w:ascii="Verdana" w:hAnsi="Verdana"/>
          <w:sz w:val="20"/>
          <w:szCs w:val="20"/>
          <w:lang w:val="en"/>
        </w:rPr>
        <w:t xml:space="preserve">he identified problems are examined as relevant to the different phases of the project cycle, as well as to </w:t>
      </w:r>
      <w:r w:rsidR="00DC443D">
        <w:rPr>
          <w:rFonts w:ascii="Verdana" w:hAnsi="Verdana"/>
          <w:sz w:val="20"/>
          <w:szCs w:val="20"/>
          <w:lang w:val="en"/>
        </w:rPr>
        <w:t xml:space="preserve">the level of </w:t>
      </w:r>
      <w:r w:rsidRPr="00AA2585">
        <w:rPr>
          <w:rFonts w:ascii="Verdana" w:hAnsi="Verdana"/>
          <w:sz w:val="20"/>
          <w:szCs w:val="20"/>
          <w:lang w:val="en"/>
        </w:rPr>
        <w:t>priority axes and projects.</w:t>
      </w:r>
    </w:p>
    <w:p w14:paraId="3D52283E" w14:textId="596AB13F" w:rsidR="00535077" w:rsidRPr="00AA2585" w:rsidRDefault="00535077" w:rsidP="006E2FC7">
      <w:pPr>
        <w:spacing w:line="240" w:lineRule="auto"/>
        <w:jc w:val="both"/>
        <w:rPr>
          <w:rFonts w:ascii="Verdana" w:hAnsi="Verdana" w:cs="Tahoma"/>
          <w:sz w:val="20"/>
          <w:szCs w:val="20"/>
          <w:lang w:val="bg-BG"/>
        </w:rPr>
      </w:pPr>
    </w:p>
    <w:p w14:paraId="6D1EB52C" w14:textId="4E19396B" w:rsidR="00836E34" w:rsidRPr="00F50700" w:rsidRDefault="00836E34" w:rsidP="006E2FC7">
      <w:pPr>
        <w:spacing w:line="240" w:lineRule="auto"/>
        <w:jc w:val="both"/>
        <w:rPr>
          <w:rFonts w:ascii="Verdana" w:hAnsi="Verdana" w:cs="Tahoma"/>
          <w:sz w:val="20"/>
          <w:szCs w:val="20"/>
          <w:lang w:val="bg-BG"/>
        </w:rPr>
      </w:pPr>
    </w:p>
    <w:p w14:paraId="38BC8F05" w14:textId="5CD00AA2" w:rsidR="00836E34" w:rsidRPr="00F50700" w:rsidRDefault="00836E34" w:rsidP="006E2FC7">
      <w:pPr>
        <w:spacing w:line="240" w:lineRule="auto"/>
        <w:jc w:val="both"/>
        <w:rPr>
          <w:rFonts w:ascii="Verdana" w:hAnsi="Verdana" w:cs="Tahoma"/>
          <w:sz w:val="20"/>
          <w:szCs w:val="20"/>
          <w:lang w:val="bg-BG"/>
        </w:rPr>
      </w:pPr>
    </w:p>
    <w:p w14:paraId="3434CD7B" w14:textId="22B7955F" w:rsidR="00836E34" w:rsidRDefault="00836E34" w:rsidP="006E2FC7">
      <w:pPr>
        <w:spacing w:line="240" w:lineRule="auto"/>
        <w:jc w:val="both"/>
        <w:rPr>
          <w:rFonts w:ascii="Verdana" w:hAnsi="Verdana" w:cs="Tahoma"/>
          <w:sz w:val="20"/>
          <w:szCs w:val="20"/>
          <w:lang w:val="bg-BG"/>
        </w:rPr>
      </w:pPr>
    </w:p>
    <w:p w14:paraId="77EA2A9C" w14:textId="77777777" w:rsidR="001C40A0" w:rsidRPr="00F50700" w:rsidRDefault="001C40A0" w:rsidP="006E2FC7">
      <w:pPr>
        <w:spacing w:line="240" w:lineRule="auto"/>
        <w:jc w:val="both"/>
        <w:rPr>
          <w:rFonts w:ascii="Verdana" w:hAnsi="Verdana" w:cs="Tahoma"/>
          <w:sz w:val="20"/>
          <w:szCs w:val="20"/>
          <w:lang w:val="bg-BG"/>
        </w:rPr>
      </w:pPr>
    </w:p>
    <w:p w14:paraId="7AD59D55" w14:textId="77777777" w:rsidR="00836E34" w:rsidRPr="00F50700" w:rsidRDefault="00836E34" w:rsidP="006E2FC7">
      <w:pPr>
        <w:spacing w:line="240" w:lineRule="auto"/>
        <w:jc w:val="both"/>
        <w:rPr>
          <w:rFonts w:ascii="Verdana" w:hAnsi="Verdana" w:cs="Tahoma"/>
          <w:sz w:val="20"/>
          <w:szCs w:val="20"/>
          <w:lang w:val="bg-BG"/>
        </w:rPr>
      </w:pPr>
    </w:p>
    <w:p w14:paraId="13B25312" w14:textId="1834E544" w:rsidR="00EE5391" w:rsidRPr="00F50700" w:rsidRDefault="00EE5391" w:rsidP="00AA2585">
      <w:pPr>
        <w:pStyle w:val="Heading1"/>
        <w:numPr>
          <w:ilvl w:val="0"/>
          <w:numId w:val="58"/>
        </w:numPr>
        <w:ind w:left="284" w:hanging="284"/>
        <w:rPr>
          <w:rFonts w:ascii="Verdana" w:hAnsi="Verdana"/>
          <w:b/>
          <w:bCs/>
          <w:sz w:val="22"/>
          <w:szCs w:val="22"/>
          <w:lang w:val="bg-BG"/>
        </w:rPr>
      </w:pPr>
      <w:bookmarkStart w:id="123" w:name="_Toc62724403"/>
      <w:r w:rsidRPr="00AA2585">
        <w:rPr>
          <w:rFonts w:ascii="Verdana" w:hAnsi="Verdana"/>
          <w:b/>
          <w:bCs/>
          <w:sz w:val="22"/>
          <w:szCs w:val="22"/>
        </w:rPr>
        <w:t>CASE</w:t>
      </w:r>
      <w:r w:rsidRPr="00F50700">
        <w:rPr>
          <w:rFonts w:ascii="Verdana" w:hAnsi="Verdana"/>
          <w:b/>
          <w:bCs/>
          <w:sz w:val="22"/>
          <w:szCs w:val="22"/>
          <w:lang w:val="en"/>
        </w:rPr>
        <w:t xml:space="preserve"> STUDIES</w:t>
      </w:r>
      <w:bookmarkEnd w:id="123"/>
    </w:p>
    <w:p w14:paraId="3B501D60" w14:textId="77777777" w:rsidR="00B46E97" w:rsidRDefault="00B46E97" w:rsidP="00711F8E">
      <w:pPr>
        <w:jc w:val="both"/>
        <w:rPr>
          <w:szCs w:val="20"/>
        </w:rPr>
      </w:pPr>
    </w:p>
    <w:p w14:paraId="4E264F22" w14:textId="6EDD4FED" w:rsidR="00711F8E" w:rsidRPr="00B46E97" w:rsidRDefault="00F64B7B" w:rsidP="00711F8E">
      <w:pPr>
        <w:jc w:val="both"/>
        <w:rPr>
          <w:rFonts w:ascii="Verdana" w:hAnsi="Verdana"/>
          <w:sz w:val="20"/>
          <w:szCs w:val="20"/>
          <w:lang w:val="en"/>
        </w:rPr>
      </w:pPr>
      <w:r w:rsidRPr="00B46E97">
        <w:rPr>
          <w:rFonts w:ascii="Verdana" w:hAnsi="Verdana"/>
          <w:sz w:val="20"/>
          <w:szCs w:val="20"/>
        </w:rPr>
        <w:lastRenderedPageBreak/>
        <w:t xml:space="preserve">Case studies belong to impact assessment methods, applied for current evaluation for in-depth analysis of 12 investment projects under Priority Axes 1, 2, 3 and 4 of OPT, of which 8 major projects and 4 small projects. The budget of major projects implemented under OPT occupies a significant share of the paid amounts under the programme, which is why their in-depth analysis is an essential part of the </w:t>
      </w:r>
      <w:r w:rsidR="001C40A0" w:rsidRPr="00B46E97">
        <w:rPr>
          <w:rFonts w:ascii="Verdana" w:hAnsi="Verdana"/>
          <w:sz w:val="20"/>
          <w:szCs w:val="20"/>
        </w:rPr>
        <w:t>evaluation.</w:t>
      </w:r>
      <w:r w:rsidR="001C40A0" w:rsidRPr="00B46E97">
        <w:rPr>
          <w:rFonts w:ascii="Verdana" w:hAnsi="Verdana"/>
          <w:sz w:val="20"/>
          <w:szCs w:val="20"/>
          <w:lang w:val="en"/>
        </w:rPr>
        <w:t xml:space="preserve"> The</w:t>
      </w:r>
      <w:r w:rsidR="00711F8E" w:rsidRPr="00B46E97">
        <w:rPr>
          <w:rFonts w:ascii="Verdana" w:hAnsi="Verdana"/>
          <w:sz w:val="20"/>
          <w:szCs w:val="20"/>
          <w:lang w:val="en"/>
        </w:rPr>
        <w:t xml:space="preserve"> projects were selected according to the following criteria:</w:t>
      </w:r>
    </w:p>
    <w:p w14:paraId="2EB6A5B7" w14:textId="77777777" w:rsidR="00711F8E" w:rsidRPr="00B46E97" w:rsidRDefault="00711F8E" w:rsidP="00711F8E">
      <w:pPr>
        <w:numPr>
          <w:ilvl w:val="0"/>
          <w:numId w:val="3"/>
        </w:numPr>
        <w:spacing w:before="120" w:after="120" w:line="240" w:lineRule="auto"/>
        <w:jc w:val="both"/>
        <w:rPr>
          <w:rFonts w:ascii="Verdana" w:eastAsia="Times New Roman" w:hAnsi="Verdana" w:cs="Times New Roman"/>
          <w:color w:val="000000"/>
          <w:sz w:val="20"/>
          <w:szCs w:val="20"/>
          <w:lang w:eastAsia="en-GB"/>
        </w:rPr>
      </w:pPr>
      <w:r w:rsidRPr="00B46E97">
        <w:rPr>
          <w:rFonts w:ascii="Verdana" w:hAnsi="Verdana"/>
          <w:color w:val="000000"/>
          <w:sz w:val="20"/>
          <w:szCs w:val="20"/>
          <w:lang w:val="en" w:eastAsia="en-GB"/>
        </w:rPr>
        <w:t>completion stage;</w:t>
      </w:r>
    </w:p>
    <w:p w14:paraId="30003992" w14:textId="77777777" w:rsidR="00711F8E" w:rsidRPr="00B46E97" w:rsidRDefault="00711F8E" w:rsidP="00711F8E">
      <w:pPr>
        <w:numPr>
          <w:ilvl w:val="0"/>
          <w:numId w:val="3"/>
        </w:numPr>
        <w:spacing w:before="120" w:after="120" w:line="240" w:lineRule="auto"/>
        <w:jc w:val="both"/>
        <w:rPr>
          <w:rFonts w:ascii="Verdana" w:eastAsia="Times New Roman" w:hAnsi="Verdana" w:cs="Times New Roman"/>
          <w:color w:val="000000"/>
          <w:sz w:val="20"/>
          <w:szCs w:val="20"/>
          <w:lang w:eastAsia="en-GB"/>
        </w:rPr>
      </w:pPr>
      <w:r w:rsidRPr="00B46E97">
        <w:rPr>
          <w:rFonts w:ascii="Verdana" w:hAnsi="Verdana"/>
          <w:color w:val="000000"/>
          <w:sz w:val="20"/>
          <w:szCs w:val="20"/>
          <w:lang w:val="en" w:eastAsia="en-GB"/>
        </w:rPr>
        <w:t>period of operation with historical data available;</w:t>
      </w:r>
    </w:p>
    <w:p w14:paraId="13AD5296" w14:textId="35EFED35" w:rsidR="00711F8E" w:rsidRPr="00B46E97" w:rsidRDefault="00711F8E" w:rsidP="00711F8E">
      <w:pPr>
        <w:numPr>
          <w:ilvl w:val="0"/>
          <w:numId w:val="3"/>
        </w:numPr>
        <w:spacing w:before="120" w:after="120" w:line="240" w:lineRule="auto"/>
        <w:jc w:val="both"/>
        <w:rPr>
          <w:rFonts w:ascii="Verdana" w:eastAsia="Times New Roman" w:hAnsi="Verdana" w:cs="Times New Roman"/>
          <w:color w:val="000000"/>
          <w:sz w:val="20"/>
          <w:szCs w:val="20"/>
          <w:lang w:eastAsia="en-GB"/>
        </w:rPr>
      </w:pPr>
      <w:r w:rsidRPr="00B46E97">
        <w:rPr>
          <w:rFonts w:ascii="Verdana" w:hAnsi="Verdana"/>
          <w:color w:val="000000"/>
          <w:sz w:val="20"/>
          <w:szCs w:val="20"/>
          <w:lang w:val="en" w:eastAsia="en-GB"/>
        </w:rPr>
        <w:t xml:space="preserve">availability of data for basic parameters and/or indicators in the operational phase </w:t>
      </w:r>
      <w:r w:rsidR="00B57B75" w:rsidRPr="00B46E97">
        <w:rPr>
          <w:rFonts w:ascii="Verdana" w:hAnsi="Verdana"/>
          <w:color w:val="000000"/>
          <w:sz w:val="20"/>
          <w:szCs w:val="20"/>
          <w:lang w:val="en" w:eastAsia="en-GB"/>
        </w:rPr>
        <w:t>consistent</w:t>
      </w:r>
      <w:r w:rsidRPr="00B46E97">
        <w:rPr>
          <w:rFonts w:ascii="Verdana" w:hAnsi="Verdana"/>
          <w:color w:val="000000"/>
          <w:sz w:val="20"/>
          <w:szCs w:val="20"/>
          <w:lang w:val="en" w:eastAsia="en-GB"/>
        </w:rPr>
        <w:t xml:space="preserve"> with those in the project preparation phase.</w:t>
      </w:r>
    </w:p>
    <w:p w14:paraId="4BEE2701" w14:textId="5E0B6926" w:rsidR="00587116" w:rsidRPr="00B46E97" w:rsidRDefault="00E86C36" w:rsidP="00393D04">
      <w:pPr>
        <w:spacing w:before="120" w:after="120" w:line="240" w:lineRule="auto"/>
        <w:jc w:val="both"/>
        <w:rPr>
          <w:rFonts w:ascii="Verdana" w:hAnsi="Verdana"/>
          <w:sz w:val="20"/>
          <w:szCs w:val="20"/>
          <w:lang w:val="bg-BG"/>
        </w:rPr>
      </w:pPr>
      <w:r w:rsidRPr="00B46E97">
        <w:rPr>
          <w:rFonts w:ascii="Verdana" w:hAnsi="Verdana"/>
          <w:color w:val="000000"/>
          <w:sz w:val="20"/>
          <w:szCs w:val="20"/>
          <w:lang w:val="en" w:eastAsia="en-GB"/>
        </w:rPr>
        <w:t>Case studies examined three phases of the projects – preparation, implementation and exploitation</w:t>
      </w:r>
      <w:r w:rsidR="00B57B75" w:rsidRPr="00B46E97">
        <w:rPr>
          <w:rFonts w:ascii="Verdana" w:hAnsi="Verdana"/>
          <w:color w:val="000000"/>
          <w:sz w:val="20"/>
          <w:szCs w:val="20"/>
          <w:lang w:val="en" w:eastAsia="en-GB"/>
        </w:rPr>
        <w:t xml:space="preserve">, </w:t>
      </w:r>
      <w:r w:rsidR="00B624AD" w:rsidRPr="00B46E97">
        <w:rPr>
          <w:rFonts w:ascii="Verdana" w:hAnsi="Verdana"/>
          <w:color w:val="000000"/>
          <w:sz w:val="20"/>
          <w:szCs w:val="20"/>
          <w:lang w:val="en" w:eastAsia="en-GB"/>
        </w:rPr>
        <w:t>including</w:t>
      </w:r>
      <w:r w:rsidR="00B57B75" w:rsidRPr="00B46E97">
        <w:rPr>
          <w:rFonts w:ascii="Verdana" w:hAnsi="Verdana"/>
          <w:color w:val="000000"/>
          <w:sz w:val="20"/>
          <w:szCs w:val="20"/>
          <w:lang w:val="en" w:eastAsia="en-GB"/>
        </w:rPr>
        <w:t xml:space="preserve"> </w:t>
      </w:r>
      <w:r w:rsidR="00B624AD" w:rsidRPr="00B46E97">
        <w:rPr>
          <w:rFonts w:ascii="Verdana" w:hAnsi="Verdana"/>
          <w:color w:val="000000"/>
          <w:sz w:val="20"/>
          <w:szCs w:val="20"/>
          <w:lang w:val="en" w:eastAsia="en-GB"/>
        </w:rPr>
        <w:t xml:space="preserve">specific </w:t>
      </w:r>
      <w:r w:rsidR="00B57B75" w:rsidRPr="00B46E97">
        <w:rPr>
          <w:rFonts w:ascii="Verdana" w:hAnsi="Verdana"/>
          <w:color w:val="000000"/>
          <w:sz w:val="20"/>
          <w:szCs w:val="20"/>
          <w:lang w:val="en" w:eastAsia="en-GB"/>
        </w:rPr>
        <w:t>p</w:t>
      </w:r>
      <w:r w:rsidRPr="00B46E97">
        <w:rPr>
          <w:rFonts w:ascii="Verdana" w:hAnsi="Verdana"/>
          <w:color w:val="000000"/>
          <w:sz w:val="20"/>
          <w:szCs w:val="20"/>
          <w:lang w:val="en" w:eastAsia="en-GB"/>
        </w:rPr>
        <w:t>roblems in the different phases, changes in scope and investment costs, basic operating parameters and</w:t>
      </w:r>
      <w:r w:rsidR="00B624AD" w:rsidRPr="00B46E97">
        <w:rPr>
          <w:rFonts w:ascii="Verdana" w:hAnsi="Verdana"/>
          <w:color w:val="000000"/>
          <w:sz w:val="20"/>
          <w:szCs w:val="20"/>
          <w:lang w:val="en" w:eastAsia="en-GB"/>
        </w:rPr>
        <w:t xml:space="preserve"> achieved impacts compared to the forecasted effects</w:t>
      </w:r>
      <w:r w:rsidRPr="00B46E97">
        <w:rPr>
          <w:rFonts w:ascii="Verdana" w:hAnsi="Verdana"/>
          <w:color w:val="000000"/>
          <w:sz w:val="20"/>
          <w:szCs w:val="20"/>
          <w:lang w:val="en" w:eastAsia="en-GB"/>
        </w:rPr>
        <w:t>. Detailed information on case studies is included in the detailed version of the evaluation report.</w:t>
      </w:r>
    </w:p>
    <w:p w14:paraId="15329B3F" w14:textId="519C5EA6" w:rsidR="00237705" w:rsidRPr="00B46E97" w:rsidRDefault="00237705" w:rsidP="00237705">
      <w:pPr>
        <w:jc w:val="both"/>
        <w:rPr>
          <w:rFonts w:ascii="Verdana" w:hAnsi="Verdana"/>
          <w:b/>
          <w:bCs/>
          <w:i/>
          <w:iCs/>
          <w:color w:val="374E81"/>
          <w:sz w:val="20"/>
          <w:szCs w:val="20"/>
          <w:lang w:val="bg-BG"/>
        </w:rPr>
      </w:pPr>
      <w:r w:rsidRPr="00B46E97">
        <w:rPr>
          <w:rFonts w:ascii="Verdana" w:hAnsi="Verdana"/>
          <w:b/>
          <w:bCs/>
          <w:i/>
          <w:iCs/>
          <w:color w:val="374E81"/>
          <w:sz w:val="20"/>
          <w:szCs w:val="20"/>
          <w:lang w:val="en"/>
        </w:rPr>
        <w:t xml:space="preserve">Investment </w:t>
      </w:r>
      <w:r w:rsidR="008F70E0" w:rsidRPr="00B46E97">
        <w:rPr>
          <w:rFonts w:ascii="Verdana" w:hAnsi="Verdana"/>
          <w:b/>
          <w:bCs/>
          <w:i/>
          <w:iCs/>
          <w:color w:val="374E81"/>
          <w:sz w:val="20"/>
          <w:szCs w:val="20"/>
          <w:lang w:val="en"/>
        </w:rPr>
        <w:t>costs</w:t>
      </w:r>
    </w:p>
    <w:p w14:paraId="20A94731" w14:textId="77777777" w:rsidR="009075C1" w:rsidRPr="00B46E97" w:rsidRDefault="009075C1" w:rsidP="009075C1">
      <w:pPr>
        <w:spacing w:line="22" w:lineRule="atLeast"/>
        <w:jc w:val="both"/>
        <w:rPr>
          <w:rFonts w:ascii="Verdana" w:hAnsi="Verdana"/>
          <w:sz w:val="20"/>
          <w:szCs w:val="20"/>
        </w:rPr>
      </w:pPr>
      <w:r w:rsidRPr="00B46E97">
        <w:rPr>
          <w:rFonts w:ascii="Verdana" w:hAnsi="Verdana"/>
          <w:sz w:val="20"/>
          <w:szCs w:val="20"/>
        </w:rPr>
        <w:t>The investment costs in all sectors tend to decrease. The largest deviations from the forecasted values were reported in the railway sector, where major changes in the structure of investment costs took place. The comparison of the results by projects and sectors shows that the smallest deviations between the forecasted and the paid amounts were reported in all projects for metro extension. In the road sector the deviation in two of the projects is up to 30%, but in the project BG161PO004-2.0.01-0015 Western Arc of SRR there are deviations accounting for more than 30% in the different cost categories.</w:t>
      </w:r>
    </w:p>
    <w:p w14:paraId="191CE8F0" w14:textId="44B2FF40" w:rsidR="009075C1" w:rsidRPr="00B46E97" w:rsidRDefault="009075C1" w:rsidP="009075C1">
      <w:pPr>
        <w:spacing w:line="22" w:lineRule="atLeast"/>
        <w:jc w:val="both"/>
        <w:rPr>
          <w:rFonts w:ascii="Verdana" w:hAnsi="Verdana"/>
          <w:sz w:val="20"/>
          <w:szCs w:val="20"/>
        </w:rPr>
      </w:pPr>
      <w:r w:rsidRPr="00B46E97">
        <w:rPr>
          <w:rFonts w:ascii="Verdana" w:hAnsi="Verdana"/>
          <w:sz w:val="20"/>
          <w:szCs w:val="20"/>
        </w:rPr>
        <w:t>The reasons for deviations in investment costs are analysed in detail in the detailed case studies and</w:t>
      </w:r>
      <w:r w:rsidR="002C7745" w:rsidRPr="00B46E97">
        <w:rPr>
          <w:rFonts w:ascii="Verdana" w:hAnsi="Verdana"/>
          <w:sz w:val="20"/>
          <w:szCs w:val="20"/>
        </w:rPr>
        <w:t xml:space="preserve"> include drop-out</w:t>
      </w:r>
      <w:r w:rsidRPr="00B46E97">
        <w:rPr>
          <w:rFonts w:ascii="Verdana" w:hAnsi="Verdana"/>
          <w:sz w:val="20"/>
          <w:szCs w:val="20"/>
        </w:rPr>
        <w:t xml:space="preserve"> of activities due to delays in implementation, lower value of construction contracts, unforeseen project costs and others.</w:t>
      </w:r>
    </w:p>
    <w:p w14:paraId="497465C8" w14:textId="40C9B507" w:rsidR="00237705" w:rsidRPr="00B46E97" w:rsidRDefault="00237705" w:rsidP="00237705">
      <w:pPr>
        <w:jc w:val="both"/>
        <w:rPr>
          <w:rFonts w:ascii="Verdana" w:hAnsi="Verdana"/>
          <w:b/>
          <w:bCs/>
          <w:i/>
          <w:iCs/>
          <w:color w:val="374E81"/>
          <w:sz w:val="20"/>
          <w:szCs w:val="20"/>
          <w:lang w:val="bg-BG"/>
        </w:rPr>
      </w:pPr>
      <w:r w:rsidRPr="00B46E97">
        <w:rPr>
          <w:rFonts w:ascii="Verdana" w:hAnsi="Verdana"/>
          <w:b/>
          <w:bCs/>
          <w:i/>
          <w:iCs/>
          <w:color w:val="374E81"/>
          <w:sz w:val="20"/>
          <w:szCs w:val="20"/>
          <w:lang w:val="en"/>
        </w:rPr>
        <w:t>Project effectiveness</w:t>
      </w:r>
    </w:p>
    <w:p w14:paraId="254B88D5" w14:textId="5DD5D1C5" w:rsidR="00EF5CEA" w:rsidRPr="00B46E97" w:rsidRDefault="00B46E97" w:rsidP="00EF5CEA">
      <w:pPr>
        <w:spacing w:line="22" w:lineRule="atLeast"/>
        <w:jc w:val="both"/>
        <w:rPr>
          <w:rFonts w:ascii="Verdana" w:hAnsi="Verdana"/>
          <w:sz w:val="20"/>
          <w:szCs w:val="20"/>
        </w:rPr>
      </w:pPr>
      <w:r w:rsidRPr="00B46E97">
        <w:rPr>
          <w:rFonts w:ascii="Verdana" w:hAnsi="Verdana"/>
          <w:sz w:val="20"/>
          <w:szCs w:val="20"/>
        </w:rPr>
        <w:t>Most</w:t>
      </w:r>
      <w:r w:rsidR="00EF5CEA" w:rsidRPr="00B46E97">
        <w:rPr>
          <w:rFonts w:ascii="Verdana" w:hAnsi="Verdana"/>
          <w:sz w:val="20"/>
          <w:szCs w:val="20"/>
        </w:rPr>
        <w:t xml:space="preserve"> projects have met the objectives and project indicators. There has been a drop-off of activities in three of the projects, two of which are phased out in the next programming period and one is implemented in full using national funds. Delays in implementation are mainly observed in the railway sector and some road projects, as well as the projects under PA 4. </w:t>
      </w:r>
    </w:p>
    <w:p w14:paraId="3A0124C1" w14:textId="32EF66E7" w:rsidR="00237705" w:rsidRPr="00324242" w:rsidRDefault="00237705" w:rsidP="00237705">
      <w:pPr>
        <w:jc w:val="both"/>
        <w:rPr>
          <w:rFonts w:ascii="Verdana" w:hAnsi="Verdana"/>
          <w:b/>
          <w:bCs/>
          <w:i/>
          <w:iCs/>
          <w:color w:val="374E81"/>
          <w:sz w:val="20"/>
          <w:szCs w:val="20"/>
          <w:lang w:val="bg-BG"/>
        </w:rPr>
      </w:pPr>
      <w:r w:rsidRPr="00324242">
        <w:rPr>
          <w:rFonts w:ascii="Verdana" w:hAnsi="Verdana"/>
          <w:b/>
          <w:bCs/>
          <w:i/>
          <w:iCs/>
          <w:color w:val="374E81"/>
          <w:sz w:val="20"/>
          <w:szCs w:val="20"/>
          <w:lang w:val="en"/>
        </w:rPr>
        <w:t>Added value of projects</w:t>
      </w:r>
    </w:p>
    <w:p w14:paraId="7D2C88D4" w14:textId="77777777" w:rsidR="00ED2143" w:rsidRPr="00ED2143" w:rsidRDefault="00ED2143" w:rsidP="00ED2143">
      <w:pPr>
        <w:spacing w:line="22" w:lineRule="atLeast"/>
        <w:jc w:val="both"/>
        <w:rPr>
          <w:rFonts w:ascii="Verdana" w:hAnsi="Verdana"/>
          <w:sz w:val="20"/>
          <w:szCs w:val="20"/>
          <w:lang w:val="en"/>
        </w:rPr>
      </w:pPr>
      <w:r w:rsidRPr="00ED2143">
        <w:rPr>
          <w:rFonts w:ascii="Verdana" w:hAnsi="Verdana"/>
          <w:sz w:val="20"/>
          <w:szCs w:val="20"/>
          <w:lang w:val="en"/>
        </w:rPr>
        <w:t>The achieved project benefits have been evaluated via a retrospective cost-benefit analysis in the implementation phase and a comparison of the projected benefits. Most projects demonstrate a high level of achieved economic benefits (above 30%). The achieved benefit ratio is the lowest for projects in the rail sector and one of the projects for metro extension, due to significantly lower reported traffic data (including transported passengers and freight) compared to the forecasted values. This is due to the optimistic forecast in the ex-ante CBA, as well as reduction in volumes of passenger and freight flows in the railway sector, following the global economic crisis in 2008-2010. Road projects report high level of fulfillment of traffic forecasts, and therefore the economic benefits are considered to have been achieved to a high degree.</w:t>
      </w:r>
    </w:p>
    <w:p w14:paraId="308A2A4C" w14:textId="77777777" w:rsidR="00ED2143" w:rsidRPr="00ED2143" w:rsidRDefault="00ED2143" w:rsidP="00ED2143">
      <w:pPr>
        <w:spacing w:line="22" w:lineRule="atLeast"/>
        <w:jc w:val="both"/>
        <w:rPr>
          <w:rFonts w:ascii="Verdana" w:hAnsi="Verdana"/>
          <w:sz w:val="20"/>
          <w:szCs w:val="20"/>
          <w:lang w:val="en"/>
        </w:rPr>
      </w:pPr>
      <w:r w:rsidRPr="00ED2143">
        <w:rPr>
          <w:rFonts w:ascii="Verdana" w:hAnsi="Verdana"/>
          <w:sz w:val="20"/>
          <w:szCs w:val="20"/>
          <w:lang w:val="en"/>
        </w:rPr>
        <w:t xml:space="preserve">Times savings are the most significant economic benefit, with highest share in all projects (over 50% of all benefits for all projects), followed by reduced vehicle operating costs, increased travel safety, reduced carbon emissions and other environmental benefits. The degree of achievement of economic benefits is highly dependent on the change in the value of time, which in the ex-ante CBA has been linked to GDP growth. Overall, the ex-ante </w:t>
      </w:r>
      <w:r w:rsidRPr="00ED2143">
        <w:rPr>
          <w:rFonts w:ascii="Verdana" w:hAnsi="Verdana"/>
          <w:sz w:val="20"/>
          <w:szCs w:val="20"/>
          <w:lang w:val="en"/>
        </w:rPr>
        <w:lastRenderedPageBreak/>
        <w:t>CBA had a very optimistic forecast for GDP growth, respectively for the growth of the value of time. Historical data show a lower rate of GDP growth, which is the reason to observe lower achieved benefits from time savings by 2019 than forecasted.</w:t>
      </w:r>
    </w:p>
    <w:p w14:paraId="3F85740F" w14:textId="77777777" w:rsidR="00ED2143" w:rsidRPr="00ED2143" w:rsidRDefault="00ED2143" w:rsidP="00ED2143">
      <w:pPr>
        <w:spacing w:line="22" w:lineRule="atLeast"/>
        <w:jc w:val="both"/>
        <w:rPr>
          <w:rFonts w:ascii="Verdana" w:hAnsi="Verdana"/>
          <w:sz w:val="20"/>
          <w:szCs w:val="20"/>
          <w:lang w:val="en"/>
        </w:rPr>
      </w:pPr>
      <w:r w:rsidRPr="00ED2143">
        <w:rPr>
          <w:rFonts w:ascii="Verdana" w:hAnsi="Verdana"/>
          <w:sz w:val="20"/>
          <w:szCs w:val="20"/>
          <w:lang w:val="en"/>
        </w:rPr>
        <w:t>Most road projects have negative environmental impacts, but these are offset by the other positive economic benefits.</w:t>
      </w:r>
    </w:p>
    <w:p w14:paraId="7DC2441A" w14:textId="77777777" w:rsidR="00ED2143" w:rsidRPr="00ED2143" w:rsidRDefault="00ED2143" w:rsidP="00ED2143">
      <w:pPr>
        <w:spacing w:line="22" w:lineRule="atLeast"/>
        <w:jc w:val="both"/>
        <w:rPr>
          <w:rFonts w:ascii="Verdana" w:hAnsi="Verdana"/>
          <w:sz w:val="20"/>
          <w:szCs w:val="20"/>
        </w:rPr>
      </w:pPr>
      <w:r w:rsidRPr="00ED2143">
        <w:rPr>
          <w:rFonts w:ascii="Verdana" w:hAnsi="Verdana"/>
          <w:sz w:val="20"/>
          <w:szCs w:val="20"/>
          <w:lang w:val="en"/>
        </w:rPr>
        <w:t>The optimistic ex-ante forecasts of traffic and benefits are typical to many projects across the European Union, as highlighted in the Evaluation Report on major projects financed by the ERDF and CF in the period 2000-2013</w:t>
      </w:r>
      <w:r w:rsidRPr="00ED2143">
        <w:rPr>
          <w:rFonts w:ascii="Verdana" w:hAnsi="Verdana"/>
          <w:sz w:val="20"/>
          <w:szCs w:val="20"/>
          <w:vertAlign w:val="superscript"/>
          <w:lang w:val="en"/>
        </w:rPr>
        <w:footnoteReference w:id="24"/>
      </w:r>
      <w:r w:rsidRPr="00ED2143">
        <w:rPr>
          <w:rFonts w:ascii="Verdana" w:hAnsi="Verdana"/>
          <w:sz w:val="20"/>
          <w:szCs w:val="20"/>
        </w:rPr>
        <w:t>.</w:t>
      </w:r>
    </w:p>
    <w:p w14:paraId="3674DE97" w14:textId="77777777" w:rsidR="00237705" w:rsidRPr="00324242" w:rsidRDefault="00237705" w:rsidP="00237705">
      <w:pPr>
        <w:jc w:val="both"/>
        <w:rPr>
          <w:rFonts w:ascii="Verdana" w:hAnsi="Verdana"/>
          <w:b/>
          <w:bCs/>
          <w:i/>
          <w:color w:val="374E81"/>
          <w:sz w:val="20"/>
          <w:szCs w:val="20"/>
          <w:lang w:val="bg-BG"/>
        </w:rPr>
      </w:pPr>
      <w:r w:rsidRPr="00324242">
        <w:rPr>
          <w:rFonts w:ascii="Verdana" w:hAnsi="Verdana"/>
          <w:b/>
          <w:bCs/>
          <w:i/>
          <w:color w:val="374E81"/>
          <w:sz w:val="20"/>
          <w:szCs w:val="20"/>
          <w:lang w:val="en"/>
        </w:rPr>
        <w:t>Main problems</w:t>
      </w:r>
    </w:p>
    <w:p w14:paraId="31344961" w14:textId="77777777" w:rsidR="00136A99" w:rsidRPr="00136A99" w:rsidRDefault="00136A99" w:rsidP="00136A99">
      <w:pPr>
        <w:spacing w:line="22" w:lineRule="atLeast"/>
        <w:jc w:val="both"/>
        <w:rPr>
          <w:rFonts w:ascii="Verdana" w:hAnsi="Verdana"/>
          <w:sz w:val="20"/>
          <w:szCs w:val="20"/>
        </w:rPr>
      </w:pPr>
      <w:r w:rsidRPr="00136A99">
        <w:rPr>
          <w:rFonts w:ascii="Verdana" w:hAnsi="Verdana"/>
          <w:sz w:val="20"/>
          <w:szCs w:val="20"/>
          <w:lang w:val="en"/>
        </w:rPr>
        <w:t>Case studies identify the main problems in all phases of the project cycle. Delays in the preparation and implementation of projects are mainly due to problems at design stage, administrative procedures and procedures for settlement of ownership, problems in the implementation of PPA, SPA and FIDIC, procedures with archaeological sites, appeals of public procurement procedures. Delays in the preparation and implementation of large-scale infrastructure projects are typical not only for Bulgaria, but for the entire European Union, as reported in the ex-post evaluation of major projects financed by the ERDF and CF during the 2000-2013 programming period.</w:t>
      </w:r>
    </w:p>
    <w:p w14:paraId="3DEFD9EB" w14:textId="77777777" w:rsidR="00136A99" w:rsidRPr="00136A99" w:rsidRDefault="00136A99" w:rsidP="00136A99">
      <w:pPr>
        <w:spacing w:line="22" w:lineRule="atLeast"/>
        <w:jc w:val="both"/>
        <w:rPr>
          <w:rFonts w:ascii="Verdana" w:hAnsi="Verdana"/>
          <w:sz w:val="20"/>
          <w:szCs w:val="20"/>
        </w:rPr>
      </w:pPr>
      <w:r w:rsidRPr="00136A99">
        <w:rPr>
          <w:rFonts w:ascii="Verdana" w:hAnsi="Verdana"/>
          <w:sz w:val="20"/>
          <w:szCs w:val="20"/>
          <w:lang w:val="en"/>
        </w:rPr>
        <w:t>In some cases, there have been difficulties in provision of own funds for projects implementation, as well as for financial corrections under commercial contracts, which are also among the significant problems during implementation.</w:t>
      </w:r>
    </w:p>
    <w:p w14:paraId="3587D162" w14:textId="77777777" w:rsidR="00136A99" w:rsidRPr="00136A99" w:rsidRDefault="00136A99" w:rsidP="00136A99">
      <w:pPr>
        <w:spacing w:line="22" w:lineRule="atLeast"/>
        <w:jc w:val="both"/>
        <w:rPr>
          <w:rFonts w:ascii="Verdana" w:hAnsi="Verdana"/>
          <w:sz w:val="20"/>
          <w:szCs w:val="20"/>
        </w:rPr>
      </w:pPr>
      <w:r w:rsidRPr="00136A99">
        <w:rPr>
          <w:rFonts w:ascii="Verdana" w:hAnsi="Verdana"/>
          <w:sz w:val="20"/>
          <w:szCs w:val="20"/>
          <w:lang w:val="en"/>
        </w:rPr>
        <w:t>Data from the operation stage show significant deviations of reported traffic and passenger flow compared to the forecasts, which reflects on financial sustainability and achieved economic benefits.</w:t>
      </w:r>
    </w:p>
    <w:p w14:paraId="0881C6A7" w14:textId="77777777" w:rsidR="00237705" w:rsidRPr="00324242" w:rsidRDefault="00237705" w:rsidP="00237705">
      <w:pPr>
        <w:jc w:val="both"/>
        <w:rPr>
          <w:rFonts w:ascii="Verdana" w:hAnsi="Verdana"/>
          <w:b/>
          <w:bCs/>
          <w:i/>
          <w:color w:val="374E81"/>
          <w:sz w:val="20"/>
          <w:szCs w:val="20"/>
          <w:lang w:val="bg-BG"/>
        </w:rPr>
      </w:pPr>
      <w:r w:rsidRPr="00324242">
        <w:rPr>
          <w:rFonts w:ascii="Verdana" w:hAnsi="Verdana"/>
          <w:b/>
          <w:bCs/>
          <w:i/>
          <w:color w:val="374E81"/>
          <w:sz w:val="20"/>
          <w:szCs w:val="20"/>
          <w:lang w:val="en"/>
        </w:rPr>
        <w:t>Main recommendations</w:t>
      </w:r>
    </w:p>
    <w:p w14:paraId="5050CDFA" w14:textId="77777777" w:rsidR="00A407D9" w:rsidRPr="00A407D9" w:rsidRDefault="00A407D9" w:rsidP="00A407D9">
      <w:pPr>
        <w:spacing w:line="22" w:lineRule="atLeast"/>
        <w:jc w:val="both"/>
        <w:rPr>
          <w:rFonts w:ascii="Verdana" w:hAnsi="Verdana"/>
          <w:sz w:val="20"/>
          <w:szCs w:val="20"/>
        </w:rPr>
      </w:pPr>
      <w:r w:rsidRPr="00A407D9">
        <w:rPr>
          <w:rFonts w:ascii="Verdana" w:hAnsi="Verdana"/>
          <w:sz w:val="20"/>
          <w:szCs w:val="20"/>
          <w:lang w:val="en"/>
        </w:rPr>
        <w:t xml:space="preserve">Based on the experience gained and the reported data in operation phase, it is advisable to </w:t>
      </w:r>
      <w:r w:rsidRPr="00A407D9">
        <w:rPr>
          <w:rFonts w:ascii="Verdana" w:hAnsi="Verdana"/>
          <w:sz w:val="20"/>
          <w:szCs w:val="20"/>
          <w:lang w:val="en-US"/>
        </w:rPr>
        <w:t>carefully set assumptions for</w:t>
      </w:r>
      <w:r w:rsidRPr="00A407D9">
        <w:rPr>
          <w:rFonts w:ascii="Verdana" w:hAnsi="Verdana"/>
          <w:sz w:val="20"/>
          <w:szCs w:val="20"/>
          <w:lang w:val="en"/>
        </w:rPr>
        <w:t xml:space="preserve"> passenger flow and cargo flow values in the preparation of subsequent CBA, which are feasibly achieved.</w:t>
      </w:r>
    </w:p>
    <w:p w14:paraId="46FADF8A" w14:textId="77777777" w:rsidR="00A407D9" w:rsidRPr="00A407D9" w:rsidRDefault="00A407D9" w:rsidP="00A407D9">
      <w:pPr>
        <w:spacing w:line="22" w:lineRule="atLeast"/>
        <w:jc w:val="both"/>
        <w:rPr>
          <w:rFonts w:ascii="Verdana" w:hAnsi="Verdana"/>
          <w:sz w:val="20"/>
          <w:szCs w:val="20"/>
          <w:lang w:val="en"/>
        </w:rPr>
      </w:pPr>
      <w:r w:rsidRPr="00A407D9">
        <w:rPr>
          <w:rFonts w:ascii="Verdana" w:hAnsi="Verdana"/>
          <w:sz w:val="20"/>
          <w:szCs w:val="20"/>
          <w:lang w:val="en"/>
        </w:rPr>
        <w:t>It is recommended that the MA, together with the beneficiaries, timely identify sources of funding for own funds, including the EIB and other international financial</w:t>
      </w:r>
      <w:r w:rsidRPr="00A407D9">
        <w:rPr>
          <w:rFonts w:ascii="Verdana" w:hAnsi="Verdana"/>
          <w:sz w:val="20"/>
          <w:szCs w:val="20"/>
        </w:rPr>
        <w:t xml:space="preserve"> </w:t>
      </w:r>
      <w:r w:rsidRPr="00A407D9">
        <w:rPr>
          <w:rFonts w:ascii="Verdana" w:hAnsi="Verdana"/>
          <w:sz w:val="20"/>
          <w:szCs w:val="20"/>
          <w:lang w:val="en"/>
        </w:rPr>
        <w:t>institutions.</w:t>
      </w:r>
    </w:p>
    <w:p w14:paraId="215E844E" w14:textId="77777777" w:rsidR="00A407D9" w:rsidRPr="00A407D9" w:rsidRDefault="00A407D9" w:rsidP="00A407D9">
      <w:pPr>
        <w:spacing w:line="22" w:lineRule="atLeast"/>
        <w:jc w:val="both"/>
        <w:rPr>
          <w:rFonts w:ascii="Verdana" w:hAnsi="Verdana"/>
          <w:sz w:val="20"/>
          <w:szCs w:val="20"/>
          <w:lang w:val="en"/>
        </w:rPr>
      </w:pPr>
      <w:r w:rsidRPr="00A407D9">
        <w:rPr>
          <w:rFonts w:ascii="Verdana" w:hAnsi="Verdana"/>
          <w:sz w:val="20"/>
          <w:szCs w:val="20"/>
          <w:lang w:val="en"/>
        </w:rPr>
        <w:t xml:space="preserve">Increasing the administrative capacity of beneficiaries to implement PPA and </w:t>
      </w:r>
      <w:r w:rsidRPr="00A407D9">
        <w:rPr>
          <w:rFonts w:ascii="Verdana" w:hAnsi="Verdana"/>
          <w:sz w:val="20"/>
          <w:szCs w:val="20"/>
          <w:lang w:val="en-US"/>
        </w:rPr>
        <w:t>SPA</w:t>
      </w:r>
      <w:r w:rsidRPr="00A407D9">
        <w:rPr>
          <w:rFonts w:ascii="Verdana" w:hAnsi="Verdana"/>
          <w:sz w:val="20"/>
          <w:szCs w:val="20"/>
          <w:lang w:val="en"/>
        </w:rPr>
        <w:t xml:space="preserve"> is a key prerequisite for successful implementation and prevention of financial corrections caused by legislative violations.</w:t>
      </w:r>
    </w:p>
    <w:p w14:paraId="42066FA4" w14:textId="77777777" w:rsidR="00A407D9" w:rsidRPr="00A407D9" w:rsidRDefault="00A407D9" w:rsidP="00A407D9">
      <w:pPr>
        <w:spacing w:line="22" w:lineRule="atLeast"/>
        <w:jc w:val="both"/>
        <w:rPr>
          <w:rFonts w:ascii="Verdana" w:hAnsi="Verdana"/>
          <w:sz w:val="20"/>
          <w:szCs w:val="20"/>
          <w:lang w:val="en"/>
        </w:rPr>
      </w:pPr>
      <w:r w:rsidRPr="00A407D9">
        <w:rPr>
          <w:rFonts w:ascii="Verdana" w:hAnsi="Verdana"/>
          <w:sz w:val="20"/>
          <w:szCs w:val="20"/>
          <w:lang w:val="en"/>
        </w:rPr>
        <w:t>It is recommended to monitor project parameters in the future sustainability reports on an annual basis (per</w:t>
      </w:r>
      <w:r w:rsidRPr="00A407D9">
        <w:rPr>
          <w:rFonts w:ascii="Verdana" w:hAnsi="Verdana"/>
          <w:sz w:val="20"/>
          <w:szCs w:val="20"/>
        </w:rPr>
        <w:t xml:space="preserve"> </w:t>
      </w:r>
      <w:r w:rsidRPr="00A407D9">
        <w:rPr>
          <w:rFonts w:ascii="Verdana" w:hAnsi="Verdana"/>
          <w:sz w:val="20"/>
          <w:szCs w:val="20"/>
          <w:lang w:val="en"/>
        </w:rPr>
        <w:t>calendar year), including traffic, passenger and cargo flows data, as these are the main source of data for the preparation of retrospective cost</w:t>
      </w:r>
      <w:r w:rsidRPr="00A407D9">
        <w:rPr>
          <w:rFonts w:ascii="Verdana" w:hAnsi="Verdana"/>
          <w:sz w:val="20"/>
          <w:szCs w:val="20"/>
        </w:rPr>
        <w:t xml:space="preserve"> </w:t>
      </w:r>
      <w:r w:rsidRPr="00A407D9">
        <w:rPr>
          <w:rFonts w:ascii="Verdana" w:hAnsi="Verdana"/>
          <w:sz w:val="20"/>
          <w:szCs w:val="20"/>
          <w:lang w:val="en"/>
        </w:rPr>
        <w:t>benefit analyses within future estimates.</w:t>
      </w:r>
    </w:p>
    <w:p w14:paraId="2E7D63E8" w14:textId="77777777" w:rsidR="00313A94" w:rsidRPr="00F50700" w:rsidRDefault="00313A94" w:rsidP="00313A94">
      <w:pPr>
        <w:rPr>
          <w:rFonts w:ascii="Verdana" w:hAnsi="Verdana"/>
          <w:lang w:val="bg-BG"/>
        </w:rPr>
      </w:pPr>
    </w:p>
    <w:p w14:paraId="6F3A82A1" w14:textId="72FA42BD" w:rsidR="0043743C" w:rsidRPr="00F50700" w:rsidRDefault="00EE5391" w:rsidP="00A407D9">
      <w:pPr>
        <w:pStyle w:val="Heading1"/>
        <w:numPr>
          <w:ilvl w:val="0"/>
          <w:numId w:val="58"/>
        </w:numPr>
        <w:ind w:left="284" w:hanging="284"/>
        <w:jc w:val="both"/>
        <w:rPr>
          <w:rFonts w:ascii="Verdana" w:hAnsi="Verdana"/>
          <w:b/>
          <w:bCs/>
          <w:sz w:val="22"/>
          <w:szCs w:val="22"/>
          <w:lang w:val="bg-BG"/>
        </w:rPr>
      </w:pPr>
      <w:bookmarkStart w:id="124" w:name="_Toc62724404"/>
      <w:r w:rsidRPr="00F50700">
        <w:rPr>
          <w:rFonts w:ascii="Verdana" w:hAnsi="Verdana"/>
          <w:b/>
          <w:bCs/>
          <w:sz w:val="22"/>
          <w:szCs w:val="22"/>
          <w:lang w:val="en"/>
        </w:rPr>
        <w:t>CONCLUSIONS AND RECOMMENDATIONS OF THE IMPACT ASSESSMENT</w:t>
      </w:r>
      <w:bookmarkEnd w:id="124"/>
    </w:p>
    <w:p w14:paraId="67FB7396" w14:textId="348E254C" w:rsidR="005E456F" w:rsidRPr="00F50700" w:rsidRDefault="005E456F" w:rsidP="005E456F">
      <w:pPr>
        <w:rPr>
          <w:rFonts w:ascii="Verdana" w:hAnsi="Verdana"/>
          <w:lang w:val="bg-BG"/>
        </w:rPr>
      </w:pPr>
    </w:p>
    <w:p w14:paraId="3EDB3B16" w14:textId="5C15976C" w:rsidR="00DA79DC" w:rsidRPr="00324242" w:rsidRDefault="005E456F" w:rsidP="005E456F">
      <w:pPr>
        <w:jc w:val="both"/>
        <w:rPr>
          <w:rFonts w:ascii="Verdana" w:hAnsi="Verdana"/>
          <w:sz w:val="20"/>
          <w:szCs w:val="20"/>
          <w:lang w:val="bg-BG"/>
        </w:rPr>
      </w:pPr>
      <w:r w:rsidRPr="00324242">
        <w:rPr>
          <w:rFonts w:ascii="Verdana" w:hAnsi="Verdana"/>
          <w:sz w:val="20"/>
          <w:szCs w:val="20"/>
          <w:lang w:val="en"/>
        </w:rPr>
        <w:lastRenderedPageBreak/>
        <w:t xml:space="preserve">The main conclusions </w:t>
      </w:r>
      <w:r w:rsidR="00A15081">
        <w:rPr>
          <w:rFonts w:ascii="Verdana" w:hAnsi="Verdana"/>
          <w:sz w:val="20"/>
          <w:szCs w:val="20"/>
          <w:lang w:val="en"/>
        </w:rPr>
        <w:t xml:space="preserve">and recommendations </w:t>
      </w:r>
      <w:r w:rsidRPr="00324242">
        <w:rPr>
          <w:rFonts w:ascii="Verdana" w:hAnsi="Verdana"/>
          <w:sz w:val="20"/>
          <w:szCs w:val="20"/>
          <w:lang w:val="en"/>
        </w:rPr>
        <w:t>of the evaluation</w:t>
      </w:r>
      <w:r w:rsidR="00A15081">
        <w:rPr>
          <w:rFonts w:ascii="Verdana" w:hAnsi="Verdana"/>
          <w:sz w:val="20"/>
          <w:szCs w:val="20"/>
          <w:lang w:val="en"/>
        </w:rPr>
        <w:t xml:space="preserve"> are summarized </w:t>
      </w:r>
      <w:proofErr w:type="gramStart"/>
      <w:r w:rsidR="00A15081">
        <w:rPr>
          <w:rFonts w:ascii="Verdana" w:hAnsi="Verdana"/>
          <w:sz w:val="20"/>
          <w:szCs w:val="20"/>
          <w:lang w:val="en"/>
        </w:rPr>
        <w:t xml:space="preserve">in </w:t>
      </w:r>
      <w:r w:rsidRPr="00324242">
        <w:rPr>
          <w:rFonts w:ascii="Verdana" w:hAnsi="Verdana"/>
          <w:sz w:val="20"/>
          <w:szCs w:val="20"/>
          <w:lang w:val="en"/>
        </w:rPr>
        <w:t xml:space="preserve"> </w:t>
      </w:r>
      <w:proofErr w:type="gramEnd"/>
      <w:r w:rsidR="006C49C7">
        <w:rPr>
          <w:rFonts w:ascii="Verdana" w:hAnsi="Verdana"/>
          <w:sz w:val="20"/>
          <w:szCs w:val="20"/>
          <w:lang w:val="en"/>
        </w:rPr>
        <w:fldChar w:fldCharType="begin"/>
      </w:r>
      <w:r w:rsidR="006C49C7">
        <w:rPr>
          <w:rFonts w:ascii="Verdana" w:hAnsi="Verdana"/>
          <w:sz w:val="20"/>
          <w:szCs w:val="20"/>
          <w:lang w:val="en"/>
        </w:rPr>
        <w:instrText xml:space="preserve"> REF _Ref62647639 \h </w:instrText>
      </w:r>
      <w:r w:rsidR="006C49C7">
        <w:rPr>
          <w:rFonts w:ascii="Verdana" w:hAnsi="Verdana"/>
          <w:sz w:val="20"/>
          <w:szCs w:val="20"/>
          <w:lang w:val="en"/>
        </w:rPr>
      </w:r>
      <w:r w:rsidR="006C49C7">
        <w:rPr>
          <w:rFonts w:ascii="Verdana" w:hAnsi="Verdana"/>
          <w:sz w:val="20"/>
          <w:szCs w:val="20"/>
          <w:lang w:val="en"/>
        </w:rPr>
        <w:fldChar w:fldCharType="separate"/>
      </w:r>
      <w:r w:rsidR="001C40A0" w:rsidRPr="00A15081">
        <w:rPr>
          <w:rFonts w:ascii="Verdana" w:hAnsi="Verdana"/>
          <w:bCs/>
          <w:color w:val="374E81"/>
          <w:sz w:val="20"/>
          <w:szCs w:val="20"/>
          <w:lang w:val="en"/>
        </w:rPr>
        <w:t xml:space="preserve">Table </w:t>
      </w:r>
      <w:r w:rsidR="001C40A0">
        <w:rPr>
          <w:rFonts w:ascii="Verdana" w:hAnsi="Verdana"/>
          <w:bCs/>
          <w:noProof/>
          <w:color w:val="374E81"/>
          <w:sz w:val="20"/>
          <w:szCs w:val="20"/>
          <w:lang w:val="en"/>
        </w:rPr>
        <w:t>VI</w:t>
      </w:r>
      <w:r w:rsidR="001C40A0">
        <w:rPr>
          <w:rFonts w:ascii="Verdana" w:hAnsi="Verdana"/>
          <w:bCs/>
          <w:color w:val="374E81"/>
          <w:sz w:val="20"/>
          <w:szCs w:val="20"/>
          <w:lang w:val="en"/>
        </w:rPr>
        <w:noBreakHyphen/>
      </w:r>
      <w:r w:rsidR="001C40A0">
        <w:rPr>
          <w:rFonts w:ascii="Verdana" w:hAnsi="Verdana"/>
          <w:bCs/>
          <w:noProof/>
          <w:color w:val="374E81"/>
          <w:sz w:val="20"/>
          <w:szCs w:val="20"/>
          <w:lang w:val="en"/>
        </w:rPr>
        <w:t>1</w:t>
      </w:r>
      <w:r w:rsidR="006C49C7">
        <w:rPr>
          <w:rFonts w:ascii="Verdana" w:hAnsi="Verdana"/>
          <w:sz w:val="20"/>
          <w:szCs w:val="20"/>
          <w:lang w:val="en"/>
        </w:rPr>
        <w:fldChar w:fldCharType="end"/>
      </w:r>
      <w:r w:rsidR="006C49C7">
        <w:rPr>
          <w:rFonts w:ascii="Verdana" w:hAnsi="Verdana"/>
          <w:sz w:val="20"/>
          <w:szCs w:val="20"/>
          <w:lang w:val="en"/>
        </w:rPr>
        <w:t xml:space="preserve">, </w:t>
      </w:r>
      <w:r w:rsidRPr="00324242">
        <w:rPr>
          <w:rFonts w:ascii="Verdana" w:hAnsi="Verdana"/>
          <w:sz w:val="20"/>
          <w:szCs w:val="20"/>
          <w:lang w:val="en"/>
        </w:rPr>
        <w:t>indicating</w:t>
      </w:r>
      <w:r w:rsidR="006C49C7">
        <w:rPr>
          <w:rFonts w:ascii="Verdana" w:hAnsi="Verdana"/>
          <w:sz w:val="20"/>
          <w:szCs w:val="20"/>
          <w:lang w:val="en"/>
        </w:rPr>
        <w:t xml:space="preserve"> the relevant</w:t>
      </w:r>
      <w:r w:rsidRPr="00324242">
        <w:rPr>
          <w:rFonts w:ascii="Verdana" w:hAnsi="Verdana"/>
          <w:sz w:val="20"/>
          <w:szCs w:val="20"/>
          <w:lang w:val="en"/>
        </w:rPr>
        <w:t xml:space="preserve"> responsible</w:t>
      </w:r>
      <w:r w:rsidR="00DA79DC" w:rsidRPr="00324242">
        <w:rPr>
          <w:rFonts w:ascii="Verdana" w:hAnsi="Verdana"/>
          <w:sz w:val="20"/>
          <w:szCs w:val="20"/>
          <w:lang w:val="en"/>
        </w:rPr>
        <w:t xml:space="preserve"> structures and programming periods.</w:t>
      </w:r>
    </w:p>
    <w:p w14:paraId="10A495A0" w14:textId="435EF3A9" w:rsidR="00293B1E" w:rsidRPr="00F50700" w:rsidRDefault="00293B1E" w:rsidP="00DA79DC">
      <w:pPr>
        <w:jc w:val="both"/>
        <w:rPr>
          <w:rFonts w:ascii="Verdana" w:hAnsi="Verdana"/>
          <w:i/>
          <w:iCs/>
          <w:sz w:val="20"/>
          <w:szCs w:val="20"/>
          <w:lang w:val="bg-BG"/>
        </w:rPr>
        <w:sectPr w:rsidR="00293B1E" w:rsidRPr="00F50700" w:rsidSect="00903FE4">
          <w:headerReference w:type="default" r:id="rId36"/>
          <w:footerReference w:type="default" r:id="rId37"/>
          <w:pgSz w:w="11906" w:h="16838"/>
          <w:pgMar w:top="1417" w:right="1417" w:bottom="1417" w:left="1417" w:header="708" w:footer="708" w:gutter="0"/>
          <w:cols w:space="708"/>
          <w:docGrid w:linePitch="360"/>
        </w:sectPr>
      </w:pPr>
    </w:p>
    <w:p w14:paraId="038D7580" w14:textId="58B3FDA0" w:rsidR="00A15081" w:rsidRPr="00A15081" w:rsidRDefault="00A15081" w:rsidP="00A15081">
      <w:pPr>
        <w:pStyle w:val="Caption"/>
        <w:keepNext/>
        <w:rPr>
          <w:rFonts w:ascii="Verdana" w:hAnsi="Verdana"/>
          <w:bCs/>
          <w:color w:val="374E81"/>
          <w:sz w:val="20"/>
          <w:szCs w:val="20"/>
          <w:lang w:val="en"/>
        </w:rPr>
      </w:pPr>
      <w:bookmarkStart w:id="125" w:name="_Ref62647639"/>
      <w:bookmarkStart w:id="126" w:name="_Toc62724737"/>
      <w:bookmarkStart w:id="127" w:name="_Hlk55298594"/>
      <w:r w:rsidRPr="00A15081">
        <w:rPr>
          <w:rFonts w:ascii="Verdana" w:hAnsi="Verdana"/>
          <w:bCs/>
          <w:color w:val="374E81"/>
          <w:sz w:val="20"/>
          <w:szCs w:val="20"/>
          <w:lang w:val="en"/>
        </w:rPr>
        <w:lastRenderedPageBreak/>
        <w:t xml:space="preserve">Table </w:t>
      </w:r>
      <w:r w:rsidR="002A60EF">
        <w:rPr>
          <w:rFonts w:ascii="Verdana" w:hAnsi="Verdana"/>
          <w:bCs/>
          <w:color w:val="374E81"/>
          <w:sz w:val="20"/>
          <w:szCs w:val="20"/>
          <w:lang w:val="en"/>
        </w:rPr>
        <w:fldChar w:fldCharType="begin"/>
      </w:r>
      <w:r w:rsidR="002A60EF">
        <w:rPr>
          <w:rFonts w:ascii="Verdana" w:hAnsi="Verdana"/>
          <w:bCs/>
          <w:color w:val="374E81"/>
          <w:sz w:val="20"/>
          <w:szCs w:val="20"/>
          <w:lang w:val="en"/>
        </w:rPr>
        <w:instrText xml:space="preserve"> STYLEREF 1 \s </w:instrText>
      </w:r>
      <w:r w:rsidR="002A60EF">
        <w:rPr>
          <w:rFonts w:ascii="Verdana" w:hAnsi="Verdana"/>
          <w:bCs/>
          <w:color w:val="374E81"/>
          <w:sz w:val="20"/>
          <w:szCs w:val="20"/>
          <w:lang w:val="en"/>
        </w:rPr>
        <w:fldChar w:fldCharType="separate"/>
      </w:r>
      <w:r w:rsidR="002A60EF">
        <w:rPr>
          <w:rFonts w:ascii="Verdana" w:hAnsi="Verdana"/>
          <w:bCs/>
          <w:noProof/>
          <w:color w:val="374E81"/>
          <w:sz w:val="20"/>
          <w:szCs w:val="20"/>
          <w:lang w:val="en"/>
        </w:rPr>
        <w:t>VI</w:t>
      </w:r>
      <w:r w:rsidR="002A60EF">
        <w:rPr>
          <w:rFonts w:ascii="Verdana" w:hAnsi="Verdana"/>
          <w:bCs/>
          <w:color w:val="374E81"/>
          <w:sz w:val="20"/>
          <w:szCs w:val="20"/>
          <w:lang w:val="en"/>
        </w:rPr>
        <w:fldChar w:fldCharType="end"/>
      </w:r>
      <w:r w:rsidR="002A60EF">
        <w:rPr>
          <w:rFonts w:ascii="Verdana" w:hAnsi="Verdana"/>
          <w:bCs/>
          <w:color w:val="374E81"/>
          <w:sz w:val="20"/>
          <w:szCs w:val="20"/>
          <w:lang w:val="en"/>
        </w:rPr>
        <w:noBreakHyphen/>
      </w:r>
      <w:r w:rsidR="002A60EF">
        <w:rPr>
          <w:rFonts w:ascii="Verdana" w:hAnsi="Verdana"/>
          <w:bCs/>
          <w:color w:val="374E81"/>
          <w:sz w:val="20"/>
          <w:szCs w:val="20"/>
          <w:lang w:val="en"/>
        </w:rPr>
        <w:fldChar w:fldCharType="begin"/>
      </w:r>
      <w:r w:rsidR="002A60EF">
        <w:rPr>
          <w:rFonts w:ascii="Verdana" w:hAnsi="Verdana"/>
          <w:bCs/>
          <w:color w:val="374E81"/>
          <w:sz w:val="20"/>
          <w:szCs w:val="20"/>
          <w:lang w:val="en"/>
        </w:rPr>
        <w:instrText xml:space="preserve"> SEQ Table \* ARABIC \s 1 </w:instrText>
      </w:r>
      <w:r w:rsidR="002A60EF">
        <w:rPr>
          <w:rFonts w:ascii="Verdana" w:hAnsi="Verdana"/>
          <w:bCs/>
          <w:color w:val="374E81"/>
          <w:sz w:val="20"/>
          <w:szCs w:val="20"/>
          <w:lang w:val="en"/>
        </w:rPr>
        <w:fldChar w:fldCharType="separate"/>
      </w:r>
      <w:r w:rsidR="002A60EF">
        <w:rPr>
          <w:rFonts w:ascii="Verdana" w:hAnsi="Verdana"/>
          <w:bCs/>
          <w:noProof/>
          <w:color w:val="374E81"/>
          <w:sz w:val="20"/>
          <w:szCs w:val="20"/>
          <w:lang w:val="en"/>
        </w:rPr>
        <w:t>1</w:t>
      </w:r>
      <w:r w:rsidR="002A60EF">
        <w:rPr>
          <w:rFonts w:ascii="Verdana" w:hAnsi="Verdana"/>
          <w:bCs/>
          <w:color w:val="374E81"/>
          <w:sz w:val="20"/>
          <w:szCs w:val="20"/>
          <w:lang w:val="en"/>
        </w:rPr>
        <w:fldChar w:fldCharType="end"/>
      </w:r>
      <w:bookmarkEnd w:id="125"/>
      <w:r w:rsidRPr="00A15081">
        <w:rPr>
          <w:rFonts w:ascii="Verdana" w:hAnsi="Verdana"/>
          <w:bCs/>
          <w:color w:val="374E81"/>
          <w:sz w:val="20"/>
          <w:szCs w:val="20"/>
          <w:lang w:val="en"/>
        </w:rPr>
        <w:t>: Main conclusions and recommendations of the evaluation</w:t>
      </w:r>
      <w:bookmarkEnd w:id="126"/>
    </w:p>
    <w:tbl>
      <w:tblPr>
        <w:tblStyle w:val="TableGrid3"/>
        <w:tblW w:w="14189" w:type="dxa"/>
        <w:tblBorders>
          <w:top w:val="double" w:sz="4" w:space="0" w:color="6A84BE"/>
          <w:left w:val="double" w:sz="4" w:space="0" w:color="6A84BE"/>
          <w:bottom w:val="double" w:sz="4" w:space="0" w:color="6A84BE"/>
          <w:right w:val="double" w:sz="4" w:space="0" w:color="6A84BE"/>
          <w:insideH w:val="single" w:sz="6" w:space="0" w:color="6A84BE"/>
          <w:insideV w:val="single" w:sz="6" w:space="0" w:color="6A84BE"/>
        </w:tblBorders>
        <w:tblLook w:val="04A0" w:firstRow="1" w:lastRow="0" w:firstColumn="1" w:lastColumn="0" w:noHBand="0" w:noVBand="1"/>
      </w:tblPr>
      <w:tblGrid>
        <w:gridCol w:w="4070"/>
        <w:gridCol w:w="6131"/>
        <w:gridCol w:w="2313"/>
        <w:gridCol w:w="1675"/>
      </w:tblGrid>
      <w:tr w:rsidR="002E5737" w:rsidRPr="00F50700" w14:paraId="4037B64C" w14:textId="77777777" w:rsidTr="00F50700">
        <w:trPr>
          <w:tblHeader/>
        </w:trPr>
        <w:tc>
          <w:tcPr>
            <w:tcW w:w="4070" w:type="dxa"/>
            <w:shd w:val="clear" w:color="auto" w:fill="374C80" w:themeFill="accent1" w:themeFillShade="BF"/>
            <w:vAlign w:val="center"/>
          </w:tcPr>
          <w:p w14:paraId="4E322436" w14:textId="1B275600" w:rsidR="002E5737" w:rsidRPr="00F50700" w:rsidRDefault="005C5141" w:rsidP="00F50700">
            <w:pPr>
              <w:jc w:val="center"/>
              <w:rPr>
                <w:rFonts w:ascii="Verdana" w:hAnsi="Verdana"/>
                <w:b/>
                <w:bCs/>
                <w:smallCaps/>
                <w:color w:val="FFFFFF" w:themeColor="background1"/>
                <w:sz w:val="18"/>
                <w:szCs w:val="18"/>
                <w:lang w:val="bg-BG"/>
              </w:rPr>
            </w:pPr>
            <w:bookmarkStart w:id="128" w:name="_Hlk55311030"/>
            <w:bookmarkEnd w:id="127"/>
            <w:r>
              <w:rPr>
                <w:rFonts w:ascii="Verdana" w:hAnsi="Verdana"/>
                <w:b/>
                <w:bCs/>
                <w:smallCaps/>
                <w:color w:val="FFFFFF" w:themeColor="background1"/>
                <w:sz w:val="18"/>
                <w:szCs w:val="18"/>
                <w:lang w:val="en"/>
              </w:rPr>
              <w:t>Findings and c</w:t>
            </w:r>
            <w:r w:rsidR="002E5737" w:rsidRPr="00F50700">
              <w:rPr>
                <w:rFonts w:ascii="Verdana" w:hAnsi="Verdana"/>
                <w:b/>
                <w:bCs/>
                <w:smallCaps/>
                <w:color w:val="FFFFFF" w:themeColor="background1"/>
                <w:sz w:val="18"/>
                <w:szCs w:val="18"/>
                <w:lang w:val="en"/>
              </w:rPr>
              <w:t>onclusions</w:t>
            </w:r>
          </w:p>
        </w:tc>
        <w:tc>
          <w:tcPr>
            <w:tcW w:w="6131" w:type="dxa"/>
            <w:shd w:val="clear" w:color="auto" w:fill="374C80" w:themeFill="accent1" w:themeFillShade="BF"/>
            <w:vAlign w:val="center"/>
          </w:tcPr>
          <w:p w14:paraId="74A41410" w14:textId="77777777" w:rsidR="002E5737" w:rsidRPr="00F50700" w:rsidRDefault="002E5737" w:rsidP="00F50700">
            <w:pPr>
              <w:jc w:val="center"/>
              <w:rPr>
                <w:rFonts w:ascii="Verdana" w:hAnsi="Verdana"/>
                <w:b/>
                <w:bCs/>
                <w:smallCaps/>
                <w:color w:val="FFFFFF" w:themeColor="background1"/>
                <w:sz w:val="18"/>
                <w:szCs w:val="18"/>
                <w:lang w:val="bg-BG"/>
              </w:rPr>
            </w:pPr>
            <w:r w:rsidRPr="00F50700">
              <w:rPr>
                <w:rFonts w:ascii="Verdana" w:hAnsi="Verdana"/>
                <w:b/>
                <w:bCs/>
                <w:smallCaps/>
                <w:color w:val="FFFFFF" w:themeColor="background1"/>
                <w:sz w:val="18"/>
                <w:szCs w:val="18"/>
                <w:lang w:val="en"/>
              </w:rPr>
              <w:t>Recommendations</w:t>
            </w:r>
          </w:p>
        </w:tc>
        <w:tc>
          <w:tcPr>
            <w:tcW w:w="2313" w:type="dxa"/>
            <w:shd w:val="clear" w:color="auto" w:fill="374C80" w:themeFill="accent1" w:themeFillShade="BF"/>
            <w:vAlign w:val="center"/>
          </w:tcPr>
          <w:p w14:paraId="55A2B1F5" w14:textId="77777777" w:rsidR="002E5737" w:rsidRPr="00F50700" w:rsidRDefault="002E5737" w:rsidP="00F50700">
            <w:pPr>
              <w:jc w:val="center"/>
              <w:rPr>
                <w:rFonts w:ascii="Verdana" w:hAnsi="Verdana"/>
                <w:b/>
                <w:bCs/>
                <w:smallCaps/>
                <w:color w:val="FFFFFF" w:themeColor="background1"/>
                <w:sz w:val="18"/>
                <w:szCs w:val="18"/>
                <w:lang w:val="bg-BG"/>
              </w:rPr>
            </w:pPr>
            <w:r w:rsidRPr="00F50700">
              <w:rPr>
                <w:rFonts w:ascii="Verdana" w:hAnsi="Verdana"/>
                <w:b/>
                <w:bCs/>
                <w:smallCaps/>
                <w:color w:val="FFFFFF" w:themeColor="background1"/>
                <w:sz w:val="18"/>
                <w:szCs w:val="18"/>
                <w:lang w:val="en"/>
              </w:rPr>
              <w:t>Responsible structure</w:t>
            </w:r>
          </w:p>
        </w:tc>
        <w:tc>
          <w:tcPr>
            <w:tcW w:w="1675" w:type="dxa"/>
            <w:shd w:val="clear" w:color="auto" w:fill="374C80" w:themeFill="accent1" w:themeFillShade="BF"/>
            <w:vAlign w:val="center"/>
          </w:tcPr>
          <w:p w14:paraId="5D91DF7D" w14:textId="77777777" w:rsidR="002E5737" w:rsidRPr="00F50700" w:rsidRDefault="002E5737" w:rsidP="00F50700">
            <w:pPr>
              <w:jc w:val="center"/>
              <w:rPr>
                <w:rFonts w:ascii="Verdana" w:hAnsi="Verdana"/>
                <w:b/>
                <w:bCs/>
                <w:smallCaps/>
                <w:color w:val="FFFFFF" w:themeColor="background1"/>
                <w:sz w:val="18"/>
                <w:szCs w:val="18"/>
                <w:lang w:val="bg-BG"/>
              </w:rPr>
            </w:pPr>
            <w:r w:rsidRPr="00F50700">
              <w:rPr>
                <w:rFonts w:ascii="Verdana" w:hAnsi="Verdana"/>
                <w:b/>
                <w:bCs/>
                <w:smallCaps/>
                <w:color w:val="FFFFFF" w:themeColor="background1"/>
                <w:sz w:val="18"/>
                <w:szCs w:val="18"/>
                <w:lang w:val="en"/>
              </w:rPr>
              <w:t>Programming period</w:t>
            </w:r>
          </w:p>
        </w:tc>
      </w:tr>
      <w:tr w:rsidR="002E5737" w:rsidRPr="00F50700" w14:paraId="60EE3547" w14:textId="77777777" w:rsidTr="00F50700">
        <w:trPr>
          <w:trHeight w:val="366"/>
        </w:trPr>
        <w:tc>
          <w:tcPr>
            <w:tcW w:w="14189" w:type="dxa"/>
            <w:gridSpan w:val="4"/>
            <w:shd w:val="clear" w:color="auto" w:fill="C8CAE7" w:themeFill="text2" w:themeFillTint="33"/>
          </w:tcPr>
          <w:p w14:paraId="34594D10" w14:textId="77777777" w:rsidR="002E5737" w:rsidRPr="00F50700" w:rsidRDefault="002E5737" w:rsidP="00F50700">
            <w:pPr>
              <w:rPr>
                <w:rFonts w:ascii="Verdana" w:hAnsi="Verdana"/>
                <w:b/>
                <w:bCs/>
                <w:i/>
                <w:iCs/>
                <w:sz w:val="18"/>
                <w:szCs w:val="18"/>
                <w:lang w:val="bg-BG"/>
              </w:rPr>
            </w:pPr>
            <w:r w:rsidRPr="00F50700">
              <w:rPr>
                <w:rFonts w:ascii="Verdana" w:hAnsi="Verdana"/>
                <w:b/>
                <w:bCs/>
                <w:i/>
                <w:iCs/>
                <w:sz w:val="18"/>
                <w:szCs w:val="18"/>
                <w:lang w:val="en"/>
              </w:rPr>
              <w:t>Improving the effectiveness of the programme in subsequent programming periods</w:t>
            </w:r>
          </w:p>
        </w:tc>
      </w:tr>
      <w:tr w:rsidR="002E5737" w:rsidRPr="00F50700" w14:paraId="3E46AADA" w14:textId="77777777" w:rsidTr="00F50700">
        <w:tc>
          <w:tcPr>
            <w:tcW w:w="4070" w:type="dxa"/>
          </w:tcPr>
          <w:p w14:paraId="2D7ED629" w14:textId="4905A596" w:rsidR="002E5737" w:rsidRPr="00F50700" w:rsidRDefault="002E5737" w:rsidP="0048262D">
            <w:pPr>
              <w:numPr>
                <w:ilvl w:val="3"/>
                <w:numId w:val="58"/>
              </w:numPr>
              <w:ind w:left="731" w:hanging="567"/>
              <w:contextualSpacing/>
              <w:jc w:val="both"/>
              <w:rPr>
                <w:rFonts w:ascii="Verdana" w:hAnsi="Verdana"/>
                <w:sz w:val="18"/>
                <w:szCs w:val="18"/>
                <w:lang w:val="bg-BG"/>
              </w:rPr>
            </w:pPr>
            <w:r w:rsidRPr="00F50700">
              <w:rPr>
                <w:rFonts w:ascii="Verdana" w:hAnsi="Verdana"/>
                <w:sz w:val="18"/>
                <w:szCs w:val="18"/>
                <w:lang w:val="en"/>
              </w:rPr>
              <w:t xml:space="preserve">The programme reports very good </w:t>
            </w:r>
            <w:r w:rsidR="002771CB">
              <w:rPr>
                <w:rFonts w:ascii="Verdana" w:hAnsi="Verdana"/>
                <w:sz w:val="18"/>
                <w:szCs w:val="18"/>
                <w:lang w:val="en"/>
              </w:rPr>
              <w:t>rates</w:t>
            </w:r>
            <w:r w:rsidRPr="00F50700">
              <w:rPr>
                <w:rFonts w:ascii="Verdana" w:hAnsi="Verdana"/>
                <w:sz w:val="18"/>
                <w:szCs w:val="18"/>
                <w:lang w:val="en"/>
              </w:rPr>
              <w:t xml:space="preserve"> of financial and physical </w:t>
            </w:r>
            <w:r w:rsidR="002771CB">
              <w:rPr>
                <w:rFonts w:ascii="Verdana" w:hAnsi="Verdana"/>
                <w:sz w:val="18"/>
                <w:szCs w:val="18"/>
                <w:lang w:val="en"/>
              </w:rPr>
              <w:t>implementation</w:t>
            </w:r>
            <w:r w:rsidRPr="00F50700">
              <w:rPr>
                <w:rFonts w:ascii="Verdana" w:hAnsi="Verdana"/>
                <w:sz w:val="18"/>
                <w:szCs w:val="18"/>
                <w:lang w:val="en"/>
              </w:rPr>
              <w:t xml:space="preserve">. The overall financial </w:t>
            </w:r>
            <w:r w:rsidR="002771CB">
              <w:rPr>
                <w:rFonts w:ascii="Verdana" w:hAnsi="Verdana"/>
                <w:sz w:val="18"/>
                <w:szCs w:val="18"/>
                <w:lang w:val="en"/>
              </w:rPr>
              <w:t>implementation rate</w:t>
            </w:r>
            <w:r w:rsidRPr="00F50700">
              <w:rPr>
                <w:rFonts w:ascii="Verdana" w:hAnsi="Verdana"/>
                <w:sz w:val="18"/>
                <w:szCs w:val="18"/>
                <w:lang w:val="en"/>
              </w:rPr>
              <w:t xml:space="preserve"> is 98,6 %, </w:t>
            </w:r>
            <w:r w:rsidR="00CA16C5">
              <w:rPr>
                <w:rFonts w:ascii="Verdana" w:hAnsi="Verdana"/>
                <w:sz w:val="18"/>
                <w:szCs w:val="18"/>
                <w:lang w:val="en"/>
              </w:rPr>
              <w:t xml:space="preserve">which is </w:t>
            </w:r>
            <w:r w:rsidRPr="00F50700">
              <w:rPr>
                <w:rFonts w:ascii="Verdana" w:hAnsi="Verdana"/>
                <w:sz w:val="18"/>
                <w:szCs w:val="18"/>
                <w:lang w:val="en"/>
              </w:rPr>
              <w:t>largely due to the effective risk</w:t>
            </w:r>
            <w:r w:rsidR="00CA16C5">
              <w:rPr>
                <w:rFonts w:ascii="Verdana" w:hAnsi="Verdana"/>
                <w:sz w:val="18"/>
                <w:szCs w:val="18"/>
                <w:lang w:val="en"/>
              </w:rPr>
              <w:t xml:space="preserve"> management </w:t>
            </w:r>
            <w:r w:rsidRPr="00F50700">
              <w:rPr>
                <w:rFonts w:ascii="Verdana" w:hAnsi="Verdana"/>
                <w:sz w:val="18"/>
                <w:szCs w:val="18"/>
                <w:lang w:val="en"/>
              </w:rPr>
              <w:t>in the course of implementation and the</w:t>
            </w:r>
            <w:r w:rsidR="00CA16C5">
              <w:rPr>
                <w:rFonts w:ascii="Verdana" w:hAnsi="Verdana"/>
                <w:sz w:val="18"/>
                <w:szCs w:val="18"/>
                <w:lang w:val="en"/>
              </w:rPr>
              <w:t xml:space="preserve"> over-booking </w:t>
            </w:r>
            <w:r w:rsidR="003444F2">
              <w:rPr>
                <w:rFonts w:ascii="Verdana" w:hAnsi="Verdana"/>
                <w:sz w:val="18"/>
                <w:szCs w:val="18"/>
                <w:lang w:val="en"/>
              </w:rPr>
              <w:t>approach</w:t>
            </w:r>
            <w:r w:rsidRPr="00F50700">
              <w:rPr>
                <w:rFonts w:ascii="Verdana" w:hAnsi="Verdana"/>
                <w:sz w:val="18"/>
                <w:szCs w:val="18"/>
                <w:lang w:val="en"/>
              </w:rPr>
              <w:t xml:space="preserve">. The majority of </w:t>
            </w:r>
            <w:r w:rsidR="009D46B1">
              <w:rPr>
                <w:rFonts w:ascii="Verdana" w:hAnsi="Verdana"/>
                <w:sz w:val="18"/>
                <w:szCs w:val="18"/>
                <w:lang w:val="en"/>
              </w:rPr>
              <w:t>output</w:t>
            </w:r>
            <w:r w:rsidRPr="00F50700">
              <w:rPr>
                <w:rFonts w:ascii="Verdana" w:hAnsi="Verdana"/>
                <w:sz w:val="18"/>
                <w:szCs w:val="18"/>
                <w:lang w:val="en"/>
              </w:rPr>
              <w:t xml:space="preserve"> indicators were </w:t>
            </w:r>
            <w:r w:rsidR="009D46B1">
              <w:rPr>
                <w:rFonts w:ascii="Verdana" w:hAnsi="Verdana"/>
                <w:sz w:val="18"/>
                <w:szCs w:val="18"/>
                <w:lang w:val="en"/>
              </w:rPr>
              <w:t>achieved with a rate</w:t>
            </w:r>
            <w:r w:rsidRPr="00F50700">
              <w:rPr>
                <w:rFonts w:ascii="Verdana" w:hAnsi="Verdana"/>
                <w:sz w:val="18"/>
                <w:szCs w:val="18"/>
                <w:lang w:val="en"/>
              </w:rPr>
              <w:t xml:space="preserve"> above 90%,</w:t>
            </w:r>
            <w:r w:rsidR="005757AC">
              <w:rPr>
                <w:rFonts w:ascii="Verdana" w:hAnsi="Verdana"/>
                <w:sz w:val="18"/>
                <w:szCs w:val="18"/>
                <w:lang w:val="en"/>
              </w:rPr>
              <w:t xml:space="preserve"> and</w:t>
            </w:r>
            <w:r w:rsidR="008D229F">
              <w:rPr>
                <w:rFonts w:ascii="Verdana" w:hAnsi="Verdana"/>
                <w:sz w:val="18"/>
                <w:szCs w:val="18"/>
                <w:lang w:val="en"/>
              </w:rPr>
              <w:t xml:space="preserve"> only the targets for </w:t>
            </w:r>
            <w:r w:rsidRPr="00F50700">
              <w:rPr>
                <w:rFonts w:ascii="Verdana" w:hAnsi="Verdana"/>
                <w:sz w:val="18"/>
                <w:szCs w:val="18"/>
                <w:lang w:val="en"/>
              </w:rPr>
              <w:t>result indicator "value of time saved" on roads and railways</w:t>
            </w:r>
            <w:r w:rsidR="008D229F">
              <w:rPr>
                <w:rFonts w:ascii="Verdana" w:hAnsi="Verdana"/>
                <w:sz w:val="18"/>
                <w:szCs w:val="18"/>
                <w:lang w:val="en"/>
              </w:rPr>
              <w:t xml:space="preserve"> were not achieved completely.</w:t>
            </w:r>
          </w:p>
          <w:p w14:paraId="75EAB5EA" w14:textId="77777777" w:rsidR="002E5737" w:rsidRPr="00F50700" w:rsidRDefault="002E5737" w:rsidP="0048262D">
            <w:pPr>
              <w:numPr>
                <w:ilvl w:val="3"/>
                <w:numId w:val="58"/>
              </w:numPr>
              <w:ind w:left="731" w:hanging="567"/>
              <w:contextualSpacing/>
              <w:jc w:val="both"/>
              <w:rPr>
                <w:rFonts w:ascii="Verdana" w:hAnsi="Verdana"/>
                <w:sz w:val="18"/>
                <w:szCs w:val="18"/>
                <w:lang w:val="bg-BG"/>
              </w:rPr>
            </w:pPr>
            <w:r w:rsidRPr="00F50700">
              <w:rPr>
                <w:rFonts w:ascii="Verdana" w:hAnsi="Verdana"/>
                <w:sz w:val="18"/>
                <w:szCs w:val="18"/>
                <w:lang w:val="en"/>
              </w:rPr>
              <w:t>OPT interventions have significant added value in achieving the main objectives of the programme.</w:t>
            </w:r>
          </w:p>
          <w:p w14:paraId="4851B5BD" w14:textId="39DA853B" w:rsidR="002E5737" w:rsidRPr="00F50700" w:rsidRDefault="008905A0" w:rsidP="0048262D">
            <w:pPr>
              <w:numPr>
                <w:ilvl w:val="3"/>
                <w:numId w:val="58"/>
              </w:numPr>
              <w:ind w:left="731" w:hanging="567"/>
              <w:contextualSpacing/>
              <w:jc w:val="both"/>
              <w:rPr>
                <w:rFonts w:ascii="Verdana" w:hAnsi="Verdana"/>
                <w:sz w:val="18"/>
                <w:szCs w:val="18"/>
                <w:lang w:val="bg-BG"/>
              </w:rPr>
            </w:pPr>
            <w:r>
              <w:rPr>
                <w:rFonts w:ascii="Verdana" w:hAnsi="Verdana"/>
                <w:sz w:val="18"/>
                <w:szCs w:val="18"/>
                <w:lang w:val="en"/>
              </w:rPr>
              <w:t>The evaluation of effectiveness and impact</w:t>
            </w:r>
            <w:r w:rsidR="002E5737" w:rsidRPr="00F50700">
              <w:rPr>
                <w:rFonts w:ascii="Verdana" w:hAnsi="Verdana"/>
                <w:sz w:val="18"/>
                <w:szCs w:val="18"/>
                <w:lang w:val="en"/>
              </w:rPr>
              <w:t xml:space="preserve"> assessment on macroeconomic development undoubtedly show that infrastructure projects play an essential role in improving the competitiveness of the Bulgarian economy and thus in higher economic growth and improving the quality of life of the population in the country.</w:t>
            </w:r>
          </w:p>
          <w:p w14:paraId="01B5E483" w14:textId="09243119" w:rsidR="002E5737" w:rsidRPr="00F50700" w:rsidRDefault="002E5737" w:rsidP="0048262D">
            <w:pPr>
              <w:numPr>
                <w:ilvl w:val="3"/>
                <w:numId w:val="58"/>
              </w:numPr>
              <w:ind w:left="731" w:hanging="567"/>
              <w:contextualSpacing/>
              <w:jc w:val="both"/>
              <w:rPr>
                <w:rFonts w:ascii="Verdana" w:hAnsi="Verdana"/>
                <w:sz w:val="18"/>
                <w:szCs w:val="18"/>
                <w:lang w:val="bg-BG"/>
              </w:rPr>
            </w:pPr>
            <w:r w:rsidRPr="00F50700">
              <w:rPr>
                <w:rFonts w:ascii="Verdana" w:hAnsi="Verdana"/>
                <w:sz w:val="18"/>
                <w:szCs w:val="18"/>
                <w:lang w:val="en"/>
              </w:rPr>
              <w:t xml:space="preserve">The estimated positive net effects under the priority axes include contributions to employment, </w:t>
            </w:r>
            <w:r w:rsidR="00C23F94">
              <w:rPr>
                <w:rFonts w:ascii="Verdana" w:hAnsi="Verdana"/>
                <w:sz w:val="18"/>
                <w:szCs w:val="18"/>
                <w:lang w:val="en"/>
              </w:rPr>
              <w:t>GDP</w:t>
            </w:r>
            <w:r w:rsidRPr="00F50700">
              <w:rPr>
                <w:rFonts w:ascii="Verdana" w:hAnsi="Verdana"/>
                <w:sz w:val="18"/>
                <w:szCs w:val="18"/>
                <w:lang w:val="en"/>
              </w:rPr>
              <w:t xml:space="preserve"> growth, exports and imports of goods and services, private </w:t>
            </w:r>
            <w:r w:rsidRPr="00F50700">
              <w:rPr>
                <w:rFonts w:ascii="Verdana" w:hAnsi="Verdana"/>
                <w:sz w:val="18"/>
                <w:szCs w:val="18"/>
                <w:lang w:val="en"/>
              </w:rPr>
              <w:lastRenderedPageBreak/>
              <w:t>consumption and private investment</w:t>
            </w:r>
            <w:r w:rsidR="00591D53">
              <w:rPr>
                <w:rFonts w:ascii="Verdana" w:hAnsi="Verdana"/>
                <w:sz w:val="18"/>
                <w:szCs w:val="18"/>
                <w:lang w:val="en"/>
              </w:rPr>
              <w:t>s.</w:t>
            </w:r>
          </w:p>
          <w:p w14:paraId="3A0C28B1" w14:textId="6E6BFE1E" w:rsidR="002E5737" w:rsidRPr="00F50700" w:rsidRDefault="006D2461" w:rsidP="0048262D">
            <w:pPr>
              <w:numPr>
                <w:ilvl w:val="3"/>
                <w:numId w:val="58"/>
              </w:numPr>
              <w:ind w:left="731" w:hanging="567"/>
              <w:contextualSpacing/>
              <w:jc w:val="both"/>
              <w:rPr>
                <w:rFonts w:ascii="Verdana" w:hAnsi="Verdana"/>
                <w:sz w:val="18"/>
                <w:szCs w:val="18"/>
                <w:lang w:val="bg-BG"/>
              </w:rPr>
            </w:pPr>
            <w:r>
              <w:rPr>
                <w:rFonts w:ascii="Verdana" w:hAnsi="Verdana"/>
                <w:sz w:val="18"/>
                <w:szCs w:val="18"/>
                <w:lang w:val="en"/>
              </w:rPr>
              <w:t xml:space="preserve">The efficiency analysis results </w:t>
            </w:r>
            <w:r w:rsidR="001C40A0" w:rsidRPr="00F50700">
              <w:rPr>
                <w:rFonts w:ascii="Verdana" w:hAnsi="Verdana"/>
                <w:sz w:val="18"/>
                <w:szCs w:val="18"/>
                <w:lang w:val="en"/>
              </w:rPr>
              <w:t>show</w:t>
            </w:r>
            <w:r w:rsidR="002E5737" w:rsidRPr="00F50700">
              <w:rPr>
                <w:rFonts w:ascii="Verdana" w:hAnsi="Verdana"/>
                <w:sz w:val="18"/>
                <w:szCs w:val="18"/>
                <w:lang w:val="en"/>
              </w:rPr>
              <w:t xml:space="preserve"> that results per product were achieved at significantly lower average costs than the </w:t>
            </w:r>
            <w:r w:rsidR="00591D53">
              <w:rPr>
                <w:rFonts w:ascii="Verdana" w:hAnsi="Verdana"/>
                <w:sz w:val="18"/>
                <w:szCs w:val="18"/>
                <w:lang w:val="en"/>
              </w:rPr>
              <w:t>EU</w:t>
            </w:r>
            <w:r w:rsidR="002E5737" w:rsidRPr="00F50700">
              <w:rPr>
                <w:rFonts w:ascii="Verdana" w:hAnsi="Verdana"/>
                <w:sz w:val="18"/>
                <w:szCs w:val="18"/>
                <w:lang w:val="en"/>
              </w:rPr>
              <w:t xml:space="preserve"> average levels. </w:t>
            </w:r>
          </w:p>
          <w:p w14:paraId="7F81E37E" w14:textId="09C380FB" w:rsidR="002E5737" w:rsidRPr="00F50700" w:rsidRDefault="0091438A" w:rsidP="0048262D">
            <w:pPr>
              <w:numPr>
                <w:ilvl w:val="3"/>
                <w:numId w:val="58"/>
              </w:numPr>
              <w:ind w:left="731" w:hanging="567"/>
              <w:contextualSpacing/>
              <w:jc w:val="both"/>
              <w:rPr>
                <w:rFonts w:ascii="Verdana" w:hAnsi="Verdana"/>
                <w:sz w:val="18"/>
                <w:szCs w:val="18"/>
                <w:lang w:val="bg-BG"/>
              </w:rPr>
            </w:pPr>
            <w:r>
              <w:rPr>
                <w:rFonts w:ascii="Verdana" w:hAnsi="Verdana"/>
                <w:sz w:val="18"/>
                <w:szCs w:val="18"/>
                <w:lang w:val="en"/>
              </w:rPr>
              <w:t xml:space="preserve">Programme modifications proved to be an </w:t>
            </w:r>
            <w:r w:rsidR="002E5737" w:rsidRPr="00F50700">
              <w:rPr>
                <w:rFonts w:ascii="Verdana" w:hAnsi="Verdana"/>
                <w:sz w:val="18"/>
                <w:szCs w:val="18"/>
                <w:lang w:val="en"/>
              </w:rPr>
              <w:t xml:space="preserve">effective measure to address delays in implementation, </w:t>
            </w:r>
            <w:r w:rsidR="0035222C">
              <w:rPr>
                <w:rFonts w:ascii="Verdana" w:hAnsi="Verdana"/>
                <w:sz w:val="18"/>
                <w:szCs w:val="18"/>
                <w:lang w:val="en"/>
              </w:rPr>
              <w:t>to apply</w:t>
            </w:r>
            <w:r w:rsidR="002E5737" w:rsidRPr="00F50700">
              <w:rPr>
                <w:rFonts w:ascii="Verdana" w:hAnsi="Verdana"/>
                <w:sz w:val="18"/>
                <w:szCs w:val="18"/>
                <w:lang w:val="en"/>
              </w:rPr>
              <w:t xml:space="preserve"> corrective measures to high-risk projects and prevent loss of funds. Continuous monitoring of the value of public procurement contracts concluded </w:t>
            </w:r>
            <w:r w:rsidR="00BC31B3">
              <w:rPr>
                <w:rFonts w:ascii="Verdana" w:hAnsi="Verdana"/>
                <w:sz w:val="18"/>
                <w:szCs w:val="18"/>
                <w:lang w:val="en"/>
              </w:rPr>
              <w:t>was</w:t>
            </w:r>
            <w:r w:rsidR="002E5737" w:rsidRPr="00F50700">
              <w:rPr>
                <w:rFonts w:ascii="Verdana" w:hAnsi="Verdana"/>
                <w:sz w:val="18"/>
                <w:szCs w:val="18"/>
                <w:lang w:val="en"/>
              </w:rPr>
              <w:t xml:space="preserve"> a good tool for risk assessment in the course of implementation. The </w:t>
            </w:r>
            <w:r w:rsidR="00BC31B3">
              <w:rPr>
                <w:rFonts w:ascii="Verdana" w:hAnsi="Verdana"/>
                <w:sz w:val="18"/>
                <w:szCs w:val="18"/>
                <w:lang w:val="en"/>
              </w:rPr>
              <w:t>modifications</w:t>
            </w:r>
            <w:r w:rsidR="002E5737" w:rsidRPr="00F50700">
              <w:rPr>
                <w:rFonts w:ascii="Verdana" w:hAnsi="Verdana"/>
                <w:sz w:val="18"/>
                <w:szCs w:val="18"/>
                <w:lang w:val="en"/>
              </w:rPr>
              <w:t xml:space="preserve"> </w:t>
            </w:r>
            <w:r w:rsidR="00332DC0">
              <w:rPr>
                <w:rFonts w:ascii="Verdana" w:hAnsi="Verdana"/>
                <w:sz w:val="18"/>
                <w:szCs w:val="18"/>
                <w:lang w:val="en"/>
              </w:rPr>
              <w:t>include measures for</w:t>
            </w:r>
            <w:r w:rsidR="002E5737" w:rsidRPr="00F50700">
              <w:rPr>
                <w:rFonts w:ascii="Verdana" w:hAnsi="Verdana"/>
                <w:sz w:val="18"/>
                <w:szCs w:val="18"/>
                <w:lang w:val="en"/>
              </w:rPr>
              <w:t>:</w:t>
            </w:r>
          </w:p>
          <w:p w14:paraId="35015DC6" w14:textId="4728211C" w:rsidR="002E5737" w:rsidRPr="00F50700" w:rsidRDefault="002E5737" w:rsidP="00B870D7">
            <w:pPr>
              <w:numPr>
                <w:ilvl w:val="0"/>
                <w:numId w:val="40"/>
              </w:numPr>
              <w:contextualSpacing/>
              <w:jc w:val="both"/>
              <w:rPr>
                <w:rFonts w:ascii="Verdana" w:hAnsi="Verdana"/>
                <w:sz w:val="18"/>
                <w:szCs w:val="18"/>
                <w:lang w:val="bg-BG"/>
              </w:rPr>
            </w:pPr>
            <w:r w:rsidRPr="00F50700">
              <w:rPr>
                <w:rFonts w:ascii="Verdana" w:hAnsi="Verdana"/>
                <w:sz w:val="18"/>
                <w:szCs w:val="18"/>
                <w:lang w:val="en"/>
              </w:rPr>
              <w:t>Inclusion of new</w:t>
            </w:r>
            <w:r w:rsidR="00332DC0">
              <w:rPr>
                <w:rFonts w:ascii="Verdana" w:hAnsi="Verdana"/>
                <w:sz w:val="18"/>
                <w:szCs w:val="18"/>
                <w:lang w:val="en"/>
              </w:rPr>
              <w:t xml:space="preserve"> projects</w:t>
            </w:r>
            <w:r w:rsidRPr="00F50700">
              <w:rPr>
                <w:rFonts w:ascii="Verdana" w:hAnsi="Verdana"/>
                <w:sz w:val="18"/>
                <w:szCs w:val="18"/>
                <w:lang w:val="en"/>
              </w:rPr>
              <w:t xml:space="preserve"> and exclusion of high-risk projects from the programme, including major projects and</w:t>
            </w:r>
            <w:r w:rsidR="00332DC0">
              <w:rPr>
                <w:rFonts w:ascii="Verdana" w:hAnsi="Verdana"/>
                <w:sz w:val="18"/>
                <w:szCs w:val="18"/>
                <w:lang w:val="en"/>
              </w:rPr>
              <w:t xml:space="preserve"> ba</w:t>
            </w:r>
            <w:r w:rsidR="001A3794">
              <w:rPr>
                <w:rFonts w:ascii="Verdana" w:hAnsi="Verdana"/>
                <w:sz w:val="18"/>
                <w:szCs w:val="18"/>
                <w:lang w:val="en"/>
              </w:rPr>
              <w:t>ck-phasing of launched projects</w:t>
            </w:r>
            <w:r w:rsidRPr="00F50700">
              <w:rPr>
                <w:rFonts w:ascii="Verdana" w:hAnsi="Verdana"/>
                <w:sz w:val="18"/>
                <w:szCs w:val="18"/>
                <w:lang w:val="en"/>
              </w:rPr>
              <w:t>;</w:t>
            </w:r>
          </w:p>
          <w:p w14:paraId="1077384B" w14:textId="72E363C1" w:rsidR="002E5737" w:rsidRPr="00F50700" w:rsidRDefault="002E5737" w:rsidP="00B870D7">
            <w:pPr>
              <w:numPr>
                <w:ilvl w:val="0"/>
                <w:numId w:val="40"/>
              </w:numPr>
              <w:contextualSpacing/>
              <w:jc w:val="both"/>
              <w:rPr>
                <w:rFonts w:ascii="Verdana" w:hAnsi="Verdana"/>
                <w:sz w:val="18"/>
                <w:szCs w:val="18"/>
                <w:lang w:val="bg-BG"/>
              </w:rPr>
            </w:pPr>
            <w:r w:rsidRPr="00F50700">
              <w:rPr>
                <w:rFonts w:ascii="Verdana" w:hAnsi="Verdana"/>
                <w:sz w:val="18"/>
                <w:szCs w:val="18"/>
                <w:lang w:val="en"/>
              </w:rPr>
              <w:t xml:space="preserve">Financial </w:t>
            </w:r>
            <w:r w:rsidR="00182E2B" w:rsidRPr="00F50700">
              <w:rPr>
                <w:rFonts w:ascii="Verdana" w:hAnsi="Verdana"/>
                <w:sz w:val="18"/>
                <w:szCs w:val="18"/>
                <w:lang w:val="en"/>
              </w:rPr>
              <w:t>re</w:t>
            </w:r>
            <w:r w:rsidR="00182E2B">
              <w:rPr>
                <w:rFonts w:ascii="Verdana" w:hAnsi="Verdana"/>
                <w:sz w:val="18"/>
                <w:szCs w:val="18"/>
                <w:lang w:val="en"/>
              </w:rPr>
              <w:t>allocations</w:t>
            </w:r>
            <w:r w:rsidRPr="00F50700">
              <w:rPr>
                <w:rFonts w:ascii="Verdana" w:hAnsi="Verdana"/>
                <w:sz w:val="18"/>
                <w:szCs w:val="18"/>
                <w:lang w:val="en"/>
              </w:rPr>
              <w:t xml:space="preserve"> between priority axes and priority areas.</w:t>
            </w:r>
          </w:p>
          <w:p w14:paraId="48B75409" w14:textId="77777777" w:rsidR="002E5737" w:rsidRPr="00F50700" w:rsidRDefault="002E5737" w:rsidP="00F50700">
            <w:pPr>
              <w:jc w:val="both"/>
              <w:rPr>
                <w:rFonts w:ascii="Verdana" w:hAnsi="Verdana"/>
                <w:sz w:val="18"/>
                <w:szCs w:val="18"/>
                <w:lang w:val="bg-BG"/>
              </w:rPr>
            </w:pPr>
          </w:p>
          <w:p w14:paraId="3C1FBF5A" w14:textId="4D0AFCA6" w:rsidR="002E5737" w:rsidRPr="00F50700" w:rsidRDefault="002E5737" w:rsidP="0048262D">
            <w:pPr>
              <w:numPr>
                <w:ilvl w:val="3"/>
                <w:numId w:val="58"/>
              </w:numPr>
              <w:ind w:left="731" w:hanging="567"/>
              <w:contextualSpacing/>
              <w:jc w:val="both"/>
              <w:rPr>
                <w:rFonts w:ascii="Verdana" w:eastAsia="Calibri" w:hAnsi="Verdana" w:cs="Calibri"/>
                <w:sz w:val="18"/>
                <w:szCs w:val="18"/>
                <w:lang w:val="bg-BG"/>
              </w:rPr>
            </w:pPr>
            <w:r w:rsidRPr="00F50700">
              <w:rPr>
                <w:rFonts w:ascii="Verdana" w:hAnsi="Verdana"/>
                <w:sz w:val="18"/>
                <w:szCs w:val="18"/>
                <w:lang w:val="en"/>
              </w:rPr>
              <w:t>The program</w:t>
            </w:r>
            <w:r w:rsidR="004B36B2">
              <w:rPr>
                <w:rFonts w:ascii="Verdana" w:hAnsi="Verdana"/>
                <w:sz w:val="18"/>
                <w:szCs w:val="18"/>
                <w:lang w:val="en"/>
              </w:rPr>
              <w:t xml:space="preserve">me is highly </w:t>
            </w:r>
            <w:r w:rsidRPr="00F50700">
              <w:rPr>
                <w:rFonts w:ascii="Verdana" w:hAnsi="Verdana"/>
                <w:sz w:val="18"/>
                <w:szCs w:val="18"/>
                <w:lang w:val="en"/>
              </w:rPr>
              <w:t>dependent on</w:t>
            </w:r>
            <w:r w:rsidR="009C0406">
              <w:rPr>
                <w:rFonts w:ascii="Verdana" w:hAnsi="Verdana"/>
                <w:sz w:val="18"/>
                <w:szCs w:val="18"/>
                <w:lang w:val="en"/>
              </w:rPr>
              <w:t xml:space="preserve"> pre-selected major</w:t>
            </w:r>
            <w:r w:rsidRPr="00F50700">
              <w:rPr>
                <w:rFonts w:ascii="Verdana" w:hAnsi="Verdana"/>
                <w:sz w:val="18"/>
                <w:szCs w:val="18"/>
                <w:lang w:val="en"/>
              </w:rPr>
              <w:t xml:space="preserve"> projects.</w:t>
            </w:r>
          </w:p>
          <w:p w14:paraId="28FCB09F" w14:textId="7B6168E7" w:rsidR="002E5737" w:rsidRPr="00F50700" w:rsidRDefault="002E5737" w:rsidP="0048262D">
            <w:pPr>
              <w:numPr>
                <w:ilvl w:val="3"/>
                <w:numId w:val="58"/>
              </w:numPr>
              <w:ind w:left="731" w:hanging="567"/>
              <w:contextualSpacing/>
              <w:jc w:val="both"/>
              <w:rPr>
                <w:rFonts w:ascii="Verdana" w:eastAsia="Calibri" w:hAnsi="Verdana" w:cs="Calibri"/>
                <w:sz w:val="18"/>
                <w:szCs w:val="18"/>
                <w:lang w:val="bg-BG"/>
              </w:rPr>
            </w:pPr>
            <w:r w:rsidRPr="00F50700">
              <w:rPr>
                <w:rFonts w:ascii="Verdana" w:hAnsi="Verdana"/>
                <w:sz w:val="18"/>
                <w:szCs w:val="18"/>
                <w:lang w:val="en"/>
              </w:rPr>
              <w:t xml:space="preserve">Case studies identified problem areas such as lack of timely provision of own funding to beneficiaries and the need to continuously increase the administrative capacity of beneficiaries in the field of </w:t>
            </w:r>
            <w:r w:rsidR="00182E2B">
              <w:rPr>
                <w:rFonts w:ascii="Verdana" w:hAnsi="Verdana"/>
                <w:sz w:val="18"/>
                <w:szCs w:val="18"/>
                <w:lang w:val="en"/>
              </w:rPr>
              <w:t xml:space="preserve">public </w:t>
            </w:r>
            <w:r w:rsidR="00182E2B">
              <w:rPr>
                <w:rFonts w:ascii="Verdana" w:hAnsi="Verdana"/>
                <w:sz w:val="18"/>
                <w:szCs w:val="18"/>
                <w:lang w:val="en"/>
              </w:rPr>
              <w:lastRenderedPageBreak/>
              <w:t xml:space="preserve">procurement and SDA, as well as </w:t>
            </w:r>
            <w:r w:rsidRPr="00F50700">
              <w:rPr>
                <w:rFonts w:ascii="Verdana" w:hAnsi="Verdana"/>
                <w:sz w:val="18"/>
                <w:szCs w:val="18"/>
                <w:lang w:val="en"/>
              </w:rPr>
              <w:t>prevention of violations and financial corrections of projects.</w:t>
            </w:r>
          </w:p>
        </w:tc>
        <w:tc>
          <w:tcPr>
            <w:tcW w:w="6131" w:type="dxa"/>
          </w:tcPr>
          <w:p w14:paraId="01107DD6" w14:textId="280F8FD5" w:rsidR="002E5737" w:rsidRPr="00F50700" w:rsidRDefault="002E5737" w:rsidP="00B870D7">
            <w:pPr>
              <w:pStyle w:val="ListParagraph"/>
              <w:numPr>
                <w:ilvl w:val="0"/>
                <w:numId w:val="47"/>
              </w:numPr>
              <w:jc w:val="both"/>
              <w:rPr>
                <w:rFonts w:ascii="Verdana" w:hAnsi="Verdana"/>
                <w:sz w:val="18"/>
                <w:szCs w:val="18"/>
                <w:lang w:val="bg-BG"/>
              </w:rPr>
            </w:pPr>
            <w:r w:rsidRPr="00F50700">
              <w:rPr>
                <w:rFonts w:ascii="Verdana" w:hAnsi="Verdana"/>
                <w:sz w:val="18"/>
                <w:szCs w:val="18"/>
                <w:lang w:val="en"/>
              </w:rPr>
              <w:lastRenderedPageBreak/>
              <w:t>The approach to over-</w:t>
            </w:r>
            <w:r w:rsidR="009C3C88">
              <w:rPr>
                <w:rFonts w:ascii="Verdana" w:hAnsi="Verdana"/>
                <w:sz w:val="18"/>
                <w:szCs w:val="18"/>
                <w:lang w:val="en"/>
              </w:rPr>
              <w:t>booking</w:t>
            </w:r>
            <w:r w:rsidRPr="00F50700">
              <w:rPr>
                <w:rFonts w:ascii="Verdana" w:hAnsi="Verdana"/>
                <w:sz w:val="18"/>
                <w:szCs w:val="18"/>
                <w:lang w:val="en"/>
              </w:rPr>
              <w:t xml:space="preserve"> the programme</w:t>
            </w:r>
            <w:r w:rsidR="009C3C88">
              <w:rPr>
                <w:rFonts w:ascii="Verdana" w:hAnsi="Verdana"/>
                <w:sz w:val="18"/>
                <w:szCs w:val="18"/>
                <w:lang w:val="en"/>
              </w:rPr>
              <w:t xml:space="preserve"> funds</w:t>
            </w:r>
            <w:r w:rsidRPr="00F50700">
              <w:rPr>
                <w:rFonts w:ascii="Verdana" w:hAnsi="Verdana"/>
                <w:sz w:val="18"/>
                <w:szCs w:val="18"/>
                <w:lang w:val="en"/>
              </w:rPr>
              <w:t xml:space="preserve"> has proven to be good practice that increases absorption</w:t>
            </w:r>
            <w:r w:rsidR="009C3C88">
              <w:rPr>
                <w:rFonts w:ascii="Verdana" w:hAnsi="Verdana"/>
                <w:sz w:val="18"/>
                <w:szCs w:val="18"/>
                <w:lang w:val="en"/>
              </w:rPr>
              <w:t xml:space="preserve"> rates</w:t>
            </w:r>
            <w:r w:rsidRPr="00F50700">
              <w:rPr>
                <w:rFonts w:ascii="Verdana" w:hAnsi="Verdana"/>
                <w:sz w:val="18"/>
                <w:szCs w:val="18"/>
                <w:lang w:val="en"/>
              </w:rPr>
              <w:t xml:space="preserve"> and contributes to the achievement of programme objectives. It is recommended that this practice be applied in subsequent programming</w:t>
            </w:r>
            <w:r w:rsidR="00CB489E">
              <w:rPr>
                <w:rFonts w:ascii="Verdana" w:hAnsi="Verdana"/>
                <w:sz w:val="18"/>
                <w:szCs w:val="18"/>
                <w:lang w:val="bg-BG"/>
              </w:rPr>
              <w:t xml:space="preserve"> </w:t>
            </w:r>
            <w:r w:rsidRPr="00F50700">
              <w:rPr>
                <w:rFonts w:ascii="Verdana" w:hAnsi="Verdana"/>
                <w:sz w:val="18"/>
                <w:szCs w:val="18"/>
                <w:lang w:val="en"/>
              </w:rPr>
              <w:t>periods (the</w:t>
            </w:r>
            <w:r w:rsidR="00CB489E">
              <w:rPr>
                <w:rFonts w:ascii="Verdana" w:hAnsi="Verdana"/>
                <w:sz w:val="18"/>
                <w:szCs w:val="18"/>
                <w:lang w:val="bg-BG"/>
              </w:rPr>
              <w:t xml:space="preserve"> </w:t>
            </w:r>
            <w:r w:rsidRPr="00F50700">
              <w:rPr>
                <w:rFonts w:ascii="Verdana" w:hAnsi="Verdana"/>
                <w:sz w:val="18"/>
                <w:szCs w:val="18"/>
                <w:lang w:val="en"/>
              </w:rPr>
              <w:t>recommendation refers to conclusion 1).</w:t>
            </w:r>
          </w:p>
          <w:p w14:paraId="70B82573" w14:textId="77777777" w:rsidR="002E5737" w:rsidRPr="00F50700" w:rsidRDefault="002E5737" w:rsidP="00F50700">
            <w:pPr>
              <w:pStyle w:val="ListParagraph"/>
              <w:jc w:val="both"/>
              <w:rPr>
                <w:rFonts w:ascii="Verdana" w:hAnsi="Verdana"/>
                <w:sz w:val="18"/>
                <w:szCs w:val="18"/>
                <w:lang w:val="bg-BG"/>
              </w:rPr>
            </w:pPr>
          </w:p>
          <w:p w14:paraId="63819B25" w14:textId="67FA0F91" w:rsidR="002E5737" w:rsidRPr="00F50700" w:rsidRDefault="002E5737" w:rsidP="00B870D7">
            <w:pPr>
              <w:pStyle w:val="ListParagraph"/>
              <w:numPr>
                <w:ilvl w:val="0"/>
                <w:numId w:val="47"/>
              </w:numPr>
              <w:jc w:val="both"/>
              <w:rPr>
                <w:rFonts w:ascii="Verdana" w:hAnsi="Verdana"/>
                <w:sz w:val="18"/>
                <w:szCs w:val="18"/>
                <w:lang w:val="bg-BG"/>
              </w:rPr>
            </w:pPr>
            <w:r w:rsidRPr="00F50700">
              <w:rPr>
                <w:rFonts w:ascii="Verdana" w:hAnsi="Verdana"/>
                <w:sz w:val="18"/>
                <w:szCs w:val="18"/>
                <w:lang w:val="en"/>
              </w:rPr>
              <w:t xml:space="preserve">The practice of monitoring the value of concluded </w:t>
            </w:r>
            <w:r w:rsidR="00EA7C74">
              <w:rPr>
                <w:rFonts w:ascii="Verdana" w:hAnsi="Verdana"/>
                <w:sz w:val="18"/>
                <w:szCs w:val="18"/>
                <w:lang w:val="en"/>
              </w:rPr>
              <w:t>commercial</w:t>
            </w:r>
            <w:r w:rsidRPr="00F50700">
              <w:rPr>
                <w:rFonts w:ascii="Verdana" w:hAnsi="Verdana"/>
                <w:sz w:val="18"/>
                <w:szCs w:val="18"/>
                <w:lang w:val="en"/>
              </w:rPr>
              <w:t xml:space="preserve"> contracts is a good risk m</w:t>
            </w:r>
            <w:r w:rsidR="00EA7C74">
              <w:rPr>
                <w:rFonts w:ascii="Verdana" w:hAnsi="Verdana"/>
                <w:sz w:val="18"/>
                <w:szCs w:val="18"/>
                <w:lang w:val="en"/>
              </w:rPr>
              <w:t>anagement</w:t>
            </w:r>
            <w:r w:rsidRPr="00F50700">
              <w:rPr>
                <w:rFonts w:ascii="Verdana" w:hAnsi="Verdana"/>
                <w:sz w:val="18"/>
                <w:szCs w:val="18"/>
                <w:lang w:val="en"/>
              </w:rPr>
              <w:t xml:space="preserve"> tool, which is recommended </w:t>
            </w:r>
            <w:r w:rsidR="00EA7C74">
              <w:rPr>
                <w:rFonts w:ascii="Verdana" w:hAnsi="Verdana"/>
                <w:sz w:val="18"/>
                <w:szCs w:val="18"/>
                <w:lang w:val="en"/>
              </w:rPr>
              <w:t xml:space="preserve">also for </w:t>
            </w:r>
            <w:r w:rsidRPr="00F50700">
              <w:rPr>
                <w:rFonts w:ascii="Verdana" w:hAnsi="Verdana"/>
                <w:sz w:val="18"/>
                <w:szCs w:val="18"/>
                <w:lang w:val="en"/>
              </w:rPr>
              <w:t>subsequent programming periods (recommendation</w:t>
            </w:r>
            <w:r w:rsidR="00CB489E">
              <w:rPr>
                <w:rFonts w:ascii="Verdana" w:hAnsi="Verdana"/>
                <w:sz w:val="18"/>
                <w:szCs w:val="18"/>
                <w:lang w:val="bg-BG"/>
              </w:rPr>
              <w:t xml:space="preserve"> </w:t>
            </w:r>
            <w:r w:rsidRPr="00F50700">
              <w:rPr>
                <w:rFonts w:ascii="Verdana" w:hAnsi="Verdana"/>
                <w:sz w:val="18"/>
                <w:szCs w:val="18"/>
                <w:lang w:val="en"/>
              </w:rPr>
              <w:t>refers to conclusion 6).</w:t>
            </w:r>
          </w:p>
          <w:p w14:paraId="7E29D53F" w14:textId="77777777" w:rsidR="002E5737" w:rsidRPr="00F50700" w:rsidRDefault="002E5737" w:rsidP="00F50700">
            <w:pPr>
              <w:pStyle w:val="ListParagraph"/>
              <w:rPr>
                <w:rFonts w:ascii="Verdana" w:hAnsi="Verdana"/>
                <w:sz w:val="18"/>
                <w:szCs w:val="18"/>
                <w:lang w:val="bg-BG"/>
              </w:rPr>
            </w:pPr>
          </w:p>
          <w:p w14:paraId="25E6C6ED" w14:textId="65E91228" w:rsidR="002E5737" w:rsidRPr="00F50700" w:rsidRDefault="002E5737" w:rsidP="00B870D7">
            <w:pPr>
              <w:pStyle w:val="ListParagraph"/>
              <w:numPr>
                <w:ilvl w:val="0"/>
                <w:numId w:val="47"/>
              </w:numPr>
              <w:jc w:val="both"/>
              <w:rPr>
                <w:rFonts w:ascii="Verdana" w:hAnsi="Verdana"/>
                <w:sz w:val="18"/>
                <w:szCs w:val="18"/>
                <w:lang w:val="bg-BG"/>
              </w:rPr>
            </w:pPr>
            <w:r w:rsidRPr="00F50700">
              <w:rPr>
                <w:rFonts w:ascii="Verdana" w:hAnsi="Verdana"/>
                <w:sz w:val="18"/>
                <w:szCs w:val="18"/>
                <w:lang w:val="en"/>
              </w:rPr>
              <w:t xml:space="preserve">Result and impact indicators derived from indicators examined at project level through the </w:t>
            </w:r>
            <w:r w:rsidR="00B53211">
              <w:rPr>
                <w:rFonts w:ascii="Verdana" w:hAnsi="Verdana"/>
                <w:sz w:val="18"/>
                <w:szCs w:val="18"/>
                <w:lang w:val="en"/>
              </w:rPr>
              <w:t>CBA</w:t>
            </w:r>
            <w:r w:rsidRPr="00F50700">
              <w:rPr>
                <w:rFonts w:ascii="Verdana" w:hAnsi="Verdana"/>
                <w:sz w:val="18"/>
                <w:szCs w:val="18"/>
                <w:lang w:val="en"/>
              </w:rPr>
              <w:t xml:space="preserve"> are recommended to be updated in the course of the </w:t>
            </w:r>
            <w:r w:rsidR="00B53211">
              <w:rPr>
                <w:rFonts w:ascii="Verdana" w:hAnsi="Verdana"/>
                <w:sz w:val="18"/>
                <w:szCs w:val="18"/>
                <w:lang w:val="en"/>
              </w:rPr>
              <w:t xml:space="preserve">programme </w:t>
            </w:r>
            <w:r w:rsidRPr="00F50700">
              <w:rPr>
                <w:rFonts w:ascii="Verdana" w:hAnsi="Verdana"/>
                <w:sz w:val="18"/>
                <w:szCs w:val="18"/>
                <w:lang w:val="en"/>
              </w:rPr>
              <w:t xml:space="preserve">implementation </w:t>
            </w:r>
            <w:r w:rsidR="00B53211">
              <w:rPr>
                <w:rFonts w:ascii="Verdana" w:hAnsi="Verdana"/>
                <w:sz w:val="18"/>
                <w:szCs w:val="18"/>
                <w:lang w:val="en"/>
              </w:rPr>
              <w:t xml:space="preserve">after availability of </w:t>
            </w:r>
            <w:r w:rsidRPr="00F50700">
              <w:rPr>
                <w:rFonts w:ascii="Verdana" w:hAnsi="Verdana"/>
                <w:sz w:val="18"/>
                <w:szCs w:val="18"/>
                <w:lang w:val="en"/>
              </w:rPr>
              <w:t xml:space="preserve">approved </w:t>
            </w:r>
            <w:r w:rsidR="00B53211">
              <w:rPr>
                <w:rFonts w:ascii="Verdana" w:hAnsi="Verdana"/>
                <w:sz w:val="18"/>
                <w:szCs w:val="18"/>
                <w:lang w:val="en"/>
              </w:rPr>
              <w:t>detailed feasibility</w:t>
            </w:r>
            <w:r w:rsidRPr="00F50700">
              <w:rPr>
                <w:rFonts w:ascii="Verdana" w:hAnsi="Verdana"/>
                <w:sz w:val="18"/>
                <w:szCs w:val="18"/>
                <w:lang w:val="en"/>
              </w:rPr>
              <w:t xml:space="preserve"> studies and </w:t>
            </w:r>
            <w:r w:rsidR="00B53211">
              <w:rPr>
                <w:rFonts w:ascii="Verdana" w:hAnsi="Verdana"/>
                <w:sz w:val="18"/>
                <w:szCs w:val="18"/>
                <w:lang w:val="en"/>
              </w:rPr>
              <w:t>CBA</w:t>
            </w:r>
            <w:r w:rsidRPr="00F50700">
              <w:rPr>
                <w:rFonts w:ascii="Verdana" w:hAnsi="Verdana"/>
                <w:sz w:val="18"/>
                <w:szCs w:val="18"/>
                <w:lang w:val="en"/>
              </w:rPr>
              <w:t xml:space="preserve"> containing more precise traffic data and other project indicators. This is particularly </w:t>
            </w:r>
            <w:r w:rsidR="00353F94">
              <w:rPr>
                <w:rFonts w:ascii="Verdana" w:hAnsi="Verdana"/>
                <w:sz w:val="18"/>
                <w:szCs w:val="18"/>
                <w:lang w:val="en"/>
              </w:rPr>
              <w:t>recommended for major</w:t>
            </w:r>
            <w:r w:rsidRPr="00F50700">
              <w:rPr>
                <w:rFonts w:ascii="Verdana" w:hAnsi="Verdana"/>
                <w:sz w:val="18"/>
                <w:szCs w:val="18"/>
                <w:lang w:val="en"/>
              </w:rPr>
              <w:t xml:space="preserve"> projects whose implementation is crucial for the achievement of programme indicators (recommendation</w:t>
            </w:r>
            <w:r w:rsidR="00CB489E">
              <w:rPr>
                <w:rFonts w:ascii="Verdana" w:hAnsi="Verdana"/>
                <w:sz w:val="18"/>
                <w:szCs w:val="18"/>
                <w:lang w:val="bg-BG"/>
              </w:rPr>
              <w:t xml:space="preserve"> </w:t>
            </w:r>
            <w:r w:rsidRPr="00F50700">
              <w:rPr>
                <w:rFonts w:ascii="Verdana" w:hAnsi="Verdana"/>
                <w:sz w:val="18"/>
                <w:szCs w:val="18"/>
                <w:lang w:val="en"/>
              </w:rPr>
              <w:t>refers to conclusion 1)</w:t>
            </w:r>
            <w:r w:rsidR="00353F94">
              <w:rPr>
                <w:rFonts w:ascii="Verdana" w:hAnsi="Verdana"/>
                <w:sz w:val="18"/>
                <w:szCs w:val="18"/>
                <w:lang w:val="en"/>
              </w:rPr>
              <w:t>.</w:t>
            </w:r>
          </w:p>
          <w:p w14:paraId="216A4173" w14:textId="77777777" w:rsidR="002E5737" w:rsidRPr="00F50700" w:rsidRDefault="002E5737" w:rsidP="00F50700">
            <w:pPr>
              <w:pStyle w:val="ListParagraph"/>
              <w:rPr>
                <w:rFonts w:ascii="Verdana" w:hAnsi="Verdana"/>
                <w:sz w:val="18"/>
                <w:szCs w:val="18"/>
                <w:lang w:val="bg-BG"/>
              </w:rPr>
            </w:pPr>
          </w:p>
          <w:p w14:paraId="045D99F8" w14:textId="232B5F1D" w:rsidR="002E5737" w:rsidRPr="00F50700" w:rsidRDefault="002E5737" w:rsidP="00B870D7">
            <w:pPr>
              <w:pStyle w:val="ListParagraph"/>
              <w:numPr>
                <w:ilvl w:val="0"/>
                <w:numId w:val="47"/>
              </w:numPr>
              <w:jc w:val="both"/>
              <w:rPr>
                <w:rFonts w:ascii="Verdana" w:hAnsi="Verdana"/>
                <w:sz w:val="18"/>
                <w:szCs w:val="18"/>
                <w:lang w:val="bg-BG"/>
              </w:rPr>
            </w:pPr>
            <w:r w:rsidRPr="00F50700">
              <w:rPr>
                <w:rFonts w:ascii="Verdana" w:hAnsi="Verdana"/>
                <w:sz w:val="18"/>
                <w:szCs w:val="18"/>
                <w:lang w:val="en"/>
              </w:rPr>
              <w:t xml:space="preserve">It is advisable to </w:t>
            </w:r>
            <w:r w:rsidR="00CD3097">
              <w:rPr>
                <w:rFonts w:ascii="Verdana" w:hAnsi="Verdana"/>
                <w:sz w:val="18"/>
                <w:szCs w:val="18"/>
                <w:lang w:val="en"/>
              </w:rPr>
              <w:t>improve</w:t>
            </w:r>
            <w:r w:rsidRPr="00F50700">
              <w:rPr>
                <w:rFonts w:ascii="Verdana" w:hAnsi="Verdana"/>
                <w:sz w:val="18"/>
                <w:szCs w:val="18"/>
                <w:lang w:val="en"/>
              </w:rPr>
              <w:t xml:space="preserve"> the project evaluation and </w:t>
            </w:r>
            <w:r w:rsidR="00216170" w:rsidRPr="00F50700">
              <w:rPr>
                <w:rFonts w:ascii="Verdana" w:hAnsi="Verdana"/>
                <w:sz w:val="18"/>
                <w:szCs w:val="18"/>
                <w:lang w:val="en"/>
              </w:rPr>
              <w:t>prioritization</w:t>
            </w:r>
            <w:r w:rsidRPr="00F50700">
              <w:rPr>
                <w:rFonts w:ascii="Verdana" w:hAnsi="Verdana"/>
                <w:sz w:val="18"/>
                <w:szCs w:val="18"/>
                <w:lang w:val="en"/>
              </w:rPr>
              <w:t xml:space="preserve"> methodology with regard to the project maturity and preparedness criterion and to add a risk assessment as an essential element of pre-selection. It is necessary to </w:t>
            </w:r>
            <w:r w:rsidR="003C331C">
              <w:rPr>
                <w:rFonts w:ascii="Verdana" w:hAnsi="Verdana"/>
                <w:sz w:val="18"/>
                <w:szCs w:val="18"/>
              </w:rPr>
              <w:t xml:space="preserve">ensure </w:t>
            </w:r>
            <w:r w:rsidRPr="00F50700">
              <w:rPr>
                <w:rFonts w:ascii="Verdana" w:hAnsi="Verdana"/>
                <w:sz w:val="18"/>
                <w:szCs w:val="18"/>
                <w:lang w:val="en"/>
              </w:rPr>
              <w:t xml:space="preserve">objective assessment of project </w:t>
            </w:r>
            <w:r w:rsidR="00970E5A">
              <w:rPr>
                <w:rFonts w:ascii="Verdana" w:hAnsi="Verdana"/>
                <w:sz w:val="18"/>
                <w:szCs w:val="18"/>
                <w:lang w:val="en"/>
              </w:rPr>
              <w:t>maturity</w:t>
            </w:r>
            <w:r w:rsidR="003C331C">
              <w:rPr>
                <w:rFonts w:ascii="Verdana" w:hAnsi="Verdana"/>
                <w:sz w:val="18"/>
                <w:szCs w:val="18"/>
                <w:lang w:val="en"/>
              </w:rPr>
              <w:t xml:space="preserve"> criterion</w:t>
            </w:r>
            <w:r w:rsidRPr="00F50700">
              <w:rPr>
                <w:rFonts w:ascii="Verdana" w:hAnsi="Verdana"/>
                <w:sz w:val="18"/>
                <w:szCs w:val="18"/>
                <w:lang w:val="en"/>
              </w:rPr>
              <w:t xml:space="preserve">, </w:t>
            </w:r>
            <w:r w:rsidR="003C331C">
              <w:rPr>
                <w:rFonts w:ascii="Verdana" w:hAnsi="Verdana"/>
                <w:sz w:val="18"/>
                <w:szCs w:val="18"/>
                <w:lang w:val="en"/>
              </w:rPr>
              <w:t>including through</w:t>
            </w:r>
            <w:r w:rsidRPr="00F50700">
              <w:rPr>
                <w:rFonts w:ascii="Verdana" w:hAnsi="Verdana"/>
                <w:sz w:val="18"/>
                <w:szCs w:val="18"/>
                <w:lang w:val="en"/>
              </w:rPr>
              <w:t>:</w:t>
            </w:r>
          </w:p>
          <w:p w14:paraId="15E8739F" w14:textId="3DA72E25" w:rsidR="002E5737" w:rsidRPr="00F50700" w:rsidRDefault="002E5737" w:rsidP="00B870D7">
            <w:pPr>
              <w:widowControl w:val="0"/>
              <w:numPr>
                <w:ilvl w:val="0"/>
                <w:numId w:val="23"/>
              </w:numPr>
              <w:spacing w:before="40"/>
              <w:contextualSpacing/>
              <w:jc w:val="both"/>
              <w:outlineLvl w:val="2"/>
              <w:rPr>
                <w:rFonts w:ascii="Verdana" w:hAnsi="Verdana"/>
                <w:sz w:val="18"/>
                <w:szCs w:val="18"/>
                <w:lang w:val="bg-BG"/>
              </w:rPr>
            </w:pPr>
            <w:r w:rsidRPr="00F50700">
              <w:rPr>
                <w:rFonts w:ascii="Verdana" w:hAnsi="Verdana"/>
                <w:sz w:val="18"/>
                <w:szCs w:val="18"/>
                <w:lang w:val="en"/>
              </w:rPr>
              <w:t xml:space="preserve">Checklists with specific indicators for measuring the status of project </w:t>
            </w:r>
            <w:r w:rsidR="00970E5A">
              <w:rPr>
                <w:rFonts w:ascii="Verdana" w:hAnsi="Verdana"/>
                <w:sz w:val="18"/>
                <w:szCs w:val="18"/>
                <w:lang w:val="en"/>
              </w:rPr>
              <w:t>maturity</w:t>
            </w:r>
          </w:p>
          <w:p w14:paraId="11A85AE7" w14:textId="052F0592" w:rsidR="002E5737" w:rsidRPr="00F50700" w:rsidRDefault="002E5737" w:rsidP="00B870D7">
            <w:pPr>
              <w:pStyle w:val="ListParagraph"/>
              <w:widowControl w:val="0"/>
              <w:numPr>
                <w:ilvl w:val="0"/>
                <w:numId w:val="23"/>
              </w:numPr>
              <w:spacing w:before="40"/>
              <w:jc w:val="both"/>
              <w:outlineLvl w:val="2"/>
              <w:rPr>
                <w:rFonts w:ascii="Verdana" w:hAnsi="Verdana"/>
                <w:sz w:val="18"/>
                <w:szCs w:val="18"/>
              </w:rPr>
            </w:pPr>
            <w:r w:rsidRPr="00F50700">
              <w:rPr>
                <w:rFonts w:ascii="Verdana" w:hAnsi="Verdana"/>
                <w:sz w:val="18"/>
                <w:szCs w:val="18"/>
                <w:lang w:val="en"/>
              </w:rPr>
              <w:t>Forecasts for</w:t>
            </w:r>
            <w:r w:rsidR="00970E5A">
              <w:rPr>
                <w:rFonts w:ascii="Verdana" w:hAnsi="Verdana"/>
                <w:sz w:val="18"/>
                <w:szCs w:val="18"/>
                <w:lang w:val="en"/>
              </w:rPr>
              <w:t xml:space="preserve"> achievement of</w:t>
            </w:r>
            <w:r w:rsidRPr="00F50700">
              <w:rPr>
                <w:rFonts w:ascii="Verdana" w:hAnsi="Verdana"/>
                <w:sz w:val="18"/>
                <w:szCs w:val="18"/>
                <w:lang w:val="en"/>
              </w:rPr>
              <w:t xml:space="preserve"> project </w:t>
            </w:r>
            <w:r w:rsidR="00970E5A">
              <w:rPr>
                <w:rFonts w:ascii="Verdana" w:hAnsi="Verdana"/>
                <w:sz w:val="18"/>
                <w:szCs w:val="18"/>
                <w:lang w:val="en"/>
              </w:rPr>
              <w:t>maturity</w:t>
            </w:r>
            <w:r w:rsidRPr="00F50700">
              <w:rPr>
                <w:rFonts w:ascii="Verdana" w:hAnsi="Verdana"/>
                <w:sz w:val="18"/>
                <w:szCs w:val="18"/>
                <w:lang w:val="en"/>
              </w:rPr>
              <w:t>, including risk assessment</w:t>
            </w:r>
            <w:r w:rsidR="00717802">
              <w:rPr>
                <w:rFonts w:ascii="Verdana" w:hAnsi="Verdana"/>
                <w:sz w:val="18"/>
                <w:szCs w:val="18"/>
                <w:lang w:val="en"/>
              </w:rPr>
              <w:t xml:space="preserve"> element </w:t>
            </w:r>
            <w:r w:rsidRPr="00F50700">
              <w:rPr>
                <w:rFonts w:ascii="Verdana" w:hAnsi="Verdana"/>
                <w:sz w:val="18"/>
                <w:szCs w:val="18"/>
                <w:lang w:val="en"/>
              </w:rPr>
              <w:t>(recommendation</w:t>
            </w:r>
            <w:r w:rsidR="00CB489E">
              <w:rPr>
                <w:rFonts w:ascii="Verdana" w:hAnsi="Verdana"/>
                <w:sz w:val="18"/>
                <w:szCs w:val="18"/>
                <w:lang w:val="bg-BG"/>
              </w:rPr>
              <w:t xml:space="preserve"> </w:t>
            </w:r>
            <w:r w:rsidRPr="00F50700">
              <w:rPr>
                <w:rFonts w:ascii="Verdana" w:hAnsi="Verdana"/>
                <w:sz w:val="18"/>
                <w:szCs w:val="18"/>
                <w:lang w:val="en"/>
              </w:rPr>
              <w:t xml:space="preserve">refers to conclusions </w:t>
            </w:r>
            <w:r w:rsidRPr="00F50700">
              <w:rPr>
                <w:rFonts w:ascii="Verdana" w:hAnsi="Verdana"/>
                <w:sz w:val="18"/>
                <w:szCs w:val="18"/>
                <w:lang w:val="en"/>
              </w:rPr>
              <w:lastRenderedPageBreak/>
              <w:t>6 and 7)</w:t>
            </w:r>
          </w:p>
          <w:p w14:paraId="02B415FB" w14:textId="77777777" w:rsidR="002E5737" w:rsidRPr="00F50700" w:rsidRDefault="002E5737" w:rsidP="00F50700">
            <w:pPr>
              <w:widowControl w:val="0"/>
              <w:spacing w:before="40"/>
              <w:jc w:val="both"/>
              <w:outlineLvl w:val="2"/>
              <w:rPr>
                <w:rFonts w:ascii="Verdana" w:hAnsi="Verdana"/>
                <w:sz w:val="18"/>
                <w:szCs w:val="18"/>
              </w:rPr>
            </w:pPr>
          </w:p>
          <w:p w14:paraId="51BBEB4A" w14:textId="0C08BF94" w:rsidR="002E5737" w:rsidRPr="00F50700" w:rsidRDefault="002E5737" w:rsidP="00B870D7">
            <w:pPr>
              <w:pStyle w:val="ListParagraph"/>
              <w:widowControl w:val="0"/>
              <w:numPr>
                <w:ilvl w:val="0"/>
                <w:numId w:val="47"/>
              </w:numPr>
              <w:spacing w:before="40"/>
              <w:jc w:val="both"/>
              <w:outlineLvl w:val="2"/>
              <w:rPr>
                <w:rFonts w:ascii="Verdana" w:hAnsi="Verdana"/>
                <w:sz w:val="18"/>
                <w:szCs w:val="18"/>
              </w:rPr>
            </w:pPr>
            <w:r w:rsidRPr="00F50700">
              <w:rPr>
                <w:rFonts w:ascii="Verdana" w:hAnsi="Verdana"/>
                <w:sz w:val="18"/>
                <w:szCs w:val="18"/>
                <w:lang w:val="en"/>
              </w:rPr>
              <w:t>It is recommended that the risk assessment</w:t>
            </w:r>
            <w:r w:rsidR="00717802">
              <w:rPr>
                <w:rFonts w:ascii="Verdana" w:hAnsi="Verdana"/>
                <w:sz w:val="18"/>
                <w:szCs w:val="18"/>
                <w:lang w:val="en"/>
              </w:rPr>
              <w:t xml:space="preserve"> practice</w:t>
            </w:r>
            <w:r w:rsidRPr="00F50700">
              <w:rPr>
                <w:rFonts w:ascii="Verdana" w:hAnsi="Verdana"/>
                <w:sz w:val="18"/>
                <w:szCs w:val="18"/>
                <w:lang w:val="en"/>
              </w:rPr>
              <w:t xml:space="preserve"> be continued as a systematic and continuous process. The MA may consider introducing a risk assessment scale on which each project has an ongoing assessment based on regular monitoring reports.  (recommendation concerns conclusions 1, 6 and 7)</w:t>
            </w:r>
          </w:p>
          <w:p w14:paraId="313E5D10" w14:textId="77777777" w:rsidR="002E5737" w:rsidRPr="00F50700" w:rsidRDefault="002E5737" w:rsidP="00F50700">
            <w:pPr>
              <w:pStyle w:val="ListParagraph"/>
              <w:widowControl w:val="0"/>
              <w:spacing w:before="40"/>
              <w:jc w:val="both"/>
              <w:outlineLvl w:val="2"/>
              <w:rPr>
                <w:rFonts w:ascii="Verdana" w:hAnsi="Verdana"/>
                <w:sz w:val="18"/>
                <w:szCs w:val="18"/>
              </w:rPr>
            </w:pPr>
          </w:p>
          <w:p w14:paraId="4084FDDD" w14:textId="37A26B03" w:rsidR="002E5737" w:rsidRPr="00F50700" w:rsidRDefault="002E5737" w:rsidP="00B870D7">
            <w:pPr>
              <w:pStyle w:val="ListParagraph"/>
              <w:widowControl w:val="0"/>
              <w:numPr>
                <w:ilvl w:val="0"/>
                <w:numId w:val="47"/>
              </w:numPr>
              <w:spacing w:before="40"/>
              <w:jc w:val="both"/>
              <w:outlineLvl w:val="2"/>
              <w:rPr>
                <w:rFonts w:ascii="Verdana" w:hAnsi="Verdana"/>
                <w:sz w:val="18"/>
                <w:szCs w:val="18"/>
              </w:rPr>
            </w:pPr>
            <w:r w:rsidRPr="00F50700">
              <w:rPr>
                <w:rFonts w:ascii="Verdana" w:hAnsi="Verdana"/>
                <w:sz w:val="18"/>
                <w:szCs w:val="18"/>
                <w:lang w:val="en"/>
              </w:rPr>
              <w:t xml:space="preserve">It is recommended that the MA, together with the beneficiaries, identify timely sources of funding for own </w:t>
            </w:r>
            <w:r w:rsidR="00CC69D8">
              <w:rPr>
                <w:rFonts w:ascii="Verdana" w:hAnsi="Verdana"/>
                <w:sz w:val="18"/>
                <w:szCs w:val="18"/>
                <w:lang w:val="en"/>
              </w:rPr>
              <w:t>contribution of beneficiaries</w:t>
            </w:r>
            <w:r w:rsidRPr="00F50700">
              <w:rPr>
                <w:rFonts w:ascii="Verdana" w:hAnsi="Verdana"/>
                <w:sz w:val="18"/>
                <w:szCs w:val="18"/>
                <w:lang w:val="en"/>
              </w:rPr>
              <w:t>, including the EIB and other international financial institutions.  (recommendation concerns conclusion 8)</w:t>
            </w:r>
          </w:p>
          <w:p w14:paraId="490BD2F6" w14:textId="77777777" w:rsidR="002E5737" w:rsidRPr="00F50700" w:rsidRDefault="002E5737" w:rsidP="00F50700">
            <w:pPr>
              <w:ind w:left="720"/>
              <w:contextualSpacing/>
              <w:rPr>
                <w:rFonts w:ascii="Verdana" w:hAnsi="Verdana"/>
                <w:sz w:val="18"/>
                <w:szCs w:val="18"/>
                <w:lang w:val="bg-BG"/>
              </w:rPr>
            </w:pPr>
          </w:p>
          <w:p w14:paraId="65A912BD" w14:textId="77777777" w:rsidR="002E5737" w:rsidRPr="00F50700" w:rsidRDefault="002E5737" w:rsidP="00F50700">
            <w:pPr>
              <w:ind w:left="720"/>
              <w:contextualSpacing/>
              <w:rPr>
                <w:rFonts w:ascii="Verdana" w:hAnsi="Verdana"/>
                <w:sz w:val="18"/>
                <w:szCs w:val="18"/>
                <w:lang w:val="bg-BG"/>
              </w:rPr>
            </w:pPr>
          </w:p>
          <w:p w14:paraId="2240C1AA" w14:textId="2275DDA1" w:rsidR="002E5737" w:rsidRPr="001C40A0" w:rsidRDefault="002E5737" w:rsidP="001C40A0">
            <w:pPr>
              <w:pStyle w:val="ListParagraph"/>
              <w:numPr>
                <w:ilvl w:val="0"/>
                <w:numId w:val="47"/>
              </w:numPr>
              <w:jc w:val="both"/>
              <w:rPr>
                <w:rFonts w:ascii="Verdana" w:hAnsi="Verdana"/>
                <w:sz w:val="18"/>
                <w:szCs w:val="18"/>
                <w:lang w:val="bg-BG"/>
              </w:rPr>
            </w:pPr>
            <w:r w:rsidRPr="001C40A0">
              <w:rPr>
                <w:rFonts w:ascii="Verdana" w:hAnsi="Verdana"/>
                <w:sz w:val="18"/>
                <w:szCs w:val="18"/>
                <w:lang w:val="en"/>
              </w:rPr>
              <w:t xml:space="preserve">Increasing the administrative capacity of the beneficiaries for the implementation of </w:t>
            </w:r>
            <w:r w:rsidR="004C7B4D" w:rsidRPr="001C40A0">
              <w:rPr>
                <w:rFonts w:ascii="Verdana" w:hAnsi="Verdana"/>
                <w:sz w:val="18"/>
                <w:szCs w:val="18"/>
                <w:lang w:val="en"/>
              </w:rPr>
              <w:t>PPA</w:t>
            </w:r>
            <w:r w:rsidRPr="001C40A0">
              <w:rPr>
                <w:rFonts w:ascii="Verdana" w:hAnsi="Verdana"/>
                <w:sz w:val="18"/>
                <w:szCs w:val="18"/>
                <w:lang w:val="en"/>
              </w:rPr>
              <w:t xml:space="preserve"> and SD</w:t>
            </w:r>
            <w:r w:rsidR="004C7B4D" w:rsidRPr="001C40A0">
              <w:rPr>
                <w:rFonts w:ascii="Verdana" w:hAnsi="Verdana"/>
                <w:sz w:val="18"/>
                <w:szCs w:val="18"/>
                <w:lang w:val="en"/>
              </w:rPr>
              <w:t>A</w:t>
            </w:r>
            <w:r w:rsidRPr="001C40A0">
              <w:rPr>
                <w:rFonts w:ascii="Verdana" w:hAnsi="Verdana"/>
                <w:sz w:val="18"/>
                <w:szCs w:val="18"/>
                <w:lang w:val="en"/>
              </w:rPr>
              <w:t xml:space="preserve"> is a key prerequisite for successful implementation and prevention of financial corrections</w:t>
            </w:r>
            <w:r w:rsidR="004C7B4D" w:rsidRPr="001C40A0">
              <w:rPr>
                <w:rFonts w:ascii="Verdana" w:hAnsi="Verdana"/>
                <w:sz w:val="18"/>
                <w:szCs w:val="18"/>
                <w:lang w:val="en"/>
              </w:rPr>
              <w:t xml:space="preserve"> caused by </w:t>
            </w:r>
            <w:r w:rsidRPr="001C40A0">
              <w:rPr>
                <w:rFonts w:ascii="Verdana" w:hAnsi="Verdana"/>
                <w:sz w:val="18"/>
                <w:szCs w:val="18"/>
                <w:lang w:val="en"/>
              </w:rPr>
              <w:t xml:space="preserve">violations </w:t>
            </w:r>
            <w:r w:rsidR="004C7B4D" w:rsidRPr="001C40A0">
              <w:rPr>
                <w:rFonts w:ascii="Verdana" w:hAnsi="Verdana"/>
                <w:sz w:val="18"/>
                <w:szCs w:val="18"/>
                <w:lang w:val="en"/>
              </w:rPr>
              <w:t>in</w:t>
            </w:r>
            <w:r w:rsidRPr="001C40A0">
              <w:rPr>
                <w:rFonts w:ascii="Verdana" w:hAnsi="Verdana"/>
                <w:sz w:val="18"/>
                <w:szCs w:val="18"/>
                <w:lang w:val="en"/>
              </w:rPr>
              <w:t xml:space="preserve"> project</w:t>
            </w:r>
            <w:r w:rsidR="004C7B4D" w:rsidRPr="001C40A0">
              <w:rPr>
                <w:rFonts w:ascii="Verdana" w:hAnsi="Verdana"/>
                <w:sz w:val="18"/>
                <w:szCs w:val="18"/>
                <w:lang w:val="en"/>
              </w:rPr>
              <w:t xml:space="preserve"> implementation</w:t>
            </w:r>
            <w:r w:rsidRPr="001C40A0">
              <w:rPr>
                <w:rFonts w:ascii="Verdana" w:hAnsi="Verdana"/>
                <w:sz w:val="18"/>
                <w:szCs w:val="18"/>
                <w:lang w:val="en"/>
              </w:rPr>
              <w:t>.  (recommendation concerns conclusion 8)</w:t>
            </w:r>
          </w:p>
          <w:p w14:paraId="29526AE7" w14:textId="77777777" w:rsidR="002E5737" w:rsidRPr="00F50700" w:rsidRDefault="002E5737" w:rsidP="00F50700">
            <w:pPr>
              <w:ind w:left="720"/>
              <w:contextualSpacing/>
              <w:rPr>
                <w:rFonts w:ascii="Verdana" w:hAnsi="Verdana"/>
                <w:sz w:val="18"/>
                <w:szCs w:val="18"/>
                <w:lang w:val="bg-BG"/>
              </w:rPr>
            </w:pPr>
          </w:p>
          <w:p w14:paraId="59DBF915" w14:textId="77777777" w:rsidR="002E5737" w:rsidRPr="00F50700" w:rsidRDefault="002E5737" w:rsidP="00F50700">
            <w:pPr>
              <w:rPr>
                <w:rFonts w:ascii="Verdana" w:hAnsi="Verdana"/>
                <w:sz w:val="18"/>
                <w:szCs w:val="18"/>
                <w:lang w:val="bg-BG"/>
              </w:rPr>
            </w:pPr>
          </w:p>
        </w:tc>
        <w:tc>
          <w:tcPr>
            <w:tcW w:w="2313" w:type="dxa"/>
          </w:tcPr>
          <w:p w14:paraId="66EF7A4F" w14:textId="77777777" w:rsidR="002E5737" w:rsidRPr="00F50700" w:rsidRDefault="002E5737" w:rsidP="00F50700">
            <w:pPr>
              <w:contextualSpacing/>
              <w:rPr>
                <w:rFonts w:ascii="Verdana" w:hAnsi="Verdana"/>
                <w:sz w:val="18"/>
                <w:szCs w:val="18"/>
                <w:lang w:val="bg-BG"/>
              </w:rPr>
            </w:pPr>
            <w:r w:rsidRPr="00F50700">
              <w:rPr>
                <w:rFonts w:ascii="Verdana" w:hAnsi="Verdana"/>
                <w:sz w:val="18"/>
                <w:szCs w:val="18"/>
                <w:lang w:val="en"/>
              </w:rPr>
              <w:lastRenderedPageBreak/>
              <w:t>Managing Authority</w:t>
            </w:r>
          </w:p>
          <w:p w14:paraId="0C34272F" w14:textId="77777777" w:rsidR="002E5737" w:rsidRPr="00F50700" w:rsidRDefault="002E5737" w:rsidP="00F50700">
            <w:pPr>
              <w:rPr>
                <w:rFonts w:ascii="Verdana" w:hAnsi="Verdana"/>
                <w:sz w:val="18"/>
                <w:szCs w:val="18"/>
                <w:lang w:val="bg-BG"/>
              </w:rPr>
            </w:pPr>
          </w:p>
          <w:p w14:paraId="47CFDA90" w14:textId="77777777" w:rsidR="002E5737" w:rsidRPr="00F50700" w:rsidRDefault="002E5737" w:rsidP="00F50700">
            <w:pPr>
              <w:rPr>
                <w:rFonts w:ascii="Verdana" w:hAnsi="Verdana"/>
                <w:sz w:val="18"/>
                <w:szCs w:val="18"/>
                <w:lang w:val="bg-BG"/>
              </w:rPr>
            </w:pPr>
          </w:p>
          <w:p w14:paraId="0C00B1C3" w14:textId="77777777" w:rsidR="002E5737" w:rsidRPr="00F50700" w:rsidRDefault="002E5737" w:rsidP="00F50700">
            <w:pPr>
              <w:rPr>
                <w:rFonts w:ascii="Verdana" w:hAnsi="Verdana"/>
                <w:sz w:val="18"/>
                <w:szCs w:val="18"/>
                <w:lang w:val="bg-BG"/>
              </w:rPr>
            </w:pPr>
          </w:p>
          <w:p w14:paraId="11B04B74" w14:textId="77777777" w:rsidR="002E5737" w:rsidRPr="00F50700" w:rsidRDefault="002E5737" w:rsidP="00F50700">
            <w:pPr>
              <w:rPr>
                <w:rFonts w:ascii="Verdana" w:hAnsi="Verdana"/>
                <w:sz w:val="18"/>
                <w:szCs w:val="18"/>
                <w:lang w:val="bg-BG"/>
              </w:rPr>
            </w:pPr>
          </w:p>
          <w:p w14:paraId="334B4ACD" w14:textId="77777777" w:rsidR="002E5737" w:rsidRPr="00F50700" w:rsidRDefault="002E5737" w:rsidP="00F50700">
            <w:pPr>
              <w:rPr>
                <w:rFonts w:ascii="Verdana" w:hAnsi="Verdana"/>
                <w:sz w:val="18"/>
                <w:szCs w:val="18"/>
                <w:lang w:val="bg-BG"/>
              </w:rPr>
            </w:pPr>
          </w:p>
          <w:p w14:paraId="6A817402" w14:textId="77777777" w:rsidR="002E5737" w:rsidRPr="00F50700" w:rsidRDefault="002E5737" w:rsidP="00F50700">
            <w:pPr>
              <w:rPr>
                <w:rFonts w:ascii="Verdana" w:hAnsi="Verdana"/>
                <w:sz w:val="18"/>
                <w:szCs w:val="18"/>
                <w:lang w:val="bg-BG"/>
              </w:rPr>
            </w:pPr>
          </w:p>
          <w:p w14:paraId="034C7341" w14:textId="77777777" w:rsidR="002E5737" w:rsidRPr="00F50700" w:rsidRDefault="002E5737" w:rsidP="00F50700">
            <w:pPr>
              <w:contextualSpacing/>
              <w:rPr>
                <w:rFonts w:ascii="Verdana" w:hAnsi="Verdana"/>
                <w:sz w:val="18"/>
                <w:szCs w:val="18"/>
                <w:lang w:val="bg-BG"/>
              </w:rPr>
            </w:pPr>
            <w:r w:rsidRPr="00F50700">
              <w:rPr>
                <w:rFonts w:ascii="Verdana" w:hAnsi="Verdana"/>
                <w:sz w:val="18"/>
                <w:szCs w:val="18"/>
                <w:lang w:val="en"/>
              </w:rPr>
              <w:t>Beneficiaries</w:t>
            </w:r>
          </w:p>
          <w:p w14:paraId="26EE4820" w14:textId="77777777" w:rsidR="002E5737" w:rsidRPr="00F50700" w:rsidRDefault="002E5737" w:rsidP="00F50700">
            <w:pPr>
              <w:rPr>
                <w:rFonts w:ascii="Verdana" w:hAnsi="Verdana"/>
                <w:sz w:val="18"/>
                <w:szCs w:val="18"/>
                <w:lang w:val="bg-BG"/>
              </w:rPr>
            </w:pPr>
          </w:p>
          <w:p w14:paraId="1E51C05B" w14:textId="77777777" w:rsidR="002E5737" w:rsidRPr="00F50700" w:rsidRDefault="002E5737" w:rsidP="00F50700">
            <w:pPr>
              <w:rPr>
                <w:rFonts w:ascii="Verdana" w:hAnsi="Verdana"/>
                <w:sz w:val="18"/>
                <w:szCs w:val="18"/>
                <w:lang w:val="bg-BG"/>
              </w:rPr>
            </w:pPr>
          </w:p>
          <w:p w14:paraId="414D2D8A" w14:textId="77777777" w:rsidR="002E5737" w:rsidRPr="00F50700" w:rsidRDefault="002E5737" w:rsidP="00F50700">
            <w:pPr>
              <w:rPr>
                <w:rFonts w:ascii="Verdana" w:hAnsi="Verdana"/>
                <w:sz w:val="18"/>
                <w:szCs w:val="18"/>
                <w:lang w:val="bg-BG"/>
              </w:rPr>
            </w:pPr>
          </w:p>
          <w:p w14:paraId="48D8CFBD" w14:textId="77777777" w:rsidR="002E5737" w:rsidRPr="00F50700" w:rsidRDefault="002E5737" w:rsidP="00F50700">
            <w:pPr>
              <w:rPr>
                <w:rFonts w:ascii="Verdana" w:hAnsi="Verdana"/>
                <w:sz w:val="18"/>
                <w:szCs w:val="18"/>
                <w:lang w:val="bg-BG"/>
              </w:rPr>
            </w:pPr>
          </w:p>
          <w:p w14:paraId="5B06AA1D" w14:textId="77777777" w:rsidR="002E5737" w:rsidRPr="00F50700" w:rsidRDefault="002E5737" w:rsidP="00F50700">
            <w:pPr>
              <w:contextualSpacing/>
              <w:rPr>
                <w:rFonts w:ascii="Verdana" w:hAnsi="Verdana"/>
                <w:sz w:val="18"/>
                <w:szCs w:val="18"/>
                <w:lang w:val="bg-BG"/>
              </w:rPr>
            </w:pPr>
            <w:r w:rsidRPr="00F50700">
              <w:rPr>
                <w:rFonts w:ascii="Verdana" w:hAnsi="Verdana"/>
                <w:sz w:val="18"/>
                <w:szCs w:val="18"/>
                <w:lang w:val="en"/>
              </w:rPr>
              <w:t>Managing Authority</w:t>
            </w:r>
          </w:p>
          <w:p w14:paraId="29B8FB0B" w14:textId="77777777" w:rsidR="002E5737" w:rsidRPr="00F50700" w:rsidRDefault="002E5737" w:rsidP="00F50700">
            <w:pPr>
              <w:rPr>
                <w:rFonts w:ascii="Verdana" w:hAnsi="Verdana"/>
                <w:sz w:val="18"/>
                <w:szCs w:val="18"/>
                <w:lang w:val="bg-BG"/>
              </w:rPr>
            </w:pPr>
          </w:p>
          <w:p w14:paraId="3883AD0A" w14:textId="77777777" w:rsidR="002E5737" w:rsidRPr="00F50700" w:rsidRDefault="002E5737" w:rsidP="00F50700">
            <w:pPr>
              <w:rPr>
                <w:rFonts w:ascii="Verdana" w:hAnsi="Verdana"/>
                <w:sz w:val="18"/>
                <w:szCs w:val="18"/>
                <w:lang w:val="bg-BG"/>
              </w:rPr>
            </w:pPr>
          </w:p>
          <w:p w14:paraId="2E921C85" w14:textId="77777777" w:rsidR="002E5737" w:rsidRPr="00F50700" w:rsidRDefault="002E5737" w:rsidP="00F50700">
            <w:pPr>
              <w:rPr>
                <w:rFonts w:ascii="Verdana" w:hAnsi="Verdana"/>
                <w:sz w:val="18"/>
                <w:szCs w:val="18"/>
                <w:lang w:val="bg-BG"/>
              </w:rPr>
            </w:pPr>
          </w:p>
          <w:p w14:paraId="365CE386" w14:textId="77777777" w:rsidR="002E5737" w:rsidRPr="00F50700" w:rsidRDefault="002E5737" w:rsidP="00F50700">
            <w:pPr>
              <w:rPr>
                <w:rFonts w:ascii="Verdana" w:hAnsi="Verdana"/>
                <w:sz w:val="18"/>
                <w:szCs w:val="18"/>
                <w:lang w:val="bg-BG"/>
              </w:rPr>
            </w:pPr>
          </w:p>
          <w:p w14:paraId="249150EA" w14:textId="77777777" w:rsidR="002E5737" w:rsidRPr="00F50700" w:rsidRDefault="002E5737" w:rsidP="00F50700">
            <w:pPr>
              <w:rPr>
                <w:rFonts w:ascii="Verdana" w:hAnsi="Verdana"/>
                <w:sz w:val="18"/>
                <w:szCs w:val="18"/>
                <w:lang w:val="bg-BG"/>
              </w:rPr>
            </w:pPr>
          </w:p>
          <w:p w14:paraId="75D9F48D" w14:textId="77777777" w:rsidR="002E5737" w:rsidRPr="00F50700" w:rsidRDefault="002E5737" w:rsidP="00F50700">
            <w:pPr>
              <w:rPr>
                <w:rFonts w:ascii="Verdana" w:hAnsi="Verdana"/>
                <w:sz w:val="18"/>
                <w:szCs w:val="18"/>
                <w:lang w:val="bg-BG"/>
              </w:rPr>
            </w:pPr>
          </w:p>
          <w:p w14:paraId="4587B35E" w14:textId="77777777" w:rsidR="002E5737" w:rsidRPr="00F50700" w:rsidRDefault="002E5737" w:rsidP="00F50700">
            <w:pPr>
              <w:rPr>
                <w:rFonts w:ascii="Verdana" w:hAnsi="Verdana"/>
                <w:sz w:val="18"/>
                <w:szCs w:val="18"/>
                <w:lang w:val="bg-BG"/>
              </w:rPr>
            </w:pPr>
          </w:p>
          <w:p w14:paraId="01F8F797" w14:textId="77777777" w:rsidR="002E5737" w:rsidRPr="00F50700" w:rsidRDefault="002E5737" w:rsidP="00F50700">
            <w:pPr>
              <w:rPr>
                <w:rFonts w:ascii="Verdana" w:hAnsi="Verdana"/>
                <w:sz w:val="18"/>
                <w:szCs w:val="18"/>
                <w:lang w:val="bg-BG"/>
              </w:rPr>
            </w:pPr>
          </w:p>
          <w:p w14:paraId="5A9D91A5" w14:textId="3D93CADB" w:rsidR="002E5737" w:rsidRDefault="002E5737" w:rsidP="00F50700">
            <w:pPr>
              <w:rPr>
                <w:rFonts w:ascii="Verdana" w:hAnsi="Verdana"/>
                <w:sz w:val="18"/>
                <w:szCs w:val="18"/>
                <w:lang w:val="bg-BG"/>
              </w:rPr>
            </w:pPr>
          </w:p>
          <w:p w14:paraId="69DA1962" w14:textId="77777777" w:rsidR="00CD3097" w:rsidRPr="00F50700" w:rsidRDefault="00CD3097" w:rsidP="00F50700">
            <w:pPr>
              <w:rPr>
                <w:rFonts w:ascii="Verdana" w:hAnsi="Verdana"/>
                <w:sz w:val="18"/>
                <w:szCs w:val="18"/>
                <w:lang w:val="bg-BG"/>
              </w:rPr>
            </w:pPr>
          </w:p>
          <w:p w14:paraId="69E94F2A" w14:textId="77777777" w:rsidR="002E5737" w:rsidRPr="00F50700" w:rsidRDefault="002E5737" w:rsidP="00F50700">
            <w:pPr>
              <w:rPr>
                <w:rFonts w:ascii="Verdana" w:hAnsi="Verdana"/>
                <w:sz w:val="18"/>
                <w:szCs w:val="18"/>
                <w:lang w:val="bg-BG"/>
              </w:rPr>
            </w:pPr>
            <w:r w:rsidRPr="00F50700">
              <w:rPr>
                <w:rFonts w:ascii="Verdana" w:hAnsi="Verdana"/>
                <w:sz w:val="18"/>
                <w:szCs w:val="18"/>
                <w:lang w:val="en"/>
              </w:rPr>
              <w:t>Managing Authority</w:t>
            </w:r>
          </w:p>
          <w:p w14:paraId="368EF180" w14:textId="77777777" w:rsidR="002E5737" w:rsidRPr="00F50700" w:rsidRDefault="002E5737" w:rsidP="00F50700">
            <w:pPr>
              <w:rPr>
                <w:rFonts w:ascii="Verdana" w:hAnsi="Verdana"/>
                <w:sz w:val="18"/>
                <w:szCs w:val="18"/>
                <w:lang w:val="bg-BG"/>
              </w:rPr>
            </w:pPr>
          </w:p>
          <w:p w14:paraId="24D37CEA" w14:textId="77777777" w:rsidR="002E5737" w:rsidRPr="00F50700" w:rsidRDefault="002E5737" w:rsidP="00F50700">
            <w:pPr>
              <w:rPr>
                <w:rFonts w:ascii="Verdana" w:hAnsi="Verdana"/>
                <w:sz w:val="18"/>
                <w:szCs w:val="18"/>
                <w:lang w:val="bg-BG"/>
              </w:rPr>
            </w:pPr>
          </w:p>
          <w:p w14:paraId="606BE670" w14:textId="77777777" w:rsidR="002E5737" w:rsidRPr="00F50700" w:rsidRDefault="002E5737" w:rsidP="00F50700">
            <w:pPr>
              <w:rPr>
                <w:rFonts w:ascii="Verdana" w:hAnsi="Verdana"/>
                <w:sz w:val="18"/>
                <w:szCs w:val="18"/>
                <w:lang w:val="bg-BG"/>
              </w:rPr>
            </w:pPr>
          </w:p>
          <w:p w14:paraId="267430D4" w14:textId="77777777" w:rsidR="002E5737" w:rsidRPr="00F50700" w:rsidRDefault="002E5737" w:rsidP="00F50700">
            <w:pPr>
              <w:rPr>
                <w:rFonts w:ascii="Verdana" w:hAnsi="Verdana"/>
                <w:sz w:val="18"/>
                <w:szCs w:val="18"/>
                <w:lang w:val="bg-BG"/>
              </w:rPr>
            </w:pPr>
          </w:p>
          <w:p w14:paraId="5281FC32" w14:textId="77777777" w:rsidR="002E5737" w:rsidRPr="00F50700" w:rsidRDefault="002E5737" w:rsidP="00F50700">
            <w:pPr>
              <w:rPr>
                <w:rFonts w:ascii="Verdana" w:hAnsi="Verdana"/>
                <w:sz w:val="18"/>
                <w:szCs w:val="18"/>
                <w:lang w:val="bg-BG"/>
              </w:rPr>
            </w:pPr>
          </w:p>
          <w:p w14:paraId="5FB4F96E" w14:textId="77777777" w:rsidR="002E5737" w:rsidRPr="00F50700" w:rsidRDefault="002E5737" w:rsidP="00F50700">
            <w:pPr>
              <w:rPr>
                <w:rFonts w:ascii="Verdana" w:hAnsi="Verdana"/>
                <w:sz w:val="18"/>
                <w:szCs w:val="18"/>
                <w:lang w:val="bg-BG"/>
              </w:rPr>
            </w:pPr>
          </w:p>
          <w:p w14:paraId="3CD1E70C" w14:textId="77777777" w:rsidR="002E5737" w:rsidRPr="00F50700" w:rsidRDefault="002E5737" w:rsidP="00F50700">
            <w:pPr>
              <w:rPr>
                <w:rFonts w:ascii="Verdana" w:hAnsi="Verdana"/>
                <w:sz w:val="18"/>
                <w:szCs w:val="18"/>
                <w:lang w:val="bg-BG"/>
              </w:rPr>
            </w:pPr>
          </w:p>
          <w:p w14:paraId="5B999B63" w14:textId="77777777" w:rsidR="002E5737" w:rsidRPr="00F50700" w:rsidRDefault="002E5737" w:rsidP="00F50700">
            <w:pPr>
              <w:rPr>
                <w:rFonts w:ascii="Verdana" w:hAnsi="Verdana"/>
                <w:sz w:val="18"/>
                <w:szCs w:val="18"/>
                <w:lang w:val="bg-BG"/>
              </w:rPr>
            </w:pPr>
          </w:p>
          <w:p w14:paraId="2EEB119D" w14:textId="77777777" w:rsidR="002E5737" w:rsidRPr="00F50700" w:rsidRDefault="002E5737" w:rsidP="00F50700">
            <w:pPr>
              <w:rPr>
                <w:rFonts w:ascii="Verdana" w:hAnsi="Verdana"/>
                <w:sz w:val="18"/>
                <w:szCs w:val="18"/>
                <w:lang w:val="bg-BG"/>
              </w:rPr>
            </w:pPr>
          </w:p>
          <w:p w14:paraId="0B0F760D" w14:textId="77777777" w:rsidR="002E5737" w:rsidRPr="00F50700" w:rsidRDefault="002E5737" w:rsidP="00F50700">
            <w:pPr>
              <w:rPr>
                <w:rFonts w:ascii="Verdana" w:hAnsi="Verdana"/>
                <w:sz w:val="18"/>
                <w:szCs w:val="18"/>
                <w:lang w:val="bg-BG"/>
              </w:rPr>
            </w:pPr>
          </w:p>
          <w:p w14:paraId="6B30852C" w14:textId="77777777" w:rsidR="002E5737" w:rsidRPr="00F50700" w:rsidRDefault="002E5737" w:rsidP="00F50700">
            <w:pPr>
              <w:rPr>
                <w:rFonts w:ascii="Verdana" w:hAnsi="Verdana"/>
                <w:sz w:val="18"/>
                <w:szCs w:val="18"/>
                <w:lang w:val="bg-BG"/>
              </w:rPr>
            </w:pPr>
          </w:p>
          <w:p w14:paraId="3F71C885" w14:textId="77777777" w:rsidR="002E5737" w:rsidRPr="00F50700" w:rsidRDefault="002E5737" w:rsidP="00F50700">
            <w:pPr>
              <w:rPr>
                <w:rFonts w:ascii="Verdana" w:hAnsi="Verdana"/>
                <w:sz w:val="18"/>
                <w:szCs w:val="18"/>
                <w:lang w:val="bg-BG"/>
              </w:rPr>
            </w:pPr>
          </w:p>
          <w:p w14:paraId="0B266093" w14:textId="77777777" w:rsidR="002E5737" w:rsidRPr="00F50700" w:rsidRDefault="002E5737" w:rsidP="00F50700">
            <w:pPr>
              <w:rPr>
                <w:rFonts w:ascii="Verdana" w:hAnsi="Verdana"/>
                <w:sz w:val="18"/>
                <w:szCs w:val="18"/>
                <w:lang w:val="bg-BG"/>
              </w:rPr>
            </w:pPr>
          </w:p>
          <w:p w14:paraId="5A539B1A" w14:textId="1D80413E" w:rsidR="002E5737" w:rsidRPr="00F50700" w:rsidRDefault="002E5737" w:rsidP="00F50700">
            <w:pPr>
              <w:contextualSpacing/>
              <w:rPr>
                <w:rFonts w:ascii="Verdana" w:hAnsi="Verdana"/>
                <w:sz w:val="18"/>
                <w:szCs w:val="18"/>
                <w:lang w:val="bg-BG"/>
              </w:rPr>
            </w:pPr>
            <w:r w:rsidRPr="00F50700">
              <w:rPr>
                <w:rFonts w:ascii="Verdana" w:hAnsi="Verdana"/>
                <w:sz w:val="18"/>
                <w:szCs w:val="18"/>
                <w:lang w:val="en"/>
              </w:rPr>
              <w:t xml:space="preserve">Managing </w:t>
            </w:r>
            <w:r w:rsidR="00A0315F">
              <w:rPr>
                <w:rFonts w:ascii="Verdana" w:hAnsi="Verdana"/>
                <w:sz w:val="18"/>
                <w:szCs w:val="18"/>
                <w:lang w:val="en"/>
              </w:rPr>
              <w:t>A</w:t>
            </w:r>
            <w:r w:rsidRPr="00F50700">
              <w:rPr>
                <w:rFonts w:ascii="Verdana" w:hAnsi="Verdana"/>
                <w:sz w:val="18"/>
                <w:szCs w:val="18"/>
                <w:lang w:val="en"/>
              </w:rPr>
              <w:t xml:space="preserve">uthority, </w:t>
            </w:r>
            <w:r w:rsidR="00A0315F">
              <w:rPr>
                <w:rFonts w:ascii="Verdana" w:hAnsi="Verdana"/>
                <w:sz w:val="18"/>
                <w:szCs w:val="18"/>
                <w:lang w:val="en"/>
              </w:rPr>
              <w:t>B</w:t>
            </w:r>
            <w:r w:rsidRPr="00F50700">
              <w:rPr>
                <w:rFonts w:ascii="Verdana" w:hAnsi="Verdana"/>
                <w:sz w:val="18"/>
                <w:szCs w:val="18"/>
                <w:lang w:val="en"/>
              </w:rPr>
              <w:t>eneficiaries</w:t>
            </w:r>
          </w:p>
          <w:p w14:paraId="54721B05" w14:textId="77777777" w:rsidR="002E5737" w:rsidRPr="00F50700" w:rsidRDefault="002E5737" w:rsidP="00F50700">
            <w:pPr>
              <w:rPr>
                <w:rFonts w:ascii="Verdana" w:hAnsi="Verdana"/>
                <w:sz w:val="18"/>
                <w:szCs w:val="18"/>
                <w:lang w:val="bg-BG"/>
              </w:rPr>
            </w:pPr>
          </w:p>
          <w:p w14:paraId="38838235" w14:textId="77777777" w:rsidR="002E5737" w:rsidRPr="00F50700" w:rsidRDefault="002E5737" w:rsidP="00F50700">
            <w:pPr>
              <w:rPr>
                <w:rFonts w:ascii="Verdana" w:hAnsi="Verdana"/>
                <w:sz w:val="18"/>
                <w:szCs w:val="18"/>
                <w:lang w:val="bg-BG"/>
              </w:rPr>
            </w:pPr>
          </w:p>
          <w:p w14:paraId="2826FA9B" w14:textId="77777777" w:rsidR="002E5737" w:rsidRPr="00F50700" w:rsidRDefault="002E5737" w:rsidP="00F50700">
            <w:pPr>
              <w:rPr>
                <w:rFonts w:ascii="Verdana" w:hAnsi="Verdana"/>
                <w:sz w:val="18"/>
                <w:szCs w:val="18"/>
                <w:lang w:val="bg-BG"/>
              </w:rPr>
            </w:pPr>
          </w:p>
          <w:p w14:paraId="7A68CD7E" w14:textId="77777777" w:rsidR="002E5737" w:rsidRPr="00F50700" w:rsidRDefault="002E5737" w:rsidP="00F50700">
            <w:pPr>
              <w:rPr>
                <w:rFonts w:ascii="Verdana" w:hAnsi="Verdana"/>
                <w:sz w:val="18"/>
                <w:szCs w:val="18"/>
                <w:lang w:val="bg-BG"/>
              </w:rPr>
            </w:pPr>
          </w:p>
          <w:p w14:paraId="21A05C07" w14:textId="77777777" w:rsidR="002E5737" w:rsidRPr="00F50700" w:rsidRDefault="002E5737" w:rsidP="00F50700">
            <w:pPr>
              <w:rPr>
                <w:rFonts w:ascii="Verdana" w:hAnsi="Verdana"/>
                <w:sz w:val="18"/>
                <w:szCs w:val="18"/>
                <w:lang w:val="bg-BG"/>
              </w:rPr>
            </w:pPr>
          </w:p>
          <w:p w14:paraId="1FF738C2" w14:textId="0E5161F8" w:rsidR="002E5737" w:rsidRPr="00F50700" w:rsidRDefault="002E5737" w:rsidP="00F50700">
            <w:pPr>
              <w:rPr>
                <w:rFonts w:ascii="Verdana" w:hAnsi="Verdana"/>
                <w:sz w:val="18"/>
                <w:szCs w:val="18"/>
                <w:lang w:val="bg-BG"/>
              </w:rPr>
            </w:pPr>
            <w:r w:rsidRPr="00F50700">
              <w:rPr>
                <w:rFonts w:ascii="Verdana" w:hAnsi="Verdana"/>
                <w:sz w:val="18"/>
                <w:szCs w:val="18"/>
                <w:lang w:val="en"/>
              </w:rPr>
              <w:t xml:space="preserve">Managing </w:t>
            </w:r>
            <w:r w:rsidR="00A0315F">
              <w:rPr>
                <w:rFonts w:ascii="Verdana" w:hAnsi="Verdana"/>
                <w:sz w:val="18"/>
                <w:szCs w:val="18"/>
                <w:lang w:val="en"/>
              </w:rPr>
              <w:t>A</w:t>
            </w:r>
            <w:r w:rsidRPr="00F50700">
              <w:rPr>
                <w:rFonts w:ascii="Verdana" w:hAnsi="Verdana"/>
                <w:sz w:val="18"/>
                <w:szCs w:val="18"/>
                <w:lang w:val="en"/>
              </w:rPr>
              <w:t xml:space="preserve">uthority, </w:t>
            </w:r>
            <w:r w:rsidR="00A0315F">
              <w:rPr>
                <w:rFonts w:ascii="Verdana" w:hAnsi="Verdana"/>
                <w:sz w:val="18"/>
                <w:szCs w:val="18"/>
                <w:lang w:val="en"/>
              </w:rPr>
              <w:t>B</w:t>
            </w:r>
            <w:r w:rsidRPr="00F50700">
              <w:rPr>
                <w:rFonts w:ascii="Verdana" w:hAnsi="Verdana"/>
                <w:sz w:val="18"/>
                <w:szCs w:val="18"/>
                <w:lang w:val="en"/>
              </w:rPr>
              <w:t>eneficiaries</w:t>
            </w:r>
          </w:p>
          <w:p w14:paraId="6A493780" w14:textId="77777777" w:rsidR="002E5737" w:rsidRPr="00F50700" w:rsidRDefault="002E5737" w:rsidP="00F50700">
            <w:pPr>
              <w:rPr>
                <w:rFonts w:ascii="Verdana" w:hAnsi="Verdana"/>
                <w:sz w:val="18"/>
                <w:szCs w:val="18"/>
                <w:lang w:val="bg-BG"/>
              </w:rPr>
            </w:pPr>
          </w:p>
          <w:p w14:paraId="15E31F37" w14:textId="77777777" w:rsidR="002E5737" w:rsidRPr="00F50700" w:rsidRDefault="002E5737" w:rsidP="00F50700">
            <w:pPr>
              <w:rPr>
                <w:rFonts w:ascii="Verdana" w:hAnsi="Verdana"/>
                <w:sz w:val="18"/>
                <w:szCs w:val="18"/>
                <w:lang w:val="bg-BG"/>
              </w:rPr>
            </w:pPr>
          </w:p>
          <w:p w14:paraId="4531422B" w14:textId="77777777" w:rsidR="002E5737" w:rsidRPr="00F50700" w:rsidRDefault="002E5737" w:rsidP="00F50700">
            <w:pPr>
              <w:rPr>
                <w:rFonts w:ascii="Verdana" w:hAnsi="Verdana"/>
                <w:sz w:val="18"/>
                <w:szCs w:val="18"/>
                <w:lang w:val="bg-BG"/>
              </w:rPr>
            </w:pPr>
            <w:r w:rsidRPr="00F50700">
              <w:rPr>
                <w:rFonts w:ascii="Verdana" w:hAnsi="Verdana"/>
                <w:sz w:val="18"/>
                <w:szCs w:val="18"/>
                <w:lang w:val="bg-BG"/>
              </w:rPr>
              <w:t xml:space="preserve"> </w:t>
            </w:r>
          </w:p>
          <w:p w14:paraId="0DC44683" w14:textId="77777777" w:rsidR="002E5737" w:rsidRPr="00F50700" w:rsidRDefault="002E5737" w:rsidP="00F50700">
            <w:pPr>
              <w:rPr>
                <w:rFonts w:ascii="Verdana" w:hAnsi="Verdana"/>
                <w:sz w:val="18"/>
                <w:szCs w:val="18"/>
                <w:lang w:val="bg-BG"/>
              </w:rPr>
            </w:pPr>
          </w:p>
          <w:p w14:paraId="3DD1CFBB" w14:textId="77777777" w:rsidR="002E5737" w:rsidRPr="00F50700" w:rsidRDefault="002E5737" w:rsidP="00F50700">
            <w:pPr>
              <w:rPr>
                <w:rFonts w:ascii="Verdana" w:hAnsi="Verdana"/>
                <w:sz w:val="18"/>
                <w:szCs w:val="18"/>
                <w:lang w:val="bg-BG"/>
              </w:rPr>
            </w:pPr>
          </w:p>
          <w:p w14:paraId="351AFEFE" w14:textId="14EC2093" w:rsidR="002E5737" w:rsidRPr="00F50700" w:rsidRDefault="002E5737" w:rsidP="00F50700">
            <w:pPr>
              <w:rPr>
                <w:rFonts w:ascii="Verdana" w:hAnsi="Verdana"/>
                <w:sz w:val="18"/>
                <w:szCs w:val="18"/>
                <w:lang w:val="bg-BG"/>
              </w:rPr>
            </w:pPr>
            <w:r w:rsidRPr="00F50700">
              <w:rPr>
                <w:rFonts w:ascii="Verdana" w:hAnsi="Verdana"/>
                <w:sz w:val="18"/>
                <w:szCs w:val="18"/>
                <w:lang w:val="en"/>
              </w:rPr>
              <w:t xml:space="preserve">Managing </w:t>
            </w:r>
            <w:r w:rsidR="00A0315F">
              <w:rPr>
                <w:rFonts w:ascii="Verdana" w:hAnsi="Verdana"/>
                <w:sz w:val="18"/>
                <w:szCs w:val="18"/>
                <w:lang w:val="en"/>
              </w:rPr>
              <w:t>A</w:t>
            </w:r>
            <w:r w:rsidRPr="00F50700">
              <w:rPr>
                <w:rFonts w:ascii="Verdana" w:hAnsi="Verdana"/>
                <w:sz w:val="18"/>
                <w:szCs w:val="18"/>
                <w:lang w:val="en"/>
              </w:rPr>
              <w:t xml:space="preserve">uthority, </w:t>
            </w:r>
            <w:r w:rsidR="00A0315F">
              <w:rPr>
                <w:rFonts w:ascii="Verdana" w:hAnsi="Verdana"/>
                <w:sz w:val="18"/>
                <w:szCs w:val="18"/>
                <w:lang w:val="en"/>
              </w:rPr>
              <w:t>B</w:t>
            </w:r>
            <w:r w:rsidRPr="00F50700">
              <w:rPr>
                <w:rFonts w:ascii="Verdana" w:hAnsi="Verdana"/>
                <w:sz w:val="18"/>
                <w:szCs w:val="18"/>
                <w:lang w:val="en"/>
              </w:rPr>
              <w:t>eneficiaries</w:t>
            </w:r>
          </w:p>
        </w:tc>
        <w:tc>
          <w:tcPr>
            <w:tcW w:w="1675" w:type="dxa"/>
          </w:tcPr>
          <w:p w14:paraId="67B529BE" w14:textId="77777777" w:rsidR="002E5737" w:rsidRPr="00F50700" w:rsidRDefault="002E5737" w:rsidP="00F50700">
            <w:pPr>
              <w:rPr>
                <w:rFonts w:ascii="Verdana" w:hAnsi="Verdana"/>
                <w:sz w:val="18"/>
                <w:szCs w:val="18"/>
                <w:lang w:val="bg-BG"/>
              </w:rPr>
            </w:pPr>
            <w:r w:rsidRPr="00F50700">
              <w:rPr>
                <w:rFonts w:ascii="Verdana" w:hAnsi="Verdana"/>
                <w:sz w:val="18"/>
                <w:szCs w:val="18"/>
                <w:lang w:val="en"/>
              </w:rPr>
              <w:lastRenderedPageBreak/>
              <w:t>2014-2020</w:t>
            </w:r>
          </w:p>
          <w:p w14:paraId="2C0F4534" w14:textId="77777777" w:rsidR="002E5737" w:rsidRPr="00F50700" w:rsidRDefault="002E5737" w:rsidP="00F50700">
            <w:pPr>
              <w:rPr>
                <w:rFonts w:ascii="Verdana" w:hAnsi="Verdana"/>
                <w:sz w:val="18"/>
                <w:szCs w:val="18"/>
                <w:lang w:val="bg-BG"/>
              </w:rPr>
            </w:pPr>
            <w:r w:rsidRPr="00F50700">
              <w:rPr>
                <w:rFonts w:ascii="Verdana" w:hAnsi="Verdana"/>
                <w:sz w:val="18"/>
                <w:szCs w:val="18"/>
                <w:lang w:val="en"/>
              </w:rPr>
              <w:t>2021-2027</w:t>
            </w:r>
          </w:p>
          <w:p w14:paraId="60DE93EF" w14:textId="77777777" w:rsidR="002E5737" w:rsidRPr="00F50700" w:rsidRDefault="002E5737" w:rsidP="00F50700">
            <w:pPr>
              <w:rPr>
                <w:rFonts w:ascii="Verdana" w:hAnsi="Verdana"/>
                <w:sz w:val="18"/>
                <w:szCs w:val="18"/>
                <w:lang w:val="bg-BG"/>
              </w:rPr>
            </w:pPr>
          </w:p>
          <w:p w14:paraId="55DE32EE" w14:textId="77777777" w:rsidR="002E5737" w:rsidRPr="00F50700" w:rsidRDefault="002E5737" w:rsidP="00F50700">
            <w:pPr>
              <w:rPr>
                <w:rFonts w:ascii="Verdana" w:hAnsi="Verdana"/>
                <w:sz w:val="18"/>
                <w:szCs w:val="18"/>
                <w:lang w:val="bg-BG"/>
              </w:rPr>
            </w:pPr>
          </w:p>
          <w:p w14:paraId="4854BF02" w14:textId="77777777" w:rsidR="002E5737" w:rsidRPr="00F50700" w:rsidRDefault="002E5737" w:rsidP="00F50700">
            <w:pPr>
              <w:rPr>
                <w:rFonts w:ascii="Verdana" w:hAnsi="Verdana"/>
                <w:sz w:val="18"/>
                <w:szCs w:val="18"/>
                <w:lang w:val="bg-BG"/>
              </w:rPr>
            </w:pPr>
          </w:p>
          <w:p w14:paraId="763094CD" w14:textId="77777777" w:rsidR="002E5737" w:rsidRPr="00F50700" w:rsidRDefault="002E5737" w:rsidP="00F50700">
            <w:pPr>
              <w:rPr>
                <w:rFonts w:ascii="Verdana" w:hAnsi="Verdana"/>
                <w:sz w:val="18"/>
                <w:szCs w:val="18"/>
                <w:lang w:val="bg-BG"/>
              </w:rPr>
            </w:pPr>
          </w:p>
          <w:p w14:paraId="40C97DF3" w14:textId="77777777" w:rsidR="002E5737" w:rsidRPr="00F50700" w:rsidRDefault="002E5737" w:rsidP="00F50700">
            <w:pPr>
              <w:rPr>
                <w:rFonts w:ascii="Verdana" w:hAnsi="Verdana"/>
                <w:sz w:val="18"/>
                <w:szCs w:val="18"/>
                <w:lang w:val="bg-BG"/>
              </w:rPr>
            </w:pPr>
          </w:p>
          <w:p w14:paraId="0CF1A853" w14:textId="77777777" w:rsidR="002E5737" w:rsidRPr="00F50700" w:rsidRDefault="002E5737" w:rsidP="00F50700">
            <w:pPr>
              <w:rPr>
                <w:rFonts w:ascii="Verdana" w:hAnsi="Verdana"/>
                <w:sz w:val="18"/>
                <w:szCs w:val="18"/>
                <w:lang w:val="bg-BG"/>
              </w:rPr>
            </w:pPr>
            <w:r w:rsidRPr="00F50700">
              <w:rPr>
                <w:rFonts w:ascii="Verdana" w:hAnsi="Verdana"/>
                <w:sz w:val="18"/>
                <w:szCs w:val="18"/>
                <w:lang w:val="en"/>
              </w:rPr>
              <w:t>2014-2020</w:t>
            </w:r>
          </w:p>
          <w:p w14:paraId="2DD331D9" w14:textId="77777777" w:rsidR="002E5737" w:rsidRPr="00F50700" w:rsidRDefault="002E5737" w:rsidP="00F50700">
            <w:pPr>
              <w:rPr>
                <w:rFonts w:ascii="Verdana" w:hAnsi="Verdana"/>
                <w:sz w:val="18"/>
                <w:szCs w:val="18"/>
                <w:lang w:val="bg-BG"/>
              </w:rPr>
            </w:pPr>
            <w:r w:rsidRPr="00F50700">
              <w:rPr>
                <w:rFonts w:ascii="Verdana" w:hAnsi="Verdana"/>
                <w:sz w:val="18"/>
                <w:szCs w:val="18"/>
                <w:lang w:val="en"/>
              </w:rPr>
              <w:t>2021-2027</w:t>
            </w:r>
          </w:p>
          <w:p w14:paraId="1A2C266E" w14:textId="77777777" w:rsidR="002E5737" w:rsidRPr="00F50700" w:rsidRDefault="002E5737" w:rsidP="00F50700">
            <w:pPr>
              <w:rPr>
                <w:rFonts w:ascii="Verdana" w:hAnsi="Verdana"/>
                <w:sz w:val="18"/>
                <w:szCs w:val="18"/>
                <w:lang w:val="bg-BG"/>
              </w:rPr>
            </w:pPr>
          </w:p>
          <w:p w14:paraId="2ACB0036" w14:textId="77777777" w:rsidR="002E5737" w:rsidRPr="00F50700" w:rsidRDefault="002E5737" w:rsidP="00F50700">
            <w:pPr>
              <w:rPr>
                <w:rFonts w:ascii="Verdana" w:hAnsi="Verdana"/>
                <w:sz w:val="18"/>
                <w:szCs w:val="18"/>
                <w:lang w:val="bg-BG"/>
              </w:rPr>
            </w:pPr>
          </w:p>
          <w:p w14:paraId="48D3DE93" w14:textId="77777777" w:rsidR="002E5737" w:rsidRPr="00F50700" w:rsidRDefault="002E5737" w:rsidP="00F50700">
            <w:pPr>
              <w:rPr>
                <w:rFonts w:ascii="Verdana" w:hAnsi="Verdana"/>
                <w:sz w:val="18"/>
                <w:szCs w:val="18"/>
                <w:lang w:val="bg-BG"/>
              </w:rPr>
            </w:pPr>
          </w:p>
          <w:p w14:paraId="364E983C" w14:textId="77777777" w:rsidR="002E5737" w:rsidRPr="00F50700" w:rsidRDefault="002E5737" w:rsidP="00F50700">
            <w:pPr>
              <w:rPr>
                <w:rFonts w:ascii="Verdana" w:hAnsi="Verdana"/>
                <w:sz w:val="18"/>
                <w:szCs w:val="18"/>
                <w:lang w:val="bg-BG"/>
              </w:rPr>
            </w:pPr>
            <w:r w:rsidRPr="00F50700">
              <w:rPr>
                <w:rFonts w:ascii="Verdana" w:hAnsi="Verdana"/>
                <w:sz w:val="18"/>
                <w:szCs w:val="18"/>
                <w:lang w:val="en"/>
              </w:rPr>
              <w:t>2014-2020</w:t>
            </w:r>
          </w:p>
          <w:p w14:paraId="00330633" w14:textId="77777777" w:rsidR="002E5737" w:rsidRPr="00F50700" w:rsidRDefault="002E5737" w:rsidP="00F50700">
            <w:pPr>
              <w:rPr>
                <w:rFonts w:ascii="Verdana" w:hAnsi="Verdana"/>
                <w:sz w:val="18"/>
                <w:szCs w:val="18"/>
                <w:lang w:val="bg-BG"/>
              </w:rPr>
            </w:pPr>
            <w:r w:rsidRPr="00F50700">
              <w:rPr>
                <w:rFonts w:ascii="Verdana" w:hAnsi="Verdana"/>
                <w:sz w:val="18"/>
                <w:szCs w:val="18"/>
                <w:lang w:val="en"/>
              </w:rPr>
              <w:t>2021-2027</w:t>
            </w:r>
          </w:p>
          <w:p w14:paraId="4081822F" w14:textId="77777777" w:rsidR="002E5737" w:rsidRPr="00F50700" w:rsidRDefault="002E5737" w:rsidP="00F50700">
            <w:pPr>
              <w:rPr>
                <w:rFonts w:ascii="Verdana" w:hAnsi="Verdana"/>
                <w:sz w:val="18"/>
                <w:szCs w:val="18"/>
                <w:lang w:val="bg-BG"/>
              </w:rPr>
            </w:pPr>
          </w:p>
          <w:p w14:paraId="436C0CA2" w14:textId="77777777" w:rsidR="002E5737" w:rsidRPr="00F50700" w:rsidRDefault="002E5737" w:rsidP="00F50700">
            <w:pPr>
              <w:rPr>
                <w:rFonts w:ascii="Verdana" w:hAnsi="Verdana"/>
                <w:sz w:val="18"/>
                <w:szCs w:val="18"/>
                <w:lang w:val="bg-BG"/>
              </w:rPr>
            </w:pPr>
          </w:p>
          <w:p w14:paraId="232D76A0" w14:textId="77777777" w:rsidR="002E5737" w:rsidRPr="00F50700" w:rsidRDefault="002E5737" w:rsidP="00F50700">
            <w:pPr>
              <w:rPr>
                <w:rFonts w:ascii="Verdana" w:hAnsi="Verdana"/>
                <w:sz w:val="18"/>
                <w:szCs w:val="18"/>
                <w:lang w:val="bg-BG"/>
              </w:rPr>
            </w:pPr>
          </w:p>
          <w:p w14:paraId="222C8E73" w14:textId="77777777" w:rsidR="002E5737" w:rsidRPr="00F50700" w:rsidRDefault="002E5737" w:rsidP="00F50700">
            <w:pPr>
              <w:rPr>
                <w:rFonts w:ascii="Verdana" w:hAnsi="Verdana"/>
                <w:sz w:val="18"/>
                <w:szCs w:val="18"/>
                <w:lang w:val="bg-BG"/>
              </w:rPr>
            </w:pPr>
          </w:p>
          <w:p w14:paraId="22619FB4" w14:textId="77777777" w:rsidR="002E5737" w:rsidRPr="00F50700" w:rsidRDefault="002E5737" w:rsidP="00F50700">
            <w:pPr>
              <w:rPr>
                <w:rFonts w:ascii="Verdana" w:hAnsi="Verdana"/>
                <w:sz w:val="18"/>
                <w:szCs w:val="18"/>
                <w:lang w:val="bg-BG"/>
              </w:rPr>
            </w:pPr>
          </w:p>
          <w:p w14:paraId="163892A3" w14:textId="77777777" w:rsidR="002E5737" w:rsidRPr="00F50700" w:rsidRDefault="002E5737" w:rsidP="00F50700">
            <w:pPr>
              <w:rPr>
                <w:rFonts w:ascii="Verdana" w:hAnsi="Verdana"/>
                <w:sz w:val="18"/>
                <w:szCs w:val="18"/>
                <w:lang w:val="bg-BG"/>
              </w:rPr>
            </w:pPr>
          </w:p>
          <w:p w14:paraId="1EFD3573" w14:textId="4184C01F" w:rsidR="002E5737" w:rsidRDefault="002E5737" w:rsidP="00F50700">
            <w:pPr>
              <w:rPr>
                <w:rFonts w:ascii="Verdana" w:hAnsi="Verdana"/>
                <w:sz w:val="18"/>
                <w:szCs w:val="18"/>
                <w:lang w:val="bg-BG"/>
              </w:rPr>
            </w:pPr>
          </w:p>
          <w:p w14:paraId="1CCB47F2" w14:textId="77777777" w:rsidR="00CD3097" w:rsidRPr="00F50700" w:rsidRDefault="00CD3097" w:rsidP="00F50700">
            <w:pPr>
              <w:rPr>
                <w:rFonts w:ascii="Verdana" w:hAnsi="Verdana"/>
                <w:sz w:val="18"/>
                <w:szCs w:val="18"/>
                <w:lang w:val="bg-BG"/>
              </w:rPr>
            </w:pPr>
          </w:p>
          <w:p w14:paraId="72F83904" w14:textId="77777777" w:rsidR="002E5737" w:rsidRPr="00F50700" w:rsidRDefault="002E5737" w:rsidP="00F50700">
            <w:pPr>
              <w:rPr>
                <w:rFonts w:ascii="Verdana" w:hAnsi="Verdana"/>
                <w:sz w:val="18"/>
                <w:szCs w:val="18"/>
                <w:lang w:val="bg-BG"/>
              </w:rPr>
            </w:pPr>
          </w:p>
          <w:p w14:paraId="37B05028" w14:textId="77777777" w:rsidR="002E5737" w:rsidRPr="00F50700" w:rsidRDefault="002E5737" w:rsidP="00F50700">
            <w:pPr>
              <w:rPr>
                <w:rFonts w:ascii="Verdana" w:hAnsi="Verdana"/>
                <w:sz w:val="18"/>
                <w:szCs w:val="18"/>
                <w:lang w:val="bg-BG"/>
              </w:rPr>
            </w:pPr>
            <w:r w:rsidRPr="00F50700">
              <w:rPr>
                <w:rFonts w:ascii="Verdana" w:hAnsi="Verdana"/>
                <w:sz w:val="18"/>
                <w:szCs w:val="18"/>
                <w:lang w:val="en"/>
              </w:rPr>
              <w:t>2014-2020</w:t>
            </w:r>
          </w:p>
          <w:p w14:paraId="01FFD232" w14:textId="77777777" w:rsidR="002E5737" w:rsidRPr="00F50700" w:rsidRDefault="002E5737" w:rsidP="00F50700">
            <w:pPr>
              <w:rPr>
                <w:rFonts w:ascii="Verdana" w:hAnsi="Verdana"/>
                <w:sz w:val="18"/>
                <w:szCs w:val="18"/>
                <w:lang w:val="bg-BG"/>
              </w:rPr>
            </w:pPr>
            <w:r w:rsidRPr="00F50700">
              <w:rPr>
                <w:rFonts w:ascii="Verdana" w:hAnsi="Verdana"/>
                <w:sz w:val="18"/>
                <w:szCs w:val="18"/>
                <w:lang w:val="en"/>
              </w:rPr>
              <w:t>2021-2027</w:t>
            </w:r>
          </w:p>
          <w:p w14:paraId="4E2F7C77" w14:textId="77777777" w:rsidR="002E5737" w:rsidRPr="00F50700" w:rsidRDefault="002E5737" w:rsidP="00F50700">
            <w:pPr>
              <w:rPr>
                <w:rFonts w:ascii="Verdana" w:hAnsi="Verdana"/>
                <w:sz w:val="18"/>
                <w:szCs w:val="18"/>
                <w:lang w:val="bg-BG"/>
              </w:rPr>
            </w:pPr>
          </w:p>
          <w:p w14:paraId="0EC6B2D5" w14:textId="77777777" w:rsidR="002E5737" w:rsidRPr="00F50700" w:rsidRDefault="002E5737" w:rsidP="00F50700">
            <w:pPr>
              <w:rPr>
                <w:rFonts w:ascii="Verdana" w:hAnsi="Verdana"/>
                <w:sz w:val="18"/>
                <w:szCs w:val="18"/>
                <w:lang w:val="bg-BG"/>
              </w:rPr>
            </w:pPr>
          </w:p>
          <w:p w14:paraId="77C75870" w14:textId="77777777" w:rsidR="002E5737" w:rsidRPr="00F50700" w:rsidRDefault="002E5737" w:rsidP="00F50700">
            <w:pPr>
              <w:rPr>
                <w:rFonts w:ascii="Verdana" w:hAnsi="Verdana"/>
                <w:sz w:val="18"/>
                <w:szCs w:val="18"/>
                <w:lang w:val="bg-BG"/>
              </w:rPr>
            </w:pPr>
          </w:p>
          <w:p w14:paraId="3598B055" w14:textId="77777777" w:rsidR="002E5737" w:rsidRPr="00F50700" w:rsidRDefault="002E5737" w:rsidP="00F50700">
            <w:pPr>
              <w:rPr>
                <w:rFonts w:ascii="Verdana" w:hAnsi="Verdana"/>
                <w:sz w:val="18"/>
                <w:szCs w:val="18"/>
                <w:lang w:val="bg-BG"/>
              </w:rPr>
            </w:pPr>
          </w:p>
          <w:p w14:paraId="3DB1793B" w14:textId="77777777" w:rsidR="002E5737" w:rsidRPr="00F50700" w:rsidRDefault="002E5737" w:rsidP="00F50700">
            <w:pPr>
              <w:rPr>
                <w:rFonts w:ascii="Verdana" w:hAnsi="Verdana"/>
                <w:sz w:val="18"/>
                <w:szCs w:val="18"/>
                <w:lang w:val="bg-BG"/>
              </w:rPr>
            </w:pPr>
          </w:p>
          <w:p w14:paraId="5C84A9CB" w14:textId="77777777" w:rsidR="002E5737" w:rsidRPr="00F50700" w:rsidRDefault="002E5737" w:rsidP="00F50700">
            <w:pPr>
              <w:rPr>
                <w:rFonts w:ascii="Verdana" w:hAnsi="Verdana"/>
                <w:sz w:val="18"/>
                <w:szCs w:val="18"/>
                <w:lang w:val="bg-BG"/>
              </w:rPr>
            </w:pPr>
          </w:p>
          <w:p w14:paraId="6872B705" w14:textId="77777777" w:rsidR="002E5737" w:rsidRPr="00F50700" w:rsidRDefault="002E5737" w:rsidP="00F50700">
            <w:pPr>
              <w:rPr>
                <w:rFonts w:ascii="Verdana" w:hAnsi="Verdana"/>
                <w:sz w:val="18"/>
                <w:szCs w:val="18"/>
                <w:lang w:val="bg-BG"/>
              </w:rPr>
            </w:pPr>
          </w:p>
          <w:p w14:paraId="13E438B3" w14:textId="77777777" w:rsidR="002E5737" w:rsidRPr="00F50700" w:rsidRDefault="002E5737" w:rsidP="00F50700">
            <w:pPr>
              <w:rPr>
                <w:rFonts w:ascii="Verdana" w:hAnsi="Verdana"/>
                <w:sz w:val="18"/>
                <w:szCs w:val="18"/>
                <w:lang w:val="bg-BG"/>
              </w:rPr>
            </w:pPr>
          </w:p>
          <w:p w14:paraId="355FE480" w14:textId="77777777" w:rsidR="002E5737" w:rsidRPr="00F50700" w:rsidRDefault="002E5737" w:rsidP="00F50700">
            <w:pPr>
              <w:rPr>
                <w:rFonts w:ascii="Verdana" w:hAnsi="Verdana"/>
                <w:sz w:val="18"/>
                <w:szCs w:val="18"/>
                <w:lang w:val="bg-BG"/>
              </w:rPr>
            </w:pPr>
          </w:p>
          <w:p w14:paraId="3ACDC231" w14:textId="77777777" w:rsidR="002E5737" w:rsidRPr="00F50700" w:rsidRDefault="002E5737" w:rsidP="00F50700">
            <w:pPr>
              <w:rPr>
                <w:rFonts w:ascii="Verdana" w:hAnsi="Verdana"/>
                <w:sz w:val="18"/>
                <w:szCs w:val="18"/>
                <w:lang w:val="bg-BG"/>
              </w:rPr>
            </w:pPr>
          </w:p>
          <w:p w14:paraId="029F946B" w14:textId="77777777" w:rsidR="002E5737" w:rsidRPr="00F50700" w:rsidRDefault="002E5737" w:rsidP="00F50700">
            <w:pPr>
              <w:rPr>
                <w:rFonts w:ascii="Verdana" w:hAnsi="Verdana"/>
                <w:sz w:val="18"/>
                <w:szCs w:val="18"/>
                <w:lang w:val="bg-BG"/>
              </w:rPr>
            </w:pPr>
          </w:p>
          <w:p w14:paraId="3F0D6C57" w14:textId="77777777" w:rsidR="002E5737" w:rsidRPr="00F50700" w:rsidRDefault="002E5737" w:rsidP="00F50700">
            <w:pPr>
              <w:rPr>
                <w:rFonts w:ascii="Verdana" w:hAnsi="Verdana"/>
                <w:sz w:val="18"/>
                <w:szCs w:val="18"/>
                <w:lang w:val="bg-BG"/>
              </w:rPr>
            </w:pPr>
          </w:p>
          <w:p w14:paraId="01022A8A" w14:textId="77777777" w:rsidR="002E5737" w:rsidRPr="00F50700" w:rsidRDefault="002E5737" w:rsidP="00F50700">
            <w:pPr>
              <w:rPr>
                <w:rFonts w:ascii="Verdana" w:hAnsi="Verdana"/>
                <w:sz w:val="18"/>
                <w:szCs w:val="18"/>
                <w:lang w:val="bg-BG"/>
              </w:rPr>
            </w:pPr>
            <w:r w:rsidRPr="00F50700">
              <w:rPr>
                <w:rFonts w:ascii="Verdana" w:hAnsi="Verdana"/>
                <w:sz w:val="18"/>
                <w:szCs w:val="18"/>
                <w:lang w:val="en"/>
              </w:rPr>
              <w:t>2014-2020</w:t>
            </w:r>
          </w:p>
          <w:p w14:paraId="4B26ADF3" w14:textId="77777777" w:rsidR="002E5737" w:rsidRPr="00F50700" w:rsidRDefault="002E5737" w:rsidP="00F50700">
            <w:pPr>
              <w:rPr>
                <w:rFonts w:ascii="Verdana" w:hAnsi="Verdana"/>
                <w:sz w:val="18"/>
                <w:szCs w:val="18"/>
                <w:lang w:val="bg-BG"/>
              </w:rPr>
            </w:pPr>
            <w:r w:rsidRPr="00F50700">
              <w:rPr>
                <w:rFonts w:ascii="Verdana" w:hAnsi="Verdana"/>
                <w:sz w:val="18"/>
                <w:szCs w:val="18"/>
                <w:lang w:val="en"/>
              </w:rPr>
              <w:t>2021-2027</w:t>
            </w:r>
          </w:p>
          <w:p w14:paraId="25EC1780" w14:textId="77777777" w:rsidR="002E5737" w:rsidRPr="00F50700" w:rsidRDefault="002E5737" w:rsidP="00F50700">
            <w:pPr>
              <w:rPr>
                <w:rFonts w:ascii="Verdana" w:hAnsi="Verdana"/>
                <w:sz w:val="18"/>
                <w:szCs w:val="18"/>
                <w:lang w:val="bg-BG"/>
              </w:rPr>
            </w:pPr>
          </w:p>
          <w:p w14:paraId="6D4E4EBB" w14:textId="77777777" w:rsidR="002E5737" w:rsidRPr="00F50700" w:rsidRDefault="002E5737" w:rsidP="00F50700">
            <w:pPr>
              <w:rPr>
                <w:rFonts w:ascii="Verdana" w:hAnsi="Verdana"/>
                <w:sz w:val="18"/>
                <w:szCs w:val="18"/>
                <w:lang w:val="bg-BG"/>
              </w:rPr>
            </w:pPr>
          </w:p>
          <w:p w14:paraId="702F55D7" w14:textId="77777777" w:rsidR="002E5737" w:rsidRPr="00F50700" w:rsidRDefault="002E5737" w:rsidP="00F50700">
            <w:pPr>
              <w:rPr>
                <w:rFonts w:ascii="Verdana" w:hAnsi="Verdana"/>
                <w:sz w:val="18"/>
                <w:szCs w:val="18"/>
                <w:lang w:val="bg-BG"/>
              </w:rPr>
            </w:pPr>
          </w:p>
          <w:p w14:paraId="62FD0753" w14:textId="77777777" w:rsidR="002E5737" w:rsidRPr="00F50700" w:rsidRDefault="002E5737" w:rsidP="00F50700">
            <w:pPr>
              <w:rPr>
                <w:rFonts w:ascii="Verdana" w:hAnsi="Verdana"/>
                <w:sz w:val="18"/>
                <w:szCs w:val="18"/>
                <w:lang w:val="bg-BG"/>
              </w:rPr>
            </w:pPr>
          </w:p>
          <w:p w14:paraId="200EDC7D" w14:textId="77777777" w:rsidR="002E5737" w:rsidRPr="00F50700" w:rsidRDefault="002E5737" w:rsidP="00F50700">
            <w:pPr>
              <w:rPr>
                <w:rFonts w:ascii="Verdana" w:hAnsi="Verdana"/>
                <w:sz w:val="18"/>
                <w:szCs w:val="18"/>
                <w:lang w:val="bg-BG"/>
              </w:rPr>
            </w:pPr>
          </w:p>
          <w:p w14:paraId="752D5903" w14:textId="77777777" w:rsidR="002E5737" w:rsidRPr="00F50700" w:rsidRDefault="002E5737" w:rsidP="00F50700">
            <w:pPr>
              <w:rPr>
                <w:rFonts w:ascii="Verdana" w:hAnsi="Verdana"/>
                <w:sz w:val="18"/>
                <w:szCs w:val="18"/>
                <w:lang w:val="bg-BG"/>
              </w:rPr>
            </w:pPr>
            <w:r w:rsidRPr="00F50700">
              <w:rPr>
                <w:rFonts w:ascii="Verdana" w:hAnsi="Verdana"/>
                <w:sz w:val="18"/>
                <w:szCs w:val="18"/>
                <w:lang w:val="en"/>
              </w:rPr>
              <w:t>2014-2020</w:t>
            </w:r>
          </w:p>
          <w:p w14:paraId="67BCAB5E" w14:textId="77777777" w:rsidR="002E5737" w:rsidRPr="00F50700" w:rsidRDefault="002E5737" w:rsidP="00F50700">
            <w:pPr>
              <w:rPr>
                <w:rFonts w:ascii="Verdana" w:hAnsi="Verdana"/>
                <w:sz w:val="18"/>
                <w:szCs w:val="18"/>
                <w:lang w:val="bg-BG"/>
              </w:rPr>
            </w:pPr>
            <w:r w:rsidRPr="00F50700">
              <w:rPr>
                <w:rFonts w:ascii="Verdana" w:hAnsi="Verdana"/>
                <w:sz w:val="18"/>
                <w:szCs w:val="18"/>
                <w:lang w:val="en"/>
              </w:rPr>
              <w:t>2021-2027</w:t>
            </w:r>
          </w:p>
          <w:p w14:paraId="4C0728EA" w14:textId="77777777" w:rsidR="002E5737" w:rsidRPr="00F50700" w:rsidRDefault="002E5737" w:rsidP="00F50700">
            <w:pPr>
              <w:rPr>
                <w:rFonts w:ascii="Verdana" w:hAnsi="Verdana"/>
                <w:sz w:val="18"/>
                <w:szCs w:val="18"/>
                <w:lang w:val="bg-BG"/>
              </w:rPr>
            </w:pPr>
          </w:p>
          <w:p w14:paraId="49B964D6" w14:textId="77777777" w:rsidR="002E5737" w:rsidRPr="00F50700" w:rsidRDefault="002E5737" w:rsidP="00F50700">
            <w:pPr>
              <w:rPr>
                <w:rFonts w:ascii="Verdana" w:hAnsi="Verdana"/>
                <w:sz w:val="18"/>
                <w:szCs w:val="18"/>
                <w:lang w:val="bg-BG"/>
              </w:rPr>
            </w:pPr>
          </w:p>
          <w:p w14:paraId="685E38B0" w14:textId="77777777" w:rsidR="002E5737" w:rsidRPr="00F50700" w:rsidRDefault="002E5737" w:rsidP="00F50700">
            <w:pPr>
              <w:rPr>
                <w:rFonts w:ascii="Verdana" w:hAnsi="Verdana"/>
                <w:sz w:val="18"/>
                <w:szCs w:val="18"/>
                <w:lang w:val="bg-BG"/>
              </w:rPr>
            </w:pPr>
          </w:p>
          <w:p w14:paraId="01B194B4" w14:textId="77777777" w:rsidR="002E5737" w:rsidRPr="00F50700" w:rsidRDefault="002E5737" w:rsidP="00F50700">
            <w:pPr>
              <w:rPr>
                <w:rFonts w:ascii="Verdana" w:hAnsi="Verdana"/>
                <w:sz w:val="18"/>
                <w:szCs w:val="18"/>
                <w:lang w:val="bg-BG"/>
              </w:rPr>
            </w:pPr>
          </w:p>
          <w:p w14:paraId="14A26BED" w14:textId="77777777" w:rsidR="002E5737" w:rsidRPr="00F50700" w:rsidRDefault="002E5737" w:rsidP="00F50700">
            <w:pPr>
              <w:rPr>
                <w:rFonts w:ascii="Verdana" w:hAnsi="Verdana"/>
                <w:sz w:val="18"/>
                <w:szCs w:val="18"/>
                <w:lang w:val="bg-BG"/>
              </w:rPr>
            </w:pPr>
          </w:p>
          <w:p w14:paraId="36130EDC" w14:textId="77777777" w:rsidR="002E5737" w:rsidRPr="00F50700" w:rsidRDefault="002E5737" w:rsidP="00F50700">
            <w:pPr>
              <w:rPr>
                <w:rFonts w:ascii="Verdana" w:hAnsi="Verdana"/>
                <w:sz w:val="18"/>
                <w:szCs w:val="18"/>
                <w:lang w:val="bg-BG"/>
              </w:rPr>
            </w:pPr>
            <w:r w:rsidRPr="00F50700">
              <w:rPr>
                <w:rFonts w:ascii="Verdana" w:hAnsi="Verdana"/>
                <w:sz w:val="18"/>
                <w:szCs w:val="18"/>
                <w:lang w:val="en"/>
              </w:rPr>
              <w:t>2014-2020, 2021-2027</w:t>
            </w:r>
          </w:p>
          <w:p w14:paraId="142DDB67" w14:textId="77777777" w:rsidR="002E5737" w:rsidRPr="00F50700" w:rsidRDefault="002E5737" w:rsidP="00F50700">
            <w:pPr>
              <w:rPr>
                <w:rFonts w:ascii="Verdana" w:hAnsi="Verdana"/>
                <w:sz w:val="18"/>
                <w:szCs w:val="18"/>
                <w:lang w:val="bg-BG"/>
              </w:rPr>
            </w:pPr>
          </w:p>
        </w:tc>
      </w:tr>
      <w:tr w:rsidR="002E5737" w:rsidRPr="00F50700" w14:paraId="21AC68F4" w14:textId="77777777" w:rsidTr="00F50700">
        <w:tc>
          <w:tcPr>
            <w:tcW w:w="14189" w:type="dxa"/>
            <w:gridSpan w:val="4"/>
            <w:shd w:val="clear" w:color="auto" w:fill="C8CAE7" w:themeFill="text2" w:themeFillTint="33"/>
          </w:tcPr>
          <w:p w14:paraId="38153C05" w14:textId="77777777" w:rsidR="002E5737" w:rsidRPr="00F50700" w:rsidRDefault="002E5737" w:rsidP="00F50700">
            <w:pPr>
              <w:rPr>
                <w:rFonts w:ascii="Verdana" w:hAnsi="Verdana"/>
                <w:b/>
                <w:bCs/>
                <w:i/>
                <w:iCs/>
                <w:sz w:val="18"/>
                <w:szCs w:val="18"/>
                <w:lang w:val="bg-BG"/>
              </w:rPr>
            </w:pPr>
            <w:r w:rsidRPr="00F50700">
              <w:rPr>
                <w:rFonts w:ascii="Verdana" w:hAnsi="Verdana"/>
                <w:b/>
                <w:bCs/>
                <w:i/>
                <w:iCs/>
                <w:sz w:val="18"/>
                <w:szCs w:val="18"/>
                <w:lang w:val="en"/>
              </w:rPr>
              <w:lastRenderedPageBreak/>
              <w:t>Integration into the Bulgarian transport network in the European TEN-T network</w:t>
            </w:r>
          </w:p>
        </w:tc>
      </w:tr>
      <w:tr w:rsidR="002E5737" w:rsidRPr="00F50700" w14:paraId="4834643B" w14:textId="77777777" w:rsidTr="00F50700">
        <w:tc>
          <w:tcPr>
            <w:tcW w:w="4070" w:type="dxa"/>
          </w:tcPr>
          <w:p w14:paraId="6E432A03" w14:textId="775CF65C" w:rsidR="002E5737" w:rsidRPr="00F50700" w:rsidRDefault="002E5737" w:rsidP="0048262D">
            <w:pPr>
              <w:numPr>
                <w:ilvl w:val="3"/>
                <w:numId w:val="58"/>
              </w:numPr>
              <w:ind w:left="731" w:hanging="567"/>
              <w:contextualSpacing/>
              <w:jc w:val="both"/>
              <w:rPr>
                <w:rFonts w:ascii="Verdana" w:hAnsi="Verdana"/>
                <w:sz w:val="18"/>
                <w:szCs w:val="18"/>
                <w:lang w:val="bg-BG"/>
              </w:rPr>
            </w:pPr>
            <w:r w:rsidRPr="00F50700">
              <w:rPr>
                <w:rFonts w:ascii="Verdana" w:hAnsi="Verdana"/>
                <w:sz w:val="18"/>
                <w:szCs w:val="18"/>
                <w:lang w:val="en"/>
              </w:rPr>
              <w:t xml:space="preserve">For the purposes of assessing the level of integration to the TEN-T, </w:t>
            </w:r>
            <w:r w:rsidR="00767688">
              <w:rPr>
                <w:rFonts w:ascii="Verdana" w:hAnsi="Verdana"/>
                <w:sz w:val="18"/>
                <w:szCs w:val="18"/>
                <w:lang w:val="en"/>
              </w:rPr>
              <w:t xml:space="preserve">the following </w:t>
            </w:r>
            <w:r w:rsidRPr="00F50700">
              <w:rPr>
                <w:rFonts w:ascii="Verdana" w:hAnsi="Verdana"/>
                <w:sz w:val="18"/>
                <w:szCs w:val="18"/>
                <w:lang w:val="en"/>
              </w:rPr>
              <w:t>two indicators</w:t>
            </w:r>
            <w:r w:rsidR="00767688">
              <w:rPr>
                <w:rFonts w:ascii="Verdana" w:hAnsi="Verdana"/>
                <w:sz w:val="18"/>
                <w:szCs w:val="18"/>
                <w:lang w:val="en"/>
              </w:rPr>
              <w:t xml:space="preserve"> were assessed</w:t>
            </w:r>
            <w:r w:rsidRPr="00F50700">
              <w:rPr>
                <w:rFonts w:ascii="Verdana" w:hAnsi="Verdana"/>
                <w:sz w:val="18"/>
                <w:szCs w:val="18"/>
                <w:lang w:val="en"/>
              </w:rPr>
              <w:t xml:space="preserve">: achieving physical connectivity between national transport networks and TEN-T in </w:t>
            </w:r>
            <w:r w:rsidR="001C40A0" w:rsidRPr="00F50700">
              <w:rPr>
                <w:rFonts w:ascii="Verdana" w:hAnsi="Verdana"/>
                <w:sz w:val="18"/>
                <w:szCs w:val="18"/>
                <w:lang w:val="en"/>
              </w:rPr>
              <w:t>neighboring</w:t>
            </w:r>
            <w:r w:rsidRPr="00F50700">
              <w:rPr>
                <w:rFonts w:ascii="Verdana" w:hAnsi="Verdana"/>
                <w:sz w:val="18"/>
                <w:szCs w:val="18"/>
                <w:lang w:val="en"/>
              </w:rPr>
              <w:t xml:space="preserve"> countries and achieving compliance with the technical requirements for the relevant TEN-T type to ensure interoperability.</w:t>
            </w:r>
          </w:p>
          <w:p w14:paraId="21AF98F9" w14:textId="77777777" w:rsidR="002E5737" w:rsidRPr="00F50700" w:rsidRDefault="002E5737" w:rsidP="00F50700">
            <w:pPr>
              <w:ind w:left="731"/>
              <w:contextualSpacing/>
              <w:jc w:val="both"/>
              <w:rPr>
                <w:rFonts w:ascii="Verdana" w:hAnsi="Verdana"/>
                <w:sz w:val="18"/>
                <w:szCs w:val="18"/>
                <w:lang w:val="bg-BG"/>
              </w:rPr>
            </w:pPr>
          </w:p>
          <w:p w14:paraId="688C40E0" w14:textId="0A5136DF" w:rsidR="002E5737" w:rsidRPr="00F50700" w:rsidRDefault="002E5737" w:rsidP="0048262D">
            <w:pPr>
              <w:numPr>
                <w:ilvl w:val="3"/>
                <w:numId w:val="58"/>
              </w:numPr>
              <w:ind w:left="731" w:hanging="567"/>
              <w:contextualSpacing/>
              <w:jc w:val="both"/>
              <w:rPr>
                <w:rFonts w:ascii="Verdana" w:hAnsi="Verdana"/>
                <w:sz w:val="18"/>
                <w:szCs w:val="18"/>
                <w:lang w:val="bg-BG"/>
              </w:rPr>
            </w:pPr>
            <w:r w:rsidRPr="00F50700">
              <w:rPr>
                <w:rFonts w:ascii="Verdana" w:hAnsi="Verdana"/>
                <w:sz w:val="18"/>
                <w:szCs w:val="18"/>
                <w:lang w:val="en"/>
              </w:rPr>
              <w:t xml:space="preserve">Almost 2/3 of the projects implemented under the </w:t>
            </w:r>
            <w:r w:rsidR="00064FED">
              <w:rPr>
                <w:rFonts w:ascii="Verdana" w:hAnsi="Verdana"/>
                <w:sz w:val="18"/>
                <w:szCs w:val="18"/>
                <w:lang w:val="en"/>
              </w:rPr>
              <w:t>OPT</w:t>
            </w:r>
            <w:r w:rsidRPr="00F50700">
              <w:rPr>
                <w:rFonts w:ascii="Verdana" w:hAnsi="Verdana"/>
                <w:sz w:val="18"/>
                <w:szCs w:val="18"/>
                <w:lang w:val="en"/>
              </w:rPr>
              <w:t xml:space="preserve"> are located on the TEN-T network. A high degree of integration with regard to technical requirements has been achieved in many projects in the railway and road sectors. </w:t>
            </w:r>
          </w:p>
          <w:p w14:paraId="67A1C8F5" w14:textId="77777777" w:rsidR="002E5737" w:rsidRPr="00F50700" w:rsidRDefault="002E5737" w:rsidP="00F50700">
            <w:pPr>
              <w:jc w:val="both"/>
              <w:rPr>
                <w:rFonts w:ascii="Verdana" w:hAnsi="Verdana"/>
                <w:sz w:val="18"/>
                <w:szCs w:val="18"/>
                <w:lang w:val="bg-BG"/>
              </w:rPr>
            </w:pPr>
            <w:r w:rsidRPr="00F50700">
              <w:rPr>
                <w:rFonts w:ascii="Verdana" w:hAnsi="Verdana"/>
                <w:sz w:val="18"/>
                <w:szCs w:val="18"/>
                <w:lang w:val="bg-BG"/>
              </w:rPr>
              <w:t xml:space="preserve"> </w:t>
            </w:r>
          </w:p>
        </w:tc>
        <w:tc>
          <w:tcPr>
            <w:tcW w:w="6131" w:type="dxa"/>
          </w:tcPr>
          <w:p w14:paraId="44A75B4F" w14:textId="5AE09607" w:rsidR="002E5737" w:rsidRPr="00F50700" w:rsidRDefault="002E5737" w:rsidP="001C40A0">
            <w:pPr>
              <w:pStyle w:val="ListParagraph"/>
              <w:numPr>
                <w:ilvl w:val="0"/>
                <w:numId w:val="47"/>
              </w:numPr>
              <w:rPr>
                <w:rFonts w:ascii="Verdana" w:hAnsi="Verdana"/>
                <w:sz w:val="18"/>
                <w:szCs w:val="18"/>
              </w:rPr>
            </w:pPr>
            <w:r w:rsidRPr="00F50700">
              <w:rPr>
                <w:rFonts w:ascii="Verdana" w:hAnsi="Verdana"/>
                <w:sz w:val="18"/>
                <w:szCs w:val="18"/>
                <w:lang w:val="en"/>
              </w:rPr>
              <w:t xml:space="preserve">For the period 2021-2027, it is recommended to accelerate the implementation of projects in the railway sector along the main TEN-T network with a focus on completing the Serbian border – Sofia-Plovdiv </w:t>
            </w:r>
            <w:r w:rsidR="008E7606">
              <w:rPr>
                <w:rFonts w:ascii="Verdana" w:hAnsi="Verdana"/>
                <w:sz w:val="18"/>
                <w:szCs w:val="18"/>
                <w:lang w:val="en"/>
              </w:rPr>
              <w:t>direction</w:t>
            </w:r>
            <w:r w:rsidRPr="00F50700">
              <w:rPr>
                <w:rFonts w:ascii="Verdana" w:hAnsi="Verdana"/>
                <w:sz w:val="18"/>
                <w:szCs w:val="18"/>
                <w:lang w:val="en"/>
              </w:rPr>
              <w:t>, as well as on the implementation of ERTMS o</w:t>
            </w:r>
            <w:r w:rsidR="008E7606">
              <w:rPr>
                <w:rFonts w:ascii="Verdana" w:hAnsi="Verdana"/>
                <w:sz w:val="18"/>
                <w:szCs w:val="18"/>
                <w:lang w:val="en"/>
              </w:rPr>
              <w:t>n other directions</w:t>
            </w:r>
            <w:r w:rsidRPr="00F50700">
              <w:rPr>
                <w:rFonts w:ascii="Verdana" w:hAnsi="Verdana"/>
                <w:sz w:val="18"/>
                <w:szCs w:val="18"/>
                <w:lang w:val="en"/>
              </w:rPr>
              <w:t>, which</w:t>
            </w:r>
            <w:r w:rsidR="00950DC6">
              <w:rPr>
                <w:rFonts w:ascii="Verdana" w:hAnsi="Verdana"/>
                <w:sz w:val="18"/>
                <w:szCs w:val="18"/>
                <w:lang w:val="en"/>
              </w:rPr>
              <w:t xml:space="preserve"> does not require significant funding</w:t>
            </w:r>
            <w:r w:rsidRPr="00F50700">
              <w:rPr>
                <w:rFonts w:ascii="Verdana" w:hAnsi="Verdana"/>
                <w:sz w:val="18"/>
                <w:szCs w:val="18"/>
                <w:lang w:val="en"/>
              </w:rPr>
              <w:t xml:space="preserve">. Given the lack of any progress in bringing the main TEN-T to the </w:t>
            </w:r>
            <w:r w:rsidR="00022789">
              <w:rPr>
                <w:rFonts w:ascii="Verdana" w:hAnsi="Verdana"/>
                <w:sz w:val="18"/>
                <w:szCs w:val="18"/>
                <w:lang w:val="en"/>
              </w:rPr>
              <w:t>Orient – east Med Corridor</w:t>
            </w:r>
            <w:r w:rsidRPr="00F50700">
              <w:rPr>
                <w:rFonts w:ascii="Verdana" w:hAnsi="Verdana"/>
                <w:sz w:val="18"/>
                <w:szCs w:val="18"/>
                <w:lang w:val="en"/>
              </w:rPr>
              <w:t xml:space="preserve"> in Romania, it is not recommended to undertake urgent activities on the</w:t>
            </w:r>
            <w:r w:rsidR="00A302AC">
              <w:rPr>
                <w:rFonts w:ascii="Verdana" w:hAnsi="Verdana"/>
                <w:sz w:val="18"/>
                <w:szCs w:val="18"/>
                <w:lang w:val="en"/>
              </w:rPr>
              <w:t xml:space="preserve"> lines</w:t>
            </w:r>
            <w:r w:rsidRPr="00F50700">
              <w:rPr>
                <w:rFonts w:ascii="Verdana" w:hAnsi="Verdana"/>
                <w:sz w:val="18"/>
                <w:szCs w:val="18"/>
                <w:lang w:val="en"/>
              </w:rPr>
              <w:t xml:space="preserve"> Vidin - </w:t>
            </w:r>
            <w:proofErr w:type="spellStart"/>
            <w:r w:rsidRPr="00F50700">
              <w:rPr>
                <w:rFonts w:ascii="Verdana" w:hAnsi="Verdana"/>
                <w:sz w:val="18"/>
                <w:szCs w:val="18"/>
                <w:lang w:val="en"/>
              </w:rPr>
              <w:t>Mezdra</w:t>
            </w:r>
            <w:proofErr w:type="spellEnd"/>
            <w:r w:rsidRPr="00F50700">
              <w:rPr>
                <w:rFonts w:ascii="Verdana" w:hAnsi="Verdana"/>
                <w:sz w:val="18"/>
                <w:szCs w:val="18"/>
                <w:lang w:val="en"/>
              </w:rPr>
              <w:t xml:space="preserve"> and Sofia - </w:t>
            </w:r>
            <w:proofErr w:type="spellStart"/>
            <w:r w:rsidRPr="00F50700">
              <w:rPr>
                <w:rFonts w:ascii="Verdana" w:hAnsi="Verdana"/>
                <w:sz w:val="18"/>
                <w:szCs w:val="18"/>
                <w:lang w:val="en"/>
              </w:rPr>
              <w:t>Kulata</w:t>
            </w:r>
            <w:proofErr w:type="spellEnd"/>
            <w:r w:rsidRPr="00F50700">
              <w:rPr>
                <w:rFonts w:ascii="Verdana" w:hAnsi="Verdana"/>
                <w:sz w:val="18"/>
                <w:szCs w:val="18"/>
                <w:lang w:val="en"/>
              </w:rPr>
              <w:t>. (recommendation concerns conclusion 9)</w:t>
            </w:r>
          </w:p>
          <w:p w14:paraId="6366CCA6" w14:textId="77777777" w:rsidR="002E5737" w:rsidRPr="00F50700" w:rsidRDefault="002E5737" w:rsidP="00F50700">
            <w:pPr>
              <w:pStyle w:val="ListParagraph"/>
              <w:rPr>
                <w:rFonts w:ascii="Verdana" w:hAnsi="Verdana"/>
                <w:sz w:val="18"/>
                <w:szCs w:val="18"/>
              </w:rPr>
            </w:pPr>
          </w:p>
          <w:p w14:paraId="79C5EC2B" w14:textId="2A8FBF2F" w:rsidR="002E5737" w:rsidRPr="00F50700" w:rsidRDefault="002E5737" w:rsidP="001C40A0">
            <w:pPr>
              <w:pStyle w:val="ListParagraph"/>
              <w:numPr>
                <w:ilvl w:val="0"/>
                <w:numId w:val="47"/>
              </w:numPr>
              <w:rPr>
                <w:rFonts w:ascii="Verdana" w:hAnsi="Verdana"/>
                <w:sz w:val="18"/>
                <w:szCs w:val="18"/>
              </w:rPr>
            </w:pPr>
            <w:r w:rsidRPr="00F50700">
              <w:rPr>
                <w:rFonts w:ascii="Verdana" w:hAnsi="Verdana"/>
                <w:sz w:val="18"/>
                <w:szCs w:val="18"/>
                <w:lang w:val="en"/>
              </w:rPr>
              <w:t>It is recommended to look for appropriate methods to encourage the construction of new and/or the reconstruction of existing safe and secure car parks</w:t>
            </w:r>
            <w:r w:rsidR="00BE22A9">
              <w:rPr>
                <w:rFonts w:ascii="Verdana" w:hAnsi="Verdana"/>
                <w:sz w:val="18"/>
                <w:szCs w:val="18"/>
                <w:lang w:val="en"/>
              </w:rPr>
              <w:t xml:space="preserve"> along the roads</w:t>
            </w:r>
            <w:r w:rsidRPr="00F50700">
              <w:rPr>
                <w:rFonts w:ascii="Verdana" w:hAnsi="Verdana"/>
                <w:sz w:val="18"/>
                <w:szCs w:val="18"/>
                <w:lang w:val="en"/>
              </w:rPr>
              <w:t>. (recommendation concerns conclusion 10)</w:t>
            </w:r>
          </w:p>
          <w:p w14:paraId="39023518" w14:textId="77777777" w:rsidR="002E5737" w:rsidRPr="00F50700" w:rsidRDefault="002E5737" w:rsidP="00F50700">
            <w:pPr>
              <w:pStyle w:val="ListParagraph"/>
              <w:rPr>
                <w:rFonts w:ascii="Verdana" w:hAnsi="Verdana"/>
                <w:sz w:val="18"/>
                <w:szCs w:val="18"/>
              </w:rPr>
            </w:pPr>
          </w:p>
          <w:p w14:paraId="24BB9CC8" w14:textId="77777777" w:rsidR="002E5737" w:rsidRPr="00F50700" w:rsidRDefault="002E5737" w:rsidP="00F50700">
            <w:pPr>
              <w:pStyle w:val="ListParagraph"/>
              <w:rPr>
                <w:rFonts w:ascii="Verdana" w:hAnsi="Verdana"/>
                <w:sz w:val="18"/>
                <w:szCs w:val="18"/>
              </w:rPr>
            </w:pPr>
          </w:p>
          <w:p w14:paraId="4C7A6DF0" w14:textId="4038CEC5" w:rsidR="002E5737" w:rsidRPr="00F50700" w:rsidRDefault="002E5737" w:rsidP="001C40A0">
            <w:pPr>
              <w:pStyle w:val="ListParagraph"/>
              <w:numPr>
                <w:ilvl w:val="0"/>
                <w:numId w:val="47"/>
              </w:numPr>
              <w:rPr>
                <w:rFonts w:ascii="Verdana" w:hAnsi="Verdana"/>
                <w:sz w:val="18"/>
                <w:szCs w:val="18"/>
              </w:rPr>
            </w:pPr>
            <w:r w:rsidRPr="00F50700">
              <w:rPr>
                <w:rFonts w:ascii="Verdana" w:hAnsi="Verdana"/>
                <w:sz w:val="18"/>
                <w:szCs w:val="18"/>
                <w:lang w:val="en"/>
              </w:rPr>
              <w:t xml:space="preserve">It is recommended that measures be taken to ensure adequate funding to maintain the infrastructure built so as not to </w:t>
            </w:r>
            <w:r w:rsidR="00975569">
              <w:rPr>
                <w:rFonts w:ascii="Verdana" w:hAnsi="Verdana"/>
                <w:sz w:val="18"/>
                <w:szCs w:val="18"/>
                <w:lang w:val="en"/>
              </w:rPr>
              <w:t xml:space="preserve">allow deterioration of </w:t>
            </w:r>
            <w:r w:rsidRPr="00F50700">
              <w:rPr>
                <w:rFonts w:ascii="Verdana" w:hAnsi="Verdana"/>
                <w:sz w:val="18"/>
                <w:szCs w:val="18"/>
                <w:lang w:val="en"/>
              </w:rPr>
              <w:t xml:space="preserve">newly built or </w:t>
            </w:r>
            <w:r w:rsidR="00975569" w:rsidRPr="00F50700">
              <w:rPr>
                <w:rFonts w:ascii="Verdana" w:hAnsi="Verdana"/>
                <w:sz w:val="18"/>
                <w:szCs w:val="18"/>
                <w:lang w:val="en"/>
              </w:rPr>
              <w:t>modernized</w:t>
            </w:r>
            <w:r w:rsidRPr="00F50700">
              <w:rPr>
                <w:rFonts w:ascii="Verdana" w:hAnsi="Verdana"/>
                <w:sz w:val="18"/>
                <w:szCs w:val="18"/>
                <w:lang w:val="en"/>
              </w:rPr>
              <w:t xml:space="preserve"> railway and road sections. (recommendation concerns conclusion 10)</w:t>
            </w:r>
          </w:p>
          <w:p w14:paraId="0FD85C65" w14:textId="77777777" w:rsidR="002E5737" w:rsidRPr="00F50700" w:rsidRDefault="002E5737" w:rsidP="00F50700">
            <w:pPr>
              <w:pStyle w:val="ListParagraph"/>
              <w:rPr>
                <w:rFonts w:ascii="Verdana" w:hAnsi="Verdana"/>
                <w:sz w:val="18"/>
                <w:szCs w:val="18"/>
              </w:rPr>
            </w:pPr>
          </w:p>
          <w:p w14:paraId="7A5D37C0" w14:textId="4066A815" w:rsidR="002E5737" w:rsidRPr="00E4687F" w:rsidRDefault="002E5737" w:rsidP="001C40A0">
            <w:pPr>
              <w:pStyle w:val="ListParagraph"/>
              <w:numPr>
                <w:ilvl w:val="0"/>
                <w:numId w:val="47"/>
              </w:numPr>
              <w:rPr>
                <w:rFonts w:ascii="Verdana" w:hAnsi="Verdana"/>
                <w:sz w:val="18"/>
                <w:szCs w:val="18"/>
                <w:lang w:val="en"/>
              </w:rPr>
            </w:pPr>
            <w:r w:rsidRPr="00F50700">
              <w:rPr>
                <w:rFonts w:ascii="Verdana" w:hAnsi="Verdana"/>
                <w:sz w:val="18"/>
                <w:szCs w:val="18"/>
                <w:lang w:val="en"/>
              </w:rPr>
              <w:t xml:space="preserve">Due to the low degree of integration to the network for railway and road terminals, it is recommended in the programming period 2021 -2027 to </w:t>
            </w:r>
            <w:r w:rsidR="00082662">
              <w:rPr>
                <w:rFonts w:ascii="Verdana" w:hAnsi="Verdana"/>
                <w:sz w:val="18"/>
                <w:szCs w:val="18"/>
                <w:lang w:val="en"/>
              </w:rPr>
              <w:t>envisage</w:t>
            </w:r>
            <w:r w:rsidRPr="00F50700">
              <w:rPr>
                <w:rFonts w:ascii="Verdana" w:hAnsi="Verdana"/>
                <w:sz w:val="18"/>
                <w:szCs w:val="18"/>
                <w:lang w:val="en"/>
              </w:rPr>
              <w:t xml:space="preserve"> the construction of at least two railway terminals on the main network – in Sofia and in Northern Bulgaria (</w:t>
            </w:r>
            <w:r w:rsidRPr="00E4687F">
              <w:rPr>
                <w:rFonts w:ascii="Verdana" w:hAnsi="Verdana"/>
                <w:sz w:val="18"/>
                <w:szCs w:val="18"/>
                <w:lang w:val="en"/>
              </w:rPr>
              <w:t>the recommendation refers to</w:t>
            </w:r>
            <w:r w:rsidR="00CB489E" w:rsidRPr="00E4687F">
              <w:rPr>
                <w:rFonts w:ascii="Verdana" w:hAnsi="Verdana"/>
                <w:sz w:val="18"/>
                <w:szCs w:val="18"/>
                <w:lang w:val="en"/>
              </w:rPr>
              <w:t xml:space="preserve"> </w:t>
            </w:r>
            <w:r w:rsidRPr="00F50700">
              <w:rPr>
                <w:rFonts w:ascii="Verdana" w:hAnsi="Verdana"/>
                <w:sz w:val="18"/>
                <w:szCs w:val="18"/>
                <w:lang w:val="en"/>
              </w:rPr>
              <w:t>conclusion 10)</w:t>
            </w:r>
          </w:p>
          <w:p w14:paraId="6530AF44" w14:textId="77777777" w:rsidR="002E5737" w:rsidRPr="00F50700" w:rsidRDefault="002E5737" w:rsidP="00F50700">
            <w:pPr>
              <w:rPr>
                <w:rFonts w:ascii="Verdana" w:hAnsi="Verdana"/>
                <w:sz w:val="18"/>
                <w:szCs w:val="18"/>
                <w:lang w:val="bg-BG"/>
              </w:rPr>
            </w:pPr>
          </w:p>
        </w:tc>
        <w:tc>
          <w:tcPr>
            <w:tcW w:w="2313" w:type="dxa"/>
          </w:tcPr>
          <w:p w14:paraId="17C0C0E9" w14:textId="7594414E" w:rsidR="002E5737" w:rsidRPr="00F50700" w:rsidRDefault="00B44888" w:rsidP="00F50700">
            <w:pPr>
              <w:rPr>
                <w:rFonts w:ascii="Verdana" w:hAnsi="Verdana"/>
                <w:sz w:val="18"/>
                <w:szCs w:val="18"/>
                <w:lang w:val="bg-BG"/>
              </w:rPr>
            </w:pPr>
            <w:r>
              <w:rPr>
                <w:rFonts w:ascii="Verdana" w:hAnsi="Verdana"/>
                <w:sz w:val="18"/>
                <w:szCs w:val="18"/>
                <w:lang w:val="bg-BG"/>
              </w:rPr>
              <w:t>NRIC</w:t>
            </w:r>
          </w:p>
          <w:p w14:paraId="58B57220" w14:textId="77777777" w:rsidR="002E5737" w:rsidRPr="00F50700" w:rsidRDefault="002E5737" w:rsidP="00F50700">
            <w:pPr>
              <w:rPr>
                <w:rFonts w:ascii="Verdana" w:hAnsi="Verdana"/>
                <w:sz w:val="18"/>
                <w:szCs w:val="18"/>
                <w:lang w:val="bg-BG"/>
              </w:rPr>
            </w:pPr>
          </w:p>
          <w:p w14:paraId="43E81A67" w14:textId="77777777" w:rsidR="002E5737" w:rsidRPr="00F50700" w:rsidRDefault="002E5737" w:rsidP="00F50700">
            <w:pPr>
              <w:rPr>
                <w:rFonts w:ascii="Verdana" w:hAnsi="Verdana"/>
                <w:sz w:val="18"/>
                <w:szCs w:val="18"/>
                <w:lang w:val="bg-BG"/>
              </w:rPr>
            </w:pPr>
          </w:p>
          <w:p w14:paraId="3A49C705" w14:textId="77777777" w:rsidR="002E5737" w:rsidRPr="00F50700" w:rsidRDefault="002E5737" w:rsidP="00F50700">
            <w:pPr>
              <w:rPr>
                <w:rFonts w:ascii="Verdana" w:hAnsi="Verdana"/>
                <w:sz w:val="18"/>
                <w:szCs w:val="18"/>
                <w:lang w:val="bg-BG"/>
              </w:rPr>
            </w:pPr>
          </w:p>
          <w:p w14:paraId="3B64F058" w14:textId="77777777" w:rsidR="002E5737" w:rsidRPr="00F50700" w:rsidRDefault="002E5737" w:rsidP="00F50700">
            <w:pPr>
              <w:rPr>
                <w:rFonts w:ascii="Verdana" w:hAnsi="Verdana"/>
                <w:sz w:val="18"/>
                <w:szCs w:val="18"/>
                <w:lang w:val="bg-BG"/>
              </w:rPr>
            </w:pPr>
          </w:p>
          <w:p w14:paraId="2A653E88" w14:textId="77777777" w:rsidR="002E5737" w:rsidRPr="00F50700" w:rsidRDefault="002E5737" w:rsidP="00F50700">
            <w:pPr>
              <w:rPr>
                <w:rFonts w:ascii="Verdana" w:hAnsi="Verdana"/>
                <w:sz w:val="18"/>
                <w:szCs w:val="18"/>
                <w:lang w:val="bg-BG"/>
              </w:rPr>
            </w:pPr>
          </w:p>
          <w:p w14:paraId="091CA3BA" w14:textId="77777777" w:rsidR="002E5737" w:rsidRPr="00F50700" w:rsidRDefault="002E5737" w:rsidP="00F50700">
            <w:pPr>
              <w:rPr>
                <w:rFonts w:ascii="Verdana" w:hAnsi="Verdana"/>
                <w:sz w:val="18"/>
                <w:szCs w:val="18"/>
                <w:lang w:val="bg-BG"/>
              </w:rPr>
            </w:pPr>
          </w:p>
          <w:p w14:paraId="2AC1D284" w14:textId="77777777" w:rsidR="002E5737" w:rsidRPr="00F50700" w:rsidRDefault="002E5737" w:rsidP="00F50700">
            <w:pPr>
              <w:rPr>
                <w:rFonts w:ascii="Verdana" w:hAnsi="Verdana"/>
                <w:sz w:val="18"/>
                <w:szCs w:val="18"/>
                <w:lang w:val="bg-BG"/>
              </w:rPr>
            </w:pPr>
          </w:p>
          <w:p w14:paraId="68B5D16A" w14:textId="77777777" w:rsidR="002E5737" w:rsidRPr="00F50700" w:rsidRDefault="002E5737" w:rsidP="00F50700">
            <w:pPr>
              <w:rPr>
                <w:rFonts w:ascii="Verdana" w:hAnsi="Verdana"/>
                <w:sz w:val="18"/>
                <w:szCs w:val="18"/>
                <w:lang w:val="bg-BG"/>
              </w:rPr>
            </w:pPr>
          </w:p>
          <w:p w14:paraId="222FC9F1" w14:textId="77777777" w:rsidR="002E5737" w:rsidRPr="00F50700" w:rsidRDefault="002E5737" w:rsidP="00F50700">
            <w:pPr>
              <w:rPr>
                <w:rFonts w:ascii="Verdana" w:hAnsi="Verdana"/>
                <w:sz w:val="18"/>
                <w:szCs w:val="18"/>
                <w:lang w:val="bg-BG"/>
              </w:rPr>
            </w:pPr>
          </w:p>
          <w:p w14:paraId="1E62F4C0" w14:textId="77777777" w:rsidR="002E5737" w:rsidRPr="00F50700" w:rsidRDefault="002E5737" w:rsidP="00F50700">
            <w:pPr>
              <w:rPr>
                <w:rFonts w:ascii="Verdana" w:hAnsi="Verdana"/>
                <w:sz w:val="18"/>
                <w:szCs w:val="18"/>
                <w:lang w:val="bg-BG"/>
              </w:rPr>
            </w:pPr>
          </w:p>
          <w:p w14:paraId="55542731" w14:textId="77777777" w:rsidR="002E5737" w:rsidRPr="00F50700" w:rsidRDefault="002E5737" w:rsidP="00F50700">
            <w:pPr>
              <w:rPr>
                <w:rFonts w:ascii="Verdana" w:hAnsi="Verdana"/>
                <w:sz w:val="18"/>
                <w:szCs w:val="18"/>
                <w:lang w:val="bg-BG"/>
              </w:rPr>
            </w:pPr>
          </w:p>
          <w:p w14:paraId="18705A8B" w14:textId="17C1DB94" w:rsidR="002E5737" w:rsidRPr="00F50700" w:rsidRDefault="00B44888" w:rsidP="00F50700">
            <w:pPr>
              <w:rPr>
                <w:rFonts w:ascii="Verdana" w:hAnsi="Verdana"/>
                <w:sz w:val="18"/>
                <w:szCs w:val="18"/>
                <w:lang w:val="bg-BG"/>
              </w:rPr>
            </w:pPr>
            <w:r>
              <w:rPr>
                <w:rFonts w:ascii="Verdana" w:hAnsi="Verdana"/>
                <w:sz w:val="18"/>
                <w:szCs w:val="18"/>
                <w:lang w:val="bg-BG"/>
              </w:rPr>
              <w:t>RIA</w:t>
            </w:r>
          </w:p>
          <w:p w14:paraId="294E54DF" w14:textId="77777777" w:rsidR="002E5737" w:rsidRPr="00F50700" w:rsidRDefault="002E5737" w:rsidP="00F50700">
            <w:pPr>
              <w:rPr>
                <w:rFonts w:ascii="Verdana" w:hAnsi="Verdana"/>
                <w:sz w:val="18"/>
                <w:szCs w:val="18"/>
                <w:lang w:val="bg-BG"/>
              </w:rPr>
            </w:pPr>
          </w:p>
          <w:p w14:paraId="3D1AC8B4" w14:textId="77777777" w:rsidR="002E5737" w:rsidRPr="00F50700" w:rsidRDefault="002E5737" w:rsidP="00F50700">
            <w:pPr>
              <w:rPr>
                <w:rFonts w:ascii="Verdana" w:hAnsi="Verdana"/>
                <w:sz w:val="18"/>
                <w:szCs w:val="18"/>
                <w:lang w:val="bg-BG"/>
              </w:rPr>
            </w:pPr>
          </w:p>
          <w:p w14:paraId="47926520" w14:textId="77777777" w:rsidR="002E5737" w:rsidRPr="00F50700" w:rsidRDefault="002E5737" w:rsidP="00F50700">
            <w:pPr>
              <w:rPr>
                <w:rFonts w:ascii="Verdana" w:hAnsi="Verdana"/>
                <w:sz w:val="18"/>
                <w:szCs w:val="18"/>
                <w:lang w:val="bg-BG"/>
              </w:rPr>
            </w:pPr>
          </w:p>
          <w:p w14:paraId="563E5E41" w14:textId="77777777" w:rsidR="002E5737" w:rsidRPr="00F50700" w:rsidRDefault="002E5737" w:rsidP="00F50700">
            <w:pPr>
              <w:rPr>
                <w:rFonts w:ascii="Verdana" w:hAnsi="Verdana"/>
                <w:sz w:val="18"/>
                <w:szCs w:val="18"/>
                <w:lang w:val="bg-BG"/>
              </w:rPr>
            </w:pPr>
          </w:p>
          <w:p w14:paraId="31B2D774" w14:textId="77777777" w:rsidR="002E5737" w:rsidRPr="00F50700" w:rsidRDefault="002E5737" w:rsidP="00F50700">
            <w:pPr>
              <w:rPr>
                <w:rFonts w:ascii="Verdana" w:hAnsi="Verdana"/>
                <w:sz w:val="18"/>
                <w:szCs w:val="18"/>
                <w:lang w:val="bg-BG"/>
              </w:rPr>
            </w:pPr>
          </w:p>
          <w:p w14:paraId="35004FF0" w14:textId="77777777" w:rsidR="002E5737" w:rsidRPr="00F50700" w:rsidRDefault="002E5737" w:rsidP="00F50700">
            <w:pPr>
              <w:rPr>
                <w:rFonts w:ascii="Verdana" w:hAnsi="Verdana"/>
                <w:sz w:val="18"/>
                <w:szCs w:val="18"/>
                <w:lang w:val="bg-BG"/>
              </w:rPr>
            </w:pPr>
          </w:p>
          <w:p w14:paraId="68077903" w14:textId="77777777" w:rsidR="002E5737" w:rsidRPr="00F50700" w:rsidRDefault="002E5737" w:rsidP="00F50700">
            <w:pPr>
              <w:rPr>
                <w:rFonts w:ascii="Verdana" w:hAnsi="Verdana"/>
                <w:sz w:val="18"/>
                <w:szCs w:val="18"/>
                <w:lang w:val="bg-BG"/>
              </w:rPr>
            </w:pPr>
          </w:p>
          <w:p w14:paraId="01BA453B" w14:textId="0FCB29CF" w:rsidR="002E5737" w:rsidRPr="00F50700" w:rsidRDefault="00B44888" w:rsidP="00F50700">
            <w:pPr>
              <w:rPr>
                <w:rFonts w:ascii="Verdana" w:hAnsi="Verdana"/>
                <w:sz w:val="18"/>
                <w:szCs w:val="18"/>
                <w:lang w:val="bg-BG"/>
              </w:rPr>
            </w:pPr>
            <w:r>
              <w:rPr>
                <w:rFonts w:ascii="Verdana" w:hAnsi="Verdana"/>
                <w:sz w:val="18"/>
                <w:szCs w:val="18"/>
                <w:lang w:val="en"/>
              </w:rPr>
              <w:t>NRIC, RIA</w:t>
            </w:r>
          </w:p>
          <w:p w14:paraId="61FE9371" w14:textId="77777777" w:rsidR="002E5737" w:rsidRPr="00F50700" w:rsidRDefault="002E5737" w:rsidP="00F50700">
            <w:pPr>
              <w:rPr>
                <w:rFonts w:ascii="Verdana" w:hAnsi="Verdana"/>
                <w:sz w:val="18"/>
                <w:szCs w:val="18"/>
                <w:lang w:val="bg-BG"/>
              </w:rPr>
            </w:pPr>
          </w:p>
          <w:p w14:paraId="7E6B39EE" w14:textId="77777777" w:rsidR="002E5737" w:rsidRPr="00F50700" w:rsidRDefault="002E5737" w:rsidP="00F50700">
            <w:pPr>
              <w:rPr>
                <w:rFonts w:ascii="Verdana" w:hAnsi="Verdana"/>
                <w:sz w:val="18"/>
                <w:szCs w:val="18"/>
                <w:lang w:val="bg-BG"/>
              </w:rPr>
            </w:pPr>
          </w:p>
          <w:p w14:paraId="729A552C" w14:textId="77777777" w:rsidR="002E5737" w:rsidRPr="00F50700" w:rsidRDefault="002E5737" w:rsidP="00F50700">
            <w:pPr>
              <w:rPr>
                <w:rFonts w:ascii="Verdana" w:hAnsi="Verdana"/>
                <w:sz w:val="18"/>
                <w:szCs w:val="18"/>
                <w:lang w:val="bg-BG"/>
              </w:rPr>
            </w:pPr>
          </w:p>
          <w:p w14:paraId="25C2609D" w14:textId="77777777" w:rsidR="002E5737" w:rsidRPr="00F50700" w:rsidRDefault="002E5737" w:rsidP="00F50700">
            <w:pPr>
              <w:rPr>
                <w:rFonts w:ascii="Verdana" w:hAnsi="Verdana"/>
                <w:sz w:val="18"/>
                <w:szCs w:val="18"/>
                <w:lang w:val="bg-BG"/>
              </w:rPr>
            </w:pPr>
          </w:p>
          <w:p w14:paraId="2D01229B" w14:textId="77777777" w:rsidR="002E5737" w:rsidRPr="00F50700" w:rsidRDefault="002E5737" w:rsidP="00F50700">
            <w:pPr>
              <w:rPr>
                <w:rFonts w:ascii="Verdana" w:hAnsi="Verdana"/>
                <w:sz w:val="18"/>
                <w:szCs w:val="18"/>
                <w:lang w:val="bg-BG"/>
              </w:rPr>
            </w:pPr>
          </w:p>
          <w:p w14:paraId="1F99574C" w14:textId="49B1A971" w:rsidR="002E5737" w:rsidRPr="00F50700" w:rsidRDefault="00E4687F" w:rsidP="00F50700">
            <w:pPr>
              <w:rPr>
                <w:rFonts w:ascii="Verdana" w:hAnsi="Verdana"/>
                <w:sz w:val="18"/>
                <w:szCs w:val="18"/>
                <w:lang w:val="bg-BG"/>
              </w:rPr>
            </w:pPr>
            <w:r>
              <w:rPr>
                <w:rFonts w:ascii="Verdana" w:hAnsi="Verdana"/>
                <w:sz w:val="18"/>
                <w:szCs w:val="18"/>
                <w:lang w:val="bg-BG"/>
              </w:rPr>
              <w:t>NRIC</w:t>
            </w:r>
          </w:p>
          <w:p w14:paraId="58B6C0EB" w14:textId="77777777" w:rsidR="002E5737" w:rsidRPr="00F50700" w:rsidRDefault="002E5737" w:rsidP="00F50700">
            <w:pPr>
              <w:rPr>
                <w:rFonts w:ascii="Verdana" w:hAnsi="Verdana"/>
                <w:sz w:val="18"/>
                <w:szCs w:val="18"/>
                <w:lang w:val="bg-BG"/>
              </w:rPr>
            </w:pPr>
          </w:p>
          <w:p w14:paraId="7613EE0E" w14:textId="77777777" w:rsidR="002E5737" w:rsidRPr="00F50700" w:rsidRDefault="002E5737" w:rsidP="00F50700">
            <w:pPr>
              <w:rPr>
                <w:rFonts w:ascii="Verdana" w:hAnsi="Verdana"/>
                <w:sz w:val="18"/>
                <w:szCs w:val="18"/>
                <w:lang w:val="bg-BG"/>
              </w:rPr>
            </w:pPr>
          </w:p>
        </w:tc>
        <w:tc>
          <w:tcPr>
            <w:tcW w:w="1675" w:type="dxa"/>
          </w:tcPr>
          <w:p w14:paraId="75A0847F" w14:textId="5B106F49" w:rsidR="002E5737" w:rsidRPr="00F50700" w:rsidRDefault="002E5737" w:rsidP="00F50700">
            <w:pPr>
              <w:rPr>
                <w:rFonts w:ascii="Verdana" w:hAnsi="Verdana"/>
                <w:sz w:val="18"/>
                <w:szCs w:val="18"/>
                <w:lang w:val="bg-BG"/>
              </w:rPr>
            </w:pPr>
            <w:r w:rsidRPr="00F50700">
              <w:rPr>
                <w:rFonts w:ascii="Verdana" w:hAnsi="Verdana"/>
                <w:sz w:val="18"/>
                <w:szCs w:val="18"/>
                <w:lang w:val="en"/>
              </w:rPr>
              <w:t>2014-2020</w:t>
            </w:r>
          </w:p>
          <w:p w14:paraId="2A07EE41" w14:textId="77777777" w:rsidR="002E5737" w:rsidRPr="00F50700" w:rsidRDefault="002E5737" w:rsidP="00F50700">
            <w:pPr>
              <w:rPr>
                <w:rFonts w:ascii="Verdana" w:hAnsi="Verdana"/>
                <w:sz w:val="18"/>
                <w:szCs w:val="18"/>
                <w:lang w:val="bg-BG"/>
              </w:rPr>
            </w:pPr>
            <w:r w:rsidRPr="00F50700">
              <w:rPr>
                <w:rFonts w:ascii="Verdana" w:hAnsi="Verdana"/>
                <w:sz w:val="18"/>
                <w:szCs w:val="18"/>
                <w:lang w:val="en"/>
              </w:rPr>
              <w:t>2021-2027</w:t>
            </w:r>
          </w:p>
          <w:p w14:paraId="0D4BFFAB" w14:textId="77777777" w:rsidR="002E5737" w:rsidRPr="00F50700" w:rsidRDefault="002E5737" w:rsidP="00F50700">
            <w:pPr>
              <w:rPr>
                <w:rFonts w:ascii="Verdana" w:hAnsi="Verdana"/>
                <w:sz w:val="18"/>
                <w:szCs w:val="18"/>
                <w:lang w:val="bg-BG"/>
              </w:rPr>
            </w:pPr>
          </w:p>
          <w:p w14:paraId="379C049C" w14:textId="77777777" w:rsidR="002E5737" w:rsidRPr="00F50700" w:rsidRDefault="002E5737" w:rsidP="00F50700">
            <w:pPr>
              <w:rPr>
                <w:rFonts w:ascii="Verdana" w:hAnsi="Verdana"/>
                <w:sz w:val="18"/>
                <w:szCs w:val="18"/>
                <w:lang w:val="bg-BG"/>
              </w:rPr>
            </w:pPr>
          </w:p>
          <w:p w14:paraId="7769A511" w14:textId="77777777" w:rsidR="002E5737" w:rsidRPr="00F50700" w:rsidRDefault="002E5737" w:rsidP="00F50700">
            <w:pPr>
              <w:rPr>
                <w:rFonts w:ascii="Verdana" w:hAnsi="Verdana"/>
                <w:sz w:val="18"/>
                <w:szCs w:val="18"/>
                <w:lang w:val="bg-BG"/>
              </w:rPr>
            </w:pPr>
          </w:p>
          <w:p w14:paraId="2AEE798F" w14:textId="77777777" w:rsidR="002E5737" w:rsidRPr="00F50700" w:rsidRDefault="002E5737" w:rsidP="00F50700">
            <w:pPr>
              <w:rPr>
                <w:rFonts w:ascii="Verdana" w:hAnsi="Verdana"/>
                <w:sz w:val="18"/>
                <w:szCs w:val="18"/>
                <w:lang w:val="bg-BG"/>
              </w:rPr>
            </w:pPr>
          </w:p>
          <w:p w14:paraId="19BA2A82" w14:textId="77777777" w:rsidR="002E5737" w:rsidRPr="00F50700" w:rsidRDefault="002E5737" w:rsidP="00F50700">
            <w:pPr>
              <w:rPr>
                <w:rFonts w:ascii="Verdana" w:hAnsi="Verdana"/>
                <w:sz w:val="18"/>
                <w:szCs w:val="18"/>
                <w:lang w:val="bg-BG"/>
              </w:rPr>
            </w:pPr>
          </w:p>
          <w:p w14:paraId="15FD829D" w14:textId="77777777" w:rsidR="002E5737" w:rsidRPr="00F50700" w:rsidRDefault="002E5737" w:rsidP="00F50700">
            <w:pPr>
              <w:rPr>
                <w:rFonts w:ascii="Verdana" w:hAnsi="Verdana"/>
                <w:sz w:val="18"/>
                <w:szCs w:val="18"/>
                <w:lang w:val="bg-BG"/>
              </w:rPr>
            </w:pPr>
          </w:p>
          <w:p w14:paraId="39887C28" w14:textId="77777777" w:rsidR="002E5737" w:rsidRPr="00F50700" w:rsidRDefault="002E5737" w:rsidP="00F50700">
            <w:pPr>
              <w:rPr>
                <w:rFonts w:ascii="Verdana" w:hAnsi="Verdana"/>
                <w:sz w:val="18"/>
                <w:szCs w:val="18"/>
                <w:lang w:val="bg-BG"/>
              </w:rPr>
            </w:pPr>
          </w:p>
          <w:p w14:paraId="440FCA12" w14:textId="77777777" w:rsidR="002E5737" w:rsidRPr="00F50700" w:rsidRDefault="002E5737" w:rsidP="00F50700">
            <w:pPr>
              <w:rPr>
                <w:rFonts w:ascii="Verdana" w:hAnsi="Verdana"/>
                <w:sz w:val="18"/>
                <w:szCs w:val="18"/>
                <w:lang w:val="bg-BG"/>
              </w:rPr>
            </w:pPr>
          </w:p>
          <w:p w14:paraId="2CC7EF94" w14:textId="77777777" w:rsidR="002E5737" w:rsidRPr="00F50700" w:rsidRDefault="002E5737" w:rsidP="00F50700">
            <w:pPr>
              <w:rPr>
                <w:rFonts w:ascii="Verdana" w:hAnsi="Verdana"/>
                <w:sz w:val="18"/>
                <w:szCs w:val="18"/>
                <w:lang w:val="bg-BG"/>
              </w:rPr>
            </w:pPr>
          </w:p>
          <w:p w14:paraId="0D3ECED8" w14:textId="77777777" w:rsidR="002E5737" w:rsidRPr="00F50700" w:rsidRDefault="002E5737" w:rsidP="00F50700">
            <w:pPr>
              <w:rPr>
                <w:rFonts w:ascii="Verdana" w:hAnsi="Verdana"/>
                <w:sz w:val="18"/>
                <w:szCs w:val="18"/>
                <w:lang w:val="bg-BG"/>
              </w:rPr>
            </w:pPr>
          </w:p>
          <w:p w14:paraId="3D91F249" w14:textId="77777777" w:rsidR="002E5737" w:rsidRPr="00F50700" w:rsidRDefault="002E5737" w:rsidP="00F50700">
            <w:pPr>
              <w:rPr>
                <w:rFonts w:ascii="Verdana" w:hAnsi="Verdana"/>
                <w:sz w:val="18"/>
                <w:szCs w:val="18"/>
                <w:lang w:val="bg-BG"/>
              </w:rPr>
            </w:pPr>
            <w:r w:rsidRPr="00F50700">
              <w:rPr>
                <w:rFonts w:ascii="Verdana" w:hAnsi="Verdana"/>
                <w:sz w:val="18"/>
                <w:szCs w:val="18"/>
                <w:lang w:val="en"/>
              </w:rPr>
              <w:t>2014-2020</w:t>
            </w:r>
          </w:p>
          <w:p w14:paraId="2308AEBE" w14:textId="77777777" w:rsidR="002E5737" w:rsidRPr="00F50700" w:rsidRDefault="002E5737" w:rsidP="00F50700">
            <w:pPr>
              <w:rPr>
                <w:rFonts w:ascii="Verdana" w:hAnsi="Verdana"/>
                <w:sz w:val="18"/>
                <w:szCs w:val="18"/>
                <w:lang w:val="bg-BG"/>
              </w:rPr>
            </w:pPr>
            <w:r w:rsidRPr="00F50700">
              <w:rPr>
                <w:rFonts w:ascii="Verdana" w:hAnsi="Verdana"/>
                <w:sz w:val="18"/>
                <w:szCs w:val="18"/>
                <w:lang w:val="en"/>
              </w:rPr>
              <w:t>2021-2027</w:t>
            </w:r>
          </w:p>
          <w:p w14:paraId="1F2468CC" w14:textId="77777777" w:rsidR="002E5737" w:rsidRPr="00F50700" w:rsidRDefault="002E5737" w:rsidP="00F50700">
            <w:pPr>
              <w:rPr>
                <w:rFonts w:ascii="Verdana" w:hAnsi="Verdana"/>
                <w:sz w:val="18"/>
                <w:szCs w:val="18"/>
                <w:lang w:val="bg-BG"/>
              </w:rPr>
            </w:pPr>
          </w:p>
          <w:p w14:paraId="52D50F4F" w14:textId="77777777" w:rsidR="002E5737" w:rsidRPr="00F50700" w:rsidRDefault="002E5737" w:rsidP="00F50700">
            <w:pPr>
              <w:rPr>
                <w:rFonts w:ascii="Verdana" w:hAnsi="Verdana"/>
                <w:sz w:val="18"/>
                <w:szCs w:val="18"/>
                <w:lang w:val="bg-BG"/>
              </w:rPr>
            </w:pPr>
          </w:p>
          <w:p w14:paraId="52B92230" w14:textId="77777777" w:rsidR="002E5737" w:rsidRPr="00F50700" w:rsidRDefault="002E5737" w:rsidP="00F50700">
            <w:pPr>
              <w:rPr>
                <w:rFonts w:ascii="Verdana" w:hAnsi="Verdana"/>
                <w:sz w:val="18"/>
                <w:szCs w:val="18"/>
                <w:lang w:val="bg-BG"/>
              </w:rPr>
            </w:pPr>
          </w:p>
          <w:p w14:paraId="23617922" w14:textId="77777777" w:rsidR="002E5737" w:rsidRPr="00F50700" w:rsidRDefault="002E5737" w:rsidP="00F50700">
            <w:pPr>
              <w:rPr>
                <w:rFonts w:ascii="Verdana" w:hAnsi="Verdana"/>
                <w:sz w:val="18"/>
                <w:szCs w:val="18"/>
                <w:lang w:val="bg-BG"/>
              </w:rPr>
            </w:pPr>
          </w:p>
          <w:p w14:paraId="6D70E431" w14:textId="77777777" w:rsidR="002E5737" w:rsidRPr="00F50700" w:rsidRDefault="002E5737" w:rsidP="00F50700">
            <w:pPr>
              <w:rPr>
                <w:rFonts w:ascii="Verdana" w:hAnsi="Verdana"/>
                <w:sz w:val="18"/>
                <w:szCs w:val="18"/>
                <w:lang w:val="bg-BG"/>
              </w:rPr>
            </w:pPr>
          </w:p>
          <w:p w14:paraId="1EEF19A6" w14:textId="77777777" w:rsidR="002E5737" w:rsidRPr="00F50700" w:rsidRDefault="002E5737" w:rsidP="00F50700">
            <w:pPr>
              <w:rPr>
                <w:rFonts w:ascii="Verdana" w:hAnsi="Verdana"/>
                <w:sz w:val="18"/>
                <w:szCs w:val="18"/>
                <w:lang w:val="bg-BG"/>
              </w:rPr>
            </w:pPr>
          </w:p>
          <w:p w14:paraId="55B7B3DE" w14:textId="77777777" w:rsidR="002E5737" w:rsidRPr="00F50700" w:rsidRDefault="002E5737" w:rsidP="00F50700">
            <w:pPr>
              <w:rPr>
                <w:rFonts w:ascii="Verdana" w:hAnsi="Verdana"/>
                <w:sz w:val="18"/>
                <w:szCs w:val="18"/>
                <w:lang w:val="bg-BG"/>
              </w:rPr>
            </w:pPr>
            <w:r w:rsidRPr="00F50700">
              <w:rPr>
                <w:rFonts w:ascii="Verdana" w:hAnsi="Verdana"/>
                <w:sz w:val="18"/>
                <w:szCs w:val="18"/>
                <w:lang w:val="en"/>
              </w:rPr>
              <w:t>2014-2020</w:t>
            </w:r>
          </w:p>
          <w:p w14:paraId="037C3F31" w14:textId="77777777" w:rsidR="002E5737" w:rsidRPr="00F50700" w:rsidRDefault="002E5737" w:rsidP="00F50700">
            <w:pPr>
              <w:rPr>
                <w:rFonts w:ascii="Verdana" w:hAnsi="Verdana"/>
                <w:sz w:val="18"/>
                <w:szCs w:val="18"/>
                <w:lang w:val="bg-BG"/>
              </w:rPr>
            </w:pPr>
            <w:r w:rsidRPr="00F50700">
              <w:rPr>
                <w:rFonts w:ascii="Verdana" w:hAnsi="Verdana"/>
                <w:sz w:val="18"/>
                <w:szCs w:val="18"/>
                <w:lang w:val="en"/>
              </w:rPr>
              <w:t>2021-2027</w:t>
            </w:r>
          </w:p>
          <w:p w14:paraId="5090F1B9" w14:textId="77777777" w:rsidR="002E5737" w:rsidRPr="00F50700" w:rsidRDefault="002E5737" w:rsidP="00F50700">
            <w:pPr>
              <w:rPr>
                <w:rFonts w:ascii="Verdana" w:hAnsi="Verdana"/>
                <w:sz w:val="18"/>
                <w:szCs w:val="18"/>
                <w:lang w:val="bg-BG"/>
              </w:rPr>
            </w:pPr>
          </w:p>
          <w:p w14:paraId="63962584" w14:textId="77777777" w:rsidR="002E5737" w:rsidRPr="00F50700" w:rsidRDefault="002E5737" w:rsidP="00F50700">
            <w:pPr>
              <w:rPr>
                <w:rFonts w:ascii="Verdana" w:hAnsi="Verdana"/>
                <w:sz w:val="18"/>
                <w:szCs w:val="18"/>
                <w:lang w:val="bg-BG"/>
              </w:rPr>
            </w:pPr>
          </w:p>
          <w:p w14:paraId="122A1498" w14:textId="77777777" w:rsidR="002E5737" w:rsidRPr="00F50700" w:rsidRDefault="002E5737" w:rsidP="00F50700">
            <w:pPr>
              <w:rPr>
                <w:rFonts w:ascii="Verdana" w:hAnsi="Verdana"/>
                <w:sz w:val="18"/>
                <w:szCs w:val="18"/>
                <w:lang w:val="bg-BG"/>
              </w:rPr>
            </w:pPr>
          </w:p>
          <w:p w14:paraId="7364C450" w14:textId="77777777" w:rsidR="002E5737" w:rsidRPr="00F50700" w:rsidRDefault="002E5737" w:rsidP="00F50700">
            <w:pPr>
              <w:rPr>
                <w:rFonts w:ascii="Verdana" w:hAnsi="Verdana"/>
                <w:sz w:val="18"/>
                <w:szCs w:val="18"/>
                <w:lang w:val="bg-BG"/>
              </w:rPr>
            </w:pPr>
          </w:p>
          <w:p w14:paraId="7BCC1AA2" w14:textId="77777777" w:rsidR="002E5737" w:rsidRPr="00F50700" w:rsidRDefault="002E5737" w:rsidP="00F50700">
            <w:pPr>
              <w:rPr>
                <w:rFonts w:ascii="Verdana" w:hAnsi="Verdana"/>
                <w:sz w:val="18"/>
                <w:szCs w:val="18"/>
                <w:lang w:val="bg-BG"/>
              </w:rPr>
            </w:pPr>
            <w:r w:rsidRPr="00F50700">
              <w:rPr>
                <w:rFonts w:ascii="Verdana" w:hAnsi="Verdana"/>
                <w:sz w:val="18"/>
                <w:szCs w:val="18"/>
                <w:lang w:val="en"/>
              </w:rPr>
              <w:t>2021-2027</w:t>
            </w:r>
          </w:p>
          <w:p w14:paraId="6026B681" w14:textId="77777777" w:rsidR="002E5737" w:rsidRPr="00F50700" w:rsidRDefault="002E5737" w:rsidP="00F50700">
            <w:pPr>
              <w:rPr>
                <w:rFonts w:ascii="Verdana" w:hAnsi="Verdana"/>
                <w:sz w:val="18"/>
                <w:szCs w:val="18"/>
                <w:lang w:val="bg-BG"/>
              </w:rPr>
            </w:pPr>
          </w:p>
        </w:tc>
      </w:tr>
      <w:tr w:rsidR="002E5737" w:rsidRPr="00F50700" w14:paraId="242F8BDF" w14:textId="77777777" w:rsidTr="00F50700">
        <w:tc>
          <w:tcPr>
            <w:tcW w:w="14189" w:type="dxa"/>
            <w:gridSpan w:val="4"/>
            <w:shd w:val="clear" w:color="auto" w:fill="C8CAE7" w:themeFill="text2" w:themeFillTint="33"/>
          </w:tcPr>
          <w:p w14:paraId="1CF5FE75" w14:textId="77777777" w:rsidR="002E5737" w:rsidRPr="00F50700" w:rsidRDefault="002E5737" w:rsidP="00F50700">
            <w:pPr>
              <w:rPr>
                <w:rFonts w:ascii="Verdana" w:hAnsi="Verdana"/>
                <w:sz w:val="18"/>
                <w:szCs w:val="18"/>
                <w:lang w:val="bg-BG"/>
              </w:rPr>
            </w:pPr>
            <w:r w:rsidRPr="00F50700">
              <w:rPr>
                <w:rFonts w:ascii="Verdana" w:hAnsi="Verdana"/>
                <w:b/>
                <w:bCs/>
                <w:i/>
                <w:iCs/>
                <w:sz w:val="18"/>
                <w:szCs w:val="18"/>
                <w:lang w:val="en"/>
              </w:rPr>
              <w:t>Accessibility of settlements</w:t>
            </w:r>
          </w:p>
        </w:tc>
      </w:tr>
      <w:tr w:rsidR="002E5737" w:rsidRPr="00F50700" w14:paraId="5F8D3596" w14:textId="77777777" w:rsidTr="00F50700">
        <w:tc>
          <w:tcPr>
            <w:tcW w:w="4070" w:type="dxa"/>
          </w:tcPr>
          <w:p w14:paraId="4F15BAC9" w14:textId="56B7037B" w:rsidR="002E5737" w:rsidRPr="00082662" w:rsidRDefault="002E5737" w:rsidP="0048262D">
            <w:pPr>
              <w:numPr>
                <w:ilvl w:val="3"/>
                <w:numId w:val="58"/>
              </w:numPr>
              <w:ind w:left="731" w:hanging="567"/>
              <w:contextualSpacing/>
              <w:jc w:val="both"/>
              <w:rPr>
                <w:rFonts w:ascii="Verdana" w:hAnsi="Verdana"/>
                <w:sz w:val="18"/>
                <w:szCs w:val="18"/>
                <w:lang w:val="bg-BG"/>
              </w:rPr>
            </w:pPr>
            <w:r w:rsidRPr="00082662">
              <w:rPr>
                <w:rFonts w:ascii="Verdana" w:hAnsi="Verdana"/>
                <w:sz w:val="18"/>
                <w:szCs w:val="18"/>
                <w:lang w:val="en"/>
              </w:rPr>
              <w:lastRenderedPageBreak/>
              <w:t>The total spatial distribution of EU assistance in the country under THE OPT is concentrated in the European transport</w:t>
            </w:r>
            <w:r w:rsidR="00082662">
              <w:rPr>
                <w:rFonts w:ascii="Verdana" w:hAnsi="Verdana"/>
                <w:sz w:val="18"/>
                <w:szCs w:val="18"/>
                <w:lang w:val="en"/>
              </w:rPr>
              <w:t xml:space="preserve"> </w:t>
            </w:r>
            <w:r w:rsidRPr="00082662">
              <w:rPr>
                <w:rFonts w:ascii="Verdana" w:hAnsi="Verdana"/>
                <w:sz w:val="18"/>
                <w:szCs w:val="18"/>
                <w:lang w:val="en"/>
              </w:rPr>
              <w:t>network.</w:t>
            </w:r>
            <w:r w:rsidR="00293C73">
              <w:rPr>
                <w:rFonts w:ascii="Verdana" w:hAnsi="Verdana"/>
                <w:sz w:val="18"/>
                <w:szCs w:val="18"/>
                <w:lang w:val="en"/>
              </w:rPr>
              <w:t xml:space="preserve"> The major funds of OPT were invested in</w:t>
            </w:r>
            <w:r w:rsidR="00310A07">
              <w:rPr>
                <w:rFonts w:ascii="Verdana" w:hAnsi="Verdana"/>
                <w:sz w:val="18"/>
                <w:szCs w:val="18"/>
                <w:lang w:val="en"/>
              </w:rPr>
              <w:t xml:space="preserve"> South Bulgaria, and minor support was provided to North Bulgaria through the bypass roads of </w:t>
            </w:r>
            <w:proofErr w:type="spellStart"/>
            <w:r w:rsidR="00310A07">
              <w:rPr>
                <w:rFonts w:ascii="Verdana" w:hAnsi="Verdana"/>
                <w:sz w:val="18"/>
                <w:szCs w:val="18"/>
                <w:lang w:val="en"/>
              </w:rPr>
              <w:t>Vratza</w:t>
            </w:r>
            <w:proofErr w:type="spellEnd"/>
            <w:r w:rsidR="00310A07">
              <w:rPr>
                <w:rFonts w:ascii="Verdana" w:hAnsi="Verdana"/>
                <w:sz w:val="18"/>
                <w:szCs w:val="18"/>
                <w:lang w:val="en"/>
              </w:rPr>
              <w:t>, Montana and Gabrovo.</w:t>
            </w:r>
          </w:p>
        </w:tc>
        <w:tc>
          <w:tcPr>
            <w:tcW w:w="6131" w:type="dxa"/>
          </w:tcPr>
          <w:p w14:paraId="0FAB8385" w14:textId="6FE8ADF6" w:rsidR="002E5737" w:rsidRPr="00082662" w:rsidRDefault="002E5737" w:rsidP="001C40A0">
            <w:pPr>
              <w:pStyle w:val="ListParagraph"/>
              <w:numPr>
                <w:ilvl w:val="0"/>
                <w:numId w:val="47"/>
              </w:numPr>
              <w:rPr>
                <w:rFonts w:ascii="Verdana" w:hAnsi="Verdana"/>
                <w:sz w:val="18"/>
                <w:szCs w:val="18"/>
              </w:rPr>
            </w:pPr>
            <w:r w:rsidRPr="00082662">
              <w:rPr>
                <w:rFonts w:ascii="Verdana" w:hAnsi="Verdana"/>
                <w:sz w:val="18"/>
                <w:szCs w:val="18"/>
                <w:lang w:val="en"/>
              </w:rPr>
              <w:t xml:space="preserve">It is advisable to improve the complementarity between </w:t>
            </w:r>
            <w:r w:rsidRPr="00EE612B">
              <w:rPr>
                <w:rFonts w:ascii="Verdana" w:hAnsi="Verdana"/>
                <w:sz w:val="18"/>
                <w:szCs w:val="18"/>
                <w:lang w:val="en"/>
              </w:rPr>
              <w:t xml:space="preserve">OPT and OPRD investments in the </w:t>
            </w:r>
            <w:r w:rsidR="00BA0443" w:rsidRPr="00EE612B">
              <w:rPr>
                <w:rFonts w:ascii="Verdana" w:hAnsi="Verdana"/>
                <w:sz w:val="18"/>
                <w:szCs w:val="18"/>
                <w:lang w:val="en"/>
              </w:rPr>
              <w:t xml:space="preserve">next </w:t>
            </w:r>
            <w:r w:rsidRPr="00EE612B">
              <w:rPr>
                <w:rFonts w:ascii="Verdana" w:hAnsi="Verdana"/>
                <w:sz w:val="18"/>
                <w:szCs w:val="18"/>
                <w:lang w:val="en"/>
              </w:rPr>
              <w:t>programming periods. Specific mechanisms</w:t>
            </w:r>
            <w:r w:rsidRPr="00082662">
              <w:rPr>
                <w:rFonts w:ascii="Verdana" w:hAnsi="Verdana"/>
                <w:sz w:val="18"/>
                <w:szCs w:val="18"/>
                <w:lang w:val="en"/>
              </w:rPr>
              <w:t xml:space="preserve"> can be developed within the framework of the principles and criteria for selecting operations under both programmes.  (recommendation concerns conclusion 11)</w:t>
            </w:r>
          </w:p>
          <w:p w14:paraId="41E13845" w14:textId="77777777" w:rsidR="002E5737" w:rsidRPr="00082662" w:rsidRDefault="002E5737" w:rsidP="00F50700">
            <w:pPr>
              <w:rPr>
                <w:rFonts w:ascii="Verdana" w:hAnsi="Verdana"/>
                <w:sz w:val="18"/>
                <w:szCs w:val="18"/>
                <w:lang w:val="bg-BG"/>
              </w:rPr>
            </w:pPr>
          </w:p>
          <w:p w14:paraId="78387652" w14:textId="77777777" w:rsidR="002E5737" w:rsidRPr="00082662" w:rsidRDefault="002E5737" w:rsidP="00F50700">
            <w:pPr>
              <w:ind w:left="249"/>
              <w:jc w:val="both"/>
              <w:rPr>
                <w:rFonts w:ascii="Verdana" w:hAnsi="Verdana"/>
                <w:sz w:val="18"/>
                <w:szCs w:val="18"/>
                <w:lang w:val="bg-BG"/>
              </w:rPr>
            </w:pPr>
          </w:p>
        </w:tc>
        <w:tc>
          <w:tcPr>
            <w:tcW w:w="2313" w:type="dxa"/>
          </w:tcPr>
          <w:p w14:paraId="29201E07" w14:textId="77777777" w:rsidR="002E5737" w:rsidRPr="00082662" w:rsidRDefault="002E5737" w:rsidP="00F50700">
            <w:pPr>
              <w:rPr>
                <w:rFonts w:ascii="Verdana" w:hAnsi="Verdana"/>
                <w:sz w:val="18"/>
                <w:szCs w:val="18"/>
                <w:lang w:val="bg-BG"/>
              </w:rPr>
            </w:pPr>
            <w:r w:rsidRPr="00082662">
              <w:rPr>
                <w:rFonts w:ascii="Verdana" w:hAnsi="Verdana"/>
                <w:sz w:val="18"/>
                <w:szCs w:val="18"/>
                <w:lang w:val="en"/>
              </w:rPr>
              <w:t>Managing Authority of OPT, Managing Authority of OPRD, Central Coordination Unit</w:t>
            </w:r>
          </w:p>
        </w:tc>
        <w:tc>
          <w:tcPr>
            <w:tcW w:w="1675" w:type="dxa"/>
          </w:tcPr>
          <w:p w14:paraId="502CBE4B" w14:textId="77777777" w:rsidR="002E5737" w:rsidRPr="00082662" w:rsidRDefault="002E5737" w:rsidP="00F50700">
            <w:pPr>
              <w:rPr>
                <w:rFonts w:ascii="Verdana" w:hAnsi="Verdana"/>
                <w:sz w:val="18"/>
                <w:szCs w:val="18"/>
                <w:lang w:val="bg-BG"/>
              </w:rPr>
            </w:pPr>
            <w:r w:rsidRPr="00082662">
              <w:rPr>
                <w:rFonts w:ascii="Verdana" w:hAnsi="Verdana"/>
                <w:sz w:val="18"/>
                <w:szCs w:val="18"/>
                <w:lang w:val="en"/>
              </w:rPr>
              <w:t>2021-2027</w:t>
            </w:r>
          </w:p>
        </w:tc>
      </w:tr>
      <w:tr w:rsidR="002E5737" w:rsidRPr="00F50700" w14:paraId="0774E366" w14:textId="77777777" w:rsidTr="00F50700">
        <w:tc>
          <w:tcPr>
            <w:tcW w:w="14189" w:type="dxa"/>
            <w:gridSpan w:val="4"/>
            <w:shd w:val="clear" w:color="auto" w:fill="C8CAE7" w:themeFill="text2" w:themeFillTint="33"/>
          </w:tcPr>
          <w:p w14:paraId="474D9C60" w14:textId="77777777" w:rsidR="002E5737" w:rsidRPr="00082662" w:rsidRDefault="002E5737" w:rsidP="00F50700">
            <w:pPr>
              <w:rPr>
                <w:rFonts w:ascii="Verdana" w:hAnsi="Verdana"/>
                <w:sz w:val="18"/>
                <w:szCs w:val="18"/>
                <w:lang w:val="bg-BG"/>
              </w:rPr>
            </w:pPr>
            <w:r w:rsidRPr="00082662">
              <w:rPr>
                <w:rFonts w:ascii="Verdana" w:hAnsi="Verdana"/>
                <w:b/>
                <w:bCs/>
                <w:i/>
                <w:iCs/>
                <w:sz w:val="18"/>
                <w:szCs w:val="18"/>
                <w:lang w:val="en"/>
              </w:rPr>
              <w:t>Measuring the long-term impact</w:t>
            </w:r>
          </w:p>
        </w:tc>
      </w:tr>
      <w:tr w:rsidR="002E5737" w:rsidRPr="00F50700" w14:paraId="056447B7" w14:textId="77777777" w:rsidTr="00F50700">
        <w:tc>
          <w:tcPr>
            <w:tcW w:w="4070" w:type="dxa"/>
          </w:tcPr>
          <w:p w14:paraId="2A446F56" w14:textId="77777777" w:rsidR="002E5737" w:rsidRPr="00082662" w:rsidRDefault="002E5737" w:rsidP="0048262D">
            <w:pPr>
              <w:numPr>
                <w:ilvl w:val="3"/>
                <w:numId w:val="58"/>
              </w:numPr>
              <w:ind w:left="731" w:hanging="567"/>
              <w:contextualSpacing/>
              <w:jc w:val="both"/>
              <w:rPr>
                <w:rFonts w:ascii="Verdana" w:hAnsi="Verdana"/>
                <w:sz w:val="18"/>
                <w:szCs w:val="18"/>
                <w:lang w:val="bg-BG"/>
              </w:rPr>
            </w:pPr>
            <w:r w:rsidRPr="00082662">
              <w:rPr>
                <w:rFonts w:ascii="Verdana" w:hAnsi="Verdana"/>
                <w:sz w:val="18"/>
                <w:szCs w:val="18"/>
                <w:lang w:val="en"/>
              </w:rPr>
              <w:t>The effectiveness of projects in the long term is measured by an assessment of the economic and environmental benefits achieved, as well as the workload of transport infrastructure and the balance between different modes of transport.</w:t>
            </w:r>
          </w:p>
          <w:p w14:paraId="7886F70C" w14:textId="77777777" w:rsidR="008F1346" w:rsidRDefault="008F1346" w:rsidP="00F50700">
            <w:pPr>
              <w:rPr>
                <w:rFonts w:ascii="Verdana" w:hAnsi="Verdana"/>
                <w:sz w:val="18"/>
                <w:szCs w:val="18"/>
                <w:lang w:val="en"/>
              </w:rPr>
            </w:pPr>
          </w:p>
          <w:p w14:paraId="1E700153" w14:textId="79EBA688" w:rsidR="002E5737" w:rsidRPr="00082662" w:rsidRDefault="002E5737" w:rsidP="00F50700">
            <w:pPr>
              <w:rPr>
                <w:rFonts w:ascii="Verdana" w:hAnsi="Verdana"/>
                <w:sz w:val="18"/>
                <w:szCs w:val="18"/>
                <w:lang w:val="bg-BG"/>
              </w:rPr>
            </w:pPr>
            <w:r w:rsidRPr="00082662">
              <w:rPr>
                <w:rFonts w:ascii="Verdana" w:hAnsi="Verdana"/>
                <w:sz w:val="18"/>
                <w:szCs w:val="18"/>
                <w:lang w:val="en"/>
              </w:rPr>
              <w:t xml:space="preserve">The highest </w:t>
            </w:r>
            <w:r w:rsidR="008F1346">
              <w:rPr>
                <w:rFonts w:ascii="Verdana" w:hAnsi="Verdana"/>
                <w:sz w:val="18"/>
                <w:szCs w:val="18"/>
                <w:lang w:val="en"/>
              </w:rPr>
              <w:t xml:space="preserve">effectiveness and </w:t>
            </w:r>
            <w:r w:rsidRPr="00082662">
              <w:rPr>
                <w:rFonts w:ascii="Verdana" w:hAnsi="Verdana"/>
                <w:sz w:val="18"/>
                <w:szCs w:val="18"/>
                <w:lang w:val="en"/>
              </w:rPr>
              <w:t xml:space="preserve">efficiency </w:t>
            </w:r>
            <w:r w:rsidR="008F1346">
              <w:rPr>
                <w:rFonts w:ascii="Verdana" w:hAnsi="Verdana"/>
                <w:sz w:val="18"/>
                <w:szCs w:val="18"/>
                <w:lang w:val="en"/>
              </w:rPr>
              <w:t>rates were achieved by</w:t>
            </w:r>
            <w:r w:rsidRPr="00082662">
              <w:rPr>
                <w:rFonts w:ascii="Verdana" w:hAnsi="Verdana"/>
                <w:sz w:val="18"/>
                <w:szCs w:val="18"/>
                <w:lang w:val="en"/>
              </w:rPr>
              <w:t xml:space="preserve"> projects where capacity is increased but the load rate is higher than the original due to the increase in traffic</w:t>
            </w:r>
            <w:r w:rsidR="00AB0BB3">
              <w:rPr>
                <w:rFonts w:ascii="Verdana" w:hAnsi="Verdana"/>
                <w:sz w:val="18"/>
                <w:szCs w:val="18"/>
                <w:lang w:val="en"/>
              </w:rPr>
              <w:t>. S</w:t>
            </w:r>
            <w:r w:rsidRPr="00082662">
              <w:rPr>
                <w:rFonts w:ascii="Verdana" w:hAnsi="Verdana"/>
                <w:sz w:val="18"/>
                <w:szCs w:val="18"/>
                <w:lang w:val="en"/>
              </w:rPr>
              <w:t>uch</w:t>
            </w:r>
            <w:r w:rsidR="00AB0BB3">
              <w:rPr>
                <w:rFonts w:ascii="Verdana" w:hAnsi="Verdana"/>
                <w:sz w:val="18"/>
                <w:szCs w:val="18"/>
                <w:lang w:val="en"/>
              </w:rPr>
              <w:t xml:space="preserve"> results show</w:t>
            </w:r>
            <w:r w:rsidRPr="00082662">
              <w:rPr>
                <w:rFonts w:ascii="Verdana" w:hAnsi="Verdana"/>
                <w:sz w:val="18"/>
                <w:szCs w:val="18"/>
                <w:lang w:val="en"/>
              </w:rPr>
              <w:t xml:space="preserve"> a very good economic return on invested funds and a proper selection of projects.</w:t>
            </w:r>
          </w:p>
          <w:p w14:paraId="49EF80C7" w14:textId="77777777" w:rsidR="002E5737" w:rsidRPr="00082662" w:rsidRDefault="002E5737" w:rsidP="00F50700">
            <w:pPr>
              <w:rPr>
                <w:rFonts w:ascii="Verdana" w:hAnsi="Verdana"/>
                <w:sz w:val="18"/>
                <w:szCs w:val="18"/>
                <w:lang w:val="bg-BG"/>
              </w:rPr>
            </w:pPr>
          </w:p>
          <w:p w14:paraId="042C31E8" w14:textId="4976BC5F" w:rsidR="002E5737" w:rsidRPr="00082662" w:rsidRDefault="002E5737" w:rsidP="00F50700">
            <w:pPr>
              <w:rPr>
                <w:rFonts w:ascii="Verdana" w:hAnsi="Verdana"/>
                <w:sz w:val="18"/>
                <w:szCs w:val="18"/>
                <w:lang w:val="bg-BG"/>
              </w:rPr>
            </w:pPr>
            <w:r w:rsidRPr="00082662">
              <w:rPr>
                <w:rFonts w:ascii="Verdana" w:hAnsi="Verdana"/>
                <w:sz w:val="18"/>
                <w:szCs w:val="18"/>
                <w:lang w:val="en"/>
              </w:rPr>
              <w:t xml:space="preserve">In order to feel </w:t>
            </w:r>
            <w:r w:rsidR="000E2E2D" w:rsidRPr="00082662">
              <w:rPr>
                <w:rFonts w:ascii="Verdana" w:hAnsi="Verdana"/>
                <w:sz w:val="18"/>
                <w:szCs w:val="18"/>
                <w:lang w:val="en"/>
              </w:rPr>
              <w:t>tangible</w:t>
            </w:r>
            <w:r w:rsidRPr="00082662">
              <w:rPr>
                <w:rFonts w:ascii="Verdana" w:hAnsi="Verdana"/>
                <w:sz w:val="18"/>
                <w:szCs w:val="18"/>
                <w:lang w:val="en"/>
              </w:rPr>
              <w:t xml:space="preserve"> effects of investments in railway infrastructure, it is necessary to complete construction on the entire </w:t>
            </w:r>
            <w:r w:rsidR="000E2E2D">
              <w:rPr>
                <w:rFonts w:ascii="Verdana" w:hAnsi="Verdana"/>
                <w:sz w:val="18"/>
                <w:szCs w:val="18"/>
                <w:lang w:val="en"/>
              </w:rPr>
              <w:t xml:space="preserve">lines </w:t>
            </w:r>
            <w:r w:rsidRPr="00082662">
              <w:rPr>
                <w:rFonts w:ascii="Verdana" w:hAnsi="Verdana"/>
                <w:sz w:val="18"/>
                <w:szCs w:val="18"/>
                <w:lang w:val="en"/>
              </w:rPr>
              <w:t>of the transport network, including during programming period</w:t>
            </w:r>
            <w:r w:rsidR="000E2E2D">
              <w:rPr>
                <w:rFonts w:ascii="Verdana" w:hAnsi="Verdana"/>
                <w:sz w:val="18"/>
                <w:szCs w:val="18"/>
                <w:lang w:val="en"/>
              </w:rPr>
              <w:t xml:space="preserve"> 2014-2020</w:t>
            </w:r>
            <w:r w:rsidRPr="00082662">
              <w:rPr>
                <w:rFonts w:ascii="Verdana" w:hAnsi="Verdana"/>
                <w:sz w:val="18"/>
                <w:szCs w:val="18"/>
                <w:lang w:val="en"/>
              </w:rPr>
              <w:t>.</w:t>
            </w:r>
          </w:p>
          <w:p w14:paraId="2E833C11" w14:textId="77777777" w:rsidR="002E5737" w:rsidRPr="00082662" w:rsidRDefault="002E5737" w:rsidP="00F50700">
            <w:pPr>
              <w:rPr>
                <w:rFonts w:ascii="Verdana" w:hAnsi="Verdana"/>
                <w:sz w:val="18"/>
                <w:szCs w:val="18"/>
                <w:lang w:val="bg-BG"/>
              </w:rPr>
            </w:pPr>
          </w:p>
          <w:p w14:paraId="7BA42726" w14:textId="77777777" w:rsidR="002E5737" w:rsidRPr="00082662" w:rsidRDefault="002E5737" w:rsidP="00F50700">
            <w:pPr>
              <w:rPr>
                <w:rFonts w:ascii="Verdana" w:hAnsi="Verdana"/>
                <w:sz w:val="18"/>
                <w:szCs w:val="18"/>
                <w:lang w:val="bg-BG"/>
              </w:rPr>
            </w:pPr>
          </w:p>
          <w:p w14:paraId="637EC7E0" w14:textId="77777777" w:rsidR="002E5737" w:rsidRPr="00082662" w:rsidRDefault="002E5737" w:rsidP="00F50700">
            <w:pPr>
              <w:rPr>
                <w:rFonts w:ascii="Verdana" w:hAnsi="Verdana"/>
                <w:sz w:val="18"/>
                <w:szCs w:val="18"/>
                <w:lang w:val="bg-BG"/>
              </w:rPr>
            </w:pPr>
          </w:p>
        </w:tc>
        <w:tc>
          <w:tcPr>
            <w:tcW w:w="6131" w:type="dxa"/>
          </w:tcPr>
          <w:p w14:paraId="11C6CBF2" w14:textId="4474795E" w:rsidR="002E5737" w:rsidRPr="00082662" w:rsidRDefault="002E5737" w:rsidP="001C40A0">
            <w:pPr>
              <w:pStyle w:val="ListParagraph"/>
              <w:numPr>
                <w:ilvl w:val="0"/>
                <w:numId w:val="47"/>
              </w:numPr>
              <w:rPr>
                <w:rFonts w:ascii="Verdana" w:hAnsi="Verdana"/>
                <w:sz w:val="18"/>
                <w:szCs w:val="18"/>
              </w:rPr>
            </w:pPr>
            <w:r w:rsidRPr="00082662">
              <w:rPr>
                <w:rFonts w:ascii="Verdana" w:hAnsi="Verdana"/>
                <w:sz w:val="18"/>
                <w:szCs w:val="18"/>
                <w:lang w:val="en"/>
              </w:rPr>
              <w:t xml:space="preserve">It is advisable to apply a single methodological basis for measuring the net economic and environmental impacts of projects. Good practice in this regard are the national Guidelines for the preparation of the </w:t>
            </w:r>
            <w:r w:rsidR="00041809">
              <w:rPr>
                <w:rFonts w:ascii="Verdana" w:hAnsi="Verdana"/>
                <w:sz w:val="18"/>
                <w:szCs w:val="18"/>
                <w:lang w:val="en"/>
              </w:rPr>
              <w:t>CBA</w:t>
            </w:r>
            <w:r w:rsidRPr="00082662">
              <w:rPr>
                <w:rFonts w:ascii="Verdana" w:hAnsi="Verdana"/>
                <w:sz w:val="18"/>
                <w:szCs w:val="18"/>
                <w:lang w:val="en"/>
              </w:rPr>
              <w:t xml:space="preserve"> in the transport sector for the programming period 2007-2013. It is recommended that a similar document be developed for subsequent programming periods.  (recommendation concerns conclusion 12)</w:t>
            </w:r>
          </w:p>
          <w:p w14:paraId="128AC827" w14:textId="77777777" w:rsidR="002E5737" w:rsidRPr="00082662" w:rsidRDefault="002E5737" w:rsidP="00F50700">
            <w:pPr>
              <w:pStyle w:val="ListParagraph"/>
              <w:rPr>
                <w:rFonts w:ascii="Verdana" w:hAnsi="Verdana"/>
                <w:sz w:val="18"/>
                <w:szCs w:val="18"/>
              </w:rPr>
            </w:pPr>
          </w:p>
          <w:p w14:paraId="712D2D59" w14:textId="7F37B318" w:rsidR="002E5737" w:rsidRPr="001C40A0" w:rsidRDefault="002E5737" w:rsidP="001C40A0">
            <w:pPr>
              <w:pStyle w:val="ListParagraph"/>
              <w:numPr>
                <w:ilvl w:val="0"/>
                <w:numId w:val="47"/>
              </w:numPr>
              <w:rPr>
                <w:rFonts w:ascii="Verdana" w:hAnsi="Verdana"/>
                <w:sz w:val="18"/>
                <w:szCs w:val="18"/>
              </w:rPr>
            </w:pPr>
            <w:r w:rsidRPr="001C40A0">
              <w:rPr>
                <w:rFonts w:ascii="Verdana" w:hAnsi="Verdana"/>
                <w:sz w:val="18"/>
                <w:szCs w:val="18"/>
                <w:lang w:val="en"/>
              </w:rPr>
              <w:t>For the purposes of ex-post evaluation and collection of reliable historical data from the implemented projects, it is advisable for beneficiaries to provide baseline data for comparison between the planned and projected parameters of the projects, including operati</w:t>
            </w:r>
            <w:r w:rsidR="0040334E" w:rsidRPr="001C40A0">
              <w:rPr>
                <w:rFonts w:ascii="Verdana" w:hAnsi="Verdana"/>
                <w:sz w:val="18"/>
                <w:szCs w:val="18"/>
                <w:lang w:val="en"/>
              </w:rPr>
              <w:t>onal costs and revenues</w:t>
            </w:r>
            <w:r w:rsidRPr="001C40A0">
              <w:rPr>
                <w:rFonts w:ascii="Verdana" w:hAnsi="Verdana"/>
                <w:sz w:val="18"/>
                <w:szCs w:val="18"/>
                <w:lang w:val="en"/>
              </w:rPr>
              <w:t xml:space="preserve">, </w:t>
            </w:r>
            <w:r w:rsidR="0040334E" w:rsidRPr="001C40A0">
              <w:rPr>
                <w:rFonts w:ascii="Verdana" w:hAnsi="Verdana"/>
                <w:sz w:val="18"/>
                <w:szCs w:val="18"/>
                <w:lang w:val="en"/>
              </w:rPr>
              <w:t>reported data for</w:t>
            </w:r>
            <w:r w:rsidRPr="001C40A0">
              <w:rPr>
                <w:rFonts w:ascii="Verdana" w:hAnsi="Verdana"/>
                <w:sz w:val="18"/>
                <w:szCs w:val="18"/>
                <w:lang w:val="en"/>
              </w:rPr>
              <w:t xml:space="preserve"> traffic, etc. Such data are currently provided in sustainability reports, but not </w:t>
            </w:r>
            <w:r w:rsidR="00322D6D" w:rsidRPr="001C40A0">
              <w:rPr>
                <w:rFonts w:ascii="Verdana" w:hAnsi="Verdana"/>
                <w:sz w:val="18"/>
                <w:szCs w:val="18"/>
                <w:lang w:val="en"/>
              </w:rPr>
              <w:t>on the basis of one calendar year</w:t>
            </w:r>
            <w:r w:rsidRPr="001C40A0">
              <w:rPr>
                <w:rFonts w:ascii="Verdana" w:hAnsi="Verdana"/>
                <w:sz w:val="18"/>
                <w:szCs w:val="18"/>
                <w:lang w:val="en"/>
              </w:rPr>
              <w:t>. It is recommended to collect the data on an annual basis /per calendar year/. (recommendation concerns conclusion 12)</w:t>
            </w:r>
            <w:r w:rsidR="00322D6D" w:rsidRPr="001C40A0">
              <w:rPr>
                <w:rFonts w:ascii="Verdana" w:hAnsi="Verdana"/>
                <w:sz w:val="18"/>
                <w:szCs w:val="18"/>
                <w:lang w:val="en"/>
              </w:rPr>
              <w:t>.</w:t>
            </w:r>
          </w:p>
          <w:p w14:paraId="6D319D79" w14:textId="77777777" w:rsidR="002E5737" w:rsidRPr="00082662" w:rsidRDefault="002E5737" w:rsidP="00F50700">
            <w:pPr>
              <w:pStyle w:val="ListParagraph"/>
              <w:rPr>
                <w:rFonts w:ascii="Verdana" w:hAnsi="Verdana"/>
                <w:sz w:val="18"/>
                <w:szCs w:val="18"/>
              </w:rPr>
            </w:pPr>
          </w:p>
          <w:p w14:paraId="23732BC3" w14:textId="04A55BDB" w:rsidR="002E5737" w:rsidRPr="00082662" w:rsidRDefault="002E5737" w:rsidP="001C40A0">
            <w:pPr>
              <w:pStyle w:val="ListParagraph"/>
              <w:numPr>
                <w:ilvl w:val="0"/>
                <w:numId w:val="47"/>
              </w:numPr>
              <w:jc w:val="both"/>
              <w:rPr>
                <w:rFonts w:ascii="Verdana" w:hAnsi="Verdana"/>
                <w:sz w:val="18"/>
                <w:szCs w:val="18"/>
                <w:lang w:val="bg-BG"/>
              </w:rPr>
            </w:pPr>
            <w:r w:rsidRPr="00082662">
              <w:rPr>
                <w:rFonts w:ascii="Verdana" w:hAnsi="Verdana"/>
                <w:sz w:val="18"/>
                <w:szCs w:val="18"/>
                <w:lang w:val="en"/>
              </w:rPr>
              <w:t>Based on the experience gained and the reporting data</w:t>
            </w:r>
            <w:r w:rsidR="00E832F8">
              <w:rPr>
                <w:rFonts w:ascii="Verdana" w:hAnsi="Verdana"/>
                <w:sz w:val="18"/>
                <w:szCs w:val="18"/>
                <w:lang w:val="en"/>
              </w:rPr>
              <w:t xml:space="preserve"> from exploitation phase</w:t>
            </w:r>
            <w:r w:rsidRPr="00082662">
              <w:rPr>
                <w:rFonts w:ascii="Verdana" w:hAnsi="Verdana"/>
                <w:sz w:val="18"/>
                <w:szCs w:val="18"/>
                <w:lang w:val="en"/>
              </w:rPr>
              <w:t xml:space="preserve">, it is advisable to </w:t>
            </w:r>
            <w:r w:rsidR="0001401C">
              <w:rPr>
                <w:rFonts w:ascii="Verdana" w:hAnsi="Verdana"/>
                <w:sz w:val="18"/>
                <w:szCs w:val="18"/>
                <w:lang w:val="en"/>
              </w:rPr>
              <w:t xml:space="preserve">forecast </w:t>
            </w:r>
            <w:r w:rsidR="001C40A0">
              <w:rPr>
                <w:rFonts w:ascii="Verdana" w:hAnsi="Verdana"/>
                <w:sz w:val="18"/>
                <w:szCs w:val="18"/>
                <w:lang w:val="en"/>
              </w:rPr>
              <w:t xml:space="preserve">realistic </w:t>
            </w:r>
            <w:r w:rsidR="001C40A0" w:rsidRPr="00082662">
              <w:rPr>
                <w:rFonts w:ascii="Verdana" w:hAnsi="Verdana"/>
                <w:sz w:val="18"/>
                <w:szCs w:val="18"/>
                <w:lang w:val="en"/>
              </w:rPr>
              <w:t>passenger</w:t>
            </w:r>
            <w:r w:rsidRPr="00082662">
              <w:rPr>
                <w:rFonts w:ascii="Verdana" w:hAnsi="Verdana"/>
                <w:sz w:val="18"/>
                <w:szCs w:val="18"/>
                <w:lang w:val="en"/>
              </w:rPr>
              <w:t xml:space="preserve"> and cargo flow</w:t>
            </w:r>
            <w:r w:rsidR="0001401C">
              <w:rPr>
                <w:rFonts w:ascii="Verdana" w:hAnsi="Verdana"/>
                <w:sz w:val="18"/>
                <w:szCs w:val="18"/>
                <w:lang w:val="en"/>
              </w:rPr>
              <w:t>s</w:t>
            </w:r>
            <w:r w:rsidRPr="00082662">
              <w:rPr>
                <w:rFonts w:ascii="Verdana" w:hAnsi="Verdana"/>
                <w:sz w:val="18"/>
                <w:szCs w:val="18"/>
                <w:lang w:val="en"/>
              </w:rPr>
              <w:t xml:space="preserve"> </w:t>
            </w:r>
            <w:r w:rsidR="0001401C">
              <w:rPr>
                <w:rFonts w:ascii="Verdana" w:hAnsi="Verdana"/>
                <w:sz w:val="18"/>
                <w:szCs w:val="18"/>
                <w:lang w:val="en"/>
              </w:rPr>
              <w:t>with</w:t>
            </w:r>
            <w:r w:rsidRPr="00082662">
              <w:rPr>
                <w:rFonts w:ascii="Verdana" w:hAnsi="Verdana"/>
                <w:sz w:val="18"/>
                <w:szCs w:val="18"/>
                <w:lang w:val="en"/>
              </w:rPr>
              <w:t xml:space="preserve">in the preparation of </w:t>
            </w:r>
            <w:r w:rsidR="00463E7D">
              <w:rPr>
                <w:rFonts w:ascii="Verdana" w:hAnsi="Verdana"/>
                <w:sz w:val="18"/>
                <w:szCs w:val="18"/>
                <w:lang w:val="en"/>
              </w:rPr>
              <w:t xml:space="preserve">future </w:t>
            </w:r>
            <w:r w:rsidRPr="00082662">
              <w:rPr>
                <w:rFonts w:ascii="Verdana" w:hAnsi="Verdana"/>
                <w:sz w:val="18"/>
                <w:szCs w:val="18"/>
                <w:lang w:val="en"/>
              </w:rPr>
              <w:t xml:space="preserve">projects, which </w:t>
            </w:r>
            <w:r w:rsidR="00463E7D">
              <w:rPr>
                <w:rFonts w:ascii="Verdana" w:hAnsi="Verdana"/>
                <w:sz w:val="18"/>
                <w:szCs w:val="18"/>
                <w:lang w:val="en"/>
              </w:rPr>
              <w:t>are feasible to be</w:t>
            </w:r>
            <w:r w:rsidRPr="00082662">
              <w:rPr>
                <w:rFonts w:ascii="Verdana" w:hAnsi="Verdana"/>
                <w:sz w:val="18"/>
                <w:szCs w:val="18"/>
                <w:lang w:val="en"/>
              </w:rPr>
              <w:t xml:space="preserve"> achieved.  (recommendation concerns conclusion 12)</w:t>
            </w:r>
          </w:p>
          <w:p w14:paraId="1462949C" w14:textId="77777777" w:rsidR="002E5737" w:rsidRPr="00082662" w:rsidRDefault="002E5737" w:rsidP="00F50700">
            <w:pPr>
              <w:ind w:left="720"/>
              <w:contextualSpacing/>
              <w:jc w:val="both"/>
              <w:rPr>
                <w:rFonts w:ascii="Verdana" w:hAnsi="Verdana"/>
                <w:sz w:val="18"/>
                <w:szCs w:val="18"/>
                <w:lang w:val="bg-BG"/>
              </w:rPr>
            </w:pPr>
          </w:p>
        </w:tc>
        <w:tc>
          <w:tcPr>
            <w:tcW w:w="2313" w:type="dxa"/>
          </w:tcPr>
          <w:p w14:paraId="5A61C68E" w14:textId="090417C5" w:rsidR="002E5737" w:rsidRPr="00082662" w:rsidRDefault="00041809" w:rsidP="00F50700">
            <w:pPr>
              <w:rPr>
                <w:rFonts w:ascii="Verdana" w:hAnsi="Verdana"/>
                <w:sz w:val="18"/>
                <w:szCs w:val="18"/>
                <w:lang w:val="bg-BG"/>
              </w:rPr>
            </w:pPr>
            <w:r>
              <w:rPr>
                <w:rFonts w:ascii="Verdana" w:hAnsi="Verdana"/>
                <w:sz w:val="18"/>
                <w:szCs w:val="18"/>
                <w:lang w:val="en"/>
              </w:rPr>
              <w:t>CCU</w:t>
            </w:r>
            <w:r w:rsidR="002E5737" w:rsidRPr="00082662">
              <w:rPr>
                <w:rFonts w:ascii="Verdana" w:hAnsi="Verdana"/>
                <w:sz w:val="18"/>
                <w:szCs w:val="18"/>
                <w:lang w:val="en"/>
              </w:rPr>
              <w:t xml:space="preserve"> </w:t>
            </w:r>
          </w:p>
          <w:p w14:paraId="740B193D" w14:textId="77777777" w:rsidR="002E5737" w:rsidRPr="00082662" w:rsidRDefault="002E5737" w:rsidP="00F50700">
            <w:pPr>
              <w:rPr>
                <w:rFonts w:ascii="Verdana" w:hAnsi="Verdana"/>
                <w:sz w:val="18"/>
                <w:szCs w:val="18"/>
                <w:lang w:val="bg-BG"/>
              </w:rPr>
            </w:pPr>
          </w:p>
          <w:p w14:paraId="68D42953" w14:textId="0E389DA0" w:rsidR="002E5737" w:rsidRDefault="002E5737" w:rsidP="00F50700">
            <w:pPr>
              <w:rPr>
                <w:rFonts w:ascii="Verdana" w:hAnsi="Verdana"/>
                <w:sz w:val="18"/>
                <w:szCs w:val="18"/>
                <w:lang w:val="bg-BG"/>
              </w:rPr>
            </w:pPr>
          </w:p>
          <w:p w14:paraId="2D03C9C9" w14:textId="0560E283" w:rsidR="00041809" w:rsidRDefault="00041809" w:rsidP="00F50700">
            <w:pPr>
              <w:rPr>
                <w:rFonts w:ascii="Verdana" w:hAnsi="Verdana"/>
                <w:sz w:val="18"/>
                <w:szCs w:val="18"/>
                <w:lang w:val="bg-BG"/>
              </w:rPr>
            </w:pPr>
          </w:p>
          <w:p w14:paraId="70DE81CC" w14:textId="23265085" w:rsidR="00041809" w:rsidRDefault="00041809" w:rsidP="00F50700">
            <w:pPr>
              <w:rPr>
                <w:rFonts w:ascii="Verdana" w:hAnsi="Verdana"/>
                <w:sz w:val="18"/>
                <w:szCs w:val="18"/>
                <w:lang w:val="bg-BG"/>
              </w:rPr>
            </w:pPr>
          </w:p>
          <w:p w14:paraId="0FEBB6E4" w14:textId="60D4019F" w:rsidR="00041809" w:rsidRDefault="00041809" w:rsidP="00F50700">
            <w:pPr>
              <w:rPr>
                <w:rFonts w:ascii="Verdana" w:hAnsi="Verdana"/>
                <w:sz w:val="18"/>
                <w:szCs w:val="18"/>
                <w:lang w:val="bg-BG"/>
              </w:rPr>
            </w:pPr>
          </w:p>
          <w:p w14:paraId="404F24D3" w14:textId="77777777" w:rsidR="00041809" w:rsidRPr="00082662" w:rsidRDefault="00041809" w:rsidP="00F50700">
            <w:pPr>
              <w:rPr>
                <w:rFonts w:ascii="Verdana" w:hAnsi="Verdana"/>
                <w:sz w:val="18"/>
                <w:szCs w:val="18"/>
                <w:lang w:val="bg-BG"/>
              </w:rPr>
            </w:pPr>
          </w:p>
          <w:p w14:paraId="2E425236" w14:textId="77777777" w:rsidR="002E5737" w:rsidRPr="00082662" w:rsidRDefault="002E5737" w:rsidP="00F50700">
            <w:pPr>
              <w:rPr>
                <w:rFonts w:ascii="Verdana" w:hAnsi="Verdana"/>
                <w:sz w:val="18"/>
                <w:szCs w:val="18"/>
                <w:lang w:val="bg-BG"/>
              </w:rPr>
            </w:pPr>
          </w:p>
          <w:p w14:paraId="41589B2A" w14:textId="77777777" w:rsidR="002E5737" w:rsidRPr="00082662" w:rsidRDefault="002E5737" w:rsidP="00F50700">
            <w:pPr>
              <w:rPr>
                <w:rFonts w:ascii="Verdana" w:hAnsi="Verdana"/>
                <w:sz w:val="18"/>
                <w:szCs w:val="18"/>
                <w:lang w:val="bg-BG"/>
              </w:rPr>
            </w:pPr>
          </w:p>
          <w:p w14:paraId="7F4560E9" w14:textId="77777777" w:rsidR="002E5737" w:rsidRPr="00082662" w:rsidRDefault="002E5737" w:rsidP="00F50700">
            <w:pPr>
              <w:rPr>
                <w:rFonts w:ascii="Verdana" w:hAnsi="Verdana"/>
                <w:sz w:val="18"/>
                <w:szCs w:val="18"/>
                <w:lang w:val="bg-BG"/>
              </w:rPr>
            </w:pPr>
            <w:r w:rsidRPr="00082662">
              <w:rPr>
                <w:rFonts w:ascii="Verdana" w:hAnsi="Verdana"/>
                <w:sz w:val="18"/>
                <w:szCs w:val="18"/>
                <w:lang w:val="en"/>
              </w:rPr>
              <w:t>Beneficiaries</w:t>
            </w:r>
          </w:p>
          <w:p w14:paraId="23A3D5DD" w14:textId="77777777" w:rsidR="002E5737" w:rsidRPr="00082662" w:rsidRDefault="002E5737" w:rsidP="00F50700">
            <w:pPr>
              <w:rPr>
                <w:rFonts w:ascii="Verdana" w:hAnsi="Verdana"/>
                <w:sz w:val="18"/>
                <w:szCs w:val="18"/>
                <w:lang w:val="bg-BG"/>
              </w:rPr>
            </w:pPr>
          </w:p>
          <w:p w14:paraId="5F5045A4" w14:textId="77777777" w:rsidR="002E5737" w:rsidRPr="00082662" w:rsidRDefault="002E5737" w:rsidP="00F50700">
            <w:pPr>
              <w:rPr>
                <w:rFonts w:ascii="Verdana" w:hAnsi="Verdana"/>
                <w:sz w:val="18"/>
                <w:szCs w:val="18"/>
                <w:lang w:val="bg-BG"/>
              </w:rPr>
            </w:pPr>
          </w:p>
          <w:p w14:paraId="258C93EC" w14:textId="77777777" w:rsidR="002E5737" w:rsidRPr="00082662" w:rsidRDefault="002E5737" w:rsidP="00F50700">
            <w:pPr>
              <w:rPr>
                <w:rFonts w:ascii="Verdana" w:hAnsi="Verdana"/>
                <w:sz w:val="18"/>
                <w:szCs w:val="18"/>
                <w:lang w:val="bg-BG"/>
              </w:rPr>
            </w:pPr>
          </w:p>
          <w:p w14:paraId="1D139B6E" w14:textId="77777777" w:rsidR="002E5737" w:rsidRPr="00082662" w:rsidRDefault="002E5737" w:rsidP="00F50700">
            <w:pPr>
              <w:rPr>
                <w:rFonts w:ascii="Verdana" w:hAnsi="Verdana"/>
                <w:sz w:val="18"/>
                <w:szCs w:val="18"/>
                <w:lang w:val="bg-BG"/>
              </w:rPr>
            </w:pPr>
          </w:p>
          <w:p w14:paraId="143E8482" w14:textId="77777777" w:rsidR="002E5737" w:rsidRPr="00082662" w:rsidRDefault="002E5737" w:rsidP="00F50700">
            <w:pPr>
              <w:rPr>
                <w:rFonts w:ascii="Verdana" w:hAnsi="Verdana"/>
                <w:sz w:val="18"/>
                <w:szCs w:val="18"/>
                <w:lang w:val="bg-BG"/>
              </w:rPr>
            </w:pPr>
          </w:p>
          <w:p w14:paraId="3D6E35E2" w14:textId="77777777" w:rsidR="002E5737" w:rsidRPr="00082662" w:rsidRDefault="002E5737" w:rsidP="00F50700">
            <w:pPr>
              <w:rPr>
                <w:rFonts w:ascii="Verdana" w:hAnsi="Verdana"/>
                <w:sz w:val="18"/>
                <w:szCs w:val="18"/>
                <w:lang w:val="bg-BG"/>
              </w:rPr>
            </w:pPr>
          </w:p>
          <w:p w14:paraId="481603F4" w14:textId="77777777" w:rsidR="002E5737" w:rsidRPr="00082662" w:rsidRDefault="002E5737" w:rsidP="00F50700">
            <w:pPr>
              <w:rPr>
                <w:rFonts w:ascii="Verdana" w:hAnsi="Verdana"/>
                <w:sz w:val="18"/>
                <w:szCs w:val="18"/>
                <w:lang w:val="bg-BG"/>
              </w:rPr>
            </w:pPr>
          </w:p>
          <w:p w14:paraId="0FA29437" w14:textId="77777777" w:rsidR="002E5737" w:rsidRPr="00082662" w:rsidRDefault="002E5737" w:rsidP="00F50700">
            <w:pPr>
              <w:rPr>
                <w:rFonts w:ascii="Verdana" w:hAnsi="Verdana"/>
                <w:sz w:val="18"/>
                <w:szCs w:val="18"/>
                <w:lang w:val="bg-BG"/>
              </w:rPr>
            </w:pPr>
          </w:p>
          <w:p w14:paraId="6B1CBD06" w14:textId="77777777" w:rsidR="002E5737" w:rsidRPr="00082662" w:rsidRDefault="002E5737" w:rsidP="00F50700">
            <w:pPr>
              <w:rPr>
                <w:rFonts w:ascii="Verdana" w:hAnsi="Verdana"/>
                <w:sz w:val="18"/>
                <w:szCs w:val="18"/>
                <w:lang w:val="bg-BG"/>
              </w:rPr>
            </w:pPr>
          </w:p>
          <w:p w14:paraId="488C6E1D" w14:textId="77777777" w:rsidR="002E5737" w:rsidRPr="00082662" w:rsidRDefault="002E5737" w:rsidP="00F50700">
            <w:pPr>
              <w:rPr>
                <w:rFonts w:ascii="Verdana" w:hAnsi="Verdana"/>
                <w:sz w:val="18"/>
                <w:szCs w:val="18"/>
                <w:lang w:val="bg-BG"/>
              </w:rPr>
            </w:pPr>
          </w:p>
          <w:p w14:paraId="4E692DC5" w14:textId="77777777" w:rsidR="002E5737" w:rsidRPr="00082662" w:rsidRDefault="002E5737" w:rsidP="00F50700">
            <w:pPr>
              <w:rPr>
                <w:rFonts w:ascii="Verdana" w:hAnsi="Verdana"/>
                <w:sz w:val="18"/>
                <w:szCs w:val="18"/>
                <w:lang w:val="bg-BG"/>
              </w:rPr>
            </w:pPr>
          </w:p>
          <w:p w14:paraId="340DB33D" w14:textId="77777777" w:rsidR="002E5737" w:rsidRPr="00082662" w:rsidRDefault="002E5737" w:rsidP="00F50700">
            <w:pPr>
              <w:rPr>
                <w:rFonts w:ascii="Verdana" w:hAnsi="Verdana"/>
                <w:sz w:val="18"/>
                <w:szCs w:val="18"/>
                <w:lang w:val="bg-BG"/>
              </w:rPr>
            </w:pPr>
            <w:r w:rsidRPr="00082662">
              <w:rPr>
                <w:rFonts w:ascii="Verdana" w:hAnsi="Verdana"/>
                <w:sz w:val="18"/>
                <w:szCs w:val="18"/>
                <w:lang w:val="en"/>
              </w:rPr>
              <w:t>Beneficiaries</w:t>
            </w:r>
          </w:p>
          <w:p w14:paraId="0CA1E861" w14:textId="77777777" w:rsidR="002E5737" w:rsidRPr="00082662" w:rsidRDefault="002E5737" w:rsidP="00F50700">
            <w:pPr>
              <w:ind w:left="720"/>
              <w:contextualSpacing/>
              <w:rPr>
                <w:rFonts w:ascii="Verdana" w:hAnsi="Verdana"/>
                <w:sz w:val="18"/>
                <w:szCs w:val="18"/>
                <w:lang w:val="bg-BG"/>
              </w:rPr>
            </w:pPr>
          </w:p>
        </w:tc>
        <w:tc>
          <w:tcPr>
            <w:tcW w:w="1675" w:type="dxa"/>
          </w:tcPr>
          <w:p w14:paraId="61618DC7" w14:textId="306F5AAB" w:rsidR="002E5737" w:rsidRPr="00082662" w:rsidRDefault="002E5737" w:rsidP="00F50700">
            <w:pPr>
              <w:rPr>
                <w:rFonts w:ascii="Verdana" w:hAnsi="Verdana"/>
                <w:sz w:val="18"/>
                <w:szCs w:val="18"/>
                <w:lang w:val="bg-BG"/>
              </w:rPr>
            </w:pPr>
            <w:r w:rsidRPr="00082662">
              <w:rPr>
                <w:rFonts w:ascii="Verdana" w:hAnsi="Verdana"/>
                <w:sz w:val="18"/>
                <w:szCs w:val="18"/>
                <w:lang w:val="en"/>
              </w:rPr>
              <w:t>2021-2</w:t>
            </w:r>
            <w:r w:rsidR="00041809">
              <w:rPr>
                <w:rFonts w:ascii="Verdana" w:hAnsi="Verdana"/>
                <w:sz w:val="18"/>
                <w:szCs w:val="18"/>
                <w:lang w:val="en"/>
              </w:rPr>
              <w:t>0</w:t>
            </w:r>
            <w:r w:rsidRPr="00082662">
              <w:rPr>
                <w:rFonts w:ascii="Verdana" w:hAnsi="Verdana"/>
                <w:sz w:val="18"/>
                <w:szCs w:val="18"/>
                <w:lang w:val="en"/>
              </w:rPr>
              <w:t>27</w:t>
            </w:r>
          </w:p>
          <w:p w14:paraId="768902CD" w14:textId="77777777" w:rsidR="002E5737" w:rsidRPr="00082662" w:rsidRDefault="002E5737" w:rsidP="00F50700">
            <w:pPr>
              <w:rPr>
                <w:rFonts w:ascii="Verdana" w:hAnsi="Verdana"/>
                <w:sz w:val="18"/>
                <w:szCs w:val="18"/>
                <w:lang w:val="bg-BG"/>
              </w:rPr>
            </w:pPr>
          </w:p>
          <w:p w14:paraId="013D67D1" w14:textId="77777777" w:rsidR="002E5737" w:rsidRPr="00082662" w:rsidRDefault="002E5737" w:rsidP="00F50700">
            <w:pPr>
              <w:rPr>
                <w:rFonts w:ascii="Verdana" w:hAnsi="Verdana"/>
                <w:sz w:val="18"/>
                <w:szCs w:val="18"/>
                <w:lang w:val="bg-BG"/>
              </w:rPr>
            </w:pPr>
          </w:p>
          <w:p w14:paraId="2BC45B6C" w14:textId="6A07D6A6" w:rsidR="002E5737" w:rsidRDefault="002E5737" w:rsidP="00F50700">
            <w:pPr>
              <w:rPr>
                <w:rFonts w:ascii="Verdana" w:hAnsi="Verdana"/>
                <w:sz w:val="18"/>
                <w:szCs w:val="18"/>
                <w:lang w:val="bg-BG"/>
              </w:rPr>
            </w:pPr>
          </w:p>
          <w:p w14:paraId="49C29F42" w14:textId="4A64719B" w:rsidR="00041809" w:rsidRDefault="00041809" w:rsidP="00F50700">
            <w:pPr>
              <w:rPr>
                <w:rFonts w:ascii="Verdana" w:hAnsi="Verdana"/>
                <w:sz w:val="18"/>
                <w:szCs w:val="18"/>
                <w:lang w:val="bg-BG"/>
              </w:rPr>
            </w:pPr>
          </w:p>
          <w:p w14:paraId="0A671DDB" w14:textId="30F1062B" w:rsidR="00041809" w:rsidRDefault="00041809" w:rsidP="00F50700">
            <w:pPr>
              <w:rPr>
                <w:rFonts w:ascii="Verdana" w:hAnsi="Verdana"/>
                <w:sz w:val="18"/>
                <w:szCs w:val="18"/>
                <w:lang w:val="bg-BG"/>
              </w:rPr>
            </w:pPr>
          </w:p>
          <w:p w14:paraId="29866E86" w14:textId="254AC86C" w:rsidR="00041809" w:rsidRDefault="00041809" w:rsidP="00F50700">
            <w:pPr>
              <w:rPr>
                <w:rFonts w:ascii="Verdana" w:hAnsi="Verdana"/>
                <w:sz w:val="18"/>
                <w:szCs w:val="18"/>
                <w:lang w:val="bg-BG"/>
              </w:rPr>
            </w:pPr>
          </w:p>
          <w:p w14:paraId="40F7A47C" w14:textId="77777777" w:rsidR="00041809" w:rsidRPr="00082662" w:rsidRDefault="00041809" w:rsidP="00F50700">
            <w:pPr>
              <w:rPr>
                <w:rFonts w:ascii="Verdana" w:hAnsi="Verdana"/>
                <w:sz w:val="18"/>
                <w:szCs w:val="18"/>
                <w:lang w:val="bg-BG"/>
              </w:rPr>
            </w:pPr>
          </w:p>
          <w:p w14:paraId="26F4154E" w14:textId="77777777" w:rsidR="002E5737" w:rsidRPr="00082662" w:rsidRDefault="002E5737" w:rsidP="00F50700">
            <w:pPr>
              <w:rPr>
                <w:rFonts w:ascii="Verdana" w:hAnsi="Verdana"/>
                <w:sz w:val="18"/>
                <w:szCs w:val="18"/>
                <w:lang w:val="bg-BG"/>
              </w:rPr>
            </w:pPr>
          </w:p>
          <w:p w14:paraId="7CE212DB" w14:textId="77777777" w:rsidR="002E5737" w:rsidRPr="00082662" w:rsidRDefault="002E5737" w:rsidP="00F50700">
            <w:pPr>
              <w:rPr>
                <w:rFonts w:ascii="Verdana" w:hAnsi="Verdana"/>
                <w:sz w:val="18"/>
                <w:szCs w:val="18"/>
                <w:lang w:val="bg-BG"/>
              </w:rPr>
            </w:pPr>
            <w:r w:rsidRPr="00082662">
              <w:rPr>
                <w:rFonts w:ascii="Verdana" w:hAnsi="Verdana"/>
                <w:sz w:val="18"/>
                <w:szCs w:val="18"/>
                <w:lang w:val="en"/>
              </w:rPr>
              <w:t>2014-2020</w:t>
            </w:r>
          </w:p>
          <w:p w14:paraId="07FA68FD" w14:textId="77777777" w:rsidR="002E5737" w:rsidRPr="00082662" w:rsidRDefault="002E5737" w:rsidP="00F50700">
            <w:pPr>
              <w:rPr>
                <w:rFonts w:ascii="Verdana" w:hAnsi="Verdana"/>
                <w:sz w:val="18"/>
                <w:szCs w:val="18"/>
                <w:lang w:val="bg-BG"/>
              </w:rPr>
            </w:pPr>
            <w:r w:rsidRPr="00082662">
              <w:rPr>
                <w:rFonts w:ascii="Verdana" w:hAnsi="Verdana"/>
                <w:sz w:val="18"/>
                <w:szCs w:val="18"/>
                <w:lang w:val="en"/>
              </w:rPr>
              <w:t>2021-2027</w:t>
            </w:r>
          </w:p>
          <w:p w14:paraId="2C9A72BA" w14:textId="77777777" w:rsidR="002E5737" w:rsidRPr="00082662" w:rsidRDefault="002E5737" w:rsidP="00F50700">
            <w:pPr>
              <w:rPr>
                <w:rFonts w:ascii="Verdana" w:hAnsi="Verdana"/>
                <w:sz w:val="18"/>
                <w:szCs w:val="18"/>
                <w:lang w:val="bg-BG"/>
              </w:rPr>
            </w:pPr>
          </w:p>
          <w:p w14:paraId="3C30019E" w14:textId="77777777" w:rsidR="002E5737" w:rsidRPr="00082662" w:rsidRDefault="002E5737" w:rsidP="00F50700">
            <w:pPr>
              <w:rPr>
                <w:rFonts w:ascii="Verdana" w:hAnsi="Verdana"/>
                <w:sz w:val="18"/>
                <w:szCs w:val="18"/>
                <w:lang w:val="bg-BG"/>
              </w:rPr>
            </w:pPr>
          </w:p>
          <w:p w14:paraId="654A47EA" w14:textId="77777777" w:rsidR="002E5737" w:rsidRPr="00082662" w:rsidRDefault="002E5737" w:rsidP="00F50700">
            <w:pPr>
              <w:rPr>
                <w:rFonts w:ascii="Verdana" w:hAnsi="Verdana"/>
                <w:sz w:val="18"/>
                <w:szCs w:val="18"/>
                <w:lang w:val="bg-BG"/>
              </w:rPr>
            </w:pPr>
          </w:p>
          <w:p w14:paraId="6DB5B791" w14:textId="776E0D4C" w:rsidR="002E5737" w:rsidRDefault="002E5737" w:rsidP="00F50700">
            <w:pPr>
              <w:rPr>
                <w:rFonts w:ascii="Verdana" w:hAnsi="Verdana"/>
                <w:sz w:val="18"/>
                <w:szCs w:val="18"/>
                <w:lang w:val="bg-BG"/>
              </w:rPr>
            </w:pPr>
          </w:p>
          <w:p w14:paraId="54011E29" w14:textId="49EEE6FB" w:rsidR="00041809" w:rsidRDefault="00041809" w:rsidP="00F50700">
            <w:pPr>
              <w:rPr>
                <w:rFonts w:ascii="Verdana" w:hAnsi="Verdana"/>
                <w:sz w:val="18"/>
                <w:szCs w:val="18"/>
                <w:lang w:val="bg-BG"/>
              </w:rPr>
            </w:pPr>
          </w:p>
          <w:p w14:paraId="6D200E16" w14:textId="01C95935" w:rsidR="00041809" w:rsidRDefault="00041809" w:rsidP="00F50700">
            <w:pPr>
              <w:rPr>
                <w:rFonts w:ascii="Verdana" w:hAnsi="Verdana"/>
                <w:sz w:val="18"/>
                <w:szCs w:val="18"/>
                <w:lang w:val="bg-BG"/>
              </w:rPr>
            </w:pPr>
          </w:p>
          <w:p w14:paraId="246FF96F" w14:textId="76C0CD1F" w:rsidR="00041809" w:rsidRDefault="00041809" w:rsidP="00F50700">
            <w:pPr>
              <w:rPr>
                <w:rFonts w:ascii="Verdana" w:hAnsi="Verdana"/>
                <w:sz w:val="18"/>
                <w:szCs w:val="18"/>
                <w:lang w:val="bg-BG"/>
              </w:rPr>
            </w:pPr>
          </w:p>
          <w:p w14:paraId="5D8A1F23" w14:textId="16D96BBE" w:rsidR="00041809" w:rsidRDefault="00041809" w:rsidP="00F50700">
            <w:pPr>
              <w:rPr>
                <w:rFonts w:ascii="Verdana" w:hAnsi="Verdana"/>
                <w:sz w:val="18"/>
                <w:szCs w:val="18"/>
                <w:lang w:val="bg-BG"/>
              </w:rPr>
            </w:pPr>
          </w:p>
          <w:p w14:paraId="2E070C53" w14:textId="77777777" w:rsidR="00041809" w:rsidRPr="00082662" w:rsidRDefault="00041809" w:rsidP="00F50700">
            <w:pPr>
              <w:rPr>
                <w:rFonts w:ascii="Verdana" w:hAnsi="Verdana"/>
                <w:sz w:val="18"/>
                <w:szCs w:val="18"/>
                <w:lang w:val="bg-BG"/>
              </w:rPr>
            </w:pPr>
          </w:p>
          <w:p w14:paraId="6F503487" w14:textId="77777777" w:rsidR="002E5737" w:rsidRPr="00082662" w:rsidRDefault="002E5737" w:rsidP="00F50700">
            <w:pPr>
              <w:rPr>
                <w:rFonts w:ascii="Verdana" w:hAnsi="Verdana"/>
                <w:sz w:val="18"/>
                <w:szCs w:val="18"/>
                <w:lang w:val="bg-BG"/>
              </w:rPr>
            </w:pPr>
          </w:p>
          <w:p w14:paraId="72FC0CCF" w14:textId="77777777" w:rsidR="002E5737" w:rsidRPr="00082662" w:rsidRDefault="002E5737" w:rsidP="00F50700">
            <w:pPr>
              <w:rPr>
                <w:rFonts w:ascii="Verdana" w:hAnsi="Verdana"/>
                <w:sz w:val="18"/>
                <w:szCs w:val="18"/>
                <w:lang w:val="bg-BG"/>
              </w:rPr>
            </w:pPr>
            <w:r w:rsidRPr="00082662">
              <w:rPr>
                <w:rFonts w:ascii="Verdana" w:hAnsi="Verdana"/>
                <w:sz w:val="18"/>
                <w:szCs w:val="18"/>
                <w:lang w:val="en"/>
              </w:rPr>
              <w:t>2014-2020</w:t>
            </w:r>
          </w:p>
          <w:p w14:paraId="4A846573" w14:textId="77777777" w:rsidR="002E5737" w:rsidRPr="00082662" w:rsidRDefault="002E5737" w:rsidP="00F50700">
            <w:pPr>
              <w:rPr>
                <w:rFonts w:ascii="Verdana" w:hAnsi="Verdana"/>
                <w:sz w:val="18"/>
                <w:szCs w:val="18"/>
                <w:lang w:val="bg-BG"/>
              </w:rPr>
            </w:pPr>
            <w:r w:rsidRPr="00082662">
              <w:rPr>
                <w:rFonts w:ascii="Verdana" w:hAnsi="Verdana"/>
                <w:sz w:val="18"/>
                <w:szCs w:val="18"/>
                <w:lang w:val="en"/>
              </w:rPr>
              <w:t>2021-2027</w:t>
            </w:r>
          </w:p>
          <w:p w14:paraId="5434B72E" w14:textId="77777777" w:rsidR="002E5737" w:rsidRPr="00082662" w:rsidRDefault="002E5737" w:rsidP="00F50700">
            <w:pPr>
              <w:rPr>
                <w:rFonts w:ascii="Verdana" w:hAnsi="Verdana"/>
                <w:sz w:val="18"/>
                <w:szCs w:val="18"/>
                <w:lang w:val="bg-BG"/>
              </w:rPr>
            </w:pPr>
          </w:p>
        </w:tc>
      </w:tr>
      <w:bookmarkEnd w:id="128"/>
    </w:tbl>
    <w:p w14:paraId="2B0AB154" w14:textId="15547DE6" w:rsidR="009F2782" w:rsidRPr="00F50700" w:rsidRDefault="009F2782" w:rsidP="005E456F">
      <w:pPr>
        <w:jc w:val="both"/>
        <w:rPr>
          <w:rFonts w:ascii="Verdana" w:hAnsi="Verdana"/>
          <w:i/>
          <w:iCs/>
          <w:sz w:val="20"/>
          <w:szCs w:val="20"/>
          <w:lang w:val="bg-BG"/>
        </w:rPr>
        <w:sectPr w:rsidR="009F2782" w:rsidRPr="00F50700" w:rsidSect="00293B1E">
          <w:pgSz w:w="16838" w:h="11906" w:orient="landscape"/>
          <w:pgMar w:top="1411" w:right="1411" w:bottom="1411" w:left="1411" w:header="706" w:footer="706" w:gutter="0"/>
          <w:cols w:space="708"/>
          <w:docGrid w:linePitch="360"/>
        </w:sectPr>
      </w:pPr>
    </w:p>
    <w:p w14:paraId="62BD031E" w14:textId="3AB44A64" w:rsidR="006F753C" w:rsidRPr="00F50700" w:rsidRDefault="0054654A" w:rsidP="005334E2">
      <w:pPr>
        <w:pStyle w:val="Heading1"/>
        <w:numPr>
          <w:ilvl w:val="0"/>
          <w:numId w:val="58"/>
        </w:numPr>
        <w:spacing w:before="120" w:after="120" w:line="240" w:lineRule="auto"/>
        <w:jc w:val="both"/>
        <w:rPr>
          <w:rFonts w:ascii="Verdana" w:eastAsia="Helvetica" w:hAnsi="Verdana" w:cs="Helvetica"/>
          <w:b/>
          <w:bCs/>
          <w:sz w:val="20"/>
          <w:szCs w:val="20"/>
          <w:lang w:val="bg-BG"/>
        </w:rPr>
      </w:pPr>
      <w:bookmarkStart w:id="129" w:name="_Toc62724405"/>
      <w:r>
        <w:rPr>
          <w:rFonts w:ascii="Verdana" w:hAnsi="Verdana"/>
          <w:b/>
          <w:bCs/>
          <w:sz w:val="20"/>
          <w:szCs w:val="20"/>
          <w:lang w:val="en"/>
        </w:rPr>
        <w:lastRenderedPageBreak/>
        <w:t>EVALUATOR’S TEAM</w:t>
      </w:r>
      <w:bookmarkEnd w:id="129"/>
    </w:p>
    <w:p w14:paraId="09442601" w14:textId="77777777" w:rsidR="006F753C" w:rsidRPr="00F50700" w:rsidRDefault="006F753C" w:rsidP="006F753C">
      <w:pPr>
        <w:pStyle w:val="ListParagraph"/>
        <w:autoSpaceDE w:val="0"/>
        <w:autoSpaceDN w:val="0"/>
        <w:adjustRightInd w:val="0"/>
        <w:spacing w:before="120" w:after="120" w:line="240" w:lineRule="auto"/>
        <w:ind w:left="1080"/>
        <w:jc w:val="both"/>
        <w:rPr>
          <w:rFonts w:ascii="Verdana" w:eastAsia="Helvetica" w:hAnsi="Verdana" w:cs="Helvetica"/>
          <w:sz w:val="20"/>
          <w:szCs w:val="20"/>
          <w:lang w:val="bg-BG"/>
        </w:rPr>
      </w:pPr>
    </w:p>
    <w:p w14:paraId="0C8A7541" w14:textId="736E0F62" w:rsidR="006C49C7" w:rsidRPr="001C40A0" w:rsidRDefault="006C49C7" w:rsidP="006C49C7">
      <w:pPr>
        <w:pStyle w:val="Caption"/>
        <w:keepNext/>
        <w:rPr>
          <w:rFonts w:ascii="Verdana" w:hAnsi="Verdana"/>
          <w:b/>
          <w:bCs/>
          <w:sz w:val="20"/>
          <w:szCs w:val="20"/>
        </w:rPr>
      </w:pPr>
      <w:bookmarkStart w:id="130" w:name="_Toc62724738"/>
      <w:r w:rsidRPr="001C40A0">
        <w:rPr>
          <w:rFonts w:ascii="Verdana" w:hAnsi="Verdana"/>
          <w:b/>
          <w:bCs/>
          <w:sz w:val="20"/>
          <w:szCs w:val="20"/>
        </w:rPr>
        <w:t xml:space="preserve">Table </w:t>
      </w:r>
      <w:r w:rsidR="002A60EF">
        <w:rPr>
          <w:rFonts w:ascii="Verdana" w:hAnsi="Verdana"/>
          <w:b/>
          <w:bCs/>
          <w:sz w:val="20"/>
          <w:szCs w:val="20"/>
        </w:rPr>
        <w:fldChar w:fldCharType="begin"/>
      </w:r>
      <w:r w:rsidR="002A60EF">
        <w:rPr>
          <w:rFonts w:ascii="Verdana" w:hAnsi="Verdana"/>
          <w:b/>
          <w:bCs/>
          <w:sz w:val="20"/>
          <w:szCs w:val="20"/>
        </w:rPr>
        <w:instrText xml:space="preserve"> STYLEREF 1 \s </w:instrText>
      </w:r>
      <w:r w:rsidR="002A60EF">
        <w:rPr>
          <w:rFonts w:ascii="Verdana" w:hAnsi="Verdana"/>
          <w:b/>
          <w:bCs/>
          <w:sz w:val="20"/>
          <w:szCs w:val="20"/>
        </w:rPr>
        <w:fldChar w:fldCharType="separate"/>
      </w:r>
      <w:r w:rsidR="002A60EF">
        <w:rPr>
          <w:rFonts w:ascii="Verdana" w:hAnsi="Verdana"/>
          <w:b/>
          <w:bCs/>
          <w:noProof/>
          <w:sz w:val="20"/>
          <w:szCs w:val="20"/>
        </w:rPr>
        <w:t>VII</w:t>
      </w:r>
      <w:r w:rsidR="002A60EF">
        <w:rPr>
          <w:rFonts w:ascii="Verdana" w:hAnsi="Verdana"/>
          <w:b/>
          <w:bCs/>
          <w:sz w:val="20"/>
          <w:szCs w:val="20"/>
        </w:rPr>
        <w:fldChar w:fldCharType="end"/>
      </w:r>
      <w:r w:rsidR="002A60EF">
        <w:rPr>
          <w:rFonts w:ascii="Verdana" w:hAnsi="Verdana"/>
          <w:b/>
          <w:bCs/>
          <w:sz w:val="20"/>
          <w:szCs w:val="20"/>
        </w:rPr>
        <w:noBreakHyphen/>
      </w:r>
      <w:r w:rsidR="002A60EF">
        <w:rPr>
          <w:rFonts w:ascii="Verdana" w:hAnsi="Verdana"/>
          <w:b/>
          <w:bCs/>
          <w:sz w:val="20"/>
          <w:szCs w:val="20"/>
        </w:rPr>
        <w:fldChar w:fldCharType="begin"/>
      </w:r>
      <w:r w:rsidR="002A60EF">
        <w:rPr>
          <w:rFonts w:ascii="Verdana" w:hAnsi="Verdana"/>
          <w:b/>
          <w:bCs/>
          <w:sz w:val="20"/>
          <w:szCs w:val="20"/>
        </w:rPr>
        <w:instrText xml:space="preserve"> SEQ Table \* ARABIC \s 1 </w:instrText>
      </w:r>
      <w:r w:rsidR="002A60EF">
        <w:rPr>
          <w:rFonts w:ascii="Verdana" w:hAnsi="Verdana"/>
          <w:b/>
          <w:bCs/>
          <w:sz w:val="20"/>
          <w:szCs w:val="20"/>
        </w:rPr>
        <w:fldChar w:fldCharType="separate"/>
      </w:r>
      <w:r w:rsidR="002A60EF">
        <w:rPr>
          <w:rFonts w:ascii="Verdana" w:hAnsi="Verdana"/>
          <w:b/>
          <w:bCs/>
          <w:noProof/>
          <w:sz w:val="20"/>
          <w:szCs w:val="20"/>
        </w:rPr>
        <w:t>1</w:t>
      </w:r>
      <w:r w:rsidR="002A60EF">
        <w:rPr>
          <w:rFonts w:ascii="Verdana" w:hAnsi="Verdana"/>
          <w:b/>
          <w:bCs/>
          <w:sz w:val="20"/>
          <w:szCs w:val="20"/>
        </w:rPr>
        <w:fldChar w:fldCharType="end"/>
      </w:r>
      <w:r w:rsidRPr="001C40A0">
        <w:rPr>
          <w:rFonts w:ascii="Verdana" w:hAnsi="Verdana"/>
          <w:b/>
          <w:bCs/>
          <w:sz w:val="20"/>
          <w:szCs w:val="20"/>
        </w:rPr>
        <w:t>: Experts</w:t>
      </w:r>
      <w:bookmarkEnd w:id="130"/>
    </w:p>
    <w:tbl>
      <w:tblPr>
        <w:tblStyle w:val="GridTable4-Accent1"/>
        <w:tblW w:w="4716" w:type="pct"/>
        <w:jc w:val="center"/>
        <w:tblBorders>
          <w:top w:val="double" w:sz="4" w:space="0" w:color="6A84BE"/>
          <w:left w:val="double" w:sz="4" w:space="0" w:color="6A84BE"/>
          <w:bottom w:val="double" w:sz="4" w:space="0" w:color="6A84BE"/>
          <w:right w:val="double" w:sz="4" w:space="0" w:color="6A84BE"/>
          <w:insideH w:val="single" w:sz="6" w:space="0" w:color="6A84BE"/>
          <w:insideV w:val="single" w:sz="6" w:space="0" w:color="6A84BE"/>
        </w:tblBorders>
        <w:tblLook w:val="04A0" w:firstRow="1" w:lastRow="0" w:firstColumn="1" w:lastColumn="0" w:noHBand="0" w:noVBand="1"/>
      </w:tblPr>
      <w:tblGrid>
        <w:gridCol w:w="3525"/>
        <w:gridCol w:w="5003"/>
      </w:tblGrid>
      <w:tr w:rsidR="006F753C" w:rsidRPr="00F50700" w14:paraId="1BCD89DC" w14:textId="77777777" w:rsidTr="00960379">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067" w:type="pct"/>
            <w:tcBorders>
              <w:top w:val="none" w:sz="0" w:space="0" w:color="auto"/>
              <w:left w:val="none" w:sz="0" w:space="0" w:color="auto"/>
              <w:bottom w:val="none" w:sz="0" w:space="0" w:color="auto"/>
              <w:right w:val="none" w:sz="0" w:space="0" w:color="auto"/>
            </w:tcBorders>
            <w:shd w:val="clear" w:color="auto" w:fill="374C80" w:themeFill="accent1" w:themeFillShade="BF"/>
            <w:hideMark/>
          </w:tcPr>
          <w:p w14:paraId="093F18E6" w14:textId="77777777" w:rsidR="006F753C" w:rsidRPr="00F50700" w:rsidRDefault="006F753C" w:rsidP="006F753C">
            <w:pPr>
              <w:jc w:val="center"/>
              <w:rPr>
                <w:rFonts w:ascii="Verdana" w:hAnsi="Verdana"/>
                <w:smallCaps/>
                <w:color w:val="FFFFFF"/>
                <w:sz w:val="20"/>
                <w:szCs w:val="20"/>
              </w:rPr>
            </w:pPr>
          </w:p>
          <w:p w14:paraId="07861111" w14:textId="0BF0D75D" w:rsidR="006F753C" w:rsidRPr="00F50700" w:rsidRDefault="006F753C" w:rsidP="006F753C">
            <w:pPr>
              <w:jc w:val="center"/>
              <w:rPr>
                <w:rFonts w:ascii="Verdana" w:hAnsi="Verdana"/>
                <w:smallCaps/>
                <w:color w:val="FFFFFF"/>
                <w:sz w:val="20"/>
                <w:szCs w:val="20"/>
              </w:rPr>
            </w:pPr>
            <w:r w:rsidRPr="00F50700">
              <w:rPr>
                <w:rFonts w:ascii="Verdana" w:hAnsi="Verdana"/>
                <w:smallCaps/>
                <w:color w:val="FFFFFF"/>
                <w:sz w:val="20"/>
                <w:szCs w:val="20"/>
                <w:lang w:val="en"/>
              </w:rPr>
              <w:t>Expert Name</w:t>
            </w:r>
          </w:p>
          <w:p w14:paraId="3182C6BB" w14:textId="77777777" w:rsidR="006F753C" w:rsidRPr="00F50700" w:rsidRDefault="006F753C" w:rsidP="006F753C">
            <w:pPr>
              <w:jc w:val="center"/>
              <w:rPr>
                <w:rFonts w:ascii="Verdana" w:hAnsi="Verdana"/>
                <w:smallCaps/>
                <w:color w:val="FFFFFF"/>
                <w:sz w:val="20"/>
                <w:szCs w:val="20"/>
              </w:rPr>
            </w:pPr>
          </w:p>
          <w:p w14:paraId="1672AA77" w14:textId="29DC67C7" w:rsidR="006F753C" w:rsidRPr="00F50700" w:rsidRDefault="006F753C" w:rsidP="006F753C">
            <w:pPr>
              <w:jc w:val="center"/>
              <w:rPr>
                <w:rFonts w:ascii="Verdana" w:hAnsi="Verdana"/>
                <w:smallCaps/>
                <w:color w:val="FFFFFF"/>
                <w:sz w:val="20"/>
                <w:szCs w:val="20"/>
              </w:rPr>
            </w:pPr>
          </w:p>
        </w:tc>
        <w:tc>
          <w:tcPr>
            <w:tcW w:w="2933" w:type="pct"/>
            <w:tcBorders>
              <w:top w:val="none" w:sz="0" w:space="0" w:color="auto"/>
              <w:left w:val="none" w:sz="0" w:space="0" w:color="auto"/>
              <w:bottom w:val="none" w:sz="0" w:space="0" w:color="auto"/>
              <w:right w:val="none" w:sz="0" w:space="0" w:color="auto"/>
            </w:tcBorders>
            <w:shd w:val="clear" w:color="auto" w:fill="374C80" w:themeFill="accent1" w:themeFillShade="BF"/>
            <w:hideMark/>
          </w:tcPr>
          <w:p w14:paraId="34214601" w14:textId="77777777" w:rsidR="006F753C" w:rsidRPr="00F50700" w:rsidRDefault="006F753C" w:rsidP="006F753C">
            <w:pPr>
              <w:jc w:val="center"/>
              <w:cnfStyle w:val="100000000000" w:firstRow="1" w:lastRow="0" w:firstColumn="0" w:lastColumn="0" w:oddVBand="0" w:evenVBand="0" w:oddHBand="0" w:evenHBand="0" w:firstRowFirstColumn="0" w:firstRowLastColumn="0" w:lastRowFirstColumn="0" w:lastRowLastColumn="0"/>
              <w:rPr>
                <w:rFonts w:ascii="Verdana" w:hAnsi="Verdana"/>
                <w:smallCaps/>
                <w:color w:val="FFFFFF"/>
                <w:sz w:val="20"/>
                <w:szCs w:val="20"/>
              </w:rPr>
            </w:pPr>
          </w:p>
          <w:p w14:paraId="48025040" w14:textId="0BF43EFE" w:rsidR="006F753C" w:rsidRPr="00F50700" w:rsidRDefault="006F753C" w:rsidP="006F753C">
            <w:pPr>
              <w:jc w:val="center"/>
              <w:cnfStyle w:val="100000000000" w:firstRow="1" w:lastRow="0" w:firstColumn="0" w:lastColumn="0" w:oddVBand="0" w:evenVBand="0" w:oddHBand="0" w:evenHBand="0" w:firstRowFirstColumn="0" w:firstRowLastColumn="0" w:lastRowFirstColumn="0" w:lastRowLastColumn="0"/>
              <w:rPr>
                <w:rFonts w:ascii="Verdana" w:hAnsi="Verdana"/>
                <w:smallCaps/>
                <w:color w:val="FFFFFF"/>
                <w:sz w:val="20"/>
                <w:szCs w:val="20"/>
              </w:rPr>
            </w:pPr>
            <w:r w:rsidRPr="00F50700">
              <w:rPr>
                <w:rFonts w:ascii="Verdana" w:hAnsi="Verdana"/>
                <w:smallCaps/>
                <w:color w:val="FFFFFF"/>
                <w:sz w:val="20"/>
                <w:szCs w:val="20"/>
                <w:lang w:val="en"/>
              </w:rPr>
              <w:t>Position</w:t>
            </w:r>
          </w:p>
        </w:tc>
      </w:tr>
      <w:tr w:rsidR="006F753C" w:rsidRPr="00F50700" w14:paraId="5FED61A5" w14:textId="77777777" w:rsidTr="00960379">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067" w:type="pct"/>
            <w:hideMark/>
          </w:tcPr>
          <w:p w14:paraId="372E71E6" w14:textId="644D98D3" w:rsidR="006F753C" w:rsidRPr="00F50700" w:rsidRDefault="006F753C" w:rsidP="006F753C">
            <w:pPr>
              <w:jc w:val="both"/>
              <w:rPr>
                <w:rFonts w:ascii="Verdana" w:hAnsi="Verdana"/>
                <w:sz w:val="20"/>
                <w:szCs w:val="20"/>
              </w:rPr>
            </w:pPr>
            <w:r w:rsidRPr="00F50700">
              <w:rPr>
                <w:rFonts w:ascii="Verdana" w:hAnsi="Verdana"/>
                <w:sz w:val="20"/>
                <w:szCs w:val="20"/>
                <w:lang w:val="en"/>
              </w:rPr>
              <w:t>Ralitsa Ganeva</w:t>
            </w:r>
          </w:p>
        </w:tc>
        <w:tc>
          <w:tcPr>
            <w:tcW w:w="2933" w:type="pct"/>
            <w:hideMark/>
          </w:tcPr>
          <w:p w14:paraId="0BD44825" w14:textId="77777777" w:rsidR="006F753C" w:rsidRPr="00F50700" w:rsidRDefault="006F753C" w:rsidP="006F753C">
            <w:pPr>
              <w:jc w:val="both"/>
              <w:cnfStyle w:val="000000100000" w:firstRow="0" w:lastRow="0" w:firstColumn="0" w:lastColumn="0" w:oddVBand="0" w:evenVBand="0" w:oddHBand="1" w:evenHBand="0" w:firstRowFirstColumn="0" w:firstRowLastColumn="0" w:lastRowFirstColumn="0" w:lastRowLastColumn="0"/>
              <w:rPr>
                <w:rFonts w:ascii="Verdana" w:hAnsi="Verdana"/>
                <w:sz w:val="20"/>
                <w:szCs w:val="20"/>
              </w:rPr>
            </w:pPr>
            <w:r w:rsidRPr="00F50700">
              <w:rPr>
                <w:rFonts w:ascii="Verdana" w:hAnsi="Verdana"/>
                <w:sz w:val="20"/>
                <w:szCs w:val="20"/>
                <w:lang w:val="en"/>
              </w:rPr>
              <w:t>Key expert</w:t>
            </w:r>
          </w:p>
          <w:p w14:paraId="69E060C5" w14:textId="77777777" w:rsidR="006F753C" w:rsidRPr="00F50700" w:rsidRDefault="006F753C" w:rsidP="006F753C">
            <w:pPr>
              <w:jc w:val="both"/>
              <w:cnfStyle w:val="000000100000" w:firstRow="0" w:lastRow="0" w:firstColumn="0" w:lastColumn="0" w:oddVBand="0" w:evenVBand="0" w:oddHBand="1" w:evenHBand="0" w:firstRowFirstColumn="0" w:firstRowLastColumn="0" w:lastRowFirstColumn="0" w:lastRowLastColumn="0"/>
              <w:rPr>
                <w:rFonts w:ascii="Verdana" w:hAnsi="Verdana"/>
                <w:sz w:val="20"/>
                <w:szCs w:val="20"/>
              </w:rPr>
            </w:pPr>
            <w:r w:rsidRPr="00F50700">
              <w:rPr>
                <w:rFonts w:ascii="Verdana" w:hAnsi="Verdana"/>
                <w:sz w:val="20"/>
                <w:szCs w:val="20"/>
                <w:lang w:val="en"/>
              </w:rPr>
              <w:t>Team leader</w:t>
            </w:r>
          </w:p>
        </w:tc>
      </w:tr>
      <w:tr w:rsidR="006F753C" w:rsidRPr="00F50700" w14:paraId="1BA8623D" w14:textId="77777777" w:rsidTr="00960379">
        <w:trPr>
          <w:jc w:val="center"/>
        </w:trPr>
        <w:tc>
          <w:tcPr>
            <w:cnfStyle w:val="001000000000" w:firstRow="0" w:lastRow="0" w:firstColumn="1" w:lastColumn="0" w:oddVBand="0" w:evenVBand="0" w:oddHBand="0" w:evenHBand="0" w:firstRowFirstColumn="0" w:firstRowLastColumn="0" w:lastRowFirstColumn="0" w:lastRowLastColumn="0"/>
            <w:tcW w:w="2067" w:type="pct"/>
            <w:hideMark/>
          </w:tcPr>
          <w:p w14:paraId="30C7EF5A" w14:textId="77777777" w:rsidR="006F753C" w:rsidRPr="00F50700" w:rsidRDefault="006F753C" w:rsidP="006F753C">
            <w:pPr>
              <w:rPr>
                <w:rFonts w:ascii="Verdana" w:hAnsi="Verdana"/>
                <w:sz w:val="20"/>
                <w:szCs w:val="20"/>
              </w:rPr>
            </w:pPr>
            <w:r w:rsidRPr="00F50700">
              <w:rPr>
                <w:rFonts w:ascii="Verdana" w:hAnsi="Verdana"/>
                <w:sz w:val="20"/>
                <w:szCs w:val="20"/>
                <w:lang w:val="en"/>
              </w:rPr>
              <w:t>Daniel Bogdanov</w:t>
            </w:r>
          </w:p>
        </w:tc>
        <w:tc>
          <w:tcPr>
            <w:tcW w:w="2933" w:type="pct"/>
            <w:hideMark/>
          </w:tcPr>
          <w:p w14:paraId="01362591" w14:textId="77777777" w:rsidR="006F753C" w:rsidRPr="00F50700" w:rsidRDefault="006F753C" w:rsidP="006F753C">
            <w:pPr>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sidRPr="00F50700">
              <w:rPr>
                <w:rFonts w:ascii="Verdana" w:hAnsi="Verdana"/>
                <w:sz w:val="20"/>
                <w:szCs w:val="20"/>
                <w:lang w:val="en"/>
              </w:rPr>
              <w:t>Key expert</w:t>
            </w:r>
          </w:p>
          <w:p w14:paraId="154BE54C" w14:textId="77777777" w:rsidR="006F753C" w:rsidRPr="00F50700" w:rsidRDefault="006F753C" w:rsidP="006F753C">
            <w:pPr>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sidRPr="00F50700">
              <w:rPr>
                <w:rFonts w:ascii="Verdana" w:hAnsi="Verdana"/>
                <w:sz w:val="20"/>
                <w:szCs w:val="20"/>
                <w:lang w:val="en"/>
              </w:rPr>
              <w:t>Monitoring expert</w:t>
            </w:r>
          </w:p>
        </w:tc>
      </w:tr>
      <w:tr w:rsidR="006F753C" w:rsidRPr="00F50700" w14:paraId="4AFFB59A" w14:textId="77777777" w:rsidTr="00960379">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067" w:type="pct"/>
            <w:hideMark/>
          </w:tcPr>
          <w:p w14:paraId="25CD8408" w14:textId="1A16FD17" w:rsidR="006F753C" w:rsidRPr="00F50700" w:rsidRDefault="006F753C" w:rsidP="006F753C">
            <w:pPr>
              <w:rPr>
                <w:rFonts w:ascii="Verdana" w:hAnsi="Verdana"/>
                <w:sz w:val="20"/>
                <w:szCs w:val="20"/>
              </w:rPr>
            </w:pPr>
            <w:r w:rsidRPr="00F50700">
              <w:rPr>
                <w:rFonts w:ascii="Verdana" w:hAnsi="Verdana"/>
                <w:sz w:val="20"/>
                <w:szCs w:val="20"/>
                <w:lang w:val="en"/>
              </w:rPr>
              <w:t>Julia Spirid</w:t>
            </w:r>
            <w:r w:rsidR="005C5141">
              <w:rPr>
                <w:rFonts w:ascii="Verdana" w:hAnsi="Verdana"/>
                <w:sz w:val="20"/>
                <w:szCs w:val="20"/>
                <w:lang w:val="en"/>
              </w:rPr>
              <w:t>onova</w:t>
            </w:r>
          </w:p>
        </w:tc>
        <w:tc>
          <w:tcPr>
            <w:tcW w:w="2933" w:type="pct"/>
            <w:hideMark/>
          </w:tcPr>
          <w:p w14:paraId="584EFC23" w14:textId="77777777" w:rsidR="006F753C" w:rsidRPr="00F50700" w:rsidRDefault="006F753C" w:rsidP="006F753C">
            <w:pPr>
              <w:cnfStyle w:val="000000100000" w:firstRow="0" w:lastRow="0" w:firstColumn="0" w:lastColumn="0" w:oddVBand="0" w:evenVBand="0" w:oddHBand="1" w:evenHBand="0" w:firstRowFirstColumn="0" w:firstRowLastColumn="0" w:lastRowFirstColumn="0" w:lastRowLastColumn="0"/>
              <w:rPr>
                <w:rFonts w:ascii="Verdana" w:hAnsi="Verdana"/>
                <w:sz w:val="20"/>
                <w:szCs w:val="20"/>
              </w:rPr>
            </w:pPr>
            <w:r w:rsidRPr="00F50700">
              <w:rPr>
                <w:rFonts w:ascii="Verdana" w:hAnsi="Verdana"/>
                <w:sz w:val="20"/>
                <w:szCs w:val="20"/>
                <w:lang w:val="en"/>
              </w:rPr>
              <w:t>Key expert</w:t>
            </w:r>
          </w:p>
          <w:p w14:paraId="692BA903" w14:textId="77777777" w:rsidR="006F753C" w:rsidRPr="00F50700" w:rsidRDefault="006F753C" w:rsidP="006F753C">
            <w:pPr>
              <w:cnfStyle w:val="000000100000" w:firstRow="0" w:lastRow="0" w:firstColumn="0" w:lastColumn="0" w:oddVBand="0" w:evenVBand="0" w:oddHBand="1" w:evenHBand="0" w:firstRowFirstColumn="0" w:firstRowLastColumn="0" w:lastRowFirstColumn="0" w:lastRowLastColumn="0"/>
              <w:rPr>
                <w:rFonts w:ascii="Verdana" w:hAnsi="Verdana"/>
                <w:sz w:val="20"/>
                <w:szCs w:val="20"/>
              </w:rPr>
            </w:pPr>
            <w:r w:rsidRPr="00F50700">
              <w:rPr>
                <w:rFonts w:ascii="Verdana" w:hAnsi="Verdana"/>
                <w:sz w:val="20"/>
                <w:szCs w:val="20"/>
                <w:lang w:val="en"/>
              </w:rPr>
              <w:t>Evaluation expert (methodologist)</w:t>
            </w:r>
          </w:p>
        </w:tc>
      </w:tr>
      <w:tr w:rsidR="006F753C" w:rsidRPr="00F50700" w14:paraId="05348D17" w14:textId="77777777" w:rsidTr="00960379">
        <w:trPr>
          <w:jc w:val="center"/>
        </w:trPr>
        <w:tc>
          <w:tcPr>
            <w:cnfStyle w:val="001000000000" w:firstRow="0" w:lastRow="0" w:firstColumn="1" w:lastColumn="0" w:oddVBand="0" w:evenVBand="0" w:oddHBand="0" w:evenHBand="0" w:firstRowFirstColumn="0" w:firstRowLastColumn="0" w:lastRowFirstColumn="0" w:lastRowLastColumn="0"/>
            <w:tcW w:w="2067" w:type="pct"/>
            <w:hideMark/>
          </w:tcPr>
          <w:p w14:paraId="4EE6A2CC" w14:textId="77777777" w:rsidR="006F753C" w:rsidRPr="00F50700" w:rsidRDefault="006F753C" w:rsidP="006F753C">
            <w:pPr>
              <w:rPr>
                <w:rFonts w:ascii="Verdana" w:hAnsi="Verdana"/>
                <w:sz w:val="20"/>
                <w:szCs w:val="20"/>
              </w:rPr>
            </w:pPr>
            <w:r w:rsidRPr="00F50700">
              <w:rPr>
                <w:rFonts w:ascii="Verdana" w:hAnsi="Verdana"/>
                <w:sz w:val="20"/>
                <w:szCs w:val="20"/>
                <w:lang w:val="en"/>
              </w:rPr>
              <w:t>Teodora Pavlova</w:t>
            </w:r>
          </w:p>
        </w:tc>
        <w:tc>
          <w:tcPr>
            <w:tcW w:w="2933" w:type="pct"/>
            <w:hideMark/>
          </w:tcPr>
          <w:p w14:paraId="01003B63" w14:textId="77777777" w:rsidR="006F753C" w:rsidRPr="00F50700" w:rsidRDefault="006F753C" w:rsidP="006F753C">
            <w:pPr>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sidRPr="00F50700">
              <w:rPr>
                <w:rFonts w:ascii="Verdana" w:hAnsi="Verdana"/>
                <w:sz w:val="20"/>
                <w:szCs w:val="20"/>
                <w:lang w:val="en"/>
              </w:rPr>
              <w:t xml:space="preserve">Key expert </w:t>
            </w:r>
          </w:p>
          <w:p w14:paraId="00F2FF30" w14:textId="77777777" w:rsidR="006F753C" w:rsidRPr="00F50700" w:rsidRDefault="006F753C" w:rsidP="006F753C">
            <w:pPr>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sidRPr="00F50700">
              <w:rPr>
                <w:rFonts w:ascii="Verdana" w:hAnsi="Verdana"/>
                <w:sz w:val="20"/>
                <w:szCs w:val="20"/>
                <w:lang w:val="en"/>
              </w:rPr>
              <w:t>Financial and economic analyses and evaluations</w:t>
            </w:r>
          </w:p>
        </w:tc>
      </w:tr>
      <w:tr w:rsidR="006F753C" w:rsidRPr="00F50700" w14:paraId="381A0324" w14:textId="77777777" w:rsidTr="00960379">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067" w:type="pct"/>
            <w:hideMark/>
          </w:tcPr>
          <w:p w14:paraId="4C155041" w14:textId="77777777" w:rsidR="006F753C" w:rsidRPr="00F50700" w:rsidRDefault="006F753C" w:rsidP="006F753C">
            <w:pPr>
              <w:rPr>
                <w:rFonts w:ascii="Verdana" w:hAnsi="Verdana"/>
                <w:sz w:val="20"/>
                <w:szCs w:val="20"/>
              </w:rPr>
            </w:pPr>
            <w:r w:rsidRPr="00F50700">
              <w:rPr>
                <w:rFonts w:ascii="Verdana" w:hAnsi="Verdana"/>
                <w:sz w:val="20"/>
                <w:szCs w:val="20"/>
                <w:lang w:val="en"/>
              </w:rPr>
              <w:t>Kristina Tsvetanska</w:t>
            </w:r>
          </w:p>
        </w:tc>
        <w:tc>
          <w:tcPr>
            <w:tcW w:w="2933" w:type="pct"/>
            <w:hideMark/>
          </w:tcPr>
          <w:p w14:paraId="68B4B535" w14:textId="77777777" w:rsidR="006F753C" w:rsidRPr="00F50700" w:rsidRDefault="006F753C" w:rsidP="006F753C">
            <w:pPr>
              <w:cnfStyle w:val="000000100000" w:firstRow="0" w:lastRow="0" w:firstColumn="0" w:lastColumn="0" w:oddVBand="0" w:evenVBand="0" w:oddHBand="1" w:evenHBand="0" w:firstRowFirstColumn="0" w:firstRowLastColumn="0" w:lastRowFirstColumn="0" w:lastRowLastColumn="0"/>
              <w:rPr>
                <w:rFonts w:ascii="Verdana" w:hAnsi="Verdana"/>
                <w:sz w:val="20"/>
                <w:szCs w:val="20"/>
              </w:rPr>
            </w:pPr>
            <w:r w:rsidRPr="00F50700">
              <w:rPr>
                <w:rFonts w:ascii="Verdana" w:hAnsi="Verdana"/>
                <w:sz w:val="20"/>
                <w:szCs w:val="20"/>
                <w:lang w:val="en"/>
              </w:rPr>
              <w:t>Key expert</w:t>
            </w:r>
          </w:p>
          <w:p w14:paraId="7798B30D" w14:textId="77777777" w:rsidR="006F753C" w:rsidRPr="00F50700" w:rsidRDefault="006F753C" w:rsidP="006F753C">
            <w:pPr>
              <w:cnfStyle w:val="000000100000" w:firstRow="0" w:lastRow="0" w:firstColumn="0" w:lastColumn="0" w:oddVBand="0" w:evenVBand="0" w:oddHBand="1" w:evenHBand="0" w:firstRowFirstColumn="0" w:firstRowLastColumn="0" w:lastRowFirstColumn="0" w:lastRowLastColumn="0"/>
              <w:rPr>
                <w:rFonts w:ascii="Verdana" w:hAnsi="Verdana"/>
                <w:sz w:val="20"/>
                <w:szCs w:val="20"/>
              </w:rPr>
            </w:pPr>
            <w:r w:rsidRPr="00F50700">
              <w:rPr>
                <w:rFonts w:ascii="Verdana" w:hAnsi="Verdana"/>
                <w:sz w:val="20"/>
                <w:szCs w:val="20"/>
                <w:lang w:val="en"/>
              </w:rPr>
              <w:t>Investment project management</w:t>
            </w:r>
          </w:p>
        </w:tc>
      </w:tr>
      <w:tr w:rsidR="006F753C" w:rsidRPr="00F50700" w14:paraId="0317CEFB" w14:textId="77777777" w:rsidTr="00960379">
        <w:trPr>
          <w:jc w:val="center"/>
        </w:trPr>
        <w:tc>
          <w:tcPr>
            <w:cnfStyle w:val="001000000000" w:firstRow="0" w:lastRow="0" w:firstColumn="1" w:lastColumn="0" w:oddVBand="0" w:evenVBand="0" w:oddHBand="0" w:evenHBand="0" w:firstRowFirstColumn="0" w:firstRowLastColumn="0" w:lastRowFirstColumn="0" w:lastRowLastColumn="0"/>
            <w:tcW w:w="2067" w:type="pct"/>
            <w:hideMark/>
          </w:tcPr>
          <w:p w14:paraId="58F75B03" w14:textId="77777777" w:rsidR="006F753C" w:rsidRPr="00F50700" w:rsidRDefault="006F753C" w:rsidP="006F753C">
            <w:pPr>
              <w:rPr>
                <w:rFonts w:ascii="Verdana" w:hAnsi="Verdana"/>
                <w:sz w:val="20"/>
                <w:szCs w:val="20"/>
              </w:rPr>
            </w:pPr>
            <w:r w:rsidRPr="00F50700">
              <w:rPr>
                <w:rFonts w:ascii="Verdana" w:hAnsi="Verdana"/>
                <w:sz w:val="20"/>
                <w:szCs w:val="20"/>
                <w:lang w:val="en"/>
              </w:rPr>
              <w:t>Velina Savcheva</w:t>
            </w:r>
          </w:p>
        </w:tc>
        <w:tc>
          <w:tcPr>
            <w:tcW w:w="2933" w:type="pct"/>
            <w:hideMark/>
          </w:tcPr>
          <w:p w14:paraId="246B6140" w14:textId="77777777" w:rsidR="006F753C" w:rsidRPr="00F50700" w:rsidRDefault="006F753C" w:rsidP="006F753C">
            <w:pPr>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sidRPr="00F50700">
              <w:rPr>
                <w:rFonts w:ascii="Verdana" w:hAnsi="Verdana"/>
                <w:sz w:val="20"/>
                <w:szCs w:val="20"/>
                <w:lang w:val="en"/>
              </w:rPr>
              <w:t>Non-key expert</w:t>
            </w:r>
          </w:p>
          <w:p w14:paraId="467EA1F3" w14:textId="77777777" w:rsidR="006F753C" w:rsidRPr="00F50700" w:rsidRDefault="006F753C" w:rsidP="006F753C">
            <w:pPr>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sidRPr="00F50700">
              <w:rPr>
                <w:rFonts w:ascii="Verdana" w:hAnsi="Verdana"/>
                <w:sz w:val="20"/>
                <w:szCs w:val="20"/>
                <w:lang w:val="en"/>
              </w:rPr>
              <w:t>Analyst</w:t>
            </w:r>
          </w:p>
        </w:tc>
      </w:tr>
      <w:tr w:rsidR="006F753C" w:rsidRPr="00F50700" w14:paraId="05DA25C1" w14:textId="77777777" w:rsidTr="00960379">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067" w:type="pct"/>
            <w:hideMark/>
          </w:tcPr>
          <w:p w14:paraId="436C35A5" w14:textId="77777777" w:rsidR="006F753C" w:rsidRPr="00F50700" w:rsidRDefault="006F753C" w:rsidP="006F753C">
            <w:pPr>
              <w:rPr>
                <w:rFonts w:ascii="Verdana" w:hAnsi="Verdana"/>
                <w:sz w:val="20"/>
                <w:szCs w:val="20"/>
              </w:rPr>
            </w:pPr>
            <w:r w:rsidRPr="00F50700">
              <w:rPr>
                <w:rFonts w:ascii="Verdana" w:hAnsi="Verdana"/>
                <w:sz w:val="20"/>
                <w:szCs w:val="20"/>
                <w:lang w:val="en"/>
              </w:rPr>
              <w:t>Silvia Todorova</w:t>
            </w:r>
          </w:p>
        </w:tc>
        <w:tc>
          <w:tcPr>
            <w:tcW w:w="2933" w:type="pct"/>
            <w:hideMark/>
          </w:tcPr>
          <w:p w14:paraId="2952D935" w14:textId="77777777" w:rsidR="006F753C" w:rsidRPr="00F50700" w:rsidRDefault="006F753C" w:rsidP="006F753C">
            <w:pPr>
              <w:cnfStyle w:val="000000100000" w:firstRow="0" w:lastRow="0" w:firstColumn="0" w:lastColumn="0" w:oddVBand="0" w:evenVBand="0" w:oddHBand="1" w:evenHBand="0" w:firstRowFirstColumn="0" w:firstRowLastColumn="0" w:lastRowFirstColumn="0" w:lastRowLastColumn="0"/>
              <w:rPr>
                <w:rFonts w:ascii="Verdana" w:hAnsi="Verdana"/>
                <w:sz w:val="20"/>
                <w:szCs w:val="20"/>
              </w:rPr>
            </w:pPr>
            <w:r w:rsidRPr="00F50700">
              <w:rPr>
                <w:rFonts w:ascii="Verdana" w:hAnsi="Verdana"/>
                <w:sz w:val="20"/>
                <w:szCs w:val="20"/>
                <w:lang w:val="en"/>
              </w:rPr>
              <w:t>Non-key expert</w:t>
            </w:r>
          </w:p>
          <w:p w14:paraId="6A637DB3" w14:textId="77777777" w:rsidR="006F753C" w:rsidRPr="00F50700" w:rsidRDefault="006F753C" w:rsidP="006F753C">
            <w:pPr>
              <w:cnfStyle w:val="000000100000" w:firstRow="0" w:lastRow="0" w:firstColumn="0" w:lastColumn="0" w:oddVBand="0" w:evenVBand="0" w:oddHBand="1" w:evenHBand="0" w:firstRowFirstColumn="0" w:firstRowLastColumn="0" w:lastRowFirstColumn="0" w:lastRowLastColumn="0"/>
              <w:rPr>
                <w:rFonts w:ascii="Verdana" w:hAnsi="Verdana"/>
                <w:sz w:val="20"/>
                <w:szCs w:val="20"/>
              </w:rPr>
            </w:pPr>
            <w:r w:rsidRPr="00F50700">
              <w:rPr>
                <w:rFonts w:ascii="Verdana" w:hAnsi="Verdana"/>
                <w:sz w:val="20"/>
                <w:szCs w:val="20"/>
                <w:lang w:val="en"/>
              </w:rPr>
              <w:t>Analyst</w:t>
            </w:r>
          </w:p>
        </w:tc>
      </w:tr>
      <w:tr w:rsidR="006F753C" w:rsidRPr="00F50700" w14:paraId="1E1ED52B" w14:textId="77777777" w:rsidTr="00960379">
        <w:trPr>
          <w:jc w:val="center"/>
        </w:trPr>
        <w:tc>
          <w:tcPr>
            <w:cnfStyle w:val="001000000000" w:firstRow="0" w:lastRow="0" w:firstColumn="1" w:lastColumn="0" w:oddVBand="0" w:evenVBand="0" w:oddHBand="0" w:evenHBand="0" w:firstRowFirstColumn="0" w:firstRowLastColumn="0" w:lastRowFirstColumn="0" w:lastRowLastColumn="0"/>
            <w:tcW w:w="2067" w:type="pct"/>
            <w:hideMark/>
          </w:tcPr>
          <w:p w14:paraId="1CE71BE8" w14:textId="77777777" w:rsidR="006F753C" w:rsidRPr="00F50700" w:rsidRDefault="006F753C" w:rsidP="006F753C">
            <w:pPr>
              <w:rPr>
                <w:rFonts w:ascii="Verdana" w:hAnsi="Verdana"/>
                <w:sz w:val="20"/>
                <w:szCs w:val="20"/>
              </w:rPr>
            </w:pPr>
            <w:r w:rsidRPr="00F50700">
              <w:rPr>
                <w:rFonts w:ascii="Verdana" w:hAnsi="Verdana"/>
                <w:sz w:val="20"/>
                <w:szCs w:val="20"/>
                <w:lang w:val="en"/>
              </w:rPr>
              <w:t>Desislava Asparuhova</w:t>
            </w:r>
          </w:p>
        </w:tc>
        <w:tc>
          <w:tcPr>
            <w:tcW w:w="2933" w:type="pct"/>
            <w:hideMark/>
          </w:tcPr>
          <w:p w14:paraId="69264EFF" w14:textId="77777777" w:rsidR="006F753C" w:rsidRPr="00F50700" w:rsidRDefault="006F753C" w:rsidP="006F753C">
            <w:pPr>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sidRPr="00F50700">
              <w:rPr>
                <w:rFonts w:ascii="Verdana" w:hAnsi="Verdana"/>
                <w:sz w:val="20"/>
                <w:szCs w:val="20"/>
                <w:lang w:val="en"/>
              </w:rPr>
              <w:t>Non-key expert</w:t>
            </w:r>
          </w:p>
          <w:p w14:paraId="7DB183EB" w14:textId="77777777" w:rsidR="006F753C" w:rsidRPr="00F50700" w:rsidRDefault="006F753C" w:rsidP="006F753C">
            <w:pPr>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sidRPr="00F50700">
              <w:rPr>
                <w:rFonts w:ascii="Verdana" w:hAnsi="Verdana"/>
                <w:sz w:val="20"/>
                <w:szCs w:val="20"/>
                <w:lang w:val="en"/>
              </w:rPr>
              <w:t>Analyst</w:t>
            </w:r>
          </w:p>
        </w:tc>
      </w:tr>
      <w:tr w:rsidR="006F753C" w:rsidRPr="00F50700" w14:paraId="4B0E7262" w14:textId="77777777" w:rsidTr="00960379">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067" w:type="pct"/>
            <w:hideMark/>
          </w:tcPr>
          <w:p w14:paraId="1FE4A3C5" w14:textId="5A1CBD2A" w:rsidR="006F753C" w:rsidRPr="00F50700" w:rsidRDefault="006F753C" w:rsidP="006F753C">
            <w:pPr>
              <w:rPr>
                <w:rFonts w:ascii="Verdana" w:hAnsi="Verdana"/>
                <w:sz w:val="20"/>
                <w:szCs w:val="20"/>
              </w:rPr>
            </w:pPr>
            <w:proofErr w:type="spellStart"/>
            <w:r w:rsidRPr="00F50700">
              <w:rPr>
                <w:rFonts w:ascii="Verdana" w:hAnsi="Verdana"/>
                <w:sz w:val="20"/>
                <w:szCs w:val="20"/>
                <w:lang w:val="en"/>
              </w:rPr>
              <w:t>Ro</w:t>
            </w:r>
            <w:r w:rsidR="001C40A0">
              <w:rPr>
                <w:rFonts w:ascii="Verdana" w:hAnsi="Verdana"/>
                <w:sz w:val="20"/>
                <w:szCs w:val="20"/>
                <w:lang w:val="en"/>
              </w:rPr>
              <w:t>z</w:t>
            </w:r>
            <w:r w:rsidRPr="00F50700">
              <w:rPr>
                <w:rFonts w:ascii="Verdana" w:hAnsi="Verdana"/>
                <w:sz w:val="20"/>
                <w:szCs w:val="20"/>
                <w:lang w:val="en"/>
              </w:rPr>
              <w:t>alia</w:t>
            </w:r>
            <w:proofErr w:type="spellEnd"/>
            <w:r w:rsidRPr="00F50700">
              <w:rPr>
                <w:rFonts w:ascii="Verdana" w:hAnsi="Verdana"/>
                <w:sz w:val="20"/>
                <w:szCs w:val="20"/>
                <w:lang w:val="en"/>
              </w:rPr>
              <w:t xml:space="preserve"> Kirilova</w:t>
            </w:r>
          </w:p>
        </w:tc>
        <w:tc>
          <w:tcPr>
            <w:tcW w:w="2933" w:type="pct"/>
            <w:hideMark/>
          </w:tcPr>
          <w:p w14:paraId="216B8B8B" w14:textId="77777777" w:rsidR="006F753C" w:rsidRPr="00F50700" w:rsidRDefault="006F753C" w:rsidP="006F753C">
            <w:pPr>
              <w:cnfStyle w:val="000000100000" w:firstRow="0" w:lastRow="0" w:firstColumn="0" w:lastColumn="0" w:oddVBand="0" w:evenVBand="0" w:oddHBand="1" w:evenHBand="0" w:firstRowFirstColumn="0" w:firstRowLastColumn="0" w:lastRowFirstColumn="0" w:lastRowLastColumn="0"/>
              <w:rPr>
                <w:rFonts w:ascii="Verdana" w:hAnsi="Verdana"/>
                <w:sz w:val="20"/>
                <w:szCs w:val="20"/>
              </w:rPr>
            </w:pPr>
            <w:r w:rsidRPr="00F50700">
              <w:rPr>
                <w:rFonts w:ascii="Verdana" w:hAnsi="Verdana"/>
                <w:sz w:val="20"/>
                <w:szCs w:val="20"/>
                <w:lang w:val="en"/>
              </w:rPr>
              <w:t>Non-key expert</w:t>
            </w:r>
          </w:p>
          <w:p w14:paraId="35D51835" w14:textId="77777777" w:rsidR="006F753C" w:rsidRPr="00F50700" w:rsidRDefault="006F753C" w:rsidP="006F753C">
            <w:pPr>
              <w:cnfStyle w:val="000000100000" w:firstRow="0" w:lastRow="0" w:firstColumn="0" w:lastColumn="0" w:oddVBand="0" w:evenVBand="0" w:oddHBand="1" w:evenHBand="0" w:firstRowFirstColumn="0" w:firstRowLastColumn="0" w:lastRowFirstColumn="0" w:lastRowLastColumn="0"/>
              <w:rPr>
                <w:rFonts w:ascii="Verdana" w:hAnsi="Verdana"/>
                <w:sz w:val="20"/>
                <w:szCs w:val="20"/>
              </w:rPr>
            </w:pPr>
            <w:r w:rsidRPr="00F50700">
              <w:rPr>
                <w:rFonts w:ascii="Verdana" w:hAnsi="Verdana"/>
                <w:sz w:val="20"/>
                <w:szCs w:val="20"/>
                <w:lang w:val="en"/>
              </w:rPr>
              <w:t>Analyst</w:t>
            </w:r>
          </w:p>
        </w:tc>
      </w:tr>
    </w:tbl>
    <w:p w14:paraId="4C0F2543" w14:textId="77777777" w:rsidR="002B53A6" w:rsidRPr="00F50700" w:rsidRDefault="002B53A6" w:rsidP="002B53A6">
      <w:pPr>
        <w:pStyle w:val="ListParagraph"/>
        <w:autoSpaceDE w:val="0"/>
        <w:autoSpaceDN w:val="0"/>
        <w:adjustRightInd w:val="0"/>
        <w:spacing w:before="120" w:after="120" w:line="240" w:lineRule="auto"/>
        <w:ind w:left="1080"/>
        <w:jc w:val="both"/>
        <w:rPr>
          <w:rFonts w:ascii="Verdana" w:hAnsi="Verdana"/>
          <w:b/>
          <w:bCs/>
          <w:color w:val="253356" w:themeColor="accent1" w:themeShade="80"/>
          <w:lang w:val="bg-BG"/>
        </w:rPr>
      </w:pPr>
    </w:p>
    <w:p w14:paraId="1ABA0FE2" w14:textId="7ED25543" w:rsidR="0043743C" w:rsidRPr="00F50700" w:rsidRDefault="0043743C" w:rsidP="005334E2">
      <w:pPr>
        <w:pStyle w:val="Heading1"/>
        <w:numPr>
          <w:ilvl w:val="0"/>
          <w:numId w:val="58"/>
        </w:numPr>
        <w:spacing w:before="120" w:after="120" w:line="240" w:lineRule="auto"/>
        <w:jc w:val="both"/>
        <w:rPr>
          <w:rFonts w:ascii="Verdana" w:hAnsi="Verdana"/>
          <w:b/>
          <w:bCs/>
          <w:sz w:val="20"/>
          <w:szCs w:val="20"/>
          <w:lang w:val="bg-BG"/>
        </w:rPr>
      </w:pPr>
      <w:bookmarkStart w:id="131" w:name="_Toc62724406"/>
      <w:r w:rsidRPr="00F50700">
        <w:rPr>
          <w:rFonts w:ascii="Verdana" w:hAnsi="Verdana"/>
          <w:b/>
          <w:bCs/>
          <w:sz w:val="20"/>
          <w:szCs w:val="20"/>
          <w:lang w:val="en"/>
        </w:rPr>
        <w:t>A</w:t>
      </w:r>
      <w:r w:rsidR="006C49C7">
        <w:rPr>
          <w:rFonts w:ascii="Verdana" w:hAnsi="Verdana"/>
          <w:b/>
          <w:bCs/>
          <w:sz w:val="20"/>
          <w:szCs w:val="20"/>
          <w:lang w:val="en"/>
        </w:rPr>
        <w:t>NNEXES</w:t>
      </w:r>
      <w:bookmarkEnd w:id="131"/>
    </w:p>
    <w:p w14:paraId="5D406738" w14:textId="77777777" w:rsidR="00206CFE" w:rsidRPr="00F50700" w:rsidRDefault="00206CFE" w:rsidP="00206CFE">
      <w:pPr>
        <w:rPr>
          <w:rFonts w:ascii="Verdana" w:hAnsi="Verdana"/>
          <w:lang w:val="bg-BG"/>
        </w:rPr>
      </w:pPr>
    </w:p>
    <w:p w14:paraId="37193944" w14:textId="7E039546" w:rsidR="00E87517" w:rsidRPr="002E6FCE" w:rsidRDefault="006C49C7" w:rsidP="002E6FCE">
      <w:pPr>
        <w:spacing w:after="0" w:line="360" w:lineRule="auto"/>
        <w:jc w:val="both"/>
        <w:rPr>
          <w:rFonts w:ascii="Verdana" w:hAnsi="Verdana"/>
          <w:color w:val="374C80" w:themeColor="accent1" w:themeShade="BF"/>
          <w:sz w:val="20"/>
          <w:szCs w:val="20"/>
          <w:lang w:val="bg-BG"/>
        </w:rPr>
      </w:pPr>
      <w:bookmarkStart w:id="132" w:name="_Ref50287013"/>
      <w:bookmarkStart w:id="133" w:name="_Toc55551524"/>
      <w:r w:rsidRPr="002E6FCE">
        <w:rPr>
          <w:rFonts w:ascii="Verdana" w:hAnsi="Verdana"/>
          <w:color w:val="374C80" w:themeColor="accent1" w:themeShade="BF"/>
          <w:sz w:val="20"/>
          <w:szCs w:val="20"/>
          <w:lang w:val="en"/>
        </w:rPr>
        <w:t>ANNEX NO1: INFORMATION</w:t>
      </w:r>
      <w:bookmarkStart w:id="134" w:name="_Ref50287128"/>
      <w:bookmarkStart w:id="135" w:name="_Toc55551525"/>
      <w:bookmarkEnd w:id="132"/>
      <w:bookmarkEnd w:id="133"/>
      <w:r w:rsidRPr="002E6FCE">
        <w:rPr>
          <w:rFonts w:ascii="Verdana" w:hAnsi="Verdana"/>
          <w:color w:val="374C80" w:themeColor="accent1" w:themeShade="BF"/>
          <w:sz w:val="20"/>
          <w:szCs w:val="20"/>
          <w:lang w:val="en"/>
        </w:rPr>
        <w:t xml:space="preserve"> SOURCES</w:t>
      </w:r>
    </w:p>
    <w:p w14:paraId="7A2DED78" w14:textId="74E907F9" w:rsidR="00E87517" w:rsidRPr="002E6FCE" w:rsidRDefault="006C49C7" w:rsidP="002E6FCE">
      <w:pPr>
        <w:spacing w:after="0" w:line="360" w:lineRule="auto"/>
        <w:jc w:val="both"/>
        <w:rPr>
          <w:rFonts w:ascii="Verdana" w:hAnsi="Verdana"/>
          <w:color w:val="374C80" w:themeColor="accent1" w:themeShade="BF"/>
          <w:sz w:val="20"/>
          <w:szCs w:val="20"/>
          <w:lang w:val="bg-BG"/>
        </w:rPr>
      </w:pPr>
      <w:r w:rsidRPr="002E6FCE">
        <w:rPr>
          <w:rFonts w:ascii="Verdana" w:hAnsi="Verdana"/>
          <w:color w:val="374C80" w:themeColor="accent1" w:themeShade="BF"/>
          <w:sz w:val="20"/>
          <w:szCs w:val="20"/>
          <w:lang w:val="en"/>
        </w:rPr>
        <w:t>ANNEX NO2: LIST OF INTERVIEWS CONDUCTED</w:t>
      </w:r>
      <w:bookmarkEnd w:id="134"/>
      <w:bookmarkEnd w:id="135"/>
    </w:p>
    <w:p w14:paraId="422E6ED1" w14:textId="420E1B50" w:rsidR="00E26192" w:rsidRPr="002E6FCE" w:rsidRDefault="006C49C7" w:rsidP="002E6FCE">
      <w:pPr>
        <w:spacing w:after="0" w:line="360" w:lineRule="auto"/>
        <w:jc w:val="both"/>
        <w:rPr>
          <w:rFonts w:ascii="Verdana" w:hAnsi="Verdana"/>
          <w:color w:val="374C80" w:themeColor="accent1" w:themeShade="BF"/>
          <w:sz w:val="20"/>
          <w:szCs w:val="20"/>
          <w:lang w:val="bg-BG"/>
        </w:rPr>
      </w:pPr>
      <w:bookmarkStart w:id="136" w:name="_Ref59439625"/>
      <w:r w:rsidRPr="002E6FCE">
        <w:rPr>
          <w:rFonts w:ascii="Verdana" w:hAnsi="Verdana"/>
          <w:color w:val="374C80" w:themeColor="accent1" w:themeShade="BF"/>
          <w:sz w:val="20"/>
          <w:szCs w:val="20"/>
          <w:lang w:val="en"/>
        </w:rPr>
        <w:t xml:space="preserve">ANNEX NO3: EXTENDED </w:t>
      </w:r>
      <w:bookmarkEnd w:id="136"/>
      <w:r w:rsidRPr="002E6FCE">
        <w:rPr>
          <w:rFonts w:ascii="Verdana" w:hAnsi="Verdana"/>
          <w:color w:val="374C80" w:themeColor="accent1" w:themeShade="BF"/>
          <w:sz w:val="20"/>
          <w:szCs w:val="20"/>
          <w:lang w:val="en"/>
        </w:rPr>
        <w:t>VERSION OF EVALUATION REPORT</w:t>
      </w:r>
    </w:p>
    <w:p w14:paraId="1F782778" w14:textId="0F2F1E44" w:rsidR="00E26192" w:rsidRPr="002E6FCE" w:rsidRDefault="006C49C7" w:rsidP="002E6FCE">
      <w:pPr>
        <w:spacing w:after="0" w:line="360" w:lineRule="auto"/>
        <w:jc w:val="both"/>
        <w:rPr>
          <w:rFonts w:ascii="Verdana" w:hAnsi="Verdana"/>
          <w:color w:val="374C80" w:themeColor="accent1" w:themeShade="BF"/>
          <w:sz w:val="20"/>
          <w:szCs w:val="20"/>
          <w:lang w:val="bg-BG"/>
        </w:rPr>
      </w:pPr>
      <w:r w:rsidRPr="002E6FCE">
        <w:rPr>
          <w:rFonts w:ascii="Verdana" w:hAnsi="Verdana"/>
          <w:color w:val="374C80" w:themeColor="accent1" w:themeShade="BF"/>
          <w:sz w:val="20"/>
          <w:szCs w:val="20"/>
          <w:lang w:val="en"/>
        </w:rPr>
        <w:t>ANNEX NO4: CASE STUDIES</w:t>
      </w:r>
    </w:p>
    <w:p w14:paraId="5C880E05" w14:textId="6FB194C2" w:rsidR="0023386A" w:rsidRPr="002E6FCE" w:rsidRDefault="006C49C7" w:rsidP="002E6FCE">
      <w:pPr>
        <w:spacing w:after="0" w:line="360" w:lineRule="auto"/>
        <w:jc w:val="both"/>
        <w:rPr>
          <w:rFonts w:ascii="Verdana" w:hAnsi="Verdana"/>
          <w:color w:val="374C80" w:themeColor="accent1" w:themeShade="BF"/>
          <w:sz w:val="20"/>
          <w:szCs w:val="20"/>
          <w:lang w:val="bg-BG"/>
        </w:rPr>
      </w:pPr>
      <w:r w:rsidRPr="002E6FCE">
        <w:rPr>
          <w:rFonts w:ascii="Verdana" w:hAnsi="Verdana"/>
          <w:color w:val="374C80" w:themeColor="accent1" w:themeShade="BF"/>
          <w:sz w:val="20"/>
          <w:szCs w:val="20"/>
          <w:lang w:val="en"/>
        </w:rPr>
        <w:t>ANNEX NO5: SURVEY RESULTS</w:t>
      </w:r>
    </w:p>
    <w:p w14:paraId="6A1233D9" w14:textId="77777777" w:rsidR="00E26192" w:rsidRPr="00F50700" w:rsidRDefault="00E26192" w:rsidP="00E26192">
      <w:pPr>
        <w:rPr>
          <w:rFonts w:ascii="Verdana" w:hAnsi="Verdana"/>
          <w:lang w:val="bg-BG"/>
        </w:rPr>
      </w:pPr>
    </w:p>
    <w:p w14:paraId="510E23F3" w14:textId="584C0A67" w:rsidR="004E524A" w:rsidRPr="00F50700" w:rsidRDefault="004E524A">
      <w:pPr>
        <w:rPr>
          <w:rFonts w:ascii="Verdana" w:hAnsi="Verdana"/>
          <w:lang w:val="bg-BG"/>
        </w:rPr>
      </w:pPr>
      <w:r w:rsidRPr="00F50700">
        <w:rPr>
          <w:rFonts w:ascii="Verdana" w:hAnsi="Verdana"/>
          <w:lang w:val="bg-BG"/>
        </w:rPr>
        <w:br w:type="page"/>
      </w:r>
    </w:p>
    <w:p w14:paraId="1EC9BDFF" w14:textId="0BAB49EB" w:rsidR="00AF3D2A" w:rsidRPr="00A45700" w:rsidRDefault="003769AF" w:rsidP="002C00D7">
      <w:pPr>
        <w:jc w:val="right"/>
        <w:rPr>
          <w:rFonts w:ascii="Verdana" w:hAnsi="Verdana"/>
          <w:b/>
          <w:bCs/>
          <w:color w:val="374C80" w:themeColor="accent1" w:themeShade="BF"/>
          <w:sz w:val="20"/>
          <w:szCs w:val="20"/>
          <w:lang w:val="bg-BG"/>
        </w:rPr>
      </w:pPr>
      <w:r w:rsidRPr="00A45700">
        <w:rPr>
          <w:rFonts w:ascii="Verdana" w:hAnsi="Verdana"/>
          <w:b/>
          <w:bCs/>
          <w:color w:val="374C80" w:themeColor="accent1" w:themeShade="BF"/>
          <w:sz w:val="20"/>
          <w:szCs w:val="20"/>
          <w:lang w:val="en"/>
        </w:rPr>
        <w:lastRenderedPageBreak/>
        <w:fldChar w:fldCharType="begin"/>
      </w:r>
      <w:r w:rsidRPr="00A45700">
        <w:rPr>
          <w:rFonts w:ascii="Verdana" w:hAnsi="Verdana"/>
          <w:b/>
          <w:bCs/>
          <w:color w:val="374C80" w:themeColor="accent1" w:themeShade="BF"/>
          <w:sz w:val="20"/>
          <w:szCs w:val="20"/>
          <w:lang w:val="en"/>
        </w:rPr>
        <w:instrText xml:space="preserve"> REF _Ref50287013 \h </w:instrText>
      </w:r>
      <w:r w:rsidR="00A40D60" w:rsidRPr="00A45700">
        <w:rPr>
          <w:rFonts w:ascii="Verdana" w:hAnsi="Verdana"/>
          <w:b/>
          <w:bCs/>
          <w:color w:val="374C80" w:themeColor="accent1" w:themeShade="BF"/>
          <w:sz w:val="20"/>
          <w:szCs w:val="20"/>
          <w:lang w:val="en"/>
        </w:rPr>
        <w:instrText xml:space="preserve"> \* MERGEFORMAT </w:instrText>
      </w:r>
      <w:r w:rsidRPr="00A45700">
        <w:rPr>
          <w:rFonts w:ascii="Verdana" w:hAnsi="Verdana"/>
          <w:b/>
          <w:bCs/>
          <w:color w:val="374C80" w:themeColor="accent1" w:themeShade="BF"/>
          <w:sz w:val="20"/>
          <w:szCs w:val="20"/>
          <w:lang w:val="en"/>
        </w:rPr>
      </w:r>
      <w:r w:rsidRPr="00A45700">
        <w:rPr>
          <w:rFonts w:ascii="Verdana" w:hAnsi="Verdana"/>
          <w:b/>
          <w:bCs/>
          <w:color w:val="374C80" w:themeColor="accent1" w:themeShade="BF"/>
          <w:sz w:val="20"/>
          <w:szCs w:val="20"/>
          <w:lang w:val="en"/>
        </w:rPr>
        <w:fldChar w:fldCharType="separate"/>
      </w:r>
      <w:r w:rsidR="006A4FD5" w:rsidRPr="00A45700">
        <w:rPr>
          <w:rFonts w:ascii="Verdana" w:hAnsi="Verdana"/>
          <w:b/>
          <w:bCs/>
          <w:color w:val="374C80" w:themeColor="accent1" w:themeShade="BF"/>
          <w:sz w:val="20"/>
          <w:szCs w:val="20"/>
          <w:lang w:val="en"/>
        </w:rPr>
        <w:t>ANNEX NO1: INFORMATION</w:t>
      </w:r>
      <w:r w:rsidRPr="00A45700">
        <w:rPr>
          <w:rFonts w:ascii="Verdana" w:hAnsi="Verdana"/>
          <w:b/>
          <w:bCs/>
          <w:color w:val="374C80" w:themeColor="accent1" w:themeShade="BF"/>
          <w:sz w:val="20"/>
          <w:szCs w:val="20"/>
          <w:lang w:val="en"/>
        </w:rPr>
        <w:fldChar w:fldCharType="end"/>
      </w:r>
      <w:r w:rsidR="006C49C7" w:rsidRPr="00A45700">
        <w:rPr>
          <w:rFonts w:ascii="Verdana" w:hAnsi="Verdana"/>
          <w:b/>
          <w:bCs/>
          <w:color w:val="374C80" w:themeColor="accent1" w:themeShade="BF"/>
          <w:sz w:val="20"/>
          <w:szCs w:val="20"/>
          <w:lang w:val="en"/>
        </w:rPr>
        <w:t xml:space="preserve"> SOURCES</w:t>
      </w:r>
    </w:p>
    <w:p w14:paraId="47746735" w14:textId="3F963AD6" w:rsidR="006C49C7" w:rsidRPr="00A45700" w:rsidRDefault="006C49C7" w:rsidP="001C40A0">
      <w:pPr>
        <w:pStyle w:val="Caption"/>
        <w:keepNext/>
        <w:ind w:firstLine="720"/>
        <w:rPr>
          <w:rFonts w:ascii="Verdana" w:hAnsi="Verdana"/>
          <w:b/>
          <w:bCs/>
          <w:sz w:val="20"/>
          <w:szCs w:val="20"/>
        </w:rPr>
      </w:pPr>
      <w:bookmarkStart w:id="137" w:name="_Toc62724739"/>
      <w:r w:rsidRPr="00A45700">
        <w:rPr>
          <w:rFonts w:ascii="Verdana" w:hAnsi="Verdana"/>
          <w:b/>
          <w:bCs/>
          <w:sz w:val="20"/>
          <w:szCs w:val="20"/>
        </w:rPr>
        <w:t xml:space="preserve">Table </w:t>
      </w:r>
      <w:r w:rsidR="002A60EF">
        <w:rPr>
          <w:rFonts w:ascii="Verdana" w:hAnsi="Verdana"/>
          <w:b/>
          <w:bCs/>
          <w:sz w:val="20"/>
          <w:szCs w:val="20"/>
        </w:rPr>
        <w:fldChar w:fldCharType="begin"/>
      </w:r>
      <w:r w:rsidR="002A60EF">
        <w:rPr>
          <w:rFonts w:ascii="Verdana" w:hAnsi="Verdana"/>
          <w:b/>
          <w:bCs/>
          <w:sz w:val="20"/>
          <w:szCs w:val="20"/>
        </w:rPr>
        <w:instrText xml:space="preserve"> STYLEREF 1 \s </w:instrText>
      </w:r>
      <w:r w:rsidR="002A60EF">
        <w:rPr>
          <w:rFonts w:ascii="Verdana" w:hAnsi="Verdana"/>
          <w:b/>
          <w:bCs/>
          <w:sz w:val="20"/>
          <w:szCs w:val="20"/>
        </w:rPr>
        <w:fldChar w:fldCharType="separate"/>
      </w:r>
      <w:r w:rsidR="002A60EF">
        <w:rPr>
          <w:rFonts w:ascii="Verdana" w:hAnsi="Verdana"/>
          <w:b/>
          <w:bCs/>
          <w:noProof/>
          <w:sz w:val="20"/>
          <w:szCs w:val="20"/>
        </w:rPr>
        <w:t>VIII</w:t>
      </w:r>
      <w:r w:rsidR="002A60EF">
        <w:rPr>
          <w:rFonts w:ascii="Verdana" w:hAnsi="Verdana"/>
          <w:b/>
          <w:bCs/>
          <w:sz w:val="20"/>
          <w:szCs w:val="20"/>
        </w:rPr>
        <w:fldChar w:fldCharType="end"/>
      </w:r>
      <w:r w:rsidR="002A60EF">
        <w:rPr>
          <w:rFonts w:ascii="Verdana" w:hAnsi="Verdana"/>
          <w:b/>
          <w:bCs/>
          <w:sz w:val="20"/>
          <w:szCs w:val="20"/>
        </w:rPr>
        <w:noBreakHyphen/>
      </w:r>
      <w:r w:rsidR="002A60EF">
        <w:rPr>
          <w:rFonts w:ascii="Verdana" w:hAnsi="Verdana"/>
          <w:b/>
          <w:bCs/>
          <w:sz w:val="20"/>
          <w:szCs w:val="20"/>
        </w:rPr>
        <w:fldChar w:fldCharType="begin"/>
      </w:r>
      <w:r w:rsidR="002A60EF">
        <w:rPr>
          <w:rFonts w:ascii="Verdana" w:hAnsi="Verdana"/>
          <w:b/>
          <w:bCs/>
          <w:sz w:val="20"/>
          <w:szCs w:val="20"/>
        </w:rPr>
        <w:instrText xml:space="preserve"> SEQ Table \* ARABIC \s 1 </w:instrText>
      </w:r>
      <w:r w:rsidR="002A60EF">
        <w:rPr>
          <w:rFonts w:ascii="Verdana" w:hAnsi="Verdana"/>
          <w:b/>
          <w:bCs/>
          <w:sz w:val="20"/>
          <w:szCs w:val="20"/>
        </w:rPr>
        <w:fldChar w:fldCharType="separate"/>
      </w:r>
      <w:r w:rsidR="002A60EF">
        <w:rPr>
          <w:rFonts w:ascii="Verdana" w:hAnsi="Verdana"/>
          <w:b/>
          <w:bCs/>
          <w:noProof/>
          <w:sz w:val="20"/>
          <w:szCs w:val="20"/>
        </w:rPr>
        <w:t>1</w:t>
      </w:r>
      <w:r w:rsidR="002A60EF">
        <w:rPr>
          <w:rFonts w:ascii="Verdana" w:hAnsi="Verdana"/>
          <w:b/>
          <w:bCs/>
          <w:sz w:val="20"/>
          <w:szCs w:val="20"/>
        </w:rPr>
        <w:fldChar w:fldCharType="end"/>
      </w:r>
      <w:r w:rsidRPr="00A45700">
        <w:rPr>
          <w:rFonts w:ascii="Verdana" w:hAnsi="Verdana"/>
          <w:b/>
          <w:bCs/>
          <w:sz w:val="20"/>
          <w:szCs w:val="20"/>
        </w:rPr>
        <w:t>: Information sources</w:t>
      </w:r>
      <w:bookmarkEnd w:id="137"/>
    </w:p>
    <w:tbl>
      <w:tblPr>
        <w:tblStyle w:val="TableGrid"/>
        <w:tblW w:w="5000" w:type="pct"/>
        <w:tblBorders>
          <w:top w:val="double" w:sz="4" w:space="0" w:color="6A84BE"/>
          <w:left w:val="double" w:sz="4" w:space="0" w:color="6A84BE"/>
          <w:bottom w:val="double" w:sz="4" w:space="0" w:color="6A84BE"/>
          <w:right w:val="double" w:sz="4" w:space="0" w:color="6A84BE"/>
          <w:insideH w:val="single" w:sz="6" w:space="0" w:color="6A84BE"/>
          <w:insideV w:val="single" w:sz="6" w:space="0" w:color="6A84BE"/>
        </w:tblBorders>
        <w:tblLook w:val="04A0" w:firstRow="1" w:lastRow="0" w:firstColumn="1" w:lastColumn="0" w:noHBand="0" w:noVBand="1"/>
      </w:tblPr>
      <w:tblGrid>
        <w:gridCol w:w="9042"/>
      </w:tblGrid>
      <w:tr w:rsidR="00AF3D2A" w:rsidRPr="006C49C7" w14:paraId="48514534" w14:textId="77777777" w:rsidTr="006C1BB3">
        <w:tc>
          <w:tcPr>
            <w:tcW w:w="5000" w:type="pct"/>
            <w:shd w:val="clear" w:color="auto" w:fill="374C80" w:themeFill="accent1" w:themeFillShade="BF"/>
          </w:tcPr>
          <w:p w14:paraId="355CE887" w14:textId="77777777" w:rsidR="00AF3D2A" w:rsidRPr="006C49C7" w:rsidRDefault="00AF3D2A" w:rsidP="00A52096">
            <w:pPr>
              <w:jc w:val="center"/>
              <w:rPr>
                <w:rFonts w:ascii="Verdana" w:hAnsi="Verdana"/>
                <w:b/>
                <w:sz w:val="20"/>
                <w:szCs w:val="20"/>
                <w:highlight w:val="yellow"/>
                <w:lang w:val="bg-BG"/>
              </w:rPr>
            </w:pPr>
            <w:r w:rsidRPr="00A45700">
              <w:rPr>
                <w:rFonts w:ascii="Verdana" w:hAnsi="Verdana"/>
                <w:b/>
                <w:color w:val="FFFFFF" w:themeColor="background1"/>
                <w:sz w:val="20"/>
                <w:szCs w:val="20"/>
                <w:lang w:val="en"/>
              </w:rPr>
              <w:t>Programming documents</w:t>
            </w:r>
          </w:p>
        </w:tc>
      </w:tr>
      <w:tr w:rsidR="00AF3D2A" w:rsidRPr="006C49C7" w14:paraId="0EDD2932" w14:textId="77777777" w:rsidTr="006C1BB3">
        <w:tc>
          <w:tcPr>
            <w:tcW w:w="5000" w:type="pct"/>
          </w:tcPr>
          <w:p w14:paraId="70D8C4A3" w14:textId="119DA688" w:rsidR="00AF3D2A" w:rsidRPr="00BD3BC4" w:rsidRDefault="00AF3D2A" w:rsidP="00B870D7">
            <w:pPr>
              <w:pStyle w:val="ListParagraph"/>
              <w:numPr>
                <w:ilvl w:val="0"/>
                <w:numId w:val="29"/>
              </w:numPr>
              <w:rPr>
                <w:rFonts w:ascii="Verdana" w:eastAsia="Calibri" w:hAnsi="Verdana" w:cs="Calibri"/>
                <w:b/>
                <w:bCs/>
                <w:color w:val="000000"/>
                <w:sz w:val="18"/>
                <w:szCs w:val="18"/>
                <w:lang w:val="bg-BG"/>
              </w:rPr>
            </w:pPr>
            <w:r w:rsidRPr="00BD3BC4">
              <w:rPr>
                <w:rFonts w:ascii="Verdana" w:hAnsi="Verdana"/>
                <w:color w:val="000000"/>
                <w:sz w:val="18"/>
                <w:szCs w:val="18"/>
                <w:lang w:val="en"/>
              </w:rPr>
              <w:t xml:space="preserve">Text of the </w:t>
            </w:r>
            <w:r w:rsidR="00A45700" w:rsidRPr="00BD3BC4">
              <w:rPr>
                <w:rFonts w:ascii="Verdana" w:hAnsi="Verdana"/>
                <w:color w:val="000000"/>
                <w:sz w:val="18"/>
                <w:szCs w:val="18"/>
                <w:lang w:val="en"/>
              </w:rPr>
              <w:t>O</w:t>
            </w:r>
            <w:r w:rsidRPr="00BD3BC4">
              <w:rPr>
                <w:rFonts w:ascii="Verdana" w:hAnsi="Verdana"/>
                <w:color w:val="000000"/>
                <w:sz w:val="18"/>
                <w:szCs w:val="18"/>
                <w:lang w:val="en"/>
              </w:rPr>
              <w:t>P</w:t>
            </w:r>
            <w:r w:rsidR="00A45700" w:rsidRPr="00BD3BC4">
              <w:rPr>
                <w:rFonts w:ascii="Verdana" w:hAnsi="Verdana"/>
                <w:color w:val="000000"/>
                <w:sz w:val="18"/>
                <w:szCs w:val="18"/>
                <w:lang w:val="en"/>
              </w:rPr>
              <w:t>T</w:t>
            </w:r>
            <w:r w:rsidRPr="00BD3BC4">
              <w:rPr>
                <w:rFonts w:ascii="Verdana" w:hAnsi="Verdana"/>
                <w:color w:val="000000"/>
                <w:sz w:val="18"/>
                <w:szCs w:val="18"/>
                <w:lang w:val="en"/>
              </w:rPr>
              <w:t xml:space="preserve"> and its amendments</w:t>
            </w:r>
          </w:p>
          <w:p w14:paraId="46FC9EDF" w14:textId="3D5C2452" w:rsidR="00AF3D2A" w:rsidRPr="00BD3BC4" w:rsidRDefault="00AF3D2A" w:rsidP="00B870D7">
            <w:pPr>
              <w:pStyle w:val="ListParagraph"/>
              <w:numPr>
                <w:ilvl w:val="0"/>
                <w:numId w:val="29"/>
              </w:numPr>
              <w:rPr>
                <w:rFonts w:ascii="Verdana" w:eastAsia="Calibri" w:hAnsi="Verdana" w:cs="Calibri"/>
                <w:color w:val="000000"/>
                <w:sz w:val="18"/>
                <w:szCs w:val="18"/>
                <w:lang w:val="bg-BG"/>
              </w:rPr>
            </w:pPr>
            <w:r w:rsidRPr="00BD3BC4">
              <w:rPr>
                <w:rFonts w:ascii="Verdana" w:hAnsi="Verdana"/>
                <w:color w:val="000000"/>
                <w:sz w:val="18"/>
                <w:szCs w:val="18"/>
                <w:lang w:val="en"/>
              </w:rPr>
              <w:t xml:space="preserve">Annual reports and Final Report on the implementation of the </w:t>
            </w:r>
            <w:r w:rsidR="00A45700" w:rsidRPr="00BD3BC4">
              <w:rPr>
                <w:rFonts w:ascii="Verdana" w:hAnsi="Verdana"/>
                <w:color w:val="000000"/>
                <w:sz w:val="18"/>
                <w:szCs w:val="18"/>
                <w:lang w:val="en"/>
              </w:rPr>
              <w:t>O</w:t>
            </w:r>
            <w:r w:rsidRPr="00BD3BC4">
              <w:rPr>
                <w:rFonts w:ascii="Verdana" w:hAnsi="Verdana"/>
                <w:color w:val="000000"/>
                <w:sz w:val="18"/>
                <w:szCs w:val="18"/>
                <w:lang w:val="en"/>
              </w:rPr>
              <w:t>P</w:t>
            </w:r>
            <w:r w:rsidR="00A45700" w:rsidRPr="00BD3BC4">
              <w:rPr>
                <w:rFonts w:ascii="Verdana" w:hAnsi="Verdana"/>
                <w:color w:val="000000"/>
                <w:sz w:val="18"/>
                <w:szCs w:val="18"/>
                <w:lang w:val="en"/>
              </w:rPr>
              <w:t>T</w:t>
            </w:r>
          </w:p>
          <w:p w14:paraId="64679C03" w14:textId="38C56A20" w:rsidR="00AF3D2A" w:rsidRPr="00BD3BC4" w:rsidRDefault="00A45700" w:rsidP="00B870D7">
            <w:pPr>
              <w:pStyle w:val="ListParagraph"/>
              <w:numPr>
                <w:ilvl w:val="0"/>
                <w:numId w:val="29"/>
              </w:numPr>
              <w:rPr>
                <w:rFonts w:ascii="Verdana" w:eastAsia="Calibri" w:hAnsi="Verdana" w:cs="Calibri"/>
                <w:color w:val="000000"/>
                <w:sz w:val="18"/>
                <w:szCs w:val="18"/>
                <w:lang w:val="bg-BG"/>
              </w:rPr>
            </w:pPr>
            <w:r w:rsidRPr="00BD3BC4">
              <w:rPr>
                <w:rFonts w:ascii="Verdana" w:hAnsi="Verdana"/>
                <w:color w:val="000000"/>
                <w:sz w:val="18"/>
                <w:szCs w:val="18"/>
                <w:lang w:val="en"/>
              </w:rPr>
              <w:t>Model for Monitoring Indicators of OPT</w:t>
            </w:r>
            <w:r w:rsidR="00AF3D2A" w:rsidRPr="00BD3BC4">
              <w:rPr>
                <w:rFonts w:ascii="Verdana" w:hAnsi="Verdana"/>
                <w:color w:val="000000"/>
                <w:sz w:val="18"/>
                <w:szCs w:val="18"/>
                <w:lang w:val="en"/>
              </w:rPr>
              <w:t>;</w:t>
            </w:r>
          </w:p>
          <w:p w14:paraId="5AEFDAA6" w14:textId="57EEE8A1" w:rsidR="00AD1E12" w:rsidRPr="00BD3BC4" w:rsidRDefault="00AD1E12" w:rsidP="00B870D7">
            <w:pPr>
              <w:pStyle w:val="ListParagraph"/>
              <w:numPr>
                <w:ilvl w:val="0"/>
                <w:numId w:val="29"/>
              </w:numPr>
              <w:spacing w:line="256" w:lineRule="auto"/>
              <w:jc w:val="both"/>
              <w:rPr>
                <w:rFonts w:ascii="Verdana" w:hAnsi="Verdana"/>
                <w:sz w:val="18"/>
                <w:szCs w:val="18"/>
                <w:lang w:val="bg-BG"/>
              </w:rPr>
            </w:pPr>
            <w:r w:rsidRPr="00BD3BC4">
              <w:rPr>
                <w:rFonts w:ascii="Verdana" w:hAnsi="Verdana"/>
                <w:color w:val="000000"/>
                <w:sz w:val="18"/>
                <w:szCs w:val="18"/>
                <w:lang w:val="en"/>
              </w:rPr>
              <w:t xml:space="preserve">Minutes and materials of </w:t>
            </w:r>
            <w:r w:rsidR="00A45700" w:rsidRPr="00BD3BC4">
              <w:rPr>
                <w:rFonts w:ascii="Verdana" w:hAnsi="Verdana"/>
                <w:color w:val="000000"/>
                <w:sz w:val="18"/>
                <w:szCs w:val="18"/>
                <w:lang w:val="en"/>
              </w:rPr>
              <w:t>M</w:t>
            </w:r>
            <w:r w:rsidRPr="00BD3BC4">
              <w:rPr>
                <w:rFonts w:ascii="Verdana" w:hAnsi="Verdana"/>
                <w:color w:val="000000"/>
                <w:sz w:val="18"/>
                <w:szCs w:val="18"/>
                <w:lang w:val="en"/>
              </w:rPr>
              <w:t>C meetings</w:t>
            </w:r>
          </w:p>
          <w:p w14:paraId="75D91879" w14:textId="1AD2C1E8" w:rsidR="00AF3D2A" w:rsidRPr="00BD3BC4" w:rsidRDefault="00AF3D2A" w:rsidP="00B870D7">
            <w:pPr>
              <w:pStyle w:val="ListParagraph"/>
              <w:numPr>
                <w:ilvl w:val="0"/>
                <w:numId w:val="29"/>
              </w:numPr>
              <w:rPr>
                <w:rFonts w:ascii="Verdana" w:eastAsia="Calibri" w:hAnsi="Verdana" w:cs="Calibri"/>
                <w:b/>
                <w:bCs/>
                <w:color w:val="000000"/>
                <w:sz w:val="18"/>
                <w:szCs w:val="18"/>
                <w:lang w:val="bg-BG"/>
              </w:rPr>
            </w:pPr>
            <w:r w:rsidRPr="00BD3BC4">
              <w:rPr>
                <w:rFonts w:ascii="Verdana" w:hAnsi="Verdana"/>
                <w:color w:val="000000"/>
                <w:sz w:val="18"/>
                <w:szCs w:val="18"/>
                <w:lang w:val="en"/>
              </w:rPr>
              <w:t>Project documentation of investment projects: application forms, cost-benefit analyses, EIA reports, final reports, sustainability reports</w:t>
            </w:r>
          </w:p>
          <w:p w14:paraId="248CBDB0" w14:textId="7D44E9C4" w:rsidR="00AF3D2A" w:rsidRPr="00BD3BC4" w:rsidRDefault="00C32454" w:rsidP="00B870D7">
            <w:pPr>
              <w:pStyle w:val="ListParagraph"/>
              <w:numPr>
                <w:ilvl w:val="0"/>
                <w:numId w:val="29"/>
              </w:numPr>
              <w:rPr>
                <w:rFonts w:ascii="Verdana" w:eastAsia="Calibri" w:hAnsi="Verdana" w:cs="Calibri"/>
                <w:color w:val="000000"/>
                <w:sz w:val="18"/>
                <w:szCs w:val="18"/>
                <w:lang w:val="bg-BG"/>
              </w:rPr>
            </w:pPr>
            <w:r w:rsidRPr="00BD3BC4">
              <w:rPr>
                <w:rFonts w:ascii="Verdana" w:hAnsi="Verdana"/>
                <w:color w:val="000000"/>
                <w:sz w:val="18"/>
                <w:szCs w:val="18"/>
                <w:lang w:val="en"/>
              </w:rPr>
              <w:t xml:space="preserve">Assessments of the </w:t>
            </w:r>
            <w:r w:rsidR="00AF3D2A" w:rsidRPr="00BD3BC4">
              <w:rPr>
                <w:rFonts w:ascii="Verdana" w:hAnsi="Verdana"/>
                <w:color w:val="000000"/>
                <w:sz w:val="18"/>
                <w:szCs w:val="18"/>
                <w:lang w:val="en"/>
              </w:rPr>
              <w:t>OPT:</w:t>
            </w:r>
          </w:p>
          <w:p w14:paraId="4655D9C9" w14:textId="77777777" w:rsidR="00AF3D2A" w:rsidRPr="00BD3BC4" w:rsidRDefault="00AF3D2A" w:rsidP="00B870D7">
            <w:pPr>
              <w:pStyle w:val="ListParagraph"/>
              <w:numPr>
                <w:ilvl w:val="1"/>
                <w:numId w:val="29"/>
              </w:numPr>
              <w:tabs>
                <w:tab w:val="left" w:pos="967"/>
              </w:tabs>
              <w:ind w:left="877" w:hanging="360"/>
              <w:rPr>
                <w:rFonts w:ascii="Verdana" w:eastAsia="Calibri" w:hAnsi="Verdana" w:cs="Calibri"/>
                <w:color w:val="000000"/>
                <w:sz w:val="18"/>
                <w:szCs w:val="18"/>
                <w:lang w:val="bg-BG"/>
              </w:rPr>
            </w:pPr>
            <w:r w:rsidRPr="00BD3BC4">
              <w:rPr>
                <w:rFonts w:ascii="Verdana" w:hAnsi="Verdana"/>
                <w:color w:val="000000"/>
                <w:sz w:val="18"/>
                <w:szCs w:val="18"/>
                <w:lang w:val="en"/>
              </w:rPr>
              <w:t xml:space="preserve">Ex ante evaluation </w:t>
            </w:r>
          </w:p>
          <w:p w14:paraId="6690CD7B" w14:textId="5F91104B" w:rsidR="00AF3D2A" w:rsidRPr="00BD3BC4" w:rsidRDefault="00AF3D2A" w:rsidP="00B870D7">
            <w:pPr>
              <w:pStyle w:val="ListParagraph"/>
              <w:numPr>
                <w:ilvl w:val="1"/>
                <w:numId w:val="29"/>
              </w:numPr>
              <w:tabs>
                <w:tab w:val="left" w:pos="967"/>
              </w:tabs>
              <w:ind w:left="877" w:hanging="360"/>
              <w:rPr>
                <w:rFonts w:ascii="Verdana" w:eastAsia="Calibri" w:hAnsi="Verdana" w:cs="Calibri"/>
                <w:color w:val="000000"/>
                <w:sz w:val="18"/>
                <w:szCs w:val="18"/>
                <w:lang w:val="bg-BG"/>
              </w:rPr>
            </w:pPr>
            <w:r w:rsidRPr="00BD3BC4">
              <w:rPr>
                <w:rFonts w:ascii="Verdana" w:hAnsi="Verdana"/>
                <w:color w:val="000000"/>
                <w:sz w:val="18"/>
                <w:szCs w:val="18"/>
                <w:lang w:val="en"/>
              </w:rPr>
              <w:t>Environmental assessment</w:t>
            </w:r>
          </w:p>
          <w:p w14:paraId="637E87C8" w14:textId="0D03F73D" w:rsidR="00D40597" w:rsidRPr="00BD3BC4" w:rsidRDefault="00D40597" w:rsidP="00B870D7">
            <w:pPr>
              <w:pStyle w:val="ListParagraph"/>
              <w:numPr>
                <w:ilvl w:val="1"/>
                <w:numId w:val="29"/>
              </w:numPr>
              <w:tabs>
                <w:tab w:val="left" w:pos="967"/>
              </w:tabs>
              <w:ind w:left="877" w:hanging="360"/>
              <w:rPr>
                <w:rFonts w:ascii="Verdana" w:eastAsia="Calibri" w:hAnsi="Verdana" w:cs="Calibri"/>
                <w:color w:val="000000"/>
                <w:sz w:val="18"/>
                <w:szCs w:val="18"/>
                <w:lang w:val="bg-BG"/>
              </w:rPr>
            </w:pPr>
            <w:r w:rsidRPr="00BD3BC4">
              <w:rPr>
                <w:rFonts w:ascii="Verdana" w:hAnsi="Verdana"/>
                <w:color w:val="000000"/>
                <w:sz w:val="18"/>
                <w:szCs w:val="18"/>
                <w:lang w:val="en"/>
              </w:rPr>
              <w:t>Mid-term evaluation of the progress and overall implementation of the Programme, 2011</w:t>
            </w:r>
          </w:p>
          <w:p w14:paraId="21AC63E7" w14:textId="452C79B5" w:rsidR="00205E6F" w:rsidRPr="00BD3BC4" w:rsidRDefault="00205E6F" w:rsidP="00B870D7">
            <w:pPr>
              <w:pStyle w:val="ListParagraph"/>
              <w:numPr>
                <w:ilvl w:val="1"/>
                <w:numId w:val="29"/>
              </w:numPr>
              <w:tabs>
                <w:tab w:val="left" w:pos="967"/>
              </w:tabs>
              <w:ind w:left="877" w:hanging="360"/>
              <w:rPr>
                <w:rFonts w:ascii="Verdana" w:eastAsia="Calibri" w:hAnsi="Verdana" w:cs="Calibri"/>
                <w:color w:val="000000"/>
                <w:sz w:val="18"/>
                <w:szCs w:val="18"/>
                <w:lang w:val="bg-BG"/>
              </w:rPr>
            </w:pPr>
            <w:r w:rsidRPr="00BD3BC4">
              <w:rPr>
                <w:rFonts w:ascii="Verdana" w:hAnsi="Verdana"/>
                <w:color w:val="000000"/>
                <w:sz w:val="18"/>
                <w:szCs w:val="18"/>
                <w:lang w:val="en"/>
              </w:rPr>
              <w:t xml:space="preserve">Evaluation of the integration of horizontal principles into the management, monitoring and implementation of the </w:t>
            </w:r>
            <w:r w:rsidR="00C32454" w:rsidRPr="00BD3BC4">
              <w:rPr>
                <w:rFonts w:ascii="Verdana" w:hAnsi="Verdana"/>
                <w:color w:val="000000"/>
                <w:sz w:val="18"/>
                <w:szCs w:val="18"/>
                <w:lang w:val="en"/>
              </w:rPr>
              <w:t>O</w:t>
            </w:r>
            <w:r w:rsidRPr="00BD3BC4">
              <w:rPr>
                <w:rFonts w:ascii="Verdana" w:hAnsi="Verdana"/>
                <w:color w:val="000000"/>
                <w:sz w:val="18"/>
                <w:szCs w:val="18"/>
                <w:lang w:val="en"/>
              </w:rPr>
              <w:t>P</w:t>
            </w:r>
            <w:r w:rsidR="00C32454" w:rsidRPr="00BD3BC4">
              <w:rPr>
                <w:rFonts w:ascii="Verdana" w:hAnsi="Verdana"/>
                <w:color w:val="000000"/>
                <w:sz w:val="18"/>
                <w:szCs w:val="18"/>
                <w:lang w:val="en"/>
              </w:rPr>
              <w:t>T</w:t>
            </w:r>
            <w:r w:rsidRPr="00BD3BC4">
              <w:rPr>
                <w:rFonts w:ascii="Verdana" w:hAnsi="Verdana"/>
                <w:color w:val="000000"/>
                <w:sz w:val="18"/>
                <w:szCs w:val="18"/>
                <w:lang w:val="en"/>
              </w:rPr>
              <w:t>, 2012</w:t>
            </w:r>
          </w:p>
          <w:p w14:paraId="47BBAE77" w14:textId="2CBF35A3" w:rsidR="00AF3D2A" w:rsidRPr="00BD3BC4" w:rsidRDefault="00AF3D2A" w:rsidP="00B870D7">
            <w:pPr>
              <w:pStyle w:val="ListParagraph"/>
              <w:numPr>
                <w:ilvl w:val="1"/>
                <w:numId w:val="29"/>
              </w:numPr>
              <w:ind w:left="877" w:hanging="360"/>
              <w:rPr>
                <w:rFonts w:ascii="Verdana" w:eastAsia="Calibri" w:hAnsi="Verdana" w:cs="Calibri"/>
                <w:color w:val="000000"/>
                <w:sz w:val="18"/>
                <w:szCs w:val="18"/>
                <w:lang w:val="bg-BG"/>
              </w:rPr>
            </w:pPr>
            <w:r w:rsidRPr="00BD3BC4">
              <w:rPr>
                <w:rFonts w:ascii="Verdana" w:hAnsi="Verdana"/>
                <w:color w:val="000000"/>
                <w:sz w:val="18"/>
                <w:szCs w:val="18"/>
                <w:lang w:val="en"/>
              </w:rPr>
              <w:t>Evaluation of</w:t>
            </w:r>
            <w:r w:rsidRPr="00BD3BC4">
              <w:rPr>
                <w:rFonts w:ascii="Verdana" w:hAnsi="Verdana"/>
                <w:sz w:val="18"/>
                <w:szCs w:val="18"/>
                <w:lang w:val="en"/>
              </w:rPr>
              <w:t xml:space="preserve"> the OPT monitoring system, 2011</w:t>
            </w:r>
          </w:p>
          <w:p w14:paraId="0620D69D" w14:textId="77777777" w:rsidR="00AF3D2A" w:rsidRPr="00BD3BC4" w:rsidRDefault="00AF3D2A" w:rsidP="00B870D7">
            <w:pPr>
              <w:pStyle w:val="ListParagraph"/>
              <w:numPr>
                <w:ilvl w:val="0"/>
                <w:numId w:val="29"/>
              </w:numPr>
              <w:spacing w:line="256" w:lineRule="auto"/>
              <w:jc w:val="both"/>
              <w:rPr>
                <w:rFonts w:ascii="Verdana" w:hAnsi="Verdana"/>
                <w:sz w:val="18"/>
                <w:szCs w:val="18"/>
                <w:lang w:val="bg-BG"/>
              </w:rPr>
            </w:pPr>
            <w:r w:rsidRPr="00BD3BC4">
              <w:rPr>
                <w:rFonts w:ascii="Verdana" w:hAnsi="Verdana"/>
                <w:sz w:val="18"/>
                <w:szCs w:val="18"/>
                <w:lang w:val="en"/>
              </w:rPr>
              <w:t>Reports of audit missions of the European Commission / European Court of Auditors</w:t>
            </w:r>
          </w:p>
          <w:p w14:paraId="46108861" w14:textId="27B6248F" w:rsidR="00AD1E12" w:rsidRPr="00BD3BC4" w:rsidRDefault="00F21AAA" w:rsidP="00B870D7">
            <w:pPr>
              <w:pStyle w:val="ListParagraph"/>
              <w:numPr>
                <w:ilvl w:val="0"/>
                <w:numId w:val="29"/>
              </w:numPr>
              <w:spacing w:line="256" w:lineRule="auto"/>
              <w:jc w:val="both"/>
              <w:rPr>
                <w:rFonts w:ascii="Verdana" w:hAnsi="Verdana"/>
                <w:sz w:val="18"/>
                <w:szCs w:val="18"/>
                <w:lang w:val="bg-BG"/>
              </w:rPr>
            </w:pPr>
            <w:r w:rsidRPr="00BD3BC4">
              <w:rPr>
                <w:rFonts w:ascii="Verdana" w:hAnsi="Verdana"/>
                <w:sz w:val="18"/>
                <w:szCs w:val="18"/>
                <w:lang w:val="en"/>
              </w:rPr>
              <w:t xml:space="preserve">Environment Monitoring Master Plan for </w:t>
            </w:r>
            <w:r w:rsidR="00BD3BC4" w:rsidRPr="00BD3BC4">
              <w:rPr>
                <w:rFonts w:ascii="Verdana" w:hAnsi="Verdana"/>
                <w:sz w:val="18"/>
                <w:szCs w:val="18"/>
                <w:lang w:val="en"/>
              </w:rPr>
              <w:t>OP</w:t>
            </w:r>
            <w:r w:rsidRPr="00BD3BC4">
              <w:rPr>
                <w:rFonts w:ascii="Verdana" w:hAnsi="Verdana"/>
                <w:sz w:val="18"/>
                <w:szCs w:val="18"/>
                <w:lang w:val="en"/>
              </w:rPr>
              <w:t>T and General Transport Master Plan, 2012</w:t>
            </w:r>
          </w:p>
          <w:p w14:paraId="079520C7" w14:textId="0D792FA8" w:rsidR="00AF3D2A" w:rsidRPr="00BD3BC4" w:rsidRDefault="00AD1E12" w:rsidP="00B870D7">
            <w:pPr>
              <w:pStyle w:val="ListParagraph"/>
              <w:numPr>
                <w:ilvl w:val="0"/>
                <w:numId w:val="29"/>
              </w:numPr>
              <w:spacing w:line="256" w:lineRule="auto"/>
              <w:jc w:val="both"/>
              <w:rPr>
                <w:rFonts w:ascii="Verdana" w:hAnsi="Verdana"/>
                <w:sz w:val="18"/>
                <w:szCs w:val="18"/>
                <w:lang w:val="bg-BG"/>
              </w:rPr>
            </w:pPr>
            <w:r w:rsidRPr="00BD3BC4">
              <w:rPr>
                <w:rFonts w:ascii="Verdana" w:hAnsi="Verdana"/>
                <w:sz w:val="18"/>
                <w:szCs w:val="18"/>
                <w:lang w:val="en"/>
              </w:rPr>
              <w:t xml:space="preserve">Environmental impact monitoring and control reports on the implementation of the </w:t>
            </w:r>
            <w:r w:rsidR="00BD3BC4" w:rsidRPr="00BD3BC4">
              <w:rPr>
                <w:rFonts w:ascii="Verdana" w:hAnsi="Verdana"/>
                <w:sz w:val="18"/>
                <w:szCs w:val="18"/>
                <w:lang w:val="en"/>
              </w:rPr>
              <w:t>OP</w:t>
            </w:r>
            <w:r w:rsidRPr="00BD3BC4">
              <w:rPr>
                <w:rFonts w:ascii="Verdana" w:hAnsi="Verdana"/>
                <w:sz w:val="18"/>
                <w:szCs w:val="18"/>
                <w:lang w:val="en"/>
              </w:rPr>
              <w:t>T and the General Transport Master Plan</w:t>
            </w:r>
          </w:p>
          <w:p w14:paraId="612CCDB9" w14:textId="6E437F10" w:rsidR="000C473C" w:rsidRPr="00BD3BC4" w:rsidRDefault="000C473C" w:rsidP="00B870D7">
            <w:pPr>
              <w:pStyle w:val="ListParagraph"/>
              <w:numPr>
                <w:ilvl w:val="0"/>
                <w:numId w:val="29"/>
              </w:numPr>
              <w:spacing w:line="256" w:lineRule="auto"/>
              <w:jc w:val="both"/>
              <w:rPr>
                <w:rFonts w:ascii="Verdana" w:hAnsi="Verdana"/>
                <w:sz w:val="18"/>
                <w:szCs w:val="18"/>
                <w:lang w:val="bg-BG"/>
              </w:rPr>
            </w:pPr>
            <w:r w:rsidRPr="00BD3BC4">
              <w:rPr>
                <w:rFonts w:ascii="Verdana" w:hAnsi="Verdana"/>
                <w:sz w:val="18"/>
                <w:szCs w:val="18"/>
                <w:lang w:val="en"/>
              </w:rPr>
              <w:t>GIS of OPT 2007-2013;</w:t>
            </w:r>
          </w:p>
        </w:tc>
      </w:tr>
      <w:tr w:rsidR="00AF3D2A" w:rsidRPr="006C49C7" w14:paraId="7D3AC5C3" w14:textId="77777777" w:rsidTr="006C1BB3">
        <w:tc>
          <w:tcPr>
            <w:tcW w:w="5000" w:type="pct"/>
            <w:shd w:val="clear" w:color="auto" w:fill="374C80" w:themeFill="accent1" w:themeFillShade="BF"/>
          </w:tcPr>
          <w:p w14:paraId="558227B9" w14:textId="77777777" w:rsidR="00AF3D2A" w:rsidRPr="006C49C7" w:rsidRDefault="00AF3D2A" w:rsidP="00A52096">
            <w:pPr>
              <w:jc w:val="center"/>
              <w:rPr>
                <w:rFonts w:ascii="Verdana" w:hAnsi="Verdana"/>
                <w:b/>
                <w:color w:val="FFFFFF" w:themeColor="background1"/>
                <w:sz w:val="20"/>
                <w:szCs w:val="20"/>
                <w:highlight w:val="yellow"/>
                <w:lang w:val="bg-BG"/>
              </w:rPr>
            </w:pPr>
            <w:r w:rsidRPr="00C20225">
              <w:rPr>
                <w:rFonts w:ascii="Verdana" w:hAnsi="Verdana"/>
                <w:b/>
                <w:color w:val="FFFFFF" w:themeColor="background1"/>
                <w:sz w:val="20"/>
                <w:szCs w:val="20"/>
                <w:lang w:val="en"/>
              </w:rPr>
              <w:t>Strategic documents</w:t>
            </w:r>
          </w:p>
        </w:tc>
      </w:tr>
      <w:tr w:rsidR="00AF3D2A" w:rsidRPr="006C49C7" w14:paraId="2E1C5CC4" w14:textId="77777777" w:rsidTr="006C1BB3">
        <w:tc>
          <w:tcPr>
            <w:tcW w:w="5000" w:type="pct"/>
          </w:tcPr>
          <w:p w14:paraId="706242DC" w14:textId="77777777" w:rsidR="00BD3BC4" w:rsidRPr="000848A5" w:rsidRDefault="00BD3BC4"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0848A5">
              <w:rPr>
                <w:rFonts w:ascii="Verdana" w:hAnsi="Verdana"/>
                <w:color w:val="000000"/>
                <w:sz w:val="18"/>
                <w:szCs w:val="18"/>
                <w:lang w:val="en"/>
              </w:rPr>
              <w:t>National Strategic Reference Framework</w:t>
            </w:r>
          </w:p>
          <w:p w14:paraId="15B585BA" w14:textId="76F3571F" w:rsidR="00DA30C4" w:rsidRPr="000848A5" w:rsidRDefault="00DA30C4"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0848A5">
              <w:rPr>
                <w:rFonts w:ascii="Verdana" w:hAnsi="Verdana"/>
                <w:color w:val="000000"/>
                <w:sz w:val="18"/>
                <w:szCs w:val="18"/>
                <w:lang w:val="en"/>
              </w:rPr>
              <w:t>National Development Plan of the Republic of Bulgaria 2007-2013</w:t>
            </w:r>
          </w:p>
          <w:p w14:paraId="6C8B3B1B" w14:textId="49E1D0FF" w:rsidR="00AF3D2A" w:rsidRPr="000848A5" w:rsidRDefault="00AF3D2A"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0848A5">
              <w:rPr>
                <w:rFonts w:ascii="Verdana" w:hAnsi="Verdana"/>
                <w:color w:val="000000"/>
                <w:sz w:val="18"/>
                <w:szCs w:val="18"/>
                <w:lang w:val="en"/>
              </w:rPr>
              <w:t>White Paper: 'European transport policy by 2010 – time for a solution'</w:t>
            </w:r>
          </w:p>
          <w:p w14:paraId="34677697" w14:textId="7EC060B2" w:rsidR="00AF3D2A" w:rsidRPr="000848A5" w:rsidRDefault="00AF3D2A"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0848A5">
              <w:rPr>
                <w:rFonts w:ascii="Verdana" w:hAnsi="Verdana"/>
                <w:color w:val="000000"/>
                <w:sz w:val="18"/>
                <w:szCs w:val="18"/>
                <w:lang w:val="en"/>
              </w:rPr>
              <w:t>Strategy for development of the transport infrastructure of the Republic of Bulgaria by 2015</w:t>
            </w:r>
          </w:p>
          <w:p w14:paraId="003D5B65" w14:textId="3A124144" w:rsidR="00AF3D2A" w:rsidRPr="000848A5" w:rsidRDefault="00AF3D2A"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0848A5">
              <w:rPr>
                <w:rFonts w:ascii="Verdana" w:hAnsi="Verdana"/>
                <w:color w:val="000000"/>
                <w:sz w:val="18"/>
                <w:szCs w:val="18"/>
                <w:lang w:val="en"/>
              </w:rPr>
              <w:t>National strategy for integrated infrastructure development of the Republic of Bulgaria for the period 2006-2015</w:t>
            </w:r>
          </w:p>
          <w:p w14:paraId="695E8DB1" w14:textId="7347D6F0" w:rsidR="00222949" w:rsidRPr="000848A5" w:rsidRDefault="00222949"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0848A5">
              <w:rPr>
                <w:rFonts w:ascii="Verdana" w:hAnsi="Verdana"/>
                <w:color w:val="000000"/>
                <w:sz w:val="18"/>
                <w:szCs w:val="18"/>
                <w:lang w:val="en"/>
              </w:rPr>
              <w:t>General Transport Master Plan, 2010</w:t>
            </w:r>
          </w:p>
          <w:p w14:paraId="2EE00042" w14:textId="60F5C0A8" w:rsidR="00D5451B" w:rsidRPr="000848A5" w:rsidRDefault="007330B8"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0848A5">
              <w:rPr>
                <w:rFonts w:ascii="Verdana" w:hAnsi="Verdana"/>
                <w:color w:val="000000"/>
                <w:sz w:val="18"/>
                <w:szCs w:val="18"/>
                <w:lang w:val="en"/>
              </w:rPr>
              <w:t>Strategy for development of the transport system of the Republic of Bulgaria by 2020</w:t>
            </w:r>
          </w:p>
          <w:p w14:paraId="270A329D" w14:textId="77777777" w:rsidR="00D5451B" w:rsidRPr="000848A5" w:rsidRDefault="00616583"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0848A5">
              <w:rPr>
                <w:rFonts w:ascii="Verdana" w:hAnsi="Verdana"/>
                <w:color w:val="000000"/>
                <w:sz w:val="18"/>
                <w:szCs w:val="18"/>
                <w:lang w:val="en"/>
              </w:rPr>
              <w:t>Integrated transport strategy in the period up to 2030 /2017/</w:t>
            </w:r>
          </w:p>
          <w:p w14:paraId="25C2FA23" w14:textId="0D36ABF3" w:rsidR="00CD69B4" w:rsidRPr="000848A5" w:rsidRDefault="00CD69B4"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0848A5">
              <w:rPr>
                <w:rFonts w:ascii="Verdana" w:hAnsi="Verdana"/>
                <w:color w:val="000000"/>
                <w:sz w:val="18"/>
                <w:szCs w:val="18"/>
                <w:lang w:val="en"/>
              </w:rPr>
              <w:t>Program for Environmental Protection of Sofia Municipality, 2018 – 2027</w:t>
            </w:r>
          </w:p>
          <w:p w14:paraId="3A24D42C" w14:textId="77777777" w:rsidR="00FD77E6" w:rsidRPr="000848A5" w:rsidRDefault="00FD77E6"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0848A5">
              <w:rPr>
                <w:rFonts w:ascii="Verdana" w:hAnsi="Verdana"/>
                <w:color w:val="000000"/>
                <w:sz w:val="18"/>
                <w:szCs w:val="18"/>
                <w:lang w:val="en"/>
              </w:rPr>
              <w:t>Network Reference Document 2019-2020</w:t>
            </w:r>
          </w:p>
          <w:p w14:paraId="31EC6258" w14:textId="77777777" w:rsidR="000C473C" w:rsidRPr="000848A5" w:rsidRDefault="000C473C"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0848A5">
              <w:rPr>
                <w:rFonts w:ascii="Verdana" w:hAnsi="Verdana"/>
                <w:sz w:val="18"/>
                <w:szCs w:val="18"/>
                <w:lang w:val="en"/>
              </w:rPr>
              <w:t>Strategic analysis of the Republic of Bulgaria for 2012;</w:t>
            </w:r>
          </w:p>
          <w:p w14:paraId="548592F3" w14:textId="77777777" w:rsidR="000C473C" w:rsidRPr="000848A5" w:rsidRDefault="000C473C"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0848A5">
              <w:rPr>
                <w:rFonts w:ascii="Verdana" w:hAnsi="Verdana"/>
                <w:color w:val="000000"/>
                <w:sz w:val="18"/>
                <w:szCs w:val="18"/>
                <w:lang w:val="en"/>
              </w:rPr>
              <w:t>European Agreement on the Most Important Lines for International Combined Transport and Related Facilities (AGTC);</w:t>
            </w:r>
          </w:p>
          <w:p w14:paraId="23634AF9" w14:textId="77777777" w:rsidR="000C473C" w:rsidRPr="000848A5" w:rsidRDefault="000C473C"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0848A5">
              <w:rPr>
                <w:rFonts w:ascii="Verdana" w:hAnsi="Verdana"/>
                <w:color w:val="000000"/>
                <w:sz w:val="18"/>
                <w:szCs w:val="18"/>
                <w:lang w:val="en"/>
              </w:rPr>
              <w:t>Agreement on the construction of a high-quality and high-speed rail network in southeastern Europe, approved by Decision No 218 of 2 April 2009 of the Council of Ministers;</w:t>
            </w:r>
          </w:p>
          <w:p w14:paraId="792F7EB2" w14:textId="4BDF6924" w:rsidR="000C473C" w:rsidRPr="00BD3BC4" w:rsidRDefault="000C473C"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0848A5">
              <w:rPr>
                <w:rFonts w:ascii="Verdana" w:hAnsi="Verdana"/>
                <w:color w:val="000000"/>
                <w:sz w:val="18"/>
                <w:szCs w:val="18"/>
                <w:lang w:val="en"/>
              </w:rPr>
              <w:t>Mobile Sofia 2035, Sustainable Urban Mobility Plan</w:t>
            </w:r>
          </w:p>
        </w:tc>
      </w:tr>
      <w:tr w:rsidR="00AF3D2A" w:rsidRPr="006C49C7" w14:paraId="01769D70" w14:textId="77777777" w:rsidTr="006C1BB3">
        <w:tc>
          <w:tcPr>
            <w:tcW w:w="5000" w:type="pct"/>
            <w:shd w:val="clear" w:color="auto" w:fill="374C80" w:themeFill="accent1" w:themeFillShade="BF"/>
          </w:tcPr>
          <w:p w14:paraId="111F8679" w14:textId="77777777" w:rsidR="00AF3D2A" w:rsidRPr="006C49C7" w:rsidRDefault="00AF3D2A" w:rsidP="00A52096">
            <w:pPr>
              <w:jc w:val="center"/>
              <w:rPr>
                <w:rFonts w:ascii="Verdana" w:hAnsi="Verdana"/>
                <w:b/>
                <w:highlight w:val="yellow"/>
                <w:lang w:val="bg-BG"/>
              </w:rPr>
            </w:pPr>
            <w:r w:rsidRPr="00C20225">
              <w:rPr>
                <w:rFonts w:ascii="Verdana" w:hAnsi="Verdana"/>
                <w:b/>
                <w:color w:val="FFFFFF" w:themeColor="background1"/>
                <w:lang w:val="en"/>
              </w:rPr>
              <w:t>Other</w:t>
            </w:r>
          </w:p>
        </w:tc>
      </w:tr>
      <w:tr w:rsidR="00AF3D2A" w:rsidRPr="00F50700" w14:paraId="259A5294" w14:textId="77777777" w:rsidTr="006C1BB3">
        <w:tc>
          <w:tcPr>
            <w:tcW w:w="5000" w:type="pct"/>
          </w:tcPr>
          <w:p w14:paraId="3E827E1F" w14:textId="11D0CA24" w:rsidR="00AF3D2A" w:rsidRPr="00EE612B" w:rsidRDefault="000848A5"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EE612B">
              <w:rPr>
                <w:rFonts w:ascii="Verdana" w:hAnsi="Verdana"/>
                <w:color w:val="000000"/>
                <w:sz w:val="18"/>
                <w:szCs w:val="18"/>
                <w:lang w:val="en"/>
              </w:rPr>
              <w:t>Information System for Management and Monitoring of EU funds in Bulgaria</w:t>
            </w:r>
            <w:r w:rsidR="00AF3D2A" w:rsidRPr="00EE612B">
              <w:rPr>
                <w:rFonts w:ascii="Verdana" w:hAnsi="Verdana"/>
                <w:color w:val="000000"/>
                <w:sz w:val="18"/>
                <w:szCs w:val="18"/>
                <w:lang w:val="en"/>
              </w:rPr>
              <w:t>– IS</w:t>
            </w:r>
            <w:r w:rsidRPr="00EE612B">
              <w:rPr>
                <w:rFonts w:ascii="Verdana" w:hAnsi="Verdana"/>
                <w:color w:val="000000"/>
                <w:sz w:val="18"/>
                <w:szCs w:val="18"/>
                <w:lang w:val="en"/>
              </w:rPr>
              <w:t>MM</w:t>
            </w:r>
          </w:p>
          <w:p w14:paraId="40EE3C57" w14:textId="683502BE" w:rsidR="00AD1E12" w:rsidRPr="00EE612B" w:rsidRDefault="00AD1E12"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EE612B">
              <w:rPr>
                <w:rFonts w:ascii="Verdana" w:hAnsi="Verdana"/>
                <w:color w:val="000000"/>
                <w:sz w:val="18"/>
                <w:szCs w:val="18"/>
                <w:lang w:val="en"/>
              </w:rPr>
              <w:t xml:space="preserve">Report of the Ministry of Health - EU funds - assessment of the macroeconomic effects of THE </w:t>
            </w:r>
            <w:r w:rsidR="000848A5" w:rsidRPr="00EE612B">
              <w:rPr>
                <w:rFonts w:ascii="Verdana" w:hAnsi="Verdana"/>
                <w:color w:val="000000"/>
                <w:sz w:val="18"/>
                <w:szCs w:val="18"/>
                <w:lang w:val="en"/>
              </w:rPr>
              <w:t>OP</w:t>
            </w:r>
            <w:r w:rsidRPr="00EE612B">
              <w:rPr>
                <w:rFonts w:ascii="Verdana" w:hAnsi="Verdana"/>
                <w:color w:val="000000"/>
                <w:sz w:val="18"/>
                <w:szCs w:val="18"/>
                <w:lang w:val="en"/>
              </w:rPr>
              <w:t>T in the period 2007- 2018</w:t>
            </w:r>
          </w:p>
          <w:p w14:paraId="2F2D3A17" w14:textId="77F44578" w:rsidR="00AF3D2A" w:rsidRPr="00EE612B" w:rsidRDefault="00AF3D2A"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EE612B">
              <w:rPr>
                <w:rFonts w:ascii="Verdana" w:hAnsi="Verdana"/>
                <w:color w:val="000000"/>
                <w:sz w:val="18"/>
                <w:szCs w:val="18"/>
                <w:lang w:val="en"/>
              </w:rPr>
              <w:t xml:space="preserve">Accident data from </w:t>
            </w:r>
            <w:r w:rsidR="000848A5" w:rsidRPr="00EE612B">
              <w:rPr>
                <w:rFonts w:ascii="Verdana" w:hAnsi="Verdana"/>
                <w:color w:val="000000"/>
                <w:sz w:val="18"/>
                <w:szCs w:val="18"/>
                <w:lang w:val="en"/>
              </w:rPr>
              <w:t>R</w:t>
            </w:r>
            <w:r w:rsidRPr="00EE612B">
              <w:rPr>
                <w:rFonts w:ascii="Verdana" w:hAnsi="Verdana"/>
                <w:color w:val="000000"/>
                <w:sz w:val="18"/>
                <w:szCs w:val="18"/>
                <w:lang w:val="en"/>
              </w:rPr>
              <w:t>I</w:t>
            </w:r>
            <w:r w:rsidR="000848A5" w:rsidRPr="00EE612B">
              <w:rPr>
                <w:rFonts w:ascii="Verdana" w:hAnsi="Verdana"/>
                <w:color w:val="000000"/>
                <w:sz w:val="18"/>
                <w:szCs w:val="18"/>
                <w:lang w:val="en"/>
              </w:rPr>
              <w:t>A</w:t>
            </w:r>
            <w:r w:rsidRPr="00EE612B">
              <w:rPr>
                <w:rFonts w:ascii="Verdana" w:hAnsi="Verdana"/>
                <w:color w:val="000000"/>
                <w:sz w:val="18"/>
                <w:szCs w:val="18"/>
                <w:lang w:val="en"/>
              </w:rPr>
              <w:t xml:space="preserve">, Ministry of Interior and </w:t>
            </w:r>
            <w:r w:rsidR="000848A5" w:rsidRPr="00EE612B">
              <w:rPr>
                <w:rFonts w:ascii="Verdana" w:hAnsi="Verdana"/>
                <w:color w:val="000000"/>
                <w:sz w:val="18"/>
                <w:szCs w:val="18"/>
                <w:lang w:val="en"/>
              </w:rPr>
              <w:t>S</w:t>
            </w:r>
            <w:r w:rsidRPr="00EE612B">
              <w:rPr>
                <w:rFonts w:ascii="Verdana" w:hAnsi="Verdana"/>
                <w:color w:val="000000"/>
                <w:sz w:val="18"/>
                <w:szCs w:val="18"/>
                <w:lang w:val="en"/>
              </w:rPr>
              <w:t>A</w:t>
            </w:r>
            <w:r w:rsidR="000848A5" w:rsidRPr="00EE612B">
              <w:rPr>
                <w:rFonts w:ascii="Verdana" w:hAnsi="Verdana"/>
                <w:color w:val="000000"/>
                <w:sz w:val="18"/>
                <w:szCs w:val="18"/>
                <w:lang w:val="en"/>
              </w:rPr>
              <w:t>RS</w:t>
            </w:r>
          </w:p>
          <w:p w14:paraId="751A4697" w14:textId="77777777" w:rsidR="00AF3D2A" w:rsidRPr="00EE612B" w:rsidRDefault="00AF3D2A"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EE612B">
              <w:rPr>
                <w:rFonts w:ascii="Verdana" w:hAnsi="Verdana"/>
                <w:color w:val="000000"/>
                <w:sz w:val="18"/>
                <w:szCs w:val="18"/>
                <w:lang w:val="en"/>
              </w:rPr>
              <w:t>National Statistical Institute</w:t>
            </w:r>
          </w:p>
          <w:p w14:paraId="0C12FE94" w14:textId="77777777" w:rsidR="00AF3D2A" w:rsidRPr="00EE612B" w:rsidRDefault="00AF3D2A"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EE612B">
              <w:rPr>
                <w:rFonts w:ascii="Verdana" w:hAnsi="Verdana"/>
                <w:color w:val="000000"/>
                <w:sz w:val="18"/>
                <w:szCs w:val="18"/>
                <w:lang w:val="en"/>
              </w:rPr>
              <w:t>Eurostat</w:t>
            </w:r>
          </w:p>
          <w:p w14:paraId="77D427B4" w14:textId="2AC5604B" w:rsidR="00AF3D2A" w:rsidRPr="00EE612B" w:rsidRDefault="00AF3D2A"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EE612B">
              <w:rPr>
                <w:rFonts w:ascii="Verdana" w:hAnsi="Verdana"/>
                <w:color w:val="000000"/>
                <w:sz w:val="18"/>
                <w:szCs w:val="18"/>
                <w:lang w:val="en"/>
              </w:rPr>
              <w:t xml:space="preserve">Model for assessing the macroeconomic impact of EU funds </w:t>
            </w:r>
            <w:r w:rsidR="00807113" w:rsidRPr="00EE612B">
              <w:rPr>
                <w:rFonts w:ascii="Verdana" w:hAnsi="Verdana"/>
                <w:color w:val="000000"/>
                <w:sz w:val="18"/>
                <w:szCs w:val="18"/>
                <w:lang w:val="en"/>
              </w:rPr>
              <w:t>SIBILLA</w:t>
            </w:r>
            <w:r w:rsidRPr="00EE612B">
              <w:rPr>
                <w:rFonts w:ascii="Verdana" w:hAnsi="Verdana"/>
                <w:color w:val="000000"/>
                <w:sz w:val="18"/>
                <w:szCs w:val="18"/>
                <w:lang w:val="en"/>
              </w:rPr>
              <w:t xml:space="preserve"> 2.0;</w:t>
            </w:r>
          </w:p>
          <w:p w14:paraId="5C3BAF68" w14:textId="77777777" w:rsidR="00C90013" w:rsidRPr="00EE612B" w:rsidRDefault="00F25316"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EE612B">
              <w:rPr>
                <w:rFonts w:ascii="Verdana" w:hAnsi="Verdana"/>
                <w:color w:val="000000"/>
                <w:sz w:val="18"/>
                <w:szCs w:val="18"/>
                <w:lang w:val="en"/>
              </w:rPr>
              <w:t>Ex post evaluation of Cohesion Policy programmes 2007-2013, focusing on the European Regional Development Fund (ERDF) and the Cohesion Fund (CF), 2016</w:t>
            </w:r>
          </w:p>
          <w:p w14:paraId="4E1BA96C" w14:textId="77777777" w:rsidR="00237166" w:rsidRPr="00EE612B" w:rsidRDefault="00237166" w:rsidP="00237166">
            <w:pPr>
              <w:pStyle w:val="ListParagraph"/>
              <w:numPr>
                <w:ilvl w:val="0"/>
                <w:numId w:val="29"/>
              </w:numPr>
              <w:spacing w:line="256" w:lineRule="auto"/>
              <w:jc w:val="both"/>
              <w:rPr>
                <w:rFonts w:ascii="Verdana" w:hAnsi="Verdana"/>
                <w:sz w:val="18"/>
                <w:szCs w:val="18"/>
                <w:lang w:val="en"/>
              </w:rPr>
            </w:pPr>
            <w:r w:rsidRPr="00EE612B">
              <w:rPr>
                <w:rFonts w:ascii="Verdana" w:hAnsi="Verdana"/>
                <w:sz w:val="18"/>
                <w:szCs w:val="18"/>
                <w:lang w:val="en"/>
              </w:rPr>
              <w:t xml:space="preserve">Council of Ministers (2012). 2012 Strategic Analysis of Republic of Bulgaria. </w:t>
            </w:r>
          </w:p>
          <w:p w14:paraId="163F6203" w14:textId="77777777" w:rsidR="00237166" w:rsidRPr="00EE612B" w:rsidRDefault="00237166" w:rsidP="00237166">
            <w:pPr>
              <w:pStyle w:val="ListParagraph"/>
              <w:numPr>
                <w:ilvl w:val="0"/>
                <w:numId w:val="29"/>
              </w:numPr>
              <w:spacing w:line="256" w:lineRule="auto"/>
              <w:jc w:val="both"/>
              <w:rPr>
                <w:rFonts w:ascii="Verdana" w:hAnsi="Verdana"/>
                <w:sz w:val="18"/>
                <w:szCs w:val="18"/>
                <w:lang w:val="en"/>
              </w:rPr>
            </w:pPr>
            <w:r w:rsidRPr="00EE612B">
              <w:rPr>
                <w:rFonts w:ascii="Verdana" w:hAnsi="Verdana"/>
                <w:sz w:val="18"/>
                <w:szCs w:val="18"/>
                <w:lang w:val="en"/>
              </w:rPr>
              <w:t xml:space="preserve">  Council of Ministers (2015). Net Effects of EU-funded Policies. </w:t>
            </w:r>
          </w:p>
          <w:p w14:paraId="4D465F3C" w14:textId="77777777" w:rsidR="00237166" w:rsidRPr="00EE612B" w:rsidRDefault="00237166" w:rsidP="00237166">
            <w:pPr>
              <w:pStyle w:val="ListParagraph"/>
              <w:numPr>
                <w:ilvl w:val="0"/>
                <w:numId w:val="29"/>
              </w:numPr>
              <w:spacing w:line="256" w:lineRule="auto"/>
              <w:jc w:val="both"/>
              <w:rPr>
                <w:rFonts w:ascii="Verdana" w:eastAsia="Calibri" w:hAnsi="Verdana" w:cs="Calibri"/>
                <w:color w:val="000000"/>
                <w:sz w:val="18"/>
                <w:szCs w:val="18"/>
                <w:lang w:val="bg-BG"/>
              </w:rPr>
            </w:pPr>
            <w:r w:rsidRPr="00EE612B">
              <w:rPr>
                <w:rFonts w:ascii="Verdana" w:hAnsi="Verdana"/>
                <w:sz w:val="18"/>
                <w:szCs w:val="18"/>
                <w:lang w:val="en"/>
              </w:rPr>
              <w:t xml:space="preserve">  Ministry of Finance (2016). EU Funds in Bulgaria: Evaluation of Macroeconomic Effects from the Implementation of the Programmes, co-funded by the EU. </w:t>
            </w:r>
          </w:p>
          <w:p w14:paraId="749C7BCD" w14:textId="2684BCA9" w:rsidR="00FD77E6" w:rsidRPr="00EE612B" w:rsidRDefault="0085245B" w:rsidP="00237166">
            <w:pPr>
              <w:pStyle w:val="ListParagraph"/>
              <w:numPr>
                <w:ilvl w:val="0"/>
                <w:numId w:val="29"/>
              </w:numPr>
              <w:spacing w:line="256" w:lineRule="auto"/>
              <w:jc w:val="both"/>
              <w:rPr>
                <w:rFonts w:ascii="Verdana" w:eastAsia="Calibri" w:hAnsi="Verdana" w:cs="Calibri"/>
                <w:color w:val="000000"/>
                <w:sz w:val="18"/>
                <w:szCs w:val="18"/>
                <w:lang w:val="bg-BG"/>
              </w:rPr>
            </w:pPr>
            <w:r w:rsidRPr="00EE612B">
              <w:rPr>
                <w:rFonts w:ascii="Verdana" w:hAnsi="Verdana"/>
                <w:color w:val="000000"/>
                <w:sz w:val="18"/>
                <w:szCs w:val="18"/>
                <w:lang w:val="en"/>
              </w:rPr>
              <w:lastRenderedPageBreak/>
              <w:t xml:space="preserve"> Co2, CH4, N2O inventory report measured in CO2 equivalent released into the atmosphere as a result of energy consumption and other emission sources on the territory of Sofia Municipality /2017/</w:t>
            </w:r>
          </w:p>
          <w:p w14:paraId="6F92F67E" w14:textId="647A3B2D" w:rsidR="00C5032B" w:rsidRPr="00EE612B" w:rsidRDefault="00B03DEB"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EE612B">
              <w:rPr>
                <w:rFonts w:ascii="Verdana" w:hAnsi="Verdana"/>
                <w:color w:val="000000"/>
                <w:sz w:val="18"/>
                <w:szCs w:val="18"/>
                <w:lang w:val="en"/>
              </w:rPr>
              <w:t>National guidelines for the preparation of cost-benefit analyses in the transport sector for the period 2007-2013</w:t>
            </w:r>
          </w:p>
          <w:p w14:paraId="5703CD8D" w14:textId="526C9D35" w:rsidR="00D85D45" w:rsidRPr="00EE612B" w:rsidRDefault="00D85D45"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EE612B">
              <w:rPr>
                <w:rFonts w:ascii="Verdana" w:hAnsi="Verdana"/>
                <w:color w:val="000000"/>
                <w:sz w:val="18"/>
                <w:szCs w:val="18"/>
                <w:lang w:val="en"/>
              </w:rPr>
              <w:t xml:space="preserve">Report on socio-economic development of Bulgaria for the period 2007-2017, source: </w:t>
            </w:r>
            <w:hyperlink r:id="rId38" w:history="1">
              <w:r w:rsidRPr="00EE612B">
                <w:rPr>
                  <w:rFonts w:ascii="Verdana" w:hAnsi="Verdana"/>
                  <w:color w:val="000000"/>
                  <w:sz w:val="18"/>
                  <w:szCs w:val="18"/>
                  <w:lang w:val="en"/>
                </w:rPr>
                <w:t>www.eufunds.bg</w:t>
              </w:r>
            </w:hyperlink>
          </w:p>
          <w:p w14:paraId="45D76B6E" w14:textId="6C895CE9" w:rsidR="00F25316" w:rsidRPr="00EE612B" w:rsidRDefault="00651909"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EE612B">
              <w:rPr>
                <w:rFonts w:ascii="Verdana" w:hAnsi="Verdana"/>
                <w:color w:val="000000"/>
                <w:sz w:val="18"/>
                <w:szCs w:val="18"/>
                <w:lang w:val="en"/>
              </w:rPr>
              <w:t xml:space="preserve">Report on the state of road safety of the Republic of Bulgaria, 2020 </w:t>
            </w:r>
          </w:p>
          <w:p w14:paraId="78F52D05" w14:textId="77777777" w:rsidR="00F21AAA" w:rsidRPr="00EE612B" w:rsidRDefault="00920678"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EE612B">
              <w:rPr>
                <w:rFonts w:ascii="Verdana" w:hAnsi="Verdana"/>
                <w:color w:val="000000"/>
                <w:sz w:val="18"/>
                <w:szCs w:val="18"/>
                <w:lang w:val="en"/>
              </w:rPr>
              <w:t xml:space="preserve">Report on the EU Core Road Network, European Court of Auditors, 2020 </w:t>
            </w:r>
          </w:p>
          <w:p w14:paraId="6E8A45F5" w14:textId="77777777" w:rsidR="00265AE1" w:rsidRPr="00EE612B" w:rsidRDefault="00265AE1" w:rsidP="00B870D7">
            <w:pPr>
              <w:pStyle w:val="ListParagraph"/>
              <w:numPr>
                <w:ilvl w:val="0"/>
                <w:numId w:val="29"/>
              </w:numPr>
              <w:spacing w:line="256" w:lineRule="auto"/>
              <w:jc w:val="both"/>
              <w:rPr>
                <w:rFonts w:ascii="Verdana" w:eastAsia="Calibri" w:hAnsi="Verdana" w:cs="Calibri"/>
                <w:color w:val="000000"/>
                <w:sz w:val="18"/>
                <w:szCs w:val="18"/>
                <w:lang w:val="bg-BG"/>
              </w:rPr>
            </w:pPr>
            <w:r w:rsidRPr="00EE612B">
              <w:rPr>
                <w:rFonts w:ascii="Verdana" w:hAnsi="Verdana"/>
                <w:color w:val="000000"/>
                <w:sz w:val="18"/>
                <w:szCs w:val="18"/>
                <w:lang w:val="en"/>
              </w:rPr>
              <w:t>Data on the realized traffic on the built road infrastructure from the automatic counting points published on the official website of API for 2017, 2018 and 2019.</w:t>
            </w:r>
          </w:p>
          <w:p w14:paraId="108B81BA" w14:textId="255B40F1" w:rsidR="00265AE1" w:rsidRPr="00EE612B" w:rsidRDefault="00265AE1" w:rsidP="00B870D7">
            <w:pPr>
              <w:pStyle w:val="ListParagraph"/>
              <w:numPr>
                <w:ilvl w:val="0"/>
                <w:numId w:val="29"/>
              </w:numPr>
              <w:spacing w:line="256" w:lineRule="auto"/>
              <w:jc w:val="both"/>
              <w:rPr>
                <w:rFonts w:ascii="Verdana" w:hAnsi="Verdana"/>
                <w:sz w:val="18"/>
                <w:szCs w:val="18"/>
                <w:lang w:val="bg-BG"/>
              </w:rPr>
            </w:pPr>
            <w:r w:rsidRPr="00EE612B">
              <w:rPr>
                <w:rFonts w:ascii="Verdana" w:hAnsi="Verdana"/>
                <w:color w:val="000000"/>
                <w:sz w:val="18"/>
                <w:szCs w:val="18"/>
                <w:lang w:val="en"/>
              </w:rPr>
              <w:t xml:space="preserve">Data on the realized traffic on the built infrastructure by Metropolitan </w:t>
            </w:r>
            <w:r w:rsidR="00237166" w:rsidRPr="00EE612B">
              <w:rPr>
                <w:rFonts w:ascii="Verdana" w:hAnsi="Verdana"/>
                <w:color w:val="000000"/>
                <w:sz w:val="18"/>
                <w:szCs w:val="18"/>
                <w:lang w:val="en"/>
              </w:rPr>
              <w:t>JSC</w:t>
            </w:r>
            <w:r w:rsidRPr="00EE612B">
              <w:rPr>
                <w:rFonts w:ascii="Verdana" w:hAnsi="Verdana"/>
                <w:color w:val="000000"/>
                <w:sz w:val="18"/>
                <w:szCs w:val="18"/>
                <w:lang w:val="en"/>
              </w:rPr>
              <w:t xml:space="preserve"> and N</w:t>
            </w:r>
            <w:r w:rsidR="00237166" w:rsidRPr="00EE612B">
              <w:rPr>
                <w:rFonts w:ascii="Verdana" w:hAnsi="Verdana"/>
                <w:color w:val="000000"/>
                <w:sz w:val="18"/>
                <w:szCs w:val="18"/>
                <w:lang w:val="en"/>
              </w:rPr>
              <w:t>R</w:t>
            </w:r>
            <w:r w:rsidRPr="00EE612B">
              <w:rPr>
                <w:rFonts w:ascii="Verdana" w:hAnsi="Verdana"/>
                <w:color w:val="000000"/>
                <w:sz w:val="18"/>
                <w:szCs w:val="18"/>
                <w:lang w:val="en"/>
              </w:rPr>
              <w:t>I</w:t>
            </w:r>
            <w:r w:rsidR="00237166" w:rsidRPr="00EE612B">
              <w:rPr>
                <w:rFonts w:ascii="Verdana" w:hAnsi="Verdana"/>
                <w:color w:val="000000"/>
                <w:sz w:val="18"/>
                <w:szCs w:val="18"/>
                <w:lang w:val="en"/>
              </w:rPr>
              <w:t>C</w:t>
            </w:r>
            <w:r w:rsidRPr="00EE612B">
              <w:rPr>
                <w:rFonts w:ascii="Verdana" w:hAnsi="Verdana"/>
                <w:color w:val="000000"/>
                <w:sz w:val="18"/>
                <w:szCs w:val="18"/>
                <w:lang w:val="en"/>
              </w:rPr>
              <w:t xml:space="preserve"> for 2017, 2018 and 2019</w:t>
            </w:r>
          </w:p>
          <w:p w14:paraId="52FC6D46" w14:textId="77777777" w:rsidR="000C473C" w:rsidRPr="00EE612B" w:rsidRDefault="000C473C" w:rsidP="00B870D7">
            <w:pPr>
              <w:pStyle w:val="ListParagraph"/>
              <w:numPr>
                <w:ilvl w:val="0"/>
                <w:numId w:val="29"/>
              </w:numPr>
              <w:spacing w:line="256" w:lineRule="auto"/>
              <w:jc w:val="both"/>
              <w:rPr>
                <w:rFonts w:ascii="Verdana" w:hAnsi="Verdana"/>
                <w:sz w:val="18"/>
                <w:szCs w:val="18"/>
                <w:lang w:val="bg-BG"/>
              </w:rPr>
            </w:pPr>
            <w:r w:rsidRPr="00EE612B">
              <w:rPr>
                <w:rFonts w:ascii="Verdana" w:hAnsi="Verdana"/>
                <w:sz w:val="18"/>
                <w:szCs w:val="18"/>
                <w:lang w:val="en"/>
              </w:rPr>
              <w:t>Socio-economic development of Bulgaria 2007-2017;</w:t>
            </w:r>
          </w:p>
          <w:p w14:paraId="38F8FE52" w14:textId="77777777" w:rsidR="000C473C" w:rsidRPr="00EE612B" w:rsidRDefault="000C473C" w:rsidP="00B870D7">
            <w:pPr>
              <w:pStyle w:val="ListParagraph"/>
              <w:numPr>
                <w:ilvl w:val="0"/>
                <w:numId w:val="29"/>
              </w:numPr>
              <w:spacing w:line="256" w:lineRule="auto"/>
              <w:jc w:val="both"/>
              <w:rPr>
                <w:rFonts w:ascii="Verdana" w:hAnsi="Verdana"/>
                <w:sz w:val="18"/>
                <w:szCs w:val="18"/>
                <w:lang w:val="bg-BG"/>
              </w:rPr>
            </w:pPr>
            <w:r w:rsidRPr="00EE612B">
              <w:rPr>
                <w:rFonts w:ascii="Verdana" w:hAnsi="Verdana"/>
                <w:sz w:val="18"/>
                <w:szCs w:val="18"/>
                <w:lang w:val="en"/>
              </w:rPr>
              <w:t>Directive 1999/62/EC;</w:t>
            </w:r>
          </w:p>
          <w:p w14:paraId="43415087" w14:textId="77777777" w:rsidR="000C473C" w:rsidRPr="00EE612B" w:rsidRDefault="000C473C" w:rsidP="00B870D7">
            <w:pPr>
              <w:pStyle w:val="ListParagraph"/>
              <w:numPr>
                <w:ilvl w:val="0"/>
                <w:numId w:val="29"/>
              </w:numPr>
              <w:spacing w:line="256" w:lineRule="auto"/>
              <w:jc w:val="both"/>
              <w:rPr>
                <w:rFonts w:ascii="Verdana" w:hAnsi="Verdana"/>
                <w:sz w:val="18"/>
                <w:szCs w:val="18"/>
                <w:lang w:val="bg-BG"/>
              </w:rPr>
            </w:pPr>
            <w:r w:rsidRPr="00EE612B">
              <w:rPr>
                <w:rFonts w:ascii="Verdana" w:hAnsi="Verdana"/>
                <w:sz w:val="18"/>
                <w:szCs w:val="18"/>
                <w:lang w:val="en"/>
              </w:rPr>
              <w:t>Directive 2004/52/EC;</w:t>
            </w:r>
          </w:p>
          <w:p w14:paraId="3BBB227C" w14:textId="77777777" w:rsidR="000C473C" w:rsidRPr="00EE612B" w:rsidRDefault="000C473C" w:rsidP="00B870D7">
            <w:pPr>
              <w:pStyle w:val="ListParagraph"/>
              <w:numPr>
                <w:ilvl w:val="0"/>
                <w:numId w:val="29"/>
              </w:numPr>
              <w:spacing w:line="256" w:lineRule="auto"/>
              <w:jc w:val="both"/>
              <w:rPr>
                <w:rFonts w:ascii="Verdana" w:hAnsi="Verdana"/>
                <w:sz w:val="18"/>
                <w:szCs w:val="18"/>
                <w:lang w:val="bg-BG"/>
              </w:rPr>
            </w:pPr>
            <w:r w:rsidRPr="00EE612B">
              <w:rPr>
                <w:rFonts w:ascii="Verdana" w:hAnsi="Verdana"/>
                <w:sz w:val="18"/>
                <w:szCs w:val="18"/>
                <w:lang w:val="en"/>
              </w:rPr>
              <w:t>Assessment of unit costs (standard prices) of rail projects (</w:t>
            </w:r>
            <w:proofErr w:type="spellStart"/>
            <w:r w:rsidRPr="00EE612B">
              <w:rPr>
                <w:rFonts w:ascii="Verdana" w:hAnsi="Verdana"/>
                <w:sz w:val="18"/>
                <w:szCs w:val="18"/>
                <w:lang w:val="en"/>
              </w:rPr>
              <w:t>CAPital</w:t>
            </w:r>
            <w:proofErr w:type="spellEnd"/>
            <w:r w:rsidRPr="00EE612B">
              <w:rPr>
                <w:rFonts w:ascii="Verdana" w:hAnsi="Verdana"/>
                <w:sz w:val="18"/>
                <w:szCs w:val="18"/>
                <w:lang w:val="en"/>
              </w:rPr>
              <w:t xml:space="preserve"> </w:t>
            </w:r>
            <w:proofErr w:type="spellStart"/>
            <w:r w:rsidRPr="00EE612B">
              <w:rPr>
                <w:rFonts w:ascii="Verdana" w:hAnsi="Verdana"/>
                <w:sz w:val="18"/>
                <w:szCs w:val="18"/>
                <w:lang w:val="en"/>
              </w:rPr>
              <w:t>EXpenditure</w:t>
            </w:r>
            <w:proofErr w:type="spellEnd"/>
            <w:r w:rsidRPr="00EE612B">
              <w:rPr>
                <w:rFonts w:ascii="Verdana" w:hAnsi="Verdana"/>
                <w:sz w:val="18"/>
                <w:szCs w:val="18"/>
                <w:lang w:val="en"/>
              </w:rPr>
              <w:t>). Final report - contract No 2017CE16BAT002. PwC.;</w:t>
            </w:r>
          </w:p>
          <w:p w14:paraId="1526C7EA" w14:textId="287B0E07" w:rsidR="000C473C" w:rsidRPr="00EE612B" w:rsidRDefault="000C473C" w:rsidP="00B870D7">
            <w:pPr>
              <w:pStyle w:val="ListParagraph"/>
              <w:numPr>
                <w:ilvl w:val="0"/>
                <w:numId w:val="29"/>
              </w:numPr>
              <w:spacing w:line="256" w:lineRule="auto"/>
              <w:jc w:val="both"/>
              <w:rPr>
                <w:rFonts w:ascii="Verdana" w:hAnsi="Verdana"/>
                <w:sz w:val="18"/>
                <w:szCs w:val="18"/>
                <w:lang w:val="bg-BG"/>
              </w:rPr>
            </w:pPr>
            <w:r w:rsidRPr="00EE612B">
              <w:rPr>
                <w:rFonts w:ascii="Verdana" w:hAnsi="Verdana"/>
                <w:sz w:val="18"/>
                <w:szCs w:val="18"/>
                <w:lang w:val="en"/>
              </w:rPr>
              <w:t xml:space="preserve">Road infrastructure cost and revenue in Europe. Produced within the study </w:t>
            </w:r>
            <w:r w:rsidR="00237166" w:rsidRPr="00EE612B">
              <w:rPr>
                <w:rFonts w:ascii="Verdana" w:hAnsi="Verdana"/>
                <w:sz w:val="18"/>
                <w:szCs w:val="18"/>
                <w:lang w:val="en"/>
              </w:rPr>
              <w:t>Internalization</w:t>
            </w:r>
            <w:r w:rsidRPr="00EE612B">
              <w:rPr>
                <w:rFonts w:ascii="Verdana" w:hAnsi="Verdana"/>
                <w:sz w:val="18"/>
                <w:szCs w:val="18"/>
                <w:lang w:val="en"/>
              </w:rPr>
              <w:t xml:space="preserve"> Measures and Policies for all external cost of Transport (IMPACT). CE Delft;</w:t>
            </w:r>
          </w:p>
          <w:p w14:paraId="0BD01FD2" w14:textId="0EBF6123" w:rsidR="000C473C" w:rsidRPr="00EE612B" w:rsidRDefault="000C473C" w:rsidP="00B870D7">
            <w:pPr>
              <w:pStyle w:val="ListParagraph"/>
              <w:numPr>
                <w:ilvl w:val="0"/>
                <w:numId w:val="29"/>
              </w:numPr>
              <w:spacing w:line="256" w:lineRule="auto"/>
              <w:jc w:val="both"/>
              <w:rPr>
                <w:rFonts w:ascii="Verdana" w:hAnsi="Verdana"/>
                <w:sz w:val="18"/>
                <w:szCs w:val="18"/>
                <w:lang w:val="bg-BG"/>
              </w:rPr>
            </w:pPr>
            <w:r w:rsidRPr="00EE612B">
              <w:rPr>
                <w:rFonts w:ascii="Verdana" w:hAnsi="Verdana"/>
                <w:sz w:val="18"/>
                <w:szCs w:val="18"/>
                <w:lang w:val="en"/>
              </w:rPr>
              <w:t>European Court of Auditors (2013). Are EU Cohesion policy funds well spent on roads? Special report No 5. Luxembourg;</w:t>
            </w:r>
          </w:p>
          <w:p w14:paraId="4A617D86" w14:textId="77777777" w:rsidR="000C473C" w:rsidRPr="00EE612B" w:rsidRDefault="000C473C" w:rsidP="00B870D7">
            <w:pPr>
              <w:pStyle w:val="ListParagraph"/>
              <w:numPr>
                <w:ilvl w:val="0"/>
                <w:numId w:val="29"/>
              </w:numPr>
              <w:spacing w:line="256" w:lineRule="auto"/>
              <w:jc w:val="both"/>
              <w:rPr>
                <w:rFonts w:ascii="Verdana" w:hAnsi="Verdana"/>
                <w:sz w:val="18"/>
                <w:szCs w:val="18"/>
                <w:lang w:val="bg-BG"/>
              </w:rPr>
            </w:pPr>
            <w:r w:rsidRPr="00EE612B">
              <w:rPr>
                <w:rFonts w:ascii="Verdana" w:hAnsi="Verdana"/>
                <w:sz w:val="18"/>
                <w:szCs w:val="18"/>
                <w:lang w:val="en"/>
              </w:rPr>
              <w:t>Net impact of policies financed by European funds;</w:t>
            </w:r>
          </w:p>
          <w:p w14:paraId="19196D67" w14:textId="77777777" w:rsidR="000C473C" w:rsidRPr="00EE612B" w:rsidRDefault="000C473C" w:rsidP="00B870D7">
            <w:pPr>
              <w:pStyle w:val="ListParagraph"/>
              <w:numPr>
                <w:ilvl w:val="0"/>
                <w:numId w:val="29"/>
              </w:numPr>
              <w:spacing w:line="256" w:lineRule="auto"/>
              <w:jc w:val="both"/>
              <w:rPr>
                <w:rFonts w:ascii="Verdana" w:hAnsi="Verdana"/>
                <w:sz w:val="18"/>
                <w:szCs w:val="18"/>
                <w:lang w:val="bg-BG"/>
              </w:rPr>
            </w:pPr>
            <w:r w:rsidRPr="00EE612B">
              <w:rPr>
                <w:rFonts w:ascii="Verdana" w:hAnsi="Verdana"/>
                <w:sz w:val="18"/>
                <w:szCs w:val="18"/>
                <w:lang w:val="en"/>
              </w:rPr>
              <w:t>EU funds in Bulgaria: Assessment of the macroeconomic effects of the implementation of programmes co-financed with EU funds;</w:t>
            </w:r>
          </w:p>
          <w:p w14:paraId="7F86B539" w14:textId="6BE51EE1" w:rsidR="000C473C" w:rsidRPr="00EE612B" w:rsidRDefault="000C473C" w:rsidP="00B870D7">
            <w:pPr>
              <w:pStyle w:val="ListParagraph"/>
              <w:numPr>
                <w:ilvl w:val="0"/>
                <w:numId w:val="29"/>
              </w:numPr>
              <w:spacing w:line="256" w:lineRule="auto"/>
              <w:jc w:val="both"/>
              <w:rPr>
                <w:rFonts w:ascii="Verdana" w:hAnsi="Verdana"/>
                <w:sz w:val="18"/>
                <w:szCs w:val="18"/>
                <w:lang w:val="bg-BG"/>
              </w:rPr>
            </w:pPr>
            <w:r w:rsidRPr="00EE612B">
              <w:rPr>
                <w:rFonts w:ascii="Verdana" w:hAnsi="Verdana"/>
                <w:sz w:val="18"/>
                <w:szCs w:val="18"/>
                <w:lang w:val="en"/>
              </w:rPr>
              <w:t>EU Transport Scoreboard, EC;</w:t>
            </w:r>
          </w:p>
          <w:p w14:paraId="5048D1CE" w14:textId="77777777" w:rsidR="00853D97" w:rsidRPr="00EE612B" w:rsidRDefault="000C473C" w:rsidP="00B870D7">
            <w:pPr>
              <w:pStyle w:val="ListParagraph"/>
              <w:numPr>
                <w:ilvl w:val="0"/>
                <w:numId w:val="29"/>
              </w:numPr>
              <w:spacing w:line="256" w:lineRule="auto"/>
              <w:jc w:val="both"/>
              <w:rPr>
                <w:rFonts w:ascii="Verdana" w:hAnsi="Verdana"/>
                <w:sz w:val="18"/>
                <w:szCs w:val="18"/>
                <w:lang w:val="bg-BG"/>
              </w:rPr>
            </w:pPr>
            <w:r w:rsidRPr="00EE612B">
              <w:rPr>
                <w:rFonts w:ascii="Verdana" w:hAnsi="Verdana"/>
                <w:sz w:val="18"/>
                <w:szCs w:val="18"/>
                <w:lang w:val="en"/>
              </w:rPr>
              <w:t>Fact Sheet EU Transport Scoreboard, EC.</w:t>
            </w:r>
          </w:p>
          <w:p w14:paraId="16857A83" w14:textId="77777777" w:rsidR="00853D97" w:rsidRPr="00EE612B" w:rsidRDefault="000C473C" w:rsidP="00B870D7">
            <w:pPr>
              <w:pStyle w:val="ListParagraph"/>
              <w:numPr>
                <w:ilvl w:val="0"/>
                <w:numId w:val="29"/>
              </w:numPr>
              <w:spacing w:line="256" w:lineRule="auto"/>
              <w:jc w:val="both"/>
              <w:rPr>
                <w:rFonts w:ascii="Verdana" w:hAnsi="Verdana"/>
                <w:sz w:val="18"/>
                <w:szCs w:val="18"/>
                <w:lang w:val="bg-BG"/>
              </w:rPr>
            </w:pPr>
            <w:r w:rsidRPr="00EE612B">
              <w:rPr>
                <w:rFonts w:ascii="Verdana" w:hAnsi="Verdana"/>
                <w:sz w:val="18"/>
                <w:szCs w:val="18"/>
                <w:lang w:val="en"/>
              </w:rPr>
              <w:t xml:space="preserve">Ex-post evaluation of major projects supported by the European Regional Development Fund (ERDF) and cohesion fund between 2000 and 2013, </w:t>
            </w:r>
          </w:p>
          <w:p w14:paraId="4FBD20A6" w14:textId="322D7F9D" w:rsidR="000C473C" w:rsidRPr="00EE612B" w:rsidRDefault="000C473C" w:rsidP="00B870D7">
            <w:pPr>
              <w:pStyle w:val="ListParagraph"/>
              <w:numPr>
                <w:ilvl w:val="0"/>
                <w:numId w:val="29"/>
              </w:numPr>
              <w:spacing w:line="256" w:lineRule="auto"/>
              <w:jc w:val="both"/>
              <w:rPr>
                <w:rFonts w:ascii="Verdana" w:hAnsi="Verdana"/>
                <w:sz w:val="18"/>
                <w:szCs w:val="18"/>
                <w:lang w:val="bg-BG"/>
              </w:rPr>
            </w:pPr>
            <w:r w:rsidRPr="00EE612B">
              <w:rPr>
                <w:rFonts w:ascii="Verdana" w:hAnsi="Verdana"/>
                <w:sz w:val="18"/>
                <w:szCs w:val="18"/>
                <w:lang w:val="en"/>
              </w:rPr>
              <w:t>Ex-post evaluation of Cohesion Policy programmes 2007-2013, focusing on the European Regional Development Fund (ERDF) and the Cohesion Fund (CF)</w:t>
            </w:r>
          </w:p>
        </w:tc>
      </w:tr>
    </w:tbl>
    <w:p w14:paraId="78BBE348" w14:textId="161CB1C3" w:rsidR="003769AF" w:rsidRPr="00F50700" w:rsidRDefault="003769AF" w:rsidP="006E2FC7">
      <w:pPr>
        <w:spacing w:before="120" w:after="120" w:line="240" w:lineRule="auto"/>
        <w:jc w:val="both"/>
        <w:rPr>
          <w:rFonts w:ascii="Verdana" w:hAnsi="Verdana"/>
          <w:sz w:val="24"/>
          <w:szCs w:val="24"/>
          <w:lang w:val="bg-BG"/>
        </w:rPr>
      </w:pPr>
    </w:p>
    <w:p w14:paraId="65DC46A7" w14:textId="77777777" w:rsidR="003769AF" w:rsidRPr="00F50700" w:rsidRDefault="003769AF">
      <w:pPr>
        <w:rPr>
          <w:rFonts w:ascii="Verdana" w:hAnsi="Verdana"/>
          <w:sz w:val="24"/>
          <w:szCs w:val="24"/>
          <w:lang w:val="bg-BG"/>
        </w:rPr>
      </w:pPr>
      <w:r w:rsidRPr="00F50700">
        <w:rPr>
          <w:rFonts w:ascii="Verdana" w:hAnsi="Verdana"/>
          <w:sz w:val="24"/>
          <w:szCs w:val="24"/>
          <w:lang w:val="bg-BG"/>
        </w:rPr>
        <w:br w:type="page"/>
      </w:r>
    </w:p>
    <w:p w14:paraId="5C2E1BF3" w14:textId="77777777" w:rsidR="006A4FD5" w:rsidRPr="006C49C7" w:rsidRDefault="002C00D7" w:rsidP="006A4FD5">
      <w:pPr>
        <w:jc w:val="right"/>
        <w:rPr>
          <w:rFonts w:ascii="Verdana" w:hAnsi="Verdana"/>
          <w:b/>
          <w:bCs/>
          <w:color w:val="374C80" w:themeColor="accent1" w:themeShade="BF"/>
          <w:sz w:val="20"/>
          <w:szCs w:val="20"/>
          <w:lang w:val="en"/>
        </w:rPr>
      </w:pPr>
      <w:r w:rsidRPr="006C49C7">
        <w:rPr>
          <w:rFonts w:ascii="Verdana" w:hAnsi="Verdana"/>
          <w:b/>
          <w:bCs/>
          <w:color w:val="374C80" w:themeColor="accent1" w:themeShade="BF"/>
          <w:sz w:val="20"/>
          <w:szCs w:val="20"/>
          <w:lang w:val="en"/>
        </w:rPr>
        <w:lastRenderedPageBreak/>
        <w:fldChar w:fldCharType="begin"/>
      </w:r>
      <w:r w:rsidRPr="006C49C7">
        <w:rPr>
          <w:rFonts w:ascii="Verdana" w:hAnsi="Verdana"/>
          <w:b/>
          <w:bCs/>
          <w:color w:val="374C80" w:themeColor="accent1" w:themeShade="BF"/>
          <w:sz w:val="20"/>
          <w:szCs w:val="20"/>
          <w:lang w:val="en"/>
        </w:rPr>
        <w:instrText xml:space="preserve"> REF _Ref50287128 \h </w:instrText>
      </w:r>
      <w:r w:rsidR="00A40D60" w:rsidRPr="006C49C7">
        <w:rPr>
          <w:rFonts w:ascii="Verdana" w:hAnsi="Verdana"/>
          <w:b/>
          <w:bCs/>
          <w:color w:val="374C80" w:themeColor="accent1" w:themeShade="BF"/>
          <w:sz w:val="20"/>
          <w:szCs w:val="20"/>
          <w:lang w:val="en"/>
        </w:rPr>
        <w:instrText xml:space="preserve"> \* MERGEFORMAT </w:instrText>
      </w:r>
      <w:r w:rsidRPr="006C49C7">
        <w:rPr>
          <w:rFonts w:ascii="Verdana" w:hAnsi="Verdana"/>
          <w:b/>
          <w:bCs/>
          <w:color w:val="374C80" w:themeColor="accent1" w:themeShade="BF"/>
          <w:sz w:val="20"/>
          <w:szCs w:val="20"/>
          <w:lang w:val="en"/>
        </w:rPr>
      </w:r>
      <w:r w:rsidRPr="006C49C7">
        <w:rPr>
          <w:rFonts w:ascii="Verdana" w:hAnsi="Verdana"/>
          <w:b/>
          <w:bCs/>
          <w:color w:val="374C80" w:themeColor="accent1" w:themeShade="BF"/>
          <w:sz w:val="20"/>
          <w:szCs w:val="20"/>
          <w:lang w:val="en"/>
        </w:rPr>
        <w:fldChar w:fldCharType="separate"/>
      </w:r>
    </w:p>
    <w:p w14:paraId="03EFB4EE" w14:textId="3BFA367F" w:rsidR="003769AF" w:rsidRPr="006C49C7" w:rsidRDefault="006A4FD5" w:rsidP="002C00D7">
      <w:pPr>
        <w:jc w:val="right"/>
        <w:rPr>
          <w:rFonts w:ascii="Verdana" w:hAnsi="Verdana"/>
          <w:b/>
          <w:bCs/>
          <w:color w:val="374C80" w:themeColor="accent1" w:themeShade="BF"/>
          <w:sz w:val="20"/>
          <w:szCs w:val="20"/>
          <w:lang w:val="en"/>
        </w:rPr>
      </w:pPr>
      <w:r w:rsidRPr="00F50700">
        <w:rPr>
          <w:rFonts w:ascii="Verdana" w:hAnsi="Verdana"/>
          <w:b/>
          <w:bCs/>
          <w:color w:val="374C80" w:themeColor="accent1" w:themeShade="BF"/>
          <w:sz w:val="20"/>
          <w:szCs w:val="20"/>
          <w:lang w:val="en"/>
        </w:rPr>
        <w:t xml:space="preserve">APPENDIX NO2: LIST OF </w:t>
      </w:r>
      <w:r w:rsidRPr="006C49C7">
        <w:rPr>
          <w:rFonts w:ascii="Verdana" w:hAnsi="Verdana"/>
          <w:b/>
          <w:bCs/>
          <w:color w:val="374C80" w:themeColor="accent1" w:themeShade="BF"/>
          <w:sz w:val="20"/>
          <w:szCs w:val="20"/>
          <w:lang w:val="en"/>
        </w:rPr>
        <w:t>INTERVIEWS</w:t>
      </w:r>
      <w:r w:rsidR="002C00D7" w:rsidRPr="006C49C7">
        <w:rPr>
          <w:rFonts w:ascii="Verdana" w:hAnsi="Verdana"/>
          <w:b/>
          <w:bCs/>
          <w:color w:val="374C80" w:themeColor="accent1" w:themeShade="BF"/>
          <w:sz w:val="20"/>
          <w:szCs w:val="20"/>
          <w:lang w:val="en"/>
        </w:rPr>
        <w:fldChar w:fldCharType="end"/>
      </w:r>
    </w:p>
    <w:p w14:paraId="6B72FB02" w14:textId="77777777" w:rsidR="003769AF" w:rsidRPr="00F50700" w:rsidRDefault="003769AF" w:rsidP="003769AF">
      <w:pPr>
        <w:pStyle w:val="ListParagraph"/>
        <w:jc w:val="both"/>
        <w:rPr>
          <w:rFonts w:ascii="Verdana" w:hAnsi="Verdana"/>
          <w:b/>
          <w:sz w:val="20"/>
          <w:szCs w:val="20"/>
          <w:lang w:val="bg-BG"/>
        </w:rPr>
      </w:pPr>
    </w:p>
    <w:p w14:paraId="33367812" w14:textId="521B45BB" w:rsidR="001C40A0" w:rsidRPr="001C40A0" w:rsidRDefault="001C40A0" w:rsidP="001C40A0">
      <w:pPr>
        <w:pStyle w:val="Caption"/>
        <w:keepNext/>
        <w:rPr>
          <w:rFonts w:ascii="Verdana" w:hAnsi="Verdana"/>
          <w:sz w:val="20"/>
          <w:szCs w:val="20"/>
        </w:rPr>
      </w:pPr>
      <w:bookmarkStart w:id="138" w:name="_Toc62724740"/>
      <w:r w:rsidRPr="001C40A0">
        <w:rPr>
          <w:rFonts w:ascii="Verdana" w:hAnsi="Verdana"/>
          <w:sz w:val="20"/>
          <w:szCs w:val="20"/>
        </w:rPr>
        <w:t xml:space="preserve">Table </w:t>
      </w:r>
      <w:r w:rsidR="002A60EF">
        <w:rPr>
          <w:rFonts w:ascii="Verdana" w:hAnsi="Verdana"/>
          <w:sz w:val="20"/>
          <w:szCs w:val="20"/>
        </w:rPr>
        <w:fldChar w:fldCharType="begin"/>
      </w:r>
      <w:r w:rsidR="002A60EF">
        <w:rPr>
          <w:rFonts w:ascii="Verdana" w:hAnsi="Verdana"/>
          <w:sz w:val="20"/>
          <w:szCs w:val="20"/>
        </w:rPr>
        <w:instrText xml:space="preserve"> STYLEREF 1 \s </w:instrText>
      </w:r>
      <w:r w:rsidR="002A60EF">
        <w:rPr>
          <w:rFonts w:ascii="Verdana" w:hAnsi="Verdana"/>
          <w:sz w:val="20"/>
          <w:szCs w:val="20"/>
        </w:rPr>
        <w:fldChar w:fldCharType="separate"/>
      </w:r>
      <w:r w:rsidR="002A60EF">
        <w:rPr>
          <w:rFonts w:ascii="Verdana" w:hAnsi="Verdana"/>
          <w:noProof/>
          <w:sz w:val="20"/>
          <w:szCs w:val="20"/>
        </w:rPr>
        <w:t>VIII</w:t>
      </w:r>
      <w:r w:rsidR="002A60EF">
        <w:rPr>
          <w:rFonts w:ascii="Verdana" w:hAnsi="Verdana"/>
          <w:sz w:val="20"/>
          <w:szCs w:val="20"/>
        </w:rPr>
        <w:fldChar w:fldCharType="end"/>
      </w:r>
      <w:r w:rsidR="002A60EF">
        <w:rPr>
          <w:rFonts w:ascii="Verdana" w:hAnsi="Verdana"/>
          <w:sz w:val="20"/>
          <w:szCs w:val="20"/>
        </w:rPr>
        <w:noBreakHyphen/>
      </w:r>
      <w:r w:rsidR="002A60EF">
        <w:rPr>
          <w:rFonts w:ascii="Verdana" w:hAnsi="Verdana"/>
          <w:sz w:val="20"/>
          <w:szCs w:val="20"/>
        </w:rPr>
        <w:fldChar w:fldCharType="begin"/>
      </w:r>
      <w:r w:rsidR="002A60EF">
        <w:rPr>
          <w:rFonts w:ascii="Verdana" w:hAnsi="Verdana"/>
          <w:sz w:val="20"/>
          <w:szCs w:val="20"/>
        </w:rPr>
        <w:instrText xml:space="preserve"> SEQ Table \* ARABIC \s 1 </w:instrText>
      </w:r>
      <w:r w:rsidR="002A60EF">
        <w:rPr>
          <w:rFonts w:ascii="Verdana" w:hAnsi="Verdana"/>
          <w:sz w:val="20"/>
          <w:szCs w:val="20"/>
        </w:rPr>
        <w:fldChar w:fldCharType="separate"/>
      </w:r>
      <w:r w:rsidR="002A60EF">
        <w:rPr>
          <w:rFonts w:ascii="Verdana" w:hAnsi="Verdana"/>
          <w:noProof/>
          <w:sz w:val="20"/>
          <w:szCs w:val="20"/>
        </w:rPr>
        <w:t>2</w:t>
      </w:r>
      <w:r w:rsidR="002A60EF">
        <w:rPr>
          <w:rFonts w:ascii="Verdana" w:hAnsi="Verdana"/>
          <w:sz w:val="20"/>
          <w:szCs w:val="20"/>
        </w:rPr>
        <w:fldChar w:fldCharType="end"/>
      </w:r>
      <w:r w:rsidRPr="001C40A0">
        <w:rPr>
          <w:rFonts w:ascii="Verdana" w:hAnsi="Verdana"/>
          <w:sz w:val="20"/>
          <w:szCs w:val="20"/>
        </w:rPr>
        <w:t xml:space="preserve">  Interviews</w:t>
      </w:r>
      <w:bookmarkEnd w:id="138"/>
    </w:p>
    <w:tbl>
      <w:tblPr>
        <w:tblStyle w:val="TableGrid"/>
        <w:tblW w:w="5000" w:type="pct"/>
        <w:tblBorders>
          <w:top w:val="double" w:sz="4" w:space="0" w:color="6A84BE"/>
          <w:left w:val="double" w:sz="4" w:space="0" w:color="6A84BE"/>
          <w:bottom w:val="double" w:sz="4" w:space="0" w:color="6A84BE"/>
          <w:right w:val="double" w:sz="4" w:space="0" w:color="6A84BE"/>
          <w:insideH w:val="single" w:sz="6" w:space="0" w:color="6A84BE"/>
          <w:insideV w:val="single" w:sz="6" w:space="0" w:color="6A84BE"/>
        </w:tblBorders>
        <w:tblLook w:val="04A0" w:firstRow="1" w:lastRow="0" w:firstColumn="1" w:lastColumn="0" w:noHBand="0" w:noVBand="1"/>
      </w:tblPr>
      <w:tblGrid>
        <w:gridCol w:w="2159"/>
        <w:gridCol w:w="6883"/>
      </w:tblGrid>
      <w:tr w:rsidR="00FF61B6" w:rsidRPr="00F50700" w14:paraId="50F5E06E" w14:textId="77777777" w:rsidTr="00FF61B6">
        <w:trPr>
          <w:trHeight w:val="473"/>
        </w:trPr>
        <w:tc>
          <w:tcPr>
            <w:tcW w:w="1194" w:type="pct"/>
            <w:shd w:val="clear" w:color="auto" w:fill="234F77" w:themeFill="accent2" w:themeFillShade="80"/>
            <w:vAlign w:val="center"/>
          </w:tcPr>
          <w:p w14:paraId="35146647" w14:textId="77777777" w:rsidR="00FF61B6" w:rsidRPr="00F50700" w:rsidRDefault="00FF61B6" w:rsidP="00A52096">
            <w:pPr>
              <w:pStyle w:val="ListParagraph"/>
              <w:ind w:left="0"/>
              <w:jc w:val="center"/>
              <w:rPr>
                <w:rFonts w:ascii="Verdana" w:hAnsi="Verdana"/>
                <w:b/>
                <w:smallCaps/>
                <w:color w:val="FFFFFF" w:themeColor="background1"/>
                <w:sz w:val="18"/>
                <w:szCs w:val="18"/>
                <w:lang w:val="bg-BG"/>
              </w:rPr>
            </w:pPr>
            <w:r w:rsidRPr="00F50700">
              <w:rPr>
                <w:rFonts w:ascii="Verdana" w:hAnsi="Verdana"/>
                <w:b/>
                <w:smallCaps/>
                <w:color w:val="FFFFFF" w:themeColor="background1"/>
                <w:sz w:val="18"/>
                <w:szCs w:val="18"/>
                <w:lang w:val="en"/>
              </w:rPr>
              <w:t>Date held</w:t>
            </w:r>
          </w:p>
        </w:tc>
        <w:tc>
          <w:tcPr>
            <w:tcW w:w="3806" w:type="pct"/>
            <w:shd w:val="clear" w:color="auto" w:fill="234F77" w:themeFill="accent2" w:themeFillShade="80"/>
            <w:vAlign w:val="center"/>
          </w:tcPr>
          <w:p w14:paraId="6AA470A8" w14:textId="77777777" w:rsidR="00FF61B6" w:rsidRPr="00F50700" w:rsidRDefault="00FF61B6" w:rsidP="00A52096">
            <w:pPr>
              <w:pStyle w:val="ListParagraph"/>
              <w:ind w:left="0"/>
              <w:jc w:val="center"/>
              <w:rPr>
                <w:rFonts w:ascii="Verdana" w:hAnsi="Verdana"/>
                <w:b/>
                <w:smallCaps/>
                <w:color w:val="FFFFFF" w:themeColor="background1"/>
                <w:sz w:val="18"/>
                <w:szCs w:val="18"/>
                <w:lang w:val="bg-BG"/>
              </w:rPr>
            </w:pPr>
            <w:r w:rsidRPr="00F50700">
              <w:rPr>
                <w:rFonts w:ascii="Verdana" w:hAnsi="Verdana"/>
                <w:b/>
                <w:smallCaps/>
                <w:color w:val="FFFFFF" w:themeColor="background1"/>
                <w:sz w:val="18"/>
                <w:szCs w:val="18"/>
                <w:lang w:val="en"/>
              </w:rPr>
              <w:t>Respondent</w:t>
            </w:r>
          </w:p>
        </w:tc>
      </w:tr>
      <w:tr w:rsidR="00FF61B6" w:rsidRPr="00F50700" w14:paraId="55541376" w14:textId="77777777" w:rsidTr="00CF6E0F">
        <w:trPr>
          <w:trHeight w:val="235"/>
        </w:trPr>
        <w:tc>
          <w:tcPr>
            <w:tcW w:w="1194" w:type="pct"/>
            <w:shd w:val="clear" w:color="auto" w:fill="auto"/>
            <w:vAlign w:val="center"/>
          </w:tcPr>
          <w:p w14:paraId="03AFBCC6" w14:textId="3A5673E1" w:rsidR="00FF61B6" w:rsidRPr="00F50700" w:rsidRDefault="00FF61B6" w:rsidP="00A52096">
            <w:pPr>
              <w:pStyle w:val="ListParagraph"/>
              <w:ind w:left="0"/>
              <w:jc w:val="both"/>
              <w:rPr>
                <w:rFonts w:ascii="Verdana" w:hAnsi="Verdana"/>
                <w:sz w:val="18"/>
                <w:szCs w:val="18"/>
                <w:lang w:val="bg-BG"/>
              </w:rPr>
            </w:pPr>
            <w:r w:rsidRPr="00F50700">
              <w:rPr>
                <w:rFonts w:ascii="Verdana" w:hAnsi="Verdana"/>
                <w:sz w:val="18"/>
                <w:szCs w:val="18"/>
                <w:lang w:val="en"/>
              </w:rPr>
              <w:t>20.08.2020</w:t>
            </w:r>
          </w:p>
        </w:tc>
        <w:tc>
          <w:tcPr>
            <w:tcW w:w="3806" w:type="pct"/>
            <w:shd w:val="clear" w:color="auto" w:fill="auto"/>
            <w:vAlign w:val="center"/>
          </w:tcPr>
          <w:p w14:paraId="07E99F1F" w14:textId="77777777" w:rsidR="00FF61B6" w:rsidRPr="00D574E0" w:rsidRDefault="00FF61B6" w:rsidP="00A52096">
            <w:pPr>
              <w:pStyle w:val="ListParagraph"/>
              <w:ind w:left="0"/>
              <w:jc w:val="both"/>
              <w:rPr>
                <w:rFonts w:ascii="Verdana" w:hAnsi="Verdana"/>
                <w:sz w:val="18"/>
                <w:szCs w:val="18"/>
                <w:lang w:val="bg-BG"/>
              </w:rPr>
            </w:pPr>
            <w:r w:rsidRPr="00D574E0">
              <w:rPr>
                <w:rFonts w:ascii="Verdana" w:hAnsi="Verdana"/>
                <w:sz w:val="18"/>
                <w:szCs w:val="18"/>
                <w:lang w:val="en"/>
              </w:rPr>
              <w:t>Managing Authority</w:t>
            </w:r>
          </w:p>
        </w:tc>
      </w:tr>
      <w:tr w:rsidR="00FF61B6" w:rsidRPr="00F50700" w14:paraId="60A62C12" w14:textId="77777777" w:rsidTr="00FF61B6">
        <w:tc>
          <w:tcPr>
            <w:tcW w:w="1194" w:type="pct"/>
            <w:vAlign w:val="center"/>
          </w:tcPr>
          <w:p w14:paraId="157B7361" w14:textId="77777777" w:rsidR="00FF61B6" w:rsidRPr="00F50700" w:rsidRDefault="00FF61B6" w:rsidP="003F786B">
            <w:pPr>
              <w:pStyle w:val="ListParagraph"/>
              <w:shd w:val="clear" w:color="auto" w:fill="FFFFFF" w:themeFill="background1"/>
              <w:ind w:left="0"/>
              <w:jc w:val="both"/>
              <w:rPr>
                <w:rFonts w:ascii="Verdana" w:hAnsi="Verdana"/>
                <w:sz w:val="18"/>
                <w:szCs w:val="18"/>
                <w:lang w:val="bg-BG"/>
              </w:rPr>
            </w:pPr>
            <w:r w:rsidRPr="00F50700">
              <w:rPr>
                <w:rFonts w:ascii="Verdana" w:hAnsi="Verdana"/>
                <w:sz w:val="18"/>
                <w:szCs w:val="18"/>
                <w:lang w:val="en"/>
              </w:rPr>
              <w:t>18.08.2020</w:t>
            </w:r>
          </w:p>
        </w:tc>
        <w:tc>
          <w:tcPr>
            <w:tcW w:w="3806" w:type="pct"/>
            <w:vAlign w:val="center"/>
          </w:tcPr>
          <w:p w14:paraId="3C061E17" w14:textId="476A2E7C" w:rsidR="00FF61B6" w:rsidRPr="00D574E0" w:rsidRDefault="00D574E0" w:rsidP="003F786B">
            <w:pPr>
              <w:pStyle w:val="ListParagraph"/>
              <w:shd w:val="clear" w:color="auto" w:fill="FFFFFF" w:themeFill="background1"/>
              <w:ind w:left="0"/>
              <w:jc w:val="both"/>
              <w:rPr>
                <w:rFonts w:ascii="Verdana" w:hAnsi="Verdana"/>
                <w:sz w:val="18"/>
                <w:szCs w:val="18"/>
                <w:lang w:val="bg-BG"/>
              </w:rPr>
            </w:pPr>
            <w:r w:rsidRPr="00D574E0">
              <w:rPr>
                <w:rFonts w:ascii="Verdana" w:hAnsi="Verdana"/>
                <w:sz w:val="18"/>
                <w:szCs w:val="18"/>
                <w:lang w:val="en"/>
              </w:rPr>
              <w:t>Executive Agency for Exploration and Maintenance of the Danube River</w:t>
            </w:r>
          </w:p>
        </w:tc>
      </w:tr>
      <w:tr w:rsidR="00FF61B6" w:rsidRPr="00F50700" w14:paraId="01A1B95B" w14:textId="77777777" w:rsidTr="00FF61B6">
        <w:tc>
          <w:tcPr>
            <w:tcW w:w="1194" w:type="pct"/>
            <w:vAlign w:val="center"/>
          </w:tcPr>
          <w:p w14:paraId="61F58D8C" w14:textId="77777777" w:rsidR="00FF61B6" w:rsidRPr="00F50700" w:rsidRDefault="00FF61B6" w:rsidP="003F786B">
            <w:pPr>
              <w:pStyle w:val="ListParagraph"/>
              <w:shd w:val="clear" w:color="auto" w:fill="FFFFFF" w:themeFill="background1"/>
              <w:ind w:left="0"/>
              <w:jc w:val="both"/>
              <w:rPr>
                <w:rFonts w:ascii="Verdana" w:hAnsi="Verdana"/>
                <w:sz w:val="18"/>
                <w:szCs w:val="18"/>
                <w:lang w:val="bg-BG"/>
              </w:rPr>
            </w:pPr>
            <w:r w:rsidRPr="00F50700">
              <w:rPr>
                <w:rFonts w:ascii="Verdana" w:hAnsi="Verdana"/>
                <w:sz w:val="18"/>
                <w:szCs w:val="18"/>
                <w:lang w:val="en"/>
              </w:rPr>
              <w:t>19.08.2020</w:t>
            </w:r>
          </w:p>
        </w:tc>
        <w:tc>
          <w:tcPr>
            <w:tcW w:w="3806" w:type="pct"/>
            <w:vAlign w:val="center"/>
          </w:tcPr>
          <w:p w14:paraId="244419FD" w14:textId="01E09CEC" w:rsidR="00FF61B6" w:rsidRPr="00D574E0" w:rsidRDefault="00FF61B6" w:rsidP="003F786B">
            <w:pPr>
              <w:pStyle w:val="ListParagraph"/>
              <w:shd w:val="clear" w:color="auto" w:fill="FFFFFF" w:themeFill="background1"/>
              <w:ind w:left="0"/>
              <w:jc w:val="both"/>
              <w:rPr>
                <w:rFonts w:ascii="Verdana" w:hAnsi="Verdana"/>
                <w:sz w:val="18"/>
                <w:szCs w:val="18"/>
                <w:lang w:val="bg-BG"/>
              </w:rPr>
            </w:pPr>
            <w:r w:rsidRPr="00D574E0">
              <w:rPr>
                <w:rFonts w:ascii="Verdana" w:hAnsi="Verdana"/>
                <w:sz w:val="18"/>
                <w:szCs w:val="18"/>
                <w:lang w:val="en"/>
              </w:rPr>
              <w:t>Maritime Administration</w:t>
            </w:r>
            <w:r w:rsidR="00D574E0" w:rsidRPr="00D574E0">
              <w:rPr>
                <w:rFonts w:ascii="Verdana" w:hAnsi="Verdana"/>
                <w:sz w:val="18"/>
                <w:szCs w:val="18"/>
                <w:lang w:val="en"/>
              </w:rPr>
              <w:t>”</w:t>
            </w:r>
            <w:r w:rsidR="00D574E0" w:rsidRPr="00D574E0">
              <w:t xml:space="preserve"> </w:t>
            </w:r>
            <w:r w:rsidR="00D574E0" w:rsidRPr="00D574E0">
              <w:rPr>
                <w:rFonts w:ascii="Verdana" w:hAnsi="Verdana"/>
                <w:sz w:val="18"/>
                <w:szCs w:val="18"/>
                <w:lang w:val="en"/>
              </w:rPr>
              <w:t xml:space="preserve">Executive Agency </w:t>
            </w:r>
          </w:p>
        </w:tc>
      </w:tr>
      <w:tr w:rsidR="00FF61B6" w:rsidRPr="00F50700" w14:paraId="70038DA0" w14:textId="77777777" w:rsidTr="00FF61B6">
        <w:tc>
          <w:tcPr>
            <w:tcW w:w="1194" w:type="pct"/>
            <w:vAlign w:val="center"/>
          </w:tcPr>
          <w:p w14:paraId="34507B5A" w14:textId="77777777" w:rsidR="00FF61B6" w:rsidRPr="00F50700" w:rsidRDefault="00FF61B6" w:rsidP="003F786B">
            <w:pPr>
              <w:pStyle w:val="ListParagraph"/>
              <w:shd w:val="clear" w:color="auto" w:fill="FFFFFF" w:themeFill="background1"/>
              <w:ind w:left="0"/>
              <w:jc w:val="both"/>
              <w:rPr>
                <w:rFonts w:ascii="Verdana" w:hAnsi="Verdana"/>
                <w:sz w:val="18"/>
                <w:szCs w:val="18"/>
                <w:lang w:val="bg-BG"/>
              </w:rPr>
            </w:pPr>
            <w:r w:rsidRPr="00F50700">
              <w:rPr>
                <w:rFonts w:ascii="Verdana" w:hAnsi="Verdana"/>
                <w:sz w:val="18"/>
                <w:szCs w:val="18"/>
                <w:lang w:val="en"/>
              </w:rPr>
              <w:t>20.08.2020</w:t>
            </w:r>
          </w:p>
        </w:tc>
        <w:tc>
          <w:tcPr>
            <w:tcW w:w="3806" w:type="pct"/>
            <w:vAlign w:val="center"/>
          </w:tcPr>
          <w:p w14:paraId="0E98F461" w14:textId="5F3EA8DA" w:rsidR="00FF61B6" w:rsidRPr="00D574E0" w:rsidRDefault="00D574E0" w:rsidP="003F786B">
            <w:pPr>
              <w:pStyle w:val="ListParagraph"/>
              <w:shd w:val="clear" w:color="auto" w:fill="FFFFFF" w:themeFill="background1"/>
              <w:ind w:left="0"/>
              <w:jc w:val="both"/>
              <w:rPr>
                <w:rFonts w:ascii="Verdana" w:hAnsi="Verdana"/>
                <w:sz w:val="18"/>
                <w:szCs w:val="18"/>
                <w:lang w:val="bg-BG"/>
              </w:rPr>
            </w:pPr>
            <w:r w:rsidRPr="00D574E0">
              <w:rPr>
                <w:rFonts w:ascii="Verdana" w:hAnsi="Verdana"/>
                <w:sz w:val="18"/>
                <w:szCs w:val="18"/>
                <w:lang w:val="en"/>
              </w:rPr>
              <w:t>Bulgarian Ports Infrastructure Company</w:t>
            </w:r>
          </w:p>
        </w:tc>
      </w:tr>
      <w:tr w:rsidR="00FF61B6" w:rsidRPr="00F50700" w14:paraId="6790E944" w14:textId="77777777" w:rsidTr="00FF61B6">
        <w:tc>
          <w:tcPr>
            <w:tcW w:w="1194" w:type="pct"/>
            <w:vAlign w:val="center"/>
          </w:tcPr>
          <w:p w14:paraId="535D1F0F" w14:textId="77777777" w:rsidR="00FF61B6" w:rsidRPr="00F50700" w:rsidRDefault="00FF61B6" w:rsidP="003F786B">
            <w:pPr>
              <w:pStyle w:val="ListParagraph"/>
              <w:shd w:val="clear" w:color="auto" w:fill="FFFFFF" w:themeFill="background1"/>
              <w:ind w:left="0"/>
              <w:jc w:val="both"/>
              <w:rPr>
                <w:rFonts w:ascii="Verdana" w:hAnsi="Verdana"/>
                <w:sz w:val="18"/>
                <w:szCs w:val="18"/>
                <w:lang w:val="bg-BG"/>
              </w:rPr>
            </w:pPr>
            <w:r w:rsidRPr="00F50700">
              <w:rPr>
                <w:rFonts w:ascii="Verdana" w:hAnsi="Verdana"/>
                <w:sz w:val="18"/>
                <w:szCs w:val="18"/>
                <w:lang w:val="en"/>
              </w:rPr>
              <w:t>20.08.2020</w:t>
            </w:r>
          </w:p>
        </w:tc>
        <w:tc>
          <w:tcPr>
            <w:tcW w:w="3806" w:type="pct"/>
            <w:vAlign w:val="center"/>
          </w:tcPr>
          <w:p w14:paraId="367D6249" w14:textId="690D7DAA" w:rsidR="00FF61B6" w:rsidRPr="00D574E0" w:rsidRDefault="00D574E0" w:rsidP="003F786B">
            <w:pPr>
              <w:pStyle w:val="ListParagraph"/>
              <w:shd w:val="clear" w:color="auto" w:fill="FFFFFF" w:themeFill="background1"/>
              <w:ind w:left="0"/>
              <w:jc w:val="both"/>
              <w:rPr>
                <w:rFonts w:ascii="Verdana" w:hAnsi="Verdana"/>
                <w:sz w:val="18"/>
                <w:szCs w:val="18"/>
                <w:lang w:val="bg-BG"/>
              </w:rPr>
            </w:pPr>
            <w:r w:rsidRPr="00D574E0">
              <w:rPr>
                <w:rFonts w:ascii="Verdana" w:hAnsi="Verdana"/>
                <w:sz w:val="18"/>
                <w:szCs w:val="18"/>
                <w:lang w:val="en"/>
              </w:rPr>
              <w:t>National Railway Infrastructure Company</w:t>
            </w:r>
          </w:p>
        </w:tc>
      </w:tr>
      <w:tr w:rsidR="00FF61B6" w:rsidRPr="00F50700" w14:paraId="1B052C71" w14:textId="77777777" w:rsidTr="00FF61B6">
        <w:tc>
          <w:tcPr>
            <w:tcW w:w="1194" w:type="pct"/>
            <w:vAlign w:val="center"/>
          </w:tcPr>
          <w:p w14:paraId="3D51D1B6" w14:textId="77777777" w:rsidR="00FF61B6" w:rsidRPr="00D574E0" w:rsidRDefault="00FF61B6" w:rsidP="003F786B">
            <w:pPr>
              <w:pStyle w:val="ListParagraph"/>
              <w:shd w:val="clear" w:color="auto" w:fill="FFFFFF" w:themeFill="background1"/>
              <w:ind w:left="0"/>
              <w:jc w:val="both"/>
              <w:rPr>
                <w:rFonts w:ascii="Verdana" w:hAnsi="Verdana"/>
                <w:sz w:val="18"/>
                <w:szCs w:val="18"/>
                <w:lang w:val="bg-BG"/>
              </w:rPr>
            </w:pPr>
            <w:r w:rsidRPr="00D574E0">
              <w:rPr>
                <w:rFonts w:ascii="Verdana" w:hAnsi="Verdana"/>
                <w:sz w:val="18"/>
                <w:szCs w:val="18"/>
                <w:lang w:val="en"/>
              </w:rPr>
              <w:t>21.08.2020</w:t>
            </w:r>
          </w:p>
        </w:tc>
        <w:tc>
          <w:tcPr>
            <w:tcW w:w="3806" w:type="pct"/>
            <w:vAlign w:val="center"/>
          </w:tcPr>
          <w:p w14:paraId="06E6FE33" w14:textId="77777777" w:rsidR="00FF61B6" w:rsidRPr="00D574E0" w:rsidRDefault="00FF61B6" w:rsidP="003F786B">
            <w:pPr>
              <w:pStyle w:val="ListParagraph"/>
              <w:shd w:val="clear" w:color="auto" w:fill="FFFFFF" w:themeFill="background1"/>
              <w:ind w:left="0"/>
              <w:jc w:val="both"/>
              <w:rPr>
                <w:rFonts w:ascii="Verdana" w:hAnsi="Verdana"/>
                <w:sz w:val="18"/>
                <w:szCs w:val="18"/>
                <w:lang w:val="bg-BG"/>
              </w:rPr>
            </w:pPr>
            <w:r w:rsidRPr="00D574E0">
              <w:rPr>
                <w:rFonts w:ascii="Verdana" w:hAnsi="Verdana"/>
                <w:sz w:val="18"/>
                <w:szCs w:val="18"/>
                <w:lang w:val="en"/>
              </w:rPr>
              <w:t>Road Infrastructure Agency</w:t>
            </w:r>
          </w:p>
        </w:tc>
      </w:tr>
      <w:tr w:rsidR="00FF61B6" w:rsidRPr="00F50700" w14:paraId="2FA016DB" w14:textId="77777777" w:rsidTr="00FF61B6">
        <w:tc>
          <w:tcPr>
            <w:tcW w:w="1194" w:type="pct"/>
            <w:vAlign w:val="center"/>
          </w:tcPr>
          <w:p w14:paraId="3086BA1A" w14:textId="77777777" w:rsidR="00FF61B6" w:rsidRPr="00F50700" w:rsidRDefault="00FF61B6" w:rsidP="003F786B">
            <w:pPr>
              <w:pStyle w:val="ListParagraph"/>
              <w:shd w:val="clear" w:color="auto" w:fill="FFFFFF" w:themeFill="background1"/>
              <w:ind w:left="0"/>
              <w:jc w:val="both"/>
              <w:rPr>
                <w:rFonts w:ascii="Verdana" w:hAnsi="Verdana"/>
                <w:sz w:val="18"/>
                <w:szCs w:val="18"/>
                <w:lang w:val="bg-BG"/>
              </w:rPr>
            </w:pPr>
            <w:r w:rsidRPr="00F50700">
              <w:rPr>
                <w:rFonts w:ascii="Verdana" w:hAnsi="Verdana"/>
                <w:sz w:val="18"/>
                <w:szCs w:val="18"/>
                <w:lang w:val="en"/>
              </w:rPr>
              <w:t>05.09.2020</w:t>
            </w:r>
          </w:p>
        </w:tc>
        <w:tc>
          <w:tcPr>
            <w:tcW w:w="3806" w:type="pct"/>
            <w:vAlign w:val="center"/>
          </w:tcPr>
          <w:p w14:paraId="3B9E4320" w14:textId="14F93622" w:rsidR="00FF61B6" w:rsidRPr="00D574E0" w:rsidRDefault="00FF61B6" w:rsidP="003F786B">
            <w:pPr>
              <w:pStyle w:val="ListParagraph"/>
              <w:shd w:val="clear" w:color="auto" w:fill="FFFFFF" w:themeFill="background1"/>
              <w:ind w:left="0"/>
              <w:jc w:val="both"/>
              <w:rPr>
                <w:rFonts w:ascii="Verdana" w:hAnsi="Verdana"/>
                <w:sz w:val="18"/>
                <w:szCs w:val="18"/>
                <w:lang w:val="bg-BG"/>
              </w:rPr>
            </w:pPr>
            <w:r w:rsidRPr="00D574E0">
              <w:rPr>
                <w:rFonts w:ascii="Verdana" w:hAnsi="Verdana"/>
                <w:sz w:val="18"/>
                <w:szCs w:val="18"/>
                <w:lang w:val="en"/>
              </w:rPr>
              <w:t xml:space="preserve">Metropolitan </w:t>
            </w:r>
            <w:r w:rsidR="00D574E0" w:rsidRPr="00D574E0">
              <w:rPr>
                <w:rFonts w:ascii="Verdana" w:hAnsi="Verdana"/>
                <w:sz w:val="18"/>
                <w:szCs w:val="18"/>
                <w:lang w:val="en"/>
              </w:rPr>
              <w:t>JSC</w:t>
            </w:r>
          </w:p>
        </w:tc>
      </w:tr>
    </w:tbl>
    <w:p w14:paraId="2B99A3B4" w14:textId="77777777" w:rsidR="003769AF" w:rsidRPr="00F50700" w:rsidRDefault="003769AF" w:rsidP="003F786B">
      <w:pPr>
        <w:pStyle w:val="ListParagraph"/>
        <w:shd w:val="clear" w:color="auto" w:fill="FFFFFF" w:themeFill="background1"/>
        <w:spacing w:after="0" w:line="240" w:lineRule="auto"/>
        <w:ind w:left="0"/>
        <w:jc w:val="both"/>
        <w:rPr>
          <w:rFonts w:ascii="Verdana" w:hAnsi="Verdana"/>
          <w:sz w:val="18"/>
          <w:szCs w:val="18"/>
          <w:lang w:val="bg-BG"/>
        </w:rPr>
      </w:pPr>
    </w:p>
    <w:p w14:paraId="402A098E" w14:textId="77777777" w:rsidR="003769AF" w:rsidRPr="00F50700" w:rsidRDefault="003769AF" w:rsidP="003769AF">
      <w:pPr>
        <w:pStyle w:val="ListParagraph"/>
        <w:jc w:val="both"/>
        <w:rPr>
          <w:rFonts w:ascii="Verdana" w:hAnsi="Verdana"/>
          <w:b/>
          <w:sz w:val="20"/>
          <w:szCs w:val="20"/>
          <w:lang w:val="bg-BG"/>
        </w:rPr>
      </w:pPr>
    </w:p>
    <w:p w14:paraId="27BD6C45" w14:textId="77777777" w:rsidR="003769AF" w:rsidRPr="00F50700" w:rsidRDefault="003769AF" w:rsidP="003769AF">
      <w:pPr>
        <w:pStyle w:val="ListParagraph"/>
        <w:jc w:val="both"/>
        <w:rPr>
          <w:rFonts w:ascii="Verdana" w:hAnsi="Verdana"/>
          <w:b/>
          <w:sz w:val="20"/>
          <w:szCs w:val="20"/>
          <w:lang w:val="bg-BG"/>
        </w:rPr>
      </w:pPr>
    </w:p>
    <w:p w14:paraId="561F9ED2" w14:textId="6FB049C0" w:rsidR="00B738CE" w:rsidRPr="00F50700" w:rsidRDefault="00B738CE" w:rsidP="006E2FC7">
      <w:pPr>
        <w:spacing w:before="120" w:after="120" w:line="240" w:lineRule="auto"/>
        <w:jc w:val="both"/>
        <w:rPr>
          <w:rFonts w:ascii="Verdana" w:hAnsi="Verdana"/>
          <w:sz w:val="24"/>
          <w:szCs w:val="24"/>
          <w:lang w:val="bg-BG"/>
        </w:rPr>
      </w:pPr>
    </w:p>
    <w:sectPr w:rsidR="00B738CE" w:rsidRPr="00F50700" w:rsidSect="00903FE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C7FFFE" w14:textId="77777777" w:rsidR="00333A1A" w:rsidRDefault="00333A1A" w:rsidP="00FD3F1F">
      <w:pPr>
        <w:spacing w:after="0" w:line="240" w:lineRule="auto"/>
      </w:pPr>
      <w:r>
        <w:rPr>
          <w:lang w:val="en"/>
        </w:rPr>
        <w:separator/>
      </w:r>
    </w:p>
  </w:endnote>
  <w:endnote w:type="continuationSeparator" w:id="0">
    <w:p w14:paraId="6349F744" w14:textId="77777777" w:rsidR="00333A1A" w:rsidRDefault="00333A1A" w:rsidP="00FD3F1F">
      <w:pPr>
        <w:spacing w:after="0" w:line="240" w:lineRule="auto"/>
      </w:pPr>
      <w:r>
        <w:rPr>
          <w:lang w:val="e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2AFF" w:usb1="C000247B" w:usb2="00000009" w:usb3="00000000" w:csb0="000001FF" w:csb1="00000000"/>
  </w:font>
  <w:font w:name="TimesNewRoman">
    <w:altName w:val="Times New Roman"/>
    <w:panose1 w:val="00000000000000000000"/>
    <w:charset w:val="CC"/>
    <w:family w:val="auto"/>
    <w:notTrueType/>
    <w:pitch w:val="default"/>
    <w:sig w:usb0="00000203" w:usb1="00000000" w:usb2="00000000" w:usb3="00000000" w:csb0="00000005" w:csb1="00000000"/>
  </w:font>
  <w:font w:name="SymbolMT">
    <w:altName w:val="Calibri"/>
    <w:panose1 w:val="00000000000000000000"/>
    <w:charset w:val="CC"/>
    <w:family w:val="auto"/>
    <w:notTrueType/>
    <w:pitch w:val="default"/>
    <w:sig w:usb0="00000201" w:usb1="00000000" w:usb2="00000000" w:usb3="00000000" w:csb0="00000004"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0002AFF" w:usb1="C000247B" w:usb2="00000009" w:usb3="00000000" w:csb0="000001FF" w:csb1="00000000"/>
  </w:font>
  <w:font w:name="Segoe UI">
    <w:altName w:val="Calibr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Myriad Pro">
    <w:altName w:val="Myriad Pro"/>
    <w:panose1 w:val="00000000000000000000"/>
    <w:charset w:val="CC"/>
    <w:family w:val="swiss"/>
    <w:notTrueType/>
    <w:pitch w:val="default"/>
    <w:sig w:usb0="00000201" w:usb1="00000000" w:usb2="00000000" w:usb3="00000000" w:csb0="00000004" w:csb1="00000000"/>
  </w:font>
  <w:font w:name="Helvetica">
    <w:panose1 w:val="020B0604020202020204"/>
    <w:charset w:val="00"/>
    <w:family w:val="swiss"/>
    <w:pitch w:val="variable"/>
    <w:sig w:usb0="00000003" w:usb1="00000000" w:usb2="00000000" w:usb3="00000000" w:csb0="00000001" w:csb1="00000000"/>
  </w:font>
  <w:font w:name="TimesNewRomanPS-ItalicMT">
    <w:altName w:val="Times New Roman"/>
    <w:panose1 w:val="00000000000000000000"/>
    <w:charset w:val="CC"/>
    <w:family w:val="auto"/>
    <w:notTrueType/>
    <w:pitch w:val="default"/>
    <w:sig w:usb0="00000201" w:usb1="00000000" w:usb2="00000000" w:usb3="00000000" w:csb0="00000004" w:csb1="00000000"/>
  </w:font>
  <w:font w:name="TimesNewRomanPSMT">
    <w:altName w:val="Times New Roman"/>
    <w:charset w:val="00"/>
    <w:family w:val="auto"/>
    <w:pitch w:val="variable"/>
    <w:sig w:usb0="E0002AE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NewRomanPS-BoldMT">
    <w:altName w:val="MS Mincho"/>
    <w:panose1 w:val="00000000000000000000"/>
    <w:charset w:val="80"/>
    <w:family w:val="auto"/>
    <w:notTrueType/>
    <w:pitch w:val="default"/>
    <w:sig w:usb0="00000203" w:usb1="08070000" w:usb2="00000010" w:usb3="00000000" w:csb0="00020005"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12578758"/>
      <w:docPartObj>
        <w:docPartGallery w:val="Page Numbers (Bottom of Page)"/>
        <w:docPartUnique/>
      </w:docPartObj>
    </w:sdtPr>
    <w:sdtEndPr>
      <w:rPr>
        <w:noProof/>
      </w:rPr>
    </w:sdtEndPr>
    <w:sdtContent>
      <w:p w14:paraId="73F9E6ED" w14:textId="47DE86D0" w:rsidR="00424BA0" w:rsidRDefault="00424BA0">
        <w:pPr>
          <w:pStyle w:val="Footer"/>
          <w:jc w:val="right"/>
        </w:pPr>
        <w:r>
          <w:rPr>
            <w:lang w:val="en"/>
          </w:rPr>
          <w:fldChar w:fldCharType="begin"/>
        </w:r>
        <w:r>
          <w:rPr>
            <w:lang w:val="en"/>
          </w:rPr>
          <w:instrText xml:space="preserve"> PAGE   \* MERGEFORMAT </w:instrText>
        </w:r>
        <w:r>
          <w:rPr>
            <w:lang w:val="en"/>
          </w:rPr>
          <w:fldChar w:fldCharType="separate"/>
        </w:r>
        <w:r w:rsidR="00093DFF">
          <w:rPr>
            <w:noProof/>
            <w:lang w:val="en"/>
          </w:rPr>
          <w:t>12</w:t>
        </w:r>
        <w:r>
          <w:rPr>
            <w:noProof/>
            <w:lang w:val="en"/>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0955816"/>
      <w:docPartObj>
        <w:docPartGallery w:val="Page Numbers (Bottom of Page)"/>
        <w:docPartUnique/>
      </w:docPartObj>
    </w:sdtPr>
    <w:sdtEndPr>
      <w:rPr>
        <w:noProof/>
      </w:rPr>
    </w:sdtEndPr>
    <w:sdtContent>
      <w:p w14:paraId="26984C67" w14:textId="6D0CA079" w:rsidR="00424BA0" w:rsidRPr="00167D9D" w:rsidRDefault="00424BA0" w:rsidP="009B5583">
        <w:pPr>
          <w:pStyle w:val="Footer"/>
          <w:jc w:val="center"/>
          <w:rPr>
            <w:color w:val="374C80" w:themeColor="accent1" w:themeShade="BF"/>
          </w:rPr>
        </w:pPr>
      </w:p>
      <w:p w14:paraId="5CB6F8AC" w14:textId="2283250E" w:rsidR="00424BA0" w:rsidRDefault="00424BA0">
        <w:pPr>
          <w:pStyle w:val="Footer"/>
          <w:jc w:val="right"/>
        </w:pPr>
        <w:r>
          <w:rPr>
            <w:lang w:val="en"/>
          </w:rPr>
          <w:fldChar w:fldCharType="begin"/>
        </w:r>
        <w:r>
          <w:rPr>
            <w:lang w:val="en"/>
          </w:rPr>
          <w:instrText xml:space="preserve"> PAGE   \* MERGEFORMAT </w:instrText>
        </w:r>
        <w:r>
          <w:rPr>
            <w:lang w:val="en"/>
          </w:rPr>
          <w:fldChar w:fldCharType="separate"/>
        </w:r>
        <w:r w:rsidR="00093DFF">
          <w:rPr>
            <w:noProof/>
            <w:lang w:val="en"/>
          </w:rPr>
          <w:t>66</w:t>
        </w:r>
        <w:r>
          <w:rPr>
            <w:noProof/>
            <w:lang w:val="en"/>
          </w:rPr>
          <w:fldChar w:fldCharType="end"/>
        </w:r>
      </w:p>
    </w:sdtContent>
  </w:sdt>
  <w:p w14:paraId="726ED34B" w14:textId="77777777" w:rsidR="00424BA0" w:rsidRDefault="00424BA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27874644"/>
      <w:docPartObj>
        <w:docPartGallery w:val="Page Numbers (Bottom of Page)"/>
        <w:docPartUnique/>
      </w:docPartObj>
    </w:sdtPr>
    <w:sdtEndPr>
      <w:rPr>
        <w:noProof/>
      </w:rPr>
    </w:sdtEndPr>
    <w:sdtContent>
      <w:p w14:paraId="176EAC79" w14:textId="4F022BFF" w:rsidR="00424BA0" w:rsidRDefault="00424BA0">
        <w:pPr>
          <w:pStyle w:val="ListParagraph"/>
          <w:jc w:val="right"/>
        </w:pPr>
        <w:r>
          <w:rPr>
            <w:lang w:val="en"/>
          </w:rPr>
          <w:fldChar w:fldCharType="begin"/>
        </w:r>
        <w:r>
          <w:rPr>
            <w:lang w:val="en"/>
          </w:rPr>
          <w:instrText xml:space="preserve"> PAGE   \* MERGEFORMAT </w:instrText>
        </w:r>
        <w:r>
          <w:rPr>
            <w:lang w:val="en"/>
          </w:rPr>
          <w:fldChar w:fldCharType="separate"/>
        </w:r>
        <w:r w:rsidR="00093DFF">
          <w:rPr>
            <w:noProof/>
            <w:lang w:val="en"/>
          </w:rPr>
          <w:t>78</w:t>
        </w:r>
        <w:r>
          <w:rPr>
            <w:noProof/>
            <w:lang w:val="en"/>
          </w:rPr>
          <w:fldChar w:fldCharType="end"/>
        </w:r>
      </w:p>
    </w:sdtContent>
  </w:sdt>
  <w:p w14:paraId="020B438A" w14:textId="77777777" w:rsidR="00424BA0" w:rsidRPr="00005A1A" w:rsidRDefault="00424BA0">
    <w:pPr>
      <w:pStyle w:val="ListParagraph"/>
      <w:rPr>
        <w:color w:val="253356" w:themeColor="accent1" w:themeShade="8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B3271E" w14:textId="77777777" w:rsidR="00333A1A" w:rsidRDefault="00333A1A" w:rsidP="00FD3F1F">
      <w:pPr>
        <w:spacing w:after="0" w:line="240" w:lineRule="auto"/>
      </w:pPr>
      <w:r>
        <w:rPr>
          <w:lang w:val="en"/>
        </w:rPr>
        <w:separator/>
      </w:r>
    </w:p>
  </w:footnote>
  <w:footnote w:type="continuationSeparator" w:id="0">
    <w:p w14:paraId="4FBE898F" w14:textId="77777777" w:rsidR="00333A1A" w:rsidRDefault="00333A1A" w:rsidP="00FD3F1F">
      <w:pPr>
        <w:spacing w:after="0" w:line="240" w:lineRule="auto"/>
      </w:pPr>
      <w:r>
        <w:rPr>
          <w:lang w:val="en"/>
        </w:rPr>
        <w:continuationSeparator/>
      </w:r>
    </w:p>
  </w:footnote>
  <w:footnote w:id="1">
    <w:p w14:paraId="1CBD0AB5" w14:textId="77777777" w:rsidR="00424BA0" w:rsidRPr="00E03DCD" w:rsidRDefault="00424BA0" w:rsidP="00B76FE0">
      <w:pPr>
        <w:pStyle w:val="FootnoteText"/>
        <w:rPr>
          <w:rFonts w:ascii="Verdana" w:hAnsi="Verdana"/>
          <w:i/>
          <w:iCs/>
          <w:sz w:val="16"/>
          <w:szCs w:val="16"/>
          <w:lang w:val="bg-BG"/>
        </w:rPr>
      </w:pPr>
      <w:r w:rsidRPr="00E03DCD">
        <w:rPr>
          <w:rStyle w:val="FootnoteReference"/>
          <w:rFonts w:ascii="Verdana" w:hAnsi="Verdana"/>
          <w:sz w:val="16"/>
          <w:szCs w:val="16"/>
        </w:rPr>
        <w:footnoteRef/>
      </w:r>
      <w:r w:rsidRPr="00E03DCD">
        <w:rPr>
          <w:rFonts w:ascii="Verdana" w:hAnsi="Verdana"/>
          <w:sz w:val="16"/>
          <w:szCs w:val="16"/>
        </w:rPr>
        <w:t xml:space="preserve"> </w:t>
      </w:r>
      <w:r w:rsidRPr="00E03DCD">
        <w:rPr>
          <w:rFonts w:ascii="Verdana" w:hAnsi="Verdana"/>
          <w:i/>
          <w:iCs/>
          <w:sz w:val="16"/>
          <w:szCs w:val="16"/>
          <w:lang w:val="en"/>
        </w:rPr>
        <w:t>EC Guide for evaluation of socio-economic development: https://ec.europa.eu/regional_policy/en/informatioN/Aublications/evaluations-guidance-documents/2013/evalsed-the-resource-for-the-evaluation-of-socio-economic-development-evaluation-guide</w:t>
      </w:r>
    </w:p>
    <w:p w14:paraId="1B5082DF" w14:textId="77777777" w:rsidR="00424BA0" w:rsidRPr="00B45217" w:rsidRDefault="00424BA0" w:rsidP="00B76FE0">
      <w:pPr>
        <w:pStyle w:val="FootnoteText"/>
        <w:rPr>
          <w:lang w:val="en-GB"/>
        </w:rPr>
      </w:pPr>
      <w:r>
        <w:rPr>
          <w:lang w:val="en-GB"/>
        </w:rPr>
        <w:t xml:space="preserve"> </w:t>
      </w:r>
    </w:p>
  </w:footnote>
  <w:footnote w:id="2">
    <w:p w14:paraId="4695B820" w14:textId="77777777" w:rsidR="00424BA0" w:rsidRPr="00DA3309" w:rsidRDefault="00424BA0" w:rsidP="00B81A3B">
      <w:pPr>
        <w:pStyle w:val="FootnoteText"/>
        <w:jc w:val="both"/>
        <w:rPr>
          <w:i/>
          <w:iCs/>
          <w:lang w:val="en"/>
        </w:rPr>
      </w:pPr>
      <w:r w:rsidRPr="00CE6E3B">
        <w:rPr>
          <w:rStyle w:val="FootnoteReference"/>
          <w:i/>
          <w:iCs/>
          <w:lang w:val="en"/>
        </w:rPr>
        <w:footnoteRef/>
      </w:r>
      <w:r w:rsidRPr="00A43084">
        <w:rPr>
          <w:i/>
          <w:iCs/>
          <w:lang w:val="en"/>
        </w:rPr>
        <w:t xml:space="preserve"> </w:t>
      </w:r>
      <w:bookmarkStart w:id="35" w:name="_Hlk55201883"/>
      <w:r w:rsidRPr="00CE6E3B">
        <w:rPr>
          <w:i/>
          <w:iCs/>
          <w:lang w:val="en"/>
        </w:rPr>
        <w:t xml:space="preserve">The </w:t>
      </w:r>
      <w:r>
        <w:rPr>
          <w:i/>
          <w:iCs/>
          <w:lang w:val="en"/>
        </w:rPr>
        <w:t>SIBILA</w:t>
      </w:r>
      <w:r w:rsidRPr="00CE6E3B">
        <w:rPr>
          <w:i/>
          <w:iCs/>
          <w:lang w:val="en"/>
        </w:rPr>
        <w:t xml:space="preserve"> 1.0</w:t>
      </w:r>
      <w:r>
        <w:rPr>
          <w:i/>
          <w:iCs/>
          <w:lang w:val="en"/>
        </w:rPr>
        <w:t xml:space="preserve"> model</w:t>
      </w:r>
      <w:r w:rsidRPr="00CE6E3B">
        <w:rPr>
          <w:i/>
          <w:iCs/>
          <w:lang w:val="en"/>
        </w:rPr>
        <w:t xml:space="preserve"> </w:t>
      </w:r>
      <w:bookmarkEnd w:id="35"/>
      <w:r w:rsidRPr="00CE6E3B">
        <w:rPr>
          <w:i/>
          <w:iCs/>
          <w:lang w:val="en"/>
        </w:rPr>
        <w:t>was developed in 2011 and</w:t>
      </w:r>
      <w:r>
        <w:rPr>
          <w:i/>
          <w:iCs/>
          <w:lang w:val="en"/>
        </w:rPr>
        <w:t xml:space="preserve"> has been </w:t>
      </w:r>
      <w:r w:rsidRPr="00CE6E3B">
        <w:rPr>
          <w:i/>
          <w:iCs/>
          <w:lang w:val="en"/>
        </w:rPr>
        <w:t xml:space="preserve">used by the </w:t>
      </w:r>
      <w:proofErr w:type="spellStart"/>
      <w:r>
        <w:rPr>
          <w:i/>
          <w:iCs/>
          <w:lang w:val="en"/>
        </w:rPr>
        <w:t>CoM</w:t>
      </w:r>
      <w:proofErr w:type="spellEnd"/>
      <w:r>
        <w:rPr>
          <w:i/>
          <w:iCs/>
          <w:lang w:val="en"/>
        </w:rPr>
        <w:t xml:space="preserve"> and the MF for the evaluation of the net effects of the operational programmes during the first programming period, and of the direction of related investments during the second programming period. In 2015, the model was extended and updated and is currently being used for the evaluation of investment effects of the operational programmes as well as of those related to the Common policy in Maritime and Fishery, and partially for the Common agricultural policy funds. Every six months, the MF publishes a report containing the updated estimates of the net effects of EU funds, including those related to operational programmes.</w:t>
      </w:r>
    </w:p>
  </w:footnote>
  <w:footnote w:id="3">
    <w:p w14:paraId="5B302AF8" w14:textId="77777777" w:rsidR="00424BA0" w:rsidRPr="00C90CC7" w:rsidRDefault="00424BA0" w:rsidP="003F1FB7">
      <w:pPr>
        <w:pStyle w:val="FootnoteText"/>
        <w:rPr>
          <w:rFonts w:ascii="Verdana" w:hAnsi="Verdana"/>
          <w:i/>
          <w:iCs/>
          <w:sz w:val="18"/>
          <w:szCs w:val="18"/>
          <w:lang w:val="bg-BG"/>
        </w:rPr>
      </w:pPr>
      <w:r>
        <w:rPr>
          <w:rStyle w:val="FootnoteReference"/>
          <w:lang w:val="en"/>
        </w:rPr>
        <w:footnoteRef/>
      </w:r>
      <w:r w:rsidRPr="00CD6F8C">
        <w:rPr>
          <w:lang w:val="en"/>
        </w:rPr>
        <w:t xml:space="preserve"> </w:t>
      </w:r>
      <w:r w:rsidRPr="00C90CC7">
        <w:rPr>
          <w:rFonts w:ascii="Verdana" w:hAnsi="Verdana"/>
          <w:i/>
          <w:iCs/>
          <w:sz w:val="18"/>
          <w:szCs w:val="18"/>
        </w:rPr>
        <w:t>Council of Ministers</w:t>
      </w:r>
      <w:r w:rsidRPr="00C90CC7">
        <w:rPr>
          <w:rFonts w:ascii="Verdana" w:hAnsi="Verdana"/>
          <w:i/>
          <w:iCs/>
          <w:sz w:val="18"/>
          <w:szCs w:val="18"/>
          <w:lang w:val="bg-BG"/>
        </w:rPr>
        <w:t xml:space="preserve"> (2012).</w:t>
      </w:r>
      <w:r w:rsidRPr="00C90CC7">
        <w:rPr>
          <w:rFonts w:ascii="Verdana" w:hAnsi="Verdana"/>
          <w:i/>
          <w:iCs/>
          <w:sz w:val="18"/>
          <w:szCs w:val="18"/>
        </w:rPr>
        <w:t xml:space="preserve"> </w:t>
      </w:r>
      <w:bookmarkStart w:id="37" w:name="_Hlk61242181"/>
      <w:r w:rsidRPr="00C90CC7">
        <w:rPr>
          <w:rFonts w:ascii="Verdana" w:hAnsi="Verdana"/>
          <w:i/>
          <w:iCs/>
          <w:sz w:val="18"/>
          <w:szCs w:val="18"/>
        </w:rPr>
        <w:t>2012 Strategic Analysis of Republic of Bulgaria</w:t>
      </w:r>
      <w:bookmarkEnd w:id="37"/>
      <w:r w:rsidRPr="00C90CC7">
        <w:rPr>
          <w:rFonts w:ascii="Verdana" w:hAnsi="Verdana"/>
          <w:i/>
          <w:iCs/>
          <w:sz w:val="18"/>
          <w:szCs w:val="18"/>
        </w:rPr>
        <w:t>.</w:t>
      </w:r>
      <w:r w:rsidRPr="00C90CC7">
        <w:rPr>
          <w:rFonts w:ascii="Verdana" w:hAnsi="Verdana"/>
          <w:i/>
          <w:iCs/>
          <w:sz w:val="18"/>
          <w:szCs w:val="18"/>
          <w:lang w:val="en"/>
        </w:rPr>
        <w:t xml:space="preserve"> </w:t>
      </w:r>
    </w:p>
  </w:footnote>
  <w:footnote w:id="4">
    <w:p w14:paraId="61ED5571" w14:textId="77777777" w:rsidR="00424BA0" w:rsidRPr="00C90CC7" w:rsidRDefault="00424BA0" w:rsidP="003F1FB7">
      <w:pPr>
        <w:pStyle w:val="FootnoteText"/>
        <w:rPr>
          <w:rFonts w:ascii="Verdana" w:hAnsi="Verdana"/>
          <w:i/>
          <w:iCs/>
          <w:sz w:val="18"/>
          <w:szCs w:val="18"/>
          <w:lang w:val="bg-BG"/>
        </w:rPr>
      </w:pPr>
      <w:r w:rsidRPr="00C90CC7">
        <w:rPr>
          <w:rStyle w:val="FootnoteReference"/>
          <w:rFonts w:ascii="Verdana" w:hAnsi="Verdana"/>
          <w:i/>
          <w:iCs/>
          <w:sz w:val="18"/>
          <w:szCs w:val="18"/>
          <w:lang w:val="en"/>
        </w:rPr>
        <w:footnoteRef/>
      </w:r>
      <w:r w:rsidRPr="00C90CC7">
        <w:rPr>
          <w:rFonts w:ascii="Verdana" w:hAnsi="Verdana"/>
          <w:i/>
          <w:iCs/>
          <w:sz w:val="18"/>
          <w:szCs w:val="18"/>
          <w:lang w:val="en"/>
        </w:rPr>
        <w:t xml:space="preserve"> </w:t>
      </w:r>
      <w:r w:rsidRPr="00C90CC7">
        <w:rPr>
          <w:rFonts w:ascii="Verdana" w:hAnsi="Verdana"/>
          <w:i/>
          <w:iCs/>
          <w:sz w:val="18"/>
          <w:szCs w:val="18"/>
        </w:rPr>
        <w:t>Council of Ministers</w:t>
      </w:r>
      <w:r w:rsidRPr="00C90CC7">
        <w:rPr>
          <w:rFonts w:ascii="Verdana" w:hAnsi="Verdana"/>
          <w:i/>
          <w:iCs/>
          <w:sz w:val="18"/>
          <w:szCs w:val="18"/>
          <w:lang w:val="bg-BG"/>
        </w:rPr>
        <w:t xml:space="preserve"> (2015). </w:t>
      </w:r>
      <w:bookmarkStart w:id="38" w:name="_Hlk61242209"/>
      <w:r w:rsidRPr="00C90CC7">
        <w:rPr>
          <w:rFonts w:ascii="Verdana" w:hAnsi="Verdana"/>
          <w:i/>
          <w:iCs/>
          <w:sz w:val="18"/>
          <w:szCs w:val="18"/>
        </w:rPr>
        <w:t>Net Effects of EU-funded Policies.</w:t>
      </w:r>
      <w:bookmarkEnd w:id="38"/>
      <w:r w:rsidRPr="00C90CC7">
        <w:rPr>
          <w:rFonts w:ascii="Verdana" w:hAnsi="Verdana"/>
          <w:i/>
          <w:iCs/>
          <w:sz w:val="18"/>
          <w:szCs w:val="18"/>
        </w:rPr>
        <w:t xml:space="preserve"> </w:t>
      </w:r>
    </w:p>
  </w:footnote>
  <w:footnote w:id="5">
    <w:p w14:paraId="68F3B8B9" w14:textId="77777777" w:rsidR="00424BA0" w:rsidRPr="00174F36" w:rsidRDefault="00424BA0" w:rsidP="003F1FB7">
      <w:pPr>
        <w:pStyle w:val="FootnoteText"/>
        <w:rPr>
          <w:rFonts w:ascii="Verdana" w:hAnsi="Verdana"/>
          <w:sz w:val="18"/>
          <w:szCs w:val="18"/>
          <w:lang w:val="bg-BG"/>
        </w:rPr>
      </w:pPr>
      <w:r w:rsidRPr="00C90CC7">
        <w:rPr>
          <w:rStyle w:val="FootnoteReference"/>
          <w:rFonts w:ascii="Verdana" w:hAnsi="Verdana"/>
          <w:i/>
          <w:iCs/>
          <w:sz w:val="18"/>
          <w:szCs w:val="18"/>
          <w:lang w:val="en"/>
        </w:rPr>
        <w:footnoteRef/>
      </w:r>
      <w:r w:rsidRPr="00C90CC7">
        <w:rPr>
          <w:rFonts w:ascii="Verdana" w:hAnsi="Verdana"/>
          <w:i/>
          <w:iCs/>
          <w:sz w:val="18"/>
          <w:szCs w:val="18"/>
          <w:lang w:val="en"/>
        </w:rPr>
        <w:t xml:space="preserve"> </w:t>
      </w:r>
      <w:r w:rsidRPr="00C90CC7">
        <w:rPr>
          <w:rFonts w:ascii="Verdana" w:hAnsi="Verdana"/>
          <w:i/>
          <w:iCs/>
          <w:sz w:val="18"/>
          <w:szCs w:val="18"/>
        </w:rPr>
        <w:t>Ministry of Finance</w:t>
      </w:r>
      <w:r w:rsidRPr="00C90CC7">
        <w:rPr>
          <w:rFonts w:ascii="Verdana" w:hAnsi="Verdana"/>
          <w:i/>
          <w:iCs/>
          <w:sz w:val="18"/>
          <w:szCs w:val="18"/>
          <w:lang w:val="bg-BG"/>
        </w:rPr>
        <w:t xml:space="preserve"> (2016). </w:t>
      </w:r>
      <w:bookmarkStart w:id="39" w:name="_Hlk61242278"/>
      <w:r w:rsidRPr="00C90CC7">
        <w:rPr>
          <w:rFonts w:ascii="Verdana" w:hAnsi="Verdana"/>
          <w:i/>
          <w:iCs/>
          <w:sz w:val="18"/>
          <w:szCs w:val="18"/>
        </w:rPr>
        <w:t>EU Funds in Bulgaria: Evaluation of Macroeconomic Effects from the Implementation of the Programmes, co-funded by the EU.</w:t>
      </w:r>
      <w:r w:rsidRPr="00174F36">
        <w:rPr>
          <w:rFonts w:ascii="Verdana" w:hAnsi="Verdana"/>
          <w:sz w:val="18"/>
          <w:szCs w:val="18"/>
        </w:rPr>
        <w:t xml:space="preserve"> </w:t>
      </w:r>
      <w:bookmarkEnd w:id="39"/>
    </w:p>
  </w:footnote>
  <w:footnote w:id="6">
    <w:p w14:paraId="5889019D" w14:textId="77777777" w:rsidR="00424BA0" w:rsidRPr="006348FD" w:rsidRDefault="00424BA0" w:rsidP="006348FD">
      <w:pPr>
        <w:pStyle w:val="FootnoteText"/>
        <w:jc w:val="both"/>
        <w:rPr>
          <w:i/>
          <w:iCs/>
          <w:lang w:val="en"/>
        </w:rPr>
      </w:pPr>
      <w:r w:rsidRPr="006348FD">
        <w:rPr>
          <w:rStyle w:val="FootnoteReference"/>
          <w:i/>
          <w:iCs/>
          <w:lang w:val="en"/>
        </w:rPr>
        <w:footnoteRef/>
      </w:r>
      <w:r w:rsidRPr="006348FD">
        <w:rPr>
          <w:i/>
          <w:iCs/>
          <w:lang w:val="en"/>
        </w:rPr>
        <w:t xml:space="preserve"> Quality scale illustrated by number of symbols "*". Grade meanings: 1. Negligible effect, 2. Weak effect, 3. Rather weak effect, 4. Moderate effect, 5. Rather strong effect, 6. Strong effect,7. Noticeable effect</w:t>
      </w:r>
    </w:p>
  </w:footnote>
  <w:footnote w:id="7">
    <w:p w14:paraId="6063DF9B" w14:textId="77777777" w:rsidR="00424BA0" w:rsidRPr="006348FD" w:rsidRDefault="00424BA0" w:rsidP="001725BA">
      <w:pPr>
        <w:pStyle w:val="FootnoteText"/>
        <w:rPr>
          <w:i/>
          <w:iCs/>
          <w:lang w:val="bg-BG"/>
        </w:rPr>
      </w:pPr>
      <w:r w:rsidRPr="006348FD">
        <w:rPr>
          <w:rStyle w:val="FootnoteReference"/>
          <w:i/>
          <w:iCs/>
        </w:rPr>
        <w:footnoteRef/>
      </w:r>
      <w:r w:rsidRPr="006348FD">
        <w:rPr>
          <w:i/>
          <w:iCs/>
          <w:lang w:val="bg-BG"/>
        </w:rPr>
        <w:t xml:space="preserve"> </w:t>
      </w:r>
      <w:r w:rsidRPr="006348FD">
        <w:rPr>
          <w:i/>
          <w:iCs/>
        </w:rPr>
        <w:t>Council of Ministers (2015). Net Effects of EU-funded Policies.</w:t>
      </w:r>
    </w:p>
  </w:footnote>
  <w:footnote w:id="8">
    <w:p w14:paraId="20D63494" w14:textId="77777777" w:rsidR="00424BA0" w:rsidRPr="00633CBB" w:rsidRDefault="00424BA0" w:rsidP="001725BA">
      <w:pPr>
        <w:pStyle w:val="FootnoteText"/>
        <w:rPr>
          <w:rFonts w:ascii="Verdana" w:hAnsi="Verdana"/>
          <w:sz w:val="16"/>
          <w:szCs w:val="16"/>
          <w:lang w:val="bg-BG"/>
        </w:rPr>
      </w:pPr>
      <w:r w:rsidRPr="006348FD">
        <w:rPr>
          <w:rStyle w:val="FootnoteReference"/>
          <w:i/>
          <w:iCs/>
        </w:rPr>
        <w:footnoteRef/>
      </w:r>
      <w:r w:rsidRPr="006348FD">
        <w:rPr>
          <w:i/>
          <w:iCs/>
        </w:rPr>
        <w:t xml:space="preserve"> For more information, refer to the methodological notes regarding the net impact assessment of OPT in the intermediate sections of this report.</w:t>
      </w:r>
    </w:p>
  </w:footnote>
  <w:footnote w:id="9">
    <w:p w14:paraId="54ABCC6F" w14:textId="77777777" w:rsidR="00424BA0" w:rsidRPr="006348FD" w:rsidRDefault="00424BA0" w:rsidP="006348FD">
      <w:pPr>
        <w:pStyle w:val="FootnoteText"/>
        <w:jc w:val="both"/>
        <w:rPr>
          <w:rFonts w:ascii="Verdana" w:hAnsi="Verdana"/>
          <w:i/>
          <w:iCs/>
          <w:sz w:val="16"/>
          <w:szCs w:val="16"/>
        </w:rPr>
      </w:pPr>
      <w:r w:rsidRPr="006348FD">
        <w:rPr>
          <w:rStyle w:val="FootnoteReference"/>
          <w:rFonts w:ascii="Verdana" w:hAnsi="Verdana"/>
          <w:i/>
          <w:iCs/>
          <w:lang w:val="en"/>
        </w:rPr>
        <w:footnoteRef/>
      </w:r>
      <w:r w:rsidRPr="006348FD">
        <w:rPr>
          <w:rFonts w:ascii="Verdana" w:hAnsi="Verdana"/>
          <w:i/>
          <w:iCs/>
          <w:lang w:val="en"/>
        </w:rPr>
        <w:t xml:space="preserve"> </w:t>
      </w:r>
      <w:r w:rsidRPr="006348FD">
        <w:rPr>
          <w:rFonts w:ascii="Verdana" w:hAnsi="Verdana"/>
          <w:i/>
          <w:iCs/>
          <w:sz w:val="16"/>
          <w:szCs w:val="16"/>
          <w:lang w:val="en"/>
        </w:rPr>
        <w:t xml:space="preserve">Council of Ministers (2012). 2012 Strategic Analysis of Republic of Bulgaria </w:t>
      </w:r>
      <w:r w:rsidRPr="006348FD">
        <w:rPr>
          <w:rFonts w:ascii="Verdana" w:hAnsi="Verdana"/>
          <w:i/>
          <w:iCs/>
          <w:sz w:val="16"/>
          <w:szCs w:val="16"/>
          <w:lang w:val="bg-BG"/>
        </w:rPr>
        <w:t>(</w:t>
      </w:r>
      <w:r w:rsidRPr="006348FD">
        <w:rPr>
          <w:rFonts w:ascii="Verdana" w:hAnsi="Verdana"/>
          <w:i/>
          <w:iCs/>
          <w:sz w:val="16"/>
          <w:szCs w:val="16"/>
        </w:rPr>
        <w:t>an evaluation based on the implementation of the SIBILA 1.0 model, suggesting the continuation of infrastructure investments after the end of the first programming period).</w:t>
      </w:r>
    </w:p>
  </w:footnote>
  <w:footnote w:id="10">
    <w:p w14:paraId="5DCEA0C7" w14:textId="77777777" w:rsidR="00424BA0" w:rsidRPr="006348FD" w:rsidRDefault="00424BA0" w:rsidP="006348FD">
      <w:pPr>
        <w:pStyle w:val="FootnoteText"/>
        <w:jc w:val="both"/>
        <w:rPr>
          <w:rFonts w:ascii="Verdana" w:hAnsi="Verdana"/>
          <w:i/>
          <w:iCs/>
          <w:sz w:val="16"/>
          <w:szCs w:val="16"/>
        </w:rPr>
      </w:pPr>
      <w:r w:rsidRPr="006348FD">
        <w:rPr>
          <w:rStyle w:val="FootnoteReference"/>
          <w:rFonts w:ascii="Verdana" w:hAnsi="Verdana"/>
          <w:i/>
          <w:iCs/>
          <w:sz w:val="16"/>
          <w:szCs w:val="16"/>
          <w:lang w:val="en"/>
        </w:rPr>
        <w:footnoteRef/>
      </w:r>
      <w:r w:rsidRPr="006348FD">
        <w:rPr>
          <w:rFonts w:ascii="Verdana" w:hAnsi="Verdana"/>
          <w:i/>
          <w:iCs/>
          <w:sz w:val="16"/>
          <w:szCs w:val="16"/>
          <w:lang w:val="en"/>
        </w:rPr>
        <w:t xml:space="preserve"> Council of Ministers (2015).</w:t>
      </w:r>
      <w:r w:rsidRPr="006348FD">
        <w:rPr>
          <w:rFonts w:ascii="Verdana" w:hAnsi="Verdana"/>
          <w:i/>
          <w:iCs/>
          <w:sz w:val="16"/>
          <w:szCs w:val="16"/>
        </w:rPr>
        <w:t xml:space="preserve"> </w:t>
      </w:r>
      <w:r w:rsidRPr="006348FD">
        <w:rPr>
          <w:rFonts w:ascii="Verdana" w:hAnsi="Verdana"/>
          <w:i/>
          <w:iCs/>
          <w:sz w:val="16"/>
          <w:szCs w:val="16"/>
          <w:lang w:val="en"/>
        </w:rPr>
        <w:t>Net Effects of EU-funded Policies.</w:t>
      </w:r>
      <w:r w:rsidRPr="006348FD">
        <w:rPr>
          <w:rFonts w:ascii="Verdana" w:hAnsi="Verdana"/>
          <w:i/>
          <w:iCs/>
          <w:sz w:val="16"/>
          <w:szCs w:val="16"/>
          <w:lang w:val="bg-BG"/>
        </w:rPr>
        <w:t xml:space="preserve"> (</w:t>
      </w:r>
      <w:r w:rsidRPr="006348FD">
        <w:rPr>
          <w:rFonts w:ascii="Verdana" w:hAnsi="Verdana"/>
          <w:i/>
          <w:iCs/>
          <w:sz w:val="16"/>
          <w:szCs w:val="16"/>
        </w:rPr>
        <w:t>an evaluation based on the application of the SIBILA 1.1 model, which reports the conditional continuing impact of OPT isolated, without considering the OPTTI investments made).</w:t>
      </w:r>
    </w:p>
  </w:footnote>
  <w:footnote w:id="11">
    <w:p w14:paraId="5AFAE60E" w14:textId="556F2B78" w:rsidR="00424BA0" w:rsidRPr="008153A6" w:rsidRDefault="00424BA0" w:rsidP="006348FD">
      <w:pPr>
        <w:pStyle w:val="FootnoteText"/>
        <w:jc w:val="both"/>
        <w:rPr>
          <w:i/>
          <w:iCs/>
          <w:sz w:val="18"/>
          <w:szCs w:val="18"/>
          <w:lang w:val="bg-BG"/>
        </w:rPr>
      </w:pPr>
      <w:r w:rsidRPr="006348FD">
        <w:rPr>
          <w:rStyle w:val="FootnoteReference"/>
          <w:rFonts w:ascii="Verdana" w:hAnsi="Verdana"/>
          <w:i/>
          <w:iCs/>
          <w:sz w:val="16"/>
          <w:szCs w:val="16"/>
          <w:lang w:val="en"/>
        </w:rPr>
        <w:footnoteRef/>
      </w:r>
      <w:r w:rsidRPr="006348FD">
        <w:rPr>
          <w:rFonts w:ascii="Verdana" w:hAnsi="Verdana"/>
          <w:i/>
          <w:iCs/>
          <w:sz w:val="16"/>
          <w:szCs w:val="16"/>
          <w:lang w:val="en"/>
        </w:rPr>
        <w:t xml:space="preserve"> Based on the OPT impact assessment by the </w:t>
      </w:r>
      <w:proofErr w:type="spellStart"/>
      <w:r w:rsidRPr="006348FD">
        <w:rPr>
          <w:rFonts w:ascii="Verdana" w:hAnsi="Verdana"/>
          <w:i/>
          <w:iCs/>
          <w:sz w:val="16"/>
          <w:szCs w:val="16"/>
          <w:lang w:val="en"/>
        </w:rPr>
        <w:t>MoC</w:t>
      </w:r>
      <w:proofErr w:type="spellEnd"/>
      <w:r w:rsidRPr="006348FD">
        <w:rPr>
          <w:rFonts w:ascii="Verdana" w:hAnsi="Verdana"/>
          <w:i/>
          <w:iCs/>
          <w:sz w:val="16"/>
          <w:szCs w:val="16"/>
          <w:lang w:val="en"/>
        </w:rPr>
        <w:t xml:space="preserve"> by the end of 2015,</w:t>
      </w:r>
      <w:r w:rsidRPr="006348FD">
        <w:rPr>
          <w:rFonts w:ascii="Verdana" w:hAnsi="Verdana"/>
          <w:i/>
          <w:iCs/>
          <w:sz w:val="16"/>
          <w:szCs w:val="16"/>
        </w:rPr>
        <w:t xml:space="preserve"> as well as on the last-updated available information, published by the MF in March, 2019, for the macroeconomic effects of the EU-funded </w:t>
      </w:r>
      <w:proofErr w:type="spellStart"/>
      <w:r w:rsidRPr="006348FD">
        <w:rPr>
          <w:rFonts w:ascii="Verdana" w:hAnsi="Verdana"/>
          <w:i/>
          <w:iCs/>
          <w:sz w:val="16"/>
          <w:szCs w:val="16"/>
        </w:rPr>
        <w:t>programme`s</w:t>
      </w:r>
      <w:proofErr w:type="spellEnd"/>
      <w:r w:rsidRPr="006348FD">
        <w:rPr>
          <w:rFonts w:ascii="Verdana" w:hAnsi="Verdana"/>
          <w:i/>
          <w:iCs/>
          <w:sz w:val="16"/>
          <w:szCs w:val="16"/>
        </w:rPr>
        <w:t xml:space="preserve"> implementation, evaluated with the help of the SIBILA 2.0 model (expert evaluation to report the conditional lasting impact of OPT isolated, without considering the OPTTI investments made).</w:t>
      </w:r>
    </w:p>
  </w:footnote>
  <w:footnote w:id="12">
    <w:p w14:paraId="1EBEF931" w14:textId="77777777" w:rsidR="00424BA0" w:rsidRDefault="00424BA0" w:rsidP="00332DDB">
      <w:pPr>
        <w:pStyle w:val="FootnoteText"/>
      </w:pPr>
      <w:r>
        <w:rPr>
          <w:rStyle w:val="FootnoteReference"/>
        </w:rPr>
        <w:footnoteRef/>
      </w:r>
      <w:r>
        <w:t xml:space="preserve"> EC (2018). Assessment of unit costs (standard prices) of rail projects (</w:t>
      </w:r>
      <w:proofErr w:type="spellStart"/>
      <w:r>
        <w:t>CAPital</w:t>
      </w:r>
      <w:proofErr w:type="spellEnd"/>
      <w:r>
        <w:t xml:space="preserve"> </w:t>
      </w:r>
      <w:proofErr w:type="spellStart"/>
      <w:r>
        <w:t>EXpenditure</w:t>
      </w:r>
      <w:proofErr w:type="spellEnd"/>
      <w:r>
        <w:t>). Final report - contract No 2017CE16BAT002. PwC.</w:t>
      </w:r>
    </w:p>
  </w:footnote>
  <w:footnote w:id="13">
    <w:p w14:paraId="1F6A88F8" w14:textId="77777777" w:rsidR="00424BA0" w:rsidRDefault="00424BA0" w:rsidP="00332DDB">
      <w:pPr>
        <w:pStyle w:val="FootnoteText"/>
        <w:rPr>
          <w:lang w:val="bg-BG"/>
        </w:rPr>
      </w:pPr>
      <w:r>
        <w:rPr>
          <w:rStyle w:val="FootnoteReference"/>
        </w:rPr>
        <w:footnoteRef/>
      </w:r>
      <w:r>
        <w:t xml:space="preserve"> European Court of Auditors (2013). Are EU Cohesion policy funds well spent on roads? Special report No 5. Luxembourg.</w:t>
      </w:r>
    </w:p>
  </w:footnote>
  <w:footnote w:id="14">
    <w:p w14:paraId="53A56BDB" w14:textId="5A6B15FA" w:rsidR="00424BA0" w:rsidRPr="00DF01FE" w:rsidRDefault="00424BA0">
      <w:pPr>
        <w:pStyle w:val="FootnoteText"/>
        <w:rPr>
          <w:lang w:val="bg-BG"/>
        </w:rPr>
      </w:pPr>
      <w:r>
        <w:rPr>
          <w:rStyle w:val="FootnoteReference"/>
          <w:lang w:val="en"/>
        </w:rPr>
        <w:footnoteRef/>
      </w:r>
      <w:r>
        <w:rPr>
          <w:lang w:val="en"/>
        </w:rPr>
        <w:t xml:space="preserve"> </w:t>
      </w:r>
      <w:hyperlink r:id="rId1" w:history="1">
        <w:r w:rsidRPr="004E5ED7">
          <w:rPr>
            <w:rStyle w:val="Hyperlink"/>
            <w:rFonts w:ascii="Verdana" w:hAnsi="Verdana"/>
            <w:i/>
            <w:sz w:val="16"/>
            <w:szCs w:val="16"/>
            <w:lang w:val="en"/>
          </w:rPr>
          <w:t>https://www.eufunds.bg/sites/default/files/uploads/eip/docs/2019-04/%D0%A0%D0%9C%D0%A1%20196%20%D0%BF%D1%80%D0%B8%D0%BB%D0%BE%D0%B6%D0%B5%D0%BD%D0%B8%D0%B5.pdf</w:t>
        </w:r>
      </w:hyperlink>
      <w:r w:rsidRPr="004E5ED7">
        <w:rPr>
          <w:rFonts w:ascii="Verdana" w:hAnsi="Verdana"/>
          <w:i/>
          <w:sz w:val="16"/>
          <w:szCs w:val="16"/>
          <w:lang w:val="en"/>
        </w:rPr>
        <w:t xml:space="preserve"> – Socio-economic development of Bulgaria 2007-2017</w:t>
      </w:r>
    </w:p>
  </w:footnote>
  <w:footnote w:id="15">
    <w:p w14:paraId="4A8856E0" w14:textId="77777777" w:rsidR="00424BA0" w:rsidRPr="004E5ED7" w:rsidRDefault="00424BA0" w:rsidP="00575623">
      <w:pPr>
        <w:pStyle w:val="FootnoteText"/>
        <w:rPr>
          <w:rFonts w:ascii="Verdana" w:hAnsi="Verdana"/>
          <w:i/>
          <w:iCs/>
          <w:sz w:val="16"/>
          <w:szCs w:val="16"/>
          <w:lang w:val="bg-BG"/>
        </w:rPr>
      </w:pPr>
      <w:r w:rsidRPr="004E5ED7">
        <w:rPr>
          <w:rStyle w:val="FootnoteReference"/>
          <w:rFonts w:ascii="Verdana" w:hAnsi="Verdana"/>
          <w:i/>
          <w:iCs/>
          <w:sz w:val="16"/>
          <w:szCs w:val="16"/>
          <w:lang w:val="en"/>
        </w:rPr>
        <w:footnoteRef/>
      </w:r>
      <w:r w:rsidRPr="004E5ED7">
        <w:rPr>
          <w:rFonts w:ascii="Verdana" w:hAnsi="Verdana"/>
          <w:i/>
          <w:iCs/>
          <w:sz w:val="16"/>
          <w:szCs w:val="16"/>
          <w:lang w:val="en"/>
        </w:rPr>
        <w:t xml:space="preserve"> Decision (EC) No 1692/99 as amended by Decision (EC) No 884/2004</w:t>
      </w:r>
    </w:p>
  </w:footnote>
  <w:footnote w:id="16">
    <w:p w14:paraId="6B79B8A6" w14:textId="77777777" w:rsidR="00424BA0" w:rsidRPr="00C36824" w:rsidRDefault="00424BA0" w:rsidP="00575623">
      <w:pPr>
        <w:pStyle w:val="FootnoteText"/>
        <w:rPr>
          <w:rFonts w:ascii="Verdana" w:hAnsi="Verdana"/>
          <w:i/>
          <w:iCs/>
          <w:sz w:val="18"/>
          <w:szCs w:val="18"/>
          <w:lang w:val="bg-BG"/>
        </w:rPr>
      </w:pPr>
      <w:r w:rsidRPr="004E5ED7">
        <w:rPr>
          <w:rStyle w:val="FootnoteReference"/>
          <w:rFonts w:ascii="Verdana" w:hAnsi="Verdana"/>
          <w:i/>
          <w:iCs/>
          <w:sz w:val="16"/>
          <w:szCs w:val="16"/>
          <w:lang w:val="en"/>
        </w:rPr>
        <w:footnoteRef/>
      </w:r>
      <w:r w:rsidRPr="004E5ED7">
        <w:rPr>
          <w:rFonts w:ascii="Verdana" w:hAnsi="Verdana"/>
          <w:i/>
          <w:iCs/>
          <w:sz w:val="16"/>
          <w:szCs w:val="16"/>
          <w:lang w:val="en"/>
        </w:rPr>
        <w:t xml:space="preserve"> Regulation (EU) No 1315/2013 of the European Parliament and of the Council of 11 December 2013 on Union guidelines for the development of the trans-European transport network</w:t>
      </w:r>
    </w:p>
  </w:footnote>
  <w:footnote w:id="17">
    <w:p w14:paraId="37AD9A03" w14:textId="77777777" w:rsidR="00424BA0" w:rsidRPr="00423E81" w:rsidRDefault="00424BA0" w:rsidP="00575623">
      <w:pPr>
        <w:pStyle w:val="FootnoteText"/>
      </w:pPr>
      <w:r w:rsidRPr="00423E81">
        <w:rPr>
          <w:rStyle w:val="FootnoteReference"/>
          <w:i/>
          <w:iCs/>
        </w:rPr>
        <w:footnoteRef/>
      </w:r>
      <w:proofErr w:type="spellStart"/>
      <w:r w:rsidRPr="00423E81">
        <w:rPr>
          <w:i/>
          <w:iCs/>
          <w:lang w:val="bg-BG"/>
        </w:rPr>
        <w:t>According</w:t>
      </w:r>
      <w:proofErr w:type="spellEnd"/>
      <w:r w:rsidRPr="00423E81">
        <w:rPr>
          <w:i/>
          <w:iCs/>
          <w:lang w:val="bg-BG"/>
        </w:rPr>
        <w:t xml:space="preserve"> </w:t>
      </w:r>
      <w:proofErr w:type="spellStart"/>
      <w:r w:rsidRPr="00423E81">
        <w:rPr>
          <w:i/>
          <w:iCs/>
          <w:lang w:val="bg-BG"/>
        </w:rPr>
        <w:t>to</w:t>
      </w:r>
      <w:proofErr w:type="spellEnd"/>
      <w:r w:rsidRPr="00423E81">
        <w:rPr>
          <w:i/>
          <w:iCs/>
          <w:lang w:val="bg-BG"/>
        </w:rPr>
        <w:t xml:space="preserve"> </w:t>
      </w:r>
      <w:proofErr w:type="spellStart"/>
      <w:r w:rsidRPr="00423E81">
        <w:rPr>
          <w:i/>
          <w:iCs/>
          <w:lang w:val="bg-BG"/>
        </w:rPr>
        <w:t>the</w:t>
      </w:r>
      <w:proofErr w:type="spellEnd"/>
      <w:r w:rsidRPr="00423E81">
        <w:rPr>
          <w:i/>
          <w:iCs/>
          <w:lang w:val="bg-BG"/>
        </w:rPr>
        <w:t xml:space="preserve"> </w:t>
      </w:r>
      <w:proofErr w:type="spellStart"/>
      <w:r w:rsidRPr="00423E81">
        <w:rPr>
          <w:i/>
          <w:iCs/>
          <w:lang w:val="bg-BG"/>
        </w:rPr>
        <w:t>current</w:t>
      </w:r>
      <w:proofErr w:type="spellEnd"/>
      <w:r w:rsidRPr="00423E81">
        <w:rPr>
          <w:i/>
          <w:iCs/>
          <w:lang w:val="bg-BG"/>
        </w:rPr>
        <w:t xml:space="preserve"> </w:t>
      </w:r>
      <w:proofErr w:type="spellStart"/>
      <w:r w:rsidRPr="00423E81">
        <w:rPr>
          <w:i/>
          <w:iCs/>
          <w:lang w:val="bg-BG"/>
        </w:rPr>
        <w:t>scope</w:t>
      </w:r>
      <w:proofErr w:type="spellEnd"/>
      <w:r w:rsidRPr="00423E81">
        <w:rPr>
          <w:i/>
          <w:iCs/>
          <w:lang w:val="bg-BG"/>
        </w:rPr>
        <w:t xml:space="preserve">, </w:t>
      </w:r>
      <w:proofErr w:type="spellStart"/>
      <w:r w:rsidRPr="00423E81">
        <w:rPr>
          <w:i/>
          <w:iCs/>
          <w:lang w:val="bg-BG"/>
        </w:rPr>
        <w:t>as</w:t>
      </w:r>
      <w:proofErr w:type="spellEnd"/>
      <w:r w:rsidRPr="00423E81">
        <w:rPr>
          <w:i/>
          <w:iCs/>
          <w:lang w:val="bg-BG"/>
        </w:rPr>
        <w:t xml:space="preserve"> </w:t>
      </w:r>
      <w:proofErr w:type="spellStart"/>
      <w:r w:rsidRPr="00423E81">
        <w:rPr>
          <w:i/>
          <w:iCs/>
          <w:lang w:val="bg-BG"/>
        </w:rPr>
        <w:t>defined</w:t>
      </w:r>
      <w:proofErr w:type="spellEnd"/>
      <w:r w:rsidRPr="00423E81">
        <w:rPr>
          <w:i/>
          <w:iCs/>
          <w:lang w:val="bg-BG"/>
        </w:rPr>
        <w:t xml:space="preserve"> </w:t>
      </w:r>
      <w:proofErr w:type="spellStart"/>
      <w:r w:rsidRPr="00423E81">
        <w:rPr>
          <w:i/>
          <w:iCs/>
          <w:lang w:val="bg-BG"/>
        </w:rPr>
        <w:t>in</w:t>
      </w:r>
      <w:proofErr w:type="spellEnd"/>
      <w:r w:rsidRPr="00423E81">
        <w:rPr>
          <w:i/>
          <w:iCs/>
          <w:lang w:val="bg-BG"/>
        </w:rPr>
        <w:t xml:space="preserve"> </w:t>
      </w:r>
      <w:proofErr w:type="spellStart"/>
      <w:r w:rsidRPr="00423E81">
        <w:rPr>
          <w:i/>
          <w:iCs/>
          <w:lang w:val="bg-BG"/>
        </w:rPr>
        <w:t>Regulation</w:t>
      </w:r>
      <w:proofErr w:type="spellEnd"/>
      <w:r w:rsidRPr="00423E81">
        <w:rPr>
          <w:i/>
          <w:iCs/>
          <w:lang w:val="bg-BG"/>
        </w:rPr>
        <w:t xml:space="preserve"> 1315/2013</w:t>
      </w:r>
    </w:p>
  </w:footnote>
  <w:footnote w:id="18">
    <w:p w14:paraId="518C9A22" w14:textId="77777777" w:rsidR="00424BA0" w:rsidRPr="006B1E8F" w:rsidRDefault="00424BA0" w:rsidP="00905ED1">
      <w:pPr>
        <w:pStyle w:val="FootnoteText"/>
        <w:jc w:val="both"/>
        <w:rPr>
          <w:rFonts w:ascii="Verdana" w:hAnsi="Verdana"/>
          <w:i/>
          <w:sz w:val="16"/>
          <w:szCs w:val="16"/>
          <w:lang w:val="bg-BG"/>
        </w:rPr>
      </w:pPr>
      <w:r w:rsidRPr="006B1E8F">
        <w:rPr>
          <w:rStyle w:val="FootnoteReference"/>
          <w:i/>
          <w:sz w:val="16"/>
          <w:szCs w:val="16"/>
          <w:lang w:val="en"/>
        </w:rPr>
        <w:footnoteRef/>
      </w:r>
      <w:r w:rsidRPr="006B1E8F">
        <w:rPr>
          <w:i/>
          <w:sz w:val="16"/>
          <w:szCs w:val="16"/>
          <w:lang w:val="en"/>
        </w:rPr>
        <w:t xml:space="preserve"> </w:t>
      </w:r>
      <w:r w:rsidRPr="00B31D39">
        <w:rPr>
          <w:rFonts w:ascii="Verdana" w:hAnsi="Verdana"/>
          <w:i/>
          <w:sz w:val="16"/>
          <w:szCs w:val="16"/>
          <w:lang w:val="en"/>
        </w:rPr>
        <w:t>Freight vehicles carry out cabotage operations not relevant to the national transport network</w:t>
      </w:r>
    </w:p>
  </w:footnote>
  <w:footnote w:id="19">
    <w:p w14:paraId="1A01E1A5" w14:textId="77777777" w:rsidR="00424BA0" w:rsidRPr="00B31D39" w:rsidRDefault="00424BA0" w:rsidP="00905ED1">
      <w:pPr>
        <w:pStyle w:val="FootnoteText"/>
        <w:rPr>
          <w:rFonts w:ascii="Verdana" w:hAnsi="Verdana"/>
          <w:i/>
          <w:sz w:val="16"/>
          <w:szCs w:val="16"/>
          <w:lang w:val="bg-BG"/>
        </w:rPr>
      </w:pPr>
      <w:r w:rsidRPr="00B31D39">
        <w:rPr>
          <w:rStyle w:val="FootnoteReference"/>
          <w:rFonts w:ascii="Verdana" w:hAnsi="Verdana"/>
          <w:i/>
          <w:sz w:val="16"/>
          <w:szCs w:val="16"/>
          <w:lang w:val="en"/>
        </w:rPr>
        <w:footnoteRef/>
      </w:r>
      <w:r w:rsidRPr="00B31D39">
        <w:rPr>
          <w:rFonts w:ascii="Verdana" w:hAnsi="Verdana"/>
          <w:i/>
          <w:sz w:val="16"/>
          <w:szCs w:val="16"/>
          <w:lang w:val="en"/>
        </w:rPr>
        <w:t xml:space="preserve"> OPT 2007-2013 has no relation to projects for other modes of urban transport</w:t>
      </w:r>
    </w:p>
  </w:footnote>
  <w:footnote w:id="20">
    <w:p w14:paraId="553A41DE" w14:textId="77777777" w:rsidR="00424BA0" w:rsidRPr="00B31D39" w:rsidRDefault="00424BA0" w:rsidP="00905ED1">
      <w:pPr>
        <w:pStyle w:val="FootnoteText"/>
        <w:rPr>
          <w:rFonts w:ascii="Verdana" w:hAnsi="Verdana"/>
          <w:sz w:val="16"/>
          <w:szCs w:val="16"/>
          <w:lang w:val="bg-BG"/>
        </w:rPr>
      </w:pPr>
      <w:r w:rsidRPr="00B31D39">
        <w:rPr>
          <w:rStyle w:val="FootnoteReference"/>
          <w:rFonts w:ascii="Verdana" w:hAnsi="Verdana"/>
          <w:sz w:val="16"/>
          <w:szCs w:val="16"/>
          <w:lang w:val="en"/>
        </w:rPr>
        <w:footnoteRef/>
      </w:r>
      <w:r w:rsidRPr="00B31D39">
        <w:rPr>
          <w:rFonts w:ascii="Verdana" w:hAnsi="Verdana"/>
          <w:sz w:val="16"/>
          <w:szCs w:val="16"/>
          <w:lang w:val="en"/>
        </w:rPr>
        <w:t xml:space="preserve"> As of 2018 compared to 2007</w:t>
      </w:r>
    </w:p>
  </w:footnote>
  <w:footnote w:id="21">
    <w:p w14:paraId="68F91F6F" w14:textId="63FC99C3" w:rsidR="00424BA0" w:rsidRPr="005F2EA4" w:rsidRDefault="00424BA0" w:rsidP="004772EE">
      <w:pPr>
        <w:pStyle w:val="FootnoteText"/>
        <w:jc w:val="both"/>
        <w:rPr>
          <w:i/>
          <w:iCs/>
          <w:lang w:val="bg-BG"/>
        </w:rPr>
      </w:pPr>
      <w:r w:rsidRPr="005F2EA4">
        <w:rPr>
          <w:rStyle w:val="FootnoteReference"/>
          <w:i/>
          <w:iCs/>
          <w:lang w:val="en"/>
        </w:rPr>
        <w:footnoteRef/>
      </w:r>
      <w:r>
        <w:rPr>
          <w:i/>
          <w:iCs/>
          <w:lang w:val="en"/>
        </w:rPr>
        <w:t>Council of</w:t>
      </w:r>
      <w:r w:rsidRPr="005654ED">
        <w:rPr>
          <w:i/>
          <w:iCs/>
          <w:lang w:val="en"/>
        </w:rPr>
        <w:t xml:space="preserve"> </w:t>
      </w:r>
      <w:r w:rsidRPr="005F2EA4">
        <w:rPr>
          <w:i/>
          <w:iCs/>
          <w:lang w:val="en"/>
        </w:rPr>
        <w:t>Ministers</w:t>
      </w:r>
      <w:r w:rsidRPr="005654ED">
        <w:rPr>
          <w:i/>
          <w:iCs/>
          <w:lang w:val="en"/>
        </w:rPr>
        <w:t xml:space="preserve"> (2015)</w:t>
      </w:r>
      <w:r w:rsidRPr="005F2EA4">
        <w:rPr>
          <w:i/>
          <w:iCs/>
          <w:lang w:val="en"/>
        </w:rPr>
        <w:t>. Net impact of policies financed by European funds.</w:t>
      </w:r>
    </w:p>
  </w:footnote>
  <w:footnote w:id="22">
    <w:p w14:paraId="48B3B9BD" w14:textId="646BAD05" w:rsidR="00424BA0" w:rsidRPr="006F2706" w:rsidRDefault="00424BA0" w:rsidP="001E326C">
      <w:pPr>
        <w:pStyle w:val="FootnoteText"/>
        <w:rPr>
          <w:i/>
          <w:iCs/>
          <w:lang w:val="bg-BG"/>
        </w:rPr>
      </w:pPr>
      <w:r w:rsidRPr="006F2706">
        <w:rPr>
          <w:rStyle w:val="FootnoteReference"/>
          <w:lang w:val="en"/>
        </w:rPr>
        <w:footnoteRef/>
      </w:r>
      <w:r w:rsidRPr="006F2706">
        <w:rPr>
          <w:lang w:val="en"/>
        </w:rPr>
        <w:t xml:space="preserve"> </w:t>
      </w:r>
      <w:r w:rsidRPr="00640102">
        <w:rPr>
          <w:vertAlign w:val="superscript"/>
          <w:lang w:val="en"/>
        </w:rPr>
        <w:footnoteRef/>
      </w:r>
      <w:r w:rsidRPr="00640102">
        <w:rPr>
          <w:lang w:val="en"/>
        </w:rPr>
        <w:t xml:space="preserve"> </w:t>
      </w:r>
      <w:r w:rsidRPr="00640102">
        <w:rPr>
          <w:i/>
          <w:iCs/>
          <w:lang w:val="en"/>
        </w:rPr>
        <w:t>The CBA forecasts envisaged increase in the value of time linked to GDP growth, however the reported GDP growth rate was lower</w:t>
      </w:r>
      <w:r>
        <w:rPr>
          <w:i/>
          <w:iCs/>
          <w:lang w:val="en"/>
        </w:rPr>
        <w:t xml:space="preserve"> </w:t>
      </w:r>
      <w:r w:rsidRPr="00640102">
        <w:rPr>
          <w:i/>
          <w:iCs/>
          <w:lang w:val="en"/>
        </w:rPr>
        <w:t xml:space="preserve">than predicted in most cases. </w:t>
      </w:r>
    </w:p>
  </w:footnote>
  <w:footnote w:id="23">
    <w:p w14:paraId="3A6726DC" w14:textId="77777777" w:rsidR="00424BA0" w:rsidRPr="001C40A0" w:rsidRDefault="00424BA0" w:rsidP="00466677">
      <w:pPr>
        <w:pStyle w:val="FootnoteText"/>
        <w:rPr>
          <w:rFonts w:ascii="Verdana" w:hAnsi="Verdana"/>
          <w:sz w:val="16"/>
          <w:szCs w:val="16"/>
          <w:lang w:val="bg-BG"/>
        </w:rPr>
      </w:pPr>
      <w:r w:rsidRPr="001C40A0">
        <w:rPr>
          <w:rStyle w:val="FootnoteReference"/>
          <w:rFonts w:ascii="Verdana" w:hAnsi="Verdana"/>
          <w:sz w:val="16"/>
          <w:szCs w:val="16"/>
          <w:lang w:val="en"/>
        </w:rPr>
        <w:footnoteRef/>
      </w:r>
      <w:r w:rsidRPr="001C40A0">
        <w:rPr>
          <w:rFonts w:ascii="Verdana" w:hAnsi="Verdana"/>
          <w:sz w:val="16"/>
          <w:szCs w:val="16"/>
          <w:lang w:val="bg-BG"/>
        </w:rPr>
        <w:t xml:space="preserve"> </w:t>
      </w:r>
      <w:hyperlink r:id="rId2" w:history="1">
        <w:r w:rsidRPr="001C40A0">
          <w:rPr>
            <w:rStyle w:val="Hyperlink"/>
            <w:rFonts w:ascii="Verdana" w:hAnsi="Verdana"/>
            <w:sz w:val="16"/>
            <w:szCs w:val="16"/>
            <w:lang w:val="en"/>
          </w:rPr>
          <w:t>https</w:t>
        </w:r>
        <w:r w:rsidRPr="001C40A0">
          <w:rPr>
            <w:rStyle w:val="Hyperlink"/>
            <w:rFonts w:ascii="Verdana" w:hAnsi="Verdana"/>
            <w:sz w:val="16"/>
            <w:szCs w:val="16"/>
            <w:lang w:val="bg-BG"/>
          </w:rPr>
          <w:t>://</w:t>
        </w:r>
        <w:proofErr w:type="spellStart"/>
        <w:r w:rsidRPr="001C40A0">
          <w:rPr>
            <w:rStyle w:val="Hyperlink"/>
            <w:rFonts w:ascii="Verdana" w:hAnsi="Verdana"/>
            <w:sz w:val="16"/>
            <w:szCs w:val="16"/>
            <w:lang w:val="en"/>
          </w:rPr>
          <w:t>ec</w:t>
        </w:r>
        <w:proofErr w:type="spellEnd"/>
        <w:r w:rsidRPr="001C40A0">
          <w:rPr>
            <w:rStyle w:val="Hyperlink"/>
            <w:rFonts w:ascii="Verdana" w:hAnsi="Verdana"/>
            <w:sz w:val="16"/>
            <w:szCs w:val="16"/>
            <w:lang w:val="bg-BG"/>
          </w:rPr>
          <w:t>.</w:t>
        </w:r>
        <w:r w:rsidRPr="001C40A0">
          <w:rPr>
            <w:rStyle w:val="Hyperlink"/>
            <w:rFonts w:ascii="Verdana" w:hAnsi="Verdana"/>
            <w:sz w:val="16"/>
            <w:szCs w:val="16"/>
            <w:lang w:val="en"/>
          </w:rPr>
          <w:t>Europa</w:t>
        </w:r>
        <w:r w:rsidRPr="001C40A0">
          <w:rPr>
            <w:rStyle w:val="Hyperlink"/>
            <w:rFonts w:ascii="Verdana" w:hAnsi="Verdana"/>
            <w:sz w:val="16"/>
            <w:szCs w:val="16"/>
            <w:lang w:val="bg-BG"/>
          </w:rPr>
          <w:t>.</w:t>
        </w:r>
        <w:proofErr w:type="spellStart"/>
        <w:r w:rsidRPr="001C40A0">
          <w:rPr>
            <w:rStyle w:val="Hyperlink"/>
            <w:rFonts w:ascii="Verdana" w:hAnsi="Verdana"/>
            <w:sz w:val="16"/>
            <w:szCs w:val="16"/>
            <w:lang w:val="en"/>
          </w:rPr>
          <w:t>eu</w:t>
        </w:r>
        <w:proofErr w:type="spellEnd"/>
        <w:r w:rsidRPr="001C40A0">
          <w:rPr>
            <w:rStyle w:val="Hyperlink"/>
            <w:rFonts w:ascii="Verdana" w:hAnsi="Verdana"/>
            <w:sz w:val="16"/>
            <w:szCs w:val="16"/>
            <w:lang w:val="bg-BG"/>
          </w:rPr>
          <w:t>/</w:t>
        </w:r>
        <w:r w:rsidRPr="001C40A0">
          <w:rPr>
            <w:rStyle w:val="Hyperlink"/>
            <w:rFonts w:ascii="Verdana" w:hAnsi="Verdana"/>
            <w:sz w:val="16"/>
            <w:szCs w:val="16"/>
            <w:lang w:val="en"/>
          </w:rPr>
          <w:t>regional</w:t>
        </w:r>
        <w:r w:rsidRPr="001C40A0">
          <w:rPr>
            <w:rStyle w:val="Hyperlink"/>
            <w:rFonts w:ascii="Verdana" w:hAnsi="Verdana"/>
            <w:sz w:val="16"/>
            <w:szCs w:val="16"/>
            <w:lang w:val="bg-BG"/>
          </w:rPr>
          <w:t>_</w:t>
        </w:r>
        <w:r w:rsidRPr="001C40A0">
          <w:rPr>
            <w:rStyle w:val="Hyperlink"/>
            <w:rFonts w:ascii="Verdana" w:hAnsi="Verdana"/>
            <w:sz w:val="16"/>
            <w:szCs w:val="16"/>
            <w:lang w:val="en"/>
          </w:rPr>
          <w:t>policy</w:t>
        </w:r>
        <w:r w:rsidRPr="001C40A0">
          <w:rPr>
            <w:rStyle w:val="Hyperlink"/>
            <w:rFonts w:ascii="Verdana" w:hAnsi="Verdana"/>
            <w:sz w:val="16"/>
            <w:szCs w:val="16"/>
            <w:lang w:val="bg-BG"/>
          </w:rPr>
          <w:t>/</w:t>
        </w:r>
        <w:proofErr w:type="spellStart"/>
        <w:r w:rsidRPr="001C40A0">
          <w:rPr>
            <w:rStyle w:val="Hyperlink"/>
            <w:rFonts w:ascii="Verdana" w:hAnsi="Verdana"/>
            <w:sz w:val="16"/>
            <w:szCs w:val="16"/>
            <w:lang w:val="en"/>
          </w:rPr>
          <w:t>En</w:t>
        </w:r>
        <w:proofErr w:type="spellEnd"/>
        <w:r w:rsidRPr="001C40A0">
          <w:rPr>
            <w:rStyle w:val="Hyperlink"/>
            <w:rFonts w:ascii="Verdana" w:hAnsi="Verdana"/>
            <w:sz w:val="16"/>
            <w:szCs w:val="16"/>
            <w:lang w:val="bg-BG"/>
          </w:rPr>
          <w:t>/</w:t>
        </w:r>
        <w:proofErr w:type="spellStart"/>
        <w:r w:rsidRPr="001C40A0">
          <w:rPr>
            <w:rStyle w:val="Hyperlink"/>
            <w:rFonts w:ascii="Verdana" w:hAnsi="Verdana"/>
            <w:sz w:val="16"/>
            <w:szCs w:val="16"/>
            <w:lang w:val="en"/>
          </w:rPr>
          <w:t>informatioN</w:t>
        </w:r>
        <w:proofErr w:type="spellEnd"/>
        <w:r w:rsidRPr="001C40A0">
          <w:rPr>
            <w:rStyle w:val="Hyperlink"/>
            <w:rFonts w:ascii="Verdana" w:hAnsi="Verdana"/>
            <w:sz w:val="16"/>
            <w:szCs w:val="16"/>
            <w:lang w:val="bg-BG"/>
          </w:rPr>
          <w:t>/</w:t>
        </w:r>
        <w:proofErr w:type="spellStart"/>
        <w:r w:rsidRPr="001C40A0">
          <w:rPr>
            <w:rStyle w:val="Hyperlink"/>
            <w:rFonts w:ascii="Verdana" w:hAnsi="Verdana"/>
            <w:sz w:val="16"/>
            <w:szCs w:val="16"/>
            <w:lang w:val="en"/>
          </w:rPr>
          <w:t>Aublications</w:t>
        </w:r>
        <w:proofErr w:type="spellEnd"/>
        <w:r w:rsidRPr="001C40A0">
          <w:rPr>
            <w:rStyle w:val="Hyperlink"/>
            <w:rFonts w:ascii="Verdana" w:hAnsi="Verdana"/>
            <w:sz w:val="16"/>
            <w:szCs w:val="16"/>
            <w:lang w:val="bg-BG"/>
          </w:rPr>
          <w:t>/</w:t>
        </w:r>
        <w:r w:rsidRPr="001C40A0">
          <w:rPr>
            <w:rStyle w:val="Hyperlink"/>
            <w:rFonts w:ascii="Verdana" w:hAnsi="Verdana"/>
            <w:sz w:val="16"/>
            <w:szCs w:val="16"/>
            <w:lang w:val="en"/>
          </w:rPr>
          <w:t>evaluations</w:t>
        </w:r>
        <w:r w:rsidRPr="001C40A0">
          <w:rPr>
            <w:rStyle w:val="Hyperlink"/>
            <w:rFonts w:ascii="Verdana" w:hAnsi="Verdana"/>
            <w:sz w:val="16"/>
            <w:szCs w:val="16"/>
            <w:lang w:val="bg-BG"/>
          </w:rPr>
          <w:t>-</w:t>
        </w:r>
        <w:r w:rsidRPr="001C40A0">
          <w:rPr>
            <w:rStyle w:val="Hyperlink"/>
            <w:rFonts w:ascii="Verdana" w:hAnsi="Verdana"/>
            <w:sz w:val="16"/>
            <w:szCs w:val="16"/>
            <w:lang w:val="en"/>
          </w:rPr>
          <w:t>guidance</w:t>
        </w:r>
        <w:r w:rsidRPr="001C40A0">
          <w:rPr>
            <w:rStyle w:val="Hyperlink"/>
            <w:rFonts w:ascii="Verdana" w:hAnsi="Verdana"/>
            <w:sz w:val="16"/>
            <w:szCs w:val="16"/>
            <w:lang w:val="bg-BG"/>
          </w:rPr>
          <w:t>-</w:t>
        </w:r>
        <w:r w:rsidRPr="001C40A0">
          <w:rPr>
            <w:rStyle w:val="Hyperlink"/>
            <w:rFonts w:ascii="Verdana" w:hAnsi="Verdana"/>
            <w:sz w:val="16"/>
            <w:szCs w:val="16"/>
            <w:lang w:val="en"/>
          </w:rPr>
          <w:t>documents</w:t>
        </w:r>
        <w:r w:rsidRPr="001C40A0">
          <w:rPr>
            <w:rStyle w:val="Hyperlink"/>
            <w:rFonts w:ascii="Verdana" w:hAnsi="Verdana"/>
            <w:sz w:val="16"/>
            <w:szCs w:val="16"/>
            <w:lang w:val="bg-BG"/>
          </w:rPr>
          <w:t>/2008/</w:t>
        </w:r>
        <w:r w:rsidRPr="001C40A0">
          <w:rPr>
            <w:rStyle w:val="Hyperlink"/>
            <w:rFonts w:ascii="Verdana" w:hAnsi="Verdana"/>
            <w:sz w:val="16"/>
            <w:szCs w:val="16"/>
            <w:lang w:val="en"/>
          </w:rPr>
          <w:t>guide</w:t>
        </w:r>
        <w:r w:rsidRPr="001C40A0">
          <w:rPr>
            <w:rStyle w:val="Hyperlink"/>
            <w:rFonts w:ascii="Verdana" w:hAnsi="Verdana"/>
            <w:sz w:val="16"/>
            <w:szCs w:val="16"/>
            <w:lang w:val="bg-BG"/>
          </w:rPr>
          <w:t>-</w:t>
        </w:r>
        <w:r w:rsidRPr="001C40A0">
          <w:rPr>
            <w:rStyle w:val="Hyperlink"/>
            <w:rFonts w:ascii="Verdana" w:hAnsi="Verdana"/>
            <w:sz w:val="16"/>
            <w:szCs w:val="16"/>
            <w:lang w:val="en"/>
          </w:rPr>
          <w:t>to</w:t>
        </w:r>
        <w:r w:rsidRPr="001C40A0">
          <w:rPr>
            <w:rStyle w:val="Hyperlink"/>
            <w:rFonts w:ascii="Verdana" w:hAnsi="Verdana"/>
            <w:sz w:val="16"/>
            <w:szCs w:val="16"/>
            <w:lang w:val="bg-BG"/>
          </w:rPr>
          <w:t>-</w:t>
        </w:r>
        <w:r w:rsidRPr="001C40A0">
          <w:rPr>
            <w:rStyle w:val="Hyperlink"/>
            <w:rFonts w:ascii="Verdana" w:hAnsi="Verdana"/>
            <w:sz w:val="16"/>
            <w:szCs w:val="16"/>
            <w:lang w:val="en"/>
          </w:rPr>
          <w:t>cost</w:t>
        </w:r>
        <w:r w:rsidRPr="001C40A0">
          <w:rPr>
            <w:rStyle w:val="Hyperlink"/>
            <w:rFonts w:ascii="Verdana" w:hAnsi="Verdana"/>
            <w:sz w:val="16"/>
            <w:szCs w:val="16"/>
            <w:lang w:val="bg-BG"/>
          </w:rPr>
          <w:t>-</w:t>
        </w:r>
        <w:r w:rsidRPr="001C40A0">
          <w:rPr>
            <w:rStyle w:val="Hyperlink"/>
            <w:rFonts w:ascii="Verdana" w:hAnsi="Verdana"/>
            <w:sz w:val="16"/>
            <w:szCs w:val="16"/>
            <w:lang w:val="en"/>
          </w:rPr>
          <w:t>benefit</w:t>
        </w:r>
        <w:r w:rsidRPr="001C40A0">
          <w:rPr>
            <w:rStyle w:val="Hyperlink"/>
            <w:rFonts w:ascii="Verdana" w:hAnsi="Verdana"/>
            <w:sz w:val="16"/>
            <w:szCs w:val="16"/>
            <w:lang w:val="bg-BG"/>
          </w:rPr>
          <w:t>-</w:t>
        </w:r>
        <w:r w:rsidRPr="001C40A0">
          <w:rPr>
            <w:rStyle w:val="Hyperlink"/>
            <w:rFonts w:ascii="Verdana" w:hAnsi="Verdana"/>
            <w:sz w:val="16"/>
            <w:szCs w:val="16"/>
            <w:lang w:val="en"/>
          </w:rPr>
          <w:t>analysis</w:t>
        </w:r>
        <w:r w:rsidRPr="001C40A0">
          <w:rPr>
            <w:rStyle w:val="Hyperlink"/>
            <w:rFonts w:ascii="Verdana" w:hAnsi="Verdana"/>
            <w:sz w:val="16"/>
            <w:szCs w:val="16"/>
            <w:lang w:val="bg-BG"/>
          </w:rPr>
          <w:t>-</w:t>
        </w:r>
        <w:r w:rsidRPr="001C40A0">
          <w:rPr>
            <w:rStyle w:val="Hyperlink"/>
            <w:rFonts w:ascii="Verdana" w:hAnsi="Verdana"/>
            <w:sz w:val="16"/>
            <w:szCs w:val="16"/>
            <w:lang w:val="en"/>
          </w:rPr>
          <w:t>of</w:t>
        </w:r>
        <w:r w:rsidRPr="001C40A0">
          <w:rPr>
            <w:rStyle w:val="Hyperlink"/>
            <w:rFonts w:ascii="Verdana" w:hAnsi="Verdana"/>
            <w:sz w:val="16"/>
            <w:szCs w:val="16"/>
            <w:lang w:val="bg-BG"/>
          </w:rPr>
          <w:t>-</w:t>
        </w:r>
        <w:r w:rsidRPr="001C40A0">
          <w:rPr>
            <w:rStyle w:val="Hyperlink"/>
            <w:rFonts w:ascii="Verdana" w:hAnsi="Verdana"/>
            <w:sz w:val="16"/>
            <w:szCs w:val="16"/>
            <w:lang w:val="en"/>
          </w:rPr>
          <w:t>investment</w:t>
        </w:r>
        <w:r w:rsidRPr="001C40A0">
          <w:rPr>
            <w:rStyle w:val="Hyperlink"/>
            <w:rFonts w:ascii="Verdana" w:hAnsi="Verdana"/>
            <w:sz w:val="16"/>
            <w:szCs w:val="16"/>
            <w:lang w:val="bg-BG"/>
          </w:rPr>
          <w:t>-</w:t>
        </w:r>
        <w:r w:rsidRPr="001C40A0">
          <w:rPr>
            <w:rStyle w:val="Hyperlink"/>
            <w:rFonts w:ascii="Verdana" w:hAnsi="Verdana"/>
            <w:sz w:val="16"/>
            <w:szCs w:val="16"/>
            <w:lang w:val="en"/>
          </w:rPr>
          <w:t>projects</w:t>
        </w:r>
      </w:hyperlink>
      <w:r w:rsidRPr="001C40A0">
        <w:rPr>
          <w:rFonts w:ascii="Verdana" w:hAnsi="Verdana"/>
          <w:sz w:val="16"/>
          <w:szCs w:val="16"/>
          <w:lang w:val="bg-BG"/>
        </w:rPr>
        <w:t xml:space="preserve"> </w:t>
      </w:r>
    </w:p>
  </w:footnote>
  <w:footnote w:id="24">
    <w:p w14:paraId="20BBA5CA" w14:textId="77777777" w:rsidR="00424BA0" w:rsidRPr="00F26E62" w:rsidRDefault="00424BA0" w:rsidP="00ED2143">
      <w:pPr>
        <w:pStyle w:val="Default"/>
        <w:jc w:val="both"/>
        <w:rPr>
          <w:i/>
          <w:iCs/>
          <w:sz w:val="16"/>
          <w:szCs w:val="16"/>
          <w:lang w:val="bg-BG"/>
        </w:rPr>
      </w:pPr>
      <w:r>
        <w:rPr>
          <w:rStyle w:val="FootnoteReference"/>
          <w:lang w:val="en"/>
        </w:rPr>
        <w:footnoteRef/>
      </w:r>
      <w:r w:rsidRPr="00B40B9E">
        <w:rPr>
          <w:lang w:val="bg-BG"/>
        </w:rPr>
        <w:t xml:space="preserve"> </w:t>
      </w:r>
      <w:hyperlink r:id="rId3" w:history="1">
        <w:r w:rsidRPr="00F26E62">
          <w:rPr>
            <w:rStyle w:val="Hyperlink"/>
            <w:i/>
            <w:iCs/>
            <w:sz w:val="16"/>
            <w:szCs w:val="16"/>
            <w:lang w:val="en"/>
          </w:rPr>
          <w:t>https</w:t>
        </w:r>
        <w:r w:rsidRPr="00B40B9E">
          <w:rPr>
            <w:rStyle w:val="Hyperlink"/>
            <w:i/>
            <w:iCs/>
            <w:sz w:val="16"/>
            <w:szCs w:val="16"/>
            <w:lang w:val="bg-BG"/>
          </w:rPr>
          <w:t>://</w:t>
        </w:r>
        <w:proofErr w:type="spellStart"/>
        <w:r w:rsidRPr="00F26E62">
          <w:rPr>
            <w:rStyle w:val="Hyperlink"/>
            <w:i/>
            <w:iCs/>
            <w:sz w:val="16"/>
            <w:szCs w:val="16"/>
            <w:lang w:val="en"/>
          </w:rPr>
          <w:t>ec</w:t>
        </w:r>
        <w:proofErr w:type="spellEnd"/>
        <w:r w:rsidRPr="00B40B9E">
          <w:rPr>
            <w:rStyle w:val="Hyperlink"/>
            <w:i/>
            <w:iCs/>
            <w:sz w:val="16"/>
            <w:szCs w:val="16"/>
            <w:lang w:val="bg-BG"/>
          </w:rPr>
          <w:t>.</w:t>
        </w:r>
        <w:proofErr w:type="spellStart"/>
        <w:r w:rsidRPr="00F26E62">
          <w:rPr>
            <w:rStyle w:val="Hyperlink"/>
            <w:i/>
            <w:iCs/>
            <w:sz w:val="16"/>
            <w:szCs w:val="16"/>
            <w:lang w:val="en"/>
          </w:rPr>
          <w:t>europa</w:t>
        </w:r>
        <w:proofErr w:type="spellEnd"/>
        <w:r w:rsidRPr="00B40B9E">
          <w:rPr>
            <w:rStyle w:val="Hyperlink"/>
            <w:i/>
            <w:iCs/>
            <w:sz w:val="16"/>
            <w:szCs w:val="16"/>
            <w:lang w:val="bg-BG"/>
          </w:rPr>
          <w:t>.</w:t>
        </w:r>
        <w:proofErr w:type="spellStart"/>
        <w:r w:rsidRPr="00F26E62">
          <w:rPr>
            <w:rStyle w:val="Hyperlink"/>
            <w:i/>
            <w:iCs/>
            <w:sz w:val="16"/>
            <w:szCs w:val="16"/>
            <w:lang w:val="en"/>
          </w:rPr>
          <w:t>eu</w:t>
        </w:r>
        <w:proofErr w:type="spellEnd"/>
        <w:r w:rsidRPr="00B40B9E">
          <w:rPr>
            <w:rStyle w:val="Hyperlink"/>
            <w:i/>
            <w:iCs/>
            <w:sz w:val="16"/>
            <w:szCs w:val="16"/>
            <w:lang w:val="bg-BG"/>
          </w:rPr>
          <w:t>/</w:t>
        </w:r>
        <w:r w:rsidRPr="00F26E62">
          <w:rPr>
            <w:rStyle w:val="Hyperlink"/>
            <w:i/>
            <w:iCs/>
            <w:sz w:val="16"/>
            <w:szCs w:val="16"/>
            <w:lang w:val="en"/>
          </w:rPr>
          <w:t>regional</w:t>
        </w:r>
        <w:r w:rsidRPr="00B40B9E">
          <w:rPr>
            <w:rStyle w:val="Hyperlink"/>
            <w:i/>
            <w:iCs/>
            <w:sz w:val="16"/>
            <w:szCs w:val="16"/>
            <w:lang w:val="bg-BG"/>
          </w:rPr>
          <w:t>_</w:t>
        </w:r>
        <w:r w:rsidRPr="00F26E62">
          <w:rPr>
            <w:rStyle w:val="Hyperlink"/>
            <w:i/>
            <w:iCs/>
            <w:sz w:val="16"/>
            <w:szCs w:val="16"/>
            <w:lang w:val="en"/>
          </w:rPr>
          <w:t>policy</w:t>
        </w:r>
        <w:r w:rsidRPr="00B40B9E">
          <w:rPr>
            <w:rStyle w:val="Hyperlink"/>
            <w:i/>
            <w:iCs/>
            <w:sz w:val="16"/>
            <w:szCs w:val="16"/>
            <w:lang w:val="bg-BG"/>
          </w:rPr>
          <w:t>/</w:t>
        </w:r>
        <w:proofErr w:type="spellStart"/>
        <w:r w:rsidRPr="00F26E62">
          <w:rPr>
            <w:rStyle w:val="Hyperlink"/>
            <w:i/>
            <w:iCs/>
            <w:sz w:val="16"/>
            <w:szCs w:val="16"/>
            <w:lang w:val="en"/>
          </w:rPr>
          <w:t>en</w:t>
        </w:r>
        <w:proofErr w:type="spellEnd"/>
        <w:r w:rsidRPr="00B40B9E">
          <w:rPr>
            <w:rStyle w:val="Hyperlink"/>
            <w:i/>
            <w:iCs/>
            <w:sz w:val="16"/>
            <w:szCs w:val="16"/>
            <w:lang w:val="bg-BG"/>
          </w:rPr>
          <w:t>/</w:t>
        </w:r>
        <w:proofErr w:type="spellStart"/>
        <w:r w:rsidRPr="00F26E62">
          <w:rPr>
            <w:rStyle w:val="Hyperlink"/>
            <w:i/>
            <w:iCs/>
            <w:sz w:val="16"/>
            <w:szCs w:val="16"/>
            <w:lang w:val="en"/>
          </w:rPr>
          <w:t>informatio</w:t>
        </w:r>
        <w:r>
          <w:rPr>
            <w:rStyle w:val="Hyperlink"/>
            <w:i/>
            <w:iCs/>
            <w:sz w:val="16"/>
            <w:szCs w:val="16"/>
            <w:lang w:val="en"/>
          </w:rPr>
          <w:t>N</w:t>
        </w:r>
        <w:proofErr w:type="spellEnd"/>
        <w:r w:rsidRPr="00B40B9E">
          <w:rPr>
            <w:rStyle w:val="Hyperlink"/>
            <w:i/>
            <w:iCs/>
            <w:sz w:val="16"/>
            <w:szCs w:val="16"/>
            <w:lang w:val="bg-BG"/>
          </w:rPr>
          <w:t>/</w:t>
        </w:r>
        <w:proofErr w:type="spellStart"/>
        <w:r>
          <w:rPr>
            <w:rStyle w:val="Hyperlink"/>
            <w:i/>
            <w:iCs/>
            <w:sz w:val="16"/>
            <w:szCs w:val="16"/>
            <w:lang w:val="en"/>
          </w:rPr>
          <w:t>A</w:t>
        </w:r>
        <w:r w:rsidRPr="00F26E62">
          <w:rPr>
            <w:rStyle w:val="Hyperlink"/>
            <w:i/>
            <w:iCs/>
            <w:sz w:val="16"/>
            <w:szCs w:val="16"/>
            <w:lang w:val="en"/>
          </w:rPr>
          <w:t>ublications</w:t>
        </w:r>
        <w:proofErr w:type="spellEnd"/>
        <w:r w:rsidRPr="00B40B9E">
          <w:rPr>
            <w:rStyle w:val="Hyperlink"/>
            <w:i/>
            <w:iCs/>
            <w:sz w:val="16"/>
            <w:szCs w:val="16"/>
            <w:lang w:val="bg-BG"/>
          </w:rPr>
          <w:t>/</w:t>
        </w:r>
        <w:r w:rsidRPr="00F26E62">
          <w:rPr>
            <w:rStyle w:val="Hyperlink"/>
            <w:i/>
            <w:iCs/>
            <w:sz w:val="16"/>
            <w:szCs w:val="16"/>
            <w:lang w:val="en"/>
          </w:rPr>
          <w:t>reports</w:t>
        </w:r>
        <w:r w:rsidRPr="00B40B9E">
          <w:rPr>
            <w:rStyle w:val="Hyperlink"/>
            <w:i/>
            <w:iCs/>
            <w:sz w:val="16"/>
            <w:szCs w:val="16"/>
            <w:lang w:val="bg-BG"/>
          </w:rPr>
          <w:t>/2018/</w:t>
        </w:r>
        <w:r w:rsidRPr="00F26E62">
          <w:rPr>
            <w:rStyle w:val="Hyperlink"/>
            <w:i/>
            <w:iCs/>
            <w:sz w:val="16"/>
            <w:szCs w:val="16"/>
            <w:lang w:val="en"/>
          </w:rPr>
          <w:t>ex</w:t>
        </w:r>
        <w:r w:rsidRPr="00B40B9E">
          <w:rPr>
            <w:rStyle w:val="Hyperlink"/>
            <w:i/>
            <w:iCs/>
            <w:sz w:val="16"/>
            <w:szCs w:val="16"/>
            <w:lang w:val="bg-BG"/>
          </w:rPr>
          <w:t>-</w:t>
        </w:r>
        <w:r w:rsidRPr="00F26E62">
          <w:rPr>
            <w:rStyle w:val="Hyperlink"/>
            <w:i/>
            <w:iCs/>
            <w:sz w:val="16"/>
            <w:szCs w:val="16"/>
            <w:lang w:val="en"/>
          </w:rPr>
          <w:t>post</w:t>
        </w:r>
        <w:r w:rsidRPr="00B40B9E">
          <w:rPr>
            <w:rStyle w:val="Hyperlink"/>
            <w:i/>
            <w:iCs/>
            <w:sz w:val="16"/>
            <w:szCs w:val="16"/>
            <w:lang w:val="bg-BG"/>
          </w:rPr>
          <w:t>-</w:t>
        </w:r>
        <w:r w:rsidRPr="00F26E62">
          <w:rPr>
            <w:rStyle w:val="Hyperlink"/>
            <w:i/>
            <w:iCs/>
            <w:sz w:val="16"/>
            <w:szCs w:val="16"/>
            <w:lang w:val="en"/>
          </w:rPr>
          <w:t>evaluation</w:t>
        </w:r>
        <w:r w:rsidRPr="00B40B9E">
          <w:rPr>
            <w:rStyle w:val="Hyperlink"/>
            <w:i/>
            <w:iCs/>
            <w:sz w:val="16"/>
            <w:szCs w:val="16"/>
            <w:lang w:val="bg-BG"/>
          </w:rPr>
          <w:t>-</w:t>
        </w:r>
        <w:r w:rsidRPr="00F26E62">
          <w:rPr>
            <w:rStyle w:val="Hyperlink"/>
            <w:i/>
            <w:iCs/>
            <w:sz w:val="16"/>
            <w:szCs w:val="16"/>
            <w:lang w:val="en"/>
          </w:rPr>
          <w:t>of</w:t>
        </w:r>
        <w:r w:rsidRPr="00B40B9E">
          <w:rPr>
            <w:rStyle w:val="Hyperlink"/>
            <w:i/>
            <w:iCs/>
            <w:sz w:val="16"/>
            <w:szCs w:val="16"/>
            <w:lang w:val="bg-BG"/>
          </w:rPr>
          <w:t>-</w:t>
        </w:r>
        <w:r w:rsidRPr="00F26E62">
          <w:rPr>
            <w:rStyle w:val="Hyperlink"/>
            <w:i/>
            <w:iCs/>
            <w:sz w:val="16"/>
            <w:szCs w:val="16"/>
            <w:lang w:val="en"/>
          </w:rPr>
          <w:t>major</w:t>
        </w:r>
        <w:r w:rsidRPr="00B40B9E">
          <w:rPr>
            <w:rStyle w:val="Hyperlink"/>
            <w:i/>
            <w:iCs/>
            <w:sz w:val="16"/>
            <w:szCs w:val="16"/>
            <w:lang w:val="bg-BG"/>
          </w:rPr>
          <w:t>-</w:t>
        </w:r>
        <w:r w:rsidRPr="00F26E62">
          <w:rPr>
            <w:rStyle w:val="Hyperlink"/>
            <w:i/>
            <w:iCs/>
            <w:sz w:val="16"/>
            <w:szCs w:val="16"/>
            <w:lang w:val="en"/>
          </w:rPr>
          <w:t>projects</w:t>
        </w:r>
        <w:r w:rsidRPr="00B40B9E">
          <w:rPr>
            <w:rStyle w:val="Hyperlink"/>
            <w:i/>
            <w:iCs/>
            <w:sz w:val="16"/>
            <w:szCs w:val="16"/>
            <w:lang w:val="bg-BG"/>
          </w:rPr>
          <w:t>-</w:t>
        </w:r>
        <w:r w:rsidRPr="00F26E62">
          <w:rPr>
            <w:rStyle w:val="Hyperlink"/>
            <w:i/>
            <w:iCs/>
            <w:sz w:val="16"/>
            <w:szCs w:val="16"/>
            <w:lang w:val="en"/>
          </w:rPr>
          <w:t>supported</w:t>
        </w:r>
        <w:r w:rsidRPr="00B40B9E">
          <w:rPr>
            <w:rStyle w:val="Hyperlink"/>
            <w:i/>
            <w:iCs/>
            <w:sz w:val="16"/>
            <w:szCs w:val="16"/>
            <w:lang w:val="bg-BG"/>
          </w:rPr>
          <w:t>-</w:t>
        </w:r>
        <w:r w:rsidRPr="00F26E62">
          <w:rPr>
            <w:rStyle w:val="Hyperlink"/>
            <w:i/>
            <w:iCs/>
            <w:sz w:val="16"/>
            <w:szCs w:val="16"/>
            <w:lang w:val="en"/>
          </w:rPr>
          <w:t>by</w:t>
        </w:r>
        <w:r w:rsidRPr="00B40B9E">
          <w:rPr>
            <w:rStyle w:val="Hyperlink"/>
            <w:i/>
            <w:iCs/>
            <w:sz w:val="16"/>
            <w:szCs w:val="16"/>
            <w:lang w:val="bg-BG"/>
          </w:rPr>
          <w:t>-</w:t>
        </w:r>
        <w:r w:rsidRPr="00F26E62">
          <w:rPr>
            <w:rStyle w:val="Hyperlink"/>
            <w:i/>
            <w:iCs/>
            <w:sz w:val="16"/>
            <w:szCs w:val="16"/>
            <w:lang w:val="en"/>
          </w:rPr>
          <w:t>the</w:t>
        </w:r>
        <w:r w:rsidRPr="00B40B9E">
          <w:rPr>
            <w:rStyle w:val="Hyperlink"/>
            <w:i/>
            <w:iCs/>
            <w:sz w:val="16"/>
            <w:szCs w:val="16"/>
            <w:lang w:val="bg-BG"/>
          </w:rPr>
          <w:t>-</w:t>
        </w:r>
        <w:proofErr w:type="spellStart"/>
        <w:r w:rsidRPr="00F26E62">
          <w:rPr>
            <w:rStyle w:val="Hyperlink"/>
            <w:i/>
            <w:iCs/>
            <w:sz w:val="16"/>
            <w:szCs w:val="16"/>
            <w:lang w:val="en"/>
          </w:rPr>
          <w:t>european</w:t>
        </w:r>
        <w:proofErr w:type="spellEnd"/>
        <w:r w:rsidRPr="00B40B9E">
          <w:rPr>
            <w:rStyle w:val="Hyperlink"/>
            <w:i/>
            <w:iCs/>
            <w:sz w:val="16"/>
            <w:szCs w:val="16"/>
            <w:lang w:val="bg-BG"/>
          </w:rPr>
          <w:t>-</w:t>
        </w:r>
        <w:r w:rsidRPr="00F26E62">
          <w:rPr>
            <w:rStyle w:val="Hyperlink"/>
            <w:i/>
            <w:iCs/>
            <w:sz w:val="16"/>
            <w:szCs w:val="16"/>
            <w:lang w:val="en"/>
          </w:rPr>
          <w:t>regional</w:t>
        </w:r>
        <w:r w:rsidRPr="00B40B9E">
          <w:rPr>
            <w:rStyle w:val="Hyperlink"/>
            <w:i/>
            <w:iCs/>
            <w:sz w:val="16"/>
            <w:szCs w:val="16"/>
            <w:lang w:val="bg-BG"/>
          </w:rPr>
          <w:t>-</w:t>
        </w:r>
        <w:r w:rsidRPr="00F26E62">
          <w:rPr>
            <w:rStyle w:val="Hyperlink"/>
            <w:i/>
            <w:iCs/>
            <w:sz w:val="16"/>
            <w:szCs w:val="16"/>
            <w:lang w:val="en"/>
          </w:rPr>
          <w:t>development</w:t>
        </w:r>
        <w:r w:rsidRPr="00B40B9E">
          <w:rPr>
            <w:rStyle w:val="Hyperlink"/>
            <w:i/>
            <w:iCs/>
            <w:sz w:val="16"/>
            <w:szCs w:val="16"/>
            <w:lang w:val="bg-BG"/>
          </w:rPr>
          <w:t>-</w:t>
        </w:r>
        <w:r w:rsidRPr="00F26E62">
          <w:rPr>
            <w:rStyle w:val="Hyperlink"/>
            <w:i/>
            <w:iCs/>
            <w:sz w:val="16"/>
            <w:szCs w:val="16"/>
            <w:lang w:val="en"/>
          </w:rPr>
          <w:t>fund</w:t>
        </w:r>
        <w:r w:rsidRPr="00B40B9E">
          <w:rPr>
            <w:rStyle w:val="Hyperlink"/>
            <w:i/>
            <w:iCs/>
            <w:sz w:val="16"/>
            <w:szCs w:val="16"/>
            <w:lang w:val="bg-BG"/>
          </w:rPr>
          <w:t>-</w:t>
        </w:r>
        <w:proofErr w:type="spellStart"/>
        <w:r w:rsidRPr="00F26E62">
          <w:rPr>
            <w:rStyle w:val="Hyperlink"/>
            <w:i/>
            <w:iCs/>
            <w:sz w:val="16"/>
            <w:szCs w:val="16"/>
            <w:lang w:val="en"/>
          </w:rPr>
          <w:t>erdf</w:t>
        </w:r>
        <w:proofErr w:type="spellEnd"/>
        <w:r w:rsidRPr="00B40B9E">
          <w:rPr>
            <w:rStyle w:val="Hyperlink"/>
            <w:i/>
            <w:iCs/>
            <w:sz w:val="16"/>
            <w:szCs w:val="16"/>
            <w:lang w:val="bg-BG"/>
          </w:rPr>
          <w:t>-</w:t>
        </w:r>
        <w:r w:rsidRPr="00F26E62">
          <w:rPr>
            <w:rStyle w:val="Hyperlink"/>
            <w:i/>
            <w:iCs/>
            <w:sz w:val="16"/>
            <w:szCs w:val="16"/>
            <w:lang w:val="en"/>
          </w:rPr>
          <w:t>and</w:t>
        </w:r>
        <w:r w:rsidRPr="00B40B9E">
          <w:rPr>
            <w:rStyle w:val="Hyperlink"/>
            <w:i/>
            <w:iCs/>
            <w:sz w:val="16"/>
            <w:szCs w:val="16"/>
            <w:lang w:val="bg-BG"/>
          </w:rPr>
          <w:t>-</w:t>
        </w:r>
        <w:r w:rsidRPr="00F26E62">
          <w:rPr>
            <w:rStyle w:val="Hyperlink"/>
            <w:i/>
            <w:iCs/>
            <w:sz w:val="16"/>
            <w:szCs w:val="16"/>
            <w:lang w:val="en"/>
          </w:rPr>
          <w:t>cohesion</w:t>
        </w:r>
        <w:r w:rsidRPr="00B40B9E">
          <w:rPr>
            <w:rStyle w:val="Hyperlink"/>
            <w:i/>
            <w:iCs/>
            <w:sz w:val="16"/>
            <w:szCs w:val="16"/>
            <w:lang w:val="bg-BG"/>
          </w:rPr>
          <w:t>-</w:t>
        </w:r>
        <w:r w:rsidRPr="00F26E62">
          <w:rPr>
            <w:rStyle w:val="Hyperlink"/>
            <w:i/>
            <w:iCs/>
            <w:sz w:val="16"/>
            <w:szCs w:val="16"/>
            <w:lang w:val="en"/>
          </w:rPr>
          <w:t>fund</w:t>
        </w:r>
        <w:r w:rsidRPr="00B40B9E">
          <w:rPr>
            <w:rStyle w:val="Hyperlink"/>
            <w:i/>
            <w:iCs/>
            <w:sz w:val="16"/>
            <w:szCs w:val="16"/>
            <w:lang w:val="bg-BG"/>
          </w:rPr>
          <w:t>-</w:t>
        </w:r>
        <w:r w:rsidRPr="00F26E62">
          <w:rPr>
            <w:rStyle w:val="Hyperlink"/>
            <w:i/>
            <w:iCs/>
            <w:sz w:val="16"/>
            <w:szCs w:val="16"/>
            <w:lang w:val="en"/>
          </w:rPr>
          <w:t>between</w:t>
        </w:r>
        <w:r w:rsidRPr="00B40B9E">
          <w:rPr>
            <w:rStyle w:val="Hyperlink"/>
            <w:i/>
            <w:iCs/>
            <w:sz w:val="16"/>
            <w:szCs w:val="16"/>
            <w:lang w:val="bg-BG"/>
          </w:rPr>
          <w:t>-2000-</w:t>
        </w:r>
        <w:r w:rsidRPr="00F26E62">
          <w:rPr>
            <w:rStyle w:val="Hyperlink"/>
            <w:i/>
            <w:iCs/>
            <w:sz w:val="16"/>
            <w:szCs w:val="16"/>
            <w:lang w:val="en"/>
          </w:rPr>
          <w:t>and</w:t>
        </w:r>
        <w:r w:rsidRPr="00B40B9E">
          <w:rPr>
            <w:rStyle w:val="Hyperlink"/>
            <w:i/>
            <w:iCs/>
            <w:sz w:val="16"/>
            <w:szCs w:val="16"/>
            <w:lang w:val="bg-BG"/>
          </w:rPr>
          <w:t>-2013</w:t>
        </w:r>
      </w:hyperlink>
      <w:r w:rsidRPr="00B40B9E">
        <w:rPr>
          <w:i/>
          <w:iCs/>
          <w:sz w:val="16"/>
          <w:szCs w:val="16"/>
          <w:lang w:val="bg-BG"/>
        </w:rPr>
        <w:t>;</w:t>
      </w:r>
    </w:p>
    <w:p w14:paraId="59D3F219" w14:textId="77777777" w:rsidR="00424BA0" w:rsidRPr="003F3AFC" w:rsidRDefault="00424BA0" w:rsidP="00ED2143">
      <w:pPr>
        <w:pStyle w:val="FootnoteText"/>
        <w:rPr>
          <w:lang w:val="bg-BG"/>
        </w:rPr>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7B61D7" w14:textId="44207AC6" w:rsidR="00424BA0" w:rsidRPr="00D65672" w:rsidRDefault="00093DFF" w:rsidP="00D65672">
    <w:pPr>
      <w:rPr>
        <w:color w:val="417A84" w:themeColor="accent5" w:themeShade="BF"/>
        <w:u w:val="single"/>
        <w:lang w:val="en-US"/>
      </w:rPr>
    </w:pPr>
    <w:r w:rsidRPr="0006190E">
      <w:rPr>
        <w:noProof/>
        <w:lang w:val="bg-BG" w:eastAsia="bg-BG"/>
      </w:rPr>
      <w:drawing>
        <wp:anchor distT="0" distB="0" distL="114300" distR="114300" simplePos="0" relativeHeight="251661312" behindDoc="0" locked="0" layoutInCell="1" allowOverlap="1" wp14:anchorId="24EC98DB" wp14:editId="6E3EBA32">
          <wp:simplePos x="0" y="0"/>
          <wp:positionH relativeFrom="column">
            <wp:posOffset>2818130</wp:posOffset>
          </wp:positionH>
          <wp:positionV relativeFrom="paragraph">
            <wp:posOffset>-200660</wp:posOffset>
          </wp:positionV>
          <wp:extent cx="2818537" cy="780098"/>
          <wp:effectExtent l="0" t="0" r="1270" b="1270"/>
          <wp:wrapNone/>
          <wp:docPr id="3" name="Picture 3" descr="\\srvdesktop\desktop\savcheva\Desktop\unnam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rvdesktop\desktop\savcheva\Desktop\unnamed.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18537" cy="780098"/>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bg-BG" w:eastAsia="bg-BG"/>
      </w:rPr>
      <w:drawing>
        <wp:inline distT="0" distB="0" distL="0" distR="0" wp14:anchorId="353ED912" wp14:editId="314FECC7">
          <wp:extent cx="2483140" cy="556260"/>
          <wp:effectExtent l="0" t="0" r="0" b="0"/>
          <wp:docPr id="2" name="Picture 2" descr="ESIF | EUROPEAN INNOVATION PARTNERSH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IF | EUROPEAN INNOVATION PARTNERSHIP"/>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2488677" cy="557500"/>
                  </a:xfrm>
                  <a:prstGeom prst="rect">
                    <a:avLst/>
                  </a:prstGeom>
                  <a:noFill/>
                  <a:ln>
                    <a:noFill/>
                  </a:ln>
                </pic:spPr>
              </pic:pic>
            </a:graphicData>
          </a:graphic>
        </wp:inline>
      </w:drawing>
    </w:r>
    <w:r w:rsidR="00424BA0" w:rsidRPr="007D4A1D">
      <w:rPr>
        <w:color w:val="417A84" w:themeColor="accent5" w:themeShade="BF"/>
        <w:u w:val="single"/>
        <w:lang w:val="en"/>
      </w:rPr>
      <w:ptab w:relativeTo="margin" w:alignment="center" w:leader="none"/>
    </w:r>
    <w:r w:rsidR="00424BA0" w:rsidRPr="007D4A1D">
      <w:rPr>
        <w:color w:val="417A84" w:themeColor="accent5" w:themeShade="BF"/>
        <w:u w:val="single"/>
        <w:lang w:val="en"/>
      </w:rPr>
      <w:ptab w:relativeTo="margin" w:alignment="right" w:leader="none"/>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9F87BC" w14:textId="545735D5" w:rsidR="00424BA0" w:rsidRDefault="00093DFF" w:rsidP="00093DFF">
    <w:pPr>
      <w:pStyle w:val="Header"/>
    </w:pPr>
    <w:r w:rsidRPr="0006190E">
      <w:rPr>
        <w:noProof/>
        <w:lang w:val="bg-BG" w:eastAsia="bg-BG"/>
      </w:rPr>
      <w:drawing>
        <wp:anchor distT="0" distB="0" distL="114300" distR="114300" simplePos="0" relativeHeight="251659264" behindDoc="0" locked="0" layoutInCell="1" allowOverlap="1" wp14:anchorId="77203E1E" wp14:editId="00A6227A">
          <wp:simplePos x="0" y="0"/>
          <wp:positionH relativeFrom="column">
            <wp:posOffset>2991592</wp:posOffset>
          </wp:positionH>
          <wp:positionV relativeFrom="paragraph">
            <wp:posOffset>-223520</wp:posOffset>
          </wp:positionV>
          <wp:extent cx="2818537" cy="780098"/>
          <wp:effectExtent l="0" t="0" r="1270" b="1270"/>
          <wp:wrapNone/>
          <wp:docPr id="53" name="Picture 53" descr="\\srvdesktop\desktop\savcheva\Desktop\unnam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rvdesktop\desktop\savcheva\Desktop\unnamed.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18537" cy="780098"/>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bg-BG" w:eastAsia="bg-BG"/>
      </w:rPr>
      <w:drawing>
        <wp:inline distT="0" distB="0" distL="0" distR="0" wp14:anchorId="46A8C7C1" wp14:editId="540424BC">
          <wp:extent cx="2483140" cy="556260"/>
          <wp:effectExtent l="0" t="0" r="0" b="0"/>
          <wp:docPr id="55" name="Picture 55" descr="ESIF | EUROPEAN INNOVATION PARTNERSH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IF | EUROPEAN INNOVATION PARTNERSHIP"/>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2488677" cy="557500"/>
                  </a:xfrm>
                  <a:prstGeom prst="rect">
                    <a:avLst/>
                  </a:prstGeom>
                  <a:noFill/>
                  <a:ln>
                    <a:noFill/>
                  </a:ln>
                </pic:spPr>
              </pic:pic>
            </a:graphicData>
          </a:graphic>
        </wp:inline>
      </w:drawing>
    </w:r>
    <w: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629848" w14:textId="7D7BF661" w:rsidR="00424BA0" w:rsidRDefault="00093DFF" w:rsidP="009B5583">
    <w:r w:rsidRPr="0006190E">
      <w:rPr>
        <w:noProof/>
        <w:lang w:val="bg-BG" w:eastAsia="bg-BG"/>
      </w:rPr>
      <w:drawing>
        <wp:anchor distT="0" distB="0" distL="114300" distR="114300" simplePos="0" relativeHeight="251663360" behindDoc="0" locked="0" layoutInCell="1" allowOverlap="1" wp14:anchorId="76BECDE1" wp14:editId="4C7A9C54">
          <wp:simplePos x="0" y="0"/>
          <wp:positionH relativeFrom="column">
            <wp:posOffset>2818130</wp:posOffset>
          </wp:positionH>
          <wp:positionV relativeFrom="paragraph">
            <wp:posOffset>-70485</wp:posOffset>
          </wp:positionV>
          <wp:extent cx="2818537" cy="780098"/>
          <wp:effectExtent l="0" t="0" r="1270" b="1270"/>
          <wp:wrapNone/>
          <wp:docPr id="9" name="Picture 9" descr="\\srvdesktop\desktop\savcheva\Desktop\unnam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rvdesktop\desktop\savcheva\Desktop\unnamed.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18537" cy="780098"/>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bg-BG" w:eastAsia="bg-BG"/>
      </w:rPr>
      <w:drawing>
        <wp:inline distT="0" distB="0" distL="0" distR="0" wp14:anchorId="6224E88E" wp14:editId="3CFA6CDF">
          <wp:extent cx="2483140" cy="556260"/>
          <wp:effectExtent l="0" t="0" r="0" b="0"/>
          <wp:docPr id="5" name="Picture 5" descr="ESIF | EUROPEAN INNOVATION PARTNERSH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IF | EUROPEAN INNOVATION PARTNERSHIP"/>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2488677" cy="557500"/>
                  </a:xfrm>
                  <a:prstGeom prst="rect">
                    <a:avLst/>
                  </a:prstGeom>
                  <a:noFill/>
                  <a:ln>
                    <a:noFill/>
                  </a:ln>
                </pic:spPr>
              </pic:pic>
            </a:graphicData>
          </a:graphic>
        </wp:inline>
      </w:drawing>
    </w:r>
    <w:r w:rsidR="00424BA0" w:rsidRPr="007D4A1D">
      <w:rPr>
        <w:color w:val="417A84" w:themeColor="accent5" w:themeShade="BF"/>
        <w:u w:val="single"/>
        <w:lang w:val="en"/>
      </w:rPr>
      <w:ptab w:relativeTo="margin" w:alignment="center" w:leader="none"/>
    </w:r>
    <w:r w:rsidR="00424BA0" w:rsidRPr="007D4A1D">
      <w:rPr>
        <w:color w:val="417A84" w:themeColor="accent5" w:themeShade="BF"/>
        <w:u w:val="single"/>
        <w:lang w:val="en"/>
      </w:rPr>
      <w:ptab w:relativeTo="margin" w:alignment="right" w:leader="none"/>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BB46CE" w14:textId="46AE1A15" w:rsidR="00424BA0" w:rsidRPr="007D4A1D" w:rsidRDefault="00093DFF" w:rsidP="00493CC1">
    <w:pPr>
      <w:rPr>
        <w:color w:val="417A84" w:themeColor="accent5" w:themeShade="BF"/>
        <w:u w:val="single"/>
        <w:lang w:val="en-US"/>
      </w:rPr>
    </w:pPr>
    <w:r w:rsidRPr="0006190E">
      <w:rPr>
        <w:noProof/>
        <w:lang w:val="bg-BG" w:eastAsia="bg-BG"/>
      </w:rPr>
      <w:drawing>
        <wp:anchor distT="0" distB="0" distL="114300" distR="114300" simplePos="0" relativeHeight="251665408" behindDoc="0" locked="0" layoutInCell="1" allowOverlap="1" wp14:anchorId="202B84E0" wp14:editId="709479B6">
          <wp:simplePos x="0" y="0"/>
          <wp:positionH relativeFrom="column">
            <wp:posOffset>2820035</wp:posOffset>
          </wp:positionH>
          <wp:positionV relativeFrom="paragraph">
            <wp:posOffset>-74930</wp:posOffset>
          </wp:positionV>
          <wp:extent cx="2818537" cy="780098"/>
          <wp:effectExtent l="0" t="0" r="1270" b="1270"/>
          <wp:wrapNone/>
          <wp:docPr id="21" name="Picture 21" descr="\\srvdesktop\desktop\savcheva\Desktop\unnam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rvdesktop\desktop\savcheva\Desktop\unnamed.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18537" cy="780098"/>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bg-BG" w:eastAsia="bg-BG"/>
      </w:rPr>
      <w:drawing>
        <wp:inline distT="0" distB="0" distL="0" distR="0" wp14:anchorId="760531BD" wp14:editId="4052245C">
          <wp:extent cx="2483140" cy="556260"/>
          <wp:effectExtent l="0" t="0" r="0" b="0"/>
          <wp:docPr id="13" name="Picture 13" descr="ESIF | EUROPEAN INNOVATION PARTNERSH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IF | EUROPEAN INNOVATION PARTNERSHIP"/>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2488677" cy="557500"/>
                  </a:xfrm>
                  <a:prstGeom prst="rect">
                    <a:avLst/>
                  </a:prstGeom>
                  <a:noFill/>
                  <a:ln>
                    <a:noFill/>
                  </a:ln>
                </pic:spPr>
              </pic:pic>
            </a:graphicData>
          </a:graphic>
        </wp:inline>
      </w:drawing>
    </w:r>
    <w:r w:rsidR="00424BA0" w:rsidRPr="007D4A1D">
      <w:rPr>
        <w:color w:val="417A84" w:themeColor="accent5" w:themeShade="BF"/>
        <w:u w:val="single"/>
        <w:lang w:val="en"/>
      </w:rPr>
      <w:ptab w:relativeTo="margin" w:alignment="center" w:leader="none"/>
    </w:r>
    <w:r w:rsidR="00424BA0" w:rsidRPr="007D4A1D">
      <w:rPr>
        <w:color w:val="417A84" w:themeColor="accent5" w:themeShade="BF"/>
        <w:u w:val="single"/>
        <w:lang w:val="en"/>
      </w:rP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5A"/>
    <w:multiLevelType w:val="singleLevel"/>
    <w:tmpl w:val="0000005A"/>
    <w:name w:val="WW8Num154"/>
    <w:lvl w:ilvl="0">
      <w:start w:val="1"/>
      <w:numFmt w:val="bullet"/>
      <w:lvlText w:val=""/>
      <w:lvlJc w:val="left"/>
      <w:pPr>
        <w:tabs>
          <w:tab w:val="num" w:pos="900"/>
        </w:tabs>
        <w:ind w:left="900" w:hanging="360"/>
      </w:pPr>
      <w:rPr>
        <w:rFonts w:ascii="Symbol" w:hAnsi="Symbol"/>
        <w:sz w:val="24"/>
        <w:szCs w:val="24"/>
      </w:rPr>
    </w:lvl>
  </w:abstractNum>
  <w:abstractNum w:abstractNumId="1" w15:restartNumberingAfterBreak="0">
    <w:nsid w:val="03784F4D"/>
    <w:multiLevelType w:val="hybridMultilevel"/>
    <w:tmpl w:val="E5D25A52"/>
    <w:lvl w:ilvl="0" w:tplc="08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65F170B"/>
    <w:multiLevelType w:val="hybridMultilevel"/>
    <w:tmpl w:val="D40ED2FE"/>
    <w:lvl w:ilvl="0" w:tplc="0409000F">
      <w:start w:val="1"/>
      <w:numFmt w:val="decimal"/>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3" w15:restartNumberingAfterBreak="0">
    <w:nsid w:val="068B20A2"/>
    <w:multiLevelType w:val="hybridMultilevel"/>
    <w:tmpl w:val="48762C32"/>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 w15:restartNumberingAfterBreak="0">
    <w:nsid w:val="075A43EB"/>
    <w:multiLevelType w:val="hybridMultilevel"/>
    <w:tmpl w:val="A538E0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08DD2448"/>
    <w:multiLevelType w:val="hybridMultilevel"/>
    <w:tmpl w:val="DDB058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098E31F3"/>
    <w:multiLevelType w:val="hybridMultilevel"/>
    <w:tmpl w:val="D8E0A402"/>
    <w:lvl w:ilvl="0" w:tplc="802474E2">
      <w:numFmt w:val="bullet"/>
      <w:lvlText w:val="-"/>
      <w:lvlJc w:val="left"/>
      <w:pPr>
        <w:ind w:left="420" w:hanging="360"/>
      </w:pPr>
      <w:rPr>
        <w:rFonts w:ascii="Verdana" w:eastAsiaTheme="minorHAnsi" w:hAnsi="Verdana"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9966EEA"/>
    <w:multiLevelType w:val="hybridMultilevel"/>
    <w:tmpl w:val="97F4D6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BB25B29"/>
    <w:multiLevelType w:val="hybridMultilevel"/>
    <w:tmpl w:val="F432A706"/>
    <w:lvl w:ilvl="0" w:tplc="04090011">
      <w:start w:val="1"/>
      <w:numFmt w:val="decimal"/>
      <w:lvlText w:val="%1)"/>
      <w:lvlJc w:val="left"/>
      <w:pPr>
        <w:ind w:left="720" w:hanging="360"/>
      </w:pPr>
    </w:lvl>
    <w:lvl w:ilvl="1" w:tplc="04090011">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BC25104"/>
    <w:multiLevelType w:val="hybridMultilevel"/>
    <w:tmpl w:val="396E9128"/>
    <w:lvl w:ilvl="0" w:tplc="0402000B">
      <w:start w:val="1"/>
      <w:numFmt w:val="bullet"/>
      <w:lvlText w:val=""/>
      <w:lvlJc w:val="left"/>
      <w:pPr>
        <w:ind w:left="720" w:hanging="360"/>
      </w:pPr>
      <w:rPr>
        <w:rFonts w:ascii="Wingdings" w:hAnsi="Wingdings" w:hint="default"/>
      </w:rPr>
    </w:lvl>
    <w:lvl w:ilvl="1" w:tplc="04020003">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0" w15:restartNumberingAfterBreak="0">
    <w:nsid w:val="0CA123A4"/>
    <w:multiLevelType w:val="hybridMultilevel"/>
    <w:tmpl w:val="06322794"/>
    <w:lvl w:ilvl="0" w:tplc="04090011">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2094" w:hanging="360"/>
      </w:pPr>
    </w:lvl>
    <w:lvl w:ilvl="2" w:tplc="0409001B" w:tentative="1">
      <w:start w:val="1"/>
      <w:numFmt w:val="lowerRoman"/>
      <w:lvlText w:val="%3."/>
      <w:lvlJc w:val="right"/>
      <w:pPr>
        <w:ind w:left="2814" w:hanging="180"/>
      </w:pPr>
    </w:lvl>
    <w:lvl w:ilvl="3" w:tplc="0409000F" w:tentative="1">
      <w:start w:val="1"/>
      <w:numFmt w:val="decimal"/>
      <w:lvlText w:val="%4."/>
      <w:lvlJc w:val="left"/>
      <w:pPr>
        <w:ind w:left="3534" w:hanging="360"/>
      </w:pPr>
    </w:lvl>
    <w:lvl w:ilvl="4" w:tplc="04090019" w:tentative="1">
      <w:start w:val="1"/>
      <w:numFmt w:val="lowerLetter"/>
      <w:lvlText w:val="%5."/>
      <w:lvlJc w:val="left"/>
      <w:pPr>
        <w:ind w:left="4254" w:hanging="360"/>
      </w:pPr>
    </w:lvl>
    <w:lvl w:ilvl="5" w:tplc="0409001B" w:tentative="1">
      <w:start w:val="1"/>
      <w:numFmt w:val="lowerRoman"/>
      <w:lvlText w:val="%6."/>
      <w:lvlJc w:val="right"/>
      <w:pPr>
        <w:ind w:left="4974" w:hanging="180"/>
      </w:pPr>
    </w:lvl>
    <w:lvl w:ilvl="6" w:tplc="0409000F" w:tentative="1">
      <w:start w:val="1"/>
      <w:numFmt w:val="decimal"/>
      <w:lvlText w:val="%7."/>
      <w:lvlJc w:val="left"/>
      <w:pPr>
        <w:ind w:left="5694" w:hanging="360"/>
      </w:pPr>
    </w:lvl>
    <w:lvl w:ilvl="7" w:tplc="04090019" w:tentative="1">
      <w:start w:val="1"/>
      <w:numFmt w:val="lowerLetter"/>
      <w:lvlText w:val="%8."/>
      <w:lvlJc w:val="left"/>
      <w:pPr>
        <w:ind w:left="6414" w:hanging="360"/>
      </w:pPr>
    </w:lvl>
    <w:lvl w:ilvl="8" w:tplc="0409001B" w:tentative="1">
      <w:start w:val="1"/>
      <w:numFmt w:val="lowerRoman"/>
      <w:lvlText w:val="%9."/>
      <w:lvlJc w:val="right"/>
      <w:pPr>
        <w:ind w:left="7134" w:hanging="180"/>
      </w:pPr>
    </w:lvl>
  </w:abstractNum>
  <w:abstractNum w:abstractNumId="11" w15:restartNumberingAfterBreak="0">
    <w:nsid w:val="11B7571F"/>
    <w:multiLevelType w:val="hybridMultilevel"/>
    <w:tmpl w:val="F33C0F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1FB078D"/>
    <w:multiLevelType w:val="hybridMultilevel"/>
    <w:tmpl w:val="DD76B1D2"/>
    <w:lvl w:ilvl="0" w:tplc="B9B4C648">
      <w:start w:val="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4150BDE"/>
    <w:multiLevelType w:val="hybridMultilevel"/>
    <w:tmpl w:val="EBBE59FC"/>
    <w:lvl w:ilvl="0" w:tplc="04020001">
      <w:start w:val="1"/>
      <w:numFmt w:val="bullet"/>
      <w:lvlText w:val=""/>
      <w:lvlJc w:val="left"/>
      <w:pPr>
        <w:ind w:left="720" w:hanging="360"/>
      </w:pPr>
      <w:rPr>
        <w:rFonts w:ascii="Symbol" w:hAnsi="Symbol" w:hint="default"/>
      </w:rPr>
    </w:lvl>
    <w:lvl w:ilvl="1" w:tplc="654A52F2">
      <w:numFmt w:val="bullet"/>
      <w:lvlText w:val="–"/>
      <w:lvlJc w:val="left"/>
      <w:pPr>
        <w:ind w:left="1440" w:hanging="360"/>
      </w:pPr>
      <w:rPr>
        <w:rFonts w:ascii="TimesNewRoman" w:eastAsia="Times New Roman" w:hAnsi="TimesNewRoman" w:hint="default"/>
      </w:rPr>
    </w:lvl>
    <w:lvl w:ilvl="2" w:tplc="04020005">
      <w:start w:val="1"/>
      <w:numFmt w:val="bullet"/>
      <w:lvlText w:val=""/>
      <w:lvlJc w:val="left"/>
      <w:pPr>
        <w:ind w:left="2160" w:hanging="360"/>
      </w:pPr>
      <w:rPr>
        <w:rFonts w:ascii="Wingdings" w:hAnsi="Wingdings" w:hint="default"/>
      </w:rPr>
    </w:lvl>
    <w:lvl w:ilvl="3" w:tplc="04020001">
      <w:start w:val="1"/>
      <w:numFmt w:val="bullet"/>
      <w:lvlText w:val=""/>
      <w:lvlJc w:val="left"/>
      <w:pPr>
        <w:ind w:left="2880" w:hanging="360"/>
      </w:pPr>
      <w:rPr>
        <w:rFonts w:ascii="Symbol" w:hAnsi="Symbol" w:hint="default"/>
      </w:rPr>
    </w:lvl>
    <w:lvl w:ilvl="4" w:tplc="04020003">
      <w:start w:val="1"/>
      <w:numFmt w:val="bullet"/>
      <w:lvlText w:val="o"/>
      <w:lvlJc w:val="left"/>
      <w:pPr>
        <w:ind w:left="3600" w:hanging="360"/>
      </w:pPr>
      <w:rPr>
        <w:rFonts w:ascii="Courier New" w:hAnsi="Courier New" w:hint="default"/>
      </w:rPr>
    </w:lvl>
    <w:lvl w:ilvl="5" w:tplc="04020005">
      <w:start w:val="1"/>
      <w:numFmt w:val="bullet"/>
      <w:lvlText w:val=""/>
      <w:lvlJc w:val="left"/>
      <w:pPr>
        <w:ind w:left="4320" w:hanging="360"/>
      </w:pPr>
      <w:rPr>
        <w:rFonts w:ascii="Wingdings" w:hAnsi="Wingdings" w:hint="default"/>
      </w:rPr>
    </w:lvl>
    <w:lvl w:ilvl="6" w:tplc="04020001">
      <w:start w:val="1"/>
      <w:numFmt w:val="bullet"/>
      <w:lvlText w:val=""/>
      <w:lvlJc w:val="left"/>
      <w:pPr>
        <w:ind w:left="5040" w:hanging="360"/>
      </w:pPr>
      <w:rPr>
        <w:rFonts w:ascii="Symbol" w:hAnsi="Symbol" w:hint="default"/>
      </w:rPr>
    </w:lvl>
    <w:lvl w:ilvl="7" w:tplc="04020003">
      <w:start w:val="1"/>
      <w:numFmt w:val="bullet"/>
      <w:lvlText w:val="o"/>
      <w:lvlJc w:val="left"/>
      <w:pPr>
        <w:ind w:left="5760" w:hanging="360"/>
      </w:pPr>
      <w:rPr>
        <w:rFonts w:ascii="Courier New" w:hAnsi="Courier New" w:hint="default"/>
      </w:rPr>
    </w:lvl>
    <w:lvl w:ilvl="8" w:tplc="04020005">
      <w:start w:val="1"/>
      <w:numFmt w:val="bullet"/>
      <w:lvlText w:val=""/>
      <w:lvlJc w:val="left"/>
      <w:pPr>
        <w:ind w:left="6480" w:hanging="360"/>
      </w:pPr>
      <w:rPr>
        <w:rFonts w:ascii="Wingdings" w:hAnsi="Wingdings" w:hint="default"/>
      </w:rPr>
    </w:lvl>
  </w:abstractNum>
  <w:abstractNum w:abstractNumId="14" w15:restartNumberingAfterBreak="0">
    <w:nsid w:val="14776016"/>
    <w:multiLevelType w:val="hybridMultilevel"/>
    <w:tmpl w:val="482ACCEA"/>
    <w:lvl w:ilvl="0" w:tplc="0409000F">
      <w:start w:val="1"/>
      <w:numFmt w:val="decimal"/>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5" w15:restartNumberingAfterBreak="0">
    <w:nsid w:val="14BF1036"/>
    <w:multiLevelType w:val="hybridMultilevel"/>
    <w:tmpl w:val="3398B7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55B7433"/>
    <w:multiLevelType w:val="hybridMultilevel"/>
    <w:tmpl w:val="BA165198"/>
    <w:lvl w:ilvl="0" w:tplc="04020005">
      <w:start w:val="1"/>
      <w:numFmt w:val="bullet"/>
      <w:lvlText w:val=""/>
      <w:lvlJc w:val="left"/>
      <w:pPr>
        <w:tabs>
          <w:tab w:val="num" w:pos="720"/>
        </w:tabs>
        <w:ind w:left="720" w:hanging="360"/>
      </w:pPr>
      <w:rPr>
        <w:rFonts w:ascii="Wingdings" w:hAnsi="Wingdings" w:hint="default"/>
      </w:rPr>
    </w:lvl>
    <w:lvl w:ilvl="1" w:tplc="04020003">
      <w:start w:val="1"/>
      <w:numFmt w:val="bullet"/>
      <w:lvlText w:val="o"/>
      <w:lvlJc w:val="left"/>
      <w:pPr>
        <w:tabs>
          <w:tab w:val="num" w:pos="955"/>
        </w:tabs>
        <w:ind w:left="955" w:hanging="360"/>
      </w:pPr>
      <w:rPr>
        <w:rFonts w:ascii="Courier New" w:hAnsi="Courier New" w:hint="default"/>
      </w:rPr>
    </w:lvl>
    <w:lvl w:ilvl="2" w:tplc="04020005" w:tentative="1">
      <w:start w:val="1"/>
      <w:numFmt w:val="bullet"/>
      <w:lvlText w:val=""/>
      <w:lvlJc w:val="left"/>
      <w:pPr>
        <w:tabs>
          <w:tab w:val="num" w:pos="1675"/>
        </w:tabs>
        <w:ind w:left="1675" w:hanging="360"/>
      </w:pPr>
      <w:rPr>
        <w:rFonts w:ascii="Wingdings" w:hAnsi="Wingdings" w:hint="default"/>
      </w:rPr>
    </w:lvl>
    <w:lvl w:ilvl="3" w:tplc="04020001" w:tentative="1">
      <w:start w:val="1"/>
      <w:numFmt w:val="bullet"/>
      <w:lvlText w:val=""/>
      <w:lvlJc w:val="left"/>
      <w:pPr>
        <w:tabs>
          <w:tab w:val="num" w:pos="2395"/>
        </w:tabs>
        <w:ind w:left="2395" w:hanging="360"/>
      </w:pPr>
      <w:rPr>
        <w:rFonts w:ascii="Symbol" w:hAnsi="Symbol" w:hint="default"/>
      </w:rPr>
    </w:lvl>
    <w:lvl w:ilvl="4" w:tplc="04020003" w:tentative="1">
      <w:start w:val="1"/>
      <w:numFmt w:val="bullet"/>
      <w:lvlText w:val="o"/>
      <w:lvlJc w:val="left"/>
      <w:pPr>
        <w:tabs>
          <w:tab w:val="num" w:pos="3115"/>
        </w:tabs>
        <w:ind w:left="3115" w:hanging="360"/>
      </w:pPr>
      <w:rPr>
        <w:rFonts w:ascii="Courier New" w:hAnsi="Courier New" w:hint="default"/>
      </w:rPr>
    </w:lvl>
    <w:lvl w:ilvl="5" w:tplc="04020005" w:tentative="1">
      <w:start w:val="1"/>
      <w:numFmt w:val="bullet"/>
      <w:lvlText w:val=""/>
      <w:lvlJc w:val="left"/>
      <w:pPr>
        <w:tabs>
          <w:tab w:val="num" w:pos="3835"/>
        </w:tabs>
        <w:ind w:left="3835" w:hanging="360"/>
      </w:pPr>
      <w:rPr>
        <w:rFonts w:ascii="Wingdings" w:hAnsi="Wingdings" w:hint="default"/>
      </w:rPr>
    </w:lvl>
    <w:lvl w:ilvl="6" w:tplc="04020001" w:tentative="1">
      <w:start w:val="1"/>
      <w:numFmt w:val="bullet"/>
      <w:lvlText w:val=""/>
      <w:lvlJc w:val="left"/>
      <w:pPr>
        <w:tabs>
          <w:tab w:val="num" w:pos="4555"/>
        </w:tabs>
        <w:ind w:left="4555" w:hanging="360"/>
      </w:pPr>
      <w:rPr>
        <w:rFonts w:ascii="Symbol" w:hAnsi="Symbol" w:hint="default"/>
      </w:rPr>
    </w:lvl>
    <w:lvl w:ilvl="7" w:tplc="04020003" w:tentative="1">
      <w:start w:val="1"/>
      <w:numFmt w:val="bullet"/>
      <w:lvlText w:val="o"/>
      <w:lvlJc w:val="left"/>
      <w:pPr>
        <w:tabs>
          <w:tab w:val="num" w:pos="5275"/>
        </w:tabs>
        <w:ind w:left="5275" w:hanging="360"/>
      </w:pPr>
      <w:rPr>
        <w:rFonts w:ascii="Courier New" w:hAnsi="Courier New" w:hint="default"/>
      </w:rPr>
    </w:lvl>
    <w:lvl w:ilvl="8" w:tplc="04020005" w:tentative="1">
      <w:start w:val="1"/>
      <w:numFmt w:val="bullet"/>
      <w:lvlText w:val=""/>
      <w:lvlJc w:val="left"/>
      <w:pPr>
        <w:tabs>
          <w:tab w:val="num" w:pos="5995"/>
        </w:tabs>
        <w:ind w:left="5995" w:hanging="360"/>
      </w:pPr>
      <w:rPr>
        <w:rFonts w:ascii="Wingdings" w:hAnsi="Wingdings" w:hint="default"/>
      </w:rPr>
    </w:lvl>
  </w:abstractNum>
  <w:abstractNum w:abstractNumId="17" w15:restartNumberingAfterBreak="0">
    <w:nsid w:val="1B9B4C82"/>
    <w:multiLevelType w:val="hybridMultilevel"/>
    <w:tmpl w:val="C2888B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E142B27"/>
    <w:multiLevelType w:val="hybridMultilevel"/>
    <w:tmpl w:val="5F968B3E"/>
    <w:lvl w:ilvl="0" w:tplc="08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0F21855"/>
    <w:multiLevelType w:val="hybridMultilevel"/>
    <w:tmpl w:val="E4B44FEC"/>
    <w:lvl w:ilvl="0" w:tplc="0402000F">
      <w:start w:val="1"/>
      <w:numFmt w:val="decimal"/>
      <w:lvlText w:val="%1."/>
      <w:lvlJc w:val="left"/>
      <w:pPr>
        <w:ind w:left="360" w:hanging="360"/>
      </w:pPr>
      <w:rPr>
        <w:rFonts w:cs="Times New Roman" w:hint="default"/>
      </w:rPr>
    </w:lvl>
    <w:lvl w:ilvl="1" w:tplc="04020019">
      <w:start w:val="1"/>
      <w:numFmt w:val="lowerLetter"/>
      <w:lvlText w:val="%2."/>
      <w:lvlJc w:val="left"/>
      <w:pPr>
        <w:ind w:left="1080" w:hanging="360"/>
      </w:pPr>
      <w:rPr>
        <w:rFonts w:cs="Times New Roman"/>
      </w:rPr>
    </w:lvl>
    <w:lvl w:ilvl="2" w:tplc="0402001B">
      <w:start w:val="1"/>
      <w:numFmt w:val="lowerRoman"/>
      <w:lvlText w:val="%3."/>
      <w:lvlJc w:val="right"/>
      <w:pPr>
        <w:ind w:left="1800" w:hanging="180"/>
      </w:pPr>
      <w:rPr>
        <w:rFonts w:cs="Times New Roman"/>
      </w:rPr>
    </w:lvl>
    <w:lvl w:ilvl="3" w:tplc="0402000F">
      <w:start w:val="1"/>
      <w:numFmt w:val="decimal"/>
      <w:lvlText w:val="%4."/>
      <w:lvlJc w:val="left"/>
      <w:pPr>
        <w:ind w:left="2520" w:hanging="360"/>
      </w:pPr>
      <w:rPr>
        <w:rFonts w:cs="Times New Roman"/>
      </w:rPr>
    </w:lvl>
    <w:lvl w:ilvl="4" w:tplc="04020019">
      <w:start w:val="1"/>
      <w:numFmt w:val="lowerLetter"/>
      <w:lvlText w:val="%5."/>
      <w:lvlJc w:val="left"/>
      <w:pPr>
        <w:ind w:left="3240" w:hanging="360"/>
      </w:pPr>
      <w:rPr>
        <w:rFonts w:cs="Times New Roman"/>
      </w:rPr>
    </w:lvl>
    <w:lvl w:ilvl="5" w:tplc="0402001B">
      <w:start w:val="1"/>
      <w:numFmt w:val="lowerRoman"/>
      <w:lvlText w:val="%6."/>
      <w:lvlJc w:val="right"/>
      <w:pPr>
        <w:ind w:left="3960" w:hanging="180"/>
      </w:pPr>
      <w:rPr>
        <w:rFonts w:cs="Times New Roman"/>
      </w:rPr>
    </w:lvl>
    <w:lvl w:ilvl="6" w:tplc="0402000F">
      <w:start w:val="1"/>
      <w:numFmt w:val="decimal"/>
      <w:lvlText w:val="%7."/>
      <w:lvlJc w:val="left"/>
      <w:pPr>
        <w:ind w:left="4680" w:hanging="360"/>
      </w:pPr>
      <w:rPr>
        <w:rFonts w:cs="Times New Roman"/>
      </w:rPr>
    </w:lvl>
    <w:lvl w:ilvl="7" w:tplc="04020019">
      <w:start w:val="1"/>
      <w:numFmt w:val="lowerLetter"/>
      <w:lvlText w:val="%8."/>
      <w:lvlJc w:val="left"/>
      <w:pPr>
        <w:ind w:left="5400" w:hanging="360"/>
      </w:pPr>
      <w:rPr>
        <w:rFonts w:cs="Times New Roman"/>
      </w:rPr>
    </w:lvl>
    <w:lvl w:ilvl="8" w:tplc="0402001B">
      <w:start w:val="1"/>
      <w:numFmt w:val="lowerRoman"/>
      <w:lvlText w:val="%9."/>
      <w:lvlJc w:val="right"/>
      <w:pPr>
        <w:ind w:left="6120" w:hanging="180"/>
      </w:pPr>
      <w:rPr>
        <w:rFonts w:cs="Times New Roman"/>
      </w:rPr>
    </w:lvl>
  </w:abstractNum>
  <w:abstractNum w:abstractNumId="20" w15:restartNumberingAfterBreak="0">
    <w:nsid w:val="256555FD"/>
    <w:multiLevelType w:val="hybridMultilevel"/>
    <w:tmpl w:val="341EC4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5E33F26"/>
    <w:multiLevelType w:val="hybridMultilevel"/>
    <w:tmpl w:val="CF9E96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8DD6C78"/>
    <w:multiLevelType w:val="hybridMultilevel"/>
    <w:tmpl w:val="224C05C6"/>
    <w:lvl w:ilvl="0" w:tplc="BD74BA3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2A7E7047"/>
    <w:multiLevelType w:val="hybridMultilevel"/>
    <w:tmpl w:val="3F88C2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ACA4E57"/>
    <w:multiLevelType w:val="hybridMultilevel"/>
    <w:tmpl w:val="3C4A456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E2C06FB"/>
    <w:multiLevelType w:val="hybridMultilevel"/>
    <w:tmpl w:val="00BC68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EBD3BC1"/>
    <w:multiLevelType w:val="hybridMultilevel"/>
    <w:tmpl w:val="FFF06214"/>
    <w:lvl w:ilvl="0" w:tplc="0409000F">
      <w:start w:val="1"/>
      <w:numFmt w:val="decimal"/>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27" w15:restartNumberingAfterBreak="0">
    <w:nsid w:val="2FF0490F"/>
    <w:multiLevelType w:val="hybridMultilevel"/>
    <w:tmpl w:val="F27E7AE2"/>
    <w:lvl w:ilvl="0" w:tplc="DA8EFDDC">
      <w:start w:val="7"/>
      <w:numFmt w:val="bullet"/>
      <w:lvlText w:val="-"/>
      <w:lvlJc w:val="left"/>
      <w:pPr>
        <w:ind w:left="720" w:hanging="360"/>
      </w:pPr>
      <w:rPr>
        <w:rFonts w:ascii="SymbolMT" w:eastAsiaTheme="minorHAnsi" w:hAnsi="SymbolMT" w:cs="SymbolM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30992457"/>
    <w:multiLevelType w:val="hybridMultilevel"/>
    <w:tmpl w:val="CE1ECFF8"/>
    <w:lvl w:ilvl="0" w:tplc="881E6442">
      <w:numFmt w:val="bullet"/>
      <w:lvlText w:val="•"/>
      <w:lvlJc w:val="left"/>
      <w:pPr>
        <w:ind w:left="720" w:hanging="360"/>
      </w:pPr>
      <w:rPr>
        <w:rFonts w:ascii="Verdana" w:eastAsia="Batang" w:hAnsi="Verdana"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9" w15:restartNumberingAfterBreak="0">
    <w:nsid w:val="30F977FE"/>
    <w:multiLevelType w:val="hybridMultilevel"/>
    <w:tmpl w:val="33281124"/>
    <w:lvl w:ilvl="0" w:tplc="B9B4C648">
      <w:start w:val="9"/>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38822AC"/>
    <w:multiLevelType w:val="hybridMultilevel"/>
    <w:tmpl w:val="C234D694"/>
    <w:lvl w:ilvl="0" w:tplc="28EC3640">
      <w:start w:val="1"/>
      <w:numFmt w:val="bullet"/>
      <w:lvlText w:val="-"/>
      <w:lvlJc w:val="left"/>
      <w:pPr>
        <w:ind w:left="420" w:hanging="360"/>
      </w:pPr>
      <w:rPr>
        <w:rFonts w:ascii="Verdana" w:eastAsia="Times New Roman" w:hAnsi="Verdana" w:cs="Times New Roman" w:hint="default"/>
      </w:rPr>
    </w:lvl>
    <w:lvl w:ilvl="1" w:tplc="08090003">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31" w15:restartNumberingAfterBreak="0">
    <w:nsid w:val="34944A68"/>
    <w:multiLevelType w:val="hybridMultilevel"/>
    <w:tmpl w:val="41A6C9F2"/>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34C64AD7"/>
    <w:multiLevelType w:val="hybridMultilevel"/>
    <w:tmpl w:val="9EC46BB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3699412C"/>
    <w:multiLevelType w:val="hybridMultilevel"/>
    <w:tmpl w:val="E76801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92927E4"/>
    <w:multiLevelType w:val="hybridMultilevel"/>
    <w:tmpl w:val="10F4E6DE"/>
    <w:lvl w:ilvl="0" w:tplc="08090001">
      <w:start w:val="1"/>
      <w:numFmt w:val="bullet"/>
      <w:pStyle w:val="WYGbulletstyle"/>
      <w:lvlText w:val=""/>
      <w:lvlJc w:val="left"/>
      <w:pPr>
        <w:ind w:left="1572" w:hanging="360"/>
      </w:pPr>
      <w:rPr>
        <w:rFonts w:ascii="Symbol" w:hAnsi="Symbol" w:hint="default"/>
      </w:rPr>
    </w:lvl>
    <w:lvl w:ilvl="1" w:tplc="08090003" w:tentative="1">
      <w:start w:val="1"/>
      <w:numFmt w:val="bullet"/>
      <w:lvlText w:val="o"/>
      <w:lvlJc w:val="left"/>
      <w:pPr>
        <w:ind w:left="2292" w:hanging="360"/>
      </w:pPr>
      <w:rPr>
        <w:rFonts w:ascii="Courier New" w:hAnsi="Courier New" w:cs="Courier New" w:hint="default"/>
      </w:rPr>
    </w:lvl>
    <w:lvl w:ilvl="2" w:tplc="08090005" w:tentative="1">
      <w:start w:val="1"/>
      <w:numFmt w:val="bullet"/>
      <w:lvlText w:val=""/>
      <w:lvlJc w:val="left"/>
      <w:pPr>
        <w:ind w:left="3012" w:hanging="360"/>
      </w:pPr>
      <w:rPr>
        <w:rFonts w:ascii="Wingdings" w:hAnsi="Wingdings" w:hint="default"/>
      </w:rPr>
    </w:lvl>
    <w:lvl w:ilvl="3" w:tplc="08090001" w:tentative="1">
      <w:start w:val="1"/>
      <w:numFmt w:val="bullet"/>
      <w:lvlText w:val=""/>
      <w:lvlJc w:val="left"/>
      <w:pPr>
        <w:ind w:left="3732" w:hanging="360"/>
      </w:pPr>
      <w:rPr>
        <w:rFonts w:ascii="Symbol" w:hAnsi="Symbol" w:hint="default"/>
      </w:rPr>
    </w:lvl>
    <w:lvl w:ilvl="4" w:tplc="08090003" w:tentative="1">
      <w:start w:val="1"/>
      <w:numFmt w:val="bullet"/>
      <w:lvlText w:val="o"/>
      <w:lvlJc w:val="left"/>
      <w:pPr>
        <w:ind w:left="4452" w:hanging="360"/>
      </w:pPr>
      <w:rPr>
        <w:rFonts w:ascii="Courier New" w:hAnsi="Courier New" w:cs="Courier New" w:hint="default"/>
      </w:rPr>
    </w:lvl>
    <w:lvl w:ilvl="5" w:tplc="08090005" w:tentative="1">
      <w:start w:val="1"/>
      <w:numFmt w:val="bullet"/>
      <w:lvlText w:val=""/>
      <w:lvlJc w:val="left"/>
      <w:pPr>
        <w:ind w:left="5172" w:hanging="360"/>
      </w:pPr>
      <w:rPr>
        <w:rFonts w:ascii="Wingdings" w:hAnsi="Wingdings" w:hint="default"/>
      </w:rPr>
    </w:lvl>
    <w:lvl w:ilvl="6" w:tplc="08090001" w:tentative="1">
      <w:start w:val="1"/>
      <w:numFmt w:val="bullet"/>
      <w:lvlText w:val=""/>
      <w:lvlJc w:val="left"/>
      <w:pPr>
        <w:ind w:left="5892" w:hanging="360"/>
      </w:pPr>
      <w:rPr>
        <w:rFonts w:ascii="Symbol" w:hAnsi="Symbol" w:hint="default"/>
      </w:rPr>
    </w:lvl>
    <w:lvl w:ilvl="7" w:tplc="08090003" w:tentative="1">
      <w:start w:val="1"/>
      <w:numFmt w:val="bullet"/>
      <w:lvlText w:val="o"/>
      <w:lvlJc w:val="left"/>
      <w:pPr>
        <w:ind w:left="6612" w:hanging="360"/>
      </w:pPr>
      <w:rPr>
        <w:rFonts w:ascii="Courier New" w:hAnsi="Courier New" w:cs="Courier New" w:hint="default"/>
      </w:rPr>
    </w:lvl>
    <w:lvl w:ilvl="8" w:tplc="08090005" w:tentative="1">
      <w:start w:val="1"/>
      <w:numFmt w:val="bullet"/>
      <w:lvlText w:val=""/>
      <w:lvlJc w:val="left"/>
      <w:pPr>
        <w:ind w:left="7332" w:hanging="360"/>
      </w:pPr>
      <w:rPr>
        <w:rFonts w:ascii="Wingdings" w:hAnsi="Wingdings" w:hint="default"/>
      </w:rPr>
    </w:lvl>
  </w:abstractNum>
  <w:abstractNum w:abstractNumId="35" w15:restartNumberingAfterBreak="0">
    <w:nsid w:val="396A5C8A"/>
    <w:multiLevelType w:val="hybridMultilevel"/>
    <w:tmpl w:val="219CC116"/>
    <w:lvl w:ilvl="0" w:tplc="0409000F">
      <w:start w:val="1"/>
      <w:numFmt w:val="decimal"/>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36" w15:restartNumberingAfterBreak="0">
    <w:nsid w:val="3A2B37B0"/>
    <w:multiLevelType w:val="hybridMultilevel"/>
    <w:tmpl w:val="F118D8A4"/>
    <w:lvl w:ilvl="0" w:tplc="0409000F">
      <w:start w:val="1"/>
      <w:numFmt w:val="decimal"/>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37" w15:restartNumberingAfterBreak="0">
    <w:nsid w:val="3AD07D63"/>
    <w:multiLevelType w:val="hybridMultilevel"/>
    <w:tmpl w:val="8FA64672"/>
    <w:lvl w:ilvl="0" w:tplc="0409000F">
      <w:start w:val="1"/>
      <w:numFmt w:val="decimal"/>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38" w15:restartNumberingAfterBreak="0">
    <w:nsid w:val="3E2D7314"/>
    <w:multiLevelType w:val="hybridMultilevel"/>
    <w:tmpl w:val="66B47B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3F445855"/>
    <w:multiLevelType w:val="multilevel"/>
    <w:tmpl w:val="0C9AECCE"/>
    <w:lvl w:ilvl="0">
      <w:start w:val="8"/>
      <w:numFmt w:val="decimal"/>
      <w:lvlText w:val="%1."/>
      <w:lvlJc w:val="left"/>
      <w:pPr>
        <w:ind w:left="420" w:hanging="420"/>
      </w:pPr>
      <w:rPr>
        <w:rFonts w:eastAsiaTheme="majorEastAsia" w:cstheme="majorBidi" w:hint="default"/>
      </w:rPr>
    </w:lvl>
    <w:lvl w:ilvl="1">
      <w:start w:val="1"/>
      <w:numFmt w:val="decimal"/>
      <w:lvlText w:val="%1.%2."/>
      <w:lvlJc w:val="left"/>
      <w:pPr>
        <w:ind w:left="720" w:hanging="720"/>
      </w:pPr>
      <w:rPr>
        <w:rFonts w:eastAsiaTheme="majorEastAsia" w:cstheme="majorBidi" w:hint="default"/>
      </w:rPr>
    </w:lvl>
    <w:lvl w:ilvl="2">
      <w:start w:val="1"/>
      <w:numFmt w:val="decimal"/>
      <w:lvlText w:val="%1.%2.%3."/>
      <w:lvlJc w:val="left"/>
      <w:pPr>
        <w:ind w:left="1080" w:hanging="1080"/>
      </w:pPr>
      <w:rPr>
        <w:rFonts w:eastAsiaTheme="majorEastAsia" w:cstheme="majorBidi" w:hint="default"/>
      </w:rPr>
    </w:lvl>
    <w:lvl w:ilvl="3">
      <w:start w:val="1"/>
      <w:numFmt w:val="decimal"/>
      <w:lvlText w:val="%1.%2.%3.%4."/>
      <w:lvlJc w:val="left"/>
      <w:pPr>
        <w:ind w:left="1080" w:hanging="1080"/>
      </w:pPr>
      <w:rPr>
        <w:rFonts w:eastAsiaTheme="majorEastAsia" w:cstheme="majorBidi" w:hint="default"/>
      </w:rPr>
    </w:lvl>
    <w:lvl w:ilvl="4">
      <w:start w:val="1"/>
      <w:numFmt w:val="decimal"/>
      <w:lvlText w:val="%1.%2.%3.%4.%5."/>
      <w:lvlJc w:val="left"/>
      <w:pPr>
        <w:ind w:left="1440" w:hanging="1440"/>
      </w:pPr>
      <w:rPr>
        <w:rFonts w:eastAsiaTheme="majorEastAsia" w:cstheme="majorBidi" w:hint="default"/>
      </w:rPr>
    </w:lvl>
    <w:lvl w:ilvl="5">
      <w:start w:val="1"/>
      <w:numFmt w:val="decimal"/>
      <w:lvlText w:val="%1.%2.%3.%4.%5.%6."/>
      <w:lvlJc w:val="left"/>
      <w:pPr>
        <w:ind w:left="1800" w:hanging="1800"/>
      </w:pPr>
      <w:rPr>
        <w:rFonts w:eastAsiaTheme="majorEastAsia" w:cstheme="majorBidi" w:hint="default"/>
      </w:rPr>
    </w:lvl>
    <w:lvl w:ilvl="6">
      <w:start w:val="1"/>
      <w:numFmt w:val="decimal"/>
      <w:lvlText w:val="%1.%2.%3.%4.%5.%6.%7."/>
      <w:lvlJc w:val="left"/>
      <w:pPr>
        <w:ind w:left="1800" w:hanging="1800"/>
      </w:pPr>
      <w:rPr>
        <w:rFonts w:eastAsiaTheme="majorEastAsia" w:cstheme="majorBidi" w:hint="default"/>
      </w:rPr>
    </w:lvl>
    <w:lvl w:ilvl="7">
      <w:start w:val="1"/>
      <w:numFmt w:val="decimal"/>
      <w:lvlText w:val="%1.%2.%3.%4.%5.%6.%7.%8."/>
      <w:lvlJc w:val="left"/>
      <w:pPr>
        <w:ind w:left="2160" w:hanging="2160"/>
      </w:pPr>
      <w:rPr>
        <w:rFonts w:eastAsiaTheme="majorEastAsia" w:cstheme="majorBidi" w:hint="default"/>
      </w:rPr>
    </w:lvl>
    <w:lvl w:ilvl="8">
      <w:start w:val="1"/>
      <w:numFmt w:val="decimal"/>
      <w:lvlText w:val="%1.%2.%3.%4.%5.%6.%7.%8.%9."/>
      <w:lvlJc w:val="left"/>
      <w:pPr>
        <w:ind w:left="2520" w:hanging="2520"/>
      </w:pPr>
      <w:rPr>
        <w:rFonts w:eastAsiaTheme="majorEastAsia" w:cstheme="majorBidi" w:hint="default"/>
      </w:rPr>
    </w:lvl>
  </w:abstractNum>
  <w:abstractNum w:abstractNumId="40" w15:restartNumberingAfterBreak="0">
    <w:nsid w:val="442C7F1F"/>
    <w:multiLevelType w:val="hybridMultilevel"/>
    <w:tmpl w:val="DB82BC48"/>
    <w:lvl w:ilvl="0" w:tplc="0409000F">
      <w:start w:val="1"/>
      <w:numFmt w:val="decimal"/>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41" w15:restartNumberingAfterBreak="0">
    <w:nsid w:val="444B275D"/>
    <w:multiLevelType w:val="hybridMultilevel"/>
    <w:tmpl w:val="A9CC9074"/>
    <w:lvl w:ilvl="0" w:tplc="B9B4C648">
      <w:start w:val="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445E1A62"/>
    <w:multiLevelType w:val="hybridMultilevel"/>
    <w:tmpl w:val="B40A8C10"/>
    <w:lvl w:ilvl="0" w:tplc="DA8EFDDC">
      <w:start w:val="7"/>
      <w:numFmt w:val="bullet"/>
      <w:lvlText w:val="-"/>
      <w:lvlJc w:val="left"/>
      <w:pPr>
        <w:ind w:left="720" w:hanging="360"/>
      </w:pPr>
      <w:rPr>
        <w:rFonts w:ascii="SymbolMT" w:eastAsiaTheme="minorHAnsi" w:hAnsi="SymbolMT" w:cs="SymbolM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48CC798F"/>
    <w:multiLevelType w:val="hybridMultilevel"/>
    <w:tmpl w:val="734CB576"/>
    <w:lvl w:ilvl="0" w:tplc="04090001">
      <w:start w:val="1"/>
      <w:numFmt w:val="bullet"/>
      <w:lvlText w:val=""/>
      <w:lvlJc w:val="left"/>
      <w:pPr>
        <w:ind w:left="766" w:hanging="360"/>
      </w:pPr>
      <w:rPr>
        <w:rFonts w:ascii="Symbol" w:hAnsi="Symbol" w:hint="default"/>
      </w:rPr>
    </w:lvl>
    <w:lvl w:ilvl="1" w:tplc="04090003" w:tentative="1">
      <w:start w:val="1"/>
      <w:numFmt w:val="bullet"/>
      <w:lvlText w:val="o"/>
      <w:lvlJc w:val="left"/>
      <w:pPr>
        <w:ind w:left="1486" w:hanging="360"/>
      </w:pPr>
      <w:rPr>
        <w:rFonts w:ascii="Courier New" w:hAnsi="Courier New" w:cs="Courier New" w:hint="default"/>
      </w:rPr>
    </w:lvl>
    <w:lvl w:ilvl="2" w:tplc="04090005" w:tentative="1">
      <w:start w:val="1"/>
      <w:numFmt w:val="bullet"/>
      <w:lvlText w:val=""/>
      <w:lvlJc w:val="left"/>
      <w:pPr>
        <w:ind w:left="2206" w:hanging="360"/>
      </w:pPr>
      <w:rPr>
        <w:rFonts w:ascii="Wingdings" w:hAnsi="Wingdings" w:hint="default"/>
      </w:rPr>
    </w:lvl>
    <w:lvl w:ilvl="3" w:tplc="04090001" w:tentative="1">
      <w:start w:val="1"/>
      <w:numFmt w:val="bullet"/>
      <w:lvlText w:val=""/>
      <w:lvlJc w:val="left"/>
      <w:pPr>
        <w:ind w:left="2926" w:hanging="360"/>
      </w:pPr>
      <w:rPr>
        <w:rFonts w:ascii="Symbol" w:hAnsi="Symbol" w:hint="default"/>
      </w:rPr>
    </w:lvl>
    <w:lvl w:ilvl="4" w:tplc="04090003" w:tentative="1">
      <w:start w:val="1"/>
      <w:numFmt w:val="bullet"/>
      <w:lvlText w:val="o"/>
      <w:lvlJc w:val="left"/>
      <w:pPr>
        <w:ind w:left="3646" w:hanging="360"/>
      </w:pPr>
      <w:rPr>
        <w:rFonts w:ascii="Courier New" w:hAnsi="Courier New" w:cs="Courier New" w:hint="default"/>
      </w:rPr>
    </w:lvl>
    <w:lvl w:ilvl="5" w:tplc="04090005" w:tentative="1">
      <w:start w:val="1"/>
      <w:numFmt w:val="bullet"/>
      <w:lvlText w:val=""/>
      <w:lvlJc w:val="left"/>
      <w:pPr>
        <w:ind w:left="4366" w:hanging="360"/>
      </w:pPr>
      <w:rPr>
        <w:rFonts w:ascii="Wingdings" w:hAnsi="Wingdings" w:hint="default"/>
      </w:rPr>
    </w:lvl>
    <w:lvl w:ilvl="6" w:tplc="04090001" w:tentative="1">
      <w:start w:val="1"/>
      <w:numFmt w:val="bullet"/>
      <w:lvlText w:val=""/>
      <w:lvlJc w:val="left"/>
      <w:pPr>
        <w:ind w:left="5086" w:hanging="360"/>
      </w:pPr>
      <w:rPr>
        <w:rFonts w:ascii="Symbol" w:hAnsi="Symbol" w:hint="default"/>
      </w:rPr>
    </w:lvl>
    <w:lvl w:ilvl="7" w:tplc="04090003" w:tentative="1">
      <w:start w:val="1"/>
      <w:numFmt w:val="bullet"/>
      <w:lvlText w:val="o"/>
      <w:lvlJc w:val="left"/>
      <w:pPr>
        <w:ind w:left="5806" w:hanging="360"/>
      </w:pPr>
      <w:rPr>
        <w:rFonts w:ascii="Courier New" w:hAnsi="Courier New" w:cs="Courier New" w:hint="default"/>
      </w:rPr>
    </w:lvl>
    <w:lvl w:ilvl="8" w:tplc="04090005" w:tentative="1">
      <w:start w:val="1"/>
      <w:numFmt w:val="bullet"/>
      <w:lvlText w:val=""/>
      <w:lvlJc w:val="left"/>
      <w:pPr>
        <w:ind w:left="6526" w:hanging="360"/>
      </w:pPr>
      <w:rPr>
        <w:rFonts w:ascii="Wingdings" w:hAnsi="Wingdings" w:hint="default"/>
      </w:rPr>
    </w:lvl>
  </w:abstractNum>
  <w:abstractNum w:abstractNumId="44" w15:restartNumberingAfterBreak="0">
    <w:nsid w:val="4CD674BB"/>
    <w:multiLevelType w:val="hybridMultilevel"/>
    <w:tmpl w:val="023890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4F7A36F9"/>
    <w:multiLevelType w:val="hybridMultilevel"/>
    <w:tmpl w:val="68144D5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4FE36B32"/>
    <w:multiLevelType w:val="hybridMultilevel"/>
    <w:tmpl w:val="90082CC2"/>
    <w:lvl w:ilvl="0" w:tplc="802474E2">
      <w:numFmt w:val="bullet"/>
      <w:lvlText w:val="-"/>
      <w:lvlJc w:val="left"/>
      <w:pPr>
        <w:ind w:left="420" w:hanging="360"/>
      </w:pPr>
      <w:rPr>
        <w:rFonts w:ascii="Verdana" w:eastAsiaTheme="minorHAnsi" w:hAnsi="Verdana" w:cstheme="minorBidi"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47" w15:restartNumberingAfterBreak="0">
    <w:nsid w:val="50CA188A"/>
    <w:multiLevelType w:val="hybridMultilevel"/>
    <w:tmpl w:val="4E269360"/>
    <w:lvl w:ilvl="0" w:tplc="04090011">
      <w:start w:val="1"/>
      <w:numFmt w:val="decimal"/>
      <w:lvlText w:val="%1)"/>
      <w:lvlJc w:val="left"/>
      <w:pPr>
        <w:tabs>
          <w:tab w:val="num" w:pos="786"/>
        </w:tabs>
        <w:ind w:left="786"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51EC02BD"/>
    <w:multiLevelType w:val="hybridMultilevel"/>
    <w:tmpl w:val="62FE3D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55513F7D"/>
    <w:multiLevelType w:val="hybridMultilevel"/>
    <w:tmpl w:val="4A642CFA"/>
    <w:lvl w:ilvl="0" w:tplc="F72601DA">
      <w:start w:val="68"/>
      <w:numFmt w:val="bullet"/>
      <w:lvlText w:val="-"/>
      <w:lvlJc w:val="left"/>
      <w:pPr>
        <w:ind w:left="428" w:hanging="360"/>
      </w:pPr>
      <w:rPr>
        <w:rFonts w:ascii="Verdana" w:eastAsia="Times New Roman" w:hAnsi="Verdana" w:cs="Times New Roman" w:hint="default"/>
      </w:rPr>
    </w:lvl>
    <w:lvl w:ilvl="1" w:tplc="04090003" w:tentative="1">
      <w:start w:val="1"/>
      <w:numFmt w:val="bullet"/>
      <w:lvlText w:val="o"/>
      <w:lvlJc w:val="left"/>
      <w:pPr>
        <w:ind w:left="1148" w:hanging="360"/>
      </w:pPr>
      <w:rPr>
        <w:rFonts w:ascii="Courier New" w:hAnsi="Courier New" w:cs="Courier New" w:hint="default"/>
      </w:rPr>
    </w:lvl>
    <w:lvl w:ilvl="2" w:tplc="04090005" w:tentative="1">
      <w:start w:val="1"/>
      <w:numFmt w:val="bullet"/>
      <w:lvlText w:val=""/>
      <w:lvlJc w:val="left"/>
      <w:pPr>
        <w:ind w:left="1868" w:hanging="360"/>
      </w:pPr>
      <w:rPr>
        <w:rFonts w:ascii="Wingdings" w:hAnsi="Wingdings" w:hint="default"/>
      </w:rPr>
    </w:lvl>
    <w:lvl w:ilvl="3" w:tplc="04090001" w:tentative="1">
      <w:start w:val="1"/>
      <w:numFmt w:val="bullet"/>
      <w:lvlText w:val=""/>
      <w:lvlJc w:val="left"/>
      <w:pPr>
        <w:ind w:left="2588" w:hanging="360"/>
      </w:pPr>
      <w:rPr>
        <w:rFonts w:ascii="Symbol" w:hAnsi="Symbol" w:hint="default"/>
      </w:rPr>
    </w:lvl>
    <w:lvl w:ilvl="4" w:tplc="04090003" w:tentative="1">
      <w:start w:val="1"/>
      <w:numFmt w:val="bullet"/>
      <w:lvlText w:val="o"/>
      <w:lvlJc w:val="left"/>
      <w:pPr>
        <w:ind w:left="3308" w:hanging="360"/>
      </w:pPr>
      <w:rPr>
        <w:rFonts w:ascii="Courier New" w:hAnsi="Courier New" w:cs="Courier New" w:hint="default"/>
      </w:rPr>
    </w:lvl>
    <w:lvl w:ilvl="5" w:tplc="04090005" w:tentative="1">
      <w:start w:val="1"/>
      <w:numFmt w:val="bullet"/>
      <w:lvlText w:val=""/>
      <w:lvlJc w:val="left"/>
      <w:pPr>
        <w:ind w:left="4028" w:hanging="360"/>
      </w:pPr>
      <w:rPr>
        <w:rFonts w:ascii="Wingdings" w:hAnsi="Wingdings" w:hint="default"/>
      </w:rPr>
    </w:lvl>
    <w:lvl w:ilvl="6" w:tplc="04090001" w:tentative="1">
      <w:start w:val="1"/>
      <w:numFmt w:val="bullet"/>
      <w:lvlText w:val=""/>
      <w:lvlJc w:val="left"/>
      <w:pPr>
        <w:ind w:left="4748" w:hanging="360"/>
      </w:pPr>
      <w:rPr>
        <w:rFonts w:ascii="Symbol" w:hAnsi="Symbol" w:hint="default"/>
      </w:rPr>
    </w:lvl>
    <w:lvl w:ilvl="7" w:tplc="04090003" w:tentative="1">
      <w:start w:val="1"/>
      <w:numFmt w:val="bullet"/>
      <w:lvlText w:val="o"/>
      <w:lvlJc w:val="left"/>
      <w:pPr>
        <w:ind w:left="5468" w:hanging="360"/>
      </w:pPr>
      <w:rPr>
        <w:rFonts w:ascii="Courier New" w:hAnsi="Courier New" w:cs="Courier New" w:hint="default"/>
      </w:rPr>
    </w:lvl>
    <w:lvl w:ilvl="8" w:tplc="04090005" w:tentative="1">
      <w:start w:val="1"/>
      <w:numFmt w:val="bullet"/>
      <w:lvlText w:val=""/>
      <w:lvlJc w:val="left"/>
      <w:pPr>
        <w:ind w:left="6188" w:hanging="360"/>
      </w:pPr>
      <w:rPr>
        <w:rFonts w:ascii="Wingdings" w:hAnsi="Wingdings" w:hint="default"/>
      </w:rPr>
    </w:lvl>
  </w:abstractNum>
  <w:abstractNum w:abstractNumId="50" w15:restartNumberingAfterBreak="0">
    <w:nsid w:val="569024F6"/>
    <w:multiLevelType w:val="multilevel"/>
    <w:tmpl w:val="C2DC110C"/>
    <w:lvl w:ilvl="0">
      <w:start w:val="1"/>
      <w:numFmt w:val="decimal"/>
      <w:lvlText w:val="%1."/>
      <w:lvlJc w:val="left"/>
      <w:pPr>
        <w:ind w:left="761" w:hanging="360"/>
      </w:pPr>
      <w:rPr>
        <w:rFonts w:hint="default"/>
        <w:b w:val="0"/>
        <w:bCs w:val="0"/>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1" w15:restartNumberingAfterBreak="0">
    <w:nsid w:val="56C34D1E"/>
    <w:multiLevelType w:val="hybridMultilevel"/>
    <w:tmpl w:val="585C1E7C"/>
    <w:lvl w:ilvl="0" w:tplc="069E15DE">
      <w:start w:val="8"/>
      <w:numFmt w:val="bullet"/>
      <w:lvlText w:val="-"/>
      <w:lvlJc w:val="left"/>
      <w:pPr>
        <w:ind w:left="420" w:hanging="360"/>
      </w:pPr>
      <w:rPr>
        <w:rFonts w:ascii="Verdana" w:eastAsiaTheme="minorHAnsi" w:hAnsi="Verdana" w:cstheme="minorBidi"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52" w15:restartNumberingAfterBreak="0">
    <w:nsid w:val="580041C8"/>
    <w:multiLevelType w:val="multilevel"/>
    <w:tmpl w:val="33022198"/>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53" w15:restartNumberingAfterBreak="0">
    <w:nsid w:val="5882486E"/>
    <w:multiLevelType w:val="hybridMultilevel"/>
    <w:tmpl w:val="C068CD42"/>
    <w:lvl w:ilvl="0" w:tplc="B9B4C648">
      <w:start w:val="9"/>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4" w15:restartNumberingAfterBreak="0">
    <w:nsid w:val="5D141600"/>
    <w:multiLevelType w:val="multilevel"/>
    <w:tmpl w:val="1212AE2E"/>
    <w:lvl w:ilvl="0">
      <w:start w:val="1"/>
      <w:numFmt w:val="upperRoman"/>
      <w:lvlText w:val="%1."/>
      <w:lvlJc w:val="left"/>
      <w:pPr>
        <w:ind w:left="1080" w:hanging="720"/>
      </w:pPr>
      <w:rPr>
        <w:rFonts w:hint="default"/>
      </w:rPr>
    </w:lvl>
    <w:lvl w:ilvl="1">
      <w:start w:val="1"/>
      <w:numFmt w:val="decimal"/>
      <w:lvlText w:val="%1.%2."/>
      <w:lvlJc w:val="left"/>
      <w:pPr>
        <w:ind w:left="1440" w:hanging="360"/>
      </w:pPr>
      <w:rPr>
        <w:rFonts w:hint="default"/>
      </w:rPr>
    </w:lvl>
    <w:lvl w:ilvl="2">
      <w:start w:val="1"/>
      <w:numFmt w:val="decimal"/>
      <w:lvlText w:val="%2.%3."/>
      <w:lvlJc w:val="right"/>
      <w:pPr>
        <w:ind w:left="99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5" w15:restartNumberingAfterBreak="0">
    <w:nsid w:val="622E4C9E"/>
    <w:multiLevelType w:val="hybridMultilevel"/>
    <w:tmpl w:val="C7E404A2"/>
    <w:lvl w:ilvl="0" w:tplc="0809000D">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651D43B8"/>
    <w:multiLevelType w:val="multilevel"/>
    <w:tmpl w:val="50BCB47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7" w15:restartNumberingAfterBreak="0">
    <w:nsid w:val="6C9F6F4B"/>
    <w:multiLevelType w:val="hybridMultilevel"/>
    <w:tmpl w:val="7B90CAE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6CDF0589"/>
    <w:multiLevelType w:val="hybridMultilevel"/>
    <w:tmpl w:val="D4763326"/>
    <w:lvl w:ilvl="0" w:tplc="93E4381C">
      <w:numFmt w:val="bullet"/>
      <w:lvlText w:val="-"/>
      <w:lvlJc w:val="left"/>
      <w:pPr>
        <w:ind w:left="432" w:hanging="360"/>
      </w:pPr>
      <w:rPr>
        <w:rFonts w:ascii="Verdana" w:eastAsia="Calibri" w:hAnsi="Verdana" w:cs="Calibri" w:hint="default"/>
      </w:rPr>
    </w:lvl>
    <w:lvl w:ilvl="1" w:tplc="08090003">
      <w:start w:val="1"/>
      <w:numFmt w:val="bullet"/>
      <w:lvlText w:val="o"/>
      <w:lvlJc w:val="left"/>
      <w:pPr>
        <w:ind w:left="1152" w:hanging="360"/>
      </w:pPr>
      <w:rPr>
        <w:rFonts w:ascii="Courier New" w:hAnsi="Courier New" w:cs="Courier New" w:hint="default"/>
      </w:rPr>
    </w:lvl>
    <w:lvl w:ilvl="2" w:tplc="08090005" w:tentative="1">
      <w:start w:val="1"/>
      <w:numFmt w:val="bullet"/>
      <w:lvlText w:val=""/>
      <w:lvlJc w:val="left"/>
      <w:pPr>
        <w:ind w:left="1872" w:hanging="360"/>
      </w:pPr>
      <w:rPr>
        <w:rFonts w:ascii="Wingdings" w:hAnsi="Wingdings" w:hint="default"/>
      </w:rPr>
    </w:lvl>
    <w:lvl w:ilvl="3" w:tplc="08090001" w:tentative="1">
      <w:start w:val="1"/>
      <w:numFmt w:val="bullet"/>
      <w:lvlText w:val=""/>
      <w:lvlJc w:val="left"/>
      <w:pPr>
        <w:ind w:left="2592" w:hanging="360"/>
      </w:pPr>
      <w:rPr>
        <w:rFonts w:ascii="Symbol" w:hAnsi="Symbol" w:hint="default"/>
      </w:rPr>
    </w:lvl>
    <w:lvl w:ilvl="4" w:tplc="08090003" w:tentative="1">
      <w:start w:val="1"/>
      <w:numFmt w:val="bullet"/>
      <w:lvlText w:val="o"/>
      <w:lvlJc w:val="left"/>
      <w:pPr>
        <w:ind w:left="3312" w:hanging="360"/>
      </w:pPr>
      <w:rPr>
        <w:rFonts w:ascii="Courier New" w:hAnsi="Courier New" w:cs="Courier New" w:hint="default"/>
      </w:rPr>
    </w:lvl>
    <w:lvl w:ilvl="5" w:tplc="08090005" w:tentative="1">
      <w:start w:val="1"/>
      <w:numFmt w:val="bullet"/>
      <w:lvlText w:val=""/>
      <w:lvlJc w:val="left"/>
      <w:pPr>
        <w:ind w:left="4032" w:hanging="360"/>
      </w:pPr>
      <w:rPr>
        <w:rFonts w:ascii="Wingdings" w:hAnsi="Wingdings" w:hint="default"/>
      </w:rPr>
    </w:lvl>
    <w:lvl w:ilvl="6" w:tplc="08090001" w:tentative="1">
      <w:start w:val="1"/>
      <w:numFmt w:val="bullet"/>
      <w:lvlText w:val=""/>
      <w:lvlJc w:val="left"/>
      <w:pPr>
        <w:ind w:left="4752" w:hanging="360"/>
      </w:pPr>
      <w:rPr>
        <w:rFonts w:ascii="Symbol" w:hAnsi="Symbol" w:hint="default"/>
      </w:rPr>
    </w:lvl>
    <w:lvl w:ilvl="7" w:tplc="08090003" w:tentative="1">
      <w:start w:val="1"/>
      <w:numFmt w:val="bullet"/>
      <w:lvlText w:val="o"/>
      <w:lvlJc w:val="left"/>
      <w:pPr>
        <w:ind w:left="5472" w:hanging="360"/>
      </w:pPr>
      <w:rPr>
        <w:rFonts w:ascii="Courier New" w:hAnsi="Courier New" w:cs="Courier New" w:hint="default"/>
      </w:rPr>
    </w:lvl>
    <w:lvl w:ilvl="8" w:tplc="08090005" w:tentative="1">
      <w:start w:val="1"/>
      <w:numFmt w:val="bullet"/>
      <w:lvlText w:val=""/>
      <w:lvlJc w:val="left"/>
      <w:pPr>
        <w:ind w:left="6192" w:hanging="360"/>
      </w:pPr>
      <w:rPr>
        <w:rFonts w:ascii="Wingdings" w:hAnsi="Wingdings" w:hint="default"/>
      </w:rPr>
    </w:lvl>
  </w:abstractNum>
  <w:abstractNum w:abstractNumId="59" w15:restartNumberingAfterBreak="0">
    <w:nsid w:val="6E8B1D03"/>
    <w:multiLevelType w:val="hybridMultilevel"/>
    <w:tmpl w:val="0916D014"/>
    <w:lvl w:ilvl="0" w:tplc="C34CB16C">
      <w:numFmt w:val="bullet"/>
      <w:lvlText w:val="-"/>
      <w:lvlJc w:val="left"/>
      <w:pPr>
        <w:ind w:left="408" w:hanging="360"/>
      </w:pPr>
      <w:rPr>
        <w:rFonts w:ascii="Calibri" w:eastAsiaTheme="minorHAnsi" w:hAnsi="Calibri" w:cs="Calibri" w:hint="default"/>
      </w:rPr>
    </w:lvl>
    <w:lvl w:ilvl="1" w:tplc="08090003" w:tentative="1">
      <w:start w:val="1"/>
      <w:numFmt w:val="bullet"/>
      <w:lvlText w:val="o"/>
      <w:lvlJc w:val="left"/>
      <w:pPr>
        <w:ind w:left="1128" w:hanging="360"/>
      </w:pPr>
      <w:rPr>
        <w:rFonts w:ascii="Courier New" w:hAnsi="Courier New" w:cs="Courier New" w:hint="default"/>
      </w:rPr>
    </w:lvl>
    <w:lvl w:ilvl="2" w:tplc="08090005" w:tentative="1">
      <w:start w:val="1"/>
      <w:numFmt w:val="bullet"/>
      <w:lvlText w:val=""/>
      <w:lvlJc w:val="left"/>
      <w:pPr>
        <w:ind w:left="1848" w:hanging="360"/>
      </w:pPr>
      <w:rPr>
        <w:rFonts w:ascii="Wingdings" w:hAnsi="Wingdings" w:hint="default"/>
      </w:rPr>
    </w:lvl>
    <w:lvl w:ilvl="3" w:tplc="08090001" w:tentative="1">
      <w:start w:val="1"/>
      <w:numFmt w:val="bullet"/>
      <w:lvlText w:val=""/>
      <w:lvlJc w:val="left"/>
      <w:pPr>
        <w:ind w:left="2568" w:hanging="360"/>
      </w:pPr>
      <w:rPr>
        <w:rFonts w:ascii="Symbol" w:hAnsi="Symbol" w:hint="default"/>
      </w:rPr>
    </w:lvl>
    <w:lvl w:ilvl="4" w:tplc="08090003" w:tentative="1">
      <w:start w:val="1"/>
      <w:numFmt w:val="bullet"/>
      <w:lvlText w:val="o"/>
      <w:lvlJc w:val="left"/>
      <w:pPr>
        <w:ind w:left="3288" w:hanging="360"/>
      </w:pPr>
      <w:rPr>
        <w:rFonts w:ascii="Courier New" w:hAnsi="Courier New" w:cs="Courier New" w:hint="default"/>
      </w:rPr>
    </w:lvl>
    <w:lvl w:ilvl="5" w:tplc="08090005" w:tentative="1">
      <w:start w:val="1"/>
      <w:numFmt w:val="bullet"/>
      <w:lvlText w:val=""/>
      <w:lvlJc w:val="left"/>
      <w:pPr>
        <w:ind w:left="4008" w:hanging="360"/>
      </w:pPr>
      <w:rPr>
        <w:rFonts w:ascii="Wingdings" w:hAnsi="Wingdings" w:hint="default"/>
      </w:rPr>
    </w:lvl>
    <w:lvl w:ilvl="6" w:tplc="08090001" w:tentative="1">
      <w:start w:val="1"/>
      <w:numFmt w:val="bullet"/>
      <w:lvlText w:val=""/>
      <w:lvlJc w:val="left"/>
      <w:pPr>
        <w:ind w:left="4728" w:hanging="360"/>
      </w:pPr>
      <w:rPr>
        <w:rFonts w:ascii="Symbol" w:hAnsi="Symbol" w:hint="default"/>
      </w:rPr>
    </w:lvl>
    <w:lvl w:ilvl="7" w:tplc="08090003" w:tentative="1">
      <w:start w:val="1"/>
      <w:numFmt w:val="bullet"/>
      <w:lvlText w:val="o"/>
      <w:lvlJc w:val="left"/>
      <w:pPr>
        <w:ind w:left="5448" w:hanging="360"/>
      </w:pPr>
      <w:rPr>
        <w:rFonts w:ascii="Courier New" w:hAnsi="Courier New" w:cs="Courier New" w:hint="default"/>
      </w:rPr>
    </w:lvl>
    <w:lvl w:ilvl="8" w:tplc="08090005" w:tentative="1">
      <w:start w:val="1"/>
      <w:numFmt w:val="bullet"/>
      <w:lvlText w:val=""/>
      <w:lvlJc w:val="left"/>
      <w:pPr>
        <w:ind w:left="6168" w:hanging="360"/>
      </w:pPr>
      <w:rPr>
        <w:rFonts w:ascii="Wingdings" w:hAnsi="Wingdings" w:hint="default"/>
      </w:rPr>
    </w:lvl>
  </w:abstractNum>
  <w:abstractNum w:abstractNumId="60" w15:restartNumberingAfterBreak="0">
    <w:nsid w:val="75D65256"/>
    <w:multiLevelType w:val="hybridMultilevel"/>
    <w:tmpl w:val="E772BAB0"/>
    <w:lvl w:ilvl="0" w:tplc="654A52F2">
      <w:numFmt w:val="bullet"/>
      <w:lvlText w:val="–"/>
      <w:lvlJc w:val="left"/>
      <w:pPr>
        <w:ind w:left="360" w:hanging="360"/>
      </w:pPr>
      <w:rPr>
        <w:rFonts w:ascii="TimesNewRoman" w:eastAsia="Times New Roman" w:hAnsi="TimesNewRoman" w:hint="default"/>
      </w:rPr>
    </w:lvl>
    <w:lvl w:ilvl="1" w:tplc="04020003">
      <w:start w:val="1"/>
      <w:numFmt w:val="bullet"/>
      <w:lvlText w:val="o"/>
      <w:lvlJc w:val="left"/>
      <w:pPr>
        <w:ind w:left="1080" w:hanging="360"/>
      </w:pPr>
      <w:rPr>
        <w:rFonts w:ascii="Courier New" w:hAnsi="Courier New" w:hint="default"/>
      </w:rPr>
    </w:lvl>
    <w:lvl w:ilvl="2" w:tplc="04020005">
      <w:start w:val="1"/>
      <w:numFmt w:val="bullet"/>
      <w:lvlText w:val=""/>
      <w:lvlJc w:val="left"/>
      <w:pPr>
        <w:ind w:left="1800" w:hanging="360"/>
      </w:pPr>
      <w:rPr>
        <w:rFonts w:ascii="Wingdings" w:hAnsi="Wingdings" w:hint="default"/>
      </w:rPr>
    </w:lvl>
    <w:lvl w:ilvl="3" w:tplc="04020001">
      <w:start w:val="1"/>
      <w:numFmt w:val="bullet"/>
      <w:lvlText w:val=""/>
      <w:lvlJc w:val="left"/>
      <w:pPr>
        <w:ind w:left="2520" w:hanging="360"/>
      </w:pPr>
      <w:rPr>
        <w:rFonts w:ascii="Symbol" w:hAnsi="Symbol" w:hint="default"/>
      </w:rPr>
    </w:lvl>
    <w:lvl w:ilvl="4" w:tplc="04020003">
      <w:start w:val="1"/>
      <w:numFmt w:val="bullet"/>
      <w:lvlText w:val="o"/>
      <w:lvlJc w:val="left"/>
      <w:pPr>
        <w:ind w:left="3240" w:hanging="360"/>
      </w:pPr>
      <w:rPr>
        <w:rFonts w:ascii="Courier New" w:hAnsi="Courier New" w:hint="default"/>
      </w:rPr>
    </w:lvl>
    <w:lvl w:ilvl="5" w:tplc="04020005">
      <w:start w:val="1"/>
      <w:numFmt w:val="bullet"/>
      <w:lvlText w:val=""/>
      <w:lvlJc w:val="left"/>
      <w:pPr>
        <w:ind w:left="3960" w:hanging="360"/>
      </w:pPr>
      <w:rPr>
        <w:rFonts w:ascii="Wingdings" w:hAnsi="Wingdings" w:hint="default"/>
      </w:rPr>
    </w:lvl>
    <w:lvl w:ilvl="6" w:tplc="04020001">
      <w:start w:val="1"/>
      <w:numFmt w:val="bullet"/>
      <w:lvlText w:val=""/>
      <w:lvlJc w:val="left"/>
      <w:pPr>
        <w:ind w:left="4680" w:hanging="360"/>
      </w:pPr>
      <w:rPr>
        <w:rFonts w:ascii="Symbol" w:hAnsi="Symbol" w:hint="default"/>
      </w:rPr>
    </w:lvl>
    <w:lvl w:ilvl="7" w:tplc="04020003">
      <w:start w:val="1"/>
      <w:numFmt w:val="bullet"/>
      <w:lvlText w:val="o"/>
      <w:lvlJc w:val="left"/>
      <w:pPr>
        <w:ind w:left="5400" w:hanging="360"/>
      </w:pPr>
      <w:rPr>
        <w:rFonts w:ascii="Courier New" w:hAnsi="Courier New" w:hint="default"/>
      </w:rPr>
    </w:lvl>
    <w:lvl w:ilvl="8" w:tplc="04020005">
      <w:start w:val="1"/>
      <w:numFmt w:val="bullet"/>
      <w:lvlText w:val=""/>
      <w:lvlJc w:val="left"/>
      <w:pPr>
        <w:ind w:left="6120" w:hanging="360"/>
      </w:pPr>
      <w:rPr>
        <w:rFonts w:ascii="Wingdings" w:hAnsi="Wingdings" w:hint="default"/>
      </w:rPr>
    </w:lvl>
  </w:abstractNum>
  <w:abstractNum w:abstractNumId="61" w15:restartNumberingAfterBreak="0">
    <w:nsid w:val="76F158D8"/>
    <w:multiLevelType w:val="hybridMultilevel"/>
    <w:tmpl w:val="37286C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78077BD0"/>
    <w:multiLevelType w:val="hybridMultilevel"/>
    <w:tmpl w:val="3E7EC6AC"/>
    <w:lvl w:ilvl="0" w:tplc="0409000F">
      <w:start w:val="1"/>
      <w:numFmt w:val="decimal"/>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63" w15:restartNumberingAfterBreak="0">
    <w:nsid w:val="78B76589"/>
    <w:multiLevelType w:val="hybridMultilevel"/>
    <w:tmpl w:val="2F1EE5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79102FD2"/>
    <w:multiLevelType w:val="hybridMultilevel"/>
    <w:tmpl w:val="06322794"/>
    <w:lvl w:ilvl="0" w:tplc="04090011">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2094" w:hanging="360"/>
      </w:pPr>
    </w:lvl>
    <w:lvl w:ilvl="2" w:tplc="0409001B" w:tentative="1">
      <w:start w:val="1"/>
      <w:numFmt w:val="lowerRoman"/>
      <w:lvlText w:val="%3."/>
      <w:lvlJc w:val="right"/>
      <w:pPr>
        <w:ind w:left="2814" w:hanging="180"/>
      </w:pPr>
    </w:lvl>
    <w:lvl w:ilvl="3" w:tplc="0409000F" w:tentative="1">
      <w:start w:val="1"/>
      <w:numFmt w:val="decimal"/>
      <w:lvlText w:val="%4."/>
      <w:lvlJc w:val="left"/>
      <w:pPr>
        <w:ind w:left="3534" w:hanging="360"/>
      </w:pPr>
    </w:lvl>
    <w:lvl w:ilvl="4" w:tplc="04090019" w:tentative="1">
      <w:start w:val="1"/>
      <w:numFmt w:val="lowerLetter"/>
      <w:lvlText w:val="%5."/>
      <w:lvlJc w:val="left"/>
      <w:pPr>
        <w:ind w:left="4254" w:hanging="360"/>
      </w:pPr>
    </w:lvl>
    <w:lvl w:ilvl="5" w:tplc="0409001B" w:tentative="1">
      <w:start w:val="1"/>
      <w:numFmt w:val="lowerRoman"/>
      <w:lvlText w:val="%6."/>
      <w:lvlJc w:val="right"/>
      <w:pPr>
        <w:ind w:left="4974" w:hanging="180"/>
      </w:pPr>
    </w:lvl>
    <w:lvl w:ilvl="6" w:tplc="0409000F" w:tentative="1">
      <w:start w:val="1"/>
      <w:numFmt w:val="decimal"/>
      <w:lvlText w:val="%7."/>
      <w:lvlJc w:val="left"/>
      <w:pPr>
        <w:ind w:left="5694" w:hanging="360"/>
      </w:pPr>
    </w:lvl>
    <w:lvl w:ilvl="7" w:tplc="04090019" w:tentative="1">
      <w:start w:val="1"/>
      <w:numFmt w:val="lowerLetter"/>
      <w:lvlText w:val="%8."/>
      <w:lvlJc w:val="left"/>
      <w:pPr>
        <w:ind w:left="6414" w:hanging="360"/>
      </w:pPr>
    </w:lvl>
    <w:lvl w:ilvl="8" w:tplc="0409001B" w:tentative="1">
      <w:start w:val="1"/>
      <w:numFmt w:val="lowerRoman"/>
      <w:lvlText w:val="%9."/>
      <w:lvlJc w:val="right"/>
      <w:pPr>
        <w:ind w:left="7134" w:hanging="180"/>
      </w:pPr>
    </w:lvl>
  </w:abstractNum>
  <w:abstractNum w:abstractNumId="65" w15:restartNumberingAfterBreak="0">
    <w:nsid w:val="79BA2465"/>
    <w:multiLevelType w:val="hybridMultilevel"/>
    <w:tmpl w:val="BDE222A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7A52724F"/>
    <w:multiLevelType w:val="multilevel"/>
    <w:tmpl w:val="1212AE2E"/>
    <w:lvl w:ilvl="0">
      <w:start w:val="1"/>
      <w:numFmt w:val="upperRoman"/>
      <w:lvlText w:val="%1."/>
      <w:lvlJc w:val="left"/>
      <w:pPr>
        <w:ind w:left="1080" w:hanging="720"/>
      </w:pPr>
      <w:rPr>
        <w:rFonts w:hint="default"/>
      </w:rPr>
    </w:lvl>
    <w:lvl w:ilvl="1">
      <w:start w:val="1"/>
      <w:numFmt w:val="decimal"/>
      <w:lvlText w:val="%1.%2."/>
      <w:lvlJc w:val="left"/>
      <w:pPr>
        <w:ind w:left="1440" w:hanging="360"/>
      </w:pPr>
      <w:rPr>
        <w:rFonts w:hint="default"/>
      </w:rPr>
    </w:lvl>
    <w:lvl w:ilvl="2">
      <w:start w:val="1"/>
      <w:numFmt w:val="decimal"/>
      <w:lvlText w:val="%2.%3."/>
      <w:lvlJc w:val="right"/>
      <w:pPr>
        <w:ind w:left="99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abstractNumId w:val="54"/>
  </w:num>
  <w:num w:numId="2">
    <w:abstractNumId w:val="9"/>
  </w:num>
  <w:num w:numId="3">
    <w:abstractNumId w:val="4"/>
  </w:num>
  <w:num w:numId="4">
    <w:abstractNumId w:val="20"/>
  </w:num>
  <w:num w:numId="5">
    <w:abstractNumId w:val="23"/>
  </w:num>
  <w:num w:numId="6">
    <w:abstractNumId w:val="44"/>
  </w:num>
  <w:num w:numId="7">
    <w:abstractNumId w:val="24"/>
  </w:num>
  <w:num w:numId="8">
    <w:abstractNumId w:val="29"/>
  </w:num>
  <w:num w:numId="9">
    <w:abstractNumId w:val="11"/>
  </w:num>
  <w:num w:numId="10">
    <w:abstractNumId w:val="45"/>
  </w:num>
  <w:num w:numId="11">
    <w:abstractNumId w:val="25"/>
  </w:num>
  <w:num w:numId="12">
    <w:abstractNumId w:val="41"/>
  </w:num>
  <w:num w:numId="13">
    <w:abstractNumId w:val="7"/>
  </w:num>
  <w:num w:numId="14">
    <w:abstractNumId w:val="53"/>
  </w:num>
  <w:num w:numId="15">
    <w:abstractNumId w:val="12"/>
  </w:num>
  <w:num w:numId="16">
    <w:abstractNumId w:val="15"/>
  </w:num>
  <w:num w:numId="17">
    <w:abstractNumId w:val="33"/>
  </w:num>
  <w:num w:numId="18">
    <w:abstractNumId w:val="17"/>
  </w:num>
  <w:num w:numId="19">
    <w:abstractNumId w:val="48"/>
  </w:num>
  <w:num w:numId="20">
    <w:abstractNumId w:val="5"/>
  </w:num>
  <w:num w:numId="21">
    <w:abstractNumId w:val="1"/>
  </w:num>
  <w:num w:numId="22">
    <w:abstractNumId w:val="59"/>
  </w:num>
  <w:num w:numId="23">
    <w:abstractNumId w:val="58"/>
  </w:num>
  <w:num w:numId="24">
    <w:abstractNumId w:val="55"/>
  </w:num>
  <w:num w:numId="25">
    <w:abstractNumId w:val="34"/>
  </w:num>
  <w:num w:numId="26">
    <w:abstractNumId w:val="42"/>
  </w:num>
  <w:num w:numId="27">
    <w:abstractNumId w:val="27"/>
  </w:num>
  <w:num w:numId="28">
    <w:abstractNumId w:val="46"/>
  </w:num>
  <w:num w:numId="29">
    <w:abstractNumId w:val="50"/>
  </w:num>
  <w:num w:numId="30">
    <w:abstractNumId w:val="13"/>
  </w:num>
  <w:num w:numId="31">
    <w:abstractNumId w:val="19"/>
  </w:num>
  <w:num w:numId="32">
    <w:abstractNumId w:val="60"/>
  </w:num>
  <w:num w:numId="33">
    <w:abstractNumId w:val="28"/>
  </w:num>
  <w:num w:numId="34">
    <w:abstractNumId w:val="61"/>
  </w:num>
  <w:num w:numId="35">
    <w:abstractNumId w:val="43"/>
  </w:num>
  <w:num w:numId="36">
    <w:abstractNumId w:val="21"/>
  </w:num>
  <w:num w:numId="37">
    <w:abstractNumId w:val="57"/>
  </w:num>
  <w:num w:numId="38">
    <w:abstractNumId w:val="6"/>
  </w:num>
  <w:num w:numId="39">
    <w:abstractNumId w:val="65"/>
  </w:num>
  <w:num w:numId="40">
    <w:abstractNumId w:val="51"/>
  </w:num>
  <w:num w:numId="41">
    <w:abstractNumId w:val="49"/>
  </w:num>
  <w:num w:numId="42">
    <w:abstractNumId w:val="30"/>
  </w:num>
  <w:num w:numId="43">
    <w:abstractNumId w:val="31"/>
  </w:num>
  <w:num w:numId="44">
    <w:abstractNumId w:val="22"/>
  </w:num>
  <w:num w:numId="45">
    <w:abstractNumId w:val="32"/>
  </w:num>
  <w:num w:numId="46">
    <w:abstractNumId w:val="18"/>
  </w:num>
  <w:num w:numId="47">
    <w:abstractNumId w:val="56"/>
  </w:num>
  <w:num w:numId="4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52"/>
  </w:num>
  <w:num w:numId="57">
    <w:abstractNumId w:val="16"/>
  </w:num>
  <w:num w:numId="58">
    <w:abstractNumId w:val="66"/>
  </w:num>
  <w:num w:numId="59">
    <w:abstractNumId w:val="8"/>
  </w:num>
  <w:num w:numId="60">
    <w:abstractNumId w:val="10"/>
  </w:num>
  <w:num w:numId="61">
    <w:abstractNumId w:val="47"/>
  </w:num>
  <w:num w:numId="62">
    <w:abstractNumId w:val="64"/>
  </w:num>
  <w:num w:numId="63">
    <w:abstractNumId w:val="38"/>
  </w:num>
  <w:num w:numId="64">
    <w:abstractNumId w:val="63"/>
  </w:num>
  <w:num w:numId="65">
    <w:abstractNumId w:val="39"/>
  </w:num>
  <w:num w:numId="66">
    <w:abstractNumId w:val="3"/>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07FE"/>
    <w:rsid w:val="000004F0"/>
    <w:rsid w:val="00000764"/>
    <w:rsid w:val="00000F94"/>
    <w:rsid w:val="00003783"/>
    <w:rsid w:val="000050AF"/>
    <w:rsid w:val="00005991"/>
    <w:rsid w:val="00005A1A"/>
    <w:rsid w:val="0001150E"/>
    <w:rsid w:val="00012B1C"/>
    <w:rsid w:val="00012CF8"/>
    <w:rsid w:val="000138CA"/>
    <w:rsid w:val="0001401C"/>
    <w:rsid w:val="00015FC8"/>
    <w:rsid w:val="00016CE9"/>
    <w:rsid w:val="0001771D"/>
    <w:rsid w:val="00017907"/>
    <w:rsid w:val="0002022F"/>
    <w:rsid w:val="000208E4"/>
    <w:rsid w:val="00021D85"/>
    <w:rsid w:val="00022789"/>
    <w:rsid w:val="000251E1"/>
    <w:rsid w:val="000272DD"/>
    <w:rsid w:val="00030226"/>
    <w:rsid w:val="00030245"/>
    <w:rsid w:val="000309CA"/>
    <w:rsid w:val="00033BD4"/>
    <w:rsid w:val="000370E7"/>
    <w:rsid w:val="00037352"/>
    <w:rsid w:val="0003779C"/>
    <w:rsid w:val="000407F4"/>
    <w:rsid w:val="00041809"/>
    <w:rsid w:val="00041FA0"/>
    <w:rsid w:val="000432A8"/>
    <w:rsid w:val="00046435"/>
    <w:rsid w:val="0004671E"/>
    <w:rsid w:val="00046BF9"/>
    <w:rsid w:val="00046E27"/>
    <w:rsid w:val="00046FA6"/>
    <w:rsid w:val="000506E6"/>
    <w:rsid w:val="00050922"/>
    <w:rsid w:val="00051A84"/>
    <w:rsid w:val="00051D8C"/>
    <w:rsid w:val="00053257"/>
    <w:rsid w:val="00054337"/>
    <w:rsid w:val="00054D0B"/>
    <w:rsid w:val="00056933"/>
    <w:rsid w:val="00057340"/>
    <w:rsid w:val="00062DD8"/>
    <w:rsid w:val="00063791"/>
    <w:rsid w:val="00064055"/>
    <w:rsid w:val="00064FED"/>
    <w:rsid w:val="000715D2"/>
    <w:rsid w:val="00073715"/>
    <w:rsid w:val="00074CF7"/>
    <w:rsid w:val="0007627B"/>
    <w:rsid w:val="000807AC"/>
    <w:rsid w:val="00082662"/>
    <w:rsid w:val="000830E0"/>
    <w:rsid w:val="000831D5"/>
    <w:rsid w:val="000848A5"/>
    <w:rsid w:val="00084992"/>
    <w:rsid w:val="00090C18"/>
    <w:rsid w:val="00090D9B"/>
    <w:rsid w:val="000914C1"/>
    <w:rsid w:val="0009185E"/>
    <w:rsid w:val="00092572"/>
    <w:rsid w:val="0009275C"/>
    <w:rsid w:val="00093AD0"/>
    <w:rsid w:val="00093DFF"/>
    <w:rsid w:val="0009616A"/>
    <w:rsid w:val="00096F5C"/>
    <w:rsid w:val="0009715B"/>
    <w:rsid w:val="000A0767"/>
    <w:rsid w:val="000A16FA"/>
    <w:rsid w:val="000A38D5"/>
    <w:rsid w:val="000A468A"/>
    <w:rsid w:val="000A4AB0"/>
    <w:rsid w:val="000B1100"/>
    <w:rsid w:val="000B120F"/>
    <w:rsid w:val="000B4290"/>
    <w:rsid w:val="000B5C51"/>
    <w:rsid w:val="000C14ED"/>
    <w:rsid w:val="000C163E"/>
    <w:rsid w:val="000C1E98"/>
    <w:rsid w:val="000C1F29"/>
    <w:rsid w:val="000C2E2E"/>
    <w:rsid w:val="000C31A5"/>
    <w:rsid w:val="000C3951"/>
    <w:rsid w:val="000C3D3A"/>
    <w:rsid w:val="000C473C"/>
    <w:rsid w:val="000D064A"/>
    <w:rsid w:val="000D15C3"/>
    <w:rsid w:val="000D38B6"/>
    <w:rsid w:val="000D644F"/>
    <w:rsid w:val="000E0242"/>
    <w:rsid w:val="000E0D3F"/>
    <w:rsid w:val="000E16CE"/>
    <w:rsid w:val="000E2E2D"/>
    <w:rsid w:val="000E34CA"/>
    <w:rsid w:val="000E666C"/>
    <w:rsid w:val="000E7847"/>
    <w:rsid w:val="000F0061"/>
    <w:rsid w:val="000F0F6C"/>
    <w:rsid w:val="000F1825"/>
    <w:rsid w:val="000F2668"/>
    <w:rsid w:val="000F294F"/>
    <w:rsid w:val="000F384D"/>
    <w:rsid w:val="000F4262"/>
    <w:rsid w:val="000F441F"/>
    <w:rsid w:val="000F573B"/>
    <w:rsid w:val="000F648E"/>
    <w:rsid w:val="000F6685"/>
    <w:rsid w:val="000F7141"/>
    <w:rsid w:val="000F7859"/>
    <w:rsid w:val="00103659"/>
    <w:rsid w:val="0010695E"/>
    <w:rsid w:val="00113AE9"/>
    <w:rsid w:val="00114E3F"/>
    <w:rsid w:val="00114EF3"/>
    <w:rsid w:val="00114F4B"/>
    <w:rsid w:val="00115257"/>
    <w:rsid w:val="001152F0"/>
    <w:rsid w:val="00115D1E"/>
    <w:rsid w:val="001169DD"/>
    <w:rsid w:val="001222F1"/>
    <w:rsid w:val="00123F05"/>
    <w:rsid w:val="00124B28"/>
    <w:rsid w:val="00124F56"/>
    <w:rsid w:val="00124FF6"/>
    <w:rsid w:val="00127ED4"/>
    <w:rsid w:val="00131A21"/>
    <w:rsid w:val="00132C86"/>
    <w:rsid w:val="00134718"/>
    <w:rsid w:val="00134AE4"/>
    <w:rsid w:val="00134B6F"/>
    <w:rsid w:val="00134EBB"/>
    <w:rsid w:val="00136A99"/>
    <w:rsid w:val="00137260"/>
    <w:rsid w:val="001376DA"/>
    <w:rsid w:val="0013775E"/>
    <w:rsid w:val="0014054A"/>
    <w:rsid w:val="0014131C"/>
    <w:rsid w:val="001417CD"/>
    <w:rsid w:val="001417E2"/>
    <w:rsid w:val="001444FF"/>
    <w:rsid w:val="00145D3F"/>
    <w:rsid w:val="00147ABC"/>
    <w:rsid w:val="00151D75"/>
    <w:rsid w:val="001535AD"/>
    <w:rsid w:val="0015664E"/>
    <w:rsid w:val="00160998"/>
    <w:rsid w:val="001609FF"/>
    <w:rsid w:val="001623AF"/>
    <w:rsid w:val="0016371F"/>
    <w:rsid w:val="00167D9D"/>
    <w:rsid w:val="001700B8"/>
    <w:rsid w:val="001725BA"/>
    <w:rsid w:val="00172FE8"/>
    <w:rsid w:val="00173A6B"/>
    <w:rsid w:val="00174367"/>
    <w:rsid w:val="00174F36"/>
    <w:rsid w:val="0017668C"/>
    <w:rsid w:val="00176DE0"/>
    <w:rsid w:val="001803A0"/>
    <w:rsid w:val="00182654"/>
    <w:rsid w:val="00182E2B"/>
    <w:rsid w:val="00183243"/>
    <w:rsid w:val="00185B74"/>
    <w:rsid w:val="00186F51"/>
    <w:rsid w:val="00187D40"/>
    <w:rsid w:val="001901F4"/>
    <w:rsid w:val="001918AB"/>
    <w:rsid w:val="0019224E"/>
    <w:rsid w:val="001A101F"/>
    <w:rsid w:val="001A1F51"/>
    <w:rsid w:val="001A29C5"/>
    <w:rsid w:val="001A3794"/>
    <w:rsid w:val="001A78E3"/>
    <w:rsid w:val="001B0E18"/>
    <w:rsid w:val="001B1751"/>
    <w:rsid w:val="001B215F"/>
    <w:rsid w:val="001B27B3"/>
    <w:rsid w:val="001B3604"/>
    <w:rsid w:val="001B3ABE"/>
    <w:rsid w:val="001B3F5C"/>
    <w:rsid w:val="001B48E4"/>
    <w:rsid w:val="001B6092"/>
    <w:rsid w:val="001C00BE"/>
    <w:rsid w:val="001C26E8"/>
    <w:rsid w:val="001C3CED"/>
    <w:rsid w:val="001C40A0"/>
    <w:rsid w:val="001C5979"/>
    <w:rsid w:val="001C5A98"/>
    <w:rsid w:val="001C61FE"/>
    <w:rsid w:val="001C68DE"/>
    <w:rsid w:val="001C7777"/>
    <w:rsid w:val="001D01CD"/>
    <w:rsid w:val="001D0A71"/>
    <w:rsid w:val="001D0F66"/>
    <w:rsid w:val="001D1645"/>
    <w:rsid w:val="001D50D9"/>
    <w:rsid w:val="001D6581"/>
    <w:rsid w:val="001D6982"/>
    <w:rsid w:val="001E03D3"/>
    <w:rsid w:val="001E0751"/>
    <w:rsid w:val="001E2042"/>
    <w:rsid w:val="001E2253"/>
    <w:rsid w:val="001E24B4"/>
    <w:rsid w:val="001E326C"/>
    <w:rsid w:val="001E376A"/>
    <w:rsid w:val="001E39D7"/>
    <w:rsid w:val="001E5018"/>
    <w:rsid w:val="001E5BB1"/>
    <w:rsid w:val="001E5C52"/>
    <w:rsid w:val="001E68DA"/>
    <w:rsid w:val="001F0157"/>
    <w:rsid w:val="001F1BE6"/>
    <w:rsid w:val="001F20E4"/>
    <w:rsid w:val="001F2799"/>
    <w:rsid w:val="001F350B"/>
    <w:rsid w:val="001F49AF"/>
    <w:rsid w:val="001F4BEB"/>
    <w:rsid w:val="001F5A1F"/>
    <w:rsid w:val="001F5AFE"/>
    <w:rsid w:val="001F6791"/>
    <w:rsid w:val="001F7DBA"/>
    <w:rsid w:val="002001D4"/>
    <w:rsid w:val="00200A2B"/>
    <w:rsid w:val="002025A2"/>
    <w:rsid w:val="00202753"/>
    <w:rsid w:val="00202AEF"/>
    <w:rsid w:val="00203988"/>
    <w:rsid w:val="00203E4B"/>
    <w:rsid w:val="0020445C"/>
    <w:rsid w:val="00204A00"/>
    <w:rsid w:val="002051A4"/>
    <w:rsid w:val="002052E3"/>
    <w:rsid w:val="00205E6F"/>
    <w:rsid w:val="00206641"/>
    <w:rsid w:val="002067DE"/>
    <w:rsid w:val="00206CFE"/>
    <w:rsid w:val="0021550B"/>
    <w:rsid w:val="00216170"/>
    <w:rsid w:val="00222949"/>
    <w:rsid w:val="00223741"/>
    <w:rsid w:val="00224664"/>
    <w:rsid w:val="00224A55"/>
    <w:rsid w:val="002255B4"/>
    <w:rsid w:val="00225615"/>
    <w:rsid w:val="00230202"/>
    <w:rsid w:val="00230559"/>
    <w:rsid w:val="002311BF"/>
    <w:rsid w:val="002313A6"/>
    <w:rsid w:val="00231A8B"/>
    <w:rsid w:val="002321C3"/>
    <w:rsid w:val="00232FDC"/>
    <w:rsid w:val="0023386A"/>
    <w:rsid w:val="002339D6"/>
    <w:rsid w:val="00233A1D"/>
    <w:rsid w:val="00236EE9"/>
    <w:rsid w:val="00237166"/>
    <w:rsid w:val="00237200"/>
    <w:rsid w:val="00237705"/>
    <w:rsid w:val="00237A2F"/>
    <w:rsid w:val="0024029C"/>
    <w:rsid w:val="00240521"/>
    <w:rsid w:val="00241BB1"/>
    <w:rsid w:val="00242027"/>
    <w:rsid w:val="0024223E"/>
    <w:rsid w:val="00242734"/>
    <w:rsid w:val="0024309C"/>
    <w:rsid w:val="002435D4"/>
    <w:rsid w:val="002437E3"/>
    <w:rsid w:val="00243973"/>
    <w:rsid w:val="00246715"/>
    <w:rsid w:val="00252A0F"/>
    <w:rsid w:val="0026028C"/>
    <w:rsid w:val="00260B53"/>
    <w:rsid w:val="00262F14"/>
    <w:rsid w:val="00263EC7"/>
    <w:rsid w:val="002645F4"/>
    <w:rsid w:val="00265AE1"/>
    <w:rsid w:val="0027002D"/>
    <w:rsid w:val="002709C9"/>
    <w:rsid w:val="00270BCB"/>
    <w:rsid w:val="0027358C"/>
    <w:rsid w:val="002743CE"/>
    <w:rsid w:val="002751DE"/>
    <w:rsid w:val="00275741"/>
    <w:rsid w:val="00275DEB"/>
    <w:rsid w:val="002771CB"/>
    <w:rsid w:val="002776FA"/>
    <w:rsid w:val="00280776"/>
    <w:rsid w:val="002812F5"/>
    <w:rsid w:val="00283ADC"/>
    <w:rsid w:val="00284DA5"/>
    <w:rsid w:val="00286708"/>
    <w:rsid w:val="002907D2"/>
    <w:rsid w:val="00291390"/>
    <w:rsid w:val="00292E58"/>
    <w:rsid w:val="00293A33"/>
    <w:rsid w:val="00293B1E"/>
    <w:rsid w:val="00293C73"/>
    <w:rsid w:val="00293FF7"/>
    <w:rsid w:val="00294FA1"/>
    <w:rsid w:val="00295092"/>
    <w:rsid w:val="002969EF"/>
    <w:rsid w:val="00297D41"/>
    <w:rsid w:val="002A183E"/>
    <w:rsid w:val="002A2106"/>
    <w:rsid w:val="002A2B80"/>
    <w:rsid w:val="002A2CE2"/>
    <w:rsid w:val="002A55D5"/>
    <w:rsid w:val="002A60EF"/>
    <w:rsid w:val="002B0F5F"/>
    <w:rsid w:val="002B1D0C"/>
    <w:rsid w:val="002B1E3D"/>
    <w:rsid w:val="002B2054"/>
    <w:rsid w:val="002B53A6"/>
    <w:rsid w:val="002B6056"/>
    <w:rsid w:val="002B71D1"/>
    <w:rsid w:val="002C00D7"/>
    <w:rsid w:val="002C0A5F"/>
    <w:rsid w:val="002C0F27"/>
    <w:rsid w:val="002C1111"/>
    <w:rsid w:val="002C158A"/>
    <w:rsid w:val="002C225D"/>
    <w:rsid w:val="002C277B"/>
    <w:rsid w:val="002C2EA6"/>
    <w:rsid w:val="002C3175"/>
    <w:rsid w:val="002C48FC"/>
    <w:rsid w:val="002C49CB"/>
    <w:rsid w:val="002C56F9"/>
    <w:rsid w:val="002C5875"/>
    <w:rsid w:val="002C7745"/>
    <w:rsid w:val="002D2140"/>
    <w:rsid w:val="002D3685"/>
    <w:rsid w:val="002D4107"/>
    <w:rsid w:val="002D421C"/>
    <w:rsid w:val="002D5222"/>
    <w:rsid w:val="002D73CB"/>
    <w:rsid w:val="002E31E7"/>
    <w:rsid w:val="002E4AB9"/>
    <w:rsid w:val="002E5737"/>
    <w:rsid w:val="002E6FCE"/>
    <w:rsid w:val="002F0764"/>
    <w:rsid w:val="002F1594"/>
    <w:rsid w:val="002F2476"/>
    <w:rsid w:val="002F30DE"/>
    <w:rsid w:val="002F3A0F"/>
    <w:rsid w:val="002F4360"/>
    <w:rsid w:val="002F5C94"/>
    <w:rsid w:val="002F5D3E"/>
    <w:rsid w:val="002F7CA4"/>
    <w:rsid w:val="00300D24"/>
    <w:rsid w:val="003012AA"/>
    <w:rsid w:val="00302496"/>
    <w:rsid w:val="00302AC9"/>
    <w:rsid w:val="00310A07"/>
    <w:rsid w:val="0031154D"/>
    <w:rsid w:val="00313A94"/>
    <w:rsid w:val="003141C5"/>
    <w:rsid w:val="00315DCE"/>
    <w:rsid w:val="00315EE4"/>
    <w:rsid w:val="00316744"/>
    <w:rsid w:val="00316A9F"/>
    <w:rsid w:val="00316E5B"/>
    <w:rsid w:val="00317B4F"/>
    <w:rsid w:val="00321CC4"/>
    <w:rsid w:val="00322D6D"/>
    <w:rsid w:val="00324242"/>
    <w:rsid w:val="003275A6"/>
    <w:rsid w:val="003275B5"/>
    <w:rsid w:val="00327856"/>
    <w:rsid w:val="00327ACD"/>
    <w:rsid w:val="0033157A"/>
    <w:rsid w:val="00332DC0"/>
    <w:rsid w:val="00332DDB"/>
    <w:rsid w:val="00333A1A"/>
    <w:rsid w:val="00334AE4"/>
    <w:rsid w:val="003352E3"/>
    <w:rsid w:val="003359FD"/>
    <w:rsid w:val="0033624A"/>
    <w:rsid w:val="00337B80"/>
    <w:rsid w:val="00340331"/>
    <w:rsid w:val="00341306"/>
    <w:rsid w:val="0034151C"/>
    <w:rsid w:val="003416FE"/>
    <w:rsid w:val="00341C81"/>
    <w:rsid w:val="00343945"/>
    <w:rsid w:val="0034444D"/>
    <w:rsid w:val="003444F2"/>
    <w:rsid w:val="00345AE4"/>
    <w:rsid w:val="00346218"/>
    <w:rsid w:val="0035222C"/>
    <w:rsid w:val="00353F94"/>
    <w:rsid w:val="00354396"/>
    <w:rsid w:val="0035499A"/>
    <w:rsid w:val="00354E1E"/>
    <w:rsid w:val="00356012"/>
    <w:rsid w:val="00357062"/>
    <w:rsid w:val="00362699"/>
    <w:rsid w:val="00363D03"/>
    <w:rsid w:val="003653CE"/>
    <w:rsid w:val="00365BC0"/>
    <w:rsid w:val="00374F7F"/>
    <w:rsid w:val="003769AF"/>
    <w:rsid w:val="0037719C"/>
    <w:rsid w:val="00380AC2"/>
    <w:rsid w:val="003811A2"/>
    <w:rsid w:val="00382721"/>
    <w:rsid w:val="0038406C"/>
    <w:rsid w:val="00391325"/>
    <w:rsid w:val="003920E3"/>
    <w:rsid w:val="00393732"/>
    <w:rsid w:val="00393D04"/>
    <w:rsid w:val="00394549"/>
    <w:rsid w:val="00395AB7"/>
    <w:rsid w:val="00395F37"/>
    <w:rsid w:val="003962D2"/>
    <w:rsid w:val="00397B29"/>
    <w:rsid w:val="003A2051"/>
    <w:rsid w:val="003A2175"/>
    <w:rsid w:val="003A2BA8"/>
    <w:rsid w:val="003A3EE7"/>
    <w:rsid w:val="003A769C"/>
    <w:rsid w:val="003A798D"/>
    <w:rsid w:val="003B0A7A"/>
    <w:rsid w:val="003B34BD"/>
    <w:rsid w:val="003B416C"/>
    <w:rsid w:val="003B45F7"/>
    <w:rsid w:val="003B4B27"/>
    <w:rsid w:val="003B4C8B"/>
    <w:rsid w:val="003B7906"/>
    <w:rsid w:val="003B7F60"/>
    <w:rsid w:val="003C1BDA"/>
    <w:rsid w:val="003C247B"/>
    <w:rsid w:val="003C331C"/>
    <w:rsid w:val="003C3A8E"/>
    <w:rsid w:val="003C7E55"/>
    <w:rsid w:val="003D48C1"/>
    <w:rsid w:val="003D51F4"/>
    <w:rsid w:val="003D5F0F"/>
    <w:rsid w:val="003D6542"/>
    <w:rsid w:val="003D6547"/>
    <w:rsid w:val="003D7CB4"/>
    <w:rsid w:val="003E0546"/>
    <w:rsid w:val="003E06A6"/>
    <w:rsid w:val="003E1421"/>
    <w:rsid w:val="003E1783"/>
    <w:rsid w:val="003E3F29"/>
    <w:rsid w:val="003E7AA9"/>
    <w:rsid w:val="003E7FC9"/>
    <w:rsid w:val="003F1816"/>
    <w:rsid w:val="003F1FB7"/>
    <w:rsid w:val="003F2B3A"/>
    <w:rsid w:val="003F426C"/>
    <w:rsid w:val="003F786B"/>
    <w:rsid w:val="00401D48"/>
    <w:rsid w:val="004023FD"/>
    <w:rsid w:val="0040334E"/>
    <w:rsid w:val="00406146"/>
    <w:rsid w:val="00406B65"/>
    <w:rsid w:val="00406DB4"/>
    <w:rsid w:val="00406F53"/>
    <w:rsid w:val="00407CD9"/>
    <w:rsid w:val="00412F2E"/>
    <w:rsid w:val="00413D10"/>
    <w:rsid w:val="00414640"/>
    <w:rsid w:val="004148D7"/>
    <w:rsid w:val="00416556"/>
    <w:rsid w:val="00417E6D"/>
    <w:rsid w:val="00421A9B"/>
    <w:rsid w:val="00422E20"/>
    <w:rsid w:val="00423E81"/>
    <w:rsid w:val="00424BA0"/>
    <w:rsid w:val="004255B5"/>
    <w:rsid w:val="00425994"/>
    <w:rsid w:val="004264F5"/>
    <w:rsid w:val="00433B10"/>
    <w:rsid w:val="004347DD"/>
    <w:rsid w:val="00434CA8"/>
    <w:rsid w:val="00435AC1"/>
    <w:rsid w:val="0043615B"/>
    <w:rsid w:val="0043743C"/>
    <w:rsid w:val="0044016B"/>
    <w:rsid w:val="004448C4"/>
    <w:rsid w:val="00444B1B"/>
    <w:rsid w:val="00444D96"/>
    <w:rsid w:val="00445986"/>
    <w:rsid w:val="0044687F"/>
    <w:rsid w:val="00446F28"/>
    <w:rsid w:val="00447686"/>
    <w:rsid w:val="004522E9"/>
    <w:rsid w:val="00454ACD"/>
    <w:rsid w:val="00460D50"/>
    <w:rsid w:val="00460D5B"/>
    <w:rsid w:val="00461F1F"/>
    <w:rsid w:val="0046241B"/>
    <w:rsid w:val="00463E7D"/>
    <w:rsid w:val="00466677"/>
    <w:rsid w:val="00471998"/>
    <w:rsid w:val="00471CC5"/>
    <w:rsid w:val="00472824"/>
    <w:rsid w:val="004772EE"/>
    <w:rsid w:val="00480C8F"/>
    <w:rsid w:val="004818C7"/>
    <w:rsid w:val="0048262D"/>
    <w:rsid w:val="004829AD"/>
    <w:rsid w:val="00484371"/>
    <w:rsid w:val="00484F91"/>
    <w:rsid w:val="00485B0B"/>
    <w:rsid w:val="004867A4"/>
    <w:rsid w:val="00486922"/>
    <w:rsid w:val="00491321"/>
    <w:rsid w:val="00492272"/>
    <w:rsid w:val="00492CFA"/>
    <w:rsid w:val="00493471"/>
    <w:rsid w:val="00493CC1"/>
    <w:rsid w:val="0049591D"/>
    <w:rsid w:val="00495C45"/>
    <w:rsid w:val="00496521"/>
    <w:rsid w:val="00497762"/>
    <w:rsid w:val="004978D5"/>
    <w:rsid w:val="004A10EF"/>
    <w:rsid w:val="004A2DE8"/>
    <w:rsid w:val="004A303F"/>
    <w:rsid w:val="004A4209"/>
    <w:rsid w:val="004A5B82"/>
    <w:rsid w:val="004A69F9"/>
    <w:rsid w:val="004A6EEB"/>
    <w:rsid w:val="004B0F01"/>
    <w:rsid w:val="004B23C3"/>
    <w:rsid w:val="004B2875"/>
    <w:rsid w:val="004B28F6"/>
    <w:rsid w:val="004B36B2"/>
    <w:rsid w:val="004B3B1B"/>
    <w:rsid w:val="004B4BB1"/>
    <w:rsid w:val="004B62E5"/>
    <w:rsid w:val="004B7055"/>
    <w:rsid w:val="004B792D"/>
    <w:rsid w:val="004B7EDE"/>
    <w:rsid w:val="004C2E02"/>
    <w:rsid w:val="004C6C51"/>
    <w:rsid w:val="004C7B4D"/>
    <w:rsid w:val="004D06AC"/>
    <w:rsid w:val="004D2A24"/>
    <w:rsid w:val="004D3E68"/>
    <w:rsid w:val="004D59DF"/>
    <w:rsid w:val="004D72F4"/>
    <w:rsid w:val="004E07AE"/>
    <w:rsid w:val="004E1C6D"/>
    <w:rsid w:val="004E1CAF"/>
    <w:rsid w:val="004E3148"/>
    <w:rsid w:val="004E40E7"/>
    <w:rsid w:val="004E524A"/>
    <w:rsid w:val="004E5ED7"/>
    <w:rsid w:val="004E64C5"/>
    <w:rsid w:val="004F079B"/>
    <w:rsid w:val="004F174C"/>
    <w:rsid w:val="004F1E17"/>
    <w:rsid w:val="004F1EF3"/>
    <w:rsid w:val="004F2515"/>
    <w:rsid w:val="004F525D"/>
    <w:rsid w:val="004F6E99"/>
    <w:rsid w:val="004F6EDF"/>
    <w:rsid w:val="004F71F8"/>
    <w:rsid w:val="00500844"/>
    <w:rsid w:val="005027F6"/>
    <w:rsid w:val="00507380"/>
    <w:rsid w:val="0051002A"/>
    <w:rsid w:val="00513F46"/>
    <w:rsid w:val="005150DD"/>
    <w:rsid w:val="00515493"/>
    <w:rsid w:val="0051603A"/>
    <w:rsid w:val="00521E0D"/>
    <w:rsid w:val="005227D7"/>
    <w:rsid w:val="00523375"/>
    <w:rsid w:val="0052363D"/>
    <w:rsid w:val="00523898"/>
    <w:rsid w:val="00523DF1"/>
    <w:rsid w:val="00523FFA"/>
    <w:rsid w:val="00525027"/>
    <w:rsid w:val="00527D7E"/>
    <w:rsid w:val="0053062B"/>
    <w:rsid w:val="0053161E"/>
    <w:rsid w:val="00532C7B"/>
    <w:rsid w:val="005334E2"/>
    <w:rsid w:val="00535077"/>
    <w:rsid w:val="00537AF6"/>
    <w:rsid w:val="00540035"/>
    <w:rsid w:val="0054108F"/>
    <w:rsid w:val="0054654A"/>
    <w:rsid w:val="00546F26"/>
    <w:rsid w:val="005529E7"/>
    <w:rsid w:val="00552FA3"/>
    <w:rsid w:val="0055375A"/>
    <w:rsid w:val="00554DBE"/>
    <w:rsid w:val="005576B4"/>
    <w:rsid w:val="00560A2C"/>
    <w:rsid w:val="005617B4"/>
    <w:rsid w:val="00561B30"/>
    <w:rsid w:val="00561C16"/>
    <w:rsid w:val="00565D50"/>
    <w:rsid w:val="00566497"/>
    <w:rsid w:val="00567CED"/>
    <w:rsid w:val="00573967"/>
    <w:rsid w:val="00573AB2"/>
    <w:rsid w:val="00575184"/>
    <w:rsid w:val="00575623"/>
    <w:rsid w:val="005757AC"/>
    <w:rsid w:val="00577DA8"/>
    <w:rsid w:val="0058052D"/>
    <w:rsid w:val="0058136A"/>
    <w:rsid w:val="0058232E"/>
    <w:rsid w:val="00584630"/>
    <w:rsid w:val="00585DA7"/>
    <w:rsid w:val="00586B91"/>
    <w:rsid w:val="00587116"/>
    <w:rsid w:val="005901F0"/>
    <w:rsid w:val="00591D53"/>
    <w:rsid w:val="00591ED8"/>
    <w:rsid w:val="00592C7C"/>
    <w:rsid w:val="00594791"/>
    <w:rsid w:val="00594988"/>
    <w:rsid w:val="00596869"/>
    <w:rsid w:val="0059778E"/>
    <w:rsid w:val="005A061E"/>
    <w:rsid w:val="005A0651"/>
    <w:rsid w:val="005A1764"/>
    <w:rsid w:val="005A1EA0"/>
    <w:rsid w:val="005A1FEB"/>
    <w:rsid w:val="005A31B2"/>
    <w:rsid w:val="005A4250"/>
    <w:rsid w:val="005A51A6"/>
    <w:rsid w:val="005A67F7"/>
    <w:rsid w:val="005B0C9A"/>
    <w:rsid w:val="005B0E3C"/>
    <w:rsid w:val="005B3564"/>
    <w:rsid w:val="005B4C44"/>
    <w:rsid w:val="005B596F"/>
    <w:rsid w:val="005B69FD"/>
    <w:rsid w:val="005B75CF"/>
    <w:rsid w:val="005C0BCA"/>
    <w:rsid w:val="005C0C2B"/>
    <w:rsid w:val="005C19CD"/>
    <w:rsid w:val="005C1CA8"/>
    <w:rsid w:val="005C4270"/>
    <w:rsid w:val="005C4A00"/>
    <w:rsid w:val="005C5141"/>
    <w:rsid w:val="005C6044"/>
    <w:rsid w:val="005C73B8"/>
    <w:rsid w:val="005C7603"/>
    <w:rsid w:val="005D04DE"/>
    <w:rsid w:val="005D18B4"/>
    <w:rsid w:val="005D1974"/>
    <w:rsid w:val="005D273A"/>
    <w:rsid w:val="005D2755"/>
    <w:rsid w:val="005D30FE"/>
    <w:rsid w:val="005D4241"/>
    <w:rsid w:val="005D47DF"/>
    <w:rsid w:val="005D5A80"/>
    <w:rsid w:val="005D5B86"/>
    <w:rsid w:val="005D6FE8"/>
    <w:rsid w:val="005D7C53"/>
    <w:rsid w:val="005E01CD"/>
    <w:rsid w:val="005E142E"/>
    <w:rsid w:val="005E286D"/>
    <w:rsid w:val="005E4242"/>
    <w:rsid w:val="005E456F"/>
    <w:rsid w:val="005E5C0A"/>
    <w:rsid w:val="005E6999"/>
    <w:rsid w:val="005E79B6"/>
    <w:rsid w:val="005F0D09"/>
    <w:rsid w:val="005F1E2B"/>
    <w:rsid w:val="005F2EA4"/>
    <w:rsid w:val="005F3CCF"/>
    <w:rsid w:val="005F45CC"/>
    <w:rsid w:val="005F6C94"/>
    <w:rsid w:val="006002CE"/>
    <w:rsid w:val="00600AC9"/>
    <w:rsid w:val="00602145"/>
    <w:rsid w:val="00603DE4"/>
    <w:rsid w:val="00606CD1"/>
    <w:rsid w:val="006071A4"/>
    <w:rsid w:val="0061067F"/>
    <w:rsid w:val="00611744"/>
    <w:rsid w:val="00611AE8"/>
    <w:rsid w:val="00611FBB"/>
    <w:rsid w:val="00612E85"/>
    <w:rsid w:val="006139EC"/>
    <w:rsid w:val="00615316"/>
    <w:rsid w:val="006153A6"/>
    <w:rsid w:val="00616583"/>
    <w:rsid w:val="00616C4B"/>
    <w:rsid w:val="00621B53"/>
    <w:rsid w:val="00621EC2"/>
    <w:rsid w:val="0062426C"/>
    <w:rsid w:val="006252A5"/>
    <w:rsid w:val="00625FE5"/>
    <w:rsid w:val="00627740"/>
    <w:rsid w:val="006306BA"/>
    <w:rsid w:val="006335DA"/>
    <w:rsid w:val="00633CBB"/>
    <w:rsid w:val="006346C4"/>
    <w:rsid w:val="006348FD"/>
    <w:rsid w:val="00635267"/>
    <w:rsid w:val="00636316"/>
    <w:rsid w:val="00636868"/>
    <w:rsid w:val="00637073"/>
    <w:rsid w:val="00640102"/>
    <w:rsid w:val="006407FE"/>
    <w:rsid w:val="00640A74"/>
    <w:rsid w:val="006439C7"/>
    <w:rsid w:val="006443C1"/>
    <w:rsid w:val="006464E7"/>
    <w:rsid w:val="006479AC"/>
    <w:rsid w:val="0065081C"/>
    <w:rsid w:val="006512A9"/>
    <w:rsid w:val="00651909"/>
    <w:rsid w:val="006524E4"/>
    <w:rsid w:val="00654097"/>
    <w:rsid w:val="00662196"/>
    <w:rsid w:val="006633DB"/>
    <w:rsid w:val="00670AAC"/>
    <w:rsid w:val="00670D39"/>
    <w:rsid w:val="00672CE6"/>
    <w:rsid w:val="006737B6"/>
    <w:rsid w:val="00673F14"/>
    <w:rsid w:val="00674B4B"/>
    <w:rsid w:val="00675CD8"/>
    <w:rsid w:val="00676BEC"/>
    <w:rsid w:val="00681805"/>
    <w:rsid w:val="00682C46"/>
    <w:rsid w:val="006836F0"/>
    <w:rsid w:val="00683EFC"/>
    <w:rsid w:val="00684473"/>
    <w:rsid w:val="006854C3"/>
    <w:rsid w:val="00685E30"/>
    <w:rsid w:val="00686261"/>
    <w:rsid w:val="006864AC"/>
    <w:rsid w:val="00686785"/>
    <w:rsid w:val="00686DCF"/>
    <w:rsid w:val="00687FF6"/>
    <w:rsid w:val="00690E9B"/>
    <w:rsid w:val="00691B32"/>
    <w:rsid w:val="00692431"/>
    <w:rsid w:val="00692936"/>
    <w:rsid w:val="006930ED"/>
    <w:rsid w:val="00695A69"/>
    <w:rsid w:val="006A03C4"/>
    <w:rsid w:val="006A281F"/>
    <w:rsid w:val="006A2C07"/>
    <w:rsid w:val="006A4B11"/>
    <w:rsid w:val="006A4FD5"/>
    <w:rsid w:val="006A72AB"/>
    <w:rsid w:val="006B00E5"/>
    <w:rsid w:val="006B1231"/>
    <w:rsid w:val="006B17F0"/>
    <w:rsid w:val="006B1E8F"/>
    <w:rsid w:val="006B2DA4"/>
    <w:rsid w:val="006B6888"/>
    <w:rsid w:val="006B7AF5"/>
    <w:rsid w:val="006C1BB3"/>
    <w:rsid w:val="006C2652"/>
    <w:rsid w:val="006C319D"/>
    <w:rsid w:val="006C472C"/>
    <w:rsid w:val="006C49C7"/>
    <w:rsid w:val="006C637D"/>
    <w:rsid w:val="006C7D6B"/>
    <w:rsid w:val="006D0070"/>
    <w:rsid w:val="006D1E63"/>
    <w:rsid w:val="006D2146"/>
    <w:rsid w:val="006D2461"/>
    <w:rsid w:val="006D5ED0"/>
    <w:rsid w:val="006D6BFA"/>
    <w:rsid w:val="006E02D0"/>
    <w:rsid w:val="006E2FC7"/>
    <w:rsid w:val="006E34A4"/>
    <w:rsid w:val="006E3710"/>
    <w:rsid w:val="006E3A38"/>
    <w:rsid w:val="006E526C"/>
    <w:rsid w:val="006E6B2B"/>
    <w:rsid w:val="006E79BE"/>
    <w:rsid w:val="006F4ED5"/>
    <w:rsid w:val="006F67A3"/>
    <w:rsid w:val="006F753C"/>
    <w:rsid w:val="00701638"/>
    <w:rsid w:val="0070412E"/>
    <w:rsid w:val="00704379"/>
    <w:rsid w:val="007063F7"/>
    <w:rsid w:val="00706894"/>
    <w:rsid w:val="00707B8C"/>
    <w:rsid w:val="00711F8E"/>
    <w:rsid w:val="00712CF4"/>
    <w:rsid w:val="007137E1"/>
    <w:rsid w:val="00713878"/>
    <w:rsid w:val="00713963"/>
    <w:rsid w:val="00714763"/>
    <w:rsid w:val="00715401"/>
    <w:rsid w:val="00716A40"/>
    <w:rsid w:val="00717802"/>
    <w:rsid w:val="00717EFA"/>
    <w:rsid w:val="00721EE6"/>
    <w:rsid w:val="00725381"/>
    <w:rsid w:val="00726D9D"/>
    <w:rsid w:val="00726F47"/>
    <w:rsid w:val="0073076E"/>
    <w:rsid w:val="00732970"/>
    <w:rsid w:val="007330B8"/>
    <w:rsid w:val="007338FB"/>
    <w:rsid w:val="00733EBB"/>
    <w:rsid w:val="00734B42"/>
    <w:rsid w:val="00734D33"/>
    <w:rsid w:val="00741320"/>
    <w:rsid w:val="007414C6"/>
    <w:rsid w:val="00741602"/>
    <w:rsid w:val="00742675"/>
    <w:rsid w:val="00742FBE"/>
    <w:rsid w:val="007431CB"/>
    <w:rsid w:val="0074595E"/>
    <w:rsid w:val="00746A08"/>
    <w:rsid w:val="00747454"/>
    <w:rsid w:val="0075002F"/>
    <w:rsid w:val="007502B1"/>
    <w:rsid w:val="00751D53"/>
    <w:rsid w:val="007551E4"/>
    <w:rsid w:val="00756AA7"/>
    <w:rsid w:val="0076139C"/>
    <w:rsid w:val="0076230D"/>
    <w:rsid w:val="00762C93"/>
    <w:rsid w:val="00763CF0"/>
    <w:rsid w:val="0076530F"/>
    <w:rsid w:val="00765AE4"/>
    <w:rsid w:val="0076671A"/>
    <w:rsid w:val="00766A96"/>
    <w:rsid w:val="00766CB9"/>
    <w:rsid w:val="00767688"/>
    <w:rsid w:val="00770A42"/>
    <w:rsid w:val="00770F85"/>
    <w:rsid w:val="00774C7E"/>
    <w:rsid w:val="00774CB1"/>
    <w:rsid w:val="00775160"/>
    <w:rsid w:val="00776A4E"/>
    <w:rsid w:val="00777FAA"/>
    <w:rsid w:val="00784A79"/>
    <w:rsid w:val="00784D0A"/>
    <w:rsid w:val="00785620"/>
    <w:rsid w:val="007860C5"/>
    <w:rsid w:val="00786482"/>
    <w:rsid w:val="007875AF"/>
    <w:rsid w:val="00790935"/>
    <w:rsid w:val="00792B61"/>
    <w:rsid w:val="00793FB0"/>
    <w:rsid w:val="00796620"/>
    <w:rsid w:val="00796DFF"/>
    <w:rsid w:val="00796EE4"/>
    <w:rsid w:val="00797119"/>
    <w:rsid w:val="00797B07"/>
    <w:rsid w:val="007A1CBF"/>
    <w:rsid w:val="007A22A3"/>
    <w:rsid w:val="007A3623"/>
    <w:rsid w:val="007A4328"/>
    <w:rsid w:val="007B0238"/>
    <w:rsid w:val="007B09E1"/>
    <w:rsid w:val="007B2717"/>
    <w:rsid w:val="007B3568"/>
    <w:rsid w:val="007B36F7"/>
    <w:rsid w:val="007B631D"/>
    <w:rsid w:val="007B76AA"/>
    <w:rsid w:val="007C2224"/>
    <w:rsid w:val="007C3C66"/>
    <w:rsid w:val="007C4794"/>
    <w:rsid w:val="007C7F32"/>
    <w:rsid w:val="007D082E"/>
    <w:rsid w:val="007D0C4A"/>
    <w:rsid w:val="007D2229"/>
    <w:rsid w:val="007D2C56"/>
    <w:rsid w:val="007D46F8"/>
    <w:rsid w:val="007D648F"/>
    <w:rsid w:val="007D75AB"/>
    <w:rsid w:val="007D7812"/>
    <w:rsid w:val="007D7D3B"/>
    <w:rsid w:val="007E0620"/>
    <w:rsid w:val="007E0F88"/>
    <w:rsid w:val="007E16FF"/>
    <w:rsid w:val="007E2D11"/>
    <w:rsid w:val="007E345D"/>
    <w:rsid w:val="007E531C"/>
    <w:rsid w:val="007F22E8"/>
    <w:rsid w:val="007F2520"/>
    <w:rsid w:val="007F2B9B"/>
    <w:rsid w:val="007F410A"/>
    <w:rsid w:val="007F679D"/>
    <w:rsid w:val="007F6D36"/>
    <w:rsid w:val="007F771F"/>
    <w:rsid w:val="00801941"/>
    <w:rsid w:val="00803678"/>
    <w:rsid w:val="008042A7"/>
    <w:rsid w:val="00804E97"/>
    <w:rsid w:val="008052BF"/>
    <w:rsid w:val="00805667"/>
    <w:rsid w:val="00807113"/>
    <w:rsid w:val="00807B7D"/>
    <w:rsid w:val="00811230"/>
    <w:rsid w:val="008116CA"/>
    <w:rsid w:val="008129BC"/>
    <w:rsid w:val="00813A70"/>
    <w:rsid w:val="0081762C"/>
    <w:rsid w:val="00825ED3"/>
    <w:rsid w:val="008267DF"/>
    <w:rsid w:val="00826FAE"/>
    <w:rsid w:val="00830DA3"/>
    <w:rsid w:val="008330DA"/>
    <w:rsid w:val="0083689D"/>
    <w:rsid w:val="008368E2"/>
    <w:rsid w:val="00836CD7"/>
    <w:rsid w:val="00836E34"/>
    <w:rsid w:val="0084094E"/>
    <w:rsid w:val="00841CFB"/>
    <w:rsid w:val="00844203"/>
    <w:rsid w:val="008453B1"/>
    <w:rsid w:val="008478C5"/>
    <w:rsid w:val="00847E86"/>
    <w:rsid w:val="00850089"/>
    <w:rsid w:val="0085056D"/>
    <w:rsid w:val="008508B5"/>
    <w:rsid w:val="00851184"/>
    <w:rsid w:val="00851842"/>
    <w:rsid w:val="00851859"/>
    <w:rsid w:val="0085245B"/>
    <w:rsid w:val="0085334A"/>
    <w:rsid w:val="00853D97"/>
    <w:rsid w:val="0085768F"/>
    <w:rsid w:val="00861565"/>
    <w:rsid w:val="00862278"/>
    <w:rsid w:val="00862CD0"/>
    <w:rsid w:val="00863599"/>
    <w:rsid w:val="0086609F"/>
    <w:rsid w:val="00866AE2"/>
    <w:rsid w:val="00870032"/>
    <w:rsid w:val="00870D65"/>
    <w:rsid w:val="00873EF1"/>
    <w:rsid w:val="00874B43"/>
    <w:rsid w:val="00875EC0"/>
    <w:rsid w:val="008848BD"/>
    <w:rsid w:val="00884DF7"/>
    <w:rsid w:val="0088638A"/>
    <w:rsid w:val="008905A0"/>
    <w:rsid w:val="00892A0A"/>
    <w:rsid w:val="00893CFA"/>
    <w:rsid w:val="00895E75"/>
    <w:rsid w:val="00897DE1"/>
    <w:rsid w:val="008A4210"/>
    <w:rsid w:val="008A5AED"/>
    <w:rsid w:val="008A620B"/>
    <w:rsid w:val="008A72CB"/>
    <w:rsid w:val="008C080A"/>
    <w:rsid w:val="008C175D"/>
    <w:rsid w:val="008C29AB"/>
    <w:rsid w:val="008C3042"/>
    <w:rsid w:val="008C33C9"/>
    <w:rsid w:val="008C3731"/>
    <w:rsid w:val="008C3E3B"/>
    <w:rsid w:val="008C5B46"/>
    <w:rsid w:val="008C5DCD"/>
    <w:rsid w:val="008D00BF"/>
    <w:rsid w:val="008D12B2"/>
    <w:rsid w:val="008D2202"/>
    <w:rsid w:val="008D229F"/>
    <w:rsid w:val="008D293D"/>
    <w:rsid w:val="008D3B04"/>
    <w:rsid w:val="008D4359"/>
    <w:rsid w:val="008D7055"/>
    <w:rsid w:val="008D7D1D"/>
    <w:rsid w:val="008E08CC"/>
    <w:rsid w:val="008E09E5"/>
    <w:rsid w:val="008E2715"/>
    <w:rsid w:val="008E3F95"/>
    <w:rsid w:val="008E4BD9"/>
    <w:rsid w:val="008E7606"/>
    <w:rsid w:val="008F1346"/>
    <w:rsid w:val="008F15F6"/>
    <w:rsid w:val="008F1E7D"/>
    <w:rsid w:val="008F463D"/>
    <w:rsid w:val="008F70E0"/>
    <w:rsid w:val="0090013D"/>
    <w:rsid w:val="009012A1"/>
    <w:rsid w:val="00903FE4"/>
    <w:rsid w:val="00905C9D"/>
    <w:rsid w:val="00905D01"/>
    <w:rsid w:val="00905D29"/>
    <w:rsid w:val="00905ED1"/>
    <w:rsid w:val="009067DF"/>
    <w:rsid w:val="009075C1"/>
    <w:rsid w:val="0091107D"/>
    <w:rsid w:val="00911B13"/>
    <w:rsid w:val="00911B5E"/>
    <w:rsid w:val="00911E87"/>
    <w:rsid w:val="00912371"/>
    <w:rsid w:val="00912C20"/>
    <w:rsid w:val="0091438A"/>
    <w:rsid w:val="009144F6"/>
    <w:rsid w:val="009149F3"/>
    <w:rsid w:val="009160CC"/>
    <w:rsid w:val="009161F3"/>
    <w:rsid w:val="00917095"/>
    <w:rsid w:val="009178A4"/>
    <w:rsid w:val="00920678"/>
    <w:rsid w:val="00922E1D"/>
    <w:rsid w:val="009232E1"/>
    <w:rsid w:val="00924FF7"/>
    <w:rsid w:val="00927ADC"/>
    <w:rsid w:val="00927F31"/>
    <w:rsid w:val="00931483"/>
    <w:rsid w:val="00935A4E"/>
    <w:rsid w:val="0093718A"/>
    <w:rsid w:val="0093788A"/>
    <w:rsid w:val="009402FD"/>
    <w:rsid w:val="009403D1"/>
    <w:rsid w:val="009423B4"/>
    <w:rsid w:val="00942B6D"/>
    <w:rsid w:val="0094381A"/>
    <w:rsid w:val="00944952"/>
    <w:rsid w:val="00946216"/>
    <w:rsid w:val="00950DC6"/>
    <w:rsid w:val="009523E9"/>
    <w:rsid w:val="00952CA6"/>
    <w:rsid w:val="00952D47"/>
    <w:rsid w:val="00955B37"/>
    <w:rsid w:val="00956759"/>
    <w:rsid w:val="00956C09"/>
    <w:rsid w:val="009574AE"/>
    <w:rsid w:val="00957E7A"/>
    <w:rsid w:val="00960379"/>
    <w:rsid w:val="00960B8D"/>
    <w:rsid w:val="0096132F"/>
    <w:rsid w:val="00961FB5"/>
    <w:rsid w:val="0096329B"/>
    <w:rsid w:val="0096495C"/>
    <w:rsid w:val="009650BE"/>
    <w:rsid w:val="00965467"/>
    <w:rsid w:val="00967401"/>
    <w:rsid w:val="0097062A"/>
    <w:rsid w:val="00970C8C"/>
    <w:rsid w:val="00970E5A"/>
    <w:rsid w:val="009723E6"/>
    <w:rsid w:val="00972BAA"/>
    <w:rsid w:val="00975569"/>
    <w:rsid w:val="00976DB7"/>
    <w:rsid w:val="00980DF4"/>
    <w:rsid w:val="00980F52"/>
    <w:rsid w:val="00983AD8"/>
    <w:rsid w:val="00984934"/>
    <w:rsid w:val="00987DD4"/>
    <w:rsid w:val="00990148"/>
    <w:rsid w:val="00990A4E"/>
    <w:rsid w:val="0099231E"/>
    <w:rsid w:val="009928BF"/>
    <w:rsid w:val="0099334A"/>
    <w:rsid w:val="00997154"/>
    <w:rsid w:val="009A1328"/>
    <w:rsid w:val="009A27B5"/>
    <w:rsid w:val="009A3112"/>
    <w:rsid w:val="009A35BF"/>
    <w:rsid w:val="009A570A"/>
    <w:rsid w:val="009A7045"/>
    <w:rsid w:val="009A7BA0"/>
    <w:rsid w:val="009A7BBB"/>
    <w:rsid w:val="009B05EA"/>
    <w:rsid w:val="009B0B4F"/>
    <w:rsid w:val="009B10E8"/>
    <w:rsid w:val="009B1BD2"/>
    <w:rsid w:val="009B2CEF"/>
    <w:rsid w:val="009B47D7"/>
    <w:rsid w:val="009B5073"/>
    <w:rsid w:val="009B5583"/>
    <w:rsid w:val="009B755F"/>
    <w:rsid w:val="009B79CE"/>
    <w:rsid w:val="009C0406"/>
    <w:rsid w:val="009C1D06"/>
    <w:rsid w:val="009C2279"/>
    <w:rsid w:val="009C2FC9"/>
    <w:rsid w:val="009C3266"/>
    <w:rsid w:val="009C3C88"/>
    <w:rsid w:val="009C4BB1"/>
    <w:rsid w:val="009C56B4"/>
    <w:rsid w:val="009C5838"/>
    <w:rsid w:val="009D02C7"/>
    <w:rsid w:val="009D1CB8"/>
    <w:rsid w:val="009D2CC8"/>
    <w:rsid w:val="009D46B1"/>
    <w:rsid w:val="009D571E"/>
    <w:rsid w:val="009D60BA"/>
    <w:rsid w:val="009E0407"/>
    <w:rsid w:val="009E0A63"/>
    <w:rsid w:val="009E18E2"/>
    <w:rsid w:val="009E3309"/>
    <w:rsid w:val="009E3FAB"/>
    <w:rsid w:val="009E42D9"/>
    <w:rsid w:val="009E4B63"/>
    <w:rsid w:val="009F0BC1"/>
    <w:rsid w:val="009F2782"/>
    <w:rsid w:val="009F2D7E"/>
    <w:rsid w:val="009F3C08"/>
    <w:rsid w:val="009F6745"/>
    <w:rsid w:val="00A01C2A"/>
    <w:rsid w:val="00A0315F"/>
    <w:rsid w:val="00A0587B"/>
    <w:rsid w:val="00A05F82"/>
    <w:rsid w:val="00A069E0"/>
    <w:rsid w:val="00A06F53"/>
    <w:rsid w:val="00A0719D"/>
    <w:rsid w:val="00A0744E"/>
    <w:rsid w:val="00A11E40"/>
    <w:rsid w:val="00A13253"/>
    <w:rsid w:val="00A13471"/>
    <w:rsid w:val="00A13C48"/>
    <w:rsid w:val="00A13F77"/>
    <w:rsid w:val="00A1421A"/>
    <w:rsid w:val="00A15081"/>
    <w:rsid w:val="00A154F8"/>
    <w:rsid w:val="00A15DE9"/>
    <w:rsid w:val="00A16E25"/>
    <w:rsid w:val="00A17284"/>
    <w:rsid w:val="00A17947"/>
    <w:rsid w:val="00A26A4A"/>
    <w:rsid w:val="00A26CE9"/>
    <w:rsid w:val="00A301AB"/>
    <w:rsid w:val="00A302AC"/>
    <w:rsid w:val="00A30E00"/>
    <w:rsid w:val="00A30E49"/>
    <w:rsid w:val="00A33A24"/>
    <w:rsid w:val="00A33E74"/>
    <w:rsid w:val="00A34B65"/>
    <w:rsid w:val="00A353A7"/>
    <w:rsid w:val="00A403F6"/>
    <w:rsid w:val="00A407D9"/>
    <w:rsid w:val="00A40D60"/>
    <w:rsid w:val="00A4137D"/>
    <w:rsid w:val="00A41722"/>
    <w:rsid w:val="00A4173D"/>
    <w:rsid w:val="00A420E1"/>
    <w:rsid w:val="00A442AE"/>
    <w:rsid w:val="00A45479"/>
    <w:rsid w:val="00A45700"/>
    <w:rsid w:val="00A458AD"/>
    <w:rsid w:val="00A46A6F"/>
    <w:rsid w:val="00A4780C"/>
    <w:rsid w:val="00A47BC2"/>
    <w:rsid w:val="00A51523"/>
    <w:rsid w:val="00A518EF"/>
    <w:rsid w:val="00A52096"/>
    <w:rsid w:val="00A5348F"/>
    <w:rsid w:val="00A54902"/>
    <w:rsid w:val="00A54F12"/>
    <w:rsid w:val="00A56ADD"/>
    <w:rsid w:val="00A5768E"/>
    <w:rsid w:val="00A60402"/>
    <w:rsid w:val="00A60711"/>
    <w:rsid w:val="00A61E40"/>
    <w:rsid w:val="00A67CDB"/>
    <w:rsid w:val="00A67D49"/>
    <w:rsid w:val="00A73F23"/>
    <w:rsid w:val="00A7403D"/>
    <w:rsid w:val="00A74655"/>
    <w:rsid w:val="00A75B45"/>
    <w:rsid w:val="00A75DA0"/>
    <w:rsid w:val="00A77AEF"/>
    <w:rsid w:val="00A8024E"/>
    <w:rsid w:val="00A8119F"/>
    <w:rsid w:val="00A82737"/>
    <w:rsid w:val="00A82A51"/>
    <w:rsid w:val="00A84AB5"/>
    <w:rsid w:val="00A84BBB"/>
    <w:rsid w:val="00A85351"/>
    <w:rsid w:val="00A86022"/>
    <w:rsid w:val="00A8696D"/>
    <w:rsid w:val="00A929D6"/>
    <w:rsid w:val="00A931F4"/>
    <w:rsid w:val="00A95958"/>
    <w:rsid w:val="00AA06A4"/>
    <w:rsid w:val="00AA2585"/>
    <w:rsid w:val="00AA44CB"/>
    <w:rsid w:val="00AA4A62"/>
    <w:rsid w:val="00AA5911"/>
    <w:rsid w:val="00AA5984"/>
    <w:rsid w:val="00AA6B40"/>
    <w:rsid w:val="00AA71DF"/>
    <w:rsid w:val="00AB0BB3"/>
    <w:rsid w:val="00AB45FC"/>
    <w:rsid w:val="00AC1744"/>
    <w:rsid w:val="00AC1A86"/>
    <w:rsid w:val="00AC1B12"/>
    <w:rsid w:val="00AC2E19"/>
    <w:rsid w:val="00AC6994"/>
    <w:rsid w:val="00AC7927"/>
    <w:rsid w:val="00AD1E12"/>
    <w:rsid w:val="00AD2491"/>
    <w:rsid w:val="00AD2922"/>
    <w:rsid w:val="00AD31C8"/>
    <w:rsid w:val="00AD35FE"/>
    <w:rsid w:val="00AD4AEC"/>
    <w:rsid w:val="00AD6086"/>
    <w:rsid w:val="00AD72C1"/>
    <w:rsid w:val="00AE0BF7"/>
    <w:rsid w:val="00AE1B00"/>
    <w:rsid w:val="00AE2927"/>
    <w:rsid w:val="00AE29E6"/>
    <w:rsid w:val="00AE4861"/>
    <w:rsid w:val="00AE49B4"/>
    <w:rsid w:val="00AE5E2F"/>
    <w:rsid w:val="00AF010F"/>
    <w:rsid w:val="00AF1DFA"/>
    <w:rsid w:val="00AF3D2A"/>
    <w:rsid w:val="00AF500E"/>
    <w:rsid w:val="00AF7C1B"/>
    <w:rsid w:val="00B0025D"/>
    <w:rsid w:val="00B00359"/>
    <w:rsid w:val="00B03B6D"/>
    <w:rsid w:val="00B03DEB"/>
    <w:rsid w:val="00B06472"/>
    <w:rsid w:val="00B10142"/>
    <w:rsid w:val="00B1059B"/>
    <w:rsid w:val="00B1271A"/>
    <w:rsid w:val="00B129C5"/>
    <w:rsid w:val="00B143AC"/>
    <w:rsid w:val="00B15FC5"/>
    <w:rsid w:val="00B1703D"/>
    <w:rsid w:val="00B208EB"/>
    <w:rsid w:val="00B2096F"/>
    <w:rsid w:val="00B20D17"/>
    <w:rsid w:val="00B22878"/>
    <w:rsid w:val="00B23CE7"/>
    <w:rsid w:val="00B23E4B"/>
    <w:rsid w:val="00B2403E"/>
    <w:rsid w:val="00B24C58"/>
    <w:rsid w:val="00B25028"/>
    <w:rsid w:val="00B253C7"/>
    <w:rsid w:val="00B258BF"/>
    <w:rsid w:val="00B2759C"/>
    <w:rsid w:val="00B300E7"/>
    <w:rsid w:val="00B317BE"/>
    <w:rsid w:val="00B31D39"/>
    <w:rsid w:val="00B33796"/>
    <w:rsid w:val="00B36E4C"/>
    <w:rsid w:val="00B3717B"/>
    <w:rsid w:val="00B40B9E"/>
    <w:rsid w:val="00B44888"/>
    <w:rsid w:val="00B46DF9"/>
    <w:rsid w:val="00B46E97"/>
    <w:rsid w:val="00B47050"/>
    <w:rsid w:val="00B472A7"/>
    <w:rsid w:val="00B47E6F"/>
    <w:rsid w:val="00B47F17"/>
    <w:rsid w:val="00B51570"/>
    <w:rsid w:val="00B53211"/>
    <w:rsid w:val="00B53628"/>
    <w:rsid w:val="00B57B75"/>
    <w:rsid w:val="00B62444"/>
    <w:rsid w:val="00B624AD"/>
    <w:rsid w:val="00B62B06"/>
    <w:rsid w:val="00B64A1B"/>
    <w:rsid w:val="00B656E6"/>
    <w:rsid w:val="00B6573A"/>
    <w:rsid w:val="00B6695A"/>
    <w:rsid w:val="00B66CF2"/>
    <w:rsid w:val="00B71143"/>
    <w:rsid w:val="00B7144D"/>
    <w:rsid w:val="00B71FEF"/>
    <w:rsid w:val="00B738CE"/>
    <w:rsid w:val="00B7532E"/>
    <w:rsid w:val="00B76FE0"/>
    <w:rsid w:val="00B77DCB"/>
    <w:rsid w:val="00B81A3B"/>
    <w:rsid w:val="00B81A48"/>
    <w:rsid w:val="00B81B29"/>
    <w:rsid w:val="00B870D7"/>
    <w:rsid w:val="00B87E6C"/>
    <w:rsid w:val="00B87E7B"/>
    <w:rsid w:val="00B90584"/>
    <w:rsid w:val="00B912F3"/>
    <w:rsid w:val="00B919C3"/>
    <w:rsid w:val="00B928D3"/>
    <w:rsid w:val="00B94B6D"/>
    <w:rsid w:val="00B94F4E"/>
    <w:rsid w:val="00B950D5"/>
    <w:rsid w:val="00B9521D"/>
    <w:rsid w:val="00B97169"/>
    <w:rsid w:val="00B97AF1"/>
    <w:rsid w:val="00BA025A"/>
    <w:rsid w:val="00BA0443"/>
    <w:rsid w:val="00BA22EB"/>
    <w:rsid w:val="00BA2CD3"/>
    <w:rsid w:val="00BA4461"/>
    <w:rsid w:val="00BA470C"/>
    <w:rsid w:val="00BA79F3"/>
    <w:rsid w:val="00BB108A"/>
    <w:rsid w:val="00BB2690"/>
    <w:rsid w:val="00BB35EB"/>
    <w:rsid w:val="00BB3798"/>
    <w:rsid w:val="00BB6155"/>
    <w:rsid w:val="00BB7CC3"/>
    <w:rsid w:val="00BB7EC5"/>
    <w:rsid w:val="00BC08C2"/>
    <w:rsid w:val="00BC1619"/>
    <w:rsid w:val="00BC31B3"/>
    <w:rsid w:val="00BC4BCB"/>
    <w:rsid w:val="00BC4D6F"/>
    <w:rsid w:val="00BC5800"/>
    <w:rsid w:val="00BC7A7B"/>
    <w:rsid w:val="00BD2FC0"/>
    <w:rsid w:val="00BD3092"/>
    <w:rsid w:val="00BD3179"/>
    <w:rsid w:val="00BD3BC4"/>
    <w:rsid w:val="00BD553C"/>
    <w:rsid w:val="00BD60AB"/>
    <w:rsid w:val="00BE1040"/>
    <w:rsid w:val="00BE1DF8"/>
    <w:rsid w:val="00BE22A9"/>
    <w:rsid w:val="00BE4D64"/>
    <w:rsid w:val="00BE515B"/>
    <w:rsid w:val="00BF00E1"/>
    <w:rsid w:val="00BF1D34"/>
    <w:rsid w:val="00BF1E59"/>
    <w:rsid w:val="00BF3499"/>
    <w:rsid w:val="00BF511D"/>
    <w:rsid w:val="00BF5A1D"/>
    <w:rsid w:val="00BF5A34"/>
    <w:rsid w:val="00BF6BFE"/>
    <w:rsid w:val="00BF7F73"/>
    <w:rsid w:val="00C02B66"/>
    <w:rsid w:val="00C03CB5"/>
    <w:rsid w:val="00C04667"/>
    <w:rsid w:val="00C04BC8"/>
    <w:rsid w:val="00C04FF4"/>
    <w:rsid w:val="00C068A9"/>
    <w:rsid w:val="00C06DCB"/>
    <w:rsid w:val="00C0792D"/>
    <w:rsid w:val="00C130EC"/>
    <w:rsid w:val="00C13DC7"/>
    <w:rsid w:val="00C159A1"/>
    <w:rsid w:val="00C16743"/>
    <w:rsid w:val="00C20225"/>
    <w:rsid w:val="00C20505"/>
    <w:rsid w:val="00C20CE6"/>
    <w:rsid w:val="00C233D4"/>
    <w:rsid w:val="00C23F94"/>
    <w:rsid w:val="00C24885"/>
    <w:rsid w:val="00C26B69"/>
    <w:rsid w:val="00C279DD"/>
    <w:rsid w:val="00C32454"/>
    <w:rsid w:val="00C32EE3"/>
    <w:rsid w:val="00C33212"/>
    <w:rsid w:val="00C33C4C"/>
    <w:rsid w:val="00C34401"/>
    <w:rsid w:val="00C355A0"/>
    <w:rsid w:val="00C35FCA"/>
    <w:rsid w:val="00C36013"/>
    <w:rsid w:val="00C40A98"/>
    <w:rsid w:val="00C40FD0"/>
    <w:rsid w:val="00C41214"/>
    <w:rsid w:val="00C41D3F"/>
    <w:rsid w:val="00C41F05"/>
    <w:rsid w:val="00C44500"/>
    <w:rsid w:val="00C451BA"/>
    <w:rsid w:val="00C45586"/>
    <w:rsid w:val="00C5032B"/>
    <w:rsid w:val="00C509AE"/>
    <w:rsid w:val="00C5112A"/>
    <w:rsid w:val="00C52503"/>
    <w:rsid w:val="00C53D92"/>
    <w:rsid w:val="00C55866"/>
    <w:rsid w:val="00C56043"/>
    <w:rsid w:val="00C6227E"/>
    <w:rsid w:val="00C66489"/>
    <w:rsid w:val="00C674F5"/>
    <w:rsid w:val="00C71535"/>
    <w:rsid w:val="00C716A0"/>
    <w:rsid w:val="00C71730"/>
    <w:rsid w:val="00C72FC4"/>
    <w:rsid w:val="00C74345"/>
    <w:rsid w:val="00C749A9"/>
    <w:rsid w:val="00C749CD"/>
    <w:rsid w:val="00C75DA9"/>
    <w:rsid w:val="00C7649D"/>
    <w:rsid w:val="00C76A1D"/>
    <w:rsid w:val="00C7726C"/>
    <w:rsid w:val="00C80ADF"/>
    <w:rsid w:val="00C810F7"/>
    <w:rsid w:val="00C82248"/>
    <w:rsid w:val="00C82E0D"/>
    <w:rsid w:val="00C8324C"/>
    <w:rsid w:val="00C8500E"/>
    <w:rsid w:val="00C851A3"/>
    <w:rsid w:val="00C862D1"/>
    <w:rsid w:val="00C86441"/>
    <w:rsid w:val="00C87FD6"/>
    <w:rsid w:val="00C90013"/>
    <w:rsid w:val="00C903F2"/>
    <w:rsid w:val="00C90CC7"/>
    <w:rsid w:val="00C90D1D"/>
    <w:rsid w:val="00C90D38"/>
    <w:rsid w:val="00C91205"/>
    <w:rsid w:val="00C91395"/>
    <w:rsid w:val="00C93C2D"/>
    <w:rsid w:val="00CA16C5"/>
    <w:rsid w:val="00CA2378"/>
    <w:rsid w:val="00CA3917"/>
    <w:rsid w:val="00CA5647"/>
    <w:rsid w:val="00CA66D0"/>
    <w:rsid w:val="00CA6B48"/>
    <w:rsid w:val="00CA7790"/>
    <w:rsid w:val="00CB0A35"/>
    <w:rsid w:val="00CB302D"/>
    <w:rsid w:val="00CB3D54"/>
    <w:rsid w:val="00CB489E"/>
    <w:rsid w:val="00CB508D"/>
    <w:rsid w:val="00CB55AA"/>
    <w:rsid w:val="00CB6042"/>
    <w:rsid w:val="00CB6839"/>
    <w:rsid w:val="00CB6FCD"/>
    <w:rsid w:val="00CB7C25"/>
    <w:rsid w:val="00CB7D55"/>
    <w:rsid w:val="00CC02BC"/>
    <w:rsid w:val="00CC03C9"/>
    <w:rsid w:val="00CC1F80"/>
    <w:rsid w:val="00CC3BA5"/>
    <w:rsid w:val="00CC4C27"/>
    <w:rsid w:val="00CC69D8"/>
    <w:rsid w:val="00CC78FD"/>
    <w:rsid w:val="00CD0DB5"/>
    <w:rsid w:val="00CD3097"/>
    <w:rsid w:val="00CD3C53"/>
    <w:rsid w:val="00CD452B"/>
    <w:rsid w:val="00CD5A79"/>
    <w:rsid w:val="00CD67F6"/>
    <w:rsid w:val="00CD69B4"/>
    <w:rsid w:val="00CE0042"/>
    <w:rsid w:val="00CE24C7"/>
    <w:rsid w:val="00CE2E91"/>
    <w:rsid w:val="00CE50E6"/>
    <w:rsid w:val="00CE762C"/>
    <w:rsid w:val="00CF039B"/>
    <w:rsid w:val="00CF0EB5"/>
    <w:rsid w:val="00CF3AF9"/>
    <w:rsid w:val="00CF3ED2"/>
    <w:rsid w:val="00CF69C7"/>
    <w:rsid w:val="00CF6E0F"/>
    <w:rsid w:val="00CF71CD"/>
    <w:rsid w:val="00CF77E2"/>
    <w:rsid w:val="00D03574"/>
    <w:rsid w:val="00D06AEA"/>
    <w:rsid w:val="00D07094"/>
    <w:rsid w:val="00D10C9E"/>
    <w:rsid w:val="00D10DDA"/>
    <w:rsid w:val="00D12136"/>
    <w:rsid w:val="00D15417"/>
    <w:rsid w:val="00D16B63"/>
    <w:rsid w:val="00D2006A"/>
    <w:rsid w:val="00D2072C"/>
    <w:rsid w:val="00D217A6"/>
    <w:rsid w:val="00D22605"/>
    <w:rsid w:val="00D247B6"/>
    <w:rsid w:val="00D25093"/>
    <w:rsid w:val="00D26E7C"/>
    <w:rsid w:val="00D318BD"/>
    <w:rsid w:val="00D32438"/>
    <w:rsid w:val="00D3248B"/>
    <w:rsid w:val="00D327ED"/>
    <w:rsid w:val="00D32D1A"/>
    <w:rsid w:val="00D32F3F"/>
    <w:rsid w:val="00D36759"/>
    <w:rsid w:val="00D37BF6"/>
    <w:rsid w:val="00D40008"/>
    <w:rsid w:val="00D40597"/>
    <w:rsid w:val="00D409B0"/>
    <w:rsid w:val="00D420DA"/>
    <w:rsid w:val="00D42EDB"/>
    <w:rsid w:val="00D43C10"/>
    <w:rsid w:val="00D43FC5"/>
    <w:rsid w:val="00D50631"/>
    <w:rsid w:val="00D51AFF"/>
    <w:rsid w:val="00D51E04"/>
    <w:rsid w:val="00D51EF1"/>
    <w:rsid w:val="00D52A86"/>
    <w:rsid w:val="00D53395"/>
    <w:rsid w:val="00D53C3C"/>
    <w:rsid w:val="00D5451B"/>
    <w:rsid w:val="00D54732"/>
    <w:rsid w:val="00D55137"/>
    <w:rsid w:val="00D56497"/>
    <w:rsid w:val="00D574E0"/>
    <w:rsid w:val="00D61580"/>
    <w:rsid w:val="00D62F54"/>
    <w:rsid w:val="00D63D09"/>
    <w:rsid w:val="00D64B69"/>
    <w:rsid w:val="00D64FA7"/>
    <w:rsid w:val="00D65672"/>
    <w:rsid w:val="00D66554"/>
    <w:rsid w:val="00D66AF6"/>
    <w:rsid w:val="00D6791A"/>
    <w:rsid w:val="00D67B03"/>
    <w:rsid w:val="00D714C2"/>
    <w:rsid w:val="00D7185E"/>
    <w:rsid w:val="00D75F58"/>
    <w:rsid w:val="00D76714"/>
    <w:rsid w:val="00D7679E"/>
    <w:rsid w:val="00D778BF"/>
    <w:rsid w:val="00D77E29"/>
    <w:rsid w:val="00D80D5D"/>
    <w:rsid w:val="00D830C4"/>
    <w:rsid w:val="00D83BF4"/>
    <w:rsid w:val="00D84D5B"/>
    <w:rsid w:val="00D85D45"/>
    <w:rsid w:val="00D87B7F"/>
    <w:rsid w:val="00D9006E"/>
    <w:rsid w:val="00D92B9B"/>
    <w:rsid w:val="00D93C09"/>
    <w:rsid w:val="00D940F2"/>
    <w:rsid w:val="00D949D8"/>
    <w:rsid w:val="00D95F8F"/>
    <w:rsid w:val="00D97A83"/>
    <w:rsid w:val="00DA243B"/>
    <w:rsid w:val="00DA30C4"/>
    <w:rsid w:val="00DA36C0"/>
    <w:rsid w:val="00DA738D"/>
    <w:rsid w:val="00DA76A0"/>
    <w:rsid w:val="00DA79DC"/>
    <w:rsid w:val="00DA7B33"/>
    <w:rsid w:val="00DB0FEB"/>
    <w:rsid w:val="00DB2394"/>
    <w:rsid w:val="00DB2CAD"/>
    <w:rsid w:val="00DB4345"/>
    <w:rsid w:val="00DB47A4"/>
    <w:rsid w:val="00DB672A"/>
    <w:rsid w:val="00DC00D6"/>
    <w:rsid w:val="00DC443D"/>
    <w:rsid w:val="00DC4540"/>
    <w:rsid w:val="00DC46D1"/>
    <w:rsid w:val="00DC4E4C"/>
    <w:rsid w:val="00DC585F"/>
    <w:rsid w:val="00DD222B"/>
    <w:rsid w:val="00DD270C"/>
    <w:rsid w:val="00DD3D53"/>
    <w:rsid w:val="00DD5FF6"/>
    <w:rsid w:val="00DD6264"/>
    <w:rsid w:val="00DE0694"/>
    <w:rsid w:val="00DE0DAD"/>
    <w:rsid w:val="00DE35F3"/>
    <w:rsid w:val="00DE4CC2"/>
    <w:rsid w:val="00DF01FE"/>
    <w:rsid w:val="00DF268F"/>
    <w:rsid w:val="00DF2B77"/>
    <w:rsid w:val="00DF2D6D"/>
    <w:rsid w:val="00DF4041"/>
    <w:rsid w:val="00DF6BFD"/>
    <w:rsid w:val="00E02D98"/>
    <w:rsid w:val="00E035FA"/>
    <w:rsid w:val="00E03DCD"/>
    <w:rsid w:val="00E058DD"/>
    <w:rsid w:val="00E07361"/>
    <w:rsid w:val="00E07CEF"/>
    <w:rsid w:val="00E149ED"/>
    <w:rsid w:val="00E16E88"/>
    <w:rsid w:val="00E172AD"/>
    <w:rsid w:val="00E175BD"/>
    <w:rsid w:val="00E17B75"/>
    <w:rsid w:val="00E21239"/>
    <w:rsid w:val="00E21C65"/>
    <w:rsid w:val="00E21D04"/>
    <w:rsid w:val="00E22F39"/>
    <w:rsid w:val="00E24989"/>
    <w:rsid w:val="00E2618E"/>
    <w:rsid w:val="00E26192"/>
    <w:rsid w:val="00E26698"/>
    <w:rsid w:val="00E2739F"/>
    <w:rsid w:val="00E278FD"/>
    <w:rsid w:val="00E27C84"/>
    <w:rsid w:val="00E303C5"/>
    <w:rsid w:val="00E30DDE"/>
    <w:rsid w:val="00E31D6D"/>
    <w:rsid w:val="00E32239"/>
    <w:rsid w:val="00E338E2"/>
    <w:rsid w:val="00E372E7"/>
    <w:rsid w:val="00E41DA5"/>
    <w:rsid w:val="00E43136"/>
    <w:rsid w:val="00E4325E"/>
    <w:rsid w:val="00E432D8"/>
    <w:rsid w:val="00E43433"/>
    <w:rsid w:val="00E43978"/>
    <w:rsid w:val="00E43D4D"/>
    <w:rsid w:val="00E4610A"/>
    <w:rsid w:val="00E4687F"/>
    <w:rsid w:val="00E510D5"/>
    <w:rsid w:val="00E51509"/>
    <w:rsid w:val="00E52447"/>
    <w:rsid w:val="00E52A79"/>
    <w:rsid w:val="00E55568"/>
    <w:rsid w:val="00E605C6"/>
    <w:rsid w:val="00E62698"/>
    <w:rsid w:val="00E62AF3"/>
    <w:rsid w:val="00E65D92"/>
    <w:rsid w:val="00E665E8"/>
    <w:rsid w:val="00E66C7F"/>
    <w:rsid w:val="00E71FA7"/>
    <w:rsid w:val="00E72520"/>
    <w:rsid w:val="00E735FF"/>
    <w:rsid w:val="00E73D2B"/>
    <w:rsid w:val="00E776AA"/>
    <w:rsid w:val="00E80CD7"/>
    <w:rsid w:val="00E81497"/>
    <w:rsid w:val="00E832F8"/>
    <w:rsid w:val="00E8422E"/>
    <w:rsid w:val="00E847C1"/>
    <w:rsid w:val="00E84FDB"/>
    <w:rsid w:val="00E8699D"/>
    <w:rsid w:val="00E86C36"/>
    <w:rsid w:val="00E86CBB"/>
    <w:rsid w:val="00E87517"/>
    <w:rsid w:val="00E87ABF"/>
    <w:rsid w:val="00E9125C"/>
    <w:rsid w:val="00E939EA"/>
    <w:rsid w:val="00E94A80"/>
    <w:rsid w:val="00E956A8"/>
    <w:rsid w:val="00EA007E"/>
    <w:rsid w:val="00EA2F0B"/>
    <w:rsid w:val="00EA3D98"/>
    <w:rsid w:val="00EA7C74"/>
    <w:rsid w:val="00EB0741"/>
    <w:rsid w:val="00EB3803"/>
    <w:rsid w:val="00EB397B"/>
    <w:rsid w:val="00EB3A92"/>
    <w:rsid w:val="00EB3C86"/>
    <w:rsid w:val="00EB4461"/>
    <w:rsid w:val="00EB75B8"/>
    <w:rsid w:val="00EC1570"/>
    <w:rsid w:val="00EC2078"/>
    <w:rsid w:val="00EC35D4"/>
    <w:rsid w:val="00EC3C66"/>
    <w:rsid w:val="00EC6614"/>
    <w:rsid w:val="00EC69AF"/>
    <w:rsid w:val="00EC714E"/>
    <w:rsid w:val="00ED114D"/>
    <w:rsid w:val="00ED2143"/>
    <w:rsid w:val="00ED2DA0"/>
    <w:rsid w:val="00ED2FA5"/>
    <w:rsid w:val="00ED3D34"/>
    <w:rsid w:val="00ED4468"/>
    <w:rsid w:val="00ED58FE"/>
    <w:rsid w:val="00ED720E"/>
    <w:rsid w:val="00EE0D35"/>
    <w:rsid w:val="00EE1432"/>
    <w:rsid w:val="00EE5391"/>
    <w:rsid w:val="00EE59C6"/>
    <w:rsid w:val="00EE6042"/>
    <w:rsid w:val="00EE612B"/>
    <w:rsid w:val="00EE735B"/>
    <w:rsid w:val="00EE7613"/>
    <w:rsid w:val="00EF0A98"/>
    <w:rsid w:val="00EF2E9F"/>
    <w:rsid w:val="00EF3A77"/>
    <w:rsid w:val="00EF5CEA"/>
    <w:rsid w:val="00EF6619"/>
    <w:rsid w:val="00EF77D0"/>
    <w:rsid w:val="00EF7B82"/>
    <w:rsid w:val="00F004D5"/>
    <w:rsid w:val="00F02C42"/>
    <w:rsid w:val="00F03F4F"/>
    <w:rsid w:val="00F07135"/>
    <w:rsid w:val="00F10445"/>
    <w:rsid w:val="00F11BE0"/>
    <w:rsid w:val="00F15180"/>
    <w:rsid w:val="00F15FA8"/>
    <w:rsid w:val="00F179A0"/>
    <w:rsid w:val="00F21AAA"/>
    <w:rsid w:val="00F23F02"/>
    <w:rsid w:val="00F245B2"/>
    <w:rsid w:val="00F25316"/>
    <w:rsid w:val="00F2777E"/>
    <w:rsid w:val="00F31E17"/>
    <w:rsid w:val="00F34A91"/>
    <w:rsid w:val="00F35915"/>
    <w:rsid w:val="00F35E3E"/>
    <w:rsid w:val="00F36560"/>
    <w:rsid w:val="00F3657B"/>
    <w:rsid w:val="00F43191"/>
    <w:rsid w:val="00F43CB1"/>
    <w:rsid w:val="00F43DCF"/>
    <w:rsid w:val="00F44CCD"/>
    <w:rsid w:val="00F44CDC"/>
    <w:rsid w:val="00F4749F"/>
    <w:rsid w:val="00F47897"/>
    <w:rsid w:val="00F50700"/>
    <w:rsid w:val="00F521AE"/>
    <w:rsid w:val="00F52386"/>
    <w:rsid w:val="00F52797"/>
    <w:rsid w:val="00F52CFE"/>
    <w:rsid w:val="00F53119"/>
    <w:rsid w:val="00F53CF2"/>
    <w:rsid w:val="00F53D5C"/>
    <w:rsid w:val="00F548A4"/>
    <w:rsid w:val="00F56E34"/>
    <w:rsid w:val="00F60054"/>
    <w:rsid w:val="00F60554"/>
    <w:rsid w:val="00F6072B"/>
    <w:rsid w:val="00F60737"/>
    <w:rsid w:val="00F61DAA"/>
    <w:rsid w:val="00F621D6"/>
    <w:rsid w:val="00F63FF6"/>
    <w:rsid w:val="00F64255"/>
    <w:rsid w:val="00F648DB"/>
    <w:rsid w:val="00F64B7B"/>
    <w:rsid w:val="00F66C61"/>
    <w:rsid w:val="00F67E5B"/>
    <w:rsid w:val="00F72597"/>
    <w:rsid w:val="00F73654"/>
    <w:rsid w:val="00F7637E"/>
    <w:rsid w:val="00F81980"/>
    <w:rsid w:val="00F85B5A"/>
    <w:rsid w:val="00F86DB7"/>
    <w:rsid w:val="00F90D72"/>
    <w:rsid w:val="00F91BE5"/>
    <w:rsid w:val="00F92BE7"/>
    <w:rsid w:val="00F97907"/>
    <w:rsid w:val="00F97CEA"/>
    <w:rsid w:val="00FA0078"/>
    <w:rsid w:val="00FA06FF"/>
    <w:rsid w:val="00FA2834"/>
    <w:rsid w:val="00FA313C"/>
    <w:rsid w:val="00FA34CB"/>
    <w:rsid w:val="00FA382B"/>
    <w:rsid w:val="00FA3958"/>
    <w:rsid w:val="00FA3E24"/>
    <w:rsid w:val="00FA4843"/>
    <w:rsid w:val="00FA5E0E"/>
    <w:rsid w:val="00FA7C5E"/>
    <w:rsid w:val="00FB11B0"/>
    <w:rsid w:val="00FB1F67"/>
    <w:rsid w:val="00FB2E1D"/>
    <w:rsid w:val="00FB565E"/>
    <w:rsid w:val="00FB6A98"/>
    <w:rsid w:val="00FB71FC"/>
    <w:rsid w:val="00FC0A72"/>
    <w:rsid w:val="00FC2202"/>
    <w:rsid w:val="00FC3612"/>
    <w:rsid w:val="00FC4A9D"/>
    <w:rsid w:val="00FC61A1"/>
    <w:rsid w:val="00FC639A"/>
    <w:rsid w:val="00FC6559"/>
    <w:rsid w:val="00FD1774"/>
    <w:rsid w:val="00FD2F01"/>
    <w:rsid w:val="00FD3F1F"/>
    <w:rsid w:val="00FD3FE9"/>
    <w:rsid w:val="00FD4577"/>
    <w:rsid w:val="00FD4EC8"/>
    <w:rsid w:val="00FD6B6D"/>
    <w:rsid w:val="00FD77E6"/>
    <w:rsid w:val="00FD7A1C"/>
    <w:rsid w:val="00FD7D0B"/>
    <w:rsid w:val="00FE0E3B"/>
    <w:rsid w:val="00FE268A"/>
    <w:rsid w:val="00FE428A"/>
    <w:rsid w:val="00FE4D77"/>
    <w:rsid w:val="00FE53FE"/>
    <w:rsid w:val="00FE5567"/>
    <w:rsid w:val="00FE6B6E"/>
    <w:rsid w:val="00FF0B3C"/>
    <w:rsid w:val="00FF5026"/>
    <w:rsid w:val="00FF537B"/>
    <w:rsid w:val="00FF61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637ADE0"/>
  <w15:chartTrackingRefBased/>
  <w15:docId w15:val="{8A57883C-D30A-4D1C-9AE5-0ACE529C41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31E7"/>
  </w:style>
  <w:style w:type="paragraph" w:styleId="Heading1">
    <w:name w:val="heading 1"/>
    <w:basedOn w:val="Normal"/>
    <w:next w:val="Normal"/>
    <w:link w:val="Heading1Char"/>
    <w:uiPriority w:val="9"/>
    <w:qFormat/>
    <w:rsid w:val="002E31E7"/>
    <w:pPr>
      <w:keepNext/>
      <w:keepLines/>
      <w:spacing w:before="240" w:after="0"/>
      <w:outlineLvl w:val="0"/>
    </w:pPr>
    <w:rPr>
      <w:rFonts w:asciiTheme="majorHAnsi" w:eastAsiaTheme="majorEastAsia" w:hAnsiTheme="majorHAnsi" w:cstheme="majorBidi"/>
      <w:color w:val="374C80" w:themeColor="accent1" w:themeShade="BF"/>
      <w:sz w:val="32"/>
      <w:szCs w:val="32"/>
    </w:rPr>
  </w:style>
  <w:style w:type="paragraph" w:styleId="Heading2">
    <w:name w:val="heading 2"/>
    <w:basedOn w:val="Normal"/>
    <w:next w:val="Normal"/>
    <w:link w:val="Heading2Char"/>
    <w:uiPriority w:val="9"/>
    <w:unhideWhenUsed/>
    <w:qFormat/>
    <w:rsid w:val="002E31E7"/>
    <w:pPr>
      <w:keepNext/>
      <w:keepLines/>
      <w:spacing w:before="40" w:after="0"/>
      <w:outlineLvl w:val="1"/>
    </w:pPr>
    <w:rPr>
      <w:rFonts w:asciiTheme="majorHAnsi" w:eastAsiaTheme="majorEastAsia" w:hAnsiTheme="majorHAnsi" w:cstheme="majorBidi"/>
      <w:color w:val="374C80" w:themeColor="accent1" w:themeShade="BF"/>
      <w:sz w:val="28"/>
      <w:szCs w:val="28"/>
    </w:rPr>
  </w:style>
  <w:style w:type="paragraph" w:styleId="Heading3">
    <w:name w:val="heading 3"/>
    <w:basedOn w:val="Normal"/>
    <w:next w:val="Normal"/>
    <w:link w:val="Heading3Char"/>
    <w:unhideWhenUsed/>
    <w:qFormat/>
    <w:rsid w:val="002E31E7"/>
    <w:pPr>
      <w:keepNext/>
      <w:keepLines/>
      <w:spacing w:before="40" w:after="0"/>
      <w:outlineLvl w:val="2"/>
    </w:pPr>
    <w:rPr>
      <w:rFonts w:asciiTheme="majorHAnsi" w:eastAsiaTheme="majorEastAsia" w:hAnsiTheme="majorHAnsi" w:cstheme="majorBidi"/>
      <w:color w:val="253356" w:themeColor="accent1" w:themeShade="80"/>
      <w:sz w:val="24"/>
      <w:szCs w:val="24"/>
    </w:rPr>
  </w:style>
  <w:style w:type="paragraph" w:styleId="Heading4">
    <w:name w:val="heading 4"/>
    <w:basedOn w:val="Normal"/>
    <w:next w:val="Normal"/>
    <w:link w:val="Heading4Char"/>
    <w:uiPriority w:val="9"/>
    <w:unhideWhenUsed/>
    <w:qFormat/>
    <w:rsid w:val="002E31E7"/>
    <w:pPr>
      <w:keepNext/>
      <w:keepLines/>
      <w:spacing w:before="40" w:after="0"/>
      <w:outlineLvl w:val="3"/>
    </w:pPr>
    <w:rPr>
      <w:i/>
      <w:iCs/>
    </w:rPr>
  </w:style>
  <w:style w:type="paragraph" w:styleId="Heading5">
    <w:name w:val="heading 5"/>
    <w:basedOn w:val="Normal"/>
    <w:next w:val="Normal"/>
    <w:link w:val="Heading5Char"/>
    <w:uiPriority w:val="9"/>
    <w:unhideWhenUsed/>
    <w:qFormat/>
    <w:rsid w:val="002E31E7"/>
    <w:pPr>
      <w:keepNext/>
      <w:keepLines/>
      <w:spacing w:before="40" w:after="0"/>
      <w:outlineLvl w:val="4"/>
    </w:pPr>
    <w:rPr>
      <w:color w:val="374C80" w:themeColor="accent1" w:themeShade="BF"/>
    </w:rPr>
  </w:style>
  <w:style w:type="paragraph" w:styleId="Heading6">
    <w:name w:val="heading 6"/>
    <w:basedOn w:val="Normal"/>
    <w:next w:val="Normal"/>
    <w:link w:val="Heading6Char"/>
    <w:uiPriority w:val="9"/>
    <w:semiHidden/>
    <w:unhideWhenUsed/>
    <w:qFormat/>
    <w:rsid w:val="002E31E7"/>
    <w:pPr>
      <w:keepNext/>
      <w:keepLines/>
      <w:spacing w:before="40" w:after="0"/>
      <w:outlineLvl w:val="5"/>
    </w:pPr>
    <w:rPr>
      <w:color w:val="253356" w:themeColor="accent1" w:themeShade="80"/>
    </w:rPr>
  </w:style>
  <w:style w:type="paragraph" w:styleId="Heading7">
    <w:name w:val="heading 7"/>
    <w:basedOn w:val="Normal"/>
    <w:next w:val="Normal"/>
    <w:link w:val="Heading7Char"/>
    <w:uiPriority w:val="9"/>
    <w:semiHidden/>
    <w:unhideWhenUsed/>
    <w:qFormat/>
    <w:rsid w:val="002E31E7"/>
    <w:pPr>
      <w:keepNext/>
      <w:keepLines/>
      <w:spacing w:before="40" w:after="0"/>
      <w:outlineLvl w:val="6"/>
    </w:pPr>
    <w:rPr>
      <w:rFonts w:asciiTheme="majorHAnsi" w:eastAsiaTheme="majorEastAsia" w:hAnsiTheme="majorHAnsi" w:cstheme="majorBidi"/>
      <w:i/>
      <w:iCs/>
      <w:color w:val="253356" w:themeColor="accent1" w:themeShade="80"/>
    </w:rPr>
  </w:style>
  <w:style w:type="paragraph" w:styleId="Heading8">
    <w:name w:val="heading 8"/>
    <w:basedOn w:val="Normal"/>
    <w:next w:val="Normal"/>
    <w:link w:val="Heading8Char"/>
    <w:uiPriority w:val="9"/>
    <w:semiHidden/>
    <w:unhideWhenUsed/>
    <w:qFormat/>
    <w:rsid w:val="002E31E7"/>
    <w:pPr>
      <w:keepNext/>
      <w:keepLines/>
      <w:spacing w:before="40" w:after="0"/>
      <w:outlineLvl w:val="7"/>
    </w:pPr>
    <w:rPr>
      <w:color w:val="262626" w:themeColor="text1" w:themeTint="D9"/>
      <w:sz w:val="21"/>
      <w:szCs w:val="21"/>
    </w:rPr>
  </w:style>
  <w:style w:type="paragraph" w:styleId="Heading9">
    <w:name w:val="heading 9"/>
    <w:basedOn w:val="Normal"/>
    <w:next w:val="Normal"/>
    <w:link w:val="Heading9Char"/>
    <w:uiPriority w:val="9"/>
    <w:semiHidden/>
    <w:unhideWhenUsed/>
    <w:qFormat/>
    <w:rsid w:val="002E31E7"/>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D3F1F"/>
    <w:pPr>
      <w:tabs>
        <w:tab w:val="center" w:pos="4536"/>
        <w:tab w:val="right" w:pos="9072"/>
      </w:tabs>
      <w:spacing w:after="0" w:line="240" w:lineRule="auto"/>
    </w:pPr>
  </w:style>
  <w:style w:type="character" w:customStyle="1" w:styleId="HeaderChar">
    <w:name w:val="Header Char"/>
    <w:basedOn w:val="DefaultParagraphFont"/>
    <w:link w:val="Header"/>
    <w:uiPriority w:val="99"/>
    <w:rsid w:val="00FD3F1F"/>
  </w:style>
  <w:style w:type="paragraph" w:styleId="Footer">
    <w:name w:val="footer"/>
    <w:basedOn w:val="Normal"/>
    <w:link w:val="FooterChar"/>
    <w:uiPriority w:val="99"/>
    <w:unhideWhenUsed/>
    <w:rsid w:val="00FD3F1F"/>
    <w:pPr>
      <w:tabs>
        <w:tab w:val="center" w:pos="4536"/>
        <w:tab w:val="right" w:pos="9072"/>
      </w:tabs>
      <w:spacing w:after="0" w:line="240" w:lineRule="auto"/>
    </w:pPr>
  </w:style>
  <w:style w:type="character" w:customStyle="1" w:styleId="FooterChar">
    <w:name w:val="Footer Char"/>
    <w:basedOn w:val="DefaultParagraphFont"/>
    <w:link w:val="Footer"/>
    <w:uiPriority w:val="99"/>
    <w:rsid w:val="00FD3F1F"/>
  </w:style>
  <w:style w:type="character" w:customStyle="1" w:styleId="Heading1Char">
    <w:name w:val="Heading 1 Char"/>
    <w:basedOn w:val="DefaultParagraphFont"/>
    <w:link w:val="Heading1"/>
    <w:uiPriority w:val="9"/>
    <w:rsid w:val="002E31E7"/>
    <w:rPr>
      <w:rFonts w:asciiTheme="majorHAnsi" w:eastAsiaTheme="majorEastAsia" w:hAnsiTheme="majorHAnsi" w:cstheme="majorBidi"/>
      <w:color w:val="374C80" w:themeColor="accent1" w:themeShade="BF"/>
      <w:sz w:val="32"/>
      <w:szCs w:val="32"/>
    </w:rPr>
  </w:style>
  <w:style w:type="paragraph" w:styleId="ListParagraph">
    <w:name w:val="List Paragraph"/>
    <w:aliases w:val="Normal List,Endnote,Indent,bullet2,ПАРАГРАФ,List1,List Paragraph1,Numbered list,Medium Grid 1 - Accent 21"/>
    <w:basedOn w:val="Normal"/>
    <w:link w:val="ListParagraphChar"/>
    <w:uiPriority w:val="34"/>
    <w:qFormat/>
    <w:rsid w:val="000F6685"/>
    <w:pPr>
      <w:ind w:left="720"/>
      <w:contextualSpacing/>
    </w:pPr>
  </w:style>
  <w:style w:type="paragraph" w:styleId="TOC1">
    <w:name w:val="toc 1"/>
    <w:basedOn w:val="Normal"/>
    <w:next w:val="Normal"/>
    <w:autoRedefine/>
    <w:uiPriority w:val="39"/>
    <w:unhideWhenUsed/>
    <w:rsid w:val="0010695E"/>
    <w:pPr>
      <w:tabs>
        <w:tab w:val="left" w:pos="880"/>
        <w:tab w:val="left" w:pos="1320"/>
        <w:tab w:val="right" w:leader="dot" w:pos="9074"/>
      </w:tabs>
      <w:spacing w:before="120" w:after="120" w:line="240" w:lineRule="auto"/>
      <w:ind w:left="720"/>
      <w:jc w:val="both"/>
    </w:pPr>
    <w:rPr>
      <w:rFonts w:ascii="Verdana" w:eastAsia="Calibri" w:hAnsi="Verdana" w:cs="Calibri"/>
      <w:i/>
      <w:iCs/>
      <w:noProof/>
      <w:sz w:val="20"/>
      <w:szCs w:val="20"/>
      <w:lang w:val="bg-BG"/>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style>
  <w:style w:type="character" w:styleId="Hyperlink">
    <w:name w:val="Hyperlink"/>
    <w:basedOn w:val="DefaultParagraphFont"/>
    <w:uiPriority w:val="99"/>
    <w:unhideWhenUsed/>
    <w:rsid w:val="00493CC1"/>
    <w:rPr>
      <w:color w:val="9454C3" w:themeColor="hyperlink"/>
      <w:u w:val="single"/>
    </w:rPr>
  </w:style>
  <w:style w:type="character" w:customStyle="1" w:styleId="Heading2Char">
    <w:name w:val="Heading 2 Char"/>
    <w:basedOn w:val="DefaultParagraphFont"/>
    <w:link w:val="Heading2"/>
    <w:uiPriority w:val="9"/>
    <w:rsid w:val="002E31E7"/>
    <w:rPr>
      <w:rFonts w:asciiTheme="majorHAnsi" w:eastAsiaTheme="majorEastAsia" w:hAnsiTheme="majorHAnsi" w:cstheme="majorBidi"/>
      <w:color w:val="374C80" w:themeColor="accent1" w:themeShade="BF"/>
      <w:sz w:val="28"/>
      <w:szCs w:val="28"/>
    </w:rPr>
  </w:style>
  <w:style w:type="table" w:styleId="ListTable3-Accent1">
    <w:name w:val="List Table 3 Accent 1"/>
    <w:basedOn w:val="TableNormal"/>
    <w:uiPriority w:val="48"/>
    <w:rsid w:val="008C5B46"/>
    <w:pPr>
      <w:spacing w:after="0" w:line="240" w:lineRule="auto"/>
    </w:pPr>
    <w:rPr>
      <w:lang w:val="bg-BG"/>
    </w:rPr>
    <w:tblPr>
      <w:tblStyleRowBandSize w:val="1"/>
      <w:tblStyleColBandSize w:val="1"/>
      <w:tblBorders>
        <w:top w:val="single" w:sz="4" w:space="0" w:color="4A66AC" w:themeColor="accent1"/>
        <w:left w:val="single" w:sz="4" w:space="0" w:color="4A66AC" w:themeColor="accent1"/>
        <w:bottom w:val="single" w:sz="4" w:space="0" w:color="4A66AC" w:themeColor="accent1"/>
        <w:right w:val="single" w:sz="4" w:space="0" w:color="4A66AC" w:themeColor="accent1"/>
      </w:tblBorders>
    </w:tblPr>
    <w:tblStylePr w:type="firstRow">
      <w:rPr>
        <w:b/>
        <w:bCs/>
        <w:color w:val="FFFFFF" w:themeColor="background1"/>
      </w:rPr>
      <w:tblPr/>
      <w:tcPr>
        <w:shd w:val="clear" w:color="auto" w:fill="4A66AC" w:themeFill="accent1"/>
      </w:tcPr>
    </w:tblStylePr>
    <w:tblStylePr w:type="lastRow">
      <w:rPr>
        <w:b/>
        <w:bCs/>
      </w:rPr>
      <w:tblPr/>
      <w:tcPr>
        <w:tcBorders>
          <w:top w:val="double" w:sz="4" w:space="0" w:color="4A66AC"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A66AC" w:themeColor="accent1"/>
          <w:right w:val="single" w:sz="4" w:space="0" w:color="4A66AC" w:themeColor="accent1"/>
        </w:tcBorders>
      </w:tcPr>
    </w:tblStylePr>
    <w:tblStylePr w:type="band1Horz">
      <w:tblPr/>
      <w:tcPr>
        <w:tcBorders>
          <w:top w:val="single" w:sz="4" w:space="0" w:color="4A66AC" w:themeColor="accent1"/>
          <w:bottom w:val="single" w:sz="4" w:space="0" w:color="4A66AC"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A66AC" w:themeColor="accent1"/>
          <w:left w:val="nil"/>
        </w:tcBorders>
      </w:tcPr>
    </w:tblStylePr>
    <w:tblStylePr w:type="swCell">
      <w:tblPr/>
      <w:tcPr>
        <w:tcBorders>
          <w:top w:val="double" w:sz="4" w:space="0" w:color="4A66AC" w:themeColor="accent1"/>
          <w:right w:val="nil"/>
        </w:tcBorders>
      </w:tcPr>
    </w:tblStylePr>
  </w:style>
  <w:style w:type="table" w:styleId="TableGrid">
    <w:name w:val="Table Grid"/>
    <w:basedOn w:val="TableNormal"/>
    <w:uiPriority w:val="39"/>
    <w:rsid w:val="003439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3-Accent3">
    <w:name w:val="Grid Table 3 Accent 3"/>
    <w:basedOn w:val="TableNormal"/>
    <w:uiPriority w:val="48"/>
    <w:rsid w:val="007502B1"/>
    <w:pPr>
      <w:spacing w:after="0" w:line="240" w:lineRule="auto"/>
    </w:pPr>
    <w:tblPr>
      <w:tblStyleRowBandSize w:val="1"/>
      <w:tblStyleColBandSize w:val="1"/>
      <w:tblBorders>
        <w:top w:val="single" w:sz="4" w:space="0" w:color="7EB1E6" w:themeColor="accent3" w:themeTint="99"/>
        <w:left w:val="single" w:sz="4" w:space="0" w:color="7EB1E6" w:themeColor="accent3" w:themeTint="99"/>
        <w:bottom w:val="single" w:sz="4" w:space="0" w:color="7EB1E6" w:themeColor="accent3" w:themeTint="99"/>
        <w:right w:val="single" w:sz="4" w:space="0" w:color="7EB1E6" w:themeColor="accent3" w:themeTint="99"/>
        <w:insideH w:val="single" w:sz="4" w:space="0" w:color="7EB1E6" w:themeColor="accent3" w:themeTint="99"/>
        <w:insideV w:val="single" w:sz="4" w:space="0" w:color="7EB1E6"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3E5F6" w:themeFill="accent3" w:themeFillTint="33"/>
      </w:tcPr>
    </w:tblStylePr>
    <w:tblStylePr w:type="band1Horz">
      <w:tblPr/>
      <w:tcPr>
        <w:shd w:val="clear" w:color="auto" w:fill="D3E5F6" w:themeFill="accent3" w:themeFillTint="33"/>
      </w:tcPr>
    </w:tblStylePr>
    <w:tblStylePr w:type="neCell">
      <w:tblPr/>
      <w:tcPr>
        <w:tcBorders>
          <w:bottom w:val="single" w:sz="4" w:space="0" w:color="7EB1E6" w:themeColor="accent3" w:themeTint="99"/>
        </w:tcBorders>
      </w:tcPr>
    </w:tblStylePr>
    <w:tblStylePr w:type="nwCell">
      <w:tblPr/>
      <w:tcPr>
        <w:tcBorders>
          <w:bottom w:val="single" w:sz="4" w:space="0" w:color="7EB1E6" w:themeColor="accent3" w:themeTint="99"/>
        </w:tcBorders>
      </w:tcPr>
    </w:tblStylePr>
    <w:tblStylePr w:type="seCell">
      <w:tblPr/>
      <w:tcPr>
        <w:tcBorders>
          <w:top w:val="single" w:sz="4" w:space="0" w:color="7EB1E6" w:themeColor="accent3" w:themeTint="99"/>
        </w:tcBorders>
      </w:tcPr>
    </w:tblStylePr>
    <w:tblStylePr w:type="swCell">
      <w:tblPr/>
      <w:tcPr>
        <w:tcBorders>
          <w:top w:val="single" w:sz="4" w:space="0" w:color="7EB1E6" w:themeColor="accent3" w:themeTint="99"/>
        </w:tcBorders>
      </w:tcPr>
    </w:tblStylePr>
  </w:style>
  <w:style w:type="table" w:styleId="GridTable6Colorful-Accent3">
    <w:name w:val="Grid Table 6 Colorful Accent 3"/>
    <w:basedOn w:val="TableNormal"/>
    <w:uiPriority w:val="51"/>
    <w:rsid w:val="007502B1"/>
    <w:pPr>
      <w:spacing w:after="0" w:line="240" w:lineRule="auto"/>
    </w:pPr>
    <w:rPr>
      <w:color w:val="1E5E9F" w:themeColor="accent3" w:themeShade="BF"/>
    </w:rPr>
    <w:tblPr>
      <w:tblStyleRowBandSize w:val="1"/>
      <w:tblStyleColBandSize w:val="1"/>
      <w:tblBorders>
        <w:top w:val="single" w:sz="4" w:space="0" w:color="7EB1E6" w:themeColor="accent3" w:themeTint="99"/>
        <w:left w:val="single" w:sz="4" w:space="0" w:color="7EB1E6" w:themeColor="accent3" w:themeTint="99"/>
        <w:bottom w:val="single" w:sz="4" w:space="0" w:color="7EB1E6" w:themeColor="accent3" w:themeTint="99"/>
        <w:right w:val="single" w:sz="4" w:space="0" w:color="7EB1E6" w:themeColor="accent3" w:themeTint="99"/>
        <w:insideH w:val="single" w:sz="4" w:space="0" w:color="7EB1E6" w:themeColor="accent3" w:themeTint="99"/>
        <w:insideV w:val="single" w:sz="4" w:space="0" w:color="7EB1E6" w:themeColor="accent3" w:themeTint="99"/>
      </w:tblBorders>
    </w:tblPr>
    <w:tblStylePr w:type="firstRow">
      <w:rPr>
        <w:b/>
        <w:bCs/>
      </w:rPr>
      <w:tblPr/>
      <w:tcPr>
        <w:tcBorders>
          <w:bottom w:val="single" w:sz="12" w:space="0" w:color="7EB1E6" w:themeColor="accent3" w:themeTint="99"/>
        </w:tcBorders>
      </w:tcPr>
    </w:tblStylePr>
    <w:tblStylePr w:type="lastRow">
      <w:rPr>
        <w:b/>
        <w:bCs/>
      </w:rPr>
      <w:tblPr/>
      <w:tcPr>
        <w:tcBorders>
          <w:top w:val="double" w:sz="4" w:space="0" w:color="7EB1E6" w:themeColor="accent3" w:themeTint="99"/>
        </w:tcBorders>
      </w:tcPr>
    </w:tblStylePr>
    <w:tblStylePr w:type="firstCol">
      <w:rPr>
        <w:b/>
        <w:bCs/>
      </w:rPr>
    </w:tblStylePr>
    <w:tblStylePr w:type="lastCol">
      <w:rPr>
        <w:b/>
        <w:bCs/>
      </w:rPr>
    </w:tblStylePr>
    <w:tblStylePr w:type="band1Vert">
      <w:tblPr/>
      <w:tcPr>
        <w:shd w:val="clear" w:color="auto" w:fill="D3E5F6" w:themeFill="accent3" w:themeFillTint="33"/>
      </w:tcPr>
    </w:tblStylePr>
    <w:tblStylePr w:type="band1Horz">
      <w:tblPr/>
      <w:tcPr>
        <w:shd w:val="clear" w:color="auto" w:fill="D3E5F6" w:themeFill="accent3" w:themeFillTint="33"/>
      </w:tcPr>
    </w:tblStylePr>
  </w:style>
  <w:style w:type="table" w:styleId="GridTable6Colorful-Accent1">
    <w:name w:val="Grid Table 6 Colorful Accent 1"/>
    <w:basedOn w:val="TableNormal"/>
    <w:uiPriority w:val="51"/>
    <w:rsid w:val="007502B1"/>
    <w:pPr>
      <w:spacing w:after="0" w:line="240" w:lineRule="auto"/>
    </w:pPr>
    <w:rPr>
      <w:color w:val="374C80" w:themeColor="accent1" w:themeShade="BF"/>
    </w:rPr>
    <w:tblPr>
      <w:tblStyleRowBandSize w:val="1"/>
      <w:tblStyleColBandSize w:val="1"/>
      <w:tblBorders>
        <w:top w:val="single" w:sz="4" w:space="0" w:color="90A1CF" w:themeColor="accent1" w:themeTint="99"/>
        <w:left w:val="single" w:sz="4" w:space="0" w:color="90A1CF" w:themeColor="accent1" w:themeTint="99"/>
        <w:bottom w:val="single" w:sz="4" w:space="0" w:color="90A1CF" w:themeColor="accent1" w:themeTint="99"/>
        <w:right w:val="single" w:sz="4" w:space="0" w:color="90A1CF" w:themeColor="accent1" w:themeTint="99"/>
        <w:insideH w:val="single" w:sz="4" w:space="0" w:color="90A1CF" w:themeColor="accent1" w:themeTint="99"/>
        <w:insideV w:val="single" w:sz="4" w:space="0" w:color="90A1CF" w:themeColor="accent1" w:themeTint="99"/>
      </w:tblBorders>
    </w:tblPr>
    <w:tblStylePr w:type="firstRow">
      <w:rPr>
        <w:b/>
        <w:bCs/>
      </w:rPr>
      <w:tblPr/>
      <w:tcPr>
        <w:tcBorders>
          <w:bottom w:val="single" w:sz="12" w:space="0" w:color="90A1CF" w:themeColor="accent1" w:themeTint="99"/>
        </w:tcBorders>
      </w:tcPr>
    </w:tblStylePr>
    <w:tblStylePr w:type="lastRow">
      <w:rPr>
        <w:b/>
        <w:bCs/>
      </w:rPr>
      <w:tblPr/>
      <w:tcPr>
        <w:tcBorders>
          <w:top w:val="double" w:sz="4" w:space="0" w:color="90A1CF" w:themeColor="accent1" w:themeTint="99"/>
        </w:tcBorders>
      </w:tcPr>
    </w:tblStylePr>
    <w:tblStylePr w:type="firstCol">
      <w:rPr>
        <w:b/>
        <w:bCs/>
      </w:rPr>
    </w:tblStylePr>
    <w:tblStylePr w:type="lastCol">
      <w:rPr>
        <w:b/>
        <w:bCs/>
      </w:rPr>
    </w:tblStylePr>
    <w:tblStylePr w:type="band1Vert">
      <w:tblPr/>
      <w:tcPr>
        <w:shd w:val="clear" w:color="auto" w:fill="D9DFEF" w:themeFill="accent1" w:themeFillTint="33"/>
      </w:tcPr>
    </w:tblStylePr>
    <w:tblStylePr w:type="band1Horz">
      <w:tblPr/>
      <w:tcPr>
        <w:shd w:val="clear" w:color="auto" w:fill="D9DFEF" w:themeFill="accent1" w:themeFillTint="33"/>
      </w:tcPr>
    </w:tblStylePr>
  </w:style>
  <w:style w:type="table" w:styleId="ListTable3-Accent2">
    <w:name w:val="List Table 3 Accent 2"/>
    <w:basedOn w:val="TableNormal"/>
    <w:uiPriority w:val="48"/>
    <w:rsid w:val="007502B1"/>
    <w:pPr>
      <w:spacing w:after="0" w:line="240" w:lineRule="auto"/>
    </w:pPr>
    <w:tblPr>
      <w:tblStyleRowBandSize w:val="1"/>
      <w:tblStyleColBandSize w:val="1"/>
      <w:tblBorders>
        <w:top w:val="single" w:sz="4" w:space="0" w:color="629DD1" w:themeColor="accent2"/>
        <w:left w:val="single" w:sz="4" w:space="0" w:color="629DD1" w:themeColor="accent2"/>
        <w:bottom w:val="single" w:sz="4" w:space="0" w:color="629DD1" w:themeColor="accent2"/>
        <w:right w:val="single" w:sz="4" w:space="0" w:color="629DD1" w:themeColor="accent2"/>
      </w:tblBorders>
    </w:tblPr>
    <w:tblStylePr w:type="firstRow">
      <w:rPr>
        <w:b/>
        <w:bCs/>
        <w:color w:val="FFFFFF" w:themeColor="background1"/>
      </w:rPr>
      <w:tblPr/>
      <w:tcPr>
        <w:shd w:val="clear" w:color="auto" w:fill="629DD1" w:themeFill="accent2"/>
      </w:tcPr>
    </w:tblStylePr>
    <w:tblStylePr w:type="lastRow">
      <w:rPr>
        <w:b/>
        <w:bCs/>
      </w:rPr>
      <w:tblPr/>
      <w:tcPr>
        <w:tcBorders>
          <w:top w:val="double" w:sz="4" w:space="0" w:color="629DD1"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629DD1" w:themeColor="accent2"/>
          <w:right w:val="single" w:sz="4" w:space="0" w:color="629DD1" w:themeColor="accent2"/>
        </w:tcBorders>
      </w:tcPr>
    </w:tblStylePr>
    <w:tblStylePr w:type="band1Horz">
      <w:tblPr/>
      <w:tcPr>
        <w:tcBorders>
          <w:top w:val="single" w:sz="4" w:space="0" w:color="629DD1" w:themeColor="accent2"/>
          <w:bottom w:val="single" w:sz="4" w:space="0" w:color="629DD1"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629DD1" w:themeColor="accent2"/>
          <w:left w:val="nil"/>
        </w:tcBorders>
      </w:tcPr>
    </w:tblStylePr>
    <w:tblStylePr w:type="swCell">
      <w:tblPr/>
      <w:tcPr>
        <w:tcBorders>
          <w:top w:val="double" w:sz="4" w:space="0" w:color="629DD1" w:themeColor="accent2"/>
          <w:right w:val="nil"/>
        </w:tcBorders>
      </w:tcPr>
    </w:tblStylePr>
  </w:style>
  <w:style w:type="table" w:styleId="GridTable1Light-Accent2">
    <w:name w:val="Grid Table 1 Light Accent 2"/>
    <w:basedOn w:val="TableNormal"/>
    <w:uiPriority w:val="46"/>
    <w:rsid w:val="007502B1"/>
    <w:pPr>
      <w:spacing w:after="0" w:line="240" w:lineRule="auto"/>
    </w:pPr>
    <w:tblPr>
      <w:tblStyleRowBandSize w:val="1"/>
      <w:tblStyleColBandSize w:val="1"/>
      <w:tblBorders>
        <w:top w:val="single" w:sz="4" w:space="0" w:color="C0D7EC" w:themeColor="accent2" w:themeTint="66"/>
        <w:left w:val="single" w:sz="4" w:space="0" w:color="C0D7EC" w:themeColor="accent2" w:themeTint="66"/>
        <w:bottom w:val="single" w:sz="4" w:space="0" w:color="C0D7EC" w:themeColor="accent2" w:themeTint="66"/>
        <w:right w:val="single" w:sz="4" w:space="0" w:color="C0D7EC" w:themeColor="accent2" w:themeTint="66"/>
        <w:insideH w:val="single" w:sz="4" w:space="0" w:color="C0D7EC" w:themeColor="accent2" w:themeTint="66"/>
        <w:insideV w:val="single" w:sz="4" w:space="0" w:color="C0D7EC" w:themeColor="accent2" w:themeTint="66"/>
      </w:tblBorders>
    </w:tblPr>
    <w:tblStylePr w:type="firstRow">
      <w:rPr>
        <w:b/>
        <w:bCs/>
      </w:rPr>
      <w:tblPr/>
      <w:tcPr>
        <w:tcBorders>
          <w:bottom w:val="single" w:sz="12" w:space="0" w:color="A0C3E3" w:themeColor="accent2" w:themeTint="99"/>
        </w:tcBorders>
      </w:tcPr>
    </w:tblStylePr>
    <w:tblStylePr w:type="lastRow">
      <w:rPr>
        <w:b/>
        <w:bCs/>
      </w:rPr>
      <w:tblPr/>
      <w:tcPr>
        <w:tcBorders>
          <w:top w:val="double" w:sz="2" w:space="0" w:color="A0C3E3" w:themeColor="accent2"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DB4345"/>
    <w:pPr>
      <w:spacing w:after="0" w:line="240" w:lineRule="auto"/>
    </w:pPr>
    <w:tblPr>
      <w:tblStyleRowBandSize w:val="1"/>
      <w:tblStyleColBandSize w:val="1"/>
      <w:tblBorders>
        <w:top w:val="single" w:sz="4" w:space="0" w:color="B5C0DF" w:themeColor="accent1" w:themeTint="66"/>
        <w:left w:val="single" w:sz="4" w:space="0" w:color="B5C0DF" w:themeColor="accent1" w:themeTint="66"/>
        <w:bottom w:val="single" w:sz="4" w:space="0" w:color="B5C0DF" w:themeColor="accent1" w:themeTint="66"/>
        <w:right w:val="single" w:sz="4" w:space="0" w:color="B5C0DF" w:themeColor="accent1" w:themeTint="66"/>
        <w:insideH w:val="single" w:sz="4" w:space="0" w:color="B5C0DF" w:themeColor="accent1" w:themeTint="66"/>
        <w:insideV w:val="single" w:sz="4" w:space="0" w:color="B5C0DF" w:themeColor="accent1" w:themeTint="66"/>
      </w:tblBorders>
    </w:tblPr>
    <w:tblStylePr w:type="firstRow">
      <w:rPr>
        <w:b/>
        <w:bCs/>
      </w:rPr>
      <w:tblPr/>
      <w:tcPr>
        <w:tcBorders>
          <w:bottom w:val="single" w:sz="12" w:space="0" w:color="90A1CF" w:themeColor="accent1" w:themeTint="99"/>
        </w:tcBorders>
      </w:tcPr>
    </w:tblStylePr>
    <w:tblStylePr w:type="lastRow">
      <w:rPr>
        <w:b/>
        <w:bCs/>
      </w:rPr>
      <w:tblPr/>
      <w:tcPr>
        <w:tcBorders>
          <w:top w:val="double" w:sz="2" w:space="0" w:color="90A1CF" w:themeColor="accent1" w:themeTint="99"/>
        </w:tcBorders>
      </w:tcPr>
    </w:tblStylePr>
    <w:tblStylePr w:type="firstCol">
      <w:rPr>
        <w:b/>
        <w:bCs/>
      </w:rPr>
    </w:tblStylePr>
    <w:tblStylePr w:type="lastCol">
      <w:rPr>
        <w:b/>
        <w:bCs/>
      </w:rPr>
    </w:tblStylePr>
  </w:style>
  <w:style w:type="character" w:customStyle="1" w:styleId="highlight">
    <w:name w:val="highlight"/>
    <w:basedOn w:val="DefaultParagraphFont"/>
    <w:rsid w:val="00942B6D"/>
  </w:style>
  <w:style w:type="table" w:styleId="TableGridLight">
    <w:name w:val="Grid Table Light"/>
    <w:basedOn w:val="TableNormal"/>
    <w:uiPriority w:val="40"/>
    <w:rsid w:val="0059778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BalloonText">
    <w:name w:val="Balloon Text"/>
    <w:basedOn w:val="Normal"/>
    <w:link w:val="BalloonTextChar"/>
    <w:uiPriority w:val="99"/>
    <w:semiHidden/>
    <w:unhideWhenUsed/>
    <w:rsid w:val="001D6581"/>
    <w:pPr>
      <w:spacing w:after="0" w:line="240" w:lineRule="auto"/>
    </w:pPr>
    <w:rPr>
      <w:rFonts w:ascii="Segoe UI" w:hAnsi="Segoe UI" w:cs="Segoe UI"/>
      <w:sz w:val="18"/>
      <w:szCs w:val="18"/>
      <w:lang w:val="en-US"/>
    </w:rPr>
  </w:style>
  <w:style w:type="character" w:customStyle="1" w:styleId="BalloonTextChar">
    <w:name w:val="Balloon Text Char"/>
    <w:basedOn w:val="DefaultParagraphFont"/>
    <w:link w:val="BalloonText"/>
    <w:uiPriority w:val="99"/>
    <w:semiHidden/>
    <w:rsid w:val="001D6581"/>
    <w:rPr>
      <w:rFonts w:ascii="Segoe UI" w:hAnsi="Segoe UI" w:cs="Segoe UI"/>
      <w:sz w:val="18"/>
      <w:szCs w:val="18"/>
      <w:lang w:val="en-US"/>
    </w:rPr>
  </w:style>
  <w:style w:type="paragraph" w:styleId="FootnoteText">
    <w:name w:val="footnote text"/>
    <w:aliases w:val="Podrozdział,stile 1,Footnote,Footnote1,Footnote2,Footnote3,Footnote4,Footnote5,Footnote6,Footnote7,Footnote8,Footnote9,Footnote10,Footnote11,Footnote21,Footnote31,Footnote41,Footnote51,Footnote61,Footnote71,Footnote81,Footnote91,single s"/>
    <w:basedOn w:val="Normal"/>
    <w:link w:val="FootnoteTextChar"/>
    <w:unhideWhenUsed/>
    <w:rsid w:val="001D6581"/>
    <w:pPr>
      <w:spacing w:after="0" w:line="240" w:lineRule="auto"/>
    </w:pPr>
    <w:rPr>
      <w:sz w:val="20"/>
      <w:szCs w:val="20"/>
      <w:lang w:val="en-US"/>
    </w:rPr>
  </w:style>
  <w:style w:type="character" w:customStyle="1" w:styleId="FootnoteTextChar">
    <w:name w:val="Footnote Text Char"/>
    <w:aliases w:val="Podrozdział Char,stile 1 Char,Footnote Char,Footnote1 Char,Footnote2 Char,Footnote3 Char,Footnote4 Char,Footnote5 Char,Footnote6 Char,Footnote7 Char,Footnote8 Char,Footnote9 Char,Footnote10 Char,Footnote11 Char,Footnote21 Char"/>
    <w:basedOn w:val="DefaultParagraphFont"/>
    <w:link w:val="FootnoteText"/>
    <w:rsid w:val="001D6581"/>
    <w:rPr>
      <w:sz w:val="20"/>
      <w:szCs w:val="20"/>
      <w:lang w:val="en-US"/>
    </w:rPr>
  </w:style>
  <w:style w:type="character" w:styleId="FootnoteReference">
    <w:name w:val="footnote reference"/>
    <w:aliases w:val="16 Point,Superscript 6 Point,ftref,SUPERS,Footnote symbol,Times 10 Point,Exposant 3 Point,BVI fnr"/>
    <w:basedOn w:val="DefaultParagraphFont"/>
    <w:unhideWhenUsed/>
    <w:rsid w:val="001D6581"/>
    <w:rPr>
      <w:vertAlign w:val="superscript"/>
    </w:rPr>
  </w:style>
  <w:style w:type="character" w:customStyle="1" w:styleId="ListParagraphChar">
    <w:name w:val="List Paragraph Char"/>
    <w:aliases w:val="Normal List Char,Endnote Char,Indent Char,bullet2 Char,ПАРАГРАФ Char1,List1 Char1,List Paragraph1 Char1,Numbered list Char1,Medium Grid 1 - Accent 21 Char"/>
    <w:link w:val="ListParagraph"/>
    <w:uiPriority w:val="34"/>
    <w:locked/>
    <w:rsid w:val="001D6581"/>
  </w:style>
  <w:style w:type="character" w:customStyle="1" w:styleId="UnresolvedMention1">
    <w:name w:val="Unresolved Mention1"/>
    <w:basedOn w:val="DefaultParagraphFont"/>
    <w:uiPriority w:val="99"/>
    <w:semiHidden/>
    <w:unhideWhenUsed/>
    <w:rsid w:val="001D6581"/>
    <w:rPr>
      <w:color w:val="605E5C"/>
      <w:shd w:val="clear" w:color="auto" w:fill="E1DFDD"/>
    </w:rPr>
  </w:style>
  <w:style w:type="character" w:styleId="CommentReference">
    <w:name w:val="annotation reference"/>
    <w:basedOn w:val="DefaultParagraphFont"/>
    <w:uiPriority w:val="99"/>
    <w:semiHidden/>
    <w:unhideWhenUsed/>
    <w:rsid w:val="001D6581"/>
    <w:rPr>
      <w:sz w:val="16"/>
      <w:szCs w:val="16"/>
    </w:rPr>
  </w:style>
  <w:style w:type="paragraph" w:styleId="CommentText">
    <w:name w:val="annotation text"/>
    <w:basedOn w:val="Normal"/>
    <w:link w:val="CommentTextChar"/>
    <w:uiPriority w:val="99"/>
    <w:semiHidden/>
    <w:unhideWhenUsed/>
    <w:rsid w:val="001D6581"/>
    <w:pPr>
      <w:spacing w:line="240" w:lineRule="auto"/>
    </w:pPr>
    <w:rPr>
      <w:sz w:val="20"/>
      <w:szCs w:val="20"/>
      <w:lang w:val="en-US"/>
    </w:rPr>
  </w:style>
  <w:style w:type="character" w:customStyle="1" w:styleId="CommentTextChar">
    <w:name w:val="Comment Text Char"/>
    <w:basedOn w:val="DefaultParagraphFont"/>
    <w:link w:val="CommentText"/>
    <w:uiPriority w:val="99"/>
    <w:semiHidden/>
    <w:rsid w:val="001D6581"/>
    <w:rPr>
      <w:sz w:val="20"/>
      <w:szCs w:val="20"/>
      <w:lang w:val="en-US"/>
    </w:rPr>
  </w:style>
  <w:style w:type="paragraph" w:styleId="CommentSubject">
    <w:name w:val="annotation subject"/>
    <w:basedOn w:val="CommentText"/>
    <w:next w:val="CommentText"/>
    <w:link w:val="CommentSubjectChar"/>
    <w:uiPriority w:val="99"/>
    <w:semiHidden/>
    <w:unhideWhenUsed/>
    <w:rsid w:val="001D6581"/>
    <w:rPr>
      <w:b/>
      <w:bCs/>
    </w:rPr>
  </w:style>
  <w:style w:type="character" w:customStyle="1" w:styleId="CommentSubjectChar">
    <w:name w:val="Comment Subject Char"/>
    <w:basedOn w:val="CommentTextChar"/>
    <w:link w:val="CommentSubject"/>
    <w:uiPriority w:val="99"/>
    <w:semiHidden/>
    <w:rsid w:val="001D6581"/>
    <w:rPr>
      <w:b/>
      <w:bCs/>
      <w:sz w:val="20"/>
      <w:szCs w:val="20"/>
      <w:lang w:val="en-US"/>
    </w:rPr>
  </w:style>
  <w:style w:type="paragraph" w:styleId="Caption">
    <w:name w:val="caption"/>
    <w:basedOn w:val="Normal"/>
    <w:next w:val="Normal"/>
    <w:uiPriority w:val="35"/>
    <w:unhideWhenUsed/>
    <w:qFormat/>
    <w:rsid w:val="002E31E7"/>
    <w:pPr>
      <w:spacing w:after="200" w:line="240" w:lineRule="auto"/>
    </w:pPr>
    <w:rPr>
      <w:i/>
      <w:iCs/>
      <w:color w:val="242852" w:themeColor="text2"/>
      <w:sz w:val="18"/>
      <w:szCs w:val="18"/>
    </w:rPr>
  </w:style>
  <w:style w:type="paragraph" w:customStyle="1" w:styleId="wygtext">
    <w:name w:val="wyg text"/>
    <w:basedOn w:val="Normal"/>
    <w:link w:val="wygtextChar"/>
    <w:uiPriority w:val="99"/>
    <w:rsid w:val="006C472C"/>
    <w:pPr>
      <w:spacing w:after="120" w:line="240" w:lineRule="auto"/>
      <w:jc w:val="both"/>
    </w:pPr>
    <w:rPr>
      <w:rFonts w:ascii="Tahoma" w:eastAsia="Times New Roman" w:hAnsi="Tahoma" w:cs="Tahoma"/>
      <w:sz w:val="20"/>
      <w:szCs w:val="20"/>
      <w:lang w:val="bg-BG" w:eastAsia="bg-BG"/>
    </w:rPr>
  </w:style>
  <w:style w:type="character" w:customStyle="1" w:styleId="wygtextChar">
    <w:name w:val="wyg text Char"/>
    <w:link w:val="wygtext"/>
    <w:uiPriority w:val="99"/>
    <w:rsid w:val="006C472C"/>
    <w:rPr>
      <w:rFonts w:ascii="Tahoma" w:eastAsia="Times New Roman" w:hAnsi="Tahoma" w:cs="Tahoma"/>
      <w:sz w:val="20"/>
      <w:szCs w:val="20"/>
      <w:lang w:val="bg-BG" w:eastAsia="bg-BG"/>
    </w:rPr>
  </w:style>
  <w:style w:type="character" w:customStyle="1" w:styleId="Heading3Char">
    <w:name w:val="Heading 3 Char"/>
    <w:basedOn w:val="DefaultParagraphFont"/>
    <w:link w:val="Heading3"/>
    <w:rsid w:val="002E31E7"/>
    <w:rPr>
      <w:rFonts w:asciiTheme="majorHAnsi" w:eastAsiaTheme="majorEastAsia" w:hAnsiTheme="majorHAnsi" w:cstheme="majorBidi"/>
      <w:color w:val="253356" w:themeColor="accent1" w:themeShade="80"/>
      <w:sz w:val="24"/>
      <w:szCs w:val="24"/>
    </w:rPr>
  </w:style>
  <w:style w:type="paragraph" w:customStyle="1" w:styleId="CharCharChar">
    <w:name w:val="Char Char Char"/>
    <w:basedOn w:val="Normal"/>
    <w:rsid w:val="00D65672"/>
    <w:pPr>
      <w:spacing w:line="240" w:lineRule="exact"/>
    </w:pPr>
    <w:rPr>
      <w:rFonts w:ascii="Tahoma" w:eastAsia="Times New Roman" w:hAnsi="Tahoma" w:cs="Times New Roman"/>
      <w:sz w:val="20"/>
      <w:szCs w:val="20"/>
      <w:lang w:val="en-US"/>
    </w:rPr>
  </w:style>
  <w:style w:type="paragraph" w:customStyle="1" w:styleId="CharChar4Char">
    <w:name w:val="Char Char4 Char"/>
    <w:basedOn w:val="Normal"/>
    <w:rsid w:val="00D65672"/>
    <w:pPr>
      <w:spacing w:line="240" w:lineRule="exact"/>
    </w:pPr>
    <w:rPr>
      <w:rFonts w:ascii="Tahoma" w:eastAsia="Times New Roman" w:hAnsi="Tahoma" w:cs="Times New Roman"/>
      <w:sz w:val="20"/>
      <w:szCs w:val="20"/>
      <w:lang w:val="en-US"/>
    </w:rPr>
  </w:style>
  <w:style w:type="paragraph" w:customStyle="1" w:styleId="Default">
    <w:name w:val="Default"/>
    <w:rsid w:val="00D65672"/>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Body">
    <w:name w:val="Body"/>
    <w:basedOn w:val="Normal"/>
    <w:rsid w:val="00D65672"/>
    <w:pPr>
      <w:suppressAutoHyphens/>
      <w:spacing w:before="60" w:after="60" w:line="240" w:lineRule="auto"/>
    </w:pPr>
    <w:rPr>
      <w:rFonts w:ascii="Times New Roman" w:eastAsia="Times New Roman" w:hAnsi="Times New Roman" w:cs="Times New Roman"/>
      <w:color w:val="000000"/>
      <w:sz w:val="24"/>
      <w:szCs w:val="20"/>
      <w:lang w:val="bg-BG" w:eastAsia="ar-SA"/>
    </w:rPr>
  </w:style>
  <w:style w:type="character" w:customStyle="1" w:styleId="FootnoteCharacters">
    <w:name w:val="Footnote Characters"/>
    <w:basedOn w:val="DefaultParagraphFont"/>
    <w:rsid w:val="00D65672"/>
    <w:rPr>
      <w:vertAlign w:val="superscript"/>
    </w:rPr>
  </w:style>
  <w:style w:type="character" w:customStyle="1" w:styleId="FootnoteTextChar1">
    <w:name w:val="Footnote Text Char1"/>
    <w:aliases w:val="stile 1 Char1,Footnote Char1,Footnote1 Char1,Footnote2 Char1,Footnote3 Char1,Footnote4 Char1,Footnote5 Char1,Footnote6 Char1,Footnote7 Char1,Footnote8 Char1,Footnote9 Char1,Footnote10 Char1,Footnote11 Char1,Footnote21 Char1,fn Char1"/>
    <w:basedOn w:val="DefaultParagraphFont"/>
    <w:uiPriority w:val="99"/>
    <w:semiHidden/>
    <w:rsid w:val="00D65672"/>
    <w:rPr>
      <w:rFonts w:ascii="Arial" w:hAnsi="Arial" w:cs="Arial"/>
      <w:sz w:val="20"/>
      <w:szCs w:val="20"/>
      <w:lang w:val="en-GB" w:eastAsia="en-GB"/>
    </w:rPr>
  </w:style>
  <w:style w:type="paragraph" w:styleId="EndnoteText">
    <w:name w:val="endnote text"/>
    <w:basedOn w:val="Normal"/>
    <w:link w:val="EndnoteTextChar"/>
    <w:uiPriority w:val="99"/>
    <w:semiHidden/>
    <w:unhideWhenUsed/>
    <w:rsid w:val="00D65672"/>
    <w:pPr>
      <w:spacing w:after="0" w:line="240" w:lineRule="auto"/>
    </w:pPr>
    <w:rPr>
      <w:sz w:val="20"/>
      <w:szCs w:val="20"/>
      <w:lang w:val="en-US"/>
    </w:rPr>
  </w:style>
  <w:style w:type="character" w:customStyle="1" w:styleId="EndnoteTextChar">
    <w:name w:val="Endnote Text Char"/>
    <w:basedOn w:val="DefaultParagraphFont"/>
    <w:link w:val="EndnoteText"/>
    <w:uiPriority w:val="99"/>
    <w:semiHidden/>
    <w:rsid w:val="00D65672"/>
    <w:rPr>
      <w:sz w:val="20"/>
      <w:szCs w:val="20"/>
      <w:lang w:val="en-US"/>
    </w:rPr>
  </w:style>
  <w:style w:type="character" w:styleId="EndnoteReference">
    <w:name w:val="endnote reference"/>
    <w:basedOn w:val="DefaultParagraphFont"/>
    <w:uiPriority w:val="99"/>
    <w:semiHidden/>
    <w:unhideWhenUsed/>
    <w:rsid w:val="00D65672"/>
    <w:rPr>
      <w:vertAlign w:val="superscript"/>
    </w:rPr>
  </w:style>
  <w:style w:type="character" w:customStyle="1" w:styleId="UnresolvedMention2">
    <w:name w:val="Unresolved Mention2"/>
    <w:basedOn w:val="DefaultParagraphFont"/>
    <w:uiPriority w:val="99"/>
    <w:semiHidden/>
    <w:unhideWhenUsed/>
    <w:rsid w:val="00D65672"/>
    <w:rPr>
      <w:color w:val="605E5C"/>
      <w:shd w:val="clear" w:color="auto" w:fill="E1DFDD"/>
    </w:rPr>
  </w:style>
  <w:style w:type="character" w:styleId="FollowedHyperlink">
    <w:name w:val="FollowedHyperlink"/>
    <w:basedOn w:val="DefaultParagraphFont"/>
    <w:uiPriority w:val="99"/>
    <w:semiHidden/>
    <w:unhideWhenUsed/>
    <w:rsid w:val="00D65672"/>
    <w:rPr>
      <w:color w:val="3EBBF0" w:themeColor="followedHyperlink"/>
      <w:u w:val="single"/>
    </w:rPr>
  </w:style>
  <w:style w:type="paragraph" w:styleId="NormalWeb">
    <w:name w:val="Normal (Web)"/>
    <w:basedOn w:val="Normal"/>
    <w:uiPriority w:val="99"/>
    <w:unhideWhenUsed/>
    <w:rsid w:val="00041FA0"/>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11">
    <w:name w:val="A11"/>
    <w:rsid w:val="00041FA0"/>
    <w:rPr>
      <w:rFonts w:cs="Myriad Pro"/>
      <w:color w:val="000000"/>
      <w:sz w:val="20"/>
      <w:szCs w:val="20"/>
    </w:rPr>
  </w:style>
  <w:style w:type="paragraph" w:customStyle="1" w:styleId="WYGbulletstyle">
    <w:name w:val="WYG bullet style"/>
    <w:basedOn w:val="Normal"/>
    <w:autoRedefine/>
    <w:rsid w:val="00041FA0"/>
    <w:pPr>
      <w:numPr>
        <w:numId w:val="25"/>
      </w:numPr>
      <w:spacing w:before="120" w:after="120" w:line="240" w:lineRule="auto"/>
      <w:jc w:val="both"/>
    </w:pPr>
    <w:rPr>
      <w:rFonts w:ascii="Tahoma" w:eastAsia="Times New Roman" w:hAnsi="Tahoma" w:cs="Tahoma"/>
      <w:b/>
      <w:bCs/>
      <w:sz w:val="20"/>
      <w:szCs w:val="20"/>
    </w:rPr>
  </w:style>
  <w:style w:type="character" w:customStyle="1" w:styleId="Heading4Char">
    <w:name w:val="Heading 4 Char"/>
    <w:basedOn w:val="DefaultParagraphFont"/>
    <w:link w:val="Heading4"/>
    <w:uiPriority w:val="9"/>
    <w:rsid w:val="002E31E7"/>
    <w:rPr>
      <w:i/>
      <w:iCs/>
    </w:rPr>
  </w:style>
  <w:style w:type="character" w:customStyle="1" w:styleId="Heading5Char">
    <w:name w:val="Heading 5 Char"/>
    <w:basedOn w:val="DefaultParagraphFont"/>
    <w:link w:val="Heading5"/>
    <w:uiPriority w:val="9"/>
    <w:rsid w:val="002E31E7"/>
    <w:rPr>
      <w:color w:val="374C80" w:themeColor="accent1" w:themeShade="BF"/>
    </w:rPr>
  </w:style>
  <w:style w:type="character" w:customStyle="1" w:styleId="Heading6Char">
    <w:name w:val="Heading 6 Char"/>
    <w:basedOn w:val="DefaultParagraphFont"/>
    <w:link w:val="Heading6"/>
    <w:uiPriority w:val="9"/>
    <w:semiHidden/>
    <w:rsid w:val="002E31E7"/>
    <w:rPr>
      <w:color w:val="253356" w:themeColor="accent1" w:themeShade="80"/>
    </w:rPr>
  </w:style>
  <w:style w:type="character" w:customStyle="1" w:styleId="Heading7Char">
    <w:name w:val="Heading 7 Char"/>
    <w:basedOn w:val="DefaultParagraphFont"/>
    <w:link w:val="Heading7"/>
    <w:uiPriority w:val="9"/>
    <w:semiHidden/>
    <w:rsid w:val="002E31E7"/>
    <w:rPr>
      <w:rFonts w:asciiTheme="majorHAnsi" w:eastAsiaTheme="majorEastAsia" w:hAnsiTheme="majorHAnsi" w:cstheme="majorBidi"/>
      <w:i/>
      <w:iCs/>
      <w:color w:val="253356" w:themeColor="accent1" w:themeShade="80"/>
    </w:rPr>
  </w:style>
  <w:style w:type="character" w:customStyle="1" w:styleId="Heading8Char">
    <w:name w:val="Heading 8 Char"/>
    <w:basedOn w:val="DefaultParagraphFont"/>
    <w:link w:val="Heading8"/>
    <w:uiPriority w:val="9"/>
    <w:semiHidden/>
    <w:rsid w:val="002E31E7"/>
    <w:rPr>
      <w:color w:val="262626" w:themeColor="text1" w:themeTint="D9"/>
      <w:sz w:val="21"/>
      <w:szCs w:val="21"/>
    </w:rPr>
  </w:style>
  <w:style w:type="character" w:customStyle="1" w:styleId="Heading9Char">
    <w:name w:val="Heading 9 Char"/>
    <w:basedOn w:val="DefaultParagraphFont"/>
    <w:link w:val="Heading9"/>
    <w:uiPriority w:val="9"/>
    <w:semiHidden/>
    <w:rsid w:val="002E31E7"/>
    <w:rPr>
      <w:rFonts w:asciiTheme="majorHAnsi" w:eastAsiaTheme="majorEastAsia" w:hAnsiTheme="majorHAnsi" w:cstheme="majorBidi"/>
      <w:i/>
      <w:iCs/>
      <w:color w:val="262626" w:themeColor="text1" w:themeTint="D9"/>
      <w:sz w:val="21"/>
      <w:szCs w:val="21"/>
    </w:rPr>
  </w:style>
  <w:style w:type="paragraph" w:styleId="Title">
    <w:name w:val="Title"/>
    <w:basedOn w:val="Normal"/>
    <w:next w:val="Normal"/>
    <w:link w:val="TitleChar"/>
    <w:uiPriority w:val="10"/>
    <w:qFormat/>
    <w:rsid w:val="002E31E7"/>
    <w:pPr>
      <w:spacing w:after="0" w:line="240" w:lineRule="auto"/>
      <w:contextualSpacing/>
    </w:pPr>
    <w:rPr>
      <w:rFonts w:asciiTheme="majorHAnsi" w:eastAsiaTheme="majorEastAsia" w:hAnsiTheme="majorHAnsi" w:cstheme="majorBidi"/>
      <w:spacing w:val="-10"/>
      <w:sz w:val="56"/>
      <w:szCs w:val="56"/>
    </w:rPr>
  </w:style>
  <w:style w:type="character" w:customStyle="1" w:styleId="TitleChar">
    <w:name w:val="Title Char"/>
    <w:basedOn w:val="DefaultParagraphFont"/>
    <w:link w:val="Title"/>
    <w:uiPriority w:val="10"/>
    <w:rsid w:val="002E31E7"/>
    <w:rPr>
      <w:rFonts w:asciiTheme="majorHAnsi" w:eastAsiaTheme="majorEastAsia" w:hAnsiTheme="majorHAnsi" w:cstheme="majorBidi"/>
      <w:spacing w:val="-10"/>
      <w:sz w:val="56"/>
      <w:szCs w:val="56"/>
    </w:rPr>
  </w:style>
  <w:style w:type="paragraph" w:styleId="Subtitle">
    <w:name w:val="Subtitle"/>
    <w:basedOn w:val="Normal"/>
    <w:next w:val="Normal"/>
    <w:link w:val="SubtitleChar"/>
    <w:uiPriority w:val="11"/>
    <w:qFormat/>
    <w:rsid w:val="002E31E7"/>
    <w:pPr>
      <w:numPr>
        <w:ilvl w:val="1"/>
      </w:numPr>
    </w:pPr>
    <w:rPr>
      <w:color w:val="5A5A5A" w:themeColor="text1" w:themeTint="A5"/>
      <w:spacing w:val="15"/>
    </w:rPr>
  </w:style>
  <w:style w:type="character" w:customStyle="1" w:styleId="SubtitleChar">
    <w:name w:val="Subtitle Char"/>
    <w:basedOn w:val="DefaultParagraphFont"/>
    <w:link w:val="Subtitle"/>
    <w:uiPriority w:val="11"/>
    <w:rsid w:val="002E31E7"/>
    <w:rPr>
      <w:color w:val="5A5A5A" w:themeColor="text1" w:themeTint="A5"/>
      <w:spacing w:val="15"/>
    </w:rPr>
  </w:style>
  <w:style w:type="character" w:styleId="Strong">
    <w:name w:val="Strong"/>
    <w:basedOn w:val="DefaultParagraphFont"/>
    <w:uiPriority w:val="22"/>
    <w:qFormat/>
    <w:rsid w:val="002E31E7"/>
    <w:rPr>
      <w:b/>
      <w:bCs/>
      <w:color w:val="auto"/>
    </w:rPr>
  </w:style>
  <w:style w:type="character" w:styleId="Emphasis">
    <w:name w:val="Emphasis"/>
    <w:basedOn w:val="DefaultParagraphFont"/>
    <w:uiPriority w:val="20"/>
    <w:qFormat/>
    <w:rsid w:val="002E31E7"/>
    <w:rPr>
      <w:i/>
      <w:iCs/>
      <w:color w:val="auto"/>
    </w:rPr>
  </w:style>
  <w:style w:type="paragraph" w:styleId="NoSpacing">
    <w:name w:val="No Spacing"/>
    <w:uiPriority w:val="1"/>
    <w:qFormat/>
    <w:rsid w:val="002E31E7"/>
    <w:pPr>
      <w:spacing w:after="0" w:line="240" w:lineRule="auto"/>
    </w:pPr>
  </w:style>
  <w:style w:type="paragraph" w:styleId="Quote">
    <w:name w:val="Quote"/>
    <w:basedOn w:val="Normal"/>
    <w:next w:val="Normal"/>
    <w:link w:val="QuoteChar"/>
    <w:uiPriority w:val="29"/>
    <w:qFormat/>
    <w:rsid w:val="002E31E7"/>
    <w:pPr>
      <w:spacing w:before="200"/>
      <w:ind w:left="864" w:right="864"/>
    </w:pPr>
    <w:rPr>
      <w:i/>
      <w:iCs/>
      <w:color w:val="404040" w:themeColor="text1" w:themeTint="BF"/>
    </w:rPr>
  </w:style>
  <w:style w:type="character" w:customStyle="1" w:styleId="QuoteChar">
    <w:name w:val="Quote Char"/>
    <w:basedOn w:val="DefaultParagraphFont"/>
    <w:link w:val="Quote"/>
    <w:uiPriority w:val="29"/>
    <w:rsid w:val="002E31E7"/>
    <w:rPr>
      <w:i/>
      <w:iCs/>
      <w:color w:val="404040" w:themeColor="text1" w:themeTint="BF"/>
    </w:rPr>
  </w:style>
  <w:style w:type="paragraph" w:styleId="IntenseQuote">
    <w:name w:val="Intense Quote"/>
    <w:basedOn w:val="Normal"/>
    <w:next w:val="Normal"/>
    <w:link w:val="IntenseQuoteChar"/>
    <w:uiPriority w:val="30"/>
    <w:qFormat/>
    <w:rsid w:val="002E31E7"/>
    <w:pPr>
      <w:pBdr>
        <w:top w:val="single" w:sz="4" w:space="10" w:color="4A66AC" w:themeColor="accent1"/>
        <w:bottom w:val="single" w:sz="4" w:space="10" w:color="4A66AC" w:themeColor="accent1"/>
      </w:pBdr>
      <w:spacing w:before="360" w:after="360"/>
      <w:ind w:left="864" w:right="864"/>
      <w:jc w:val="center"/>
    </w:pPr>
    <w:rPr>
      <w:i/>
      <w:iCs/>
      <w:color w:val="4A66AC" w:themeColor="accent1"/>
    </w:rPr>
  </w:style>
  <w:style w:type="character" w:customStyle="1" w:styleId="IntenseQuoteChar">
    <w:name w:val="Intense Quote Char"/>
    <w:basedOn w:val="DefaultParagraphFont"/>
    <w:link w:val="IntenseQuote"/>
    <w:uiPriority w:val="30"/>
    <w:rsid w:val="002E31E7"/>
    <w:rPr>
      <w:i/>
      <w:iCs/>
      <w:color w:val="4A66AC" w:themeColor="accent1"/>
    </w:rPr>
  </w:style>
  <w:style w:type="character" w:styleId="SubtleEmphasis">
    <w:name w:val="Subtle Emphasis"/>
    <w:basedOn w:val="DefaultParagraphFont"/>
    <w:uiPriority w:val="19"/>
    <w:qFormat/>
    <w:rsid w:val="002E31E7"/>
    <w:rPr>
      <w:i/>
      <w:iCs/>
      <w:color w:val="404040" w:themeColor="text1" w:themeTint="BF"/>
    </w:rPr>
  </w:style>
  <w:style w:type="character" w:styleId="IntenseEmphasis">
    <w:name w:val="Intense Emphasis"/>
    <w:basedOn w:val="DefaultParagraphFont"/>
    <w:uiPriority w:val="21"/>
    <w:qFormat/>
    <w:rsid w:val="002E31E7"/>
    <w:rPr>
      <w:i/>
      <w:iCs/>
      <w:color w:val="4A66AC" w:themeColor="accent1"/>
    </w:rPr>
  </w:style>
  <w:style w:type="character" w:styleId="SubtleReference">
    <w:name w:val="Subtle Reference"/>
    <w:basedOn w:val="DefaultParagraphFont"/>
    <w:uiPriority w:val="31"/>
    <w:qFormat/>
    <w:rsid w:val="002E31E7"/>
    <w:rPr>
      <w:smallCaps/>
      <w:color w:val="404040" w:themeColor="text1" w:themeTint="BF"/>
    </w:rPr>
  </w:style>
  <w:style w:type="character" w:styleId="IntenseReference">
    <w:name w:val="Intense Reference"/>
    <w:basedOn w:val="DefaultParagraphFont"/>
    <w:uiPriority w:val="32"/>
    <w:qFormat/>
    <w:rsid w:val="002E31E7"/>
    <w:rPr>
      <w:b/>
      <w:bCs/>
      <w:smallCaps/>
      <w:color w:val="4A66AC" w:themeColor="accent1"/>
      <w:spacing w:val="5"/>
    </w:rPr>
  </w:style>
  <w:style w:type="character" w:styleId="BookTitle">
    <w:name w:val="Book Title"/>
    <w:basedOn w:val="DefaultParagraphFont"/>
    <w:uiPriority w:val="33"/>
    <w:qFormat/>
    <w:rsid w:val="002E31E7"/>
    <w:rPr>
      <w:b/>
      <w:bCs/>
      <w:i/>
      <w:iCs/>
      <w:spacing w:val="5"/>
    </w:rPr>
  </w:style>
  <w:style w:type="paragraph" w:styleId="TOCHeading">
    <w:name w:val="TOC Heading"/>
    <w:basedOn w:val="Heading1"/>
    <w:next w:val="Normal"/>
    <w:uiPriority w:val="39"/>
    <w:semiHidden/>
    <w:unhideWhenUsed/>
    <w:qFormat/>
    <w:rsid w:val="002E31E7"/>
    <w:pPr>
      <w:outlineLvl w:val="9"/>
    </w:pPr>
  </w:style>
  <w:style w:type="paragraph" w:styleId="TableofFigures">
    <w:name w:val="table of figures"/>
    <w:basedOn w:val="Normal"/>
    <w:next w:val="Normal"/>
    <w:uiPriority w:val="99"/>
    <w:unhideWhenUsed/>
    <w:rsid w:val="00CF3ED2"/>
    <w:pPr>
      <w:spacing w:after="0"/>
    </w:pPr>
  </w:style>
  <w:style w:type="paragraph" w:styleId="TOC3">
    <w:name w:val="toc 3"/>
    <w:basedOn w:val="Normal"/>
    <w:next w:val="Normal"/>
    <w:autoRedefine/>
    <w:uiPriority w:val="39"/>
    <w:unhideWhenUsed/>
    <w:rsid w:val="00BF3499"/>
    <w:pPr>
      <w:spacing w:after="100"/>
      <w:ind w:left="440"/>
    </w:pPr>
  </w:style>
  <w:style w:type="character" w:customStyle="1" w:styleId="LightGrid-Accent3Char">
    <w:name w:val="Light Grid - Accent 3 Char"/>
    <w:aliases w:val="ПАРАГРАФ Char,List1 Char,List Paragraph1 Char,Numbered list Char"/>
    <w:link w:val="LightGrid-Accent3"/>
    <w:uiPriority w:val="34"/>
    <w:locked/>
    <w:rsid w:val="006C7D6B"/>
  </w:style>
  <w:style w:type="table" w:styleId="LightGrid-Accent3">
    <w:name w:val="Light Grid Accent 3"/>
    <w:basedOn w:val="TableNormal"/>
    <w:link w:val="LightGrid-Accent3Char"/>
    <w:uiPriority w:val="34"/>
    <w:semiHidden/>
    <w:unhideWhenUsed/>
    <w:rsid w:val="006C7D6B"/>
    <w:pPr>
      <w:spacing w:after="0" w:line="240" w:lineRule="auto"/>
    </w:pPr>
    <w:tblPr>
      <w:tblStyleRowBandSize w:val="1"/>
      <w:tblStyleColBandSize w:val="1"/>
      <w:tblBorders>
        <w:top w:val="single" w:sz="8" w:space="0" w:color="297FD5" w:themeColor="accent3"/>
        <w:left w:val="single" w:sz="8" w:space="0" w:color="297FD5" w:themeColor="accent3"/>
        <w:bottom w:val="single" w:sz="8" w:space="0" w:color="297FD5" w:themeColor="accent3"/>
        <w:right w:val="single" w:sz="8" w:space="0" w:color="297FD5" w:themeColor="accent3"/>
        <w:insideH w:val="single" w:sz="8" w:space="0" w:color="297FD5" w:themeColor="accent3"/>
        <w:insideV w:val="single" w:sz="8" w:space="0" w:color="297FD5" w:themeColor="accent3"/>
      </w:tblBorders>
    </w:tblPr>
    <w:tblStylePr w:type="firstRow">
      <w:pPr>
        <w:spacing w:before="0" w:after="0" w:line="240" w:lineRule="auto"/>
      </w:pPr>
      <w:tblPr/>
      <w:tcPr>
        <w:tcBorders>
          <w:top w:val="single" w:sz="8" w:space="0" w:color="297FD5" w:themeColor="accent3"/>
          <w:left w:val="single" w:sz="8" w:space="0" w:color="297FD5" w:themeColor="accent3"/>
          <w:bottom w:val="single" w:sz="18" w:space="0" w:color="297FD5" w:themeColor="accent3"/>
          <w:right w:val="single" w:sz="8" w:space="0" w:color="297FD5" w:themeColor="accent3"/>
          <w:insideH w:val="nil"/>
          <w:insideV w:val="single" w:sz="8" w:space="0" w:color="297FD5" w:themeColor="accent3"/>
        </w:tcBorders>
      </w:tcPr>
    </w:tblStylePr>
    <w:tblStylePr w:type="lastRow">
      <w:pPr>
        <w:spacing w:before="0" w:after="0" w:line="240" w:lineRule="auto"/>
      </w:pPr>
      <w:tblPr/>
      <w:tcPr>
        <w:tcBorders>
          <w:top w:val="double" w:sz="6" w:space="0" w:color="297FD5" w:themeColor="accent3"/>
          <w:left w:val="single" w:sz="8" w:space="0" w:color="297FD5" w:themeColor="accent3"/>
          <w:bottom w:val="single" w:sz="8" w:space="0" w:color="297FD5" w:themeColor="accent3"/>
          <w:right w:val="single" w:sz="8" w:space="0" w:color="297FD5" w:themeColor="accent3"/>
          <w:insideH w:val="nil"/>
          <w:insideV w:val="single" w:sz="8" w:space="0" w:color="297FD5" w:themeColor="accent3"/>
        </w:tcBorders>
      </w:tcPr>
    </w:tblStylePr>
    <w:tblStylePr w:type="lastCol">
      <w:tblPr/>
      <w:tcPr>
        <w:tcBorders>
          <w:top w:val="single" w:sz="8" w:space="0" w:color="297FD5" w:themeColor="accent3"/>
          <w:left w:val="single" w:sz="8" w:space="0" w:color="297FD5" w:themeColor="accent3"/>
          <w:bottom w:val="single" w:sz="8" w:space="0" w:color="297FD5" w:themeColor="accent3"/>
          <w:right w:val="single" w:sz="8" w:space="0" w:color="297FD5" w:themeColor="accent3"/>
        </w:tcBorders>
      </w:tcPr>
    </w:tblStylePr>
    <w:tblStylePr w:type="band1Vert">
      <w:tblPr/>
      <w:tcPr>
        <w:tcBorders>
          <w:top w:val="single" w:sz="8" w:space="0" w:color="297FD5" w:themeColor="accent3"/>
          <w:left w:val="single" w:sz="8" w:space="0" w:color="297FD5" w:themeColor="accent3"/>
          <w:bottom w:val="single" w:sz="8" w:space="0" w:color="297FD5" w:themeColor="accent3"/>
          <w:right w:val="single" w:sz="8" w:space="0" w:color="297FD5" w:themeColor="accent3"/>
        </w:tcBorders>
        <w:shd w:val="clear" w:color="auto" w:fill="C9DFF4" w:themeFill="accent3" w:themeFillTint="3F"/>
      </w:tcPr>
    </w:tblStylePr>
    <w:tblStylePr w:type="band1Horz">
      <w:tblPr/>
      <w:tcPr>
        <w:tcBorders>
          <w:top w:val="single" w:sz="8" w:space="0" w:color="297FD5" w:themeColor="accent3"/>
          <w:left w:val="single" w:sz="8" w:space="0" w:color="297FD5" w:themeColor="accent3"/>
          <w:bottom w:val="single" w:sz="8" w:space="0" w:color="297FD5" w:themeColor="accent3"/>
          <w:right w:val="single" w:sz="8" w:space="0" w:color="297FD5" w:themeColor="accent3"/>
          <w:insideV w:val="single" w:sz="8" w:space="0" w:color="297FD5" w:themeColor="accent3"/>
        </w:tcBorders>
        <w:shd w:val="clear" w:color="auto" w:fill="C9DFF4" w:themeFill="accent3" w:themeFillTint="3F"/>
      </w:tcPr>
    </w:tblStylePr>
    <w:tblStylePr w:type="band2Horz">
      <w:tblPr/>
      <w:tcPr>
        <w:tcBorders>
          <w:top w:val="single" w:sz="8" w:space="0" w:color="297FD5" w:themeColor="accent3"/>
          <w:left w:val="single" w:sz="8" w:space="0" w:color="297FD5" w:themeColor="accent3"/>
          <w:bottom w:val="single" w:sz="8" w:space="0" w:color="297FD5" w:themeColor="accent3"/>
          <w:right w:val="single" w:sz="8" w:space="0" w:color="297FD5" w:themeColor="accent3"/>
          <w:insideV w:val="single" w:sz="8" w:space="0" w:color="297FD5" w:themeColor="accent3"/>
        </w:tcBorders>
      </w:tcPr>
    </w:tblStylePr>
  </w:style>
  <w:style w:type="paragraph" w:customStyle="1" w:styleId="TableParagraph">
    <w:name w:val="Table Paragraph"/>
    <w:basedOn w:val="Normal"/>
    <w:uiPriority w:val="1"/>
    <w:qFormat/>
    <w:rsid w:val="000272DD"/>
    <w:pPr>
      <w:widowControl w:val="0"/>
      <w:autoSpaceDE w:val="0"/>
      <w:autoSpaceDN w:val="0"/>
      <w:spacing w:before="56" w:after="0" w:line="240" w:lineRule="auto"/>
    </w:pPr>
    <w:rPr>
      <w:rFonts w:ascii="Calibri" w:eastAsia="Calibri" w:hAnsi="Calibri" w:cs="Calibri"/>
      <w:lang w:val="bg-BG" w:eastAsia="bg-BG"/>
    </w:rPr>
  </w:style>
  <w:style w:type="numbering" w:customStyle="1" w:styleId="NoList1">
    <w:name w:val="No List1"/>
    <w:next w:val="NoList"/>
    <w:uiPriority w:val="99"/>
    <w:semiHidden/>
    <w:unhideWhenUsed/>
    <w:rsid w:val="00316E5B"/>
  </w:style>
  <w:style w:type="table" w:styleId="GridTable4-Accent1">
    <w:name w:val="Grid Table 4 Accent 1"/>
    <w:basedOn w:val="TableNormal"/>
    <w:uiPriority w:val="49"/>
    <w:rsid w:val="00316E5B"/>
    <w:pPr>
      <w:spacing w:after="0" w:line="240" w:lineRule="auto"/>
    </w:pPr>
    <w:rPr>
      <w:rFonts w:eastAsiaTheme="minorHAnsi"/>
      <w:lang w:val="bg-BG"/>
    </w:rPr>
    <w:tblPr>
      <w:tblStyleRowBandSize w:val="1"/>
      <w:tblStyleColBandSize w:val="1"/>
      <w:tblBorders>
        <w:top w:val="single" w:sz="4" w:space="0" w:color="90A1CF" w:themeColor="accent1" w:themeTint="99"/>
        <w:left w:val="single" w:sz="4" w:space="0" w:color="90A1CF" w:themeColor="accent1" w:themeTint="99"/>
        <w:bottom w:val="single" w:sz="4" w:space="0" w:color="90A1CF" w:themeColor="accent1" w:themeTint="99"/>
        <w:right w:val="single" w:sz="4" w:space="0" w:color="90A1CF" w:themeColor="accent1" w:themeTint="99"/>
        <w:insideH w:val="single" w:sz="4" w:space="0" w:color="90A1CF" w:themeColor="accent1" w:themeTint="99"/>
        <w:insideV w:val="single" w:sz="4" w:space="0" w:color="90A1CF" w:themeColor="accent1" w:themeTint="99"/>
      </w:tblBorders>
    </w:tblPr>
    <w:tblStylePr w:type="firstRow">
      <w:rPr>
        <w:b/>
        <w:bCs/>
        <w:color w:val="FFFFFF" w:themeColor="background1"/>
      </w:rPr>
      <w:tblPr/>
      <w:tcPr>
        <w:tcBorders>
          <w:top w:val="single" w:sz="4" w:space="0" w:color="4A66AC" w:themeColor="accent1"/>
          <w:left w:val="single" w:sz="4" w:space="0" w:color="4A66AC" w:themeColor="accent1"/>
          <w:bottom w:val="single" w:sz="4" w:space="0" w:color="4A66AC" w:themeColor="accent1"/>
          <w:right w:val="single" w:sz="4" w:space="0" w:color="4A66AC" w:themeColor="accent1"/>
          <w:insideH w:val="nil"/>
          <w:insideV w:val="nil"/>
        </w:tcBorders>
        <w:shd w:val="clear" w:color="auto" w:fill="4A66AC" w:themeFill="accent1"/>
      </w:tcPr>
    </w:tblStylePr>
    <w:tblStylePr w:type="lastRow">
      <w:rPr>
        <w:b/>
        <w:bCs/>
      </w:rPr>
      <w:tblPr/>
      <w:tcPr>
        <w:tcBorders>
          <w:top w:val="double" w:sz="4" w:space="0" w:color="4A66AC" w:themeColor="accent1"/>
        </w:tcBorders>
      </w:tcPr>
    </w:tblStylePr>
    <w:tblStylePr w:type="firstCol">
      <w:rPr>
        <w:b/>
        <w:bCs/>
      </w:rPr>
    </w:tblStylePr>
    <w:tblStylePr w:type="lastCol">
      <w:rPr>
        <w:b/>
        <w:bCs/>
      </w:rPr>
    </w:tblStylePr>
    <w:tblStylePr w:type="band1Vert">
      <w:tblPr/>
      <w:tcPr>
        <w:shd w:val="clear" w:color="auto" w:fill="D9DFEF" w:themeFill="accent1" w:themeFillTint="33"/>
      </w:tcPr>
    </w:tblStylePr>
    <w:tblStylePr w:type="band1Horz">
      <w:tblPr/>
      <w:tcPr>
        <w:shd w:val="clear" w:color="auto" w:fill="D9DFEF" w:themeFill="accent1" w:themeFillTint="33"/>
      </w:tcPr>
    </w:tblStylePr>
  </w:style>
  <w:style w:type="table" w:styleId="GridTable1Light-Accent3">
    <w:name w:val="Grid Table 1 Light Accent 3"/>
    <w:basedOn w:val="TableNormal"/>
    <w:uiPriority w:val="46"/>
    <w:rsid w:val="00316E5B"/>
    <w:pPr>
      <w:spacing w:after="0" w:line="240" w:lineRule="auto"/>
    </w:pPr>
    <w:rPr>
      <w:rFonts w:eastAsiaTheme="minorHAnsi"/>
      <w:lang w:val="bg-BG"/>
    </w:rPr>
    <w:tblPr>
      <w:tblStyleRowBandSize w:val="1"/>
      <w:tblStyleColBandSize w:val="1"/>
      <w:tblBorders>
        <w:top w:val="single" w:sz="4" w:space="0" w:color="A8CBEE" w:themeColor="accent3" w:themeTint="66"/>
        <w:left w:val="single" w:sz="4" w:space="0" w:color="A8CBEE" w:themeColor="accent3" w:themeTint="66"/>
        <w:bottom w:val="single" w:sz="4" w:space="0" w:color="A8CBEE" w:themeColor="accent3" w:themeTint="66"/>
        <w:right w:val="single" w:sz="4" w:space="0" w:color="A8CBEE" w:themeColor="accent3" w:themeTint="66"/>
        <w:insideH w:val="single" w:sz="4" w:space="0" w:color="A8CBEE" w:themeColor="accent3" w:themeTint="66"/>
        <w:insideV w:val="single" w:sz="4" w:space="0" w:color="A8CBEE" w:themeColor="accent3" w:themeTint="66"/>
      </w:tblBorders>
    </w:tblPr>
    <w:tblStylePr w:type="firstRow">
      <w:rPr>
        <w:b/>
        <w:bCs/>
      </w:rPr>
      <w:tblPr/>
      <w:tcPr>
        <w:tcBorders>
          <w:bottom w:val="single" w:sz="12" w:space="0" w:color="7EB1E6" w:themeColor="accent3" w:themeTint="99"/>
        </w:tcBorders>
      </w:tcPr>
    </w:tblStylePr>
    <w:tblStylePr w:type="lastRow">
      <w:rPr>
        <w:b/>
        <w:bCs/>
      </w:rPr>
      <w:tblPr/>
      <w:tcPr>
        <w:tcBorders>
          <w:top w:val="double" w:sz="2" w:space="0" w:color="7EB1E6" w:themeColor="accent3" w:themeTint="99"/>
        </w:tcBorders>
      </w:tcPr>
    </w:tblStylePr>
    <w:tblStylePr w:type="firstCol">
      <w:rPr>
        <w:b/>
        <w:bCs/>
      </w:rPr>
    </w:tblStylePr>
    <w:tblStylePr w:type="lastCol">
      <w:rPr>
        <w:b/>
        <w:bCs/>
      </w:rPr>
    </w:tblStylePr>
  </w:style>
  <w:style w:type="table" w:customStyle="1" w:styleId="GridTable1Light-Accent11">
    <w:name w:val="Grid Table 1 Light - Accent 11"/>
    <w:basedOn w:val="TableNormal"/>
    <w:next w:val="GridTable1Light-Accent1"/>
    <w:uiPriority w:val="46"/>
    <w:rsid w:val="00316E5B"/>
    <w:pPr>
      <w:spacing w:after="0" w:line="240" w:lineRule="auto"/>
    </w:pPr>
    <w:rPr>
      <w:rFonts w:eastAsiaTheme="minorHAnsi"/>
      <w:lang w:val="bg-BG"/>
    </w:rPr>
    <w:tblPr>
      <w:tblStyleRowBandSize w:val="1"/>
      <w:tblStyleColBandSize w:val="1"/>
      <w:tblBorders>
        <w:top w:val="single" w:sz="4" w:space="0" w:color="B5C0DF" w:themeColor="accent1" w:themeTint="66"/>
        <w:left w:val="single" w:sz="4" w:space="0" w:color="B5C0DF" w:themeColor="accent1" w:themeTint="66"/>
        <w:bottom w:val="single" w:sz="4" w:space="0" w:color="B5C0DF" w:themeColor="accent1" w:themeTint="66"/>
        <w:right w:val="single" w:sz="4" w:space="0" w:color="B5C0DF" w:themeColor="accent1" w:themeTint="66"/>
        <w:insideH w:val="single" w:sz="4" w:space="0" w:color="B5C0DF" w:themeColor="accent1" w:themeTint="66"/>
        <w:insideV w:val="single" w:sz="4" w:space="0" w:color="B5C0DF" w:themeColor="accent1" w:themeTint="66"/>
      </w:tblBorders>
    </w:tblPr>
    <w:tblStylePr w:type="firstRow">
      <w:rPr>
        <w:b/>
        <w:bCs/>
      </w:rPr>
      <w:tblPr/>
      <w:tcPr>
        <w:tcBorders>
          <w:bottom w:val="single" w:sz="12" w:space="0" w:color="90A1CF" w:themeColor="accent1" w:themeTint="99"/>
        </w:tcBorders>
      </w:tcPr>
    </w:tblStylePr>
    <w:tblStylePr w:type="lastRow">
      <w:rPr>
        <w:b/>
        <w:bCs/>
      </w:rPr>
      <w:tblPr/>
      <w:tcPr>
        <w:tcBorders>
          <w:top w:val="double" w:sz="2" w:space="0" w:color="90A1CF" w:themeColor="accent1" w:themeTint="99"/>
        </w:tcBorders>
      </w:tcPr>
    </w:tblStylePr>
    <w:tblStylePr w:type="firstCol">
      <w:rPr>
        <w:b/>
        <w:bCs/>
      </w:rPr>
    </w:tblStylePr>
    <w:tblStylePr w:type="lastCol">
      <w:rPr>
        <w:b/>
        <w:bCs/>
      </w:rPr>
    </w:tblStylePr>
  </w:style>
  <w:style w:type="table" w:customStyle="1" w:styleId="TableGrid1">
    <w:name w:val="Table Grid1"/>
    <w:basedOn w:val="TableNormal"/>
    <w:next w:val="TableGrid"/>
    <w:uiPriority w:val="39"/>
    <w:rsid w:val="00316E5B"/>
    <w:pPr>
      <w:spacing w:after="0" w:line="240" w:lineRule="auto"/>
    </w:pPr>
    <w:rPr>
      <w:rFonts w:eastAsiaTheme="minorHAnsi"/>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1">
    <w:name w:val="Table Grid Light1"/>
    <w:basedOn w:val="TableNormal"/>
    <w:next w:val="TableGridLight"/>
    <w:uiPriority w:val="40"/>
    <w:rsid w:val="00316E5B"/>
    <w:pPr>
      <w:spacing w:after="0" w:line="240" w:lineRule="auto"/>
    </w:pPr>
    <w:rPr>
      <w:rFonts w:eastAsiaTheme="minorHAnsi"/>
      <w:lang w:val="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TOC2">
    <w:name w:val="toc 2"/>
    <w:basedOn w:val="Normal"/>
    <w:next w:val="Normal"/>
    <w:autoRedefine/>
    <w:uiPriority w:val="39"/>
    <w:unhideWhenUsed/>
    <w:rsid w:val="00206CFE"/>
    <w:pPr>
      <w:spacing w:after="100"/>
      <w:ind w:left="220"/>
    </w:pPr>
  </w:style>
  <w:style w:type="character" w:customStyle="1" w:styleId="UnresolvedMention3">
    <w:name w:val="Unresolved Mention3"/>
    <w:basedOn w:val="DefaultParagraphFont"/>
    <w:uiPriority w:val="99"/>
    <w:semiHidden/>
    <w:unhideWhenUsed/>
    <w:rsid w:val="003A769C"/>
    <w:rPr>
      <w:color w:val="605E5C"/>
      <w:shd w:val="clear" w:color="auto" w:fill="E1DFDD"/>
    </w:rPr>
  </w:style>
  <w:style w:type="paragraph" w:styleId="Revision">
    <w:name w:val="Revision"/>
    <w:hidden/>
    <w:uiPriority w:val="99"/>
    <w:semiHidden/>
    <w:rsid w:val="005D273A"/>
    <w:pPr>
      <w:spacing w:after="0" w:line="240" w:lineRule="auto"/>
    </w:pPr>
  </w:style>
  <w:style w:type="table" w:customStyle="1" w:styleId="TableGrid3">
    <w:name w:val="Table Grid3"/>
    <w:basedOn w:val="TableNormal"/>
    <w:next w:val="TableGrid"/>
    <w:uiPriority w:val="39"/>
    <w:rsid w:val="002E57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683EF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631300">
      <w:bodyDiv w:val="1"/>
      <w:marLeft w:val="0"/>
      <w:marRight w:val="0"/>
      <w:marTop w:val="0"/>
      <w:marBottom w:val="0"/>
      <w:divBdr>
        <w:top w:val="none" w:sz="0" w:space="0" w:color="auto"/>
        <w:left w:val="none" w:sz="0" w:space="0" w:color="auto"/>
        <w:bottom w:val="none" w:sz="0" w:space="0" w:color="auto"/>
        <w:right w:val="none" w:sz="0" w:space="0" w:color="auto"/>
      </w:divBdr>
    </w:div>
    <w:div w:id="349837968">
      <w:bodyDiv w:val="1"/>
      <w:marLeft w:val="0"/>
      <w:marRight w:val="0"/>
      <w:marTop w:val="0"/>
      <w:marBottom w:val="0"/>
      <w:divBdr>
        <w:top w:val="none" w:sz="0" w:space="0" w:color="auto"/>
        <w:left w:val="none" w:sz="0" w:space="0" w:color="auto"/>
        <w:bottom w:val="none" w:sz="0" w:space="0" w:color="auto"/>
        <w:right w:val="none" w:sz="0" w:space="0" w:color="auto"/>
      </w:divBdr>
    </w:div>
    <w:div w:id="451024980">
      <w:bodyDiv w:val="1"/>
      <w:marLeft w:val="0"/>
      <w:marRight w:val="0"/>
      <w:marTop w:val="0"/>
      <w:marBottom w:val="0"/>
      <w:divBdr>
        <w:top w:val="none" w:sz="0" w:space="0" w:color="auto"/>
        <w:left w:val="none" w:sz="0" w:space="0" w:color="auto"/>
        <w:bottom w:val="none" w:sz="0" w:space="0" w:color="auto"/>
        <w:right w:val="none" w:sz="0" w:space="0" w:color="auto"/>
      </w:divBdr>
    </w:div>
    <w:div w:id="476610020">
      <w:bodyDiv w:val="1"/>
      <w:marLeft w:val="0"/>
      <w:marRight w:val="0"/>
      <w:marTop w:val="0"/>
      <w:marBottom w:val="0"/>
      <w:divBdr>
        <w:top w:val="none" w:sz="0" w:space="0" w:color="auto"/>
        <w:left w:val="none" w:sz="0" w:space="0" w:color="auto"/>
        <w:bottom w:val="none" w:sz="0" w:space="0" w:color="auto"/>
        <w:right w:val="none" w:sz="0" w:space="0" w:color="auto"/>
      </w:divBdr>
    </w:div>
    <w:div w:id="665934465">
      <w:bodyDiv w:val="1"/>
      <w:marLeft w:val="0"/>
      <w:marRight w:val="0"/>
      <w:marTop w:val="0"/>
      <w:marBottom w:val="0"/>
      <w:divBdr>
        <w:top w:val="none" w:sz="0" w:space="0" w:color="auto"/>
        <w:left w:val="none" w:sz="0" w:space="0" w:color="auto"/>
        <w:bottom w:val="none" w:sz="0" w:space="0" w:color="auto"/>
        <w:right w:val="none" w:sz="0" w:space="0" w:color="auto"/>
      </w:divBdr>
    </w:div>
    <w:div w:id="705254028">
      <w:bodyDiv w:val="1"/>
      <w:marLeft w:val="0"/>
      <w:marRight w:val="0"/>
      <w:marTop w:val="0"/>
      <w:marBottom w:val="0"/>
      <w:divBdr>
        <w:top w:val="none" w:sz="0" w:space="0" w:color="auto"/>
        <w:left w:val="none" w:sz="0" w:space="0" w:color="auto"/>
        <w:bottom w:val="none" w:sz="0" w:space="0" w:color="auto"/>
        <w:right w:val="none" w:sz="0" w:space="0" w:color="auto"/>
      </w:divBdr>
    </w:div>
    <w:div w:id="761292884">
      <w:bodyDiv w:val="1"/>
      <w:marLeft w:val="0"/>
      <w:marRight w:val="0"/>
      <w:marTop w:val="0"/>
      <w:marBottom w:val="0"/>
      <w:divBdr>
        <w:top w:val="none" w:sz="0" w:space="0" w:color="auto"/>
        <w:left w:val="none" w:sz="0" w:space="0" w:color="auto"/>
        <w:bottom w:val="none" w:sz="0" w:space="0" w:color="auto"/>
        <w:right w:val="none" w:sz="0" w:space="0" w:color="auto"/>
      </w:divBdr>
    </w:div>
    <w:div w:id="882866171">
      <w:bodyDiv w:val="1"/>
      <w:marLeft w:val="0"/>
      <w:marRight w:val="0"/>
      <w:marTop w:val="0"/>
      <w:marBottom w:val="0"/>
      <w:divBdr>
        <w:top w:val="none" w:sz="0" w:space="0" w:color="auto"/>
        <w:left w:val="none" w:sz="0" w:space="0" w:color="auto"/>
        <w:bottom w:val="none" w:sz="0" w:space="0" w:color="auto"/>
        <w:right w:val="none" w:sz="0" w:space="0" w:color="auto"/>
      </w:divBdr>
    </w:div>
    <w:div w:id="1449356744">
      <w:bodyDiv w:val="1"/>
      <w:marLeft w:val="0"/>
      <w:marRight w:val="0"/>
      <w:marTop w:val="0"/>
      <w:marBottom w:val="0"/>
      <w:divBdr>
        <w:top w:val="none" w:sz="0" w:space="0" w:color="auto"/>
        <w:left w:val="none" w:sz="0" w:space="0" w:color="auto"/>
        <w:bottom w:val="none" w:sz="0" w:space="0" w:color="auto"/>
        <w:right w:val="none" w:sz="0" w:space="0" w:color="auto"/>
      </w:divBdr>
    </w:div>
    <w:div w:id="1510100244">
      <w:bodyDiv w:val="1"/>
      <w:marLeft w:val="0"/>
      <w:marRight w:val="0"/>
      <w:marTop w:val="0"/>
      <w:marBottom w:val="0"/>
      <w:divBdr>
        <w:top w:val="none" w:sz="0" w:space="0" w:color="auto"/>
        <w:left w:val="none" w:sz="0" w:space="0" w:color="auto"/>
        <w:bottom w:val="none" w:sz="0" w:space="0" w:color="auto"/>
        <w:right w:val="none" w:sz="0" w:space="0" w:color="auto"/>
      </w:divBdr>
      <w:divsChild>
        <w:div w:id="930964015">
          <w:marLeft w:val="0"/>
          <w:marRight w:val="0"/>
          <w:marTop w:val="0"/>
          <w:marBottom w:val="0"/>
          <w:divBdr>
            <w:top w:val="none" w:sz="0" w:space="0" w:color="auto"/>
            <w:left w:val="none" w:sz="0" w:space="0" w:color="auto"/>
            <w:bottom w:val="none" w:sz="0" w:space="0" w:color="auto"/>
            <w:right w:val="none" w:sz="0" w:space="0" w:color="auto"/>
          </w:divBdr>
        </w:div>
      </w:divsChild>
    </w:div>
    <w:div w:id="1882589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jpg"/><Relationship Id="rId18" Type="http://schemas.openxmlformats.org/officeDocument/2006/relationships/header" Target="header2.xml"/><Relationship Id="rId26" Type="http://schemas.openxmlformats.org/officeDocument/2006/relationships/chart" Target="charts/chart7.xml"/><Relationship Id="rId39"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hart" Target="charts/chart3.xml"/><Relationship Id="rId34"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hyperlink" Target="file:///C:\Users\rozaliya\Desktop\Short%20Doclad_OPT%202601%20EN%20Rozi.docx" TargetMode="External"/><Relationship Id="rId17" Type="http://schemas.openxmlformats.org/officeDocument/2006/relationships/footer" Target="footer1.xml"/><Relationship Id="rId25" Type="http://schemas.openxmlformats.org/officeDocument/2006/relationships/chart" Target="charts/chart6.xml"/><Relationship Id="rId33" Type="http://schemas.openxmlformats.org/officeDocument/2006/relationships/chart" Target="charts/chart11.xml"/><Relationship Id="rId38" Type="http://schemas.openxmlformats.org/officeDocument/2006/relationships/hyperlink" Target="http://www.eufunds.bg" TargetMode="Externa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chart" Target="charts/chart2.xml"/><Relationship Id="rId29"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file:///C:\Users\rozaliya\Desktop\Short%20Doclad_OPT%202601%20EN%20Rozi.docx" TargetMode="External"/><Relationship Id="rId24" Type="http://schemas.openxmlformats.org/officeDocument/2006/relationships/chart" Target="charts/chart5.xml"/><Relationship Id="rId32" Type="http://schemas.openxmlformats.org/officeDocument/2006/relationships/chart" Target="charts/chart10.xml"/><Relationship Id="rId37" Type="http://schemas.openxmlformats.org/officeDocument/2006/relationships/footer" Target="footer3.xml"/><Relationship Id="rId40"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chart" Target="charts/chart4.xml"/><Relationship Id="rId28" Type="http://schemas.openxmlformats.org/officeDocument/2006/relationships/image" Target="media/image6.jpeg"/><Relationship Id="rId36" Type="http://schemas.openxmlformats.org/officeDocument/2006/relationships/header" Target="header4.xml"/><Relationship Id="rId10" Type="http://schemas.openxmlformats.org/officeDocument/2006/relationships/endnotes" Target="endnotes.xml"/><Relationship Id="rId19" Type="http://schemas.openxmlformats.org/officeDocument/2006/relationships/chart" Target="charts/chart1.xml"/><Relationship Id="rId31" Type="http://schemas.openxmlformats.org/officeDocument/2006/relationships/chart" Target="charts/chart9.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minfin.bg/bg/1168" TargetMode="External"/><Relationship Id="rId22" Type="http://schemas.openxmlformats.org/officeDocument/2006/relationships/hyperlink" Target="http://329DE6C420DED341DA9DEE4F3DBE8E66AA0E72CD/file%3A%2F%2F%2FC%3A%5CUsers%5Crozaliya%5CDesktop%5CCopy%2520of%2520%D0%A2%D0%B0%D0%B1%D0%BB%D0%B8%D1%86%D0%B8%2520%D0%9E%D0%9F%D0%A2%2520%D0%B8%D0%BD%D0%B4%D0%B8%D0%BA%D0%B0%D1%82%D0%BE%D1%80%D0%B8%2520%D0%9E%D0%BA%D0%BE%D0%BD%D1%87%D0%B0%D1%82%D0%B5%D0%BB%D0%B5%D0%BD%2520%D0%B4%D0%BE%D0%BA%D0%BB%D0%B0%D0%B4%25201.xlsx" TargetMode="External"/><Relationship Id="rId27" Type="http://schemas.openxmlformats.org/officeDocument/2006/relationships/image" Target="media/image5.jpeg"/><Relationship Id="rId30" Type="http://schemas.openxmlformats.org/officeDocument/2006/relationships/chart" Target="charts/chart8.xml"/><Relationship Id="rId35" Type="http://schemas.openxmlformats.org/officeDocument/2006/relationships/footer" Target="footer2.xml"/></Relationships>
</file>

<file path=word/_rels/footnotes.xml.rels><?xml version="1.0" encoding="UTF-8" standalone="yes"?>
<Relationships xmlns="http://schemas.openxmlformats.org/package/2006/relationships"><Relationship Id="rId3" Type="http://schemas.openxmlformats.org/officeDocument/2006/relationships/hyperlink" Target="https://ec.europa.eu/regional_policy/en/information/publications/reports/2018/ex-post-evaluation-of-major-projects-supported-by-the-european-regional-development-fund-erdf-and-cohesion-fund-between-2000-and-2013" TargetMode="External"/><Relationship Id="rId2" Type="http://schemas.openxmlformats.org/officeDocument/2006/relationships/hyperlink" Target="https://ec.europa.eu/regional_policy/en/information/publications/evaluations-guidance-documents/2008/guide-to-cost-benefit-analysis-of-investment-projects" TargetMode="External"/><Relationship Id="rId1" Type="http://schemas.openxmlformats.org/officeDocument/2006/relationships/hyperlink" Target="https://www.eufunds.bg/sites/default/files/uploads/eip/docs/2019-04/%D0%A0%D0%9C%D0%A1%20196%20%D0%BF%D1%80%D0%B8%D0%BB%D0%BE%D0%B6%D0%B5%D0%BD%D0%B8%D0%B5.pdf"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_rels/header4.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Microsoft_Excel_Worksheet.xlsx"/></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package" Target="../embeddings/Microsoft_Excel_Worksheet1.xlsx"/></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package" Target="../embeddings/Microsoft_Excel_Worksheet2.xlsx"/></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package" Target="../embeddings/Microsoft_Excel_Worksheet3.xlsx"/></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oleObject" Target="file:///E:\Projects\2020%20OP%20Transport\OPT%20en.xlsx" TargetMode="External"/></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oleObject" Target="file:///E:\Projects\2020%20OP%20Transport\OPT%20en.xlsx" TargetMode="External"/></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7.xml"/><Relationship Id="rId2" Type="http://schemas.microsoft.com/office/2011/relationships/chartColorStyle" Target="colors7.xml"/><Relationship Id="rId1" Type="http://schemas.microsoft.com/office/2011/relationships/chartStyle" Target="style7.xml"/><Relationship Id="rId4" Type="http://schemas.openxmlformats.org/officeDocument/2006/relationships/package" Target="../embeddings/Microsoft_Excel_Worksheet4.xlsx"/></Relationships>
</file>

<file path=word/charts/_rels/chart8.xml.rels><?xml version="1.0" encoding="UTF-8" standalone="yes"?>
<Relationships xmlns="http://schemas.openxmlformats.org/package/2006/relationships"><Relationship Id="rId3" Type="http://schemas.openxmlformats.org/officeDocument/2006/relationships/themeOverride" Target="../theme/themeOverride8.xml"/><Relationship Id="rId2" Type="http://schemas.microsoft.com/office/2011/relationships/chartColorStyle" Target="colors8.xml"/><Relationship Id="rId1" Type="http://schemas.microsoft.com/office/2011/relationships/chartStyle" Target="style8.xml"/><Relationship Id="rId4" Type="http://schemas.openxmlformats.org/officeDocument/2006/relationships/package" Target="../embeddings/Microsoft_Excel_Worksheet5.xlsx"/></Relationships>
</file>

<file path=word/charts/_rels/chart9.xml.rels><?xml version="1.0" encoding="UTF-8" standalone="yes"?>
<Relationships xmlns="http://schemas.openxmlformats.org/package/2006/relationships"><Relationship Id="rId3" Type="http://schemas.openxmlformats.org/officeDocument/2006/relationships/themeOverride" Target="../theme/themeOverride9.xml"/><Relationship Id="rId2" Type="http://schemas.microsoft.com/office/2011/relationships/chartColorStyle" Target="colors9.xml"/><Relationship Id="rId1" Type="http://schemas.microsoft.com/office/2011/relationships/chartStyle" Target="style9.xml"/><Relationship Id="rId4" Type="http://schemas.openxmlformats.org/officeDocument/2006/relationships/package" Target="../embeddings/Microsoft_Excel_Worksheet6.xlsx"/></Relationships>
</file>

<file path=word/charts/_rels/chart10.xml.rels><?xml version="1.0" encoding="UTF-8" standalone="yes"?>
<Relationships xmlns="http://schemas.openxmlformats.org/package/2006/relationships"><Relationship Id="rId3" Type="http://schemas.openxmlformats.org/officeDocument/2006/relationships/themeOverride" Target="../theme/themeOverride10.xml"/><Relationship Id="rId2" Type="http://schemas.microsoft.com/office/2011/relationships/chartColorStyle" Target="colors10.xml"/><Relationship Id="rId1" Type="http://schemas.microsoft.com/office/2011/relationships/chartStyle" Target="style10.xml"/><Relationship Id="rId4" Type="http://schemas.openxmlformats.org/officeDocument/2006/relationships/package" Target="../embeddings/Microsoft_Excel_Worksheet7.xlsx"/></Relationships>
</file>

<file path=word/charts/_rels/chart11.xml.rels><?xml version="1.0" encoding="UTF-8" standalone="yes"?>
<Relationships xmlns="http://schemas.openxmlformats.org/package/2006/relationships"><Relationship Id="rId3" Type="http://schemas.openxmlformats.org/officeDocument/2006/relationships/package" Target="../embeddings/Microsoft_Excel_Worksheet8.xlsx"/><Relationship Id="rId2" Type="http://schemas.microsoft.com/office/2011/relationships/chartColorStyle" Target="colors11.xml"/><Relationship Id="rId1" Type="http://schemas.microsoft.com/office/2011/relationships/chartStyle" Target="style1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800" b="1" i="0" u="none" strike="noStrike" kern="1200" baseline="0">
                <a:solidFill>
                  <a:sysClr val="windowText" lastClr="000000"/>
                </a:solidFill>
                <a:latin typeface="Verdana" panose="020B0604030504040204" pitchFamily="34" charset="0"/>
                <a:ea typeface="Verdana" panose="020B0604030504040204" pitchFamily="34" charset="0"/>
                <a:cs typeface="Verdana" panose="020B0604030504040204" pitchFamily="34" charset="0"/>
              </a:defRPr>
            </a:pPr>
            <a:r>
              <a:rPr lang="en-GB" sz="800">
                <a:solidFill>
                  <a:sysClr val="windowText" lastClr="000000"/>
                </a:solidFill>
                <a:latin typeface="Verdana" panose="020B0604030504040204" pitchFamily="34" charset="0"/>
                <a:ea typeface="Verdana" panose="020B0604030504040204" pitchFamily="34" charset="0"/>
                <a:cs typeface="Verdana" panose="020B0604030504040204" pitchFamily="34" charset="0"/>
              </a:rPr>
              <a:t>Initial</a:t>
            </a:r>
            <a:r>
              <a:rPr lang="en-GB" sz="800" baseline="0">
                <a:solidFill>
                  <a:sysClr val="windowText" lastClr="000000"/>
                </a:solidFill>
                <a:latin typeface="Verdana" panose="020B0604030504040204" pitchFamily="34" charset="0"/>
                <a:ea typeface="Verdana" panose="020B0604030504040204" pitchFamily="34" charset="0"/>
                <a:cs typeface="Verdana" panose="020B0604030504040204" pitchFamily="34" charset="0"/>
              </a:rPr>
              <a:t> programme budget</a:t>
            </a:r>
            <a:endParaRPr lang="bg-BG" sz="800">
              <a:solidFill>
                <a:sysClr val="windowText" lastClr="000000"/>
              </a:solidFill>
              <a:latin typeface="Verdana" panose="020B0604030504040204" pitchFamily="34" charset="0"/>
              <a:ea typeface="Verdana" panose="020B0604030504040204" pitchFamily="34" charset="0"/>
              <a:cs typeface="Verdana" panose="020B0604030504040204" pitchFamily="34" charset="0"/>
            </a:endParaRPr>
          </a:p>
        </c:rich>
      </c:tx>
      <c:layout>
        <c:manualLayout>
          <c:xMode val="edge"/>
          <c:yMode val="edge"/>
          <c:x val="0.35458603520148202"/>
          <c:y val="3.7664783427495299E-3"/>
        </c:manualLayout>
      </c:layout>
      <c:overlay val="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Verdana" panose="020B0604030504040204" pitchFamily="34" charset="0"/>
              <a:ea typeface="Verdana" panose="020B0604030504040204" pitchFamily="34" charset="0"/>
              <a:cs typeface="Verdana" panose="020B0604030504040204" pitchFamily="34" charset="0"/>
            </a:defRPr>
          </a:pPr>
          <a:endParaRPr lang="bg-BG"/>
        </a:p>
      </c:txPr>
    </c:title>
    <c:autoTitleDeleted val="0"/>
    <c:plotArea>
      <c:layout/>
      <c:pieChart>
        <c:varyColors val="1"/>
        <c:ser>
          <c:idx val="1"/>
          <c:order val="1"/>
          <c:tx>
            <c:strRef>
              <c:f>Лист1!$F$3</c:f>
              <c:strCache>
                <c:ptCount val="1"/>
                <c:pt idx="0">
                  <c:v>Общо финансиране /млн. евро/</c:v>
                </c:pt>
              </c:strCache>
            </c:strRef>
          </c:tx>
          <c:dPt>
            <c:idx val="0"/>
            <c:bubble3D val="0"/>
            <c:spPr>
              <a:solidFill>
                <a:schemeClr val="accent1">
                  <a:alpha val="85000"/>
                </a:schemeClr>
              </a:solidFill>
              <a:ln w="9525" cap="flat" cmpd="sng" algn="ctr">
                <a:solidFill>
                  <a:schemeClr val="lt1">
                    <a:alpha val="50000"/>
                  </a:schemeClr>
                </a:solidFill>
                <a:round/>
              </a:ln>
              <a:effectLst/>
            </c:spPr>
            <c:extLst>
              <c:ext xmlns:c16="http://schemas.microsoft.com/office/drawing/2014/chart" uri="{C3380CC4-5D6E-409C-BE32-E72D297353CC}">
                <c16:uniqueId val="{00000001-C4FB-4104-A36B-C018C9FBF6D6}"/>
              </c:ext>
            </c:extLst>
          </c:dPt>
          <c:dPt>
            <c:idx val="1"/>
            <c:bubble3D val="0"/>
            <c:spPr>
              <a:solidFill>
                <a:schemeClr val="accent2">
                  <a:alpha val="85000"/>
                </a:schemeClr>
              </a:solidFill>
              <a:ln w="9525" cap="flat" cmpd="sng" algn="ctr">
                <a:solidFill>
                  <a:schemeClr val="lt1">
                    <a:alpha val="50000"/>
                  </a:schemeClr>
                </a:solidFill>
                <a:round/>
              </a:ln>
              <a:effectLst/>
            </c:spPr>
            <c:extLst>
              <c:ext xmlns:c16="http://schemas.microsoft.com/office/drawing/2014/chart" uri="{C3380CC4-5D6E-409C-BE32-E72D297353CC}">
                <c16:uniqueId val="{00000003-C4FB-4104-A36B-C018C9FBF6D6}"/>
              </c:ext>
            </c:extLst>
          </c:dPt>
          <c:dPt>
            <c:idx val="2"/>
            <c:bubble3D val="0"/>
            <c:spPr>
              <a:solidFill>
                <a:schemeClr val="accent3">
                  <a:alpha val="85000"/>
                </a:schemeClr>
              </a:solidFill>
              <a:ln w="9525" cap="flat" cmpd="sng" algn="ctr">
                <a:solidFill>
                  <a:schemeClr val="lt1">
                    <a:alpha val="50000"/>
                  </a:schemeClr>
                </a:solidFill>
                <a:round/>
              </a:ln>
              <a:effectLst/>
            </c:spPr>
            <c:extLst>
              <c:ext xmlns:c16="http://schemas.microsoft.com/office/drawing/2014/chart" uri="{C3380CC4-5D6E-409C-BE32-E72D297353CC}">
                <c16:uniqueId val="{00000005-C4FB-4104-A36B-C018C9FBF6D6}"/>
              </c:ext>
            </c:extLst>
          </c:dPt>
          <c:dPt>
            <c:idx val="3"/>
            <c:bubble3D val="0"/>
            <c:spPr>
              <a:solidFill>
                <a:schemeClr val="accent4">
                  <a:alpha val="85000"/>
                </a:schemeClr>
              </a:solidFill>
              <a:ln w="9525" cap="flat" cmpd="sng" algn="ctr">
                <a:solidFill>
                  <a:schemeClr val="lt1">
                    <a:alpha val="50000"/>
                  </a:schemeClr>
                </a:solidFill>
                <a:round/>
              </a:ln>
              <a:effectLst/>
            </c:spPr>
            <c:extLst>
              <c:ext xmlns:c16="http://schemas.microsoft.com/office/drawing/2014/chart" uri="{C3380CC4-5D6E-409C-BE32-E72D297353CC}">
                <c16:uniqueId val="{00000007-C4FB-4104-A36B-C018C9FBF6D6}"/>
              </c:ext>
            </c:extLst>
          </c:dPt>
          <c:dPt>
            <c:idx val="4"/>
            <c:bubble3D val="0"/>
            <c:spPr>
              <a:solidFill>
                <a:schemeClr val="accent5">
                  <a:alpha val="85000"/>
                </a:schemeClr>
              </a:solidFill>
              <a:ln w="9525" cap="flat" cmpd="sng" algn="ctr">
                <a:solidFill>
                  <a:schemeClr val="lt1">
                    <a:alpha val="50000"/>
                  </a:schemeClr>
                </a:solidFill>
                <a:round/>
              </a:ln>
              <a:effectLst/>
            </c:spPr>
            <c:extLst>
              <c:ext xmlns:c16="http://schemas.microsoft.com/office/drawing/2014/chart" uri="{C3380CC4-5D6E-409C-BE32-E72D297353CC}">
                <c16:uniqueId val="{00000009-C4FB-4104-A36B-C018C9FBF6D6}"/>
              </c:ext>
            </c:extLst>
          </c:dPt>
          <c:dLbls>
            <c:dLbl>
              <c:idx val="0"/>
              <c:layout>
                <c:manualLayout>
                  <c:x val="3.6459411918119099E-2"/>
                  <c:y val="-9.2593860550040305E-3"/>
                </c:manualLayout>
              </c:layout>
              <c:tx>
                <c:rich>
                  <a:bodyPr/>
                  <a:lstStyle/>
                  <a:p>
                    <a:r>
                      <a:rPr lang="en-US" baseline="0"/>
                      <a:t>Priority Axis 1, </a:t>
                    </a:r>
                    <a:fld id="{53734DE5-D086-4858-AB17-5162534DE7EF}" type="VALUE">
                      <a:rPr lang="en-US" baseline="0"/>
                      <a:pPr/>
                      <a:t>[VALUE]</a:t>
                    </a:fld>
                    <a:endParaRPr lang="en-US" baseline="0"/>
                  </a:p>
                </c:rich>
              </c:tx>
              <c:dLblPos val="bestFit"/>
              <c:showLegendKey val="0"/>
              <c:showVal val="1"/>
              <c:showCatName val="1"/>
              <c:showSerName val="0"/>
              <c:showPercent val="0"/>
              <c:showBubbleSize val="0"/>
              <c:extLst>
                <c:ext xmlns:c15="http://schemas.microsoft.com/office/drawing/2012/chart" uri="{CE6537A1-D6FC-4f65-9D91-7224C49458BB}">
                  <c15:layout>
                    <c:manualLayout>
                      <c:w val="0.20927413671599701"/>
                      <c:h val="0.10339544513457601"/>
                    </c:manualLayout>
                  </c15:layout>
                  <c15:dlblFieldTable/>
                  <c15:showDataLabelsRange val="0"/>
                </c:ext>
                <c:ext xmlns:c16="http://schemas.microsoft.com/office/drawing/2014/chart" uri="{C3380CC4-5D6E-409C-BE32-E72D297353CC}">
                  <c16:uniqueId val="{00000001-C4FB-4104-A36B-C018C9FBF6D6}"/>
                </c:ext>
              </c:extLst>
            </c:dLbl>
            <c:dLbl>
              <c:idx val="1"/>
              <c:layout>
                <c:manualLayout>
                  <c:x val="5.0043229890381298E-2"/>
                  <c:y val="-0.24278096593858001"/>
                </c:manualLayout>
              </c:layout>
              <c:tx>
                <c:rich>
                  <a:bodyPr/>
                  <a:lstStyle/>
                  <a:p>
                    <a:r>
                      <a:rPr lang="en-US" baseline="0"/>
                      <a:t>Priority Axis 2, </a:t>
                    </a:r>
                    <a:fld id="{6BF932B7-0374-4C07-A241-F29EA2955490}" type="VALUE">
                      <a:rPr lang="en-US" baseline="0"/>
                      <a:pPr/>
                      <a:t>[VALUE]</a:t>
                    </a:fld>
                    <a:endParaRPr lang="en-US" baseline="0"/>
                  </a:p>
                </c:rich>
              </c:tx>
              <c:dLblPos val="bestFit"/>
              <c:showLegendKey val="0"/>
              <c:showVal val="1"/>
              <c:showCatName val="1"/>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C4FB-4104-A36B-C018C9FBF6D6}"/>
                </c:ext>
              </c:extLst>
            </c:dLbl>
            <c:dLbl>
              <c:idx val="2"/>
              <c:layout>
                <c:manualLayout>
                  <c:x val="-7.4480689913760799E-4"/>
                  <c:y val="1.8597060960600299E-2"/>
                </c:manualLayout>
              </c:layout>
              <c:tx>
                <c:rich>
                  <a:bodyPr/>
                  <a:lstStyle/>
                  <a:p>
                    <a:r>
                      <a:rPr lang="en-US" baseline="0"/>
                      <a:t>Priority Axis 3, </a:t>
                    </a:r>
                    <a:fld id="{3FEFF73C-96DA-4EBD-8AEA-E11A749DDF53}" type="VALUE">
                      <a:rPr lang="en-US" baseline="0"/>
                      <a:pPr/>
                      <a:t>[VALUE]</a:t>
                    </a:fld>
                    <a:endParaRPr lang="en-US" baseline="0"/>
                  </a:p>
                </c:rich>
              </c:tx>
              <c:dLblPos val="bestFit"/>
              <c:showLegendKey val="0"/>
              <c:showVal val="1"/>
              <c:showCatName val="1"/>
              <c:showSerName val="0"/>
              <c:showPercent val="0"/>
              <c:showBubbleSize val="0"/>
              <c:extLst>
                <c:ext xmlns:c15="http://schemas.microsoft.com/office/drawing/2012/chart" uri="{CE6537A1-D6FC-4f65-9D91-7224C49458BB}">
                  <c15:layout>
                    <c:manualLayout>
                      <c:w val="0.21491190979563099"/>
                      <c:h val="0.10339544513457601"/>
                    </c:manualLayout>
                  </c15:layout>
                  <c15:dlblFieldTable/>
                  <c15:showDataLabelsRange val="0"/>
                </c:ext>
                <c:ext xmlns:c16="http://schemas.microsoft.com/office/drawing/2014/chart" uri="{C3380CC4-5D6E-409C-BE32-E72D297353CC}">
                  <c16:uniqueId val="{00000005-C4FB-4104-A36B-C018C9FBF6D6}"/>
                </c:ext>
              </c:extLst>
            </c:dLbl>
            <c:dLbl>
              <c:idx val="3"/>
              <c:layout>
                <c:manualLayout>
                  <c:x val="1.1408573928258999E-2"/>
                  <c:y val="1.4910212494624599E-3"/>
                </c:manualLayout>
              </c:layout>
              <c:tx>
                <c:rich>
                  <a:bodyPr/>
                  <a:lstStyle/>
                  <a:p>
                    <a:r>
                      <a:rPr lang="en-US" baseline="0"/>
                      <a:t>Priority Axis 4 </a:t>
                    </a:r>
                    <a:fld id="{C7386EED-20D1-44BE-9F0D-66DE07F9CDC7}" type="VALUE">
                      <a:rPr lang="en-US" baseline="0"/>
                      <a:pPr/>
                      <a:t>[VALUE]</a:t>
                    </a:fld>
                    <a:endParaRPr lang="en-US" baseline="0"/>
                  </a:p>
                </c:rich>
              </c:tx>
              <c:dLblPos val="bestFit"/>
              <c:showLegendKey val="0"/>
              <c:showVal val="1"/>
              <c:showCatName val="1"/>
              <c:showSerName val="0"/>
              <c:showPercent val="0"/>
              <c:showBubbleSize val="0"/>
              <c:extLst>
                <c:ext xmlns:c15="http://schemas.microsoft.com/office/drawing/2012/chart" uri="{CE6537A1-D6FC-4f65-9D91-7224C49458BB}">
                  <c15:layout>
                    <c:manualLayout>
                      <c:w val="0.20927413671599701"/>
                      <c:h val="0.10339544513457601"/>
                    </c:manualLayout>
                  </c15:layout>
                  <c15:dlblFieldTable/>
                  <c15:showDataLabelsRange val="0"/>
                </c:ext>
                <c:ext xmlns:c16="http://schemas.microsoft.com/office/drawing/2014/chart" uri="{C3380CC4-5D6E-409C-BE32-E72D297353CC}">
                  <c16:uniqueId val="{00000007-C4FB-4104-A36B-C018C9FBF6D6}"/>
                </c:ext>
              </c:extLst>
            </c:dLbl>
            <c:dLbl>
              <c:idx val="4"/>
              <c:layout>
                <c:manualLayout>
                  <c:x val="0.13180992375952999"/>
                  <c:y val="1.5693758619155701E-2"/>
                </c:manualLayout>
              </c:layout>
              <c:tx>
                <c:rich>
                  <a:bodyPr/>
                  <a:lstStyle/>
                  <a:p>
                    <a:r>
                      <a:rPr lang="en-US" baseline="0"/>
                      <a:t>Priority Axis 5, </a:t>
                    </a:r>
                    <a:fld id="{6300DE5C-6CD6-46FB-B0B4-689CA5FEEB70}" type="VALUE">
                      <a:rPr lang="en-US" baseline="0"/>
                      <a:pPr/>
                      <a:t>[VALUE]</a:t>
                    </a:fld>
                    <a:endParaRPr lang="en-US" baseline="0"/>
                  </a:p>
                </c:rich>
              </c:tx>
              <c:dLblPos val="bestFit"/>
              <c:showLegendKey val="0"/>
              <c:showVal val="1"/>
              <c:showCatName val="1"/>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9-C4FB-4104-A36B-C018C9FBF6D6}"/>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solidFill>
                    <a:latin typeface="+mn-lt"/>
                    <a:ea typeface="+mn-ea"/>
                    <a:cs typeface="+mn-cs"/>
                  </a:defRPr>
                </a:pPr>
                <a:endParaRPr lang="bg-BG"/>
              </a:p>
            </c:txPr>
            <c:dLblPos val="outEnd"/>
            <c:showLegendKey val="0"/>
            <c:showVal val="1"/>
            <c:showCatName val="1"/>
            <c:showSerName val="0"/>
            <c:showPercent val="0"/>
            <c:showBubbleSize val="0"/>
            <c:showLeaderLines val="1"/>
            <c:leaderLines>
              <c:spPr>
                <a:ln w="9525">
                  <a:solidFill>
                    <a:schemeClr val="dk1">
                      <a:lumMod val="50000"/>
                      <a:lumOff val="50000"/>
                    </a:schemeClr>
                  </a:solidFill>
                </a:ln>
                <a:effectLst/>
              </c:spPr>
            </c:leaderLines>
            <c:extLst>
              <c:ext xmlns:c15="http://schemas.microsoft.com/office/drawing/2012/chart" uri="{CE6537A1-D6FC-4f65-9D91-7224C49458BB}"/>
            </c:extLst>
          </c:dLbls>
          <c:cat>
            <c:strRef>
              <c:f>Лист1!$D$4:$D$8</c:f>
              <c:strCache>
                <c:ptCount val="5"/>
                <c:pt idx="0">
                  <c:v>Priority Axis 1</c:v>
                </c:pt>
                <c:pt idx="1">
                  <c:v>Priority Axis 2</c:v>
                </c:pt>
                <c:pt idx="2">
                  <c:v>Priority Axis 3</c:v>
                </c:pt>
                <c:pt idx="3">
                  <c:v>Priority Axis 4</c:v>
                </c:pt>
                <c:pt idx="4">
                  <c:v>Priority Axis 5</c:v>
                </c:pt>
              </c:strCache>
            </c:strRef>
          </c:cat>
          <c:val>
            <c:numRef>
              <c:f>Лист1!$F$4:$F$8</c:f>
              <c:numCache>
                <c:formatCode>_-* #,##0.00\ [$€-1]_-;\-* #,##0.00\ [$€-1]_-;_-* "-"??\ [$€-1]_-;_-@_-</c:formatCode>
                <c:ptCount val="5"/>
                <c:pt idx="0">
                  <c:v>580000000</c:v>
                </c:pt>
                <c:pt idx="1">
                  <c:v>989587365</c:v>
                </c:pt>
                <c:pt idx="2">
                  <c:v>211093801</c:v>
                </c:pt>
                <c:pt idx="3">
                  <c:v>156850000</c:v>
                </c:pt>
                <c:pt idx="4">
                  <c:v>65950000</c:v>
                </c:pt>
              </c:numCache>
            </c:numRef>
          </c:val>
          <c:extLst>
            <c:ext xmlns:c16="http://schemas.microsoft.com/office/drawing/2014/chart" uri="{C3380CC4-5D6E-409C-BE32-E72D297353CC}">
              <c16:uniqueId val="{0000000A-C4FB-4104-A36B-C018C9FBF6D6}"/>
            </c:ext>
          </c:extLst>
        </c:ser>
        <c:dLbls>
          <c:showLegendKey val="0"/>
          <c:showVal val="0"/>
          <c:showCatName val="0"/>
          <c:showSerName val="0"/>
          <c:showPercent val="0"/>
          <c:showBubbleSize val="0"/>
          <c:showLeaderLines val="1"/>
        </c:dLbls>
        <c:firstSliceAng val="0"/>
        <c:extLst>
          <c:ext xmlns:c15="http://schemas.microsoft.com/office/drawing/2012/chart" uri="{02D57815-91ED-43cb-92C2-25804820EDAC}">
            <c15:filteredPieSeries>
              <c15:ser>
                <c:idx val="0"/>
                <c:order val="0"/>
                <c:tx>
                  <c:strRef>
                    <c:extLst>
                      <c:ext uri="{02D57815-91ED-43cb-92C2-25804820EDAC}">
                        <c15:formulaRef>
                          <c15:sqref>Лист1!$E$3</c15:sqref>
                        </c15:formulaRef>
                      </c:ext>
                    </c:extLst>
                    <c:strCache>
                      <c:ptCount val="1"/>
                      <c:pt idx="0">
                        <c:v>P</c:v>
                      </c:pt>
                    </c:strCache>
                  </c:strRef>
                </c:tx>
                <c:dPt>
                  <c:idx val="0"/>
                  <c:bubble3D val="0"/>
                  <c:spPr>
                    <a:solidFill>
                      <a:schemeClr val="accent1">
                        <a:alpha val="85000"/>
                      </a:schemeClr>
                    </a:solidFill>
                    <a:ln w="9525" cap="flat" cmpd="sng" algn="ctr">
                      <a:solidFill>
                        <a:schemeClr val="lt1">
                          <a:alpha val="50000"/>
                        </a:schemeClr>
                      </a:solidFill>
                      <a:round/>
                    </a:ln>
                    <a:effectLst/>
                  </c:spPr>
                  <c:extLst>
                    <c:ext xmlns:c16="http://schemas.microsoft.com/office/drawing/2014/chart" uri="{C3380CC4-5D6E-409C-BE32-E72D297353CC}">
                      <c16:uniqueId val="{0000000C-C4FB-4104-A36B-C018C9FBF6D6}"/>
                    </c:ext>
                  </c:extLst>
                </c:dPt>
                <c:dPt>
                  <c:idx val="1"/>
                  <c:bubble3D val="0"/>
                  <c:spPr>
                    <a:solidFill>
                      <a:schemeClr val="accent2">
                        <a:alpha val="85000"/>
                      </a:schemeClr>
                    </a:solidFill>
                    <a:ln w="9525" cap="flat" cmpd="sng" algn="ctr">
                      <a:solidFill>
                        <a:schemeClr val="lt1">
                          <a:alpha val="50000"/>
                        </a:schemeClr>
                      </a:solidFill>
                      <a:round/>
                    </a:ln>
                    <a:effectLst/>
                  </c:spPr>
                  <c:extLst>
                    <c:ext xmlns:c16="http://schemas.microsoft.com/office/drawing/2014/chart" uri="{C3380CC4-5D6E-409C-BE32-E72D297353CC}">
                      <c16:uniqueId val="{0000000E-C4FB-4104-A36B-C018C9FBF6D6}"/>
                    </c:ext>
                  </c:extLst>
                </c:dPt>
                <c:dPt>
                  <c:idx val="2"/>
                  <c:bubble3D val="0"/>
                  <c:spPr>
                    <a:solidFill>
                      <a:schemeClr val="accent3">
                        <a:alpha val="85000"/>
                      </a:schemeClr>
                    </a:solidFill>
                    <a:ln w="9525" cap="flat" cmpd="sng" algn="ctr">
                      <a:solidFill>
                        <a:schemeClr val="lt1">
                          <a:alpha val="50000"/>
                        </a:schemeClr>
                      </a:solidFill>
                      <a:round/>
                    </a:ln>
                    <a:effectLst/>
                  </c:spPr>
                  <c:extLst>
                    <c:ext xmlns:c16="http://schemas.microsoft.com/office/drawing/2014/chart" uri="{C3380CC4-5D6E-409C-BE32-E72D297353CC}">
                      <c16:uniqueId val="{00000010-C4FB-4104-A36B-C018C9FBF6D6}"/>
                    </c:ext>
                  </c:extLst>
                </c:dPt>
                <c:dPt>
                  <c:idx val="3"/>
                  <c:bubble3D val="0"/>
                  <c:spPr>
                    <a:solidFill>
                      <a:schemeClr val="accent4">
                        <a:alpha val="85000"/>
                      </a:schemeClr>
                    </a:solidFill>
                    <a:ln w="9525" cap="flat" cmpd="sng" algn="ctr">
                      <a:solidFill>
                        <a:schemeClr val="lt1">
                          <a:alpha val="50000"/>
                        </a:schemeClr>
                      </a:solidFill>
                      <a:round/>
                    </a:ln>
                    <a:effectLst/>
                  </c:spPr>
                  <c:extLst>
                    <c:ext xmlns:c16="http://schemas.microsoft.com/office/drawing/2014/chart" uri="{C3380CC4-5D6E-409C-BE32-E72D297353CC}">
                      <c16:uniqueId val="{00000012-C4FB-4104-A36B-C018C9FBF6D6}"/>
                    </c:ext>
                  </c:extLst>
                </c:dPt>
                <c:dPt>
                  <c:idx val="4"/>
                  <c:bubble3D val="0"/>
                  <c:spPr>
                    <a:solidFill>
                      <a:schemeClr val="accent5">
                        <a:alpha val="85000"/>
                      </a:schemeClr>
                    </a:solidFill>
                    <a:ln w="9525" cap="flat" cmpd="sng" algn="ctr">
                      <a:solidFill>
                        <a:schemeClr val="lt1">
                          <a:alpha val="50000"/>
                        </a:schemeClr>
                      </a:solidFill>
                      <a:round/>
                    </a:ln>
                    <a:effectLst/>
                  </c:spPr>
                  <c:extLst>
                    <c:ext xmlns:c16="http://schemas.microsoft.com/office/drawing/2014/chart" uri="{C3380CC4-5D6E-409C-BE32-E72D297353CC}">
                      <c16:uniqueId val="{00000014-C4FB-4104-A36B-C018C9FBF6D6}"/>
                    </c:ext>
                  </c:extLst>
                </c:dPt>
                <c:dLbls>
                  <c:dLbl>
                    <c:idx val="1"/>
                    <c:layout>
                      <c:manualLayout>
                        <c:x val="-6.8610634648370496E-3"/>
                        <c:y val="-4.6296296296296701E-3"/>
                      </c:manualLayout>
                    </c:layout>
                    <c:dLblPos val="outEnd"/>
                    <c:showLegendKey val="0"/>
                    <c:showVal val="1"/>
                    <c:showCatName val="0"/>
                    <c:showSerName val="0"/>
                    <c:showPercent val="0"/>
                    <c:showBubbleSize val="0"/>
                    <c:extLst>
                      <c:ext uri="{CE6537A1-D6FC-4f65-9D91-7224C49458BB}"/>
                      <c:ext xmlns:c16="http://schemas.microsoft.com/office/drawing/2014/chart" uri="{C3380CC4-5D6E-409C-BE32-E72D297353CC}">
                        <c16:uniqueId val="{0000000E-C4FB-4104-A36B-C018C9FBF6D6}"/>
                      </c:ext>
                    </c:extLst>
                  </c:dLbl>
                  <c:dLbl>
                    <c:idx val="2"/>
                    <c:layout>
                      <c:manualLayout>
                        <c:x val="-2.28701215092539E-2"/>
                        <c:y val="1.82268883056285E-7"/>
                      </c:manualLayout>
                    </c:layout>
                    <c:dLblPos val="outEnd"/>
                    <c:showLegendKey val="0"/>
                    <c:showVal val="1"/>
                    <c:showCatName val="0"/>
                    <c:showSerName val="0"/>
                    <c:showPercent val="0"/>
                    <c:showBubbleSize val="0"/>
                    <c:extLst>
                      <c:ext uri="{CE6537A1-D6FC-4f65-9D91-7224C49458BB}">
                        <c15:layout>
                          <c:manualLayout>
                            <c:w val="0.15833047455689001"/>
                            <c:h val="6.4745552639253398E-2"/>
                          </c:manualLayout>
                        </c15:layout>
                      </c:ext>
                      <c:ext xmlns:c16="http://schemas.microsoft.com/office/drawing/2014/chart" uri="{C3380CC4-5D6E-409C-BE32-E72D297353CC}">
                        <c16:uniqueId val="{00000010-C4FB-4104-A36B-C018C9FBF6D6}"/>
                      </c:ext>
                    </c:extLst>
                  </c:dLbl>
                  <c:dLbl>
                    <c:idx val="3"/>
                    <c:layout>
                      <c:manualLayout>
                        <c:x val="-1.3722126929674099E-2"/>
                        <c:y val="-8.4875562720133702E-17"/>
                      </c:manualLayout>
                    </c:layout>
                    <c:dLblPos val="outEnd"/>
                    <c:showLegendKey val="0"/>
                    <c:showVal val="1"/>
                    <c:showCatName val="0"/>
                    <c:showSerName val="0"/>
                    <c:showPercent val="0"/>
                    <c:showBubbleSize val="0"/>
                    <c:extLst>
                      <c:ext uri="{CE6537A1-D6FC-4f65-9D91-7224C49458BB}"/>
                      <c:ext xmlns:c16="http://schemas.microsoft.com/office/drawing/2014/chart" uri="{C3380CC4-5D6E-409C-BE32-E72D297353CC}">
                        <c16:uniqueId val="{00000012-C4FB-4104-A36B-C018C9FBF6D6}"/>
                      </c:ext>
                    </c:extLst>
                  </c:dLbl>
                  <c:dLbl>
                    <c:idx val="4"/>
                    <c:layout>
                      <c:manualLayout>
                        <c:x val="-1.6009148084619899E-2"/>
                        <c:y val="8.4875562720133702E-17"/>
                      </c:manualLayout>
                    </c:layout>
                    <c:dLblPos val="outEnd"/>
                    <c:showLegendKey val="0"/>
                    <c:showVal val="1"/>
                    <c:showCatName val="0"/>
                    <c:showSerName val="0"/>
                    <c:showPercent val="0"/>
                    <c:showBubbleSize val="0"/>
                    <c:extLst>
                      <c:ext uri="{CE6537A1-D6FC-4f65-9D91-7224C49458BB}"/>
                      <c:ext xmlns:c16="http://schemas.microsoft.com/office/drawing/2014/chart" uri="{C3380CC4-5D6E-409C-BE32-E72D297353CC}">
                        <c16:uniqueId val="{00000014-C4FB-4104-A36B-C018C9FBF6D6}"/>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accent1">
                              <a:lumMod val="50000"/>
                            </a:schemeClr>
                          </a:solidFill>
                          <a:latin typeface="+mn-lt"/>
                          <a:ea typeface="+mn-ea"/>
                          <a:cs typeface="+mn-cs"/>
                        </a:defRPr>
                      </a:pPr>
                      <a:endParaRPr lang="bg-BG"/>
                    </a:p>
                  </c:txPr>
                  <c:dLblPos val="outEnd"/>
                  <c:showLegendKey val="0"/>
                  <c:showVal val="1"/>
                  <c:showCatName val="0"/>
                  <c:showSerName val="0"/>
                  <c:showPercent val="0"/>
                  <c:showBubbleSize val="0"/>
                  <c:showLeaderLines val="1"/>
                  <c:leaderLines>
                    <c:spPr>
                      <a:ln w="9525">
                        <a:solidFill>
                          <a:schemeClr val="dk1">
                            <a:lumMod val="50000"/>
                            <a:lumOff val="50000"/>
                          </a:schemeClr>
                        </a:solidFill>
                      </a:ln>
                      <a:effectLst/>
                    </c:spPr>
                  </c:leaderLines>
                  <c:extLst>
                    <c:ext uri="{CE6537A1-D6FC-4f65-9D91-7224C49458BB}"/>
                  </c:extLst>
                </c:dLbls>
                <c:cat>
                  <c:strRef>
                    <c:extLst>
                      <c:ext uri="{02D57815-91ED-43cb-92C2-25804820EDAC}">
                        <c15:formulaRef>
                          <c15:sqref>Лист1!$D$4:$D$8</c15:sqref>
                        </c15:formulaRef>
                      </c:ext>
                    </c:extLst>
                    <c:strCache>
                      <c:ptCount val="5"/>
                      <c:pt idx="0">
                        <c:v>Priority Axis 1</c:v>
                      </c:pt>
                      <c:pt idx="1">
                        <c:v>Priority Axis 2</c:v>
                      </c:pt>
                      <c:pt idx="2">
                        <c:v>Priority Axis 3</c:v>
                      </c:pt>
                      <c:pt idx="3">
                        <c:v>Priority Axis 4</c:v>
                      </c:pt>
                      <c:pt idx="4">
                        <c:v>Priority Axis 5</c:v>
                      </c:pt>
                    </c:strCache>
                  </c:strRef>
                </c:cat>
                <c:val>
                  <c:numRef>
                    <c:extLst>
                      <c:ext uri="{02D57815-91ED-43cb-92C2-25804820EDAC}">
                        <c15:formulaRef>
                          <c15:sqref>Лист1!$E$4:$E$8</c15:sqref>
                        </c15:formulaRef>
                      </c:ext>
                    </c:extLst>
                    <c:numCache>
                      <c:formatCode>_-* #,##0.00\ [$€-1]_-;\-* #,##0.00\ [$€-1]_-;_-* "-"??\ [$€-1]_-;_-@_-</c:formatCode>
                      <c:ptCount val="5"/>
                      <c:pt idx="0">
                        <c:v>464000000</c:v>
                      </c:pt>
                      <c:pt idx="1">
                        <c:v>791669892</c:v>
                      </c:pt>
                      <c:pt idx="2">
                        <c:v>179429731</c:v>
                      </c:pt>
                      <c:pt idx="3">
                        <c:v>133322500</c:v>
                      </c:pt>
                      <c:pt idx="4">
                        <c:v>56057500</c:v>
                      </c:pt>
                    </c:numCache>
                  </c:numRef>
                </c:val>
                <c:extLst>
                  <c:ext xmlns:c16="http://schemas.microsoft.com/office/drawing/2014/chart" uri="{C3380CC4-5D6E-409C-BE32-E72D297353CC}">
                    <c16:uniqueId val="{00000015-C4FB-4104-A36B-C018C9FBF6D6}"/>
                  </c:ext>
                </c:extLst>
              </c15:ser>
            </c15:filteredPieSeries>
          </c:ext>
        </c:extLst>
      </c:pieChart>
      <c:spPr>
        <a:noFill/>
        <a:ln>
          <a:noFill/>
        </a:ln>
        <a:effectLst/>
      </c:spPr>
    </c:plotArea>
    <c:legend>
      <c:legendPos val="b"/>
      <c:layout>
        <c:manualLayout>
          <c:xMode val="edge"/>
          <c:yMode val="edge"/>
          <c:x val="8.06911821011803E-2"/>
          <c:y val="0.841613928693696"/>
          <c:w val="0.86680650119580704"/>
          <c:h val="0.13354135080940999"/>
        </c:manualLayout>
      </c:layout>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bg-BG"/>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bg1">
          <a:lumMod val="50000"/>
        </a:schemeClr>
      </a:solidFill>
      <a:round/>
    </a:ln>
    <a:effectLst/>
  </c:spPr>
  <c:txPr>
    <a:bodyPr/>
    <a:lstStyle/>
    <a:p>
      <a:pPr>
        <a:defRPr/>
      </a:pPr>
      <a:endParaRPr lang="bg-BG"/>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900" b="1" i="0" u="none" strike="noStrike" kern="1200" baseline="0">
                <a:solidFill>
                  <a:sysClr val="windowText" lastClr="000000"/>
                </a:solidFill>
                <a:latin typeface="Verdana" panose="020B0604030504040204" pitchFamily="34" charset="0"/>
                <a:ea typeface="Verdana" panose="020B0604030504040204" pitchFamily="34" charset="0"/>
                <a:cs typeface="Verdana" panose="020B0604030504040204" pitchFamily="34" charset="0"/>
              </a:defRPr>
            </a:pPr>
            <a:r>
              <a:rPr lang="en-GB"/>
              <a:t>Amount</a:t>
            </a:r>
            <a:r>
              <a:rPr lang="en-GB" baseline="0"/>
              <a:t> of e</a:t>
            </a:r>
            <a:r>
              <a:rPr lang="en-GB"/>
              <a:t>xpenditures</a:t>
            </a:r>
            <a:r>
              <a:rPr lang="en-GB" baseline="0"/>
              <a:t> paid by PA </a:t>
            </a:r>
            <a:r>
              <a:rPr lang="bg-BG"/>
              <a:t>(</a:t>
            </a:r>
            <a:r>
              <a:rPr lang="en-GB"/>
              <a:t>in</a:t>
            </a:r>
            <a:r>
              <a:rPr lang="en-GB" baseline="0"/>
              <a:t> EUR</a:t>
            </a:r>
            <a:r>
              <a:rPr lang="bg-BG"/>
              <a:t>)</a:t>
            </a:r>
          </a:p>
        </c:rich>
      </c:tx>
      <c:overlay val="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Verdana" panose="020B0604030504040204" pitchFamily="34" charset="0"/>
              <a:ea typeface="Verdana" panose="020B0604030504040204" pitchFamily="34" charset="0"/>
              <a:cs typeface="Verdana" panose="020B0604030504040204" pitchFamily="34" charset="0"/>
            </a:defRPr>
          </a:pPr>
          <a:endParaRPr lang="bg-BG"/>
        </a:p>
      </c:txPr>
    </c:title>
    <c:autoTitleDeleted val="0"/>
    <c:plotArea>
      <c:layout/>
      <c:pieChart>
        <c:varyColors val="1"/>
        <c:ser>
          <c:idx val="0"/>
          <c:order val="0"/>
          <c:tx>
            <c:strRef>
              <c:f>Sheet1!$F$5</c:f>
              <c:strCache>
                <c:ptCount val="1"/>
                <c:pt idx="0">
                  <c:v>Размер на извършените плащания (евро)</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1-C813-4E39-944F-23D076F9DB97}"/>
              </c:ext>
            </c:extLst>
          </c:dPt>
          <c:dPt>
            <c:idx val="1"/>
            <c:bubble3D val="0"/>
            <c:spPr>
              <a:solidFill>
                <a:schemeClr val="accent2"/>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3-C813-4E39-944F-23D076F9DB97}"/>
              </c:ext>
            </c:extLst>
          </c:dPt>
          <c:dPt>
            <c:idx val="2"/>
            <c:bubble3D val="0"/>
            <c:spPr>
              <a:solidFill>
                <a:schemeClr val="accent3"/>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5-C813-4E39-944F-23D076F9DB97}"/>
              </c:ext>
            </c:extLst>
          </c:dPt>
          <c:dPt>
            <c:idx val="3"/>
            <c:bubble3D val="0"/>
            <c:spPr>
              <a:solidFill>
                <a:schemeClr val="accent4"/>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7-C813-4E39-944F-23D076F9DB97}"/>
              </c:ext>
            </c:extLst>
          </c:dPt>
          <c:dPt>
            <c:idx val="4"/>
            <c:bubble3D val="0"/>
            <c:spPr>
              <a:solidFill>
                <a:schemeClr val="accent5"/>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9-C813-4E39-944F-23D076F9DB97}"/>
              </c:ext>
            </c:extLst>
          </c:dPt>
          <c:dLbls>
            <c:dLbl>
              <c:idx val="0"/>
              <c:layout>
                <c:manualLayout>
                  <c:x val="-0.122689450209214"/>
                  <c:y val="0.26390375676670402"/>
                </c:manualLayout>
              </c:layout>
              <c:tx>
                <c:rich>
                  <a:bodyPr rot="0" spcFirstLastPara="1" vertOverflow="clip" horzOverflow="clip" vert="horz" wrap="square" lIns="38100" tIns="19050" rIns="38100" bIns="19050" anchor="ctr" anchorCtr="1">
                    <a:spAutoFit/>
                  </a:bodyPr>
                  <a:lstStyle/>
                  <a:p>
                    <a:pPr>
                      <a:defRPr sz="900" b="1" i="0" u="none" strike="noStrike" kern="1200" baseline="0">
                        <a:solidFill>
                          <a:schemeClr val="tx1"/>
                        </a:solidFill>
                        <a:latin typeface="+mn-lt"/>
                        <a:ea typeface="+mn-ea"/>
                        <a:cs typeface="+mn-cs"/>
                      </a:defRPr>
                    </a:pPr>
                    <a:r>
                      <a:rPr lang="en-US"/>
                      <a:t>PA 1</a:t>
                    </a:r>
                    <a:r>
                      <a:rPr lang="en-US" baseline="0"/>
                      <a:t>, </a:t>
                    </a:r>
                    <a:fld id="{F82C211E-E7D3-4E6A-A348-783761EA4901}" type="VALUE">
                      <a:rPr lang="en-US" baseline="0"/>
                      <a:pPr>
                        <a:defRPr sz="900">
                          <a:solidFill>
                            <a:schemeClr val="tx1"/>
                          </a:solidFill>
                        </a:defRPr>
                      </a:pPr>
                      <a:t>[VALUE]</a:t>
                    </a:fld>
                    <a:r>
                      <a:rPr lang="en-US" baseline="0"/>
                      <a:t>, </a:t>
                    </a:r>
                    <a:fld id="{0A68560A-7A14-40FE-854E-F06870A8DA7C}" type="PERCENTAGE">
                      <a:rPr lang="en-US" baseline="0"/>
                      <a:pPr>
                        <a:defRPr sz="900">
                          <a:solidFill>
                            <a:schemeClr val="tx1"/>
                          </a:solidFill>
                        </a:defRPr>
                      </a:pPr>
                      <a:t>[PERCENTAGE]</a:t>
                    </a:fld>
                    <a:endParaRPr lang="en-US" baseline="0"/>
                  </a:p>
                </c:rich>
              </c:tx>
              <c:spPr>
                <a:xfrm>
                  <a:off x="2389437" y="1509701"/>
                  <a:ext cx="1161059" cy="508024"/>
                </a:xfrm>
                <a:gradFill flip="none" rotWithShape="1">
                  <a:gsLst>
                    <a:gs pos="0">
                      <a:schemeClr val="accent4">
                        <a:lumMod val="5000"/>
                        <a:lumOff val="95000"/>
                      </a:schemeClr>
                    </a:gs>
                    <a:gs pos="74000">
                      <a:schemeClr val="accent4">
                        <a:lumMod val="45000"/>
                        <a:lumOff val="55000"/>
                      </a:schemeClr>
                    </a:gs>
                    <a:gs pos="83000">
                      <a:schemeClr val="accent4">
                        <a:lumMod val="45000"/>
                        <a:lumOff val="55000"/>
                      </a:schemeClr>
                    </a:gs>
                    <a:gs pos="100000">
                      <a:schemeClr val="accent4">
                        <a:lumMod val="30000"/>
                        <a:lumOff val="70000"/>
                      </a:schemeClr>
                    </a:gs>
                  </a:gsLst>
                  <a:lin ang="5400000" scaled="1"/>
                  <a:tileRect/>
                </a:gradFill>
                <a:ln>
                  <a:noFill/>
                </a:ln>
                <a:effectLst>
                  <a:outerShdw blurRad="50800" dist="38100" dir="2700000" algn="tl" rotWithShape="0">
                    <a:prstClr val="black">
                      <a:alpha val="40000"/>
                    </a:prstClr>
                  </a:outerShdw>
                </a:effectLst>
              </c:spPr>
              <c:txPr>
                <a:bodyPr rot="0" spcFirstLastPara="1" vertOverflow="clip" horzOverflow="clip" vert="horz" wrap="square" lIns="38100" tIns="19050" rIns="38100" bIns="19050" anchor="ctr" anchorCtr="1">
                  <a:spAutoFit/>
                </a:bodyPr>
                <a:lstStyle/>
                <a:p>
                  <a:pPr>
                    <a:defRPr sz="900" b="1" i="0" u="none" strike="noStrike" kern="1200" baseline="0">
                      <a:solidFill>
                        <a:schemeClr val="tx1"/>
                      </a:solidFill>
                      <a:latin typeface="+mn-lt"/>
                      <a:ea typeface="+mn-ea"/>
                      <a:cs typeface="+mn-cs"/>
                    </a:defRPr>
                  </a:pPr>
                  <a:endParaRPr lang="bg-BG"/>
                </a:p>
              </c:txPr>
              <c:dLblPos val="bestFit"/>
              <c:showLegendKey val="0"/>
              <c:showVal val="1"/>
              <c:showCatName val="1"/>
              <c:showSerName val="0"/>
              <c:showPercent val="1"/>
              <c:showBubbleSize val="0"/>
              <c:extLst>
                <c:ext xmlns:c15="http://schemas.microsoft.com/office/drawing/2012/chart" uri="{CE6537A1-D6FC-4f65-9D91-7224C49458BB}">
                  <c15:spPr xmlns:c15="http://schemas.microsoft.com/office/drawing/2012/chart">
                    <a:prstGeom prst="wedgeRectCallout">
                      <a:avLst>
                        <a:gd name="adj1" fmla="val -50689"/>
                        <a:gd name="adj2" fmla="val -91064"/>
                      </a:avLst>
                    </a:prstGeom>
                    <a:pattFill prst="pct75">
                      <a:fgClr>
                        <a:schemeClr val="dk1">
                          <a:lumMod val="75000"/>
                          <a:lumOff val="25000"/>
                        </a:schemeClr>
                      </a:fgClr>
                      <a:bgClr>
                        <a:schemeClr val="dk1">
                          <a:lumMod val="65000"/>
                          <a:lumOff val="35000"/>
                        </a:schemeClr>
                      </a:bgClr>
                    </a:pattFill>
                    <a:ln>
                      <a:noFill/>
                    </a:ln>
                  </c15:spPr>
                  <c15:layout>
                    <c:manualLayout>
                      <c:w val="0.32365478909456802"/>
                      <c:h val="0.141249503835467"/>
                    </c:manualLayout>
                  </c15:layout>
                  <c15:dlblFieldTable/>
                  <c15:showDataLabelsRange val="0"/>
                </c:ext>
                <c:ext xmlns:c16="http://schemas.microsoft.com/office/drawing/2014/chart" uri="{C3380CC4-5D6E-409C-BE32-E72D297353CC}">
                  <c16:uniqueId val="{00000001-C813-4E39-944F-23D076F9DB97}"/>
                </c:ext>
              </c:extLst>
            </c:dLbl>
            <c:dLbl>
              <c:idx val="1"/>
              <c:layout>
                <c:manualLayout>
                  <c:x val="3.0914756582457899E-2"/>
                  <c:y val="-0.16451215578984801"/>
                </c:manualLayout>
              </c:layout>
              <c:tx>
                <c:rich>
                  <a:bodyPr rot="0" spcFirstLastPara="1" vertOverflow="clip" horzOverflow="clip" vert="horz" wrap="square" lIns="38100" tIns="19050" rIns="38100" bIns="19050" anchor="ctr" anchorCtr="1">
                    <a:spAutoFit/>
                  </a:bodyPr>
                  <a:lstStyle/>
                  <a:p>
                    <a:pPr>
                      <a:defRPr sz="900" b="1" i="0" u="none" strike="noStrike" kern="1200" baseline="0">
                        <a:solidFill>
                          <a:schemeClr val="tx1"/>
                        </a:solidFill>
                        <a:latin typeface="+mn-lt"/>
                        <a:ea typeface="+mn-ea"/>
                        <a:cs typeface="+mn-cs"/>
                      </a:defRPr>
                    </a:pPr>
                    <a:r>
                      <a:rPr lang="en-US" baseline="0"/>
                      <a:t>PA 2, </a:t>
                    </a:r>
                    <a:fld id="{00C9027F-4537-49FC-AADD-79641C4F03E6}" type="VALUE">
                      <a:rPr lang="en-US" baseline="0"/>
                      <a:pPr>
                        <a:defRPr sz="900">
                          <a:solidFill>
                            <a:schemeClr val="tx1"/>
                          </a:solidFill>
                        </a:defRPr>
                      </a:pPr>
                      <a:t>[VALUE]</a:t>
                    </a:fld>
                    <a:r>
                      <a:rPr lang="en-US" baseline="0"/>
                      <a:t>, </a:t>
                    </a:r>
                    <a:fld id="{DC994B4C-552B-4869-8602-C7E681BBC524}" type="PERCENTAGE">
                      <a:rPr lang="en-US" baseline="0"/>
                      <a:pPr>
                        <a:defRPr sz="900">
                          <a:solidFill>
                            <a:schemeClr val="tx1"/>
                          </a:solidFill>
                        </a:defRPr>
                      </a:pPr>
                      <a:t>[PERCENTAGE]</a:t>
                    </a:fld>
                    <a:endParaRPr lang="en-US" baseline="0"/>
                  </a:p>
                </c:rich>
              </c:tx>
              <c:spPr>
                <a:xfrm>
                  <a:off x="37248" y="2712825"/>
                  <a:ext cx="1338859" cy="508024"/>
                </a:xfrm>
                <a:gradFill flip="none" rotWithShape="1">
                  <a:gsLst>
                    <a:gs pos="0">
                      <a:schemeClr val="accent4">
                        <a:lumMod val="5000"/>
                        <a:lumOff val="95000"/>
                      </a:schemeClr>
                    </a:gs>
                    <a:gs pos="74000">
                      <a:schemeClr val="accent4">
                        <a:lumMod val="45000"/>
                        <a:lumOff val="55000"/>
                      </a:schemeClr>
                    </a:gs>
                    <a:gs pos="83000">
                      <a:schemeClr val="accent4">
                        <a:lumMod val="45000"/>
                        <a:lumOff val="55000"/>
                      </a:schemeClr>
                    </a:gs>
                    <a:gs pos="100000">
                      <a:schemeClr val="accent4">
                        <a:lumMod val="30000"/>
                        <a:lumOff val="70000"/>
                      </a:schemeClr>
                    </a:gs>
                  </a:gsLst>
                  <a:lin ang="5400000" scaled="1"/>
                  <a:tileRect/>
                </a:gradFill>
                <a:ln>
                  <a:noFill/>
                </a:ln>
                <a:effectLst>
                  <a:outerShdw blurRad="50800" dist="38100" dir="2700000" algn="tl" rotWithShape="0">
                    <a:prstClr val="black">
                      <a:alpha val="40000"/>
                    </a:prstClr>
                  </a:outerShdw>
                </a:effectLst>
              </c:spPr>
              <c:txPr>
                <a:bodyPr rot="0" spcFirstLastPara="1" vertOverflow="clip" horzOverflow="clip" vert="horz" wrap="square" lIns="38100" tIns="19050" rIns="38100" bIns="19050" anchor="ctr" anchorCtr="1">
                  <a:spAutoFit/>
                </a:bodyPr>
                <a:lstStyle/>
                <a:p>
                  <a:pPr>
                    <a:defRPr sz="900" b="1" i="0" u="none" strike="noStrike" kern="1200" baseline="0">
                      <a:solidFill>
                        <a:schemeClr val="tx1"/>
                      </a:solidFill>
                      <a:latin typeface="+mn-lt"/>
                      <a:ea typeface="+mn-ea"/>
                      <a:cs typeface="+mn-cs"/>
                    </a:defRPr>
                  </a:pPr>
                  <a:endParaRPr lang="bg-BG"/>
                </a:p>
              </c:txPr>
              <c:dLblPos val="bestFit"/>
              <c:showLegendKey val="0"/>
              <c:showVal val="1"/>
              <c:showCatName val="1"/>
              <c:showSerName val="0"/>
              <c:showPercent val="1"/>
              <c:showBubbleSize val="0"/>
              <c:extLst>
                <c:ext xmlns:c15="http://schemas.microsoft.com/office/drawing/2012/chart" uri="{CE6537A1-D6FC-4f65-9D91-7224C49458BB}">
                  <c15:spPr xmlns:c15="http://schemas.microsoft.com/office/drawing/2012/chart">
                    <a:prstGeom prst="wedgeRectCallout">
                      <a:avLst>
                        <a:gd name="adj1" fmla="val 74065"/>
                        <a:gd name="adj2" fmla="val -64286"/>
                      </a:avLst>
                    </a:prstGeom>
                    <a:pattFill prst="pct75">
                      <a:fgClr>
                        <a:schemeClr val="dk1">
                          <a:lumMod val="75000"/>
                          <a:lumOff val="25000"/>
                        </a:schemeClr>
                      </a:fgClr>
                      <a:bgClr>
                        <a:schemeClr val="dk1">
                          <a:lumMod val="65000"/>
                          <a:lumOff val="35000"/>
                        </a:schemeClr>
                      </a:bgClr>
                    </a:pattFill>
                    <a:ln>
                      <a:noFill/>
                    </a:ln>
                  </c15:spPr>
                  <c15:layout>
                    <c:manualLayout>
                      <c:w val="0.32253929479558502"/>
                      <c:h val="0.14124961074780901"/>
                    </c:manualLayout>
                  </c15:layout>
                  <c15:dlblFieldTable/>
                  <c15:showDataLabelsRange val="0"/>
                </c:ext>
                <c:ext xmlns:c16="http://schemas.microsoft.com/office/drawing/2014/chart" uri="{C3380CC4-5D6E-409C-BE32-E72D297353CC}">
                  <c16:uniqueId val="{00000003-C813-4E39-944F-23D076F9DB97}"/>
                </c:ext>
              </c:extLst>
            </c:dLbl>
            <c:dLbl>
              <c:idx val="2"/>
              <c:layout>
                <c:manualLayout>
                  <c:x val="8.1448113822178494E-2"/>
                  <c:y val="0.21672027440538899"/>
                </c:manualLayout>
              </c:layout>
              <c:tx>
                <c:rich>
                  <a:bodyPr rot="0" spcFirstLastPara="1" vertOverflow="clip" horzOverflow="clip" vert="horz" wrap="square" lIns="38100" tIns="19050" rIns="38100" bIns="19050" anchor="ctr" anchorCtr="1">
                    <a:spAutoFit/>
                  </a:bodyPr>
                  <a:lstStyle/>
                  <a:p>
                    <a:pPr>
                      <a:defRPr sz="900" b="1" i="0" u="none" strike="noStrike" kern="1200" baseline="0">
                        <a:solidFill>
                          <a:schemeClr val="tx1"/>
                        </a:solidFill>
                        <a:latin typeface="+mn-lt"/>
                        <a:ea typeface="+mn-ea"/>
                        <a:cs typeface="+mn-cs"/>
                      </a:defRPr>
                    </a:pPr>
                    <a:r>
                      <a:rPr lang="en-US" baseline="0"/>
                      <a:t>PA 3, </a:t>
                    </a:r>
                    <a:fld id="{B7C5B902-90C6-4F73-9C65-6202863877A3}" type="VALUE">
                      <a:rPr lang="en-US" baseline="0"/>
                      <a:pPr>
                        <a:defRPr sz="900">
                          <a:solidFill>
                            <a:schemeClr val="tx1"/>
                          </a:solidFill>
                        </a:defRPr>
                      </a:pPr>
                      <a:t>[VALUE]</a:t>
                    </a:fld>
                    <a:r>
                      <a:rPr lang="en-US" baseline="0"/>
                      <a:t>, </a:t>
                    </a:r>
                    <a:fld id="{348D0290-3396-4892-85F6-076E2F1B183D}" type="PERCENTAGE">
                      <a:rPr lang="en-US" baseline="0"/>
                      <a:pPr>
                        <a:defRPr sz="900">
                          <a:solidFill>
                            <a:schemeClr val="tx1"/>
                          </a:solidFill>
                        </a:defRPr>
                      </a:pPr>
                      <a:t>[PERCENTAGE]</a:t>
                    </a:fld>
                    <a:endParaRPr lang="en-US" baseline="0"/>
                  </a:p>
                </c:rich>
              </c:tx>
              <c:spPr>
                <a:xfrm>
                  <a:off x="209441" y="1478095"/>
                  <a:ext cx="1021358" cy="508024"/>
                </a:xfrm>
                <a:gradFill flip="none" rotWithShape="1">
                  <a:gsLst>
                    <a:gs pos="0">
                      <a:schemeClr val="accent4">
                        <a:lumMod val="5000"/>
                        <a:lumOff val="95000"/>
                      </a:schemeClr>
                    </a:gs>
                    <a:gs pos="74000">
                      <a:schemeClr val="accent4">
                        <a:lumMod val="45000"/>
                        <a:lumOff val="55000"/>
                      </a:schemeClr>
                    </a:gs>
                    <a:gs pos="83000">
                      <a:schemeClr val="accent4">
                        <a:lumMod val="45000"/>
                        <a:lumOff val="55000"/>
                      </a:schemeClr>
                    </a:gs>
                    <a:gs pos="100000">
                      <a:schemeClr val="accent4">
                        <a:lumMod val="30000"/>
                        <a:lumOff val="70000"/>
                      </a:schemeClr>
                    </a:gs>
                  </a:gsLst>
                  <a:lin ang="5400000" scaled="1"/>
                  <a:tileRect/>
                </a:gradFill>
                <a:ln>
                  <a:noFill/>
                </a:ln>
                <a:effectLst>
                  <a:outerShdw blurRad="50800" dist="38100" dir="2700000" algn="tl" rotWithShape="0">
                    <a:prstClr val="black">
                      <a:alpha val="40000"/>
                    </a:prstClr>
                  </a:outerShdw>
                </a:effectLst>
              </c:spPr>
              <c:txPr>
                <a:bodyPr rot="0" spcFirstLastPara="1" vertOverflow="clip" horzOverflow="clip" vert="horz" wrap="square" lIns="38100" tIns="19050" rIns="38100" bIns="19050" anchor="ctr" anchorCtr="1">
                  <a:spAutoFit/>
                </a:bodyPr>
                <a:lstStyle/>
                <a:p>
                  <a:pPr>
                    <a:defRPr sz="900" b="1" i="0" u="none" strike="noStrike" kern="1200" baseline="0">
                      <a:solidFill>
                        <a:schemeClr val="tx1"/>
                      </a:solidFill>
                      <a:latin typeface="+mn-lt"/>
                      <a:ea typeface="+mn-ea"/>
                      <a:cs typeface="+mn-cs"/>
                    </a:defRPr>
                  </a:pPr>
                  <a:endParaRPr lang="bg-BG"/>
                </a:p>
              </c:txPr>
              <c:dLblPos val="bestFit"/>
              <c:showLegendKey val="0"/>
              <c:showVal val="1"/>
              <c:showCatName val="1"/>
              <c:showSerName val="0"/>
              <c:showPercent val="1"/>
              <c:showBubbleSize val="0"/>
              <c:extLst>
                <c:ext xmlns:c15="http://schemas.microsoft.com/office/drawing/2012/chart" uri="{CE6537A1-D6FC-4f65-9D91-7224C49458BB}">
                  <c15:spPr xmlns:c15="http://schemas.microsoft.com/office/drawing/2012/chart">
                    <a:prstGeom prst="wedgeRectCallout">
                      <a:avLst>
                        <a:gd name="adj1" fmla="val 68567"/>
                        <a:gd name="adj2" fmla="val -1722"/>
                      </a:avLst>
                    </a:prstGeom>
                    <a:pattFill prst="pct75">
                      <a:fgClr>
                        <a:schemeClr val="dk1">
                          <a:lumMod val="75000"/>
                          <a:lumOff val="25000"/>
                        </a:schemeClr>
                      </a:fgClr>
                      <a:bgClr>
                        <a:schemeClr val="dk1">
                          <a:lumMod val="65000"/>
                          <a:lumOff val="35000"/>
                        </a:schemeClr>
                      </a:bgClr>
                    </a:pattFill>
                    <a:ln>
                      <a:noFill/>
                    </a:ln>
                  </c15:spPr>
                  <c15:layout>
                    <c:manualLayout>
                      <c:w val="0.30803612783696199"/>
                      <c:h val="0.141249503835467"/>
                    </c:manualLayout>
                  </c15:layout>
                  <c15:dlblFieldTable/>
                  <c15:showDataLabelsRange val="0"/>
                </c:ext>
                <c:ext xmlns:c16="http://schemas.microsoft.com/office/drawing/2014/chart" uri="{C3380CC4-5D6E-409C-BE32-E72D297353CC}">
                  <c16:uniqueId val="{00000005-C813-4E39-944F-23D076F9DB97}"/>
                </c:ext>
              </c:extLst>
            </c:dLbl>
            <c:dLbl>
              <c:idx val="3"/>
              <c:layout>
                <c:manualLayout>
                  <c:x val="-5.6248328515443501E-2"/>
                  <c:y val="0.10147019692001701"/>
                </c:manualLayout>
              </c:layout>
              <c:tx>
                <c:rich>
                  <a:bodyPr rot="0" spcFirstLastPara="1" vertOverflow="clip" horzOverflow="clip" vert="horz" wrap="square" lIns="38100" tIns="19050" rIns="38100" bIns="19050" anchor="ctr" anchorCtr="1">
                    <a:spAutoFit/>
                  </a:bodyPr>
                  <a:lstStyle/>
                  <a:p>
                    <a:pPr>
                      <a:defRPr sz="900" b="1" i="0" u="none" strike="noStrike" kern="1200" baseline="0">
                        <a:solidFill>
                          <a:schemeClr val="tx1"/>
                        </a:solidFill>
                        <a:latin typeface="+mn-lt"/>
                        <a:ea typeface="+mn-ea"/>
                        <a:cs typeface="+mn-cs"/>
                      </a:defRPr>
                    </a:pPr>
                    <a:r>
                      <a:rPr lang="en-US" baseline="0"/>
                      <a:t>PA 4, </a:t>
                    </a:r>
                    <a:fld id="{33ACDCB3-C1ED-4211-BDA5-903AB3493C74}" type="VALUE">
                      <a:rPr lang="en-US" baseline="0"/>
                      <a:pPr>
                        <a:defRPr sz="900">
                          <a:solidFill>
                            <a:schemeClr val="tx1"/>
                          </a:solidFill>
                        </a:defRPr>
                      </a:pPr>
                      <a:t>[VALUE]</a:t>
                    </a:fld>
                    <a:r>
                      <a:rPr lang="en-US" baseline="0"/>
                      <a:t>, </a:t>
                    </a:r>
                    <a:fld id="{F10B62EB-5611-4B81-B0AC-B7DD9A27B1EE}" type="PERCENTAGE">
                      <a:rPr lang="en-US" baseline="0"/>
                      <a:pPr>
                        <a:defRPr sz="900">
                          <a:solidFill>
                            <a:schemeClr val="tx1"/>
                          </a:solidFill>
                        </a:defRPr>
                      </a:pPr>
                      <a:t>[PERCENTAGE]</a:t>
                    </a:fld>
                    <a:endParaRPr lang="en-US" baseline="0"/>
                  </a:p>
                </c:rich>
              </c:tx>
              <c:spPr>
                <a:xfrm>
                  <a:off x="382191" y="370855"/>
                  <a:ext cx="1200976" cy="317620"/>
                </a:xfrm>
                <a:gradFill flip="none" rotWithShape="1">
                  <a:gsLst>
                    <a:gs pos="0">
                      <a:schemeClr val="accent4">
                        <a:lumMod val="5000"/>
                        <a:lumOff val="95000"/>
                      </a:schemeClr>
                    </a:gs>
                    <a:gs pos="74000">
                      <a:schemeClr val="accent4">
                        <a:lumMod val="45000"/>
                        <a:lumOff val="55000"/>
                      </a:schemeClr>
                    </a:gs>
                    <a:gs pos="83000">
                      <a:schemeClr val="accent4">
                        <a:lumMod val="45000"/>
                        <a:lumOff val="55000"/>
                      </a:schemeClr>
                    </a:gs>
                    <a:gs pos="100000">
                      <a:schemeClr val="accent4">
                        <a:lumMod val="30000"/>
                        <a:lumOff val="70000"/>
                      </a:schemeClr>
                    </a:gs>
                  </a:gsLst>
                  <a:lin ang="5400000" scaled="1"/>
                  <a:tileRect/>
                </a:gradFill>
                <a:ln>
                  <a:noFill/>
                </a:ln>
                <a:effectLst>
                  <a:outerShdw blurRad="50800" dist="38100" dir="2700000" algn="tl" rotWithShape="0">
                    <a:prstClr val="black">
                      <a:alpha val="40000"/>
                    </a:prstClr>
                  </a:outerShdw>
                </a:effectLst>
              </c:spPr>
              <c:txPr>
                <a:bodyPr rot="0" spcFirstLastPara="1" vertOverflow="clip" horzOverflow="clip" vert="horz" wrap="square" lIns="38100" tIns="19050" rIns="38100" bIns="19050" anchor="ctr" anchorCtr="1">
                  <a:spAutoFit/>
                </a:bodyPr>
                <a:lstStyle/>
                <a:p>
                  <a:pPr>
                    <a:defRPr sz="900" b="1" i="0" u="none" strike="noStrike" kern="1200" baseline="0">
                      <a:solidFill>
                        <a:schemeClr val="tx1"/>
                      </a:solidFill>
                      <a:latin typeface="+mn-lt"/>
                      <a:ea typeface="+mn-ea"/>
                      <a:cs typeface="+mn-cs"/>
                    </a:defRPr>
                  </a:pPr>
                  <a:endParaRPr lang="bg-BG"/>
                </a:p>
              </c:txPr>
              <c:dLblPos val="bestFit"/>
              <c:showLegendKey val="0"/>
              <c:showVal val="1"/>
              <c:showCatName val="1"/>
              <c:showSerName val="0"/>
              <c:showPercent val="1"/>
              <c:showBubbleSize val="0"/>
              <c:extLst>
                <c:ext xmlns:c15="http://schemas.microsoft.com/office/drawing/2012/chart" uri="{CE6537A1-D6FC-4f65-9D91-7224C49458BB}">
                  <c15:spPr xmlns:c15="http://schemas.microsoft.com/office/drawing/2012/chart">
                    <a:prstGeom prst="wedgeRectCallout">
                      <a:avLst>
                        <a:gd name="adj1" fmla="val 56296"/>
                        <a:gd name="adj2" fmla="val 17664"/>
                      </a:avLst>
                    </a:prstGeom>
                    <a:pattFill prst="pct75">
                      <a:fgClr>
                        <a:schemeClr val="dk1">
                          <a:lumMod val="75000"/>
                          <a:lumOff val="25000"/>
                        </a:schemeClr>
                      </a:fgClr>
                      <a:bgClr>
                        <a:schemeClr val="dk1">
                          <a:lumMod val="65000"/>
                          <a:lumOff val="35000"/>
                        </a:schemeClr>
                      </a:bgClr>
                    </a:pattFill>
                    <a:ln>
                      <a:noFill/>
                    </a:ln>
                  </c15:spPr>
                  <c15:layout>
                    <c:manualLayout>
                      <c:w val="0.319692492799455"/>
                      <c:h val="9.7731643450782002E-2"/>
                    </c:manualLayout>
                  </c15:layout>
                  <c15:dlblFieldTable/>
                  <c15:showDataLabelsRange val="0"/>
                </c:ext>
                <c:ext xmlns:c16="http://schemas.microsoft.com/office/drawing/2014/chart" uri="{C3380CC4-5D6E-409C-BE32-E72D297353CC}">
                  <c16:uniqueId val="{00000007-C813-4E39-944F-23D076F9DB97}"/>
                </c:ext>
              </c:extLst>
            </c:dLbl>
            <c:dLbl>
              <c:idx val="4"/>
              <c:layout>
                <c:manualLayout>
                  <c:x val="0.27042486919855702"/>
                  <c:y val="0.119612407427602"/>
                </c:manualLayout>
              </c:layout>
              <c:tx>
                <c:rich>
                  <a:bodyPr rot="0" spcFirstLastPara="1" vertOverflow="clip" horzOverflow="clip" vert="horz" wrap="square" lIns="38100" tIns="19050" rIns="38100" bIns="19050" anchor="ctr" anchorCtr="1">
                    <a:spAutoFit/>
                  </a:bodyPr>
                  <a:lstStyle/>
                  <a:p>
                    <a:pPr>
                      <a:defRPr sz="900" b="1" i="0" u="none" strike="noStrike" kern="1200" baseline="0">
                        <a:solidFill>
                          <a:schemeClr val="tx1"/>
                        </a:solidFill>
                        <a:latin typeface="+mn-lt"/>
                        <a:ea typeface="+mn-ea"/>
                        <a:cs typeface="+mn-cs"/>
                      </a:defRPr>
                    </a:pPr>
                    <a:r>
                      <a:rPr lang="en-US" baseline="0"/>
                      <a:t>PA 5, </a:t>
                    </a:r>
                    <a:fld id="{7C3C79AC-E1C6-4074-A680-38E7080639F4}" type="VALUE">
                      <a:rPr lang="en-US" baseline="0"/>
                      <a:pPr>
                        <a:defRPr sz="900">
                          <a:solidFill>
                            <a:schemeClr val="tx1"/>
                          </a:solidFill>
                        </a:defRPr>
                      </a:pPr>
                      <a:t>[VALUE]</a:t>
                    </a:fld>
                    <a:r>
                      <a:rPr lang="en-US" baseline="0"/>
                      <a:t>, </a:t>
                    </a:r>
                    <a:fld id="{E850B89D-C1C3-4A8E-86FB-23F6C747CC82}" type="PERCENTAGE">
                      <a:rPr lang="en-US" baseline="0"/>
                      <a:pPr>
                        <a:defRPr sz="900">
                          <a:solidFill>
                            <a:schemeClr val="tx1"/>
                          </a:solidFill>
                        </a:defRPr>
                      </a:pPr>
                      <a:t>[PERCENTAGE]</a:t>
                    </a:fld>
                    <a:endParaRPr lang="en-US" baseline="0"/>
                  </a:p>
                </c:rich>
              </c:tx>
              <c:spPr>
                <a:xfrm>
                  <a:off x="1997563" y="404114"/>
                  <a:ext cx="1261428" cy="317620"/>
                </a:xfrm>
                <a:gradFill flip="none" rotWithShape="1">
                  <a:gsLst>
                    <a:gs pos="0">
                      <a:schemeClr val="accent4">
                        <a:lumMod val="5000"/>
                        <a:lumOff val="95000"/>
                      </a:schemeClr>
                    </a:gs>
                    <a:gs pos="74000">
                      <a:schemeClr val="accent4">
                        <a:lumMod val="45000"/>
                        <a:lumOff val="55000"/>
                      </a:schemeClr>
                    </a:gs>
                    <a:gs pos="83000">
                      <a:schemeClr val="accent4">
                        <a:lumMod val="45000"/>
                        <a:lumOff val="55000"/>
                      </a:schemeClr>
                    </a:gs>
                    <a:gs pos="100000">
                      <a:schemeClr val="accent4">
                        <a:lumMod val="30000"/>
                        <a:lumOff val="70000"/>
                      </a:schemeClr>
                    </a:gs>
                  </a:gsLst>
                  <a:lin ang="5400000" scaled="1"/>
                  <a:tileRect/>
                </a:gradFill>
                <a:ln>
                  <a:noFill/>
                </a:ln>
                <a:effectLst>
                  <a:outerShdw blurRad="50800" dist="38100" dir="2700000" algn="tl" rotWithShape="0">
                    <a:prstClr val="black">
                      <a:alpha val="40000"/>
                    </a:prstClr>
                  </a:outerShdw>
                </a:effectLst>
              </c:spPr>
              <c:txPr>
                <a:bodyPr rot="0" spcFirstLastPara="1" vertOverflow="clip" horzOverflow="clip" vert="horz" wrap="square" lIns="38100" tIns="19050" rIns="38100" bIns="19050" anchor="ctr" anchorCtr="1">
                  <a:spAutoFit/>
                </a:bodyPr>
                <a:lstStyle/>
                <a:p>
                  <a:pPr>
                    <a:defRPr sz="900" b="1" i="0" u="none" strike="noStrike" kern="1200" baseline="0">
                      <a:solidFill>
                        <a:schemeClr val="tx1"/>
                      </a:solidFill>
                      <a:latin typeface="+mn-lt"/>
                      <a:ea typeface="+mn-ea"/>
                      <a:cs typeface="+mn-cs"/>
                    </a:defRPr>
                  </a:pPr>
                  <a:endParaRPr lang="bg-BG"/>
                </a:p>
              </c:txPr>
              <c:dLblPos val="bestFit"/>
              <c:showLegendKey val="0"/>
              <c:showVal val="1"/>
              <c:showCatName val="1"/>
              <c:showSerName val="0"/>
              <c:showPercent val="1"/>
              <c:showBubbleSize val="0"/>
              <c:extLst>
                <c:ext xmlns:c15="http://schemas.microsoft.com/office/drawing/2012/chart" uri="{CE6537A1-D6FC-4f65-9D91-7224C49458BB}">
                  <c15:spPr xmlns:c15="http://schemas.microsoft.com/office/drawing/2012/chart">
                    <a:prstGeom prst="wedgeRectCallout">
                      <a:avLst>
                        <a:gd name="adj1" fmla="val -65323"/>
                        <a:gd name="adj2" fmla="val 11400"/>
                      </a:avLst>
                    </a:prstGeom>
                    <a:pattFill prst="pct75">
                      <a:fgClr>
                        <a:schemeClr val="dk1">
                          <a:lumMod val="75000"/>
                          <a:lumOff val="25000"/>
                        </a:schemeClr>
                      </a:fgClr>
                      <a:bgClr>
                        <a:schemeClr val="dk1">
                          <a:lumMod val="65000"/>
                          <a:lumOff val="35000"/>
                        </a:schemeClr>
                      </a:bgClr>
                    </a:pattFill>
                    <a:ln>
                      <a:noFill/>
                    </a:ln>
                  </c15:spPr>
                  <c15:layout>
                    <c:manualLayout>
                      <c:w val="0.33578444682244302"/>
                      <c:h val="9.7731643450782002E-2"/>
                    </c:manualLayout>
                  </c15:layout>
                  <c15:dlblFieldTable/>
                  <c15:showDataLabelsRange val="0"/>
                </c:ext>
                <c:ext xmlns:c16="http://schemas.microsoft.com/office/drawing/2014/chart" uri="{C3380CC4-5D6E-409C-BE32-E72D297353CC}">
                  <c16:uniqueId val="{00000009-C813-4E39-944F-23D076F9DB97}"/>
                </c:ext>
              </c:extLst>
            </c:dLbl>
            <c:spPr>
              <a:gradFill flip="none" rotWithShape="1">
                <a:gsLst>
                  <a:gs pos="0">
                    <a:schemeClr val="accent4">
                      <a:lumMod val="5000"/>
                      <a:lumOff val="95000"/>
                    </a:schemeClr>
                  </a:gs>
                  <a:gs pos="74000">
                    <a:schemeClr val="accent4">
                      <a:lumMod val="45000"/>
                      <a:lumOff val="55000"/>
                    </a:schemeClr>
                  </a:gs>
                  <a:gs pos="83000">
                    <a:schemeClr val="accent4">
                      <a:lumMod val="45000"/>
                      <a:lumOff val="55000"/>
                    </a:schemeClr>
                  </a:gs>
                  <a:gs pos="100000">
                    <a:schemeClr val="accent4">
                      <a:lumMod val="30000"/>
                      <a:lumOff val="70000"/>
                    </a:schemeClr>
                  </a:gs>
                </a:gsLst>
                <a:lin ang="5400000" scaled="1"/>
                <a:tileRect/>
              </a:gradFill>
              <a:ln>
                <a:noFill/>
              </a:ln>
              <a:effectLst>
                <a:outerShdw blurRad="50800" dist="38100" dir="2700000" algn="tl" rotWithShape="0">
                  <a:prstClr val="black">
                    <a:alpha val="40000"/>
                  </a:prstClr>
                </a:outerShdw>
              </a:effectLst>
            </c:spPr>
            <c:txPr>
              <a:bodyPr rot="0" spcFirstLastPara="1" vertOverflow="clip" horzOverflow="clip" vert="horz" wrap="square" lIns="38100" tIns="19050" rIns="38100" bIns="19050" anchor="ctr" anchorCtr="1">
                <a:spAutoFit/>
              </a:bodyPr>
              <a:lstStyle/>
              <a:p>
                <a:pPr>
                  <a:defRPr sz="900" b="1" i="0" u="none" strike="noStrike" kern="1200" baseline="0">
                    <a:solidFill>
                      <a:schemeClr val="tx1"/>
                    </a:solidFill>
                    <a:latin typeface="+mn-lt"/>
                    <a:ea typeface="+mn-ea"/>
                    <a:cs typeface="+mn-cs"/>
                  </a:defRPr>
                </a:pPr>
                <a:endParaRPr lang="bg-BG"/>
              </a:p>
            </c:txPr>
            <c:dLblPos val="ctr"/>
            <c:showLegendKey val="0"/>
            <c:showVal val="1"/>
            <c:showCatName val="1"/>
            <c:showSerName val="0"/>
            <c:showPercent val="1"/>
            <c:showBubbleSize val="0"/>
            <c:showLeaderLines val="0"/>
            <c:extLst>
              <c:ext xmlns:c15="http://schemas.microsoft.com/office/drawing/2012/chart" uri="{CE6537A1-D6FC-4f65-9D91-7224C49458BB}">
                <c15:spPr xmlns:c15="http://schemas.microsoft.com/office/drawing/2012/chart">
                  <a:prstGeom prst="wedgeRectCallout">
                    <a:avLst/>
                  </a:prstGeom>
                  <a:pattFill prst="pct75">
                    <a:fgClr>
                      <a:schemeClr val="dk1">
                        <a:lumMod val="75000"/>
                        <a:lumOff val="25000"/>
                      </a:schemeClr>
                    </a:fgClr>
                    <a:bgClr>
                      <a:schemeClr val="dk1">
                        <a:lumMod val="65000"/>
                        <a:lumOff val="35000"/>
                      </a:schemeClr>
                    </a:bgClr>
                  </a:pattFill>
                  <a:ln>
                    <a:noFill/>
                  </a:ln>
                </c15:spPr>
              </c:ext>
            </c:extLst>
          </c:dLbls>
          <c:cat>
            <c:strRef>
              <c:f>Sheet1!$D$6:$D$10</c:f>
              <c:strCache>
                <c:ptCount val="5"/>
                <c:pt idx="0">
                  <c:v>PA 1</c:v>
                </c:pt>
                <c:pt idx="1">
                  <c:v>PA 2</c:v>
                </c:pt>
                <c:pt idx="2">
                  <c:v>PA 3</c:v>
                </c:pt>
                <c:pt idx="3">
                  <c:v>PA 4</c:v>
                </c:pt>
                <c:pt idx="4">
                  <c:v>PA 5</c:v>
                </c:pt>
              </c:strCache>
            </c:strRef>
          </c:cat>
          <c:val>
            <c:numRef>
              <c:f>Sheet1!$F$6:$F$10</c:f>
              <c:numCache>
                <c:formatCode>_-* #,##0.00\ [$€-1]_-;\-* #,##0.00\ [$€-1]_-;_-* "-"??\ [$€-1]_-;_-@_-</c:formatCode>
                <c:ptCount val="5"/>
                <c:pt idx="0">
                  <c:v>595059589.62179697</c:v>
                </c:pt>
                <c:pt idx="1">
                  <c:v>879625537.37287998</c:v>
                </c:pt>
                <c:pt idx="2">
                  <c:v>326550425.246571</c:v>
                </c:pt>
                <c:pt idx="3">
                  <c:v>31482400.832383201</c:v>
                </c:pt>
                <c:pt idx="4">
                  <c:v>49546081.770910598</c:v>
                </c:pt>
              </c:numCache>
            </c:numRef>
          </c:val>
          <c:extLst>
            <c:ext xmlns:c16="http://schemas.microsoft.com/office/drawing/2014/chart" uri="{C3380CC4-5D6E-409C-BE32-E72D297353CC}">
              <c16:uniqueId val="{0000000A-C813-4E39-944F-23D076F9DB97}"/>
            </c:ext>
          </c:extLst>
        </c:ser>
        <c:dLbls>
          <c:dLblPos val="ctr"/>
          <c:showLegendKey val="0"/>
          <c:showVal val="0"/>
          <c:showCatName val="0"/>
          <c:showSerName val="0"/>
          <c:showPercent val="1"/>
          <c:showBubbleSize val="0"/>
          <c:showLeaderLines val="0"/>
        </c:dLbls>
        <c:firstSliceAng val="0"/>
      </c:pieChart>
      <c:spPr>
        <a:noFill/>
        <a:ln>
          <a:noFill/>
        </a:ln>
        <a:effectLst/>
      </c:spPr>
    </c:plotArea>
    <c:legend>
      <c:legendPos val="b"/>
      <c:overlay val="0"/>
      <c:spPr>
        <a:solidFill>
          <a:schemeClr val="lt1">
            <a:lumMod val="95000"/>
            <a:alpha val="39000"/>
          </a:schemeClr>
        </a:solidFill>
        <a:ln>
          <a:noFill/>
        </a:ln>
        <a:effectLst/>
      </c:spPr>
      <c:txPr>
        <a:bodyPr rot="0" spcFirstLastPara="1" vertOverflow="ellipsis" vert="horz" wrap="square" anchor="ctr" anchorCtr="1"/>
        <a:lstStyle/>
        <a:p>
          <a:pPr rtl="0">
            <a:defRPr sz="900" b="0" i="0" u="none" strike="noStrike" kern="1200" baseline="0">
              <a:solidFill>
                <a:schemeClr val="dk1">
                  <a:lumMod val="75000"/>
                  <a:lumOff val="25000"/>
                </a:schemeClr>
              </a:solidFill>
              <a:latin typeface="+mn-lt"/>
              <a:ea typeface="+mn-ea"/>
              <a:cs typeface="+mn-cs"/>
            </a:defRPr>
          </a:pPr>
          <a:endParaRPr lang="bg-BG"/>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bg-BG"/>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900" b="1" i="0" u="none" strike="noStrike" kern="1200" spc="0" baseline="0">
                <a:solidFill>
                  <a:sysClr val="windowText" lastClr="000000"/>
                </a:solidFill>
                <a:latin typeface="Verdana" panose="020B0604030504040204" pitchFamily="34" charset="0"/>
                <a:ea typeface="Verdana" panose="020B0604030504040204" pitchFamily="34" charset="0"/>
                <a:cs typeface="Verdana" panose="020B0604030504040204" pitchFamily="34" charset="0"/>
              </a:defRPr>
            </a:pPr>
            <a:r>
              <a:rPr lang="en-GB" sz="900" b="1">
                <a:solidFill>
                  <a:sysClr val="windowText" lastClr="000000"/>
                </a:solidFill>
                <a:latin typeface="Verdana" panose="020B0604030504040204" pitchFamily="34" charset="0"/>
                <a:ea typeface="Verdana" panose="020B0604030504040204" pitchFamily="34" charset="0"/>
                <a:cs typeface="Verdana" panose="020B0604030504040204" pitchFamily="34" charset="0"/>
              </a:rPr>
              <a:t>Annual programme</a:t>
            </a:r>
            <a:r>
              <a:rPr lang="en-GB" sz="900" b="1" baseline="0">
                <a:solidFill>
                  <a:sysClr val="windowText" lastClr="000000"/>
                </a:solidFill>
                <a:latin typeface="Verdana" panose="020B0604030504040204" pitchFamily="34" charset="0"/>
                <a:ea typeface="Verdana" panose="020B0604030504040204" pitchFamily="34" charset="0"/>
                <a:cs typeface="Verdana" panose="020B0604030504040204" pitchFamily="34" charset="0"/>
              </a:rPr>
              <a:t> financial implementation for the period </a:t>
            </a:r>
            <a:r>
              <a:rPr lang="bg-BG" sz="900" b="1">
                <a:solidFill>
                  <a:sysClr val="windowText" lastClr="000000"/>
                </a:solidFill>
                <a:latin typeface="Verdana" panose="020B0604030504040204" pitchFamily="34" charset="0"/>
                <a:ea typeface="Verdana" panose="020B0604030504040204" pitchFamily="34" charset="0"/>
                <a:cs typeface="Verdana" panose="020B0604030504040204" pitchFamily="34" charset="0"/>
              </a:rPr>
              <a:t>2007 - 2015 </a:t>
            </a:r>
            <a:endParaRPr lang="en-US" sz="900" b="1">
              <a:solidFill>
                <a:sysClr val="windowText" lastClr="000000"/>
              </a:solidFill>
              <a:latin typeface="Verdana" panose="020B0604030504040204" pitchFamily="34" charset="0"/>
              <a:ea typeface="Verdana" panose="020B0604030504040204" pitchFamily="34" charset="0"/>
              <a:cs typeface="Verdana" panose="020B0604030504040204" pitchFamily="34" charset="0"/>
            </a:endParaRPr>
          </a:p>
        </c:rich>
      </c:tx>
      <c:layout>
        <c:manualLayout>
          <c:xMode val="edge"/>
          <c:yMode val="edge"/>
          <c:x val="0.155264395422364"/>
          <c:y val="2.2346337336455298E-2"/>
        </c:manualLayout>
      </c:layout>
      <c:overlay val="0"/>
      <c:spPr>
        <a:noFill/>
        <a:ln>
          <a:noFill/>
        </a:ln>
        <a:effectLst/>
      </c:spPr>
      <c:txPr>
        <a:bodyPr rot="0" spcFirstLastPara="1" vertOverflow="ellipsis" vert="horz" wrap="square" anchor="ctr" anchorCtr="1"/>
        <a:lstStyle/>
        <a:p>
          <a:pPr>
            <a:defRPr sz="900" b="1" i="0" u="none" strike="noStrike" kern="1200" spc="0" baseline="0">
              <a:solidFill>
                <a:sysClr val="windowText" lastClr="000000"/>
              </a:solidFill>
              <a:latin typeface="Verdana" panose="020B0604030504040204" pitchFamily="34" charset="0"/>
              <a:ea typeface="Verdana" panose="020B0604030504040204" pitchFamily="34" charset="0"/>
              <a:cs typeface="Verdana" panose="020B0604030504040204" pitchFamily="34" charset="0"/>
            </a:defRPr>
          </a:pPr>
          <a:endParaRPr lang="bg-BG"/>
        </a:p>
      </c:txPr>
    </c:title>
    <c:autoTitleDeleted val="0"/>
    <c:plotArea>
      <c:layout/>
      <c:barChart>
        <c:barDir val="col"/>
        <c:grouping val="clustered"/>
        <c:varyColors val="0"/>
        <c:ser>
          <c:idx val="0"/>
          <c:order val="0"/>
          <c:tx>
            <c:strRef>
              <c:f>'Финансово изпълнение'!$A$63</c:f>
              <c:strCache>
                <c:ptCount val="1"/>
                <c:pt idx="0">
                  <c:v>Expenditures paid by beneficiaries, included in payment claims to MA</c:v>
                </c:pt>
              </c:strCache>
            </c:strRef>
          </c:tx>
          <c:spPr>
            <a:solidFill>
              <a:schemeClr val="accent1"/>
            </a:solidFill>
            <a:ln>
              <a:solidFill>
                <a:schemeClr val="bg1"/>
              </a:solidFill>
            </a:ln>
            <a:effectLst/>
          </c:spPr>
          <c:invertIfNegative val="0"/>
          <c:cat>
            <c:numRef>
              <c:f>'Финансово изпълнение'!$B$62:$J$62</c:f>
              <c:numCache>
                <c:formatCode>General</c:formatCode>
                <c:ptCount val="9"/>
                <c:pt idx="0">
                  <c:v>2007</c:v>
                </c:pt>
                <c:pt idx="1">
                  <c:v>2008</c:v>
                </c:pt>
                <c:pt idx="2">
                  <c:v>2009</c:v>
                </c:pt>
                <c:pt idx="3">
                  <c:v>2010</c:v>
                </c:pt>
                <c:pt idx="4">
                  <c:v>2011</c:v>
                </c:pt>
                <c:pt idx="5">
                  <c:v>2012</c:v>
                </c:pt>
                <c:pt idx="6">
                  <c:v>2013</c:v>
                </c:pt>
                <c:pt idx="7">
                  <c:v>2014</c:v>
                </c:pt>
                <c:pt idx="8">
                  <c:v>2015</c:v>
                </c:pt>
              </c:numCache>
            </c:numRef>
          </c:cat>
          <c:val>
            <c:numRef>
              <c:f>'Финансово изпълнение'!$B$63:$J$63</c:f>
              <c:numCache>
                <c:formatCode>_-* #,##0.00\ [$€-1]_-;\-* #,##0.00\ [$€-1]_-;_-* "-"??\ [$€-1]_-;_-@_-</c:formatCode>
                <c:ptCount val="9"/>
                <c:pt idx="0">
                  <c:v>0</c:v>
                </c:pt>
                <c:pt idx="1">
                  <c:v>872827.13100000005</c:v>
                </c:pt>
                <c:pt idx="2">
                  <c:v>36324922.549999997</c:v>
                </c:pt>
                <c:pt idx="3">
                  <c:v>128197403.62</c:v>
                </c:pt>
                <c:pt idx="4">
                  <c:v>470949926.75</c:v>
                </c:pt>
                <c:pt idx="5">
                  <c:v>927434342.74000001</c:v>
                </c:pt>
                <c:pt idx="6">
                  <c:v>1184258153.1099999</c:v>
                </c:pt>
                <c:pt idx="7">
                  <c:v>1466614961.73</c:v>
                </c:pt>
                <c:pt idx="8">
                  <c:v>1466614961.73</c:v>
                </c:pt>
              </c:numCache>
            </c:numRef>
          </c:val>
          <c:extLst>
            <c:ext xmlns:c16="http://schemas.microsoft.com/office/drawing/2014/chart" uri="{C3380CC4-5D6E-409C-BE32-E72D297353CC}">
              <c16:uniqueId val="{00000000-7419-40C2-A33D-116BF70FA6F0}"/>
            </c:ext>
          </c:extLst>
        </c:ser>
        <c:ser>
          <c:idx val="1"/>
          <c:order val="1"/>
          <c:tx>
            <c:strRef>
              <c:f>'Финансово изпълнение'!$A$64</c:f>
              <c:strCache>
                <c:ptCount val="1"/>
                <c:pt idx="0">
                  <c:v>Corresponding public contribution (EU and national)</c:v>
                </c:pt>
              </c:strCache>
            </c:strRef>
          </c:tx>
          <c:spPr>
            <a:solidFill>
              <a:schemeClr val="accent2"/>
            </a:solidFill>
            <a:ln>
              <a:solidFill>
                <a:schemeClr val="bg1"/>
              </a:solidFill>
            </a:ln>
            <a:effectLst/>
          </c:spPr>
          <c:invertIfNegative val="0"/>
          <c:cat>
            <c:numRef>
              <c:f>'Финансово изпълнение'!$B$62:$J$62</c:f>
              <c:numCache>
                <c:formatCode>General</c:formatCode>
                <c:ptCount val="9"/>
                <c:pt idx="0">
                  <c:v>2007</c:v>
                </c:pt>
                <c:pt idx="1">
                  <c:v>2008</c:v>
                </c:pt>
                <c:pt idx="2">
                  <c:v>2009</c:v>
                </c:pt>
                <c:pt idx="3">
                  <c:v>2010</c:v>
                </c:pt>
                <c:pt idx="4">
                  <c:v>2011</c:v>
                </c:pt>
                <c:pt idx="5">
                  <c:v>2012</c:v>
                </c:pt>
                <c:pt idx="6">
                  <c:v>2013</c:v>
                </c:pt>
                <c:pt idx="7">
                  <c:v>2014</c:v>
                </c:pt>
                <c:pt idx="8">
                  <c:v>2015</c:v>
                </c:pt>
              </c:numCache>
            </c:numRef>
          </c:cat>
          <c:val>
            <c:numRef>
              <c:f>'Финансово изпълнение'!$B$64:$J$64</c:f>
              <c:numCache>
                <c:formatCode>_-* #,##0.00\ [$€-1]_-;\-* #,##0.00\ [$€-1]_-;_-* "-"??\ [$€-1]_-;_-@_-</c:formatCode>
                <c:ptCount val="9"/>
                <c:pt idx="0">
                  <c:v>0</c:v>
                </c:pt>
                <c:pt idx="1">
                  <c:v>132117.94</c:v>
                </c:pt>
                <c:pt idx="2">
                  <c:v>36324922.549999997</c:v>
                </c:pt>
                <c:pt idx="3">
                  <c:v>95461573.819999993</c:v>
                </c:pt>
                <c:pt idx="4">
                  <c:v>470949926.75</c:v>
                </c:pt>
                <c:pt idx="5">
                  <c:v>927434342.74000001</c:v>
                </c:pt>
                <c:pt idx="6">
                  <c:v>1104417479.01</c:v>
                </c:pt>
                <c:pt idx="7">
                  <c:v>1349300519.8800001</c:v>
                </c:pt>
                <c:pt idx="8">
                  <c:v>1349300519.8800001</c:v>
                </c:pt>
              </c:numCache>
            </c:numRef>
          </c:val>
          <c:extLst>
            <c:ext xmlns:c16="http://schemas.microsoft.com/office/drawing/2014/chart" uri="{C3380CC4-5D6E-409C-BE32-E72D297353CC}">
              <c16:uniqueId val="{00000001-7419-40C2-A33D-116BF70FA6F0}"/>
            </c:ext>
          </c:extLst>
        </c:ser>
        <c:dLbls>
          <c:showLegendKey val="0"/>
          <c:showVal val="0"/>
          <c:showCatName val="0"/>
          <c:showSerName val="0"/>
          <c:showPercent val="0"/>
          <c:showBubbleSize val="0"/>
        </c:dLbls>
        <c:gapWidth val="219"/>
        <c:overlap val="-27"/>
        <c:axId val="1814188400"/>
        <c:axId val="-1980148400"/>
        <c:extLst>
          <c:ext xmlns:c15="http://schemas.microsoft.com/office/drawing/2012/chart" uri="{02D57815-91ED-43cb-92C2-25804820EDAC}">
            <c15:filteredBarSeries>
              <c15:ser>
                <c:idx val="2"/>
                <c:order val="2"/>
                <c:tx>
                  <c:strRef>
                    <c:extLst>
                      <c:ext uri="{02D57815-91ED-43cb-92C2-25804820EDAC}">
                        <c15:formulaRef>
                          <c15:sqref>'Финансово изпълнение'!$A$65</c15:sqref>
                        </c15:formulaRef>
                      </c:ext>
                    </c:extLst>
                    <c:strCache>
                      <c:ptCount val="1"/>
                      <c:pt idx="0">
                        <c:v>Разходи, платени от органа, отговорен за извършване на плащания към бенефициентите (ЕС + национално)</c:v>
                      </c:pt>
                    </c:strCache>
                  </c:strRef>
                </c:tx>
                <c:spPr>
                  <a:solidFill>
                    <a:schemeClr val="accent3"/>
                  </a:solidFill>
                  <a:ln>
                    <a:noFill/>
                  </a:ln>
                  <a:effectLst/>
                </c:spPr>
                <c:invertIfNegative val="0"/>
                <c:cat>
                  <c:numRef>
                    <c:extLst>
                      <c:ext uri="{02D57815-91ED-43cb-92C2-25804820EDAC}">
                        <c15:formulaRef>
                          <c15:sqref>'Финансово изпълнение'!$B$62:$J$62</c15:sqref>
                        </c15:formulaRef>
                      </c:ext>
                    </c:extLst>
                    <c:numCache>
                      <c:formatCode>General</c:formatCode>
                      <c:ptCount val="9"/>
                      <c:pt idx="0">
                        <c:v>2007</c:v>
                      </c:pt>
                      <c:pt idx="1">
                        <c:v>2008</c:v>
                      </c:pt>
                      <c:pt idx="2">
                        <c:v>2009</c:v>
                      </c:pt>
                      <c:pt idx="3">
                        <c:v>2010</c:v>
                      </c:pt>
                      <c:pt idx="4">
                        <c:v>2011</c:v>
                      </c:pt>
                      <c:pt idx="5">
                        <c:v>2012</c:v>
                      </c:pt>
                      <c:pt idx="6">
                        <c:v>2013</c:v>
                      </c:pt>
                      <c:pt idx="7">
                        <c:v>2014</c:v>
                      </c:pt>
                      <c:pt idx="8">
                        <c:v>2015</c:v>
                      </c:pt>
                    </c:numCache>
                  </c:numRef>
                </c:cat>
                <c:val>
                  <c:numRef>
                    <c:extLst>
                      <c:ext uri="{02D57815-91ED-43cb-92C2-25804820EDAC}">
                        <c15:formulaRef>
                          <c15:sqref>'Финансово изпълнение'!$B$65:$J$65</c15:sqref>
                        </c15:formulaRef>
                      </c:ext>
                    </c:extLst>
                    <c:numCache>
                      <c:formatCode>_-* #,##0.00\ [$€-1]_-;\-* #,##0.00\ [$€-1]_-;_-* "-"??\ [$€-1]_-;_-@_-</c:formatCode>
                      <c:ptCount val="9"/>
                      <c:pt idx="0">
                        <c:v>0</c:v>
                      </c:pt>
                      <c:pt idx="1">
                        <c:v>872827.13</c:v>
                      </c:pt>
                      <c:pt idx="2">
                        <c:v>42311787.799999997</c:v>
                      </c:pt>
                      <c:pt idx="3">
                        <c:v>73111346.780000001</c:v>
                      </c:pt>
                      <c:pt idx="4">
                        <c:v>454190937.89999998</c:v>
                      </c:pt>
                      <c:pt idx="5">
                        <c:v>878256881.61000001</c:v>
                      </c:pt>
                      <c:pt idx="6">
                        <c:v>1115459882.6300001</c:v>
                      </c:pt>
                      <c:pt idx="7">
                        <c:v>1175684233.25</c:v>
                      </c:pt>
                      <c:pt idx="8">
                        <c:v>1175684233.25</c:v>
                      </c:pt>
                    </c:numCache>
                  </c:numRef>
                </c:val>
                <c:extLst>
                  <c:ext xmlns:c16="http://schemas.microsoft.com/office/drawing/2014/chart" uri="{C3380CC4-5D6E-409C-BE32-E72D297353CC}">
                    <c16:uniqueId val="{00000002-7419-40C2-A33D-116BF70FA6F0}"/>
                  </c:ext>
                </c:extLst>
              </c15:ser>
            </c15:filteredBarSeries>
            <c15:filteredBarSeries>
              <c15:ser>
                <c:idx val="3"/>
                <c:order val="3"/>
                <c:tx>
                  <c:strRef>
                    <c:extLst xmlns:c15="http://schemas.microsoft.com/office/drawing/2012/chart">
                      <c:ext xmlns:c15="http://schemas.microsoft.com/office/drawing/2012/chart" uri="{02D57815-91ED-43cb-92C2-25804820EDAC}">
                        <c15:formulaRef>
                          <c15:sqref>'Финансово изпълнение'!$A$66</c15:sqref>
                        </c15:formulaRef>
                      </c:ext>
                    </c:extLst>
                    <c:strCache>
                      <c:ptCount val="1"/>
                      <c:pt idx="0">
                        <c:v>Общо плащания, получени от ЕК (само междинни)</c:v>
                      </c:pt>
                    </c:strCache>
                  </c:strRef>
                </c:tx>
                <c:spPr>
                  <a:solidFill>
                    <a:schemeClr val="accent4"/>
                  </a:solidFill>
                  <a:ln>
                    <a:noFill/>
                  </a:ln>
                  <a:effectLst/>
                </c:spPr>
                <c:invertIfNegative val="0"/>
                <c:cat>
                  <c:numRef>
                    <c:extLst xmlns:c15="http://schemas.microsoft.com/office/drawing/2012/chart">
                      <c:ext xmlns:c15="http://schemas.microsoft.com/office/drawing/2012/chart" uri="{02D57815-91ED-43cb-92C2-25804820EDAC}">
                        <c15:formulaRef>
                          <c15:sqref>'Финансово изпълнение'!$B$62:$J$62</c15:sqref>
                        </c15:formulaRef>
                      </c:ext>
                    </c:extLst>
                    <c:numCache>
                      <c:formatCode>General</c:formatCode>
                      <c:ptCount val="9"/>
                      <c:pt idx="0">
                        <c:v>2007</c:v>
                      </c:pt>
                      <c:pt idx="1">
                        <c:v>2008</c:v>
                      </c:pt>
                      <c:pt idx="2">
                        <c:v>2009</c:v>
                      </c:pt>
                      <c:pt idx="3">
                        <c:v>2010</c:v>
                      </c:pt>
                      <c:pt idx="4">
                        <c:v>2011</c:v>
                      </c:pt>
                      <c:pt idx="5">
                        <c:v>2012</c:v>
                      </c:pt>
                      <c:pt idx="6">
                        <c:v>2013</c:v>
                      </c:pt>
                      <c:pt idx="7">
                        <c:v>2014</c:v>
                      </c:pt>
                      <c:pt idx="8">
                        <c:v>2015</c:v>
                      </c:pt>
                    </c:numCache>
                  </c:numRef>
                </c:cat>
                <c:val>
                  <c:numRef>
                    <c:extLst xmlns:c15="http://schemas.microsoft.com/office/drawing/2012/chart">
                      <c:ext xmlns:c15="http://schemas.microsoft.com/office/drawing/2012/chart" uri="{02D57815-91ED-43cb-92C2-25804820EDAC}">
                        <c15:formulaRef>
                          <c15:sqref>'Финансово изпълнение'!$B$66:$J$66</c15:sqref>
                        </c15:formulaRef>
                      </c:ext>
                    </c:extLst>
                    <c:numCache>
                      <c:formatCode>_-* #,##0.00\ [$€-1]_-;\-* #,##0.00\ [$€-1]_-;_-* "-"??\ [$€-1]_-;_-@_-</c:formatCode>
                      <c:ptCount val="9"/>
                      <c:pt idx="0">
                        <c:v>0</c:v>
                      </c:pt>
                      <c:pt idx="1">
                        <c:v>0</c:v>
                      </c:pt>
                      <c:pt idx="2">
                        <c:v>0</c:v>
                      </c:pt>
                      <c:pt idx="3">
                        <c:v>72752829.290000007</c:v>
                      </c:pt>
                      <c:pt idx="4">
                        <c:v>374639097.43000001</c:v>
                      </c:pt>
                      <c:pt idx="5">
                        <c:v>655956858.90999997</c:v>
                      </c:pt>
                      <c:pt idx="6">
                        <c:v>784218494.20000005</c:v>
                      </c:pt>
                      <c:pt idx="7">
                        <c:v>1020466664.22</c:v>
                      </c:pt>
                      <c:pt idx="8">
                        <c:v>1020466664.22</c:v>
                      </c:pt>
                    </c:numCache>
                  </c:numRef>
                </c:val>
                <c:extLst xmlns:c15="http://schemas.microsoft.com/office/drawing/2012/chart">
                  <c:ext xmlns:c16="http://schemas.microsoft.com/office/drawing/2014/chart" uri="{C3380CC4-5D6E-409C-BE32-E72D297353CC}">
                    <c16:uniqueId val="{00000003-7419-40C2-A33D-116BF70FA6F0}"/>
                  </c:ext>
                </c:extLst>
              </c15:ser>
            </c15:filteredBarSeries>
          </c:ext>
        </c:extLst>
      </c:barChart>
      <c:catAx>
        <c:axId val="181418840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bg-BG"/>
          </a:p>
        </c:txPr>
        <c:crossAx val="-1980148400"/>
        <c:crosses val="autoZero"/>
        <c:auto val="1"/>
        <c:lblAlgn val="ctr"/>
        <c:lblOffset val="100"/>
        <c:noMultiLvlLbl val="0"/>
      </c:catAx>
      <c:valAx>
        <c:axId val="-1980148400"/>
        <c:scaling>
          <c:orientation val="minMax"/>
        </c:scaling>
        <c:delete val="0"/>
        <c:axPos val="l"/>
        <c:majorGridlines>
          <c:spPr>
            <a:ln w="9525" cap="flat" cmpd="sng" algn="ctr">
              <a:solidFill>
                <a:schemeClr val="tx1">
                  <a:lumMod val="15000"/>
                  <a:lumOff val="85000"/>
                </a:schemeClr>
              </a:solidFill>
              <a:round/>
            </a:ln>
            <a:effectLst/>
          </c:spPr>
        </c:majorGridlines>
        <c:numFmt formatCode="_-* #,##0.00\ [$€-1]_-;\-* #,##0.00\ [$€-1]_-;_-* &quot;-&quot;??\ [$€-1]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bg-BG"/>
          </a:p>
        </c:txPr>
        <c:crossAx val="1814188400"/>
        <c:crosses val="autoZero"/>
        <c:crossBetween val="between"/>
      </c:valAx>
      <c:spPr>
        <a:noFill/>
        <a:ln>
          <a:noFill/>
        </a:ln>
        <a:effectLst/>
      </c:spPr>
    </c:plotArea>
    <c:legend>
      <c:legendPos val="b"/>
      <c:layout>
        <c:manualLayout>
          <c:xMode val="edge"/>
          <c:yMode val="edge"/>
          <c:x val="0.13443349165874199"/>
          <c:y val="0.83661584855084603"/>
          <c:w val="0.81462926509186395"/>
          <c:h val="0.16329894933346101"/>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bg-BG"/>
        </a:p>
      </c:txPr>
    </c:legend>
    <c:plotVisOnly val="1"/>
    <c:dispBlanksAs val="gap"/>
    <c:showDLblsOverMax val="0"/>
  </c:chart>
  <c:spPr>
    <a:gradFill flip="none" rotWithShape="1">
      <a:gsLst>
        <a:gs pos="0">
          <a:srgbClr val="7F8FA9">
            <a:lumMod val="5000"/>
            <a:lumOff val="95000"/>
          </a:srgbClr>
        </a:gs>
        <a:gs pos="74000">
          <a:srgbClr val="7F8FA9">
            <a:lumMod val="45000"/>
            <a:lumOff val="55000"/>
          </a:srgbClr>
        </a:gs>
        <a:gs pos="83000">
          <a:srgbClr val="7F8FA9">
            <a:lumMod val="45000"/>
            <a:lumOff val="55000"/>
          </a:srgbClr>
        </a:gs>
        <a:gs pos="100000">
          <a:srgbClr val="7F8FA9">
            <a:lumMod val="30000"/>
            <a:lumOff val="70000"/>
          </a:srgbClr>
        </a:gs>
      </a:gsLst>
      <a:lin ang="5400000" scaled="1"/>
      <a:tileRect/>
    </a:gradFill>
    <a:ln w="9525" cap="flat" cmpd="sng" algn="ctr">
      <a:solidFill>
        <a:schemeClr val="tx1">
          <a:lumMod val="15000"/>
          <a:lumOff val="85000"/>
        </a:schemeClr>
      </a:solidFill>
      <a:round/>
    </a:ln>
    <a:effectLst/>
  </c:spPr>
  <c:txPr>
    <a:bodyPr/>
    <a:lstStyle/>
    <a:p>
      <a:pPr>
        <a:defRPr/>
      </a:pPr>
      <a:endParaRPr lang="bg-BG"/>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800" b="1" i="0" u="none" strike="noStrike" kern="1200" baseline="0">
                <a:solidFill>
                  <a:sysClr val="windowText" lastClr="000000"/>
                </a:solidFill>
                <a:latin typeface="+mn-lt"/>
                <a:ea typeface="+mn-ea"/>
                <a:cs typeface="+mn-cs"/>
              </a:defRPr>
            </a:pPr>
            <a:r>
              <a:rPr lang="en-GB" sz="800" baseline="0">
                <a:solidFill>
                  <a:sysClr val="windowText" lastClr="000000"/>
                </a:solidFill>
                <a:latin typeface="Verdana" panose="020B0604030504040204" pitchFamily="34" charset="0"/>
                <a:ea typeface="Verdana" panose="020B0604030504040204" pitchFamily="34" charset="0"/>
                <a:cs typeface="Verdana" panose="020B0604030504040204" pitchFamily="34" charset="0"/>
              </a:rPr>
              <a:t>Payments made MA by priority themesy</a:t>
            </a:r>
            <a:r>
              <a:rPr lang="bg-BG" sz="800">
                <a:solidFill>
                  <a:sysClr val="windowText" lastClr="000000"/>
                </a:solidFill>
                <a:latin typeface="Verdana" panose="020B0604030504040204" pitchFamily="34" charset="0"/>
                <a:ea typeface="Verdana" panose="020B0604030504040204" pitchFamily="34" charset="0"/>
                <a:cs typeface="Verdana" panose="020B0604030504040204" pitchFamily="34" charset="0"/>
              </a:rPr>
              <a:t> </a:t>
            </a:r>
            <a:r>
              <a:rPr lang="en-US" sz="800">
                <a:solidFill>
                  <a:sysClr val="windowText" lastClr="000000"/>
                </a:solidFill>
                <a:latin typeface="Verdana" panose="020B0604030504040204" pitchFamily="34" charset="0"/>
                <a:ea typeface="Verdana" panose="020B0604030504040204" pitchFamily="34" charset="0"/>
                <a:cs typeface="Verdana" panose="020B0604030504040204" pitchFamily="34" charset="0"/>
              </a:rPr>
              <a:t>(in EUR and in % total payments)</a:t>
            </a:r>
          </a:p>
        </c:rich>
      </c:tx>
      <c:layout>
        <c:manualLayout>
          <c:xMode val="edge"/>
          <c:yMode val="edge"/>
          <c:x val="0.10421090968735899"/>
          <c:y val="1.9321804656554899E-2"/>
        </c:manualLayout>
      </c:layout>
      <c:overlay val="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mn-lt"/>
              <a:ea typeface="+mn-ea"/>
              <a:cs typeface="+mn-cs"/>
            </a:defRPr>
          </a:pPr>
          <a:endParaRPr lang="bg-BG"/>
        </a:p>
      </c:txPr>
    </c:title>
    <c:autoTitleDeleted val="0"/>
    <c:plotArea>
      <c:layout/>
      <c:pieChart>
        <c:varyColors val="1"/>
        <c:ser>
          <c:idx val="0"/>
          <c:order val="0"/>
          <c:spPr>
            <a:ln>
              <a:noFill/>
            </a:ln>
          </c:spPr>
          <c:dPt>
            <c:idx val="0"/>
            <c:bubble3D val="0"/>
            <c:spPr>
              <a:solidFill>
                <a:schemeClr val="accent1"/>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1-BA68-4251-BDBD-BF871C7E2724}"/>
              </c:ext>
            </c:extLst>
          </c:dPt>
          <c:dPt>
            <c:idx val="1"/>
            <c:bubble3D val="0"/>
            <c:spPr>
              <a:solidFill>
                <a:schemeClr val="accent2"/>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3-BA68-4251-BDBD-BF871C7E2724}"/>
              </c:ext>
            </c:extLst>
          </c:dPt>
          <c:dPt>
            <c:idx val="2"/>
            <c:bubble3D val="0"/>
            <c:spPr>
              <a:solidFill>
                <a:schemeClr val="accent3"/>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5-BA68-4251-BDBD-BF871C7E2724}"/>
              </c:ext>
            </c:extLst>
          </c:dPt>
          <c:dPt>
            <c:idx val="3"/>
            <c:bubble3D val="0"/>
            <c:spPr>
              <a:solidFill>
                <a:schemeClr val="accent4"/>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7-BA68-4251-BDBD-BF871C7E2724}"/>
              </c:ext>
            </c:extLst>
          </c:dPt>
          <c:dPt>
            <c:idx val="4"/>
            <c:bubble3D val="0"/>
            <c:spPr>
              <a:solidFill>
                <a:schemeClr val="accent5"/>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9-BA68-4251-BDBD-BF871C7E2724}"/>
              </c:ext>
            </c:extLst>
          </c:dPt>
          <c:dPt>
            <c:idx val="5"/>
            <c:bubble3D val="0"/>
            <c:spPr>
              <a:solidFill>
                <a:schemeClr val="accent6"/>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B-BA68-4251-BDBD-BF871C7E2724}"/>
              </c:ext>
            </c:extLst>
          </c:dPt>
          <c:dPt>
            <c:idx val="6"/>
            <c:bubble3D val="0"/>
            <c:spPr>
              <a:solidFill>
                <a:schemeClr val="accent1">
                  <a:lumMod val="60000"/>
                </a:schemeClr>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D-BA68-4251-BDBD-BF871C7E2724}"/>
              </c:ext>
            </c:extLst>
          </c:dPt>
          <c:dPt>
            <c:idx val="7"/>
            <c:bubble3D val="0"/>
            <c:spPr>
              <a:solidFill>
                <a:schemeClr val="accent2">
                  <a:lumMod val="60000"/>
                </a:schemeClr>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F-BA68-4251-BDBD-BF871C7E2724}"/>
              </c:ext>
            </c:extLst>
          </c:dPt>
          <c:dPt>
            <c:idx val="8"/>
            <c:bubble3D val="0"/>
            <c:spPr>
              <a:solidFill>
                <a:schemeClr val="accent3">
                  <a:lumMod val="60000"/>
                </a:schemeClr>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11-BA68-4251-BDBD-BF871C7E2724}"/>
              </c:ext>
            </c:extLst>
          </c:dPt>
          <c:dLbls>
            <c:dLbl>
              <c:idx val="0"/>
              <c:layout>
                <c:manualLayout>
                  <c:x val="-0.101126406421718"/>
                  <c:y val="0.20592608572330301"/>
                </c:manualLayout>
              </c:layout>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BA68-4251-BDBD-BF871C7E2724}"/>
                </c:ext>
              </c:extLst>
            </c:dLbl>
            <c:dLbl>
              <c:idx val="1"/>
              <c:layout>
                <c:manualLayout>
                  <c:x val="-0.149202572951186"/>
                  <c:y val="-0.12474302584323101"/>
                </c:manualLayout>
              </c:layout>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BA68-4251-BDBD-BF871C7E2724}"/>
                </c:ext>
              </c:extLst>
            </c:dLbl>
            <c:dLbl>
              <c:idx val="4"/>
              <c:layout>
                <c:manualLayout>
                  <c:x val="-1.72649660868248E-2"/>
                  <c:y val="0.14987216209845899"/>
                </c:manualLayout>
              </c:layout>
              <c:spPr>
                <a:gradFill flip="none" rotWithShape="1">
                  <a:gsLst>
                    <a:gs pos="0">
                      <a:srgbClr val="7F8FA9">
                        <a:lumMod val="5000"/>
                        <a:lumOff val="95000"/>
                      </a:srgbClr>
                    </a:gs>
                    <a:gs pos="74000">
                      <a:srgbClr val="7F8FA9">
                        <a:lumMod val="45000"/>
                        <a:lumOff val="55000"/>
                      </a:srgbClr>
                    </a:gs>
                    <a:gs pos="83000">
                      <a:srgbClr val="7F8FA9">
                        <a:lumMod val="45000"/>
                        <a:lumOff val="55000"/>
                      </a:srgbClr>
                    </a:gs>
                    <a:gs pos="100000">
                      <a:srgbClr val="7F8FA9">
                        <a:lumMod val="30000"/>
                        <a:lumOff val="70000"/>
                      </a:srgbClr>
                    </a:gs>
                  </a:gsLst>
                  <a:lin ang="5400000" scaled="1"/>
                  <a:tileRect/>
                </a:gradFill>
                <a:ln>
                  <a:noFill/>
                </a:ln>
                <a:effectLst>
                  <a:outerShdw blurRad="50800" dist="38100" dir="2700000" algn="tl" rotWithShape="0">
                    <a:prstClr val="black">
                      <a:alpha val="40000"/>
                    </a:prstClr>
                  </a:outerShdw>
                </a:effectLst>
              </c:spPr>
              <c:txPr>
                <a:bodyPr rot="0" spcFirstLastPara="1" vertOverflow="clip" horzOverflow="clip" vert="horz" wrap="square" lIns="36576" tIns="18288" rIns="36576" bIns="18288" anchor="ctr" anchorCtr="1">
                  <a:spAutoFit/>
                </a:bodyPr>
                <a:lstStyle/>
                <a:p>
                  <a:pPr>
                    <a:defRPr sz="800" b="1" i="0" u="none" strike="noStrike" kern="1200" baseline="0">
                      <a:solidFill>
                        <a:schemeClr val="tx1"/>
                      </a:solidFill>
                      <a:latin typeface="+mn-lt"/>
                      <a:ea typeface="+mn-ea"/>
                      <a:cs typeface="+mn-cs"/>
                    </a:defRPr>
                  </a:pPr>
                  <a:endParaRPr lang="bg-BG"/>
                </a:p>
              </c:txPr>
              <c:dLblPos val="bestFit"/>
              <c:showLegendKey val="0"/>
              <c:showVal val="1"/>
              <c:showCatName val="1"/>
              <c:showSerName val="0"/>
              <c:showPercent val="1"/>
              <c:showBubbleSize val="0"/>
              <c:extLst>
                <c:ext xmlns:c15="http://schemas.microsoft.com/office/drawing/2012/chart" uri="{CE6537A1-D6FC-4f65-9D91-7224C49458BB}">
                  <c15:spPr xmlns:c15="http://schemas.microsoft.com/office/drawing/2012/chart">
                    <a:prstGeom prst="borderCallout1">
                      <a:avLst>
                        <a:gd name="adj1" fmla="val 26137"/>
                        <a:gd name="adj2" fmla="val 91965"/>
                        <a:gd name="adj3" fmla="val -29221"/>
                        <a:gd name="adj4" fmla="val 117808"/>
                      </a:avLst>
                    </a:prstGeom>
                    <a:pattFill prst="pct75">
                      <a:fgClr>
                        <a:schemeClr val="dk1">
                          <a:lumMod val="75000"/>
                          <a:lumOff val="25000"/>
                        </a:schemeClr>
                      </a:fgClr>
                      <a:bgClr>
                        <a:schemeClr val="dk1">
                          <a:lumMod val="65000"/>
                          <a:lumOff val="35000"/>
                        </a:schemeClr>
                      </a:bgClr>
                    </a:pattFill>
                    <a:ln>
                      <a:noFill/>
                    </a:ln>
                  </c15:spPr>
                </c:ext>
                <c:ext xmlns:c16="http://schemas.microsoft.com/office/drawing/2014/chart" uri="{C3380CC4-5D6E-409C-BE32-E72D297353CC}">
                  <c16:uniqueId val="{00000009-BA68-4251-BDBD-BF871C7E2724}"/>
                </c:ext>
              </c:extLst>
            </c:dLbl>
            <c:dLbl>
              <c:idx val="5"/>
              <c:layout>
                <c:manualLayout>
                  <c:x val="-7.9104712480403794E-2"/>
                  <c:y val="3.3814523184601902E-2"/>
                </c:manualLayout>
              </c:layout>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B-BA68-4251-BDBD-BF871C7E2724}"/>
                </c:ext>
              </c:extLst>
            </c:dLbl>
            <c:dLbl>
              <c:idx val="6"/>
              <c:layout>
                <c:manualLayout>
                  <c:x val="-3.4382722681852398E-2"/>
                  <c:y val="-7.3648413811287297E-2"/>
                </c:manualLayout>
              </c:layout>
              <c:tx>
                <c:rich>
                  <a:bodyPr rot="0" spcFirstLastPara="1" vertOverflow="clip" horzOverflow="clip" vert="horz" wrap="square" lIns="38100" tIns="19050" rIns="38100" bIns="19050" anchor="ctr" anchorCtr="1">
                    <a:noAutofit/>
                  </a:bodyPr>
                  <a:lstStyle/>
                  <a:p>
                    <a:pPr>
                      <a:defRPr sz="800" b="1" i="0" u="none" strike="noStrike" kern="1200" baseline="0">
                        <a:solidFill>
                          <a:schemeClr val="tx1"/>
                        </a:solidFill>
                        <a:latin typeface="+mn-lt"/>
                        <a:ea typeface="+mn-ea"/>
                        <a:cs typeface="+mn-cs"/>
                      </a:defRPr>
                    </a:pPr>
                    <a:fld id="{EA337755-7699-461B-A389-5FDF13E35E13}" type="VALUE">
                      <a:rPr lang="en-US" sz="800">
                        <a:solidFill>
                          <a:schemeClr val="tx1"/>
                        </a:solidFill>
                      </a:rPr>
                      <a:pPr>
                        <a:defRPr sz="800">
                          <a:solidFill>
                            <a:schemeClr val="tx1"/>
                          </a:solidFill>
                        </a:defRPr>
                      </a:pPr>
                      <a:t>[VALUE]</a:t>
                    </a:fld>
                    <a:r>
                      <a:rPr lang="en-US" sz="800">
                        <a:solidFill>
                          <a:schemeClr val="tx1"/>
                        </a:solidFill>
                      </a:rPr>
                      <a:t>, 0,09%</a:t>
                    </a:r>
                    <a:fld id="{078B0019-0A92-430D-B509-83B27B4F4E86}" type="CATEGORYNAME">
                      <a:rPr lang="en-US" sz="800">
                        <a:solidFill>
                          <a:schemeClr val="tx1"/>
                        </a:solidFill>
                      </a:rPr>
                      <a:pPr>
                        <a:defRPr sz="800">
                          <a:solidFill>
                            <a:schemeClr val="tx1"/>
                          </a:solidFill>
                        </a:defRPr>
                      </a:pPr>
                      <a:t>[CATEGORY NAME]</a:t>
                    </a:fld>
                    <a:endParaRPr lang="en-US" sz="800">
                      <a:solidFill>
                        <a:schemeClr val="tx1"/>
                      </a:solidFill>
                    </a:endParaRPr>
                  </a:p>
                </c:rich>
              </c:tx>
              <c:spPr>
                <a:gradFill flip="none" rotWithShape="1">
                  <a:gsLst>
                    <a:gs pos="0">
                      <a:srgbClr val="7F8FA9">
                        <a:lumMod val="5000"/>
                        <a:lumOff val="95000"/>
                      </a:srgbClr>
                    </a:gs>
                    <a:gs pos="74000">
                      <a:srgbClr val="7F8FA9">
                        <a:lumMod val="45000"/>
                        <a:lumOff val="55000"/>
                      </a:srgbClr>
                    </a:gs>
                    <a:gs pos="83000">
                      <a:srgbClr val="7F8FA9">
                        <a:lumMod val="45000"/>
                        <a:lumOff val="55000"/>
                      </a:srgbClr>
                    </a:gs>
                    <a:gs pos="100000">
                      <a:srgbClr val="7F8FA9">
                        <a:lumMod val="30000"/>
                        <a:lumOff val="70000"/>
                      </a:srgbClr>
                    </a:gs>
                  </a:gsLst>
                  <a:lin ang="5400000" scaled="1"/>
                  <a:tileRect/>
                </a:gradFill>
                <a:ln>
                  <a:noFill/>
                </a:ln>
                <a:effectLst>
                  <a:outerShdw blurRad="50800" dist="38100" dir="2700000" algn="tl" rotWithShape="0">
                    <a:prstClr val="black">
                      <a:alpha val="40000"/>
                    </a:prstClr>
                  </a:outerShdw>
                </a:effectLst>
              </c:spPr>
              <c:txPr>
                <a:bodyPr rot="0" spcFirstLastPara="1" vertOverflow="clip" horzOverflow="clip" vert="horz" wrap="square" lIns="38100" tIns="19050" rIns="38100" bIns="19050" anchor="ctr" anchorCtr="1">
                  <a:noAutofit/>
                </a:bodyPr>
                <a:lstStyle/>
                <a:p>
                  <a:pPr>
                    <a:defRPr sz="800" b="1" i="0" u="none" strike="noStrike" kern="1200" baseline="0">
                      <a:solidFill>
                        <a:schemeClr val="tx1"/>
                      </a:solidFill>
                      <a:latin typeface="+mn-lt"/>
                      <a:ea typeface="+mn-ea"/>
                      <a:cs typeface="+mn-cs"/>
                    </a:defRPr>
                  </a:pPr>
                  <a:endParaRPr lang="bg-BG"/>
                </a:p>
              </c:txPr>
              <c:dLblPos val="bestFit"/>
              <c:showLegendKey val="0"/>
              <c:showVal val="1"/>
              <c:showCatName val="1"/>
              <c:showSerName val="0"/>
              <c:showPercent val="1"/>
              <c:showBubbleSize val="0"/>
              <c:extLst>
                <c:ext xmlns:c15="http://schemas.microsoft.com/office/drawing/2012/chart" uri="{CE6537A1-D6FC-4f65-9D91-7224C49458BB}">
                  <c15:spPr xmlns:c15="http://schemas.microsoft.com/office/drawing/2012/chart">
                    <a:prstGeom prst="borderCallout1">
                      <a:avLst/>
                    </a:prstGeom>
                    <a:pattFill prst="pct75">
                      <a:fgClr>
                        <a:schemeClr val="dk1">
                          <a:lumMod val="75000"/>
                          <a:lumOff val="25000"/>
                        </a:schemeClr>
                      </a:fgClr>
                      <a:bgClr>
                        <a:schemeClr val="dk1">
                          <a:lumMod val="65000"/>
                          <a:lumOff val="35000"/>
                        </a:schemeClr>
                      </a:bgClr>
                    </a:pattFill>
                    <a:ln>
                      <a:noFill/>
                    </a:ln>
                  </c15:spPr>
                  <c15:layout>
                    <c:manualLayout>
                      <c:w val="0.18871647705689301"/>
                      <c:h val="8.8507572398199105E-2"/>
                    </c:manualLayout>
                  </c15:layout>
                  <c15:dlblFieldTable/>
                  <c15:showDataLabelsRange val="0"/>
                </c:ext>
                <c:ext xmlns:c16="http://schemas.microsoft.com/office/drawing/2014/chart" uri="{C3380CC4-5D6E-409C-BE32-E72D297353CC}">
                  <c16:uniqueId val="{0000000D-BA68-4251-BDBD-BF871C7E2724}"/>
                </c:ext>
              </c:extLst>
            </c:dLbl>
            <c:dLbl>
              <c:idx val="8"/>
              <c:layout>
                <c:manualLayout>
                  <c:x val="0.23240106295405499"/>
                  <c:y val="0.111627256638582"/>
                </c:manualLayout>
              </c:layout>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1-BA68-4251-BDBD-BF871C7E2724}"/>
                </c:ext>
              </c:extLst>
            </c:dLbl>
            <c:spPr>
              <a:gradFill flip="none" rotWithShape="1">
                <a:gsLst>
                  <a:gs pos="0">
                    <a:srgbClr val="7F8FA9">
                      <a:lumMod val="5000"/>
                      <a:lumOff val="95000"/>
                    </a:srgbClr>
                  </a:gs>
                  <a:gs pos="74000">
                    <a:srgbClr val="7F8FA9">
                      <a:lumMod val="45000"/>
                      <a:lumOff val="55000"/>
                    </a:srgbClr>
                  </a:gs>
                  <a:gs pos="83000">
                    <a:srgbClr val="7F8FA9">
                      <a:lumMod val="45000"/>
                      <a:lumOff val="55000"/>
                    </a:srgbClr>
                  </a:gs>
                  <a:gs pos="100000">
                    <a:srgbClr val="7F8FA9">
                      <a:lumMod val="30000"/>
                      <a:lumOff val="70000"/>
                    </a:srgbClr>
                  </a:gs>
                </a:gsLst>
                <a:lin ang="5400000" scaled="1"/>
                <a:tileRect/>
              </a:gradFill>
              <a:ln>
                <a:noFill/>
              </a:ln>
              <a:effectLst>
                <a:outerShdw blurRad="50800" dist="38100" dir="2700000" algn="tl" rotWithShape="0">
                  <a:prstClr val="black">
                    <a:alpha val="40000"/>
                  </a:prstClr>
                </a:outerShdw>
              </a:effectLst>
            </c:spPr>
            <c:txPr>
              <a:bodyPr rot="0" spcFirstLastPara="1" vertOverflow="clip" horzOverflow="clip" vert="horz" wrap="square" lIns="36576" tIns="18288" rIns="36576" bIns="18288" anchor="ctr" anchorCtr="1">
                <a:spAutoFit/>
              </a:bodyPr>
              <a:lstStyle/>
              <a:p>
                <a:pPr>
                  <a:defRPr sz="800" b="1" i="0" u="none" strike="noStrike" kern="1200" baseline="0">
                    <a:solidFill>
                      <a:schemeClr val="tx1"/>
                    </a:solidFill>
                    <a:latin typeface="+mn-lt"/>
                    <a:ea typeface="+mn-ea"/>
                    <a:cs typeface="+mn-cs"/>
                  </a:defRPr>
                </a:pPr>
                <a:endParaRPr lang="bg-BG"/>
              </a:p>
            </c:txPr>
            <c:dLblPos val="bestFit"/>
            <c:showLegendKey val="0"/>
            <c:showVal val="1"/>
            <c:showCatName val="1"/>
            <c:showSerName val="0"/>
            <c:showPercent val="1"/>
            <c:showBubbleSize val="0"/>
            <c:showLeaderLines val="1"/>
            <c:leaderLines>
              <c:spPr>
                <a:ln w="9525">
                  <a:solidFill>
                    <a:schemeClr val="dk1">
                      <a:lumMod val="50000"/>
                      <a:lumOff val="50000"/>
                    </a:schemeClr>
                  </a:solidFill>
                </a:ln>
                <a:effectLst/>
              </c:spPr>
            </c:leaderLines>
            <c:extLst>
              <c:ext xmlns:c15="http://schemas.microsoft.com/office/drawing/2012/chart" uri="{CE6537A1-D6FC-4f65-9D91-7224C49458BB}">
                <c15:spPr xmlns:c15="http://schemas.microsoft.com/office/drawing/2012/chart">
                  <a:prstGeom prst="borderCallout1">
                    <a:avLst/>
                  </a:prstGeom>
                  <a:pattFill prst="pct75">
                    <a:fgClr>
                      <a:schemeClr val="dk1">
                        <a:lumMod val="75000"/>
                        <a:lumOff val="25000"/>
                      </a:schemeClr>
                    </a:fgClr>
                    <a:bgClr>
                      <a:schemeClr val="dk1">
                        <a:lumMod val="65000"/>
                        <a:lumOff val="35000"/>
                      </a:schemeClr>
                    </a:bgClr>
                  </a:pattFill>
                  <a:ln>
                    <a:noFill/>
                  </a:ln>
                </c15:spPr>
              </c:ext>
            </c:extLst>
          </c:dLbls>
          <c:cat>
            <c:strRef>
              <c:f>Sheet2!$D$11:$H$19</c:f>
              <c:strCache>
                <c:ptCount val="9"/>
                <c:pt idx="0">
                  <c:v>17 - Railways (TEN-T) - 19%</c:v>
                </c:pt>
                <c:pt idx="1">
                  <c:v>21 - Motorways (ТЕN-Т) - 42%</c:v>
                </c:pt>
                <c:pt idx="2">
                  <c:v>22 - National roads - 4%</c:v>
                </c:pt>
                <c:pt idx="3">
                  <c:v>26 - Multinodal transport - 28%</c:v>
                </c:pt>
                <c:pt idx="4">
                  <c:v>27 - Multimodal transport (ТЕN-Т) - 1%</c:v>
                </c:pt>
                <c:pt idx="5">
                  <c:v>28 - Intelligent transport systems - 2%</c:v>
                </c:pt>
                <c:pt idx="6">
                  <c:v>32 - Inland waterways (ТЕN-Т) - 0,09%</c:v>
                </c:pt>
                <c:pt idx="7">
                  <c:v>85 - Preparation, implementation, monitoring and inspection - 3%</c:v>
                </c:pt>
                <c:pt idx="8">
                  <c:v>86 - Evaluation and strudies, information and communication - 0,21%</c:v>
                </c:pt>
              </c:strCache>
            </c:strRef>
          </c:cat>
          <c:val>
            <c:numRef>
              <c:f>Sheet2!$I$11:$I$19</c:f>
              <c:numCache>
                <c:formatCode>#,##0.00</c:formatCode>
                <c:ptCount val="9"/>
                <c:pt idx="0">
                  <c:v>299542235.38</c:v>
                </c:pt>
                <c:pt idx="1">
                  <c:v>674048910.53999996</c:v>
                </c:pt>
                <c:pt idx="2">
                  <c:v>70111288.069999993</c:v>
                </c:pt>
                <c:pt idx="3">
                  <c:v>449324542.13</c:v>
                </c:pt>
                <c:pt idx="4">
                  <c:v>23073800.27</c:v>
                </c:pt>
                <c:pt idx="5">
                  <c:v>27290982.73</c:v>
                </c:pt>
                <c:pt idx="6">
                  <c:v>1485582.8</c:v>
                </c:pt>
                <c:pt idx="7">
                  <c:v>51674234.240000002</c:v>
                </c:pt>
                <c:pt idx="8">
                  <c:v>3372853.46</c:v>
                </c:pt>
              </c:numCache>
            </c:numRef>
          </c:val>
          <c:extLst>
            <c:ext xmlns:c16="http://schemas.microsoft.com/office/drawing/2014/chart" uri="{C3380CC4-5D6E-409C-BE32-E72D297353CC}">
              <c16:uniqueId val="{00000012-BA68-4251-BDBD-BF871C7E2724}"/>
            </c:ext>
          </c:extLst>
        </c:ser>
        <c:dLbls>
          <c:dLblPos val="ctr"/>
          <c:showLegendKey val="0"/>
          <c:showVal val="0"/>
          <c:showCatName val="0"/>
          <c:showSerName val="0"/>
          <c:showPercent val="1"/>
          <c:showBubbleSize val="0"/>
          <c:showLeaderLines val="1"/>
        </c:dLbls>
        <c:firstSliceAng val="0"/>
      </c:pieChart>
      <c:spPr>
        <a:noFill/>
        <a:ln>
          <a:noFill/>
        </a:ln>
        <a:effectLst/>
      </c:spPr>
    </c:plotArea>
    <c:legend>
      <c:legendPos val="r"/>
      <c:overlay val="0"/>
      <c:spPr>
        <a:solidFill>
          <a:schemeClr val="lt1">
            <a:lumMod val="95000"/>
            <a:alpha val="39000"/>
          </a:schemeClr>
        </a:solidFill>
        <a:ln>
          <a:noFill/>
        </a:ln>
        <a:effectLst/>
      </c:spPr>
      <c:txPr>
        <a:bodyPr rot="0" spcFirstLastPara="1" vertOverflow="ellipsis" vert="horz" wrap="square" anchor="ctr" anchorCtr="1"/>
        <a:lstStyle/>
        <a:p>
          <a:pPr>
            <a:defRPr sz="800" b="0" i="0" u="none" strike="noStrike" kern="1200" baseline="0">
              <a:solidFill>
                <a:schemeClr val="dk1">
                  <a:lumMod val="75000"/>
                  <a:lumOff val="25000"/>
                </a:schemeClr>
              </a:solidFill>
              <a:latin typeface="+mn-lt"/>
              <a:ea typeface="+mn-ea"/>
              <a:cs typeface="+mn-cs"/>
            </a:defRPr>
          </a:pPr>
          <a:endParaRPr lang="bg-BG"/>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bg-BG"/>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00" b="0" i="0" u="none" strike="noStrike" kern="1200" baseline="0">
                    <a:solidFill>
                      <a:schemeClr val="tx1">
                        <a:lumMod val="75000"/>
                        <a:lumOff val="25000"/>
                      </a:schemeClr>
                    </a:solidFill>
                    <a:latin typeface="+mn-lt"/>
                    <a:ea typeface="+mn-ea"/>
                    <a:cs typeface="+mn-cs"/>
                  </a:defRPr>
                </a:pPr>
                <a:endParaRPr lang="bg-BG"/>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Sheet3!$A$13:$A$19</c:f>
              <c:strCache>
                <c:ptCount val="7"/>
                <c:pt idx="0">
                  <c:v>Export</c:v>
                </c:pt>
                <c:pt idx="1">
                  <c:v>Average wage</c:v>
                </c:pt>
                <c:pt idx="2">
                  <c:v>Import</c:v>
                </c:pt>
                <c:pt idx="3">
                  <c:v>Employment</c:v>
                </c:pt>
                <c:pt idx="4">
                  <c:v>GDP</c:v>
                </c:pt>
                <c:pt idx="5">
                  <c:v>Private consumption</c:v>
                </c:pt>
                <c:pt idx="6">
                  <c:v>Private investment</c:v>
                </c:pt>
              </c:strCache>
            </c:strRef>
          </c:cat>
          <c:val>
            <c:numRef>
              <c:f>Sheet3!$B$13:$B$19</c:f>
              <c:numCache>
                <c:formatCode>0.00%</c:formatCode>
                <c:ptCount val="7"/>
                <c:pt idx="0">
                  <c:v>4.0000000000000002E-4</c:v>
                </c:pt>
                <c:pt idx="1">
                  <c:v>8.9999999999999993E-3</c:v>
                </c:pt>
                <c:pt idx="2">
                  <c:v>1.0999999999999999E-2</c:v>
                </c:pt>
                <c:pt idx="3">
                  <c:v>1.2E-2</c:v>
                </c:pt>
                <c:pt idx="4">
                  <c:v>1.2E-2</c:v>
                </c:pt>
                <c:pt idx="5">
                  <c:v>1.4E-2</c:v>
                </c:pt>
                <c:pt idx="6">
                  <c:v>2.4E-2</c:v>
                </c:pt>
              </c:numCache>
            </c:numRef>
          </c:val>
          <c:extLst>
            <c:ext xmlns:c16="http://schemas.microsoft.com/office/drawing/2014/chart" uri="{C3380CC4-5D6E-409C-BE32-E72D297353CC}">
              <c16:uniqueId val="{00000000-C39C-4F1C-B5CD-9DCC4E19351A}"/>
            </c:ext>
          </c:extLst>
        </c:ser>
        <c:dLbls>
          <c:showLegendKey val="0"/>
          <c:showVal val="0"/>
          <c:showCatName val="0"/>
          <c:showSerName val="0"/>
          <c:showPercent val="0"/>
          <c:showBubbleSize val="0"/>
        </c:dLbls>
        <c:gapWidth val="50"/>
        <c:axId val="-1959644928"/>
        <c:axId val="-2011317408"/>
      </c:barChart>
      <c:catAx>
        <c:axId val="-195964492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bg-BG"/>
          </a:p>
        </c:txPr>
        <c:crossAx val="-2011317408"/>
        <c:crosses val="autoZero"/>
        <c:auto val="1"/>
        <c:lblAlgn val="ctr"/>
        <c:lblOffset val="100"/>
        <c:noMultiLvlLbl val="0"/>
      </c:catAx>
      <c:valAx>
        <c:axId val="-2011317408"/>
        <c:scaling>
          <c:orientation val="minMax"/>
        </c:scaling>
        <c:delete val="1"/>
        <c:axPos val="l"/>
        <c:numFmt formatCode="0.00%" sourceLinked="1"/>
        <c:majorTickMark val="none"/>
        <c:minorTickMark val="none"/>
        <c:tickLblPos val="nextTo"/>
        <c:crossAx val="-1959644928"/>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gradFill flip="none" rotWithShape="1">
      <a:gsLst>
        <a:gs pos="0">
          <a:schemeClr val="bg1">
            <a:lumMod val="95000"/>
            <a:shade val="30000"/>
            <a:satMod val="115000"/>
          </a:schemeClr>
        </a:gs>
        <a:gs pos="50000">
          <a:schemeClr val="bg1">
            <a:lumMod val="95000"/>
            <a:shade val="67500"/>
            <a:satMod val="115000"/>
          </a:schemeClr>
        </a:gs>
        <a:gs pos="100000">
          <a:schemeClr val="bg1">
            <a:lumMod val="95000"/>
            <a:shade val="100000"/>
            <a:satMod val="115000"/>
          </a:schemeClr>
        </a:gs>
      </a:gsLst>
      <a:path path="circle">
        <a:fillToRect l="100000" t="100000"/>
      </a:path>
      <a:tileRect r="-100000" b="-100000"/>
    </a:gradFill>
    <a:ln w="9525" cap="flat" cmpd="sng" algn="ctr">
      <a:solidFill>
        <a:schemeClr val="tx1">
          <a:lumMod val="15000"/>
          <a:lumOff val="85000"/>
        </a:schemeClr>
      </a:solidFill>
      <a:round/>
    </a:ln>
    <a:effectLst/>
  </c:spPr>
  <c:txPr>
    <a:bodyPr/>
    <a:lstStyle/>
    <a:p>
      <a:pPr>
        <a:defRPr/>
      </a:pPr>
      <a:endParaRPr lang="bg-BG"/>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2.2276225192385601E-2"/>
          <c:y val="9.1491308325709099E-3"/>
          <c:w val="0.95544754961522904"/>
          <c:h val="0.59151458342477903"/>
        </c:manualLayout>
      </c:layout>
      <c:barChart>
        <c:barDir val="col"/>
        <c:grouping val="clustered"/>
        <c:varyColors val="0"/>
        <c:ser>
          <c:idx val="0"/>
          <c:order val="0"/>
          <c:tx>
            <c:strRef>
              <c:f>Sheet1!$A$3</c:f>
              <c:strCache>
                <c:ptCount val="1"/>
                <c:pt idx="0">
                  <c:v>Development of railway infrastructure along the major national and Pan-European transport axes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bg-BG"/>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Sheet1!$B$2:$C$2</c:f>
              <c:strCache>
                <c:ptCount val="2"/>
                <c:pt idx="0">
                  <c:v>Employment</c:v>
                </c:pt>
                <c:pt idx="1">
                  <c:v>Private Investment</c:v>
                </c:pt>
              </c:strCache>
            </c:strRef>
          </c:cat>
          <c:val>
            <c:numRef>
              <c:f>Sheet1!$B$3:$C$3</c:f>
              <c:numCache>
                <c:formatCode>0.00%</c:formatCode>
                <c:ptCount val="2"/>
                <c:pt idx="0">
                  <c:v>3.8E-3</c:v>
                </c:pt>
                <c:pt idx="1">
                  <c:v>8.3000000000000001E-3</c:v>
                </c:pt>
              </c:numCache>
            </c:numRef>
          </c:val>
          <c:extLst>
            <c:ext xmlns:c16="http://schemas.microsoft.com/office/drawing/2014/chart" uri="{C3380CC4-5D6E-409C-BE32-E72D297353CC}">
              <c16:uniqueId val="{00000000-A75D-4382-A57B-CFC5B6B4AF01}"/>
            </c:ext>
          </c:extLst>
        </c:ser>
        <c:ser>
          <c:idx val="1"/>
          <c:order val="1"/>
          <c:tx>
            <c:strRef>
              <c:f>Sheet1!$A$4</c:f>
              <c:strCache>
                <c:ptCount val="1"/>
                <c:pt idx="0">
                  <c:v>Development of road infrastructure along the major national and Pan-European transport axes</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bg-BG"/>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Sheet1!$B$2:$C$2</c:f>
              <c:strCache>
                <c:ptCount val="2"/>
                <c:pt idx="0">
                  <c:v>Employment</c:v>
                </c:pt>
                <c:pt idx="1">
                  <c:v>Private Investment</c:v>
                </c:pt>
              </c:strCache>
            </c:strRef>
          </c:cat>
          <c:val>
            <c:numRef>
              <c:f>Sheet1!$B$4:$C$4</c:f>
              <c:numCache>
                <c:formatCode>0.00%</c:formatCode>
                <c:ptCount val="2"/>
                <c:pt idx="0">
                  <c:v>4.7000000000000002E-3</c:v>
                </c:pt>
                <c:pt idx="1">
                  <c:v>1.0200000000000001E-2</c:v>
                </c:pt>
              </c:numCache>
            </c:numRef>
          </c:val>
          <c:extLst>
            <c:ext xmlns:c16="http://schemas.microsoft.com/office/drawing/2014/chart" uri="{C3380CC4-5D6E-409C-BE32-E72D297353CC}">
              <c16:uniqueId val="{00000001-A75D-4382-A57B-CFC5B6B4AF01}"/>
            </c:ext>
          </c:extLst>
        </c:ser>
        <c:ser>
          <c:idx val="2"/>
          <c:order val="2"/>
          <c:tx>
            <c:strRef>
              <c:f>Sheet1!$A$5</c:f>
              <c:strCache>
                <c:ptCount val="1"/>
                <c:pt idx="0">
                  <c:v>Improvement of intermodality for passenger and freight</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bg-BG"/>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Sheet1!$B$2:$C$2</c:f>
              <c:strCache>
                <c:ptCount val="2"/>
                <c:pt idx="0">
                  <c:v>Employment</c:v>
                </c:pt>
                <c:pt idx="1">
                  <c:v>Private Investment</c:v>
                </c:pt>
              </c:strCache>
            </c:strRef>
          </c:cat>
          <c:val>
            <c:numRef>
              <c:f>Sheet1!$B$5:$C$5</c:f>
              <c:numCache>
                <c:formatCode>0.00%</c:formatCode>
                <c:ptCount val="2"/>
                <c:pt idx="0">
                  <c:v>2.0999999999999999E-3</c:v>
                </c:pt>
                <c:pt idx="1">
                  <c:v>4.5999999999999999E-3</c:v>
                </c:pt>
              </c:numCache>
            </c:numRef>
          </c:val>
          <c:extLst>
            <c:ext xmlns:c16="http://schemas.microsoft.com/office/drawing/2014/chart" uri="{C3380CC4-5D6E-409C-BE32-E72D297353CC}">
              <c16:uniqueId val="{00000002-A75D-4382-A57B-CFC5B6B4AF01}"/>
            </c:ext>
          </c:extLst>
        </c:ser>
        <c:ser>
          <c:idx val="3"/>
          <c:order val="3"/>
          <c:tx>
            <c:strRef>
              <c:f>Sheet1!$A$6</c:f>
              <c:strCache>
                <c:ptCount val="1"/>
                <c:pt idx="0">
                  <c:v>Improvement of the maritime and inland-waterway navigation</c:v>
                </c:pt>
              </c:strCache>
            </c:strRef>
          </c:tx>
          <c:spPr>
            <a:solidFill>
              <a:schemeClr val="accent4"/>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bg-BG"/>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Sheet1!$B$2:$C$2</c:f>
              <c:strCache>
                <c:ptCount val="2"/>
                <c:pt idx="0">
                  <c:v>Employment</c:v>
                </c:pt>
                <c:pt idx="1">
                  <c:v>Private Investment</c:v>
                </c:pt>
              </c:strCache>
            </c:strRef>
          </c:cat>
          <c:val>
            <c:numRef>
              <c:f>Sheet1!$B$6:$C$6</c:f>
              <c:numCache>
                <c:formatCode>0.00%</c:formatCode>
                <c:ptCount val="2"/>
                <c:pt idx="0">
                  <c:v>2.0000000000000001E-4</c:v>
                </c:pt>
                <c:pt idx="1">
                  <c:v>4.0000000000000002E-4</c:v>
                </c:pt>
              </c:numCache>
            </c:numRef>
          </c:val>
          <c:extLst>
            <c:ext xmlns:c16="http://schemas.microsoft.com/office/drawing/2014/chart" uri="{C3380CC4-5D6E-409C-BE32-E72D297353CC}">
              <c16:uniqueId val="{00000003-A75D-4382-A57B-CFC5B6B4AF01}"/>
            </c:ext>
          </c:extLst>
        </c:ser>
        <c:ser>
          <c:idx val="4"/>
          <c:order val="4"/>
          <c:tx>
            <c:strRef>
              <c:f>Sheet1!$A$7</c:f>
              <c:strCache>
                <c:ptCount val="1"/>
                <c:pt idx="0">
                  <c:v>Technical Assistance</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bg-BG"/>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Sheet1!$B$2:$C$2</c:f>
              <c:strCache>
                <c:ptCount val="2"/>
                <c:pt idx="0">
                  <c:v>Employment</c:v>
                </c:pt>
                <c:pt idx="1">
                  <c:v>Private Investment</c:v>
                </c:pt>
              </c:strCache>
            </c:strRef>
          </c:cat>
          <c:val>
            <c:numRef>
              <c:f>Sheet1!$B$7:$C$7</c:f>
              <c:numCache>
                <c:formatCode>0.00%</c:formatCode>
                <c:ptCount val="2"/>
                <c:pt idx="0">
                  <c:v>2.9999999999999997E-4</c:v>
                </c:pt>
                <c:pt idx="1">
                  <c:v>5.9999999999999995E-4</c:v>
                </c:pt>
              </c:numCache>
            </c:numRef>
          </c:val>
          <c:extLst>
            <c:ext xmlns:c16="http://schemas.microsoft.com/office/drawing/2014/chart" uri="{C3380CC4-5D6E-409C-BE32-E72D297353CC}">
              <c16:uniqueId val="{00000004-A75D-4382-A57B-CFC5B6B4AF01}"/>
            </c:ext>
          </c:extLst>
        </c:ser>
        <c:dLbls>
          <c:showLegendKey val="0"/>
          <c:showVal val="0"/>
          <c:showCatName val="0"/>
          <c:showSerName val="0"/>
          <c:showPercent val="0"/>
          <c:showBubbleSize val="0"/>
        </c:dLbls>
        <c:gapWidth val="50"/>
        <c:axId val="-2028186576"/>
        <c:axId val="-1957726624"/>
      </c:barChart>
      <c:catAx>
        <c:axId val="-20281865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bg-BG"/>
          </a:p>
        </c:txPr>
        <c:crossAx val="-1957726624"/>
        <c:crosses val="autoZero"/>
        <c:auto val="1"/>
        <c:lblAlgn val="ctr"/>
        <c:lblOffset val="100"/>
        <c:noMultiLvlLbl val="0"/>
      </c:catAx>
      <c:valAx>
        <c:axId val="-1957726624"/>
        <c:scaling>
          <c:orientation val="minMax"/>
        </c:scaling>
        <c:delete val="1"/>
        <c:axPos val="l"/>
        <c:numFmt formatCode="0.00%" sourceLinked="1"/>
        <c:majorTickMark val="none"/>
        <c:minorTickMark val="none"/>
        <c:tickLblPos val="nextTo"/>
        <c:crossAx val="-202818657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bg-BG"/>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gradFill flip="none" rotWithShape="1">
      <a:gsLst>
        <a:gs pos="0">
          <a:schemeClr val="bg1">
            <a:lumMod val="95000"/>
            <a:shade val="30000"/>
            <a:satMod val="115000"/>
          </a:schemeClr>
        </a:gs>
        <a:gs pos="50000">
          <a:schemeClr val="bg1">
            <a:lumMod val="95000"/>
            <a:shade val="67500"/>
            <a:satMod val="115000"/>
          </a:schemeClr>
        </a:gs>
        <a:gs pos="100000">
          <a:schemeClr val="bg1">
            <a:lumMod val="95000"/>
            <a:shade val="100000"/>
            <a:satMod val="115000"/>
          </a:schemeClr>
        </a:gs>
      </a:gsLst>
      <a:path path="circle">
        <a:fillToRect l="100000" t="100000"/>
      </a:path>
      <a:tileRect r="-100000" b="-100000"/>
    </a:gradFill>
    <a:ln w="9525" cap="flat" cmpd="sng" algn="ctr">
      <a:solidFill>
        <a:schemeClr val="tx1">
          <a:lumMod val="15000"/>
          <a:lumOff val="85000"/>
        </a:schemeClr>
      </a:solidFill>
      <a:round/>
    </a:ln>
    <a:effectLst/>
  </c:spPr>
  <c:txPr>
    <a:bodyPr/>
    <a:lstStyle/>
    <a:p>
      <a:pPr>
        <a:defRPr/>
      </a:pPr>
      <a:endParaRPr lang="bg-BG"/>
    </a:p>
  </c:txPr>
  <c:externalData r:id="rId4">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7"/>
    </mc:Choice>
    <mc:Fallback>
      <c:style val="7"/>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marL="0" marR="0" lvl="0" indent="0" algn="ctr" defTabSz="914400" rtl="0" eaLnBrk="1" fontAlgn="auto" latinLnBrk="0" hangingPunct="1">
              <a:lnSpc>
                <a:spcPct val="100000"/>
              </a:lnSpc>
              <a:spcBef>
                <a:spcPts val="0"/>
              </a:spcBef>
              <a:spcAft>
                <a:spcPts val="0"/>
              </a:spcAft>
              <a:buClrTx/>
              <a:buSzTx/>
              <a:buFontTx/>
              <a:buNone/>
              <a:tabLst/>
              <a:defRPr sz="1000" b="0" i="0" u="none" strike="noStrike" kern="1200" spc="0" baseline="0">
                <a:solidFill>
                  <a:sysClr val="windowText" lastClr="000000">
                    <a:lumMod val="65000"/>
                    <a:lumOff val="35000"/>
                  </a:sysClr>
                </a:solidFill>
                <a:latin typeface="Verdana" panose="020B0604030504040204" pitchFamily="34" charset="0"/>
                <a:ea typeface="Verdana" panose="020B0604030504040204" pitchFamily="34" charset="0"/>
                <a:cs typeface="Verdana" panose="020B0604030504040204" pitchFamily="34" charset="0"/>
              </a:defRPr>
            </a:pPr>
            <a:r>
              <a:rPr lang="en-US" sz="1000" b="0" i="0" baseline="0">
                <a:effectLst/>
                <a:latin typeface="Verdana" panose="020B0604030504040204" pitchFamily="34" charset="0"/>
                <a:ea typeface="Verdana" panose="020B0604030504040204" pitchFamily="34" charset="0"/>
                <a:cs typeface="Verdana" panose="020B0604030504040204" pitchFamily="34" charset="0"/>
              </a:rPr>
              <a:t>Amendments to the financial plan of the programme</a:t>
            </a:r>
            <a:endParaRPr lang="bg-BG" sz="1000">
              <a:effectLst/>
              <a:latin typeface="Verdana" panose="020B0604030504040204" pitchFamily="34" charset="0"/>
              <a:ea typeface="Verdana" panose="020B0604030504040204" pitchFamily="34" charset="0"/>
              <a:cs typeface="Verdana" panose="020B0604030504040204" pitchFamily="34" charset="0"/>
            </a:endParaRPr>
          </a:p>
          <a:p>
            <a:pPr marL="0" marR="0" lvl="0" indent="0" algn="ctr" defTabSz="914400" rtl="0" eaLnBrk="1" fontAlgn="auto" latinLnBrk="0" hangingPunct="1">
              <a:lnSpc>
                <a:spcPct val="100000"/>
              </a:lnSpc>
              <a:spcBef>
                <a:spcPts val="0"/>
              </a:spcBef>
              <a:spcAft>
                <a:spcPts val="0"/>
              </a:spcAft>
              <a:buClrTx/>
              <a:buSzTx/>
              <a:buFontTx/>
              <a:buNone/>
              <a:tabLst/>
              <a:defRPr sz="1000">
                <a:solidFill>
                  <a:sysClr val="windowText" lastClr="000000">
                    <a:lumMod val="65000"/>
                    <a:lumOff val="35000"/>
                  </a:sysClr>
                </a:solidFill>
                <a:latin typeface="Verdana" panose="020B0604030504040204" pitchFamily="34" charset="0"/>
                <a:ea typeface="Verdana" panose="020B0604030504040204" pitchFamily="34" charset="0"/>
                <a:cs typeface="Verdana" panose="020B0604030504040204" pitchFamily="34" charset="0"/>
              </a:defRPr>
            </a:pPr>
            <a:endParaRPr lang="en-GB" sz="1000">
              <a:latin typeface="Verdana" panose="020B0604030504040204" pitchFamily="34" charset="0"/>
              <a:ea typeface="Verdana" panose="020B0604030504040204" pitchFamily="34" charset="0"/>
              <a:cs typeface="Verdana" panose="020B0604030504040204" pitchFamily="34" charset="0"/>
            </a:endParaRPr>
          </a:p>
        </c:rich>
      </c:tx>
      <c:overlay val="0"/>
      <c:spPr>
        <a:noFill/>
        <a:ln>
          <a:noFill/>
        </a:ln>
        <a:effectLst/>
      </c:spPr>
      <c:txPr>
        <a:bodyPr rot="0" spcFirstLastPara="1" vertOverflow="ellipsis" vert="horz" wrap="square" anchor="ctr" anchorCtr="1"/>
        <a:lstStyle/>
        <a:p>
          <a:pPr marL="0" marR="0" lvl="0" indent="0" algn="ctr" defTabSz="914400" rtl="0" eaLnBrk="1" fontAlgn="auto" latinLnBrk="0" hangingPunct="1">
            <a:lnSpc>
              <a:spcPct val="100000"/>
            </a:lnSpc>
            <a:spcBef>
              <a:spcPts val="0"/>
            </a:spcBef>
            <a:spcAft>
              <a:spcPts val="0"/>
            </a:spcAft>
            <a:buClrTx/>
            <a:buSzTx/>
            <a:buFontTx/>
            <a:buNone/>
            <a:tabLst/>
            <a:defRPr sz="1000" b="0" i="0" u="none" strike="noStrike" kern="1200" spc="0" baseline="0">
              <a:solidFill>
                <a:sysClr val="windowText" lastClr="000000">
                  <a:lumMod val="65000"/>
                  <a:lumOff val="35000"/>
                </a:sysClr>
              </a:solidFill>
              <a:latin typeface="Verdana" panose="020B0604030504040204" pitchFamily="34" charset="0"/>
              <a:ea typeface="Verdana" panose="020B0604030504040204" pitchFamily="34" charset="0"/>
              <a:cs typeface="Verdana" panose="020B0604030504040204" pitchFamily="34" charset="0"/>
            </a:defRPr>
          </a:pPr>
          <a:endParaRPr lang="bg-BG"/>
        </a:p>
      </c:txPr>
    </c:title>
    <c:autoTitleDeleted val="0"/>
    <c:plotArea>
      <c:layout/>
      <c:barChart>
        <c:barDir val="col"/>
        <c:grouping val="percentStacked"/>
        <c:varyColors val="0"/>
        <c:ser>
          <c:idx val="1"/>
          <c:order val="1"/>
          <c:tx>
            <c:strRef>
              <c:f>'Изменения на бюджета'!$B$4</c:f>
              <c:strCache>
                <c:ptCount val="1"/>
                <c:pt idx="0">
                  <c:v>Priority Axis 1 “Development of the Railway Infrastructure along the Trans-European and Major National Transport Axes” - CF</c:v>
                </c:pt>
              </c:strCache>
            </c:strRef>
          </c:tx>
          <c:spPr>
            <a:solidFill>
              <a:schemeClr val="accent4">
                <a:lumMod val="40000"/>
                <a:lumOff val="60000"/>
              </a:schemeClr>
            </a:solidFill>
            <a:ln>
              <a:solidFill>
                <a:schemeClr val="bg1"/>
              </a:solidFill>
            </a:ln>
            <a:effectLst/>
          </c:spPr>
          <c:invertIfNegative val="0"/>
          <c:cat>
            <c:strRef>
              <c:f>'Изменения на бюджета'!$C$2:$M$2</c:f>
              <c:strCache>
                <c:ptCount val="5"/>
                <c:pt idx="0">
                  <c:v>First version</c:v>
                </c:pt>
                <c:pt idx="1">
                  <c:v>First amendment</c:v>
                </c:pt>
                <c:pt idx="2">
                  <c:v>Second amendment</c:v>
                </c:pt>
                <c:pt idx="3">
                  <c:v>Third amendment</c:v>
                </c:pt>
                <c:pt idx="4">
                  <c:v>Financial implementation</c:v>
                </c:pt>
              </c:strCache>
            </c:strRef>
          </c:cat>
          <c:val>
            <c:numRef>
              <c:f>'Изменения на бюджета'!$C$4:$M$4</c:f>
              <c:numCache>
                <c:formatCode>#,##0</c:formatCode>
                <c:ptCount val="5"/>
                <c:pt idx="0">
                  <c:v>580000000</c:v>
                </c:pt>
                <c:pt idx="1">
                  <c:v>640000000</c:v>
                </c:pt>
                <c:pt idx="2">
                  <c:v>660000000</c:v>
                </c:pt>
                <c:pt idx="3">
                  <c:v>621176471</c:v>
                </c:pt>
                <c:pt idx="4">
                  <c:v>597928463.01999998</c:v>
                </c:pt>
              </c:numCache>
            </c:numRef>
          </c:val>
          <c:extLst>
            <c:ext xmlns:c16="http://schemas.microsoft.com/office/drawing/2014/chart" uri="{C3380CC4-5D6E-409C-BE32-E72D297353CC}">
              <c16:uniqueId val="{00000000-1BF2-46EB-82F4-28F15ADB905A}"/>
            </c:ext>
          </c:extLst>
        </c:ser>
        <c:ser>
          <c:idx val="2"/>
          <c:order val="2"/>
          <c:tx>
            <c:strRef>
              <c:f>'Изменения на бюджета'!$B$5</c:f>
              <c:strCache>
                <c:ptCount val="1"/>
                <c:pt idx="0">
                  <c:v>Priority Axis 2 “Development of Road Infrastructure along the Trans-European and Major National Transport Axes” - CF</c:v>
                </c:pt>
              </c:strCache>
            </c:strRef>
          </c:tx>
          <c:spPr>
            <a:solidFill>
              <a:schemeClr val="accent1">
                <a:lumMod val="40000"/>
                <a:lumOff val="60000"/>
              </a:schemeClr>
            </a:solidFill>
            <a:ln>
              <a:solidFill>
                <a:schemeClr val="bg1"/>
              </a:solidFill>
            </a:ln>
            <a:effectLst/>
          </c:spPr>
          <c:invertIfNegative val="0"/>
          <c:cat>
            <c:strRef>
              <c:f>'Изменения на бюджета'!$C$2:$M$2</c:f>
              <c:strCache>
                <c:ptCount val="5"/>
                <c:pt idx="0">
                  <c:v>First version</c:v>
                </c:pt>
                <c:pt idx="1">
                  <c:v>First amendment</c:v>
                </c:pt>
                <c:pt idx="2">
                  <c:v>Second amendment</c:v>
                </c:pt>
                <c:pt idx="3">
                  <c:v>Third amendment</c:v>
                </c:pt>
                <c:pt idx="4">
                  <c:v>Financial implementation</c:v>
                </c:pt>
              </c:strCache>
            </c:strRef>
          </c:cat>
          <c:val>
            <c:numRef>
              <c:f>'Изменения на бюджета'!$C$5:$M$5</c:f>
              <c:numCache>
                <c:formatCode>#,##0</c:formatCode>
                <c:ptCount val="5"/>
                <c:pt idx="0">
                  <c:v>989587365</c:v>
                </c:pt>
                <c:pt idx="1">
                  <c:v>929587365</c:v>
                </c:pt>
                <c:pt idx="2">
                  <c:v>909587365</c:v>
                </c:pt>
                <c:pt idx="3">
                  <c:v>856082226</c:v>
                </c:pt>
                <c:pt idx="4">
                  <c:v>878450624.27999997</c:v>
                </c:pt>
              </c:numCache>
            </c:numRef>
          </c:val>
          <c:extLst>
            <c:ext xmlns:c16="http://schemas.microsoft.com/office/drawing/2014/chart" uri="{C3380CC4-5D6E-409C-BE32-E72D297353CC}">
              <c16:uniqueId val="{00000001-1BF2-46EB-82F4-28F15ADB905A}"/>
            </c:ext>
          </c:extLst>
        </c:ser>
        <c:ser>
          <c:idx val="3"/>
          <c:order val="3"/>
          <c:tx>
            <c:strRef>
              <c:f>'Изменения на бюджета'!$B$6</c:f>
              <c:strCache>
                <c:ptCount val="1"/>
                <c:pt idx="0">
                  <c:v>Priority Axis 3 “Improvement of Intermodality for Passengers and Freight” - ERDF</c:v>
                </c:pt>
              </c:strCache>
            </c:strRef>
          </c:tx>
          <c:spPr>
            <a:solidFill>
              <a:schemeClr val="accent1">
                <a:lumMod val="60000"/>
                <a:lumOff val="40000"/>
              </a:schemeClr>
            </a:solidFill>
            <a:ln>
              <a:solidFill>
                <a:schemeClr val="bg1"/>
              </a:solidFill>
            </a:ln>
            <a:effectLst/>
          </c:spPr>
          <c:invertIfNegative val="0"/>
          <c:cat>
            <c:strRef>
              <c:f>'Изменения на бюджета'!$C$2:$M$2</c:f>
              <c:strCache>
                <c:ptCount val="5"/>
                <c:pt idx="0">
                  <c:v>First version</c:v>
                </c:pt>
                <c:pt idx="1">
                  <c:v>First amendment</c:v>
                </c:pt>
                <c:pt idx="2">
                  <c:v>Second amendment</c:v>
                </c:pt>
                <c:pt idx="3">
                  <c:v>Third amendment</c:v>
                </c:pt>
                <c:pt idx="4">
                  <c:v>Financial implementation</c:v>
                </c:pt>
              </c:strCache>
            </c:strRef>
          </c:cat>
          <c:val>
            <c:numRef>
              <c:f>'Изменения на бюджета'!$C$6:$M$6</c:f>
              <c:numCache>
                <c:formatCode>#,##0</c:formatCode>
                <c:ptCount val="5"/>
                <c:pt idx="0">
                  <c:v>211093801</c:v>
                </c:pt>
                <c:pt idx="1">
                  <c:v>211093801</c:v>
                </c:pt>
                <c:pt idx="2">
                  <c:v>333193801</c:v>
                </c:pt>
                <c:pt idx="3">
                  <c:v>343193801</c:v>
                </c:pt>
                <c:pt idx="4">
                  <c:v>326553009.88999999</c:v>
                </c:pt>
              </c:numCache>
            </c:numRef>
          </c:val>
          <c:extLst>
            <c:ext xmlns:c16="http://schemas.microsoft.com/office/drawing/2014/chart" uri="{C3380CC4-5D6E-409C-BE32-E72D297353CC}">
              <c16:uniqueId val="{00000002-1BF2-46EB-82F4-28F15ADB905A}"/>
            </c:ext>
          </c:extLst>
        </c:ser>
        <c:ser>
          <c:idx val="4"/>
          <c:order val="4"/>
          <c:tx>
            <c:strRef>
              <c:f>'Изменения на бюджета'!$B$7</c:f>
              <c:strCache>
                <c:ptCount val="1"/>
                <c:pt idx="0">
                  <c:v>Priority Axis 4 “Improvement of the Maritime And Inland Waterway Navigation” - ERDF</c:v>
                </c:pt>
              </c:strCache>
            </c:strRef>
          </c:tx>
          <c:spPr>
            <a:solidFill>
              <a:schemeClr val="accent5">
                <a:lumMod val="50000"/>
              </a:schemeClr>
            </a:solidFill>
            <a:ln>
              <a:solidFill>
                <a:schemeClr val="bg1"/>
              </a:solidFill>
            </a:ln>
            <a:effectLst/>
          </c:spPr>
          <c:invertIfNegative val="0"/>
          <c:cat>
            <c:strRef>
              <c:f>'Изменения на бюджета'!$C$2:$M$2</c:f>
              <c:strCache>
                <c:ptCount val="5"/>
                <c:pt idx="0">
                  <c:v>First version</c:v>
                </c:pt>
                <c:pt idx="1">
                  <c:v>First amendment</c:v>
                </c:pt>
                <c:pt idx="2">
                  <c:v>Second amendment</c:v>
                </c:pt>
                <c:pt idx="3">
                  <c:v>Third amendment</c:v>
                </c:pt>
                <c:pt idx="4">
                  <c:v>Financial implementation</c:v>
                </c:pt>
              </c:strCache>
            </c:strRef>
          </c:cat>
          <c:val>
            <c:numRef>
              <c:f>'Изменения на бюджета'!$C$7:$M$7</c:f>
              <c:numCache>
                <c:formatCode>#,##0</c:formatCode>
                <c:ptCount val="5"/>
                <c:pt idx="0">
                  <c:v>156850000</c:v>
                </c:pt>
                <c:pt idx="1">
                  <c:v>156850000</c:v>
                </c:pt>
                <c:pt idx="2">
                  <c:v>34750000</c:v>
                </c:pt>
                <c:pt idx="3">
                  <c:v>34750000</c:v>
                </c:pt>
                <c:pt idx="4">
                  <c:v>31482883.73</c:v>
                </c:pt>
              </c:numCache>
            </c:numRef>
          </c:val>
          <c:extLst>
            <c:ext xmlns:c16="http://schemas.microsoft.com/office/drawing/2014/chart" uri="{C3380CC4-5D6E-409C-BE32-E72D297353CC}">
              <c16:uniqueId val="{00000003-1BF2-46EB-82F4-28F15ADB905A}"/>
            </c:ext>
          </c:extLst>
        </c:ser>
        <c:ser>
          <c:idx val="5"/>
          <c:order val="5"/>
          <c:tx>
            <c:strRef>
              <c:f>'Изменения на бюджета'!$B$8</c:f>
              <c:strCache>
                <c:ptCount val="1"/>
                <c:pt idx="0">
                  <c:v>Priority Axis 5 „Technical support” - ERDF</c:v>
                </c:pt>
              </c:strCache>
            </c:strRef>
          </c:tx>
          <c:spPr>
            <a:solidFill>
              <a:schemeClr val="tx2">
                <a:lumMod val="50000"/>
              </a:schemeClr>
            </a:solidFill>
            <a:ln>
              <a:solidFill>
                <a:schemeClr val="bg1"/>
              </a:solidFill>
            </a:ln>
            <a:effectLst/>
          </c:spPr>
          <c:invertIfNegative val="0"/>
          <c:cat>
            <c:strRef>
              <c:f>'Изменения на бюджета'!$C$2:$M$2</c:f>
              <c:strCache>
                <c:ptCount val="5"/>
                <c:pt idx="0">
                  <c:v>First version</c:v>
                </c:pt>
                <c:pt idx="1">
                  <c:v>First amendment</c:v>
                </c:pt>
                <c:pt idx="2">
                  <c:v>Second amendment</c:v>
                </c:pt>
                <c:pt idx="3">
                  <c:v>Third amendment</c:v>
                </c:pt>
                <c:pt idx="4">
                  <c:v>Financial implementation</c:v>
                </c:pt>
              </c:strCache>
            </c:strRef>
          </c:cat>
          <c:val>
            <c:numRef>
              <c:f>'Изменения на бюджета'!$C$8:$M$8</c:f>
              <c:numCache>
                <c:formatCode>#,##0</c:formatCode>
                <c:ptCount val="5"/>
                <c:pt idx="0">
                  <c:v>65950000</c:v>
                </c:pt>
                <c:pt idx="1">
                  <c:v>65950000</c:v>
                </c:pt>
                <c:pt idx="2">
                  <c:v>65950000</c:v>
                </c:pt>
                <c:pt idx="3">
                  <c:v>55950000</c:v>
                </c:pt>
                <c:pt idx="4">
                  <c:v>49526945.270000003</c:v>
                </c:pt>
              </c:numCache>
            </c:numRef>
          </c:val>
          <c:extLst>
            <c:ext xmlns:c16="http://schemas.microsoft.com/office/drawing/2014/chart" uri="{C3380CC4-5D6E-409C-BE32-E72D297353CC}">
              <c16:uniqueId val="{00000004-1BF2-46EB-82F4-28F15ADB905A}"/>
            </c:ext>
          </c:extLst>
        </c:ser>
        <c:dLbls>
          <c:showLegendKey val="0"/>
          <c:showVal val="0"/>
          <c:showCatName val="0"/>
          <c:showSerName val="0"/>
          <c:showPercent val="0"/>
          <c:showBubbleSize val="0"/>
        </c:dLbls>
        <c:gapWidth val="150"/>
        <c:overlap val="100"/>
        <c:axId val="-1959783088"/>
        <c:axId val="1815238512"/>
        <c:extLst>
          <c:ext xmlns:c15="http://schemas.microsoft.com/office/drawing/2012/chart" uri="{02D57815-91ED-43cb-92C2-25804820EDAC}">
            <c15:filteredBarSeries>
              <c15:ser>
                <c:idx val="0"/>
                <c:order val="0"/>
                <c:tx>
                  <c:strRef>
                    <c:extLst>
                      <c:ext uri="{02D57815-91ED-43cb-92C2-25804820EDAC}">
                        <c15:formulaRef>
                          <c15:sqref>'Изменения на бюджета'!$B$3</c15:sqref>
                        </c15:formulaRef>
                      </c:ext>
                    </c:extLst>
                    <c:strCache>
                      <c:ptCount val="1"/>
                    </c:strCache>
                  </c:strRef>
                </c:tx>
                <c:spPr>
                  <a:solidFill>
                    <a:schemeClr val="accent5">
                      <a:tint val="50000"/>
                    </a:schemeClr>
                  </a:solidFill>
                  <a:ln>
                    <a:noFill/>
                  </a:ln>
                  <a:effectLst/>
                </c:spPr>
                <c:invertIfNegative val="0"/>
                <c:cat>
                  <c:strRef>
                    <c:extLst>
                      <c:ext uri="{02D57815-91ED-43cb-92C2-25804820EDAC}">
                        <c15:formulaRef>
                          <c15:sqref>'Изменения на бюджета'!$C$2:$M$2</c15:sqref>
                        </c15:formulaRef>
                      </c:ext>
                    </c:extLst>
                    <c:strCache>
                      <c:ptCount val="5"/>
                      <c:pt idx="0">
                        <c:v>First version</c:v>
                      </c:pt>
                      <c:pt idx="1">
                        <c:v>First amendment</c:v>
                      </c:pt>
                      <c:pt idx="2">
                        <c:v>Second amendment</c:v>
                      </c:pt>
                      <c:pt idx="3">
                        <c:v>Third amendment</c:v>
                      </c:pt>
                      <c:pt idx="4">
                        <c:v>Financial implementation</c:v>
                      </c:pt>
                    </c:strCache>
                  </c:strRef>
                </c:cat>
                <c:val>
                  <c:numRef>
                    <c:extLst>
                      <c:ext uri="{02D57815-91ED-43cb-92C2-25804820EDAC}">
                        <c15:formulaRef>
                          <c15:sqref>'Изменения на бюджета'!$C$3:$M$3</c15:sqref>
                        </c15:formulaRef>
                      </c:ext>
                    </c:extLst>
                    <c:numCache>
                      <c:formatCode>General</c:formatCode>
                      <c:ptCount val="5"/>
                    </c:numCache>
                  </c:numRef>
                </c:val>
                <c:extLst>
                  <c:ext xmlns:c16="http://schemas.microsoft.com/office/drawing/2014/chart" uri="{C3380CC4-5D6E-409C-BE32-E72D297353CC}">
                    <c16:uniqueId val="{00000005-1BF2-46EB-82F4-28F15ADB905A}"/>
                  </c:ext>
                </c:extLst>
              </c15:ser>
            </c15:filteredBarSeries>
          </c:ext>
        </c:extLst>
      </c:barChart>
      <c:catAx>
        <c:axId val="-19597830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bg-BG"/>
          </a:p>
        </c:txPr>
        <c:crossAx val="1815238512"/>
        <c:crosses val="autoZero"/>
        <c:auto val="1"/>
        <c:lblAlgn val="ctr"/>
        <c:lblOffset val="100"/>
        <c:noMultiLvlLbl val="0"/>
      </c:catAx>
      <c:valAx>
        <c:axId val="1815238512"/>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bg-BG"/>
          </a:p>
        </c:txPr>
        <c:crossAx val="-1959783088"/>
        <c:crosses val="autoZero"/>
        <c:crossBetween val="between"/>
      </c:valAx>
      <c:spPr>
        <a:noFill/>
        <a:ln>
          <a:noFill/>
        </a:ln>
        <a:effectLst/>
      </c:spPr>
    </c:plotArea>
    <c:legend>
      <c:legendPos val="b"/>
      <c:layout>
        <c:manualLayout>
          <c:xMode val="edge"/>
          <c:yMode val="edge"/>
          <c:x val="6.6568746214415497E-2"/>
          <c:y val="0.59800770424498595"/>
          <c:w val="0.86686233932296897"/>
          <c:h val="0.353404381998561"/>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bg-BG"/>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bg-BG"/>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900" b="1" i="0" u="none" strike="noStrike" kern="1200" baseline="0">
                <a:solidFill>
                  <a:sysClr val="windowText" lastClr="000000"/>
                </a:solidFill>
                <a:latin typeface="Verdana" panose="020B0604030504040204" pitchFamily="34" charset="0"/>
                <a:ea typeface="Verdana" panose="020B0604030504040204" pitchFamily="34" charset="0"/>
                <a:cs typeface="Verdana" panose="020B0604030504040204" pitchFamily="34" charset="0"/>
              </a:defRPr>
            </a:pPr>
            <a:r>
              <a:rPr lang="en-US" sz="900">
                <a:solidFill>
                  <a:sysClr val="windowText" lastClr="000000"/>
                </a:solidFill>
                <a:latin typeface="Verdana" panose="020B0604030504040204" pitchFamily="34" charset="0"/>
                <a:ea typeface="Verdana" panose="020B0604030504040204" pitchFamily="34" charset="0"/>
                <a:cs typeface="Verdana" panose="020B0604030504040204" pitchFamily="34" charset="0"/>
              </a:rPr>
              <a:t>Distribution of benefits by Priority Axes up to 2019</a:t>
            </a:r>
            <a:endParaRPr lang="bg-BG" sz="900">
              <a:solidFill>
                <a:sysClr val="windowText" lastClr="000000"/>
              </a:solidFill>
              <a:latin typeface="Verdana" panose="020B0604030504040204" pitchFamily="34" charset="0"/>
              <a:ea typeface="Verdana" panose="020B0604030504040204" pitchFamily="34" charset="0"/>
              <a:cs typeface="Verdana" panose="020B0604030504040204" pitchFamily="34" charset="0"/>
            </a:endParaRPr>
          </a:p>
        </c:rich>
      </c:tx>
      <c:layout>
        <c:manualLayout>
          <c:xMode val="edge"/>
          <c:yMode val="edge"/>
          <c:x val="0.14793041687073999"/>
          <c:y val="3.8806260073967598E-2"/>
        </c:manualLayout>
      </c:layout>
      <c:overlay val="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Verdana" panose="020B0604030504040204" pitchFamily="34" charset="0"/>
              <a:ea typeface="Verdana" panose="020B0604030504040204" pitchFamily="34" charset="0"/>
              <a:cs typeface="Verdana" panose="020B0604030504040204" pitchFamily="34" charset="0"/>
            </a:defRPr>
          </a:pPr>
          <a:endParaRPr lang="bg-BG"/>
        </a:p>
      </c:txPr>
    </c:title>
    <c:autoTitleDeleted val="0"/>
    <c:plotArea>
      <c:layout/>
      <c:pieChart>
        <c:varyColors val="1"/>
        <c:ser>
          <c:idx val="7"/>
          <c:order val="7"/>
          <c:tx>
            <c:strRef>
              <c:f>'Обобщение всички ползи'!$J$125</c:f>
              <c:strCache>
                <c:ptCount val="1"/>
                <c:pt idx="0">
                  <c:v>Общо</c:v>
                </c:pt>
              </c:strCache>
            </c:strRef>
          </c:tx>
          <c:spPr>
            <a:ln>
              <a:solidFill>
                <a:schemeClr val="bg1"/>
              </a:solidFill>
            </a:ln>
          </c:spPr>
          <c:dPt>
            <c:idx val="0"/>
            <c:bubble3D val="0"/>
            <c:spPr>
              <a:solidFill>
                <a:srgbClr val="4A66AC">
                  <a:lumMod val="75000"/>
                </a:srgbClr>
              </a:solidFill>
              <a:ln>
                <a:solidFill>
                  <a:schemeClr val="bg1"/>
                </a:solid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1-B6B2-4872-8E31-46632CE8193A}"/>
              </c:ext>
            </c:extLst>
          </c:dPt>
          <c:dPt>
            <c:idx val="1"/>
            <c:bubble3D val="0"/>
            <c:spPr>
              <a:solidFill>
                <a:srgbClr val="4A66AC">
                  <a:lumMod val="20000"/>
                  <a:lumOff val="80000"/>
                </a:srgbClr>
              </a:solidFill>
              <a:ln>
                <a:solidFill>
                  <a:schemeClr val="bg1"/>
                </a:solid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3-B6B2-4872-8E31-46632CE8193A}"/>
              </c:ext>
            </c:extLst>
          </c:dPt>
          <c:dPt>
            <c:idx val="2"/>
            <c:bubble3D val="0"/>
            <c:spPr>
              <a:solidFill>
                <a:srgbClr val="242852">
                  <a:lumMod val="40000"/>
                  <a:lumOff val="60000"/>
                </a:srgbClr>
              </a:solidFill>
              <a:ln>
                <a:solidFill>
                  <a:schemeClr val="bg1"/>
                </a:solid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5-B6B2-4872-8E31-46632CE8193A}"/>
              </c:ext>
            </c:extLst>
          </c:dPt>
          <c:dLbls>
            <c:dLbl>
              <c:idx val="0"/>
              <c:layout>
                <c:manualLayout>
                  <c:x val="-4.7262649215827901E-2"/>
                  <c:y val="0.16418343540390801"/>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B6B2-4872-8E31-46632CE8193A}"/>
                </c:ext>
              </c:extLst>
            </c:dLbl>
            <c:dLbl>
              <c:idx val="2"/>
              <c:layout>
                <c:manualLayout>
                  <c:x val="9.3078499415760907E-2"/>
                  <c:y val="0.13957239720035"/>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B6B2-4872-8E31-46632CE8193A}"/>
                </c:ext>
              </c:extLst>
            </c:dLbl>
            <c:spPr>
              <a:solidFill>
                <a:schemeClr val="accent4">
                  <a:lumMod val="20000"/>
                  <a:lumOff val="80000"/>
                </a:schemeClr>
              </a:solid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ysClr val="windowText" lastClr="000000"/>
                    </a:solidFill>
                    <a:latin typeface="+mn-lt"/>
                    <a:ea typeface="+mn-ea"/>
                    <a:cs typeface="+mn-cs"/>
                  </a:defRPr>
                </a:pPr>
                <a:endParaRPr lang="bg-BG"/>
              </a:p>
            </c:txPr>
            <c:dLblPos val="ctr"/>
            <c:showLegendKey val="0"/>
            <c:showVal val="0"/>
            <c:showCatName val="1"/>
            <c:showSerName val="0"/>
            <c:showPercent val="1"/>
            <c:showBubbleSize val="0"/>
            <c:showLeaderLines val="1"/>
            <c:leaderLines>
              <c:spPr>
                <a:ln w="9525">
                  <a:solidFill>
                    <a:schemeClr val="dk1">
                      <a:lumMod val="50000"/>
                      <a:lumOff val="50000"/>
                    </a:schemeClr>
                  </a:solidFill>
                </a:ln>
                <a:effectLst/>
              </c:spPr>
            </c:leaderLines>
            <c:extLst>
              <c:ext xmlns:c15="http://schemas.microsoft.com/office/drawing/2012/chart" uri="{CE6537A1-D6FC-4f65-9D91-7224C49458BB}"/>
            </c:extLst>
          </c:dLbls>
          <c:cat>
            <c:strRef>
              <c:f>'Обобщение всички ползи'!$B$126:$B$129</c:f>
              <c:strCache>
                <c:ptCount val="3"/>
                <c:pt idx="0">
                  <c:v>Priority axis 1</c:v>
                </c:pt>
                <c:pt idx="1">
                  <c:v>Priroity axis 2</c:v>
                </c:pt>
                <c:pt idx="2">
                  <c:v>Priority axis 3</c:v>
                </c:pt>
              </c:strCache>
            </c:strRef>
          </c:cat>
          <c:val>
            <c:numRef>
              <c:f>'Обобщение всички ползи'!$J$126:$J$129</c:f>
              <c:numCache>
                <c:formatCode>#,##0.00</c:formatCode>
                <c:ptCount val="3"/>
                <c:pt idx="0">
                  <c:v>195789444.71671599</c:v>
                </c:pt>
                <c:pt idx="1">
                  <c:v>820172181.81797802</c:v>
                </c:pt>
                <c:pt idx="2">
                  <c:v>262252315.54295599</c:v>
                </c:pt>
              </c:numCache>
            </c:numRef>
          </c:val>
          <c:extLst>
            <c:ext xmlns:c16="http://schemas.microsoft.com/office/drawing/2014/chart" uri="{C3380CC4-5D6E-409C-BE32-E72D297353CC}">
              <c16:uniqueId val="{00000006-B6B2-4872-8E31-46632CE8193A}"/>
            </c:ext>
          </c:extLst>
        </c:ser>
        <c:dLbls>
          <c:dLblPos val="ctr"/>
          <c:showLegendKey val="0"/>
          <c:showVal val="0"/>
          <c:showCatName val="0"/>
          <c:showSerName val="0"/>
          <c:showPercent val="1"/>
          <c:showBubbleSize val="0"/>
          <c:showLeaderLines val="1"/>
        </c:dLbls>
        <c:firstSliceAng val="0"/>
        <c:extLst>
          <c:ext xmlns:c15="http://schemas.microsoft.com/office/drawing/2012/chart" uri="{02D57815-91ED-43cb-92C2-25804820EDAC}">
            <c15:filteredPieSeries>
              <c15:ser>
                <c:idx val="0"/>
                <c:order val="0"/>
                <c:tx>
                  <c:strRef>
                    <c:extLst>
                      <c:ext uri="{02D57815-91ED-43cb-92C2-25804820EDAC}">
                        <c15:formulaRef>
                          <c15:sqref>'Обобщение всички ползи'!$C$125</c15:sqref>
                        </c15:formulaRef>
                      </c:ext>
                    </c:extLst>
                    <c:strCache>
                      <c:ptCount val="1"/>
                      <c:pt idx="0">
                        <c:v>time saved</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8-B6B2-4872-8E31-46632CE8193A}"/>
                    </c:ext>
                  </c:extLst>
                </c:dPt>
                <c:dPt>
                  <c:idx val="1"/>
                  <c:bubble3D val="0"/>
                  <c:spPr>
                    <a:solidFill>
                      <a:schemeClr val="accent2"/>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A-B6B2-4872-8E31-46632CE8193A}"/>
                    </c:ext>
                  </c:extLst>
                </c:dPt>
                <c:dPt>
                  <c:idx val="2"/>
                  <c:bubble3D val="0"/>
                  <c:spPr>
                    <a:solidFill>
                      <a:schemeClr val="accent3"/>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C-B6B2-4872-8E31-46632CE8193A}"/>
                    </c:ext>
                  </c:extLst>
                </c:dPt>
                <c:dLbls>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bg-BG"/>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c:ext uri="{CE6537A1-D6FC-4f65-9D91-7224C49458BB}"/>
                  </c:extLst>
                </c:dLbls>
                <c:cat>
                  <c:strRef>
                    <c:extLst>
                      <c:ext uri="{02D57815-91ED-43cb-92C2-25804820EDAC}">
                        <c15:formulaRef>
                          <c15:sqref>'Обобщение всички ползи'!$B$126:$B$129</c15:sqref>
                        </c15:formulaRef>
                      </c:ext>
                    </c:extLst>
                    <c:strCache>
                      <c:ptCount val="3"/>
                      <c:pt idx="0">
                        <c:v>Priority axis 1</c:v>
                      </c:pt>
                      <c:pt idx="1">
                        <c:v>Priroity axis 2</c:v>
                      </c:pt>
                      <c:pt idx="2">
                        <c:v>Priority axis 3</c:v>
                      </c:pt>
                    </c:strCache>
                  </c:strRef>
                </c:cat>
                <c:val>
                  <c:numRef>
                    <c:extLst>
                      <c:ext uri="{02D57815-91ED-43cb-92C2-25804820EDAC}">
                        <c15:formulaRef>
                          <c15:sqref>'Обобщение всички ползи'!$C$126:$C$129</c15:sqref>
                        </c15:formulaRef>
                      </c:ext>
                    </c:extLst>
                    <c:numCache>
                      <c:formatCode>#,##0.00</c:formatCode>
                      <c:ptCount val="3"/>
                      <c:pt idx="0">
                        <c:v>148927109.59041101</c:v>
                      </c:pt>
                      <c:pt idx="1">
                        <c:v>660875436.65678596</c:v>
                      </c:pt>
                      <c:pt idx="2">
                        <c:v>127325417.77912501</c:v>
                      </c:pt>
                    </c:numCache>
                  </c:numRef>
                </c:val>
                <c:extLst>
                  <c:ext xmlns:c16="http://schemas.microsoft.com/office/drawing/2014/chart" uri="{C3380CC4-5D6E-409C-BE32-E72D297353CC}">
                    <c16:uniqueId val="{0000000D-B6B2-4872-8E31-46632CE8193A}"/>
                  </c:ext>
                </c:extLst>
              </c15:ser>
            </c15:filteredPieSeries>
            <c15:filteredPieSeries>
              <c15:ser>
                <c:idx val="1"/>
                <c:order val="1"/>
                <c:tx>
                  <c:strRef>
                    <c:extLst xmlns:c15="http://schemas.microsoft.com/office/drawing/2012/chart">
                      <c:ext xmlns:c15="http://schemas.microsoft.com/office/drawing/2012/chart" uri="{02D57815-91ED-43cb-92C2-25804820EDAC}">
                        <c15:formulaRef>
                          <c15:sqref>'Обобщение всички ползи'!$D$125</c15:sqref>
                        </c15:formulaRef>
                      </c:ext>
                    </c:extLst>
                    <c:strCache>
                      <c:ptCount val="1"/>
                      <c:pt idx="0">
                        <c:v>reduced accidents</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0F-B6B2-4872-8E31-46632CE8193A}"/>
                    </c:ext>
                  </c:extLst>
                </c:dPt>
                <c:dPt>
                  <c:idx val="1"/>
                  <c:bubble3D val="0"/>
                  <c:spPr>
                    <a:solidFill>
                      <a:schemeClr val="accent2"/>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11-B6B2-4872-8E31-46632CE8193A}"/>
                    </c:ext>
                  </c:extLst>
                </c:dPt>
                <c:dPt>
                  <c:idx val="2"/>
                  <c:bubble3D val="0"/>
                  <c:spPr>
                    <a:solidFill>
                      <a:schemeClr val="accent3"/>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13-B6B2-4872-8E31-46632CE8193A}"/>
                    </c:ext>
                  </c:extLst>
                </c:dPt>
                <c:dLbls>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bg-BG"/>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xmlns:c15="http://schemas.microsoft.com/office/drawing/2012/chart">
                    <c:ext xmlns:c15="http://schemas.microsoft.com/office/drawing/2012/chart" uri="{CE6537A1-D6FC-4f65-9D91-7224C49458BB}"/>
                  </c:extLst>
                </c:dLbls>
                <c:cat>
                  <c:strRef>
                    <c:extLst xmlns:c15="http://schemas.microsoft.com/office/drawing/2012/chart">
                      <c:ext xmlns:c15="http://schemas.microsoft.com/office/drawing/2012/chart" uri="{02D57815-91ED-43cb-92C2-25804820EDAC}">
                        <c15:formulaRef>
                          <c15:sqref>'Обобщение всички ползи'!$B$126:$B$129</c15:sqref>
                        </c15:formulaRef>
                      </c:ext>
                    </c:extLst>
                    <c:strCache>
                      <c:ptCount val="3"/>
                      <c:pt idx="0">
                        <c:v>Priority axis 1</c:v>
                      </c:pt>
                      <c:pt idx="1">
                        <c:v>Priroity axis 2</c:v>
                      </c:pt>
                      <c:pt idx="2">
                        <c:v>Priority axis 3</c:v>
                      </c:pt>
                    </c:strCache>
                  </c:strRef>
                </c:cat>
                <c:val>
                  <c:numRef>
                    <c:extLst xmlns:c15="http://schemas.microsoft.com/office/drawing/2012/chart">
                      <c:ext xmlns:c15="http://schemas.microsoft.com/office/drawing/2012/chart" uri="{02D57815-91ED-43cb-92C2-25804820EDAC}">
                        <c15:formulaRef>
                          <c15:sqref>'Обобщение всички ползи'!$D$126:$D$129</c15:sqref>
                        </c15:formulaRef>
                      </c:ext>
                    </c:extLst>
                    <c:numCache>
                      <c:formatCode>#,##0.00</c:formatCode>
                      <c:ptCount val="3"/>
                      <c:pt idx="0">
                        <c:v>15099054.407419501</c:v>
                      </c:pt>
                      <c:pt idx="1">
                        <c:v>103757671.263172</c:v>
                      </c:pt>
                      <c:pt idx="2">
                        <c:v>56808427.1100512</c:v>
                      </c:pt>
                    </c:numCache>
                  </c:numRef>
                </c:val>
                <c:extLst xmlns:c15="http://schemas.microsoft.com/office/drawing/2012/chart">
                  <c:ext xmlns:c16="http://schemas.microsoft.com/office/drawing/2014/chart" uri="{C3380CC4-5D6E-409C-BE32-E72D297353CC}">
                    <c16:uniqueId val="{00000014-B6B2-4872-8E31-46632CE8193A}"/>
                  </c:ext>
                </c:extLst>
              </c15:ser>
            </c15:filteredPieSeries>
            <c15:filteredPieSeries>
              <c15:ser>
                <c:idx val="2"/>
                <c:order val="2"/>
                <c:tx>
                  <c:strRef>
                    <c:extLst xmlns:c15="http://schemas.microsoft.com/office/drawing/2012/chart">
                      <c:ext xmlns:c15="http://schemas.microsoft.com/office/drawing/2012/chart" uri="{02D57815-91ED-43cb-92C2-25804820EDAC}">
                        <c15:formulaRef>
                          <c15:sqref>'Обобщение всички ползи'!$E$125</c15:sqref>
                        </c15:formulaRef>
                      </c:ext>
                    </c:extLst>
                    <c:strCache>
                      <c:ptCount val="1"/>
                      <c:pt idx="0">
                        <c:v>Benefits of removed intersections</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16-B6B2-4872-8E31-46632CE8193A}"/>
                    </c:ext>
                  </c:extLst>
                </c:dPt>
                <c:dPt>
                  <c:idx val="1"/>
                  <c:bubble3D val="0"/>
                  <c:spPr>
                    <a:solidFill>
                      <a:schemeClr val="accent2"/>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18-B6B2-4872-8E31-46632CE8193A}"/>
                    </c:ext>
                  </c:extLst>
                </c:dPt>
                <c:dPt>
                  <c:idx val="2"/>
                  <c:bubble3D val="0"/>
                  <c:spPr>
                    <a:solidFill>
                      <a:schemeClr val="accent3"/>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1A-B6B2-4872-8E31-46632CE8193A}"/>
                    </c:ext>
                  </c:extLst>
                </c:dPt>
                <c:dLbls>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bg-BG"/>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xmlns:c15="http://schemas.microsoft.com/office/drawing/2012/chart">
                    <c:ext xmlns:c15="http://schemas.microsoft.com/office/drawing/2012/chart" uri="{CE6537A1-D6FC-4f65-9D91-7224C49458BB}"/>
                  </c:extLst>
                </c:dLbls>
                <c:cat>
                  <c:strRef>
                    <c:extLst xmlns:c15="http://schemas.microsoft.com/office/drawing/2012/chart">
                      <c:ext xmlns:c15="http://schemas.microsoft.com/office/drawing/2012/chart" uri="{02D57815-91ED-43cb-92C2-25804820EDAC}">
                        <c15:formulaRef>
                          <c15:sqref>'Обобщение всички ползи'!$B$126:$B$129</c15:sqref>
                        </c15:formulaRef>
                      </c:ext>
                    </c:extLst>
                    <c:strCache>
                      <c:ptCount val="3"/>
                      <c:pt idx="0">
                        <c:v>Priority axis 1</c:v>
                      </c:pt>
                      <c:pt idx="1">
                        <c:v>Priroity axis 2</c:v>
                      </c:pt>
                      <c:pt idx="2">
                        <c:v>Priority axis 3</c:v>
                      </c:pt>
                    </c:strCache>
                  </c:strRef>
                </c:cat>
                <c:val>
                  <c:numRef>
                    <c:extLst xmlns:c15="http://schemas.microsoft.com/office/drawing/2012/chart">
                      <c:ext xmlns:c15="http://schemas.microsoft.com/office/drawing/2012/chart" uri="{02D57815-91ED-43cb-92C2-25804820EDAC}">
                        <c15:formulaRef>
                          <c15:sqref>'Обобщение всички ползи'!$E$126:$E$129</c15:sqref>
                        </c15:formulaRef>
                      </c:ext>
                    </c:extLst>
                    <c:numCache>
                      <c:formatCode>#,##0.00</c:formatCode>
                      <c:ptCount val="3"/>
                      <c:pt idx="0">
                        <c:v>17730694.640684001</c:v>
                      </c:pt>
                      <c:pt idx="1">
                        <c:v>0</c:v>
                      </c:pt>
                      <c:pt idx="2">
                        <c:v>0</c:v>
                      </c:pt>
                    </c:numCache>
                  </c:numRef>
                </c:val>
                <c:extLst xmlns:c15="http://schemas.microsoft.com/office/drawing/2012/chart">
                  <c:ext xmlns:c16="http://schemas.microsoft.com/office/drawing/2014/chart" uri="{C3380CC4-5D6E-409C-BE32-E72D297353CC}">
                    <c16:uniqueId val="{0000001B-B6B2-4872-8E31-46632CE8193A}"/>
                  </c:ext>
                </c:extLst>
              </c15:ser>
            </c15:filteredPieSeries>
            <c15:filteredPieSeries>
              <c15:ser>
                <c:idx val="3"/>
                <c:order val="3"/>
                <c:tx>
                  <c:strRef>
                    <c:extLst xmlns:c15="http://schemas.microsoft.com/office/drawing/2012/chart">
                      <c:ext xmlns:c15="http://schemas.microsoft.com/office/drawing/2012/chart" uri="{02D57815-91ED-43cb-92C2-25804820EDAC}">
                        <c15:formulaRef>
                          <c15:sqref>'Обобщение всички ползи'!$F$125</c15:sqref>
                        </c15:formulaRef>
                      </c:ext>
                    </c:extLst>
                    <c:strCache>
                      <c:ptCount val="1"/>
                      <c:pt idx="0">
                        <c:v>impacts on carbon reduction</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1D-B6B2-4872-8E31-46632CE8193A}"/>
                    </c:ext>
                  </c:extLst>
                </c:dPt>
                <c:dPt>
                  <c:idx val="1"/>
                  <c:bubble3D val="0"/>
                  <c:spPr>
                    <a:solidFill>
                      <a:schemeClr val="accent2"/>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1F-B6B2-4872-8E31-46632CE8193A}"/>
                    </c:ext>
                  </c:extLst>
                </c:dPt>
                <c:dPt>
                  <c:idx val="2"/>
                  <c:bubble3D val="0"/>
                  <c:spPr>
                    <a:solidFill>
                      <a:schemeClr val="accent3"/>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21-B6B2-4872-8E31-46632CE8193A}"/>
                    </c:ext>
                  </c:extLst>
                </c:dPt>
                <c:dLbls>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bg-BG"/>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xmlns:c15="http://schemas.microsoft.com/office/drawing/2012/chart">
                    <c:ext xmlns:c15="http://schemas.microsoft.com/office/drawing/2012/chart" uri="{CE6537A1-D6FC-4f65-9D91-7224C49458BB}"/>
                  </c:extLst>
                </c:dLbls>
                <c:cat>
                  <c:strRef>
                    <c:extLst xmlns:c15="http://schemas.microsoft.com/office/drawing/2012/chart">
                      <c:ext xmlns:c15="http://schemas.microsoft.com/office/drawing/2012/chart" uri="{02D57815-91ED-43cb-92C2-25804820EDAC}">
                        <c15:formulaRef>
                          <c15:sqref>'Обобщение всички ползи'!$B$126:$B$129</c15:sqref>
                        </c15:formulaRef>
                      </c:ext>
                    </c:extLst>
                    <c:strCache>
                      <c:ptCount val="3"/>
                      <c:pt idx="0">
                        <c:v>Priority axis 1</c:v>
                      </c:pt>
                      <c:pt idx="1">
                        <c:v>Priroity axis 2</c:v>
                      </c:pt>
                      <c:pt idx="2">
                        <c:v>Priority axis 3</c:v>
                      </c:pt>
                    </c:strCache>
                  </c:strRef>
                </c:cat>
                <c:val>
                  <c:numRef>
                    <c:extLst xmlns:c15="http://schemas.microsoft.com/office/drawing/2012/chart">
                      <c:ext xmlns:c15="http://schemas.microsoft.com/office/drawing/2012/chart" uri="{02D57815-91ED-43cb-92C2-25804820EDAC}">
                        <c15:formulaRef>
                          <c15:sqref>'Обобщение всички ползи'!$F$126:$F$129</c15:sqref>
                        </c15:formulaRef>
                      </c:ext>
                    </c:extLst>
                    <c:numCache>
                      <c:formatCode>#,##0.00</c:formatCode>
                      <c:ptCount val="3"/>
                      <c:pt idx="0">
                        <c:v>11199487.133349899</c:v>
                      </c:pt>
                      <c:pt idx="1">
                        <c:v>-29826636.282959901</c:v>
                      </c:pt>
                      <c:pt idx="2">
                        <c:v>7718342.8369649397</c:v>
                      </c:pt>
                    </c:numCache>
                  </c:numRef>
                </c:val>
                <c:extLst xmlns:c15="http://schemas.microsoft.com/office/drawing/2012/chart">
                  <c:ext xmlns:c16="http://schemas.microsoft.com/office/drawing/2014/chart" uri="{C3380CC4-5D6E-409C-BE32-E72D297353CC}">
                    <c16:uniqueId val="{00000022-B6B2-4872-8E31-46632CE8193A}"/>
                  </c:ext>
                </c:extLst>
              </c15:ser>
            </c15:filteredPieSeries>
            <c15:filteredPieSeries>
              <c15:ser>
                <c:idx val="4"/>
                <c:order val="4"/>
                <c:tx>
                  <c:strRef>
                    <c:extLst xmlns:c15="http://schemas.microsoft.com/office/drawing/2012/chart">
                      <c:ext xmlns:c15="http://schemas.microsoft.com/office/drawing/2012/chart" uri="{02D57815-91ED-43cb-92C2-25804820EDAC}">
                        <c15:formulaRef>
                          <c15:sqref>'Обобщение всички ползи'!$G$125</c15:sqref>
                        </c15:formulaRef>
                      </c:ext>
                    </c:extLst>
                    <c:strCache>
                      <c:ptCount val="1"/>
                      <c:pt idx="0">
                        <c:v>noise effects</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24-B6B2-4872-8E31-46632CE8193A}"/>
                    </c:ext>
                  </c:extLst>
                </c:dPt>
                <c:dPt>
                  <c:idx val="1"/>
                  <c:bubble3D val="0"/>
                  <c:spPr>
                    <a:solidFill>
                      <a:schemeClr val="accent2"/>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26-B6B2-4872-8E31-46632CE8193A}"/>
                    </c:ext>
                  </c:extLst>
                </c:dPt>
                <c:dPt>
                  <c:idx val="2"/>
                  <c:bubble3D val="0"/>
                  <c:spPr>
                    <a:solidFill>
                      <a:schemeClr val="accent3"/>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28-B6B2-4872-8E31-46632CE8193A}"/>
                    </c:ext>
                  </c:extLst>
                </c:dPt>
                <c:dLbls>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bg-BG"/>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xmlns:c15="http://schemas.microsoft.com/office/drawing/2012/chart">
                    <c:ext xmlns:c15="http://schemas.microsoft.com/office/drawing/2012/chart" uri="{CE6537A1-D6FC-4f65-9D91-7224C49458BB}"/>
                  </c:extLst>
                </c:dLbls>
                <c:cat>
                  <c:strRef>
                    <c:extLst xmlns:c15="http://schemas.microsoft.com/office/drawing/2012/chart">
                      <c:ext xmlns:c15="http://schemas.microsoft.com/office/drawing/2012/chart" uri="{02D57815-91ED-43cb-92C2-25804820EDAC}">
                        <c15:formulaRef>
                          <c15:sqref>'Обобщение всички ползи'!$B$126:$B$129</c15:sqref>
                        </c15:formulaRef>
                      </c:ext>
                    </c:extLst>
                    <c:strCache>
                      <c:ptCount val="3"/>
                      <c:pt idx="0">
                        <c:v>Priority axis 1</c:v>
                      </c:pt>
                      <c:pt idx="1">
                        <c:v>Priroity axis 2</c:v>
                      </c:pt>
                      <c:pt idx="2">
                        <c:v>Priority axis 3</c:v>
                      </c:pt>
                    </c:strCache>
                  </c:strRef>
                </c:cat>
                <c:val>
                  <c:numRef>
                    <c:extLst xmlns:c15="http://schemas.microsoft.com/office/drawing/2012/chart">
                      <c:ext xmlns:c15="http://schemas.microsoft.com/office/drawing/2012/chart" uri="{02D57815-91ED-43cb-92C2-25804820EDAC}">
                        <c15:formulaRef>
                          <c15:sqref>'Обобщение всички ползи'!$G$126:$G$129</c15:sqref>
                        </c15:formulaRef>
                      </c:ext>
                    </c:extLst>
                    <c:numCache>
                      <c:formatCode>#,##0.00</c:formatCode>
                      <c:ptCount val="3"/>
                      <c:pt idx="0">
                        <c:v>0</c:v>
                      </c:pt>
                      <c:pt idx="1">
                        <c:v>5172877.8091264898</c:v>
                      </c:pt>
                      <c:pt idx="2">
                        <c:v>0</c:v>
                      </c:pt>
                    </c:numCache>
                  </c:numRef>
                </c:val>
                <c:extLst xmlns:c15="http://schemas.microsoft.com/office/drawing/2012/chart">
                  <c:ext xmlns:c16="http://schemas.microsoft.com/office/drawing/2014/chart" uri="{C3380CC4-5D6E-409C-BE32-E72D297353CC}">
                    <c16:uniqueId val="{00000029-B6B2-4872-8E31-46632CE8193A}"/>
                  </c:ext>
                </c:extLst>
              </c15:ser>
            </c15:filteredPieSeries>
            <c15:filteredPieSeries>
              <c15:ser>
                <c:idx val="5"/>
                <c:order val="5"/>
                <c:tx>
                  <c:strRef>
                    <c:extLst xmlns:c15="http://schemas.microsoft.com/office/drawing/2012/chart">
                      <c:ext xmlns:c15="http://schemas.microsoft.com/office/drawing/2012/chart" uri="{02D57815-91ED-43cb-92C2-25804820EDAC}">
                        <c15:formulaRef>
                          <c15:sqref>'Обобщение всички ползи'!$H$125</c15:sqref>
                        </c15:formulaRef>
                      </c:ext>
                    </c:extLst>
                    <c:strCache>
                      <c:ptCount val="1"/>
                      <c:pt idx="0">
                        <c:v>reduction of operating costs for vehicles</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2B-B6B2-4872-8E31-46632CE8193A}"/>
                    </c:ext>
                  </c:extLst>
                </c:dPt>
                <c:dPt>
                  <c:idx val="1"/>
                  <c:bubble3D val="0"/>
                  <c:spPr>
                    <a:solidFill>
                      <a:schemeClr val="accent2"/>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2D-B6B2-4872-8E31-46632CE8193A}"/>
                    </c:ext>
                  </c:extLst>
                </c:dPt>
                <c:dPt>
                  <c:idx val="2"/>
                  <c:bubble3D val="0"/>
                  <c:spPr>
                    <a:solidFill>
                      <a:schemeClr val="accent3"/>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2F-B6B2-4872-8E31-46632CE8193A}"/>
                    </c:ext>
                  </c:extLst>
                </c:dPt>
                <c:dLbls>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bg-BG"/>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xmlns:c15="http://schemas.microsoft.com/office/drawing/2012/chart">
                    <c:ext xmlns:c15="http://schemas.microsoft.com/office/drawing/2012/chart" uri="{CE6537A1-D6FC-4f65-9D91-7224C49458BB}"/>
                  </c:extLst>
                </c:dLbls>
                <c:cat>
                  <c:strRef>
                    <c:extLst xmlns:c15="http://schemas.microsoft.com/office/drawing/2012/chart">
                      <c:ext xmlns:c15="http://schemas.microsoft.com/office/drawing/2012/chart" uri="{02D57815-91ED-43cb-92C2-25804820EDAC}">
                        <c15:formulaRef>
                          <c15:sqref>'Обобщение всички ползи'!$B$126:$B$129</c15:sqref>
                        </c15:formulaRef>
                      </c:ext>
                    </c:extLst>
                    <c:strCache>
                      <c:ptCount val="3"/>
                      <c:pt idx="0">
                        <c:v>Priority axis 1</c:v>
                      </c:pt>
                      <c:pt idx="1">
                        <c:v>Priroity axis 2</c:v>
                      </c:pt>
                      <c:pt idx="2">
                        <c:v>Priority axis 3</c:v>
                      </c:pt>
                    </c:strCache>
                  </c:strRef>
                </c:cat>
                <c:val>
                  <c:numRef>
                    <c:extLst xmlns:c15="http://schemas.microsoft.com/office/drawing/2012/chart">
                      <c:ext xmlns:c15="http://schemas.microsoft.com/office/drawing/2012/chart" uri="{02D57815-91ED-43cb-92C2-25804820EDAC}">
                        <c15:formulaRef>
                          <c15:sqref>'Обобщение всички ползи'!$H$126:$H$129</c15:sqref>
                        </c15:formulaRef>
                      </c:ext>
                    </c:extLst>
                    <c:numCache>
                      <c:formatCode>#,##0.00</c:formatCode>
                      <c:ptCount val="3"/>
                      <c:pt idx="0">
                        <c:v>2833098.9448512401</c:v>
                      </c:pt>
                      <c:pt idx="1">
                        <c:v>87556823.156859994</c:v>
                      </c:pt>
                      <c:pt idx="2">
                        <c:v>70400127.816814601</c:v>
                      </c:pt>
                    </c:numCache>
                  </c:numRef>
                </c:val>
                <c:extLst xmlns:c15="http://schemas.microsoft.com/office/drawing/2012/chart">
                  <c:ext xmlns:c16="http://schemas.microsoft.com/office/drawing/2014/chart" uri="{C3380CC4-5D6E-409C-BE32-E72D297353CC}">
                    <c16:uniqueId val="{00000030-B6B2-4872-8E31-46632CE8193A}"/>
                  </c:ext>
                </c:extLst>
              </c15:ser>
            </c15:filteredPieSeries>
            <c15:filteredPieSeries>
              <c15:ser>
                <c:idx val="6"/>
                <c:order val="6"/>
                <c:tx>
                  <c:strRef>
                    <c:extLst xmlns:c15="http://schemas.microsoft.com/office/drawing/2012/chart">
                      <c:ext xmlns:c15="http://schemas.microsoft.com/office/drawing/2012/chart" uri="{02D57815-91ED-43cb-92C2-25804820EDAC}">
                        <c15:formulaRef>
                          <c15:sqref>'Обобщение всички ползи'!$I$125</c15:sqref>
                        </c15:formulaRef>
                      </c:ext>
                    </c:extLst>
                    <c:strCache>
                      <c:ptCount val="1"/>
                      <c:pt idx="0">
                        <c:v>impacts related to climate change</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32-B6B2-4872-8E31-46632CE8193A}"/>
                    </c:ext>
                  </c:extLst>
                </c:dPt>
                <c:dPt>
                  <c:idx val="1"/>
                  <c:bubble3D val="0"/>
                  <c:spPr>
                    <a:solidFill>
                      <a:schemeClr val="accent2"/>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34-B6B2-4872-8E31-46632CE8193A}"/>
                    </c:ext>
                  </c:extLst>
                </c:dPt>
                <c:dPt>
                  <c:idx val="2"/>
                  <c:bubble3D val="0"/>
                  <c:spPr>
                    <a:solidFill>
                      <a:schemeClr val="accent3"/>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36-B6B2-4872-8E31-46632CE8193A}"/>
                    </c:ext>
                  </c:extLst>
                </c:dPt>
                <c:dLbls>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bg-BG"/>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xmlns:c15="http://schemas.microsoft.com/office/drawing/2012/chart">
                    <c:ext xmlns:c15="http://schemas.microsoft.com/office/drawing/2012/chart" uri="{CE6537A1-D6FC-4f65-9D91-7224C49458BB}"/>
                  </c:extLst>
                </c:dLbls>
                <c:cat>
                  <c:strRef>
                    <c:extLst xmlns:c15="http://schemas.microsoft.com/office/drawing/2012/chart">
                      <c:ext xmlns:c15="http://schemas.microsoft.com/office/drawing/2012/chart" uri="{02D57815-91ED-43cb-92C2-25804820EDAC}">
                        <c15:formulaRef>
                          <c15:sqref>'Обобщение всички ползи'!$B$126:$B$129</c15:sqref>
                        </c15:formulaRef>
                      </c:ext>
                    </c:extLst>
                    <c:strCache>
                      <c:ptCount val="3"/>
                      <c:pt idx="0">
                        <c:v>Priority axis 1</c:v>
                      </c:pt>
                      <c:pt idx="1">
                        <c:v>Priroity axis 2</c:v>
                      </c:pt>
                      <c:pt idx="2">
                        <c:v>Priority axis 3</c:v>
                      </c:pt>
                    </c:strCache>
                  </c:strRef>
                </c:cat>
                <c:val>
                  <c:numRef>
                    <c:extLst xmlns:c15="http://schemas.microsoft.com/office/drawing/2012/chart">
                      <c:ext xmlns:c15="http://schemas.microsoft.com/office/drawing/2012/chart" uri="{02D57815-91ED-43cb-92C2-25804820EDAC}">
                        <c15:formulaRef>
                          <c15:sqref>'Обобщение всички ползи'!$I$126:$I$129</c15:sqref>
                        </c15:formulaRef>
                      </c:ext>
                    </c:extLst>
                    <c:numCache>
                      <c:formatCode>#,##0.00</c:formatCode>
                      <c:ptCount val="3"/>
                      <c:pt idx="0" formatCode="General">
                        <c:v>0</c:v>
                      </c:pt>
                      <c:pt idx="1">
                        <c:v>-7363990.7850062</c:v>
                      </c:pt>
                      <c:pt idx="2" formatCode="General">
                        <c:v>0</c:v>
                      </c:pt>
                    </c:numCache>
                  </c:numRef>
                </c:val>
                <c:extLst xmlns:c15="http://schemas.microsoft.com/office/drawing/2012/chart">
                  <c:ext xmlns:c16="http://schemas.microsoft.com/office/drawing/2014/chart" uri="{C3380CC4-5D6E-409C-BE32-E72D297353CC}">
                    <c16:uniqueId val="{00000037-B6B2-4872-8E31-46632CE8193A}"/>
                  </c:ext>
                </c:extLst>
              </c15:ser>
            </c15:filteredPieSeries>
          </c:ext>
        </c:extLst>
      </c:pieChart>
      <c:spPr>
        <a:noFill/>
        <a:ln>
          <a:noFill/>
        </a:ln>
        <a:effectLst/>
      </c:spPr>
    </c:plotArea>
    <c:legend>
      <c:legendPos val="r"/>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bg-BG"/>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bg-BG"/>
    </a:p>
  </c:txPr>
  <c:externalData r:id="rId4">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marL="0" marR="0" lvl="0" indent="0" algn="ctr" defTabSz="914400" rtl="0" eaLnBrk="1" fontAlgn="auto" latinLnBrk="0" hangingPunct="1">
              <a:lnSpc>
                <a:spcPct val="100000"/>
              </a:lnSpc>
              <a:spcBef>
                <a:spcPts val="0"/>
              </a:spcBef>
              <a:spcAft>
                <a:spcPts val="0"/>
              </a:spcAft>
              <a:buClrTx/>
              <a:buSzTx/>
              <a:buFontTx/>
              <a:buNone/>
              <a:tabLst/>
              <a:defRPr sz="1000" b="1" i="0" u="none" strike="noStrike" kern="1200" spc="0" baseline="0">
                <a:solidFill>
                  <a:sysClr val="windowText" lastClr="000000">
                    <a:lumMod val="65000"/>
                    <a:lumOff val="35000"/>
                  </a:sysClr>
                </a:solidFill>
                <a:latin typeface="Verdana" panose="020B0604030504040204" pitchFamily="34" charset="0"/>
                <a:ea typeface="Verdana" panose="020B0604030504040204" pitchFamily="34" charset="0"/>
                <a:cs typeface="Verdana" panose="020B0604030504040204" pitchFamily="34" charset="0"/>
              </a:defRPr>
            </a:pPr>
            <a:r>
              <a:rPr lang="en-US" sz="1000" b="1" i="0" baseline="0">
                <a:effectLst/>
                <a:latin typeface="Verdana" panose="020B0604030504040204" pitchFamily="34" charset="0"/>
                <a:ea typeface="Verdana" panose="020B0604030504040204" pitchFamily="34" charset="0"/>
                <a:cs typeface="Verdana" panose="020B0604030504040204" pitchFamily="34" charset="0"/>
              </a:rPr>
              <a:t>Main economic and ecological impacts up to 2019</a:t>
            </a:r>
            <a:endParaRPr lang="bg-BG" sz="1000" b="1">
              <a:effectLst/>
              <a:latin typeface="Verdana" panose="020B0604030504040204" pitchFamily="34" charset="0"/>
              <a:ea typeface="Verdana" panose="020B0604030504040204" pitchFamily="34" charset="0"/>
              <a:cs typeface="Verdana" panose="020B0604030504040204" pitchFamily="34" charset="0"/>
            </a:endParaRPr>
          </a:p>
          <a:p>
            <a:pPr marL="0" marR="0" lvl="0" indent="0" algn="ctr" defTabSz="914400" rtl="0" eaLnBrk="1" fontAlgn="auto" latinLnBrk="0" hangingPunct="1">
              <a:lnSpc>
                <a:spcPct val="100000"/>
              </a:lnSpc>
              <a:spcBef>
                <a:spcPts val="0"/>
              </a:spcBef>
              <a:spcAft>
                <a:spcPts val="0"/>
              </a:spcAft>
              <a:buClrTx/>
              <a:buSzTx/>
              <a:buFontTx/>
              <a:buNone/>
              <a:tabLst/>
              <a:defRPr sz="1000" b="1">
                <a:solidFill>
                  <a:sysClr val="windowText" lastClr="000000">
                    <a:lumMod val="65000"/>
                    <a:lumOff val="35000"/>
                  </a:sysClr>
                </a:solidFill>
                <a:latin typeface="Verdana" panose="020B0604030504040204" pitchFamily="34" charset="0"/>
                <a:ea typeface="Verdana" panose="020B0604030504040204" pitchFamily="34" charset="0"/>
                <a:cs typeface="Verdana" panose="020B0604030504040204" pitchFamily="34" charset="0"/>
              </a:defRPr>
            </a:pPr>
            <a:endParaRPr lang="en-GB" sz="1000" b="1">
              <a:latin typeface="Verdana" panose="020B0604030504040204" pitchFamily="34" charset="0"/>
              <a:ea typeface="Verdana" panose="020B0604030504040204" pitchFamily="34" charset="0"/>
              <a:cs typeface="Verdana" panose="020B0604030504040204" pitchFamily="34" charset="0"/>
            </a:endParaRPr>
          </a:p>
        </c:rich>
      </c:tx>
      <c:layout>
        <c:manualLayout>
          <c:xMode val="edge"/>
          <c:yMode val="edge"/>
          <c:x val="0.21144867120257699"/>
          <c:y val="1.7679598743885899E-2"/>
        </c:manualLayout>
      </c:layout>
      <c:overlay val="0"/>
      <c:spPr>
        <a:noFill/>
        <a:ln>
          <a:noFill/>
        </a:ln>
        <a:effectLst/>
      </c:spPr>
      <c:txPr>
        <a:bodyPr rot="0" spcFirstLastPara="1" vertOverflow="ellipsis" vert="horz" wrap="square" anchor="ctr" anchorCtr="1"/>
        <a:lstStyle/>
        <a:p>
          <a:pPr marL="0" marR="0" lvl="0" indent="0" algn="ctr" defTabSz="914400" rtl="0" eaLnBrk="1" fontAlgn="auto" latinLnBrk="0" hangingPunct="1">
            <a:lnSpc>
              <a:spcPct val="100000"/>
            </a:lnSpc>
            <a:spcBef>
              <a:spcPts val="0"/>
            </a:spcBef>
            <a:spcAft>
              <a:spcPts val="0"/>
            </a:spcAft>
            <a:buClrTx/>
            <a:buSzTx/>
            <a:buFontTx/>
            <a:buNone/>
            <a:tabLst/>
            <a:defRPr sz="1000" b="1" i="0" u="none" strike="noStrike" kern="1200" spc="0" baseline="0">
              <a:solidFill>
                <a:sysClr val="windowText" lastClr="000000">
                  <a:lumMod val="65000"/>
                  <a:lumOff val="35000"/>
                </a:sysClr>
              </a:solidFill>
              <a:latin typeface="Verdana" panose="020B0604030504040204" pitchFamily="34" charset="0"/>
              <a:ea typeface="Verdana" panose="020B0604030504040204" pitchFamily="34" charset="0"/>
              <a:cs typeface="Verdana" panose="020B0604030504040204" pitchFamily="34" charset="0"/>
            </a:defRPr>
          </a:pPr>
          <a:endParaRPr lang="bg-BG"/>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stacked"/>
        <c:varyColors val="0"/>
        <c:ser>
          <c:idx val="0"/>
          <c:order val="0"/>
          <c:tx>
            <c:strRef>
              <c:f>'Обобщение всички ползи'!$B$126</c:f>
              <c:strCache>
                <c:ptCount val="1"/>
                <c:pt idx="0">
                  <c:v>Priority axis 1</c:v>
                </c:pt>
              </c:strCache>
            </c:strRef>
          </c:tx>
          <c:spPr>
            <a:solidFill>
              <a:schemeClr val="accent1"/>
            </a:solidFill>
            <a:ln>
              <a:solidFill>
                <a:schemeClr val="bg1"/>
              </a:solidFill>
            </a:ln>
            <a:effectLst/>
            <a:sp3d>
              <a:contourClr>
                <a:schemeClr val="bg1"/>
              </a:contourClr>
            </a:sp3d>
          </c:spPr>
          <c:invertIfNegative val="0"/>
          <c:cat>
            <c:strRef>
              <c:f>'Обобщение всички ползи'!$C$125:$I$125</c:f>
              <c:strCache>
                <c:ptCount val="7"/>
                <c:pt idx="0">
                  <c:v>time saved</c:v>
                </c:pt>
                <c:pt idx="1">
                  <c:v>reduced accidents</c:v>
                </c:pt>
                <c:pt idx="2">
                  <c:v>Benefits of removed intersections</c:v>
                </c:pt>
                <c:pt idx="3">
                  <c:v>impacts on carbon reduction</c:v>
                </c:pt>
                <c:pt idx="4">
                  <c:v>noise effects</c:v>
                </c:pt>
                <c:pt idx="5">
                  <c:v>reduction of operating costs for vehicles</c:v>
                </c:pt>
                <c:pt idx="6">
                  <c:v>impacts related to climate change</c:v>
                </c:pt>
              </c:strCache>
            </c:strRef>
          </c:cat>
          <c:val>
            <c:numRef>
              <c:f>'Обобщение всички ползи'!$C$126:$I$126</c:f>
              <c:numCache>
                <c:formatCode>#,##0.00</c:formatCode>
                <c:ptCount val="7"/>
                <c:pt idx="0">
                  <c:v>148927109.59041101</c:v>
                </c:pt>
                <c:pt idx="1">
                  <c:v>15099054.407419501</c:v>
                </c:pt>
                <c:pt idx="2">
                  <c:v>17730694.640684001</c:v>
                </c:pt>
                <c:pt idx="3">
                  <c:v>11199487.133349899</c:v>
                </c:pt>
                <c:pt idx="4">
                  <c:v>0</c:v>
                </c:pt>
                <c:pt idx="5">
                  <c:v>2833098.9448512401</c:v>
                </c:pt>
                <c:pt idx="6" formatCode="General">
                  <c:v>0</c:v>
                </c:pt>
              </c:numCache>
            </c:numRef>
          </c:val>
          <c:extLst>
            <c:ext xmlns:c16="http://schemas.microsoft.com/office/drawing/2014/chart" uri="{C3380CC4-5D6E-409C-BE32-E72D297353CC}">
              <c16:uniqueId val="{00000000-48C6-46DD-A4A2-31D5D094D929}"/>
            </c:ext>
          </c:extLst>
        </c:ser>
        <c:ser>
          <c:idx val="1"/>
          <c:order val="1"/>
          <c:tx>
            <c:strRef>
              <c:f>'Обобщение всички ползи'!$B$127</c:f>
              <c:strCache>
                <c:ptCount val="1"/>
                <c:pt idx="0">
                  <c:v>Priroity axis 2</c:v>
                </c:pt>
              </c:strCache>
            </c:strRef>
          </c:tx>
          <c:spPr>
            <a:solidFill>
              <a:schemeClr val="accent2"/>
            </a:solidFill>
            <a:ln>
              <a:solidFill>
                <a:schemeClr val="bg1"/>
              </a:solidFill>
            </a:ln>
            <a:effectLst/>
            <a:sp3d>
              <a:contourClr>
                <a:schemeClr val="bg1"/>
              </a:contourClr>
            </a:sp3d>
          </c:spPr>
          <c:invertIfNegative val="0"/>
          <c:cat>
            <c:strRef>
              <c:f>'Обобщение всички ползи'!$C$125:$I$125</c:f>
              <c:strCache>
                <c:ptCount val="7"/>
                <c:pt idx="0">
                  <c:v>time saved</c:v>
                </c:pt>
                <c:pt idx="1">
                  <c:v>reduced accidents</c:v>
                </c:pt>
                <c:pt idx="2">
                  <c:v>Benefits of removed intersections</c:v>
                </c:pt>
                <c:pt idx="3">
                  <c:v>impacts on carbon reduction</c:v>
                </c:pt>
                <c:pt idx="4">
                  <c:v>noise effects</c:v>
                </c:pt>
                <c:pt idx="5">
                  <c:v>reduction of operating costs for vehicles</c:v>
                </c:pt>
                <c:pt idx="6">
                  <c:v>impacts related to climate change</c:v>
                </c:pt>
              </c:strCache>
            </c:strRef>
          </c:cat>
          <c:val>
            <c:numRef>
              <c:f>'Обобщение всички ползи'!$C$127:$I$127</c:f>
              <c:numCache>
                <c:formatCode>#,##0.00</c:formatCode>
                <c:ptCount val="7"/>
                <c:pt idx="0">
                  <c:v>660875436.65678596</c:v>
                </c:pt>
                <c:pt idx="1">
                  <c:v>103757671.263172</c:v>
                </c:pt>
                <c:pt idx="2">
                  <c:v>0</c:v>
                </c:pt>
                <c:pt idx="3">
                  <c:v>-29826636.282959901</c:v>
                </c:pt>
                <c:pt idx="4">
                  <c:v>5172877.8091264898</c:v>
                </c:pt>
                <c:pt idx="5">
                  <c:v>87556823.156859994</c:v>
                </c:pt>
                <c:pt idx="6">
                  <c:v>-7363990.7850062</c:v>
                </c:pt>
              </c:numCache>
            </c:numRef>
          </c:val>
          <c:extLst>
            <c:ext xmlns:c16="http://schemas.microsoft.com/office/drawing/2014/chart" uri="{C3380CC4-5D6E-409C-BE32-E72D297353CC}">
              <c16:uniqueId val="{00000001-48C6-46DD-A4A2-31D5D094D929}"/>
            </c:ext>
          </c:extLst>
        </c:ser>
        <c:ser>
          <c:idx val="2"/>
          <c:order val="2"/>
          <c:tx>
            <c:strRef>
              <c:f>'Обобщение всички ползи'!$B$128</c:f>
              <c:strCache>
                <c:ptCount val="1"/>
                <c:pt idx="0">
                  <c:v>Priority axis 3</c:v>
                </c:pt>
              </c:strCache>
            </c:strRef>
          </c:tx>
          <c:spPr>
            <a:solidFill>
              <a:schemeClr val="accent3"/>
            </a:solidFill>
            <a:ln>
              <a:solidFill>
                <a:schemeClr val="bg1"/>
              </a:solidFill>
            </a:ln>
            <a:effectLst/>
            <a:sp3d>
              <a:contourClr>
                <a:schemeClr val="bg1"/>
              </a:contourClr>
            </a:sp3d>
          </c:spPr>
          <c:invertIfNegative val="0"/>
          <c:cat>
            <c:strRef>
              <c:f>'Обобщение всички ползи'!$C$125:$I$125</c:f>
              <c:strCache>
                <c:ptCount val="7"/>
                <c:pt idx="0">
                  <c:v>time saved</c:v>
                </c:pt>
                <c:pt idx="1">
                  <c:v>reduced accidents</c:v>
                </c:pt>
                <c:pt idx="2">
                  <c:v>Benefits of removed intersections</c:v>
                </c:pt>
                <c:pt idx="3">
                  <c:v>impacts on carbon reduction</c:v>
                </c:pt>
                <c:pt idx="4">
                  <c:v>noise effects</c:v>
                </c:pt>
                <c:pt idx="5">
                  <c:v>reduction of operating costs for vehicles</c:v>
                </c:pt>
                <c:pt idx="6">
                  <c:v>impacts related to climate change</c:v>
                </c:pt>
              </c:strCache>
            </c:strRef>
          </c:cat>
          <c:val>
            <c:numRef>
              <c:f>'Обобщение всички ползи'!$C$128:$I$128</c:f>
              <c:numCache>
                <c:formatCode>#,##0.00</c:formatCode>
                <c:ptCount val="7"/>
                <c:pt idx="0">
                  <c:v>127325417.77912501</c:v>
                </c:pt>
                <c:pt idx="1">
                  <c:v>56808427.1100512</c:v>
                </c:pt>
                <c:pt idx="2">
                  <c:v>0</c:v>
                </c:pt>
                <c:pt idx="3">
                  <c:v>7718342.8369649397</c:v>
                </c:pt>
                <c:pt idx="4">
                  <c:v>0</c:v>
                </c:pt>
                <c:pt idx="5">
                  <c:v>70400127.816814601</c:v>
                </c:pt>
                <c:pt idx="6" formatCode="General">
                  <c:v>0</c:v>
                </c:pt>
              </c:numCache>
            </c:numRef>
          </c:val>
          <c:extLst>
            <c:ext xmlns:c16="http://schemas.microsoft.com/office/drawing/2014/chart" uri="{C3380CC4-5D6E-409C-BE32-E72D297353CC}">
              <c16:uniqueId val="{00000002-48C6-46DD-A4A2-31D5D094D929}"/>
            </c:ext>
          </c:extLst>
        </c:ser>
        <c:dLbls>
          <c:showLegendKey val="0"/>
          <c:showVal val="0"/>
          <c:showCatName val="0"/>
          <c:showSerName val="0"/>
          <c:showPercent val="0"/>
          <c:showBubbleSize val="0"/>
        </c:dLbls>
        <c:gapWidth val="150"/>
        <c:shape val="box"/>
        <c:axId val="-2022205600"/>
        <c:axId val="-1982014912"/>
        <c:axId val="0"/>
        <c:extLst>
          <c:ext xmlns:c15="http://schemas.microsoft.com/office/drawing/2012/chart" uri="{02D57815-91ED-43cb-92C2-25804820EDAC}">
            <c15:filteredBarSeries>
              <c15:ser>
                <c:idx val="3"/>
                <c:order val="3"/>
                <c:tx>
                  <c:strRef>
                    <c:extLst>
                      <c:ext uri="{02D57815-91ED-43cb-92C2-25804820EDAC}">
                        <c15:formulaRef>
                          <c15:sqref>'Обобщение всички ползи'!$B$129</c15:sqref>
                        </c15:formulaRef>
                      </c:ext>
                    </c:extLst>
                    <c:strCache>
                      <c:ptCount val="1"/>
                      <c:pt idx="0">
                        <c:v>общо</c:v>
                      </c:pt>
                    </c:strCache>
                  </c:strRef>
                </c:tx>
                <c:spPr>
                  <a:solidFill>
                    <a:schemeClr val="accent4"/>
                  </a:solidFill>
                  <a:ln>
                    <a:noFill/>
                  </a:ln>
                  <a:effectLst/>
                  <a:sp3d/>
                </c:spPr>
                <c:invertIfNegative val="0"/>
                <c:cat>
                  <c:strRef>
                    <c:extLst>
                      <c:ext uri="{02D57815-91ED-43cb-92C2-25804820EDAC}">
                        <c15:formulaRef>
                          <c15:sqref>'Обобщение всички ползи'!$C$125:$I$125</c15:sqref>
                        </c15:formulaRef>
                      </c:ext>
                    </c:extLst>
                    <c:strCache>
                      <c:ptCount val="7"/>
                      <c:pt idx="0">
                        <c:v>time saved</c:v>
                      </c:pt>
                      <c:pt idx="1">
                        <c:v>reduced accidents</c:v>
                      </c:pt>
                      <c:pt idx="2">
                        <c:v>Benefits of removed intersections</c:v>
                      </c:pt>
                      <c:pt idx="3">
                        <c:v>impacts on carbon reduction</c:v>
                      </c:pt>
                      <c:pt idx="4">
                        <c:v>noise effects</c:v>
                      </c:pt>
                      <c:pt idx="5">
                        <c:v>reduction of operating costs for vehicles</c:v>
                      </c:pt>
                      <c:pt idx="6">
                        <c:v>impacts related to climate change</c:v>
                      </c:pt>
                    </c:strCache>
                  </c:strRef>
                </c:cat>
                <c:val>
                  <c:numRef>
                    <c:extLst>
                      <c:ext uri="{02D57815-91ED-43cb-92C2-25804820EDAC}">
                        <c15:formulaRef>
                          <c15:sqref>'Обобщение всички ползи'!$C$129:$I$129</c15:sqref>
                        </c15:formulaRef>
                      </c:ext>
                    </c:extLst>
                    <c:numCache>
                      <c:formatCode>#,##0.00</c:formatCode>
                      <c:ptCount val="7"/>
                      <c:pt idx="0">
                        <c:v>937127964.02632201</c:v>
                      </c:pt>
                      <c:pt idx="1">
                        <c:v>175665152.780642</c:v>
                      </c:pt>
                      <c:pt idx="2">
                        <c:v>17730694.640684001</c:v>
                      </c:pt>
                      <c:pt idx="4">
                        <c:v>5172877.8091264898</c:v>
                      </c:pt>
                      <c:pt idx="5">
                        <c:v>160790049.91852599</c:v>
                      </c:pt>
                    </c:numCache>
                  </c:numRef>
                </c:val>
                <c:extLst>
                  <c:ext xmlns:c16="http://schemas.microsoft.com/office/drawing/2014/chart" uri="{C3380CC4-5D6E-409C-BE32-E72D297353CC}">
                    <c16:uniqueId val="{00000003-48C6-46DD-A4A2-31D5D094D929}"/>
                  </c:ext>
                </c:extLst>
              </c15:ser>
            </c15:filteredBarSeries>
          </c:ext>
        </c:extLst>
      </c:bar3DChart>
      <c:catAx>
        <c:axId val="-2022205600"/>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bg-BG"/>
          </a:p>
        </c:txPr>
        <c:crossAx val="-1982014912"/>
        <c:crosses val="autoZero"/>
        <c:auto val="1"/>
        <c:lblAlgn val="ctr"/>
        <c:lblOffset val="100"/>
        <c:noMultiLvlLbl val="0"/>
      </c:catAx>
      <c:valAx>
        <c:axId val="-1982014912"/>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bg-BG"/>
          </a:p>
        </c:txPr>
        <c:crossAx val="-202220560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bg-BG"/>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gradFill flip="none" rotWithShape="1">
      <a:gsLst>
        <a:gs pos="0">
          <a:srgbClr val="7F8FA9">
            <a:lumMod val="5000"/>
            <a:lumOff val="95000"/>
          </a:srgbClr>
        </a:gs>
        <a:gs pos="74000">
          <a:srgbClr val="7F8FA9">
            <a:lumMod val="45000"/>
            <a:lumOff val="55000"/>
          </a:srgbClr>
        </a:gs>
        <a:gs pos="83000">
          <a:srgbClr val="7F8FA9">
            <a:lumMod val="45000"/>
            <a:lumOff val="55000"/>
          </a:srgbClr>
        </a:gs>
        <a:gs pos="100000">
          <a:srgbClr val="7F8FA9">
            <a:lumMod val="30000"/>
            <a:lumOff val="70000"/>
          </a:srgbClr>
        </a:gs>
      </a:gsLst>
      <a:lin ang="5400000" scaled="1"/>
      <a:tileRect/>
    </a:gradFill>
    <a:ln w="9525" cap="flat" cmpd="sng" algn="ctr">
      <a:solidFill>
        <a:schemeClr val="tx1">
          <a:lumMod val="15000"/>
          <a:lumOff val="85000"/>
        </a:schemeClr>
      </a:solidFill>
      <a:round/>
    </a:ln>
    <a:effectLst/>
  </c:spPr>
  <c:txPr>
    <a:bodyPr/>
    <a:lstStyle/>
    <a:p>
      <a:pPr>
        <a:defRPr/>
      </a:pPr>
      <a:endParaRPr lang="bg-BG"/>
    </a:p>
  </c:txPr>
  <c:externalData r:id="rId4">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800" b="1" i="0" u="none" strike="noStrike" kern="1200" spc="0" baseline="0">
                <a:solidFill>
                  <a:schemeClr val="tx1">
                    <a:lumMod val="65000"/>
                    <a:lumOff val="35000"/>
                  </a:schemeClr>
                </a:solidFill>
                <a:latin typeface="Verdana" panose="020B0604030504040204" pitchFamily="34" charset="0"/>
                <a:ea typeface="Verdana" panose="020B0604030504040204" pitchFamily="34" charset="0"/>
                <a:cs typeface="Verdana" panose="020B0604030504040204" pitchFamily="34" charset="0"/>
              </a:defRPr>
            </a:pPr>
            <a:r>
              <a:rPr lang="en-US" sz="800" b="1" i="0" baseline="0">
                <a:effectLst/>
                <a:latin typeface="Verdana" panose="020B0604030504040204" pitchFamily="34" charset="0"/>
                <a:ea typeface="Verdana" panose="020B0604030504040204" pitchFamily="34" charset="0"/>
                <a:cs typeface="Verdana" panose="020B0604030504040204" pitchFamily="34" charset="0"/>
              </a:rPr>
              <a:t>Realized impacts of implemented investment projects up to 2019</a:t>
            </a:r>
            <a:r>
              <a:rPr lang="bg-BG" sz="800" b="1" i="0" baseline="0">
                <a:effectLst/>
                <a:latin typeface="Verdana" panose="020B0604030504040204" pitchFamily="34" charset="0"/>
                <a:ea typeface="Verdana" panose="020B0604030504040204" pitchFamily="34" charset="0"/>
                <a:cs typeface="Verdana" panose="020B0604030504040204" pitchFamily="34" charset="0"/>
              </a:rPr>
              <a:t> </a:t>
            </a:r>
            <a:endParaRPr lang="bg-BG" sz="800" b="1">
              <a:effectLst/>
              <a:latin typeface="Verdana" panose="020B0604030504040204" pitchFamily="34" charset="0"/>
              <a:ea typeface="Verdana" panose="020B0604030504040204" pitchFamily="34" charset="0"/>
              <a:cs typeface="Verdana" panose="020B0604030504040204" pitchFamily="34" charset="0"/>
            </a:endParaRPr>
          </a:p>
        </c:rich>
      </c:tx>
      <c:overlay val="0"/>
      <c:spPr>
        <a:noFill/>
        <a:ln>
          <a:noFill/>
        </a:ln>
        <a:effectLst/>
      </c:spPr>
      <c:txPr>
        <a:bodyPr rot="0" spcFirstLastPara="1" vertOverflow="ellipsis" vert="horz" wrap="square" anchor="ctr" anchorCtr="1"/>
        <a:lstStyle/>
        <a:p>
          <a:pPr>
            <a:defRPr sz="800" b="1" i="0" u="none" strike="noStrike" kern="1200" spc="0" baseline="0">
              <a:solidFill>
                <a:schemeClr val="tx1">
                  <a:lumMod val="65000"/>
                  <a:lumOff val="35000"/>
                </a:schemeClr>
              </a:solidFill>
              <a:latin typeface="Verdana" panose="020B0604030504040204" pitchFamily="34" charset="0"/>
              <a:ea typeface="Verdana" panose="020B0604030504040204" pitchFamily="34" charset="0"/>
              <a:cs typeface="Verdana" panose="020B0604030504040204" pitchFamily="34" charset="0"/>
            </a:defRPr>
          </a:pPr>
          <a:endParaRPr lang="bg-BG"/>
        </a:p>
      </c:txPr>
    </c:title>
    <c:autoTitleDeleted val="0"/>
    <c:plotArea>
      <c:layout/>
      <c:pieChart>
        <c:varyColors val="1"/>
        <c:ser>
          <c:idx val="3"/>
          <c:order val="3"/>
          <c:tx>
            <c:strRef>
              <c:f>'Обобщение всички ползи'!$B$34</c:f>
              <c:strCache>
                <c:ptCount val="1"/>
                <c:pt idx="0">
                  <c:v>общо</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1AE2-46D8-90B0-CC61B7F41850}"/>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1AE2-46D8-90B0-CC61B7F41850}"/>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1AE2-46D8-90B0-CC61B7F41850}"/>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1AE2-46D8-90B0-CC61B7F41850}"/>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1AE2-46D8-90B0-CC61B7F41850}"/>
              </c:ext>
            </c:extLst>
          </c:dPt>
          <c:dPt>
            <c:idx val="5"/>
            <c:bubble3D val="0"/>
            <c:spPr>
              <a:solidFill>
                <a:schemeClr val="accent6"/>
              </a:solidFill>
              <a:ln w="19050">
                <a:solidFill>
                  <a:schemeClr val="lt1"/>
                </a:solidFill>
              </a:ln>
              <a:effectLst/>
            </c:spPr>
            <c:extLst>
              <c:ext xmlns:c16="http://schemas.microsoft.com/office/drawing/2014/chart" uri="{C3380CC4-5D6E-409C-BE32-E72D297353CC}">
                <c16:uniqueId val="{0000000B-1AE2-46D8-90B0-CC61B7F41850}"/>
              </c:ext>
            </c:extLst>
          </c:dPt>
          <c:dPt>
            <c:idx val="6"/>
            <c:bubble3D val="0"/>
            <c:spPr>
              <a:solidFill>
                <a:schemeClr val="accent1">
                  <a:lumMod val="60000"/>
                </a:schemeClr>
              </a:solidFill>
              <a:ln w="19050">
                <a:solidFill>
                  <a:schemeClr val="lt1"/>
                </a:solidFill>
              </a:ln>
              <a:effectLst/>
            </c:spPr>
            <c:extLst>
              <c:ext xmlns:c16="http://schemas.microsoft.com/office/drawing/2014/chart" uri="{C3380CC4-5D6E-409C-BE32-E72D297353CC}">
                <c16:uniqueId val="{0000000D-1AE2-46D8-90B0-CC61B7F41850}"/>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bg-BG"/>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'Обобщение всички ползи'!$C$30:$I$30</c:f>
              <c:strCache>
                <c:ptCount val="7"/>
                <c:pt idx="0">
                  <c:v>Time saved  69 %</c:v>
                </c:pt>
                <c:pt idx="1">
                  <c:v>Reduced accidents  15 %</c:v>
                </c:pt>
                <c:pt idx="2">
                  <c:v>Benefits of removed one-level crossings  1 %</c:v>
                </c:pt>
                <c:pt idx="3">
                  <c:v>Impacts on carbon reduction 1 %</c:v>
                </c:pt>
                <c:pt idx="4">
                  <c:v>Reduction of noise  0 % </c:v>
                </c:pt>
                <c:pt idx="5">
                  <c:v>Reduction of VOC  13 %</c:v>
                </c:pt>
                <c:pt idx="6">
                  <c:v>Impacts related to climate change -1 %</c:v>
                </c:pt>
              </c:strCache>
            </c:strRef>
          </c:cat>
          <c:val>
            <c:numRef>
              <c:f>'Обобщение всички ползи'!$C$34:$I$34</c:f>
              <c:numCache>
                <c:formatCode>#,##0</c:formatCode>
                <c:ptCount val="7"/>
                <c:pt idx="0">
                  <c:v>941298505.43591106</c:v>
                </c:pt>
                <c:pt idx="1">
                  <c:v>198085709.003223</c:v>
                </c:pt>
                <c:pt idx="2">
                  <c:v>17730694.640684001</c:v>
                </c:pt>
                <c:pt idx="3">
                  <c:v>-6579231.2959949104</c:v>
                </c:pt>
                <c:pt idx="4">
                  <c:v>5172877.8091264898</c:v>
                </c:pt>
                <c:pt idx="5">
                  <c:v>179735420.07367501</c:v>
                </c:pt>
                <c:pt idx="6">
                  <c:v>-7363990.7850062</c:v>
                </c:pt>
              </c:numCache>
            </c:numRef>
          </c:val>
          <c:extLst>
            <c:ext xmlns:c16="http://schemas.microsoft.com/office/drawing/2014/chart" uri="{C3380CC4-5D6E-409C-BE32-E72D297353CC}">
              <c16:uniqueId val="{0000000E-1AE2-46D8-90B0-CC61B7F41850}"/>
            </c:ext>
          </c:extLst>
        </c:ser>
        <c:dLbls>
          <c:showLegendKey val="0"/>
          <c:showVal val="0"/>
          <c:showCatName val="0"/>
          <c:showSerName val="0"/>
          <c:showPercent val="0"/>
          <c:showBubbleSize val="0"/>
          <c:showLeaderLines val="1"/>
        </c:dLbls>
        <c:firstSliceAng val="0"/>
        <c:extLst>
          <c:ext xmlns:c15="http://schemas.microsoft.com/office/drawing/2012/chart" uri="{02D57815-91ED-43cb-92C2-25804820EDAC}">
            <c15:filteredPieSeries>
              <c15:ser>
                <c:idx val="0"/>
                <c:order val="0"/>
                <c:tx>
                  <c:strRef>
                    <c:extLst>
                      <c:ext uri="{02D57815-91ED-43cb-92C2-25804820EDAC}">
                        <c15:formulaRef>
                          <c15:sqref>'Обобщение всички ползи'!$B$31</c15:sqref>
                        </c15:formulaRef>
                      </c:ext>
                    </c:extLst>
                    <c:strCache>
                      <c:ptCount val="1"/>
                      <c:pt idx="0">
                        <c:v>Priority axis 1</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10-1AE2-46D8-90B0-CC61B7F41850}"/>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12-1AE2-46D8-90B0-CC61B7F41850}"/>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14-1AE2-46D8-90B0-CC61B7F41850}"/>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16-1AE2-46D8-90B0-CC61B7F41850}"/>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18-1AE2-46D8-90B0-CC61B7F41850}"/>
                    </c:ext>
                  </c:extLst>
                </c:dPt>
                <c:dPt>
                  <c:idx val="5"/>
                  <c:bubble3D val="0"/>
                  <c:spPr>
                    <a:solidFill>
                      <a:schemeClr val="accent6"/>
                    </a:solidFill>
                    <a:ln w="19050">
                      <a:solidFill>
                        <a:schemeClr val="lt1"/>
                      </a:solidFill>
                    </a:ln>
                    <a:effectLst/>
                  </c:spPr>
                  <c:extLst>
                    <c:ext xmlns:c16="http://schemas.microsoft.com/office/drawing/2014/chart" uri="{C3380CC4-5D6E-409C-BE32-E72D297353CC}">
                      <c16:uniqueId val="{0000001A-1AE2-46D8-90B0-CC61B7F41850}"/>
                    </c:ext>
                  </c:extLst>
                </c:dPt>
                <c:dPt>
                  <c:idx val="6"/>
                  <c:bubble3D val="0"/>
                  <c:spPr>
                    <a:solidFill>
                      <a:schemeClr val="accent1">
                        <a:lumMod val="60000"/>
                      </a:schemeClr>
                    </a:solidFill>
                    <a:ln w="19050">
                      <a:solidFill>
                        <a:schemeClr val="lt1"/>
                      </a:solidFill>
                    </a:ln>
                    <a:effectLst/>
                  </c:spPr>
                  <c:extLst>
                    <c:ext xmlns:c16="http://schemas.microsoft.com/office/drawing/2014/chart" uri="{C3380CC4-5D6E-409C-BE32-E72D297353CC}">
                      <c16:uniqueId val="{0000001C-1AE2-46D8-90B0-CC61B7F41850}"/>
                    </c:ext>
                  </c:extLst>
                </c:dPt>
                <c:cat>
                  <c:strRef>
                    <c:extLst>
                      <c:ext uri="{02D57815-91ED-43cb-92C2-25804820EDAC}">
                        <c15:formulaRef>
                          <c15:sqref>'Обобщение всички ползи'!$C$30:$I$30</c15:sqref>
                        </c15:formulaRef>
                      </c:ext>
                    </c:extLst>
                    <c:strCache>
                      <c:ptCount val="7"/>
                      <c:pt idx="0">
                        <c:v>Time saved  69 %</c:v>
                      </c:pt>
                      <c:pt idx="1">
                        <c:v>Reduced accidents  15 %</c:v>
                      </c:pt>
                      <c:pt idx="2">
                        <c:v>Benefits of removed one-level crossings  1 %</c:v>
                      </c:pt>
                      <c:pt idx="3">
                        <c:v>Impacts on carbon reduction 1 %</c:v>
                      </c:pt>
                      <c:pt idx="4">
                        <c:v>Reduction of noise  0 % </c:v>
                      </c:pt>
                      <c:pt idx="5">
                        <c:v>Reduction of VOC  13 %</c:v>
                      </c:pt>
                      <c:pt idx="6">
                        <c:v>Impacts related to climate change -1 %</c:v>
                      </c:pt>
                    </c:strCache>
                  </c:strRef>
                </c:cat>
                <c:val>
                  <c:numRef>
                    <c:extLst>
                      <c:ext uri="{02D57815-91ED-43cb-92C2-25804820EDAC}">
                        <c15:formulaRef>
                          <c15:sqref>'Обобщение всички ползи'!$C$31:$I$31</c15:sqref>
                        </c15:formulaRef>
                      </c:ext>
                    </c:extLst>
                    <c:numCache>
                      <c:formatCode>#,##0</c:formatCode>
                      <c:ptCount val="7"/>
                      <c:pt idx="0">
                        <c:v>153097651</c:v>
                      </c:pt>
                      <c:pt idx="1">
                        <c:v>37519610.630000003</c:v>
                      </c:pt>
                      <c:pt idx="2">
                        <c:v>17730694.640684001</c:v>
                      </c:pt>
                      <c:pt idx="3">
                        <c:v>15529062.15</c:v>
                      </c:pt>
                      <c:pt idx="4">
                        <c:v>0</c:v>
                      </c:pt>
                      <c:pt idx="5">
                        <c:v>21778469.100000001</c:v>
                      </c:pt>
                      <c:pt idx="6">
                        <c:v>0</c:v>
                      </c:pt>
                    </c:numCache>
                  </c:numRef>
                </c:val>
                <c:extLst>
                  <c:ext xmlns:c16="http://schemas.microsoft.com/office/drawing/2014/chart" uri="{C3380CC4-5D6E-409C-BE32-E72D297353CC}">
                    <c16:uniqueId val="{0000001D-1AE2-46D8-90B0-CC61B7F41850}"/>
                  </c:ext>
                </c:extLst>
              </c15:ser>
            </c15:filteredPieSeries>
            <c15:filteredPieSeries>
              <c15:ser>
                <c:idx val="1"/>
                <c:order val="1"/>
                <c:tx>
                  <c:strRef>
                    <c:extLst xmlns:c15="http://schemas.microsoft.com/office/drawing/2012/chart">
                      <c:ext xmlns:c15="http://schemas.microsoft.com/office/drawing/2012/chart" uri="{02D57815-91ED-43cb-92C2-25804820EDAC}">
                        <c15:formulaRef>
                          <c15:sqref>'Обобщение всички ползи'!$B$32</c15:sqref>
                        </c15:formulaRef>
                      </c:ext>
                    </c:extLst>
                    <c:strCache>
                      <c:ptCount val="1"/>
                      <c:pt idx="0">
                        <c:v>Priority axis 2</c:v>
                      </c:pt>
                    </c:strCache>
                  </c:strRef>
                </c:tx>
                <c:dPt>
                  <c:idx val="0"/>
                  <c:bubble3D val="0"/>
                  <c:spPr>
                    <a:solidFill>
                      <a:schemeClr val="accent1"/>
                    </a:solidFill>
                    <a:ln w="19050">
                      <a:solidFill>
                        <a:schemeClr val="lt1"/>
                      </a:solidFill>
                    </a:ln>
                    <a:effectLst/>
                  </c:spPr>
                  <c:extLst xmlns:c15="http://schemas.microsoft.com/office/drawing/2012/chart">
                    <c:ext xmlns:c16="http://schemas.microsoft.com/office/drawing/2014/chart" uri="{C3380CC4-5D6E-409C-BE32-E72D297353CC}">
                      <c16:uniqueId val="{0000001F-1AE2-46D8-90B0-CC61B7F41850}"/>
                    </c:ext>
                  </c:extLst>
                </c:dPt>
                <c:dPt>
                  <c:idx val="1"/>
                  <c:bubble3D val="0"/>
                  <c:spPr>
                    <a:solidFill>
                      <a:schemeClr val="accent2"/>
                    </a:solidFill>
                    <a:ln w="19050">
                      <a:solidFill>
                        <a:schemeClr val="lt1"/>
                      </a:solidFill>
                    </a:ln>
                    <a:effectLst/>
                  </c:spPr>
                  <c:extLst xmlns:c15="http://schemas.microsoft.com/office/drawing/2012/chart">
                    <c:ext xmlns:c16="http://schemas.microsoft.com/office/drawing/2014/chart" uri="{C3380CC4-5D6E-409C-BE32-E72D297353CC}">
                      <c16:uniqueId val="{00000021-1AE2-46D8-90B0-CC61B7F41850}"/>
                    </c:ext>
                  </c:extLst>
                </c:dPt>
                <c:dPt>
                  <c:idx val="2"/>
                  <c:bubble3D val="0"/>
                  <c:spPr>
                    <a:solidFill>
                      <a:schemeClr val="accent3"/>
                    </a:solidFill>
                    <a:ln w="19050">
                      <a:solidFill>
                        <a:schemeClr val="lt1"/>
                      </a:solidFill>
                    </a:ln>
                    <a:effectLst/>
                  </c:spPr>
                  <c:extLst xmlns:c15="http://schemas.microsoft.com/office/drawing/2012/chart">
                    <c:ext xmlns:c16="http://schemas.microsoft.com/office/drawing/2014/chart" uri="{C3380CC4-5D6E-409C-BE32-E72D297353CC}">
                      <c16:uniqueId val="{00000023-1AE2-46D8-90B0-CC61B7F41850}"/>
                    </c:ext>
                  </c:extLst>
                </c:dPt>
                <c:dPt>
                  <c:idx val="3"/>
                  <c:bubble3D val="0"/>
                  <c:spPr>
                    <a:solidFill>
                      <a:schemeClr val="accent4"/>
                    </a:solidFill>
                    <a:ln w="19050">
                      <a:solidFill>
                        <a:schemeClr val="lt1"/>
                      </a:solidFill>
                    </a:ln>
                    <a:effectLst/>
                  </c:spPr>
                  <c:extLst xmlns:c15="http://schemas.microsoft.com/office/drawing/2012/chart">
                    <c:ext xmlns:c16="http://schemas.microsoft.com/office/drawing/2014/chart" uri="{C3380CC4-5D6E-409C-BE32-E72D297353CC}">
                      <c16:uniqueId val="{00000025-1AE2-46D8-90B0-CC61B7F41850}"/>
                    </c:ext>
                  </c:extLst>
                </c:dPt>
                <c:dPt>
                  <c:idx val="4"/>
                  <c:bubble3D val="0"/>
                  <c:spPr>
                    <a:solidFill>
                      <a:schemeClr val="accent5"/>
                    </a:solidFill>
                    <a:ln w="19050">
                      <a:solidFill>
                        <a:schemeClr val="lt1"/>
                      </a:solidFill>
                    </a:ln>
                    <a:effectLst/>
                  </c:spPr>
                  <c:extLst xmlns:c15="http://schemas.microsoft.com/office/drawing/2012/chart">
                    <c:ext xmlns:c16="http://schemas.microsoft.com/office/drawing/2014/chart" uri="{C3380CC4-5D6E-409C-BE32-E72D297353CC}">
                      <c16:uniqueId val="{00000027-1AE2-46D8-90B0-CC61B7F41850}"/>
                    </c:ext>
                  </c:extLst>
                </c:dPt>
                <c:dPt>
                  <c:idx val="5"/>
                  <c:bubble3D val="0"/>
                  <c:spPr>
                    <a:solidFill>
                      <a:schemeClr val="accent6"/>
                    </a:solidFill>
                    <a:ln w="19050">
                      <a:solidFill>
                        <a:schemeClr val="lt1"/>
                      </a:solidFill>
                    </a:ln>
                    <a:effectLst/>
                  </c:spPr>
                  <c:extLst xmlns:c15="http://schemas.microsoft.com/office/drawing/2012/chart">
                    <c:ext xmlns:c16="http://schemas.microsoft.com/office/drawing/2014/chart" uri="{C3380CC4-5D6E-409C-BE32-E72D297353CC}">
                      <c16:uniqueId val="{00000029-1AE2-46D8-90B0-CC61B7F41850}"/>
                    </c:ext>
                  </c:extLst>
                </c:dPt>
                <c:dPt>
                  <c:idx val="6"/>
                  <c:bubble3D val="0"/>
                  <c:spPr>
                    <a:solidFill>
                      <a:schemeClr val="accent1">
                        <a:lumMod val="60000"/>
                      </a:schemeClr>
                    </a:solidFill>
                    <a:ln w="19050">
                      <a:solidFill>
                        <a:schemeClr val="lt1"/>
                      </a:solidFill>
                    </a:ln>
                    <a:effectLst/>
                  </c:spPr>
                  <c:extLst xmlns:c15="http://schemas.microsoft.com/office/drawing/2012/chart">
                    <c:ext xmlns:c16="http://schemas.microsoft.com/office/drawing/2014/chart" uri="{C3380CC4-5D6E-409C-BE32-E72D297353CC}">
                      <c16:uniqueId val="{0000002B-1AE2-46D8-90B0-CC61B7F41850}"/>
                    </c:ext>
                  </c:extLst>
                </c:dPt>
                <c:cat>
                  <c:strRef>
                    <c:extLst xmlns:c15="http://schemas.microsoft.com/office/drawing/2012/chart">
                      <c:ext xmlns:c15="http://schemas.microsoft.com/office/drawing/2012/chart" uri="{02D57815-91ED-43cb-92C2-25804820EDAC}">
                        <c15:formulaRef>
                          <c15:sqref>'Обобщение всички ползи'!$C$30:$I$30</c15:sqref>
                        </c15:formulaRef>
                      </c:ext>
                    </c:extLst>
                    <c:strCache>
                      <c:ptCount val="7"/>
                      <c:pt idx="0">
                        <c:v>Time saved  69 %</c:v>
                      </c:pt>
                      <c:pt idx="1">
                        <c:v>Reduced accidents  15 %</c:v>
                      </c:pt>
                      <c:pt idx="2">
                        <c:v>Benefits of removed one-level crossings  1 %</c:v>
                      </c:pt>
                      <c:pt idx="3">
                        <c:v>Impacts on carbon reduction 1 %</c:v>
                      </c:pt>
                      <c:pt idx="4">
                        <c:v>Reduction of noise  0 % </c:v>
                      </c:pt>
                      <c:pt idx="5">
                        <c:v>Reduction of VOC  13 %</c:v>
                      </c:pt>
                      <c:pt idx="6">
                        <c:v>Impacts related to climate change -1 %</c:v>
                      </c:pt>
                    </c:strCache>
                  </c:strRef>
                </c:cat>
                <c:val>
                  <c:numRef>
                    <c:extLst xmlns:c15="http://schemas.microsoft.com/office/drawing/2012/chart">
                      <c:ext xmlns:c15="http://schemas.microsoft.com/office/drawing/2012/chart" uri="{02D57815-91ED-43cb-92C2-25804820EDAC}">
                        <c15:formulaRef>
                          <c15:sqref>'Обобщение всички ползи'!$C$32:$I$32</c15:sqref>
                        </c15:formulaRef>
                      </c:ext>
                    </c:extLst>
                    <c:numCache>
                      <c:formatCode>#,##0</c:formatCode>
                      <c:ptCount val="7"/>
                      <c:pt idx="0">
                        <c:v>660875436.65678596</c:v>
                      </c:pt>
                      <c:pt idx="1">
                        <c:v>103757671.263172</c:v>
                      </c:pt>
                      <c:pt idx="2">
                        <c:v>0</c:v>
                      </c:pt>
                      <c:pt idx="3">
                        <c:v>-29826636.282959901</c:v>
                      </c:pt>
                      <c:pt idx="4">
                        <c:v>5172877.8091264898</c:v>
                      </c:pt>
                      <c:pt idx="5">
                        <c:v>87556823.156859994</c:v>
                      </c:pt>
                      <c:pt idx="6">
                        <c:v>-7363990.7850062</c:v>
                      </c:pt>
                    </c:numCache>
                  </c:numRef>
                </c:val>
                <c:extLst xmlns:c15="http://schemas.microsoft.com/office/drawing/2012/chart">
                  <c:ext xmlns:c16="http://schemas.microsoft.com/office/drawing/2014/chart" uri="{C3380CC4-5D6E-409C-BE32-E72D297353CC}">
                    <c16:uniqueId val="{0000002C-1AE2-46D8-90B0-CC61B7F41850}"/>
                  </c:ext>
                </c:extLst>
              </c15:ser>
            </c15:filteredPieSeries>
            <c15:filteredPieSeries>
              <c15:ser>
                <c:idx val="2"/>
                <c:order val="2"/>
                <c:tx>
                  <c:strRef>
                    <c:extLst xmlns:c15="http://schemas.microsoft.com/office/drawing/2012/chart">
                      <c:ext xmlns:c15="http://schemas.microsoft.com/office/drawing/2012/chart" uri="{02D57815-91ED-43cb-92C2-25804820EDAC}">
                        <c15:formulaRef>
                          <c15:sqref>'Обобщение всички ползи'!$B$33</c15:sqref>
                        </c15:formulaRef>
                      </c:ext>
                    </c:extLst>
                    <c:strCache>
                      <c:ptCount val="1"/>
                      <c:pt idx="0">
                        <c:v>Priority axis 3</c:v>
                      </c:pt>
                    </c:strCache>
                  </c:strRef>
                </c:tx>
                <c:dPt>
                  <c:idx val="0"/>
                  <c:bubble3D val="0"/>
                  <c:spPr>
                    <a:solidFill>
                      <a:schemeClr val="accent1"/>
                    </a:solidFill>
                    <a:ln w="19050">
                      <a:solidFill>
                        <a:schemeClr val="lt1"/>
                      </a:solidFill>
                    </a:ln>
                    <a:effectLst/>
                  </c:spPr>
                  <c:extLst xmlns:c15="http://schemas.microsoft.com/office/drawing/2012/chart">
                    <c:ext xmlns:c16="http://schemas.microsoft.com/office/drawing/2014/chart" uri="{C3380CC4-5D6E-409C-BE32-E72D297353CC}">
                      <c16:uniqueId val="{0000002E-1AE2-46D8-90B0-CC61B7F41850}"/>
                    </c:ext>
                  </c:extLst>
                </c:dPt>
                <c:dPt>
                  <c:idx val="1"/>
                  <c:bubble3D val="0"/>
                  <c:spPr>
                    <a:solidFill>
                      <a:schemeClr val="accent2"/>
                    </a:solidFill>
                    <a:ln w="19050">
                      <a:solidFill>
                        <a:schemeClr val="lt1"/>
                      </a:solidFill>
                    </a:ln>
                    <a:effectLst/>
                  </c:spPr>
                  <c:extLst xmlns:c15="http://schemas.microsoft.com/office/drawing/2012/chart">
                    <c:ext xmlns:c16="http://schemas.microsoft.com/office/drawing/2014/chart" uri="{C3380CC4-5D6E-409C-BE32-E72D297353CC}">
                      <c16:uniqueId val="{00000030-1AE2-46D8-90B0-CC61B7F41850}"/>
                    </c:ext>
                  </c:extLst>
                </c:dPt>
                <c:dPt>
                  <c:idx val="2"/>
                  <c:bubble3D val="0"/>
                  <c:spPr>
                    <a:solidFill>
                      <a:schemeClr val="accent3"/>
                    </a:solidFill>
                    <a:ln w="19050">
                      <a:solidFill>
                        <a:schemeClr val="lt1"/>
                      </a:solidFill>
                    </a:ln>
                    <a:effectLst/>
                  </c:spPr>
                  <c:extLst xmlns:c15="http://schemas.microsoft.com/office/drawing/2012/chart">
                    <c:ext xmlns:c16="http://schemas.microsoft.com/office/drawing/2014/chart" uri="{C3380CC4-5D6E-409C-BE32-E72D297353CC}">
                      <c16:uniqueId val="{00000032-1AE2-46D8-90B0-CC61B7F41850}"/>
                    </c:ext>
                  </c:extLst>
                </c:dPt>
                <c:dPt>
                  <c:idx val="3"/>
                  <c:bubble3D val="0"/>
                  <c:spPr>
                    <a:solidFill>
                      <a:schemeClr val="accent4"/>
                    </a:solidFill>
                    <a:ln w="19050">
                      <a:solidFill>
                        <a:schemeClr val="lt1"/>
                      </a:solidFill>
                    </a:ln>
                    <a:effectLst/>
                  </c:spPr>
                  <c:extLst xmlns:c15="http://schemas.microsoft.com/office/drawing/2012/chart">
                    <c:ext xmlns:c16="http://schemas.microsoft.com/office/drawing/2014/chart" uri="{C3380CC4-5D6E-409C-BE32-E72D297353CC}">
                      <c16:uniqueId val="{00000034-1AE2-46D8-90B0-CC61B7F41850}"/>
                    </c:ext>
                  </c:extLst>
                </c:dPt>
                <c:dPt>
                  <c:idx val="4"/>
                  <c:bubble3D val="0"/>
                  <c:spPr>
                    <a:solidFill>
                      <a:schemeClr val="accent5"/>
                    </a:solidFill>
                    <a:ln w="19050">
                      <a:solidFill>
                        <a:schemeClr val="lt1"/>
                      </a:solidFill>
                    </a:ln>
                    <a:effectLst/>
                  </c:spPr>
                  <c:extLst xmlns:c15="http://schemas.microsoft.com/office/drawing/2012/chart">
                    <c:ext xmlns:c16="http://schemas.microsoft.com/office/drawing/2014/chart" uri="{C3380CC4-5D6E-409C-BE32-E72D297353CC}">
                      <c16:uniqueId val="{00000036-1AE2-46D8-90B0-CC61B7F41850}"/>
                    </c:ext>
                  </c:extLst>
                </c:dPt>
                <c:dPt>
                  <c:idx val="5"/>
                  <c:bubble3D val="0"/>
                  <c:spPr>
                    <a:solidFill>
                      <a:schemeClr val="accent6"/>
                    </a:solidFill>
                    <a:ln w="19050">
                      <a:solidFill>
                        <a:schemeClr val="lt1"/>
                      </a:solidFill>
                    </a:ln>
                    <a:effectLst/>
                  </c:spPr>
                  <c:extLst xmlns:c15="http://schemas.microsoft.com/office/drawing/2012/chart">
                    <c:ext xmlns:c16="http://schemas.microsoft.com/office/drawing/2014/chart" uri="{C3380CC4-5D6E-409C-BE32-E72D297353CC}">
                      <c16:uniqueId val="{00000038-1AE2-46D8-90B0-CC61B7F41850}"/>
                    </c:ext>
                  </c:extLst>
                </c:dPt>
                <c:dPt>
                  <c:idx val="6"/>
                  <c:bubble3D val="0"/>
                  <c:spPr>
                    <a:solidFill>
                      <a:schemeClr val="accent1">
                        <a:lumMod val="60000"/>
                      </a:schemeClr>
                    </a:solidFill>
                    <a:ln w="19050">
                      <a:solidFill>
                        <a:schemeClr val="lt1"/>
                      </a:solidFill>
                    </a:ln>
                    <a:effectLst/>
                  </c:spPr>
                  <c:extLst xmlns:c15="http://schemas.microsoft.com/office/drawing/2012/chart">
                    <c:ext xmlns:c16="http://schemas.microsoft.com/office/drawing/2014/chart" uri="{C3380CC4-5D6E-409C-BE32-E72D297353CC}">
                      <c16:uniqueId val="{0000003A-1AE2-46D8-90B0-CC61B7F41850}"/>
                    </c:ext>
                  </c:extLst>
                </c:dPt>
                <c:cat>
                  <c:strRef>
                    <c:extLst xmlns:c15="http://schemas.microsoft.com/office/drawing/2012/chart">
                      <c:ext xmlns:c15="http://schemas.microsoft.com/office/drawing/2012/chart" uri="{02D57815-91ED-43cb-92C2-25804820EDAC}">
                        <c15:formulaRef>
                          <c15:sqref>'Обобщение всички ползи'!$C$30:$I$30</c15:sqref>
                        </c15:formulaRef>
                      </c:ext>
                    </c:extLst>
                    <c:strCache>
                      <c:ptCount val="7"/>
                      <c:pt idx="0">
                        <c:v>Time saved  69 %</c:v>
                      </c:pt>
                      <c:pt idx="1">
                        <c:v>Reduced accidents  15 %</c:v>
                      </c:pt>
                      <c:pt idx="2">
                        <c:v>Benefits of removed one-level crossings  1 %</c:v>
                      </c:pt>
                      <c:pt idx="3">
                        <c:v>Impacts on carbon reduction 1 %</c:v>
                      </c:pt>
                      <c:pt idx="4">
                        <c:v>Reduction of noise  0 % </c:v>
                      </c:pt>
                      <c:pt idx="5">
                        <c:v>Reduction of VOC  13 %</c:v>
                      </c:pt>
                      <c:pt idx="6">
                        <c:v>Impacts related to climate change -1 %</c:v>
                      </c:pt>
                    </c:strCache>
                  </c:strRef>
                </c:cat>
                <c:val>
                  <c:numRef>
                    <c:extLst xmlns:c15="http://schemas.microsoft.com/office/drawing/2012/chart">
                      <c:ext xmlns:c15="http://schemas.microsoft.com/office/drawing/2012/chart" uri="{02D57815-91ED-43cb-92C2-25804820EDAC}">
                        <c15:formulaRef>
                          <c15:sqref>'Обобщение всички ползи'!$C$33:$I$33</c15:sqref>
                        </c15:formulaRef>
                      </c:ext>
                    </c:extLst>
                    <c:numCache>
                      <c:formatCode>#,##0</c:formatCode>
                      <c:ptCount val="7"/>
                      <c:pt idx="0">
                        <c:v>127325417.77912501</c:v>
                      </c:pt>
                      <c:pt idx="1">
                        <c:v>56808427.1100512</c:v>
                      </c:pt>
                      <c:pt idx="2">
                        <c:v>0</c:v>
                      </c:pt>
                      <c:pt idx="3">
                        <c:v>7718342.8369649397</c:v>
                      </c:pt>
                      <c:pt idx="4">
                        <c:v>0</c:v>
                      </c:pt>
                      <c:pt idx="5">
                        <c:v>70400127.816814601</c:v>
                      </c:pt>
                      <c:pt idx="6">
                        <c:v>0</c:v>
                      </c:pt>
                    </c:numCache>
                  </c:numRef>
                </c:val>
                <c:extLst xmlns:c15="http://schemas.microsoft.com/office/drawing/2012/chart">
                  <c:ext xmlns:c16="http://schemas.microsoft.com/office/drawing/2014/chart" uri="{C3380CC4-5D6E-409C-BE32-E72D297353CC}">
                    <c16:uniqueId val="{0000003B-1AE2-46D8-90B0-CC61B7F41850}"/>
                  </c:ext>
                </c:extLst>
              </c15:ser>
            </c15:filteredPieSeries>
          </c:ext>
        </c:extLst>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bg-BG"/>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gradFill flip="none" rotWithShape="1">
      <a:gsLst>
        <a:gs pos="0">
          <a:srgbClr val="7F8FA9">
            <a:lumMod val="5000"/>
            <a:lumOff val="95000"/>
          </a:srgbClr>
        </a:gs>
        <a:gs pos="74000">
          <a:srgbClr val="7F8FA9">
            <a:lumMod val="45000"/>
            <a:lumOff val="55000"/>
          </a:srgbClr>
        </a:gs>
        <a:gs pos="83000">
          <a:srgbClr val="7F8FA9">
            <a:lumMod val="45000"/>
            <a:lumOff val="55000"/>
          </a:srgbClr>
        </a:gs>
        <a:gs pos="100000">
          <a:srgbClr val="7F8FA9">
            <a:lumMod val="30000"/>
            <a:lumOff val="70000"/>
          </a:srgbClr>
        </a:gs>
      </a:gsLst>
      <a:lin ang="5400000" scaled="1"/>
      <a:tileRect/>
    </a:gradFill>
    <a:ln w="9525" cap="flat" cmpd="sng" algn="ctr">
      <a:solidFill>
        <a:schemeClr val="tx1">
          <a:lumMod val="15000"/>
          <a:lumOff val="85000"/>
        </a:schemeClr>
      </a:solidFill>
      <a:round/>
    </a:ln>
    <a:effectLst/>
  </c:spPr>
  <c:txPr>
    <a:bodyPr/>
    <a:lstStyle/>
    <a:p>
      <a:pPr>
        <a:defRPr/>
      </a:pPr>
      <a:endParaRPr lang="bg-BG"/>
    </a:p>
  </c:txPr>
  <c:externalData r:id="rId4">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900" b="1" i="0" u="none" strike="noStrike" kern="1200" baseline="0">
                <a:solidFill>
                  <a:schemeClr val="dk1">
                    <a:lumMod val="75000"/>
                    <a:lumOff val="25000"/>
                  </a:schemeClr>
                </a:solidFill>
                <a:latin typeface="Verdana" panose="020B0604030504040204" pitchFamily="34" charset="0"/>
                <a:ea typeface="Verdana" panose="020B0604030504040204" pitchFamily="34" charset="0"/>
                <a:cs typeface="Verdana" panose="020B0604030504040204" pitchFamily="34" charset="0"/>
              </a:defRPr>
            </a:pPr>
            <a:r>
              <a:rPr lang="en-US" sz="900">
                <a:latin typeface="Verdana" panose="020B0604030504040204" pitchFamily="34" charset="0"/>
                <a:ea typeface="Verdana" panose="020B0604030504040204" pitchFamily="34" charset="0"/>
                <a:cs typeface="Verdana" panose="020B0604030504040204" pitchFamily="34" charset="0"/>
              </a:rPr>
              <a:t>Implemented impacts by priority axes 2007-2019</a:t>
            </a:r>
            <a:endParaRPr lang="bg-BG" sz="900">
              <a:latin typeface="Verdana" panose="020B0604030504040204" pitchFamily="34" charset="0"/>
              <a:ea typeface="Verdana" panose="020B0604030504040204" pitchFamily="34" charset="0"/>
              <a:cs typeface="Verdana" panose="020B0604030504040204" pitchFamily="34" charset="0"/>
            </a:endParaRPr>
          </a:p>
        </c:rich>
      </c:tx>
      <c:overlay val="0"/>
      <c:spPr>
        <a:noFill/>
        <a:ln>
          <a:noFill/>
        </a:ln>
        <a:effectLst/>
      </c:spPr>
      <c:txPr>
        <a:bodyPr rot="0" spcFirstLastPara="1" vertOverflow="ellipsis" vert="horz" wrap="square" anchor="ctr" anchorCtr="1"/>
        <a:lstStyle/>
        <a:p>
          <a:pPr>
            <a:defRPr sz="900" b="1" i="0" u="none" strike="noStrike" kern="1200" baseline="0">
              <a:solidFill>
                <a:schemeClr val="dk1">
                  <a:lumMod val="75000"/>
                  <a:lumOff val="25000"/>
                </a:schemeClr>
              </a:solidFill>
              <a:latin typeface="Verdana" panose="020B0604030504040204" pitchFamily="34" charset="0"/>
              <a:ea typeface="Verdana" panose="020B0604030504040204" pitchFamily="34" charset="0"/>
              <a:cs typeface="Verdana" panose="020B0604030504040204" pitchFamily="34" charset="0"/>
            </a:defRPr>
          </a:pPr>
          <a:endParaRPr lang="bg-BG"/>
        </a:p>
      </c:txPr>
    </c:title>
    <c:autoTitleDeleted val="0"/>
    <c:plotArea>
      <c:layout/>
      <c:pieChart>
        <c:varyColors val="1"/>
        <c:ser>
          <c:idx val="7"/>
          <c:order val="7"/>
          <c:tx>
            <c:strRef>
              <c:f>'Обобщение всички ползи'!$J$30</c:f>
              <c:strCache>
                <c:ptCount val="1"/>
                <c:pt idx="0">
                  <c:v>Общо</c:v>
                </c:pt>
              </c:strCache>
            </c:strRef>
          </c:tx>
          <c:spPr>
            <a:ln>
              <a:solidFill>
                <a:schemeClr val="bg1"/>
              </a:solidFill>
            </a:ln>
          </c:spPr>
          <c:dPt>
            <c:idx val="0"/>
            <c:bubble3D val="0"/>
            <c:spPr>
              <a:solidFill>
                <a:schemeClr val="accent4">
                  <a:lumMod val="40000"/>
                  <a:lumOff val="60000"/>
                </a:schemeClr>
              </a:solidFill>
              <a:ln>
                <a:solidFill>
                  <a:schemeClr val="bg1"/>
                </a:solid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1-523F-4590-A954-6B32ACAF8224}"/>
              </c:ext>
            </c:extLst>
          </c:dPt>
          <c:dPt>
            <c:idx val="1"/>
            <c:bubble3D val="0"/>
            <c:spPr>
              <a:solidFill>
                <a:schemeClr val="accent1">
                  <a:lumMod val="60000"/>
                  <a:lumOff val="40000"/>
                </a:schemeClr>
              </a:solidFill>
              <a:ln>
                <a:solidFill>
                  <a:schemeClr val="bg1"/>
                </a:solid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3-523F-4590-A954-6B32ACAF8224}"/>
              </c:ext>
            </c:extLst>
          </c:dPt>
          <c:dPt>
            <c:idx val="2"/>
            <c:bubble3D val="0"/>
            <c:spPr>
              <a:solidFill>
                <a:schemeClr val="accent1">
                  <a:lumMod val="75000"/>
                </a:schemeClr>
              </a:solidFill>
              <a:ln>
                <a:solidFill>
                  <a:schemeClr val="bg1"/>
                </a:solid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5-523F-4590-A954-6B32ACAF8224}"/>
              </c:ext>
            </c:extLst>
          </c:dPt>
          <c:dLbls>
            <c:dLbl>
              <c:idx val="0"/>
              <c:layout>
                <c:manualLayout>
                  <c:x val="-4.0734806965208703E-2"/>
                  <c:y val="0.14948217400483699"/>
                </c:manualLayout>
              </c:layout>
              <c:dLblPos val="bestFit"/>
              <c:showLegendKey val="0"/>
              <c:showVal val="1"/>
              <c:showCatName val="1"/>
              <c:showSerName val="0"/>
              <c:showPercent val="1"/>
              <c:showBubbleSize val="0"/>
              <c:extLst>
                <c:ext xmlns:c15="http://schemas.microsoft.com/office/drawing/2012/chart" uri="{CE6537A1-D6FC-4f65-9D91-7224C49458BB}">
                  <c15:layout>
                    <c:manualLayout>
                      <c:w val="0.189586109428629"/>
                      <c:h val="0.16513750998516499"/>
                    </c:manualLayout>
                  </c15:layout>
                </c:ext>
                <c:ext xmlns:c16="http://schemas.microsoft.com/office/drawing/2014/chart" uri="{C3380CC4-5D6E-409C-BE32-E72D297353CC}">
                  <c16:uniqueId val="{00000001-523F-4590-A954-6B32ACAF8224}"/>
                </c:ext>
              </c:extLst>
            </c:dLbl>
            <c:dLbl>
              <c:idx val="1"/>
              <c:layout>
                <c:manualLayout>
                  <c:x val="3.1231355579451298E-2"/>
                  <c:y val="-0.27059862073656099"/>
                </c:manualLayout>
              </c:layout>
              <c:dLblPos val="bestFit"/>
              <c:showLegendKey val="0"/>
              <c:showVal val="1"/>
              <c:showCatName val="1"/>
              <c:showSerName val="0"/>
              <c:showPercent val="1"/>
              <c:showBubbleSize val="0"/>
              <c:extLst>
                <c:ext xmlns:c15="http://schemas.microsoft.com/office/drawing/2012/chart" uri="{CE6537A1-D6FC-4f65-9D91-7224C49458BB}">
                  <c15:layout>
                    <c:manualLayout>
                      <c:w val="0.189586109428629"/>
                      <c:h val="0.16513750998516499"/>
                    </c:manualLayout>
                  </c15:layout>
                </c:ext>
                <c:ext xmlns:c16="http://schemas.microsoft.com/office/drawing/2014/chart" uri="{C3380CC4-5D6E-409C-BE32-E72D297353CC}">
                  <c16:uniqueId val="{00000003-523F-4590-A954-6B32ACAF8224}"/>
                </c:ext>
              </c:extLst>
            </c:dLbl>
            <c:dLbl>
              <c:idx val="2"/>
              <c:layout>
                <c:manualLayout>
                  <c:x val="-2.1113050913884601E-2"/>
                  <c:y val="0.13583280350825699"/>
                </c:manualLayout>
              </c:layout>
              <c:dLblPos val="bestFit"/>
              <c:showLegendKey val="0"/>
              <c:showVal val="1"/>
              <c:showCatName val="1"/>
              <c:showSerName val="0"/>
              <c:showPercent val="1"/>
              <c:showBubbleSize val="0"/>
              <c:extLst>
                <c:ext xmlns:c15="http://schemas.microsoft.com/office/drawing/2012/chart" uri="{CE6537A1-D6FC-4f65-9D91-7224C49458BB}">
                  <c15:layout>
                    <c:manualLayout>
                      <c:w val="0.189586109428629"/>
                      <c:h val="0.16513750998516499"/>
                    </c:manualLayout>
                  </c15:layout>
                </c:ext>
                <c:ext xmlns:c16="http://schemas.microsoft.com/office/drawing/2014/chart" uri="{C3380CC4-5D6E-409C-BE32-E72D297353CC}">
                  <c16:uniqueId val="{00000005-523F-4590-A954-6B32ACAF8224}"/>
                </c:ext>
              </c:extLst>
            </c:dLbl>
            <c:spPr>
              <a:noFill/>
              <a:ln>
                <a:noFill/>
              </a:ln>
              <a:effectLst>
                <a:outerShdw blurRad="50800" dist="38100" dir="2700000" algn="tl" rotWithShape="0">
                  <a:prstClr val="black">
                    <a:alpha val="40000"/>
                  </a:prstClr>
                </a:outerShdw>
              </a:effectLst>
            </c:spPr>
            <c:txPr>
              <a:bodyPr rot="0" spcFirstLastPara="1" vertOverflow="overflow" horzOverflow="overflow" vert="horz" wrap="none" lIns="36576" tIns="18288" rIns="36576" bIns="18288" anchor="ctr" anchorCtr="1">
                <a:noAutofit/>
              </a:bodyPr>
              <a:lstStyle/>
              <a:p>
                <a:pPr>
                  <a:defRPr sz="1000" b="1" i="0" u="none" strike="noStrike" kern="1200" baseline="0">
                    <a:solidFill>
                      <a:schemeClr val="tx1">
                        <a:lumMod val="75000"/>
                        <a:lumOff val="25000"/>
                      </a:schemeClr>
                    </a:solidFill>
                    <a:latin typeface="+mn-lt"/>
                    <a:ea typeface="+mn-ea"/>
                    <a:cs typeface="+mn-cs"/>
                  </a:defRPr>
                </a:pPr>
                <a:endParaRPr lang="bg-BG"/>
              </a:p>
            </c:txPr>
            <c:dLblPos val="inEnd"/>
            <c:showLegendKey val="0"/>
            <c:showVal val="0"/>
            <c:showCatName val="1"/>
            <c:showSerName val="0"/>
            <c:showPercent val="1"/>
            <c:showBubbleSize val="0"/>
            <c:showLeaderLines val="0"/>
            <c:extLst>
              <c:ext xmlns:c15="http://schemas.microsoft.com/office/drawing/2012/chart" uri="{CE6537A1-D6FC-4f65-9D91-7224C49458BB}">
                <c15:spPr xmlns:c15="http://schemas.microsoft.com/office/drawing/2012/chart">
                  <a:prstGeom prst="borderCallout1">
                    <a:avLst/>
                  </a:prstGeom>
                  <a:pattFill prst="pct75">
                    <a:fgClr>
                      <a:schemeClr val="dk1">
                        <a:lumMod val="75000"/>
                        <a:lumOff val="25000"/>
                      </a:schemeClr>
                    </a:fgClr>
                    <a:bgClr>
                      <a:schemeClr val="dk1">
                        <a:lumMod val="65000"/>
                        <a:lumOff val="35000"/>
                      </a:schemeClr>
                    </a:bgClr>
                  </a:pattFill>
                  <a:ln>
                    <a:noFill/>
                  </a:ln>
                </c15:spPr>
              </c:ext>
            </c:extLst>
          </c:dLbls>
          <c:cat>
            <c:strRef>
              <c:f>'Обобщение всички ползи'!$B$31:$B$34</c:f>
              <c:strCache>
                <c:ptCount val="3"/>
                <c:pt idx="0">
                  <c:v>Priority axis 1</c:v>
                </c:pt>
                <c:pt idx="1">
                  <c:v>Priority axis 2</c:v>
                </c:pt>
                <c:pt idx="2">
                  <c:v>Priority axis 3</c:v>
                </c:pt>
              </c:strCache>
            </c:strRef>
          </c:cat>
          <c:val>
            <c:numRef>
              <c:f>'Обобщение всички ползи'!$J$31:$J$34</c:f>
              <c:numCache>
                <c:formatCode>#,##0</c:formatCode>
                <c:ptCount val="3"/>
                <c:pt idx="0">
                  <c:v>195789455</c:v>
                </c:pt>
                <c:pt idx="1">
                  <c:v>820172181.81797802</c:v>
                </c:pt>
                <c:pt idx="2">
                  <c:v>262252315.54295599</c:v>
                </c:pt>
              </c:numCache>
            </c:numRef>
          </c:val>
          <c:extLst>
            <c:ext xmlns:c16="http://schemas.microsoft.com/office/drawing/2014/chart" uri="{C3380CC4-5D6E-409C-BE32-E72D297353CC}">
              <c16:uniqueId val="{00000006-523F-4590-A954-6B32ACAF8224}"/>
            </c:ext>
          </c:extLst>
        </c:ser>
        <c:dLbls>
          <c:dLblPos val="ctr"/>
          <c:showLegendKey val="0"/>
          <c:showVal val="0"/>
          <c:showCatName val="0"/>
          <c:showSerName val="0"/>
          <c:showPercent val="1"/>
          <c:showBubbleSize val="0"/>
          <c:showLeaderLines val="0"/>
        </c:dLbls>
        <c:firstSliceAng val="0"/>
        <c:extLst>
          <c:ext xmlns:c15="http://schemas.microsoft.com/office/drawing/2012/chart" uri="{02D57815-91ED-43cb-92C2-25804820EDAC}">
            <c15:filteredPieSeries>
              <c15:ser>
                <c:idx val="0"/>
                <c:order val="0"/>
                <c:tx>
                  <c:strRef>
                    <c:extLst>
                      <c:ext uri="{02D57815-91ED-43cb-92C2-25804820EDAC}">
                        <c15:formulaRef>
                          <c15:sqref>'Обобщение всички ползи'!$C$30</c15:sqref>
                        </c15:formulaRef>
                      </c:ext>
                    </c:extLst>
                    <c:strCache>
                      <c:ptCount val="1"/>
                      <c:pt idx="0">
                        <c:v>saved time - 69%</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8-523F-4590-A954-6B32ACAF8224}"/>
                    </c:ext>
                  </c:extLst>
                </c:dPt>
                <c:dPt>
                  <c:idx val="1"/>
                  <c:bubble3D val="0"/>
                  <c:spPr>
                    <a:solidFill>
                      <a:schemeClr val="accent2"/>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A-523F-4590-A954-6B32ACAF8224}"/>
                    </c:ext>
                  </c:extLst>
                </c:dPt>
                <c:dPt>
                  <c:idx val="2"/>
                  <c:bubble3D val="0"/>
                  <c:spPr>
                    <a:solidFill>
                      <a:schemeClr val="accent3"/>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C-523F-4590-A954-6B32ACAF8224}"/>
                    </c:ext>
                  </c:extLst>
                </c:dPt>
                <c:dLbls>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bg-BG"/>
                    </a:p>
                  </c:txPr>
                  <c:dLblPos val="ctr"/>
                  <c:showLegendKey val="0"/>
                  <c:showVal val="0"/>
                  <c:showCatName val="0"/>
                  <c:showSerName val="0"/>
                  <c:showPercent val="1"/>
                  <c:showBubbleSize val="0"/>
                  <c:showLeaderLines val="0"/>
                  <c:extLst>
                    <c:ext uri="{CE6537A1-D6FC-4f65-9D91-7224C49458BB}"/>
                  </c:extLst>
                </c:dLbls>
                <c:cat>
                  <c:strRef>
                    <c:extLst>
                      <c:ext uri="{02D57815-91ED-43cb-92C2-25804820EDAC}">
                        <c15:formulaRef>
                          <c15:sqref>'Обобщение всички ползи'!$B$31:$B$34</c15:sqref>
                        </c15:formulaRef>
                      </c:ext>
                    </c:extLst>
                    <c:strCache>
                      <c:ptCount val="3"/>
                      <c:pt idx="0">
                        <c:v>Priority axis 1</c:v>
                      </c:pt>
                      <c:pt idx="1">
                        <c:v>Priority axis 2</c:v>
                      </c:pt>
                      <c:pt idx="2">
                        <c:v>Priority axis 3</c:v>
                      </c:pt>
                    </c:strCache>
                  </c:strRef>
                </c:cat>
                <c:val>
                  <c:numRef>
                    <c:extLst>
                      <c:ext uri="{02D57815-91ED-43cb-92C2-25804820EDAC}">
                        <c15:formulaRef>
                          <c15:sqref>'Обобщение всички ползи'!$C$31:$C$34</c15:sqref>
                        </c15:formulaRef>
                      </c:ext>
                    </c:extLst>
                    <c:numCache>
                      <c:formatCode>#,##0</c:formatCode>
                      <c:ptCount val="3"/>
                      <c:pt idx="0">
                        <c:v>153097651</c:v>
                      </c:pt>
                      <c:pt idx="1">
                        <c:v>660875436.65678596</c:v>
                      </c:pt>
                      <c:pt idx="2">
                        <c:v>127325417.77912501</c:v>
                      </c:pt>
                    </c:numCache>
                  </c:numRef>
                </c:val>
                <c:extLst>
                  <c:ext xmlns:c16="http://schemas.microsoft.com/office/drawing/2014/chart" uri="{C3380CC4-5D6E-409C-BE32-E72D297353CC}">
                    <c16:uniqueId val="{0000000D-523F-4590-A954-6B32ACAF8224}"/>
                  </c:ext>
                </c:extLst>
              </c15:ser>
            </c15:filteredPieSeries>
            <c15:filteredPieSeries>
              <c15:ser>
                <c:idx val="1"/>
                <c:order val="1"/>
                <c:tx>
                  <c:strRef>
                    <c:extLst xmlns:c15="http://schemas.microsoft.com/office/drawing/2012/chart">
                      <c:ext xmlns:c15="http://schemas.microsoft.com/office/drawing/2012/chart" uri="{02D57815-91ED-43cb-92C2-25804820EDAC}">
                        <c15:formulaRef>
                          <c15:sqref>'Обобщение всички ползи'!$D$30</c15:sqref>
                        </c15:formulaRef>
                      </c:ext>
                    </c:extLst>
                    <c:strCache>
                      <c:ptCount val="1"/>
                      <c:pt idx="0">
                        <c:v>Reduced accidents - 15%</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0F-523F-4590-A954-6B32ACAF8224}"/>
                    </c:ext>
                  </c:extLst>
                </c:dPt>
                <c:dPt>
                  <c:idx val="1"/>
                  <c:bubble3D val="0"/>
                  <c:spPr>
                    <a:solidFill>
                      <a:schemeClr val="accent2"/>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11-523F-4590-A954-6B32ACAF8224}"/>
                    </c:ext>
                  </c:extLst>
                </c:dPt>
                <c:dPt>
                  <c:idx val="2"/>
                  <c:bubble3D val="0"/>
                  <c:spPr>
                    <a:solidFill>
                      <a:schemeClr val="accent3"/>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13-523F-4590-A954-6B32ACAF8224}"/>
                    </c:ext>
                  </c:extLst>
                </c:dPt>
                <c:dLbls>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bg-BG"/>
                    </a:p>
                  </c:txPr>
                  <c:dLblPos val="ctr"/>
                  <c:showLegendKey val="0"/>
                  <c:showVal val="0"/>
                  <c:showCatName val="0"/>
                  <c:showSerName val="0"/>
                  <c:showPercent val="1"/>
                  <c:showBubbleSize val="0"/>
                  <c:showLeaderLines val="0"/>
                  <c:extLst xmlns:c15="http://schemas.microsoft.com/office/drawing/2012/chart">
                    <c:ext xmlns:c15="http://schemas.microsoft.com/office/drawing/2012/chart" uri="{CE6537A1-D6FC-4f65-9D91-7224C49458BB}"/>
                  </c:extLst>
                </c:dLbls>
                <c:cat>
                  <c:strRef>
                    <c:extLst xmlns:c15="http://schemas.microsoft.com/office/drawing/2012/chart">
                      <c:ext xmlns:c15="http://schemas.microsoft.com/office/drawing/2012/chart" uri="{02D57815-91ED-43cb-92C2-25804820EDAC}">
                        <c15:formulaRef>
                          <c15:sqref>'Обобщение всички ползи'!$B$31:$B$34</c15:sqref>
                        </c15:formulaRef>
                      </c:ext>
                    </c:extLst>
                    <c:strCache>
                      <c:ptCount val="3"/>
                      <c:pt idx="0">
                        <c:v>Priority axis 1</c:v>
                      </c:pt>
                      <c:pt idx="1">
                        <c:v>Priority axis 2</c:v>
                      </c:pt>
                      <c:pt idx="2">
                        <c:v>Priority axis 3</c:v>
                      </c:pt>
                    </c:strCache>
                  </c:strRef>
                </c:cat>
                <c:val>
                  <c:numRef>
                    <c:extLst xmlns:c15="http://schemas.microsoft.com/office/drawing/2012/chart">
                      <c:ext xmlns:c15="http://schemas.microsoft.com/office/drawing/2012/chart" uri="{02D57815-91ED-43cb-92C2-25804820EDAC}">
                        <c15:formulaRef>
                          <c15:sqref>'Обобщение всички ползи'!$D$31:$D$34</c15:sqref>
                        </c15:formulaRef>
                      </c:ext>
                    </c:extLst>
                    <c:numCache>
                      <c:formatCode>#,##0</c:formatCode>
                      <c:ptCount val="3"/>
                      <c:pt idx="0">
                        <c:v>37519610.630000003</c:v>
                      </c:pt>
                      <c:pt idx="1">
                        <c:v>103757671.263172</c:v>
                      </c:pt>
                      <c:pt idx="2">
                        <c:v>56808427.1100512</c:v>
                      </c:pt>
                    </c:numCache>
                  </c:numRef>
                </c:val>
                <c:extLst xmlns:c15="http://schemas.microsoft.com/office/drawing/2012/chart">
                  <c:ext xmlns:c16="http://schemas.microsoft.com/office/drawing/2014/chart" uri="{C3380CC4-5D6E-409C-BE32-E72D297353CC}">
                    <c16:uniqueId val="{00000014-523F-4590-A954-6B32ACAF8224}"/>
                  </c:ext>
                </c:extLst>
              </c15:ser>
            </c15:filteredPieSeries>
            <c15:filteredPieSeries>
              <c15:ser>
                <c:idx val="2"/>
                <c:order val="2"/>
                <c:tx>
                  <c:strRef>
                    <c:extLst xmlns:c15="http://schemas.microsoft.com/office/drawing/2012/chart">
                      <c:ext xmlns:c15="http://schemas.microsoft.com/office/drawing/2012/chart" uri="{02D57815-91ED-43cb-92C2-25804820EDAC}">
                        <c15:formulaRef>
                          <c15:sqref>'Обобщение всички ползи'!$E$30</c15:sqref>
                        </c15:formulaRef>
                      </c:ext>
                    </c:extLst>
                    <c:strCache>
                      <c:ptCount val="1"/>
                      <c:pt idx="0">
                        <c:v>Benefits of removed intersections - 1%</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16-523F-4590-A954-6B32ACAF8224}"/>
                    </c:ext>
                  </c:extLst>
                </c:dPt>
                <c:dPt>
                  <c:idx val="1"/>
                  <c:bubble3D val="0"/>
                  <c:spPr>
                    <a:solidFill>
                      <a:schemeClr val="accent2"/>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18-523F-4590-A954-6B32ACAF8224}"/>
                    </c:ext>
                  </c:extLst>
                </c:dPt>
                <c:dPt>
                  <c:idx val="2"/>
                  <c:bubble3D val="0"/>
                  <c:spPr>
                    <a:solidFill>
                      <a:schemeClr val="accent3"/>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1A-523F-4590-A954-6B32ACAF8224}"/>
                    </c:ext>
                  </c:extLst>
                </c:dPt>
                <c:dLbls>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bg-BG"/>
                    </a:p>
                  </c:txPr>
                  <c:dLblPos val="ctr"/>
                  <c:showLegendKey val="0"/>
                  <c:showVal val="0"/>
                  <c:showCatName val="0"/>
                  <c:showSerName val="0"/>
                  <c:showPercent val="1"/>
                  <c:showBubbleSize val="0"/>
                  <c:showLeaderLines val="0"/>
                  <c:extLst xmlns:c15="http://schemas.microsoft.com/office/drawing/2012/chart">
                    <c:ext xmlns:c15="http://schemas.microsoft.com/office/drawing/2012/chart" uri="{CE6537A1-D6FC-4f65-9D91-7224C49458BB}"/>
                  </c:extLst>
                </c:dLbls>
                <c:cat>
                  <c:strRef>
                    <c:extLst xmlns:c15="http://schemas.microsoft.com/office/drawing/2012/chart">
                      <c:ext xmlns:c15="http://schemas.microsoft.com/office/drawing/2012/chart" uri="{02D57815-91ED-43cb-92C2-25804820EDAC}">
                        <c15:formulaRef>
                          <c15:sqref>'Обобщение всички ползи'!$B$31:$B$34</c15:sqref>
                        </c15:formulaRef>
                      </c:ext>
                    </c:extLst>
                    <c:strCache>
                      <c:ptCount val="3"/>
                      <c:pt idx="0">
                        <c:v>Priority axis 1</c:v>
                      </c:pt>
                      <c:pt idx="1">
                        <c:v>Priority axis 2</c:v>
                      </c:pt>
                      <c:pt idx="2">
                        <c:v>Priority axis 3</c:v>
                      </c:pt>
                    </c:strCache>
                  </c:strRef>
                </c:cat>
                <c:val>
                  <c:numRef>
                    <c:extLst xmlns:c15="http://schemas.microsoft.com/office/drawing/2012/chart">
                      <c:ext xmlns:c15="http://schemas.microsoft.com/office/drawing/2012/chart" uri="{02D57815-91ED-43cb-92C2-25804820EDAC}">
                        <c15:formulaRef>
                          <c15:sqref>'Обобщение всички ползи'!$E$31:$E$34</c15:sqref>
                        </c15:formulaRef>
                      </c:ext>
                    </c:extLst>
                    <c:numCache>
                      <c:formatCode>#,##0</c:formatCode>
                      <c:ptCount val="3"/>
                      <c:pt idx="0">
                        <c:v>17730694.640684001</c:v>
                      </c:pt>
                      <c:pt idx="1">
                        <c:v>0</c:v>
                      </c:pt>
                      <c:pt idx="2">
                        <c:v>0</c:v>
                      </c:pt>
                    </c:numCache>
                  </c:numRef>
                </c:val>
                <c:extLst xmlns:c15="http://schemas.microsoft.com/office/drawing/2012/chart">
                  <c:ext xmlns:c16="http://schemas.microsoft.com/office/drawing/2014/chart" uri="{C3380CC4-5D6E-409C-BE32-E72D297353CC}">
                    <c16:uniqueId val="{0000001B-523F-4590-A954-6B32ACAF8224}"/>
                  </c:ext>
                </c:extLst>
              </c15:ser>
            </c15:filteredPieSeries>
            <c15:filteredPieSeries>
              <c15:ser>
                <c:idx val="3"/>
                <c:order val="3"/>
                <c:tx>
                  <c:strRef>
                    <c:extLst xmlns:c15="http://schemas.microsoft.com/office/drawing/2012/chart">
                      <c:ext xmlns:c15="http://schemas.microsoft.com/office/drawing/2012/chart" uri="{02D57815-91ED-43cb-92C2-25804820EDAC}">
                        <c15:formulaRef>
                          <c15:sqref>'Обобщение всички ползи'!$F$30</c15:sqref>
                        </c15:formulaRef>
                      </c:ext>
                    </c:extLst>
                    <c:strCache>
                      <c:ptCount val="1"/>
                      <c:pt idx="0">
                        <c:v>Impacts on carbon reduction - 10,5%</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1D-523F-4590-A954-6B32ACAF8224}"/>
                    </c:ext>
                  </c:extLst>
                </c:dPt>
                <c:dPt>
                  <c:idx val="1"/>
                  <c:bubble3D val="0"/>
                  <c:spPr>
                    <a:solidFill>
                      <a:schemeClr val="accent2"/>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1F-523F-4590-A954-6B32ACAF8224}"/>
                    </c:ext>
                  </c:extLst>
                </c:dPt>
                <c:dPt>
                  <c:idx val="2"/>
                  <c:bubble3D val="0"/>
                  <c:spPr>
                    <a:solidFill>
                      <a:schemeClr val="accent3"/>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21-523F-4590-A954-6B32ACAF8224}"/>
                    </c:ext>
                  </c:extLst>
                </c:dPt>
                <c:dLbls>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bg-BG"/>
                    </a:p>
                  </c:txPr>
                  <c:dLblPos val="ctr"/>
                  <c:showLegendKey val="0"/>
                  <c:showVal val="0"/>
                  <c:showCatName val="0"/>
                  <c:showSerName val="0"/>
                  <c:showPercent val="1"/>
                  <c:showBubbleSize val="0"/>
                  <c:showLeaderLines val="0"/>
                  <c:extLst xmlns:c15="http://schemas.microsoft.com/office/drawing/2012/chart">
                    <c:ext xmlns:c15="http://schemas.microsoft.com/office/drawing/2012/chart" uri="{CE6537A1-D6FC-4f65-9D91-7224C49458BB}"/>
                  </c:extLst>
                </c:dLbls>
                <c:cat>
                  <c:strRef>
                    <c:extLst xmlns:c15="http://schemas.microsoft.com/office/drawing/2012/chart">
                      <c:ext xmlns:c15="http://schemas.microsoft.com/office/drawing/2012/chart" uri="{02D57815-91ED-43cb-92C2-25804820EDAC}">
                        <c15:formulaRef>
                          <c15:sqref>'Обобщение всички ползи'!$B$31:$B$34</c15:sqref>
                        </c15:formulaRef>
                      </c:ext>
                    </c:extLst>
                    <c:strCache>
                      <c:ptCount val="3"/>
                      <c:pt idx="0">
                        <c:v>Priority axis 1</c:v>
                      </c:pt>
                      <c:pt idx="1">
                        <c:v>Priority axis 2</c:v>
                      </c:pt>
                      <c:pt idx="2">
                        <c:v>Priority axis 3</c:v>
                      </c:pt>
                    </c:strCache>
                  </c:strRef>
                </c:cat>
                <c:val>
                  <c:numRef>
                    <c:extLst xmlns:c15="http://schemas.microsoft.com/office/drawing/2012/chart">
                      <c:ext xmlns:c15="http://schemas.microsoft.com/office/drawing/2012/chart" uri="{02D57815-91ED-43cb-92C2-25804820EDAC}">
                        <c15:formulaRef>
                          <c15:sqref>'Обобщение всички ползи'!$F$31:$F$34</c15:sqref>
                        </c15:formulaRef>
                      </c:ext>
                    </c:extLst>
                    <c:numCache>
                      <c:formatCode>#,##0</c:formatCode>
                      <c:ptCount val="3"/>
                      <c:pt idx="0">
                        <c:v>15529062.15</c:v>
                      </c:pt>
                      <c:pt idx="1">
                        <c:v>-29826636.282959901</c:v>
                      </c:pt>
                      <c:pt idx="2">
                        <c:v>7718342.8369649397</c:v>
                      </c:pt>
                    </c:numCache>
                  </c:numRef>
                </c:val>
                <c:extLst xmlns:c15="http://schemas.microsoft.com/office/drawing/2012/chart">
                  <c:ext xmlns:c16="http://schemas.microsoft.com/office/drawing/2014/chart" uri="{C3380CC4-5D6E-409C-BE32-E72D297353CC}">
                    <c16:uniqueId val="{00000022-523F-4590-A954-6B32ACAF8224}"/>
                  </c:ext>
                </c:extLst>
              </c15:ser>
            </c15:filteredPieSeries>
            <c15:filteredPieSeries>
              <c15:ser>
                <c:idx val="4"/>
                <c:order val="4"/>
                <c:tx>
                  <c:strRef>
                    <c:extLst xmlns:c15="http://schemas.microsoft.com/office/drawing/2012/chart">
                      <c:ext xmlns:c15="http://schemas.microsoft.com/office/drawing/2012/chart" uri="{02D57815-91ED-43cb-92C2-25804820EDAC}">
                        <c15:formulaRef>
                          <c15:sqref>'Обобщение всички ползи'!$G$30</c15:sqref>
                        </c15:formulaRef>
                      </c:ext>
                    </c:extLst>
                    <c:strCache>
                      <c:ptCount val="1"/>
                      <c:pt idx="0">
                        <c:v>Noise effects - 0,39%</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24-523F-4590-A954-6B32ACAF8224}"/>
                    </c:ext>
                  </c:extLst>
                </c:dPt>
                <c:dPt>
                  <c:idx val="1"/>
                  <c:bubble3D val="0"/>
                  <c:spPr>
                    <a:solidFill>
                      <a:schemeClr val="accent2"/>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26-523F-4590-A954-6B32ACAF8224}"/>
                    </c:ext>
                  </c:extLst>
                </c:dPt>
                <c:dPt>
                  <c:idx val="2"/>
                  <c:bubble3D val="0"/>
                  <c:spPr>
                    <a:solidFill>
                      <a:schemeClr val="accent3"/>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28-523F-4590-A954-6B32ACAF8224}"/>
                    </c:ext>
                  </c:extLst>
                </c:dPt>
                <c:dLbls>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bg-BG"/>
                    </a:p>
                  </c:txPr>
                  <c:dLblPos val="ctr"/>
                  <c:showLegendKey val="0"/>
                  <c:showVal val="0"/>
                  <c:showCatName val="0"/>
                  <c:showSerName val="0"/>
                  <c:showPercent val="1"/>
                  <c:showBubbleSize val="0"/>
                  <c:showLeaderLines val="0"/>
                  <c:extLst xmlns:c15="http://schemas.microsoft.com/office/drawing/2012/chart">
                    <c:ext xmlns:c15="http://schemas.microsoft.com/office/drawing/2012/chart" uri="{CE6537A1-D6FC-4f65-9D91-7224C49458BB}"/>
                  </c:extLst>
                </c:dLbls>
                <c:cat>
                  <c:strRef>
                    <c:extLst xmlns:c15="http://schemas.microsoft.com/office/drawing/2012/chart">
                      <c:ext xmlns:c15="http://schemas.microsoft.com/office/drawing/2012/chart" uri="{02D57815-91ED-43cb-92C2-25804820EDAC}">
                        <c15:formulaRef>
                          <c15:sqref>'Обобщение всички ползи'!$B$31:$B$34</c15:sqref>
                        </c15:formulaRef>
                      </c:ext>
                    </c:extLst>
                    <c:strCache>
                      <c:ptCount val="3"/>
                      <c:pt idx="0">
                        <c:v>Priority axis 1</c:v>
                      </c:pt>
                      <c:pt idx="1">
                        <c:v>Priority axis 2</c:v>
                      </c:pt>
                      <c:pt idx="2">
                        <c:v>Priority axis 3</c:v>
                      </c:pt>
                    </c:strCache>
                  </c:strRef>
                </c:cat>
                <c:val>
                  <c:numRef>
                    <c:extLst xmlns:c15="http://schemas.microsoft.com/office/drawing/2012/chart">
                      <c:ext xmlns:c15="http://schemas.microsoft.com/office/drawing/2012/chart" uri="{02D57815-91ED-43cb-92C2-25804820EDAC}">
                        <c15:formulaRef>
                          <c15:sqref>'Обобщение всички ползи'!$G$31:$G$34</c15:sqref>
                        </c15:formulaRef>
                      </c:ext>
                    </c:extLst>
                    <c:numCache>
                      <c:formatCode>#,##0</c:formatCode>
                      <c:ptCount val="3"/>
                      <c:pt idx="0">
                        <c:v>0</c:v>
                      </c:pt>
                      <c:pt idx="1">
                        <c:v>5172877.8091264898</c:v>
                      </c:pt>
                      <c:pt idx="2">
                        <c:v>0</c:v>
                      </c:pt>
                    </c:numCache>
                  </c:numRef>
                </c:val>
                <c:extLst xmlns:c15="http://schemas.microsoft.com/office/drawing/2012/chart">
                  <c:ext xmlns:c16="http://schemas.microsoft.com/office/drawing/2014/chart" uri="{C3380CC4-5D6E-409C-BE32-E72D297353CC}">
                    <c16:uniqueId val="{00000029-523F-4590-A954-6B32ACAF8224}"/>
                  </c:ext>
                </c:extLst>
              </c15:ser>
            </c15:filteredPieSeries>
            <c15:filteredPieSeries>
              <c15:ser>
                <c:idx val="5"/>
                <c:order val="5"/>
                <c:tx>
                  <c:strRef>
                    <c:extLst xmlns:c15="http://schemas.microsoft.com/office/drawing/2012/chart">
                      <c:ext xmlns:c15="http://schemas.microsoft.com/office/drawing/2012/chart" uri="{02D57815-91ED-43cb-92C2-25804820EDAC}">
                        <c15:formulaRef>
                          <c15:sqref>'Обобщение всички ползи'!$H$30</c15:sqref>
                        </c15:formulaRef>
                      </c:ext>
                    </c:extLst>
                    <c:strCache>
                      <c:ptCount val="1"/>
                      <c:pt idx="0">
                        <c:v>Reduction of operating costs for vehicles - 14%</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2B-523F-4590-A954-6B32ACAF8224}"/>
                    </c:ext>
                  </c:extLst>
                </c:dPt>
                <c:dPt>
                  <c:idx val="1"/>
                  <c:bubble3D val="0"/>
                  <c:spPr>
                    <a:solidFill>
                      <a:schemeClr val="accent2"/>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2D-523F-4590-A954-6B32ACAF8224}"/>
                    </c:ext>
                  </c:extLst>
                </c:dPt>
                <c:dPt>
                  <c:idx val="2"/>
                  <c:bubble3D val="0"/>
                  <c:spPr>
                    <a:solidFill>
                      <a:schemeClr val="accent3"/>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2F-523F-4590-A954-6B32ACAF8224}"/>
                    </c:ext>
                  </c:extLst>
                </c:dPt>
                <c:dLbls>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bg-BG"/>
                    </a:p>
                  </c:txPr>
                  <c:dLblPos val="ctr"/>
                  <c:showLegendKey val="0"/>
                  <c:showVal val="0"/>
                  <c:showCatName val="0"/>
                  <c:showSerName val="0"/>
                  <c:showPercent val="1"/>
                  <c:showBubbleSize val="0"/>
                  <c:showLeaderLines val="0"/>
                  <c:extLst xmlns:c15="http://schemas.microsoft.com/office/drawing/2012/chart">
                    <c:ext xmlns:c15="http://schemas.microsoft.com/office/drawing/2012/chart" uri="{CE6537A1-D6FC-4f65-9D91-7224C49458BB}"/>
                  </c:extLst>
                </c:dLbls>
                <c:cat>
                  <c:strRef>
                    <c:extLst xmlns:c15="http://schemas.microsoft.com/office/drawing/2012/chart">
                      <c:ext xmlns:c15="http://schemas.microsoft.com/office/drawing/2012/chart" uri="{02D57815-91ED-43cb-92C2-25804820EDAC}">
                        <c15:formulaRef>
                          <c15:sqref>'Обобщение всички ползи'!$B$31:$B$34</c15:sqref>
                        </c15:formulaRef>
                      </c:ext>
                    </c:extLst>
                    <c:strCache>
                      <c:ptCount val="3"/>
                      <c:pt idx="0">
                        <c:v>Priority axis 1</c:v>
                      </c:pt>
                      <c:pt idx="1">
                        <c:v>Priority axis 2</c:v>
                      </c:pt>
                      <c:pt idx="2">
                        <c:v>Priority axis 3</c:v>
                      </c:pt>
                    </c:strCache>
                  </c:strRef>
                </c:cat>
                <c:val>
                  <c:numRef>
                    <c:extLst xmlns:c15="http://schemas.microsoft.com/office/drawing/2012/chart">
                      <c:ext xmlns:c15="http://schemas.microsoft.com/office/drawing/2012/chart" uri="{02D57815-91ED-43cb-92C2-25804820EDAC}">
                        <c15:formulaRef>
                          <c15:sqref>'Обобщение всички ползи'!$H$31:$H$34</c15:sqref>
                        </c15:formulaRef>
                      </c:ext>
                    </c:extLst>
                    <c:numCache>
                      <c:formatCode>#,##0</c:formatCode>
                      <c:ptCount val="3"/>
                      <c:pt idx="0">
                        <c:v>21778469.100000001</c:v>
                      </c:pt>
                      <c:pt idx="1">
                        <c:v>87556823.156859994</c:v>
                      </c:pt>
                      <c:pt idx="2">
                        <c:v>70400127.816814601</c:v>
                      </c:pt>
                    </c:numCache>
                  </c:numRef>
                </c:val>
                <c:extLst xmlns:c15="http://schemas.microsoft.com/office/drawing/2012/chart">
                  <c:ext xmlns:c16="http://schemas.microsoft.com/office/drawing/2014/chart" uri="{C3380CC4-5D6E-409C-BE32-E72D297353CC}">
                    <c16:uniqueId val="{00000030-523F-4590-A954-6B32ACAF8224}"/>
                  </c:ext>
                </c:extLst>
              </c15:ser>
            </c15:filteredPieSeries>
            <c15:filteredPieSeries>
              <c15:ser>
                <c:idx val="6"/>
                <c:order val="6"/>
                <c:tx>
                  <c:strRef>
                    <c:extLst xmlns:c15="http://schemas.microsoft.com/office/drawing/2012/chart">
                      <c:ext xmlns:c15="http://schemas.microsoft.com/office/drawing/2012/chart" uri="{02D57815-91ED-43cb-92C2-25804820EDAC}">
                        <c15:formulaRef>
                          <c15:sqref>'Обобщение всички ползи'!$I$30</c15:sqref>
                        </c15:formulaRef>
                      </c:ext>
                    </c:extLst>
                    <c:strCache>
                      <c:ptCount val="1"/>
                      <c:pt idx="0">
                        <c:v>Impacts related to climate change - -0,55%</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32-523F-4590-A954-6B32ACAF8224}"/>
                    </c:ext>
                  </c:extLst>
                </c:dPt>
                <c:dPt>
                  <c:idx val="1"/>
                  <c:bubble3D val="0"/>
                  <c:spPr>
                    <a:solidFill>
                      <a:schemeClr val="accent2"/>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34-523F-4590-A954-6B32ACAF8224}"/>
                    </c:ext>
                  </c:extLst>
                </c:dPt>
                <c:dPt>
                  <c:idx val="2"/>
                  <c:bubble3D val="0"/>
                  <c:spPr>
                    <a:solidFill>
                      <a:schemeClr val="accent3"/>
                    </a:solidFill>
                    <a:ln>
                      <a:noFill/>
                    </a:ln>
                    <a:effectLst>
                      <a:outerShdw blurRad="254000" sx="102000" sy="102000" algn="ctr" rotWithShape="0">
                        <a:prstClr val="black">
                          <a:alpha val="20000"/>
                        </a:prstClr>
                      </a:outerShdw>
                    </a:effectLst>
                  </c:spPr>
                  <c:extLst xmlns:c15="http://schemas.microsoft.com/office/drawing/2012/chart">
                    <c:ext xmlns:c16="http://schemas.microsoft.com/office/drawing/2014/chart" uri="{C3380CC4-5D6E-409C-BE32-E72D297353CC}">
                      <c16:uniqueId val="{00000036-523F-4590-A954-6B32ACAF8224}"/>
                    </c:ext>
                  </c:extLst>
                </c:dPt>
                <c:dLbls>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bg-BG"/>
                    </a:p>
                  </c:txPr>
                  <c:dLblPos val="ctr"/>
                  <c:showLegendKey val="0"/>
                  <c:showVal val="0"/>
                  <c:showCatName val="0"/>
                  <c:showSerName val="0"/>
                  <c:showPercent val="1"/>
                  <c:showBubbleSize val="0"/>
                  <c:showLeaderLines val="0"/>
                  <c:extLst xmlns:c15="http://schemas.microsoft.com/office/drawing/2012/chart">
                    <c:ext xmlns:c15="http://schemas.microsoft.com/office/drawing/2012/chart" uri="{CE6537A1-D6FC-4f65-9D91-7224C49458BB}"/>
                  </c:extLst>
                </c:dLbls>
                <c:cat>
                  <c:strRef>
                    <c:extLst xmlns:c15="http://schemas.microsoft.com/office/drawing/2012/chart">
                      <c:ext xmlns:c15="http://schemas.microsoft.com/office/drawing/2012/chart" uri="{02D57815-91ED-43cb-92C2-25804820EDAC}">
                        <c15:formulaRef>
                          <c15:sqref>'Обобщение всички ползи'!$B$31:$B$34</c15:sqref>
                        </c15:formulaRef>
                      </c:ext>
                    </c:extLst>
                    <c:strCache>
                      <c:ptCount val="3"/>
                      <c:pt idx="0">
                        <c:v>Priority axis 1</c:v>
                      </c:pt>
                      <c:pt idx="1">
                        <c:v>Priority axis 2</c:v>
                      </c:pt>
                      <c:pt idx="2">
                        <c:v>Priority axis 3</c:v>
                      </c:pt>
                    </c:strCache>
                  </c:strRef>
                </c:cat>
                <c:val>
                  <c:numRef>
                    <c:extLst xmlns:c15="http://schemas.microsoft.com/office/drawing/2012/chart">
                      <c:ext xmlns:c15="http://schemas.microsoft.com/office/drawing/2012/chart" uri="{02D57815-91ED-43cb-92C2-25804820EDAC}">
                        <c15:formulaRef>
                          <c15:sqref>'Обобщение всички ползи'!$I$31:$I$34</c15:sqref>
                        </c15:formulaRef>
                      </c:ext>
                    </c:extLst>
                    <c:numCache>
                      <c:formatCode>#,##0</c:formatCode>
                      <c:ptCount val="3"/>
                      <c:pt idx="0">
                        <c:v>0</c:v>
                      </c:pt>
                      <c:pt idx="1">
                        <c:v>-7363990.7850062</c:v>
                      </c:pt>
                      <c:pt idx="2">
                        <c:v>0</c:v>
                      </c:pt>
                    </c:numCache>
                  </c:numRef>
                </c:val>
                <c:extLst xmlns:c15="http://schemas.microsoft.com/office/drawing/2012/chart">
                  <c:ext xmlns:c16="http://schemas.microsoft.com/office/drawing/2014/chart" uri="{C3380CC4-5D6E-409C-BE32-E72D297353CC}">
                    <c16:uniqueId val="{00000037-523F-4590-A954-6B32ACAF8224}"/>
                  </c:ext>
                </c:extLst>
              </c15:ser>
            </c15:filteredPieSeries>
          </c:ext>
        </c:extLst>
      </c:pieChart>
      <c:spPr>
        <a:noFill/>
        <a:ln>
          <a:noFill/>
        </a:ln>
        <a:effectLst/>
      </c:spPr>
    </c:plotArea>
    <c:legend>
      <c:legendPos val="b"/>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bg-BG"/>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bg-BG"/>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withinLinearReversed" id="25">
  <a:schemeClr val="accent5"/>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5">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defRPr sz="900" b="1" i="0" u="none" strike="noStrike" kern="1200" baseline="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
  <cs:dataPoint3D>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53">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53">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53">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9.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53">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theme/theme1.xml><?xml version="1.0" encoding="utf-8"?>
<a:theme xmlns:a="http://schemas.openxmlformats.org/drawingml/2006/main" name="Office Them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8.xml><?xml version="1.0" encoding="utf-8"?>
<a:themeOverride xmlns:a="http://schemas.openxmlformats.org/drawingml/2006/main">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9.xml><?xml version="1.0" encoding="utf-8"?>
<a:themeOverride xmlns:a="http://schemas.openxmlformats.org/drawingml/2006/main">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0.xml><?xml version="1.0" encoding="utf-8"?>
<a:themeOverride xmlns:a="http://schemas.openxmlformats.org/drawingml/2006/main">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7B015933FFBB843918E66A23BCB528E" ma:contentTypeVersion="13" ma:contentTypeDescription="Create a new document." ma:contentTypeScope="" ma:versionID="211e36b6da65ad3fb2e05cecf589b66a">
  <xsd:schema xmlns:xsd="http://www.w3.org/2001/XMLSchema" xmlns:xs="http://www.w3.org/2001/XMLSchema" xmlns:p="http://schemas.microsoft.com/office/2006/metadata/properties" xmlns:ns3="f4f104ae-3be5-425a-b344-e33d25a85b4e" xmlns:ns4="7ecc0388-82da-4c63-a6f3-fdb4e5ac26dd" targetNamespace="http://schemas.microsoft.com/office/2006/metadata/properties" ma:root="true" ma:fieldsID="306486d8b9b14a972065c2beca398b30" ns3:_="" ns4:_="">
    <xsd:import namespace="f4f104ae-3be5-425a-b344-e33d25a85b4e"/>
    <xsd:import namespace="7ecc0388-82da-4c63-a6f3-fdb4e5ac26dd"/>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f104ae-3be5-425a-b344-e33d25a85b4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ecc0388-82da-4c63-a6f3-fdb4e5ac26d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805FA9-CF47-45CB-93EF-225D38D29F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f104ae-3be5-425a-b344-e33d25a85b4e"/>
    <ds:schemaRef ds:uri="7ecc0388-82da-4c63-a6f3-fdb4e5ac26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B2A1518-7631-4E16-94D0-923092A3CF8C}">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3BCEF29-392C-49F2-9369-D7BC55C6071C}">
  <ds:schemaRefs>
    <ds:schemaRef ds:uri="http://schemas.microsoft.com/sharepoint/v3/contenttype/forms"/>
  </ds:schemaRefs>
</ds:datastoreItem>
</file>

<file path=customXml/itemProps4.xml><?xml version="1.0" encoding="utf-8"?>
<ds:datastoreItem xmlns:ds="http://schemas.openxmlformats.org/officeDocument/2006/customXml" ds:itemID="{59A62C86-969A-4113-8A16-EFCE7072EB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78</Pages>
  <Words>27782</Words>
  <Characters>158363</Characters>
  <Application>Microsoft Office Word</Application>
  <DocSecurity>0</DocSecurity>
  <Lines>1319</Lines>
  <Paragraphs>371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TP</dc:creator>
  <cp:keywords/>
  <dc:description/>
  <cp:lastModifiedBy>Momchil Markov</cp:lastModifiedBy>
  <cp:revision>3</cp:revision>
  <cp:lastPrinted>2020-12-30T10:07:00Z</cp:lastPrinted>
  <dcterms:created xsi:type="dcterms:W3CDTF">2021-02-01T08:20:00Z</dcterms:created>
  <dcterms:modified xsi:type="dcterms:W3CDTF">2021-02-08T14:30:00Z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0x01010047B015933FFBB843918E66A23BCB528E</vt:lpwstr>
  </property>
</Properties>
</file>