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4BEAE8" w14:textId="77777777" w:rsidR="0076588B" w:rsidRPr="00B36ADE" w:rsidRDefault="0076588B" w:rsidP="0076588B">
      <w:pPr>
        <w:pStyle w:val="TOCHeading"/>
        <w:spacing w:line="276" w:lineRule="auto"/>
        <w:rPr>
          <w:rFonts w:ascii="Verdana" w:hAnsi="Verdana"/>
          <w:b/>
          <w:bCs/>
          <w:color w:val="374E81"/>
          <w:sz w:val="48"/>
          <w:szCs w:val="48"/>
          <w:lang w:val="en-US"/>
        </w:rPr>
      </w:pPr>
    </w:p>
    <w:p w14:paraId="5BEDD968" w14:textId="77777777" w:rsidR="009206BD" w:rsidRPr="00B36ADE" w:rsidRDefault="009206BD" w:rsidP="009206BD">
      <w:pPr>
        <w:jc w:val="center"/>
        <w:rPr>
          <w:rFonts w:ascii="Verdana" w:eastAsiaTheme="majorEastAsia" w:hAnsi="Verdana" w:cstheme="majorBidi"/>
          <w:b/>
          <w:bCs/>
          <w:caps/>
          <w:color w:val="374E81"/>
          <w:sz w:val="48"/>
          <w:szCs w:val="48"/>
          <w:lang w:val="en-US"/>
        </w:rPr>
      </w:pPr>
      <w:bookmarkStart w:id="0" w:name="_Toc50038179"/>
      <w:bookmarkStart w:id="1" w:name="_Toc50221809"/>
    </w:p>
    <w:p w14:paraId="4E74592C" w14:textId="77777777" w:rsidR="0085223A" w:rsidRPr="00B36ADE" w:rsidRDefault="0085223A" w:rsidP="009206BD">
      <w:pPr>
        <w:jc w:val="center"/>
        <w:rPr>
          <w:rFonts w:ascii="Verdana" w:eastAsiaTheme="majorEastAsia" w:hAnsi="Verdana" w:cstheme="majorBidi"/>
          <w:b/>
          <w:bCs/>
          <w:caps/>
          <w:color w:val="374E81"/>
          <w:sz w:val="48"/>
          <w:szCs w:val="48"/>
          <w:lang w:val="en-US"/>
        </w:rPr>
      </w:pPr>
    </w:p>
    <w:p w14:paraId="5A29A1F8" w14:textId="2204DFFA" w:rsidR="009206BD" w:rsidRDefault="001D16AB" w:rsidP="001D16AB">
      <w:pPr>
        <w:jc w:val="center"/>
        <w:rPr>
          <w:rFonts w:ascii="Verdana" w:eastAsiaTheme="majorEastAsia" w:hAnsi="Verdana" w:cstheme="majorBidi"/>
          <w:b/>
          <w:bCs/>
          <w:caps/>
          <w:color w:val="374E81"/>
          <w:sz w:val="48"/>
          <w:szCs w:val="48"/>
          <w:lang w:val="en-US"/>
        </w:rPr>
      </w:pPr>
      <w:r>
        <w:rPr>
          <w:rFonts w:ascii="Verdana" w:eastAsiaTheme="majorEastAsia" w:hAnsi="Verdana" w:cstheme="majorBidi"/>
          <w:b/>
          <w:bCs/>
          <w:caps/>
          <w:color w:val="374E81"/>
          <w:sz w:val="48"/>
          <w:szCs w:val="48"/>
          <w:lang w:val="en-US"/>
        </w:rPr>
        <w:t>EVALUATION REPORT</w:t>
      </w:r>
    </w:p>
    <w:p w14:paraId="52A1BE0D" w14:textId="77777777" w:rsidR="001D16AB" w:rsidRPr="00B36ADE" w:rsidRDefault="001D16AB" w:rsidP="001D16AB">
      <w:pPr>
        <w:jc w:val="center"/>
        <w:rPr>
          <w:rFonts w:ascii="Verdana" w:eastAsiaTheme="majorEastAsia" w:hAnsi="Verdana" w:cstheme="majorBidi"/>
          <w:b/>
          <w:bCs/>
          <w:color w:val="374E81"/>
          <w:sz w:val="48"/>
          <w:szCs w:val="48"/>
          <w:lang w:val="en-US"/>
        </w:rPr>
      </w:pPr>
    </w:p>
    <w:p w14:paraId="0A3783EF" w14:textId="6E217A11" w:rsidR="009206BD" w:rsidRPr="00B36ADE" w:rsidRDefault="009206BD" w:rsidP="009206BD">
      <w:pPr>
        <w:jc w:val="center"/>
        <w:rPr>
          <w:rFonts w:ascii="Verdana" w:eastAsiaTheme="majorEastAsia" w:hAnsi="Verdana" w:cstheme="majorBidi"/>
          <w:b/>
          <w:bCs/>
          <w:smallCaps/>
          <w:color w:val="374E81"/>
          <w:sz w:val="48"/>
          <w:szCs w:val="48"/>
          <w:lang w:val="en-US"/>
        </w:rPr>
      </w:pPr>
      <w:r w:rsidRPr="00B36ADE">
        <w:rPr>
          <w:rFonts w:ascii="Verdana" w:eastAsiaTheme="majorEastAsia" w:hAnsi="Verdana" w:cstheme="majorBidi"/>
          <w:b/>
          <w:bCs/>
          <w:smallCaps/>
          <w:color w:val="374E81"/>
          <w:sz w:val="48"/>
          <w:szCs w:val="48"/>
          <w:lang w:val="en-US"/>
        </w:rPr>
        <w:t>Evaluation o</w:t>
      </w:r>
      <w:r w:rsidR="00412642">
        <w:rPr>
          <w:rFonts w:ascii="Verdana" w:eastAsiaTheme="majorEastAsia" w:hAnsi="Verdana" w:cstheme="majorBidi"/>
          <w:b/>
          <w:bCs/>
          <w:smallCaps/>
          <w:color w:val="374E81"/>
          <w:sz w:val="48"/>
          <w:szCs w:val="48"/>
          <w:lang w:val="en-US"/>
        </w:rPr>
        <w:t>f</w:t>
      </w:r>
      <w:r w:rsidRPr="00B36ADE">
        <w:rPr>
          <w:rFonts w:ascii="Verdana" w:eastAsiaTheme="majorEastAsia" w:hAnsi="Verdana" w:cstheme="majorBidi"/>
          <w:b/>
          <w:bCs/>
          <w:smallCaps/>
          <w:color w:val="374E81"/>
          <w:sz w:val="48"/>
          <w:szCs w:val="48"/>
          <w:lang w:val="en-US"/>
        </w:rPr>
        <w:t xml:space="preserve"> the progress of Operational Programme “Transport and transport infrastructure” 2014-2020 and contribution to the EU Strategy</w:t>
      </w:r>
    </w:p>
    <w:p w14:paraId="0ECD1D54" w14:textId="77777777" w:rsidR="009206BD" w:rsidRPr="00B36ADE" w:rsidRDefault="009206BD" w:rsidP="009206BD">
      <w:pPr>
        <w:rPr>
          <w:rFonts w:ascii="Verdana" w:eastAsiaTheme="majorEastAsia" w:hAnsi="Verdana" w:cstheme="majorBidi"/>
          <w:b/>
          <w:bCs/>
          <w:color w:val="374E81"/>
          <w:sz w:val="48"/>
          <w:szCs w:val="48"/>
          <w:lang w:val="en-US"/>
        </w:rPr>
      </w:pPr>
    </w:p>
    <w:p w14:paraId="6DEAC726" w14:textId="77777777" w:rsidR="009206BD" w:rsidRPr="00B36ADE" w:rsidRDefault="009206BD" w:rsidP="009206BD">
      <w:pPr>
        <w:rPr>
          <w:lang w:val="en-US"/>
        </w:rPr>
      </w:pPr>
    </w:p>
    <w:p w14:paraId="62E70061" w14:textId="1554C847" w:rsidR="009206BD" w:rsidRPr="00B36ADE" w:rsidRDefault="009206BD" w:rsidP="009206BD">
      <w:pPr>
        <w:shd w:val="clear" w:color="auto" w:fill="374E81"/>
        <w:jc w:val="center"/>
        <w:rPr>
          <w:b/>
          <w:i/>
          <w:color w:val="FFFFFF" w:themeColor="background1"/>
          <w:lang w:val="en-US"/>
        </w:rPr>
      </w:pPr>
      <w:r w:rsidRPr="00B36ADE">
        <w:rPr>
          <w:rFonts w:ascii="Verdana" w:eastAsia="Calibri" w:hAnsi="Verdana"/>
          <w:b/>
          <w:i/>
          <w:color w:val="FFFFFF" w:themeColor="background1"/>
          <w:sz w:val="20"/>
          <w:szCs w:val="20"/>
          <w:lang w:val="en-US"/>
        </w:rPr>
        <w:t xml:space="preserve">Contract Д-4/06.02.2020 “Evaluation of the impact and effects of the implementation of Operational Programme “Transport” 2007-2013 and evaluation of the progress </w:t>
      </w:r>
      <w:r w:rsidR="00412642">
        <w:rPr>
          <w:rFonts w:ascii="Verdana" w:eastAsia="Calibri" w:hAnsi="Verdana"/>
          <w:b/>
          <w:i/>
          <w:color w:val="FFFFFF" w:themeColor="background1"/>
          <w:sz w:val="20"/>
          <w:szCs w:val="20"/>
          <w:lang w:val="en-US"/>
        </w:rPr>
        <w:t>of</w:t>
      </w:r>
      <w:r w:rsidR="00412642" w:rsidRPr="00B36ADE">
        <w:rPr>
          <w:rFonts w:ascii="Verdana" w:eastAsia="Calibri" w:hAnsi="Verdana"/>
          <w:b/>
          <w:i/>
          <w:color w:val="FFFFFF" w:themeColor="background1"/>
          <w:sz w:val="20"/>
          <w:szCs w:val="20"/>
          <w:lang w:val="en-US"/>
        </w:rPr>
        <w:t xml:space="preserve"> </w:t>
      </w:r>
      <w:r w:rsidRPr="00B36ADE">
        <w:rPr>
          <w:rFonts w:ascii="Verdana" w:eastAsia="Calibri" w:hAnsi="Verdana"/>
          <w:b/>
          <w:i/>
          <w:color w:val="FFFFFF" w:themeColor="background1"/>
          <w:sz w:val="20"/>
          <w:szCs w:val="20"/>
          <w:lang w:val="en-US"/>
        </w:rPr>
        <w:t xml:space="preserve">Operational Programme “Transport and transport infrastructure” 2014-2020 and contribution to the EU Strategy” </w:t>
      </w:r>
    </w:p>
    <w:p w14:paraId="53066194" w14:textId="77777777" w:rsidR="009206BD" w:rsidRPr="00B36ADE" w:rsidRDefault="009206BD" w:rsidP="009206BD">
      <w:pPr>
        <w:rPr>
          <w:color w:val="FFFFFF" w:themeColor="background1"/>
          <w:lang w:val="en-US"/>
        </w:rPr>
      </w:pPr>
    </w:p>
    <w:p w14:paraId="36DA4A86" w14:textId="77777777" w:rsidR="009206BD" w:rsidRPr="00B36ADE" w:rsidRDefault="009206BD" w:rsidP="009206BD">
      <w:pPr>
        <w:spacing w:line="276" w:lineRule="auto"/>
        <w:rPr>
          <w:lang w:val="en-US"/>
        </w:rPr>
      </w:pPr>
    </w:p>
    <w:p w14:paraId="6F69D5C3" w14:textId="77777777" w:rsidR="009206BD" w:rsidRPr="00B36ADE" w:rsidRDefault="009206BD" w:rsidP="009206BD">
      <w:pPr>
        <w:spacing w:line="276" w:lineRule="auto"/>
        <w:rPr>
          <w:lang w:val="en-US"/>
        </w:rPr>
      </w:pPr>
    </w:p>
    <w:p w14:paraId="4A3A86EF" w14:textId="77777777" w:rsidR="009206BD" w:rsidRPr="00B36ADE" w:rsidRDefault="009206BD" w:rsidP="009206BD">
      <w:pPr>
        <w:spacing w:line="276" w:lineRule="auto"/>
        <w:rPr>
          <w:lang w:val="en-US"/>
        </w:rPr>
      </w:pPr>
    </w:p>
    <w:p w14:paraId="42576AA5" w14:textId="77777777" w:rsidR="009206BD" w:rsidRPr="00B36ADE" w:rsidRDefault="009206BD" w:rsidP="009206BD">
      <w:pPr>
        <w:spacing w:line="276" w:lineRule="auto"/>
        <w:rPr>
          <w:lang w:val="en-US"/>
        </w:rPr>
      </w:pPr>
    </w:p>
    <w:p w14:paraId="2EA32465" w14:textId="77777777" w:rsidR="009206BD" w:rsidRPr="00B36ADE" w:rsidRDefault="009206BD" w:rsidP="009206BD">
      <w:pPr>
        <w:pStyle w:val="Footer"/>
        <w:spacing w:line="276" w:lineRule="auto"/>
        <w:jc w:val="center"/>
        <w:rPr>
          <w:rFonts w:ascii="Verdana" w:hAnsi="Verdana"/>
          <w:b/>
          <w:bCs/>
          <w:color w:val="374E81"/>
          <w:sz w:val="20"/>
          <w:szCs w:val="20"/>
          <w:lang w:val="en-US"/>
        </w:rPr>
      </w:pPr>
    </w:p>
    <w:p w14:paraId="43B7F21C" w14:textId="77777777" w:rsidR="009206BD" w:rsidRPr="00B36ADE" w:rsidRDefault="009206BD" w:rsidP="009206BD">
      <w:pPr>
        <w:pStyle w:val="Footer"/>
        <w:spacing w:line="276" w:lineRule="auto"/>
        <w:jc w:val="center"/>
        <w:rPr>
          <w:rFonts w:ascii="Verdana" w:hAnsi="Verdana"/>
          <w:b/>
          <w:bCs/>
          <w:color w:val="374E81"/>
          <w:sz w:val="20"/>
          <w:szCs w:val="20"/>
          <w:lang w:val="en-US"/>
        </w:rPr>
      </w:pPr>
    </w:p>
    <w:p w14:paraId="7F5A000B" w14:textId="77777777" w:rsidR="009206BD" w:rsidRPr="00B36ADE" w:rsidRDefault="009206BD" w:rsidP="009206BD">
      <w:pPr>
        <w:pStyle w:val="Footer"/>
        <w:spacing w:line="276" w:lineRule="auto"/>
        <w:jc w:val="center"/>
        <w:rPr>
          <w:rFonts w:ascii="Verdana" w:hAnsi="Verdana"/>
          <w:b/>
          <w:bCs/>
          <w:color w:val="374E81"/>
          <w:sz w:val="20"/>
          <w:szCs w:val="20"/>
          <w:lang w:val="en-US"/>
        </w:rPr>
      </w:pPr>
    </w:p>
    <w:p w14:paraId="3AC09BF0" w14:textId="77777777" w:rsidR="009206BD" w:rsidRPr="00B36ADE" w:rsidRDefault="009206BD" w:rsidP="009206BD">
      <w:pPr>
        <w:pStyle w:val="Footer"/>
        <w:spacing w:line="276" w:lineRule="auto"/>
        <w:jc w:val="center"/>
        <w:rPr>
          <w:rFonts w:ascii="Verdana" w:hAnsi="Verdana"/>
          <w:b/>
          <w:bCs/>
          <w:color w:val="374E81"/>
          <w:sz w:val="20"/>
          <w:szCs w:val="20"/>
          <w:lang w:val="en-US"/>
        </w:rPr>
      </w:pPr>
      <w:r w:rsidRPr="00B36ADE">
        <w:rPr>
          <w:rFonts w:ascii="Verdana" w:hAnsi="Verdana"/>
          <w:b/>
          <w:bCs/>
          <w:color w:val="374E81"/>
          <w:sz w:val="20"/>
          <w:szCs w:val="20"/>
          <w:lang w:val="en-US"/>
        </w:rPr>
        <w:t>December, 2020</w:t>
      </w:r>
    </w:p>
    <w:p w14:paraId="0A2B0D00" w14:textId="77777777" w:rsidR="009206BD" w:rsidRPr="00B36ADE" w:rsidRDefault="009206BD" w:rsidP="009206BD">
      <w:pPr>
        <w:spacing w:before="320" w:after="80" w:line="276" w:lineRule="auto"/>
        <w:rPr>
          <w:rFonts w:ascii="Verdana" w:hAnsi="Verdana"/>
          <w:b/>
          <w:color w:val="374E81"/>
          <w:lang w:val="en-US"/>
        </w:rPr>
        <w:sectPr w:rsidR="009206BD" w:rsidRPr="00B36ADE" w:rsidSect="009206BD">
          <w:headerReference w:type="default" r:id="rId8"/>
          <w:footerReference w:type="default" r:id="rId9"/>
          <w:headerReference w:type="first" r:id="rId10"/>
          <w:pgSz w:w="11906" w:h="16838"/>
          <w:pgMar w:top="1418" w:right="1418" w:bottom="1418" w:left="1418" w:header="709" w:footer="709" w:gutter="0"/>
          <w:cols w:space="708"/>
          <w:titlePg/>
          <w:docGrid w:linePitch="360"/>
        </w:sectPr>
      </w:pPr>
    </w:p>
    <w:p w14:paraId="6C3BDC37" w14:textId="17632374" w:rsidR="0076588B" w:rsidRPr="00B36ADE" w:rsidRDefault="000C68BE" w:rsidP="00E456B5">
      <w:pPr>
        <w:pStyle w:val="Heading1"/>
        <w:spacing w:before="320" w:after="80" w:line="276" w:lineRule="auto"/>
        <w:rPr>
          <w:rFonts w:ascii="Verdana" w:hAnsi="Verdana"/>
          <w:b/>
          <w:color w:val="374E81"/>
          <w:sz w:val="22"/>
          <w:szCs w:val="22"/>
          <w:lang w:val="en-US"/>
        </w:rPr>
      </w:pPr>
      <w:bookmarkStart w:id="2" w:name="_Toc62547314"/>
      <w:bookmarkEnd w:id="0"/>
      <w:bookmarkEnd w:id="1"/>
      <w:r w:rsidRPr="00B36ADE">
        <w:rPr>
          <w:rFonts w:ascii="Verdana" w:hAnsi="Verdana"/>
          <w:b/>
          <w:color w:val="374E81"/>
          <w:sz w:val="22"/>
          <w:szCs w:val="22"/>
          <w:lang w:val="en-US"/>
        </w:rPr>
        <w:lastRenderedPageBreak/>
        <w:t>INTRODUCTION</w:t>
      </w:r>
      <w:bookmarkEnd w:id="2"/>
    </w:p>
    <w:p w14:paraId="69388CD5" w14:textId="77777777" w:rsidR="000C68BE" w:rsidRPr="00B36ADE" w:rsidRDefault="000C68BE" w:rsidP="008C29E4">
      <w:pPr>
        <w:jc w:val="both"/>
        <w:rPr>
          <w:rFonts w:ascii="Verdana" w:eastAsia="Calibri" w:hAnsi="Verdana" w:cs="Helvetica"/>
          <w:sz w:val="20"/>
          <w:szCs w:val="20"/>
          <w:lang w:val="en-US"/>
        </w:rPr>
      </w:pPr>
    </w:p>
    <w:p w14:paraId="759FB63B" w14:textId="70AEC6C9" w:rsidR="000C68BE" w:rsidRPr="00B36ADE" w:rsidRDefault="000C68BE" w:rsidP="000C68BE">
      <w:pPr>
        <w:jc w:val="both"/>
        <w:rPr>
          <w:rFonts w:ascii="Verdana" w:eastAsia="Calibri" w:hAnsi="Verdana" w:cs="Helvetica"/>
          <w:sz w:val="20"/>
          <w:szCs w:val="20"/>
          <w:lang w:val="en-US"/>
        </w:rPr>
      </w:pPr>
      <w:r w:rsidRPr="00B36ADE">
        <w:rPr>
          <w:rFonts w:ascii="Verdana" w:eastAsia="Calibri" w:hAnsi="Verdana" w:cs="Helvetica"/>
          <w:sz w:val="20"/>
          <w:szCs w:val="20"/>
          <w:lang w:val="en-US"/>
        </w:rPr>
        <w:t xml:space="preserve">Operational Programme "Transport and Transport Infrastructure" 2014-2020 (OPTTI) seeks continuity of what has already been achieved under OPT and sustainability in the medium and long term. </w:t>
      </w:r>
      <w:r w:rsidR="00D56DE3" w:rsidRPr="00B36ADE">
        <w:rPr>
          <w:rFonts w:ascii="Verdana" w:eastAsia="Calibri" w:hAnsi="Verdana" w:cs="Helvetica"/>
          <w:sz w:val="20"/>
          <w:szCs w:val="20"/>
          <w:lang w:val="en-US"/>
        </w:rPr>
        <w:t>The programme focuses on several strategic priorities for balanced economic growth and envisages the modernization and completion of areas in the transport sector that are at an advanced stage of implementation. A logical addition to these priorities are the planned investments in the implementation of intelligent traffic management systems, improving transport safety and security. Continuing the practice adopted during the previous programming period, the beneficiaries of the programme are pre-determined and the indicative list of infrastructure projects is pre-prioritized</w:t>
      </w:r>
      <w:r w:rsidRPr="00B36ADE">
        <w:rPr>
          <w:rFonts w:ascii="Verdana" w:eastAsia="Calibri" w:hAnsi="Verdana" w:cs="Helvetica"/>
          <w:sz w:val="20"/>
          <w:szCs w:val="20"/>
          <w:lang w:val="en-US"/>
        </w:rPr>
        <w:t>. The priority axes of the Programme are as follows:</w:t>
      </w:r>
    </w:p>
    <w:p w14:paraId="1E0788E1" w14:textId="7B95B830" w:rsidR="00141913" w:rsidRPr="00B36ADE" w:rsidRDefault="000C68BE" w:rsidP="00777068">
      <w:pPr>
        <w:pStyle w:val="Caption"/>
        <w:rPr>
          <w:lang w:val="en-US"/>
        </w:rPr>
      </w:pPr>
      <w:bookmarkStart w:id="3" w:name="_Toc62547776"/>
      <w:r w:rsidRPr="00B36ADE">
        <w:rPr>
          <w:lang w:val="en-US"/>
        </w:rPr>
        <w:t>Table</w:t>
      </w:r>
      <w:r w:rsidR="00141913" w:rsidRPr="00B36ADE">
        <w:rPr>
          <w:lang w:val="en-US"/>
        </w:rPr>
        <w:t xml:space="preserve"> </w:t>
      </w:r>
      <w:r w:rsidR="009842B8">
        <w:rPr>
          <w:lang w:val="en-US"/>
        </w:rPr>
        <w:fldChar w:fldCharType="begin"/>
      </w:r>
      <w:r w:rsidR="009842B8">
        <w:rPr>
          <w:lang w:val="en-US"/>
        </w:rPr>
        <w:instrText xml:space="preserve"> STYLEREF 1 \s </w:instrText>
      </w:r>
      <w:r w:rsidR="009842B8">
        <w:rPr>
          <w:lang w:val="en-US"/>
        </w:rPr>
        <w:fldChar w:fldCharType="separate"/>
      </w:r>
      <w:r w:rsidR="00A401A9">
        <w:rPr>
          <w:noProof/>
          <w:lang w:val="en-US"/>
        </w:rPr>
        <w:t>I</w:t>
      </w:r>
      <w:r w:rsidR="009842B8">
        <w:rPr>
          <w:lang w:val="en-US"/>
        </w:rPr>
        <w:fldChar w:fldCharType="end"/>
      </w:r>
      <w:r w:rsidR="009842B8">
        <w:rPr>
          <w:lang w:val="en-US"/>
        </w:rPr>
        <w:noBreakHyphen/>
      </w:r>
      <w:r w:rsidR="009842B8">
        <w:rPr>
          <w:lang w:val="en-US"/>
        </w:rPr>
        <w:fldChar w:fldCharType="begin"/>
      </w:r>
      <w:r w:rsidR="009842B8">
        <w:rPr>
          <w:lang w:val="en-US"/>
        </w:rPr>
        <w:instrText xml:space="preserve"> SEQ Таблица \* ARABIC \s 1 </w:instrText>
      </w:r>
      <w:r w:rsidR="009842B8">
        <w:rPr>
          <w:lang w:val="en-US"/>
        </w:rPr>
        <w:fldChar w:fldCharType="separate"/>
      </w:r>
      <w:r w:rsidR="00A401A9">
        <w:rPr>
          <w:noProof/>
          <w:lang w:val="en-US"/>
        </w:rPr>
        <w:t>1</w:t>
      </w:r>
      <w:r w:rsidR="009842B8">
        <w:rPr>
          <w:lang w:val="en-US"/>
        </w:rPr>
        <w:fldChar w:fldCharType="end"/>
      </w:r>
      <w:r w:rsidR="00141913" w:rsidRPr="00B36ADE">
        <w:rPr>
          <w:lang w:val="en-US"/>
        </w:rPr>
        <w:t xml:space="preserve"> </w:t>
      </w:r>
      <w:r w:rsidRPr="00B36ADE">
        <w:rPr>
          <w:lang w:val="en-US"/>
        </w:rPr>
        <w:t>Priority axes of OPTTI</w:t>
      </w:r>
      <w:bookmarkEnd w:id="3"/>
      <w:r w:rsidRPr="00B36ADE">
        <w:rPr>
          <w:lang w:val="en-US"/>
        </w:rPr>
        <w:t xml:space="preserve"> </w:t>
      </w:r>
    </w:p>
    <w:tbl>
      <w:tblPr>
        <w:tblW w:w="0" w:type="auto"/>
        <w:tblBorders>
          <w:top w:val="double" w:sz="4" w:space="0" w:color="6A84BE"/>
          <w:left w:val="double" w:sz="4" w:space="0" w:color="6A84BE"/>
          <w:bottom w:val="double" w:sz="4" w:space="0" w:color="6A84BE"/>
          <w:right w:val="double" w:sz="4" w:space="0" w:color="6A84BE"/>
          <w:insideH w:val="single" w:sz="6" w:space="0" w:color="6A84BE"/>
          <w:insideV w:val="single" w:sz="6" w:space="0" w:color="6A84BE"/>
        </w:tblBorders>
        <w:tblLook w:val="04A0" w:firstRow="1" w:lastRow="0" w:firstColumn="1" w:lastColumn="0" w:noHBand="0" w:noVBand="1"/>
      </w:tblPr>
      <w:tblGrid>
        <w:gridCol w:w="2962"/>
        <w:gridCol w:w="2841"/>
        <w:gridCol w:w="3239"/>
      </w:tblGrid>
      <w:tr w:rsidR="000C68BE" w:rsidRPr="00B36ADE" w14:paraId="38570B8A" w14:textId="77777777" w:rsidTr="00712784">
        <w:trPr>
          <w:trHeight w:val="255"/>
        </w:trPr>
        <w:tc>
          <w:tcPr>
            <w:tcW w:w="2962" w:type="dxa"/>
            <w:shd w:val="clear" w:color="auto" w:fill="374E81"/>
            <w:vAlign w:val="center"/>
            <w:hideMark/>
          </w:tcPr>
          <w:p w14:paraId="1482BF41" w14:textId="77777777" w:rsidR="000C68BE" w:rsidRPr="00B36ADE" w:rsidRDefault="000C68BE" w:rsidP="00712784">
            <w:pPr>
              <w:spacing w:after="0" w:line="240" w:lineRule="auto"/>
              <w:jc w:val="center"/>
              <w:rPr>
                <w:rFonts w:ascii="Verdana" w:eastAsia="Times New Roman" w:hAnsi="Verdana" w:cs="Times New Roman"/>
                <w:b/>
                <w:smallCaps/>
                <w:color w:val="FFFFFF" w:themeColor="background1"/>
                <w:sz w:val="16"/>
                <w:szCs w:val="16"/>
                <w:lang w:val="en-US"/>
              </w:rPr>
            </w:pPr>
            <w:r w:rsidRPr="00B36ADE">
              <w:rPr>
                <w:rFonts w:ascii="Verdana" w:eastAsia="Times New Roman" w:hAnsi="Verdana" w:cs="Times New Roman"/>
                <w:b/>
                <w:smallCaps/>
                <w:color w:val="FFFFFF" w:themeColor="background1"/>
                <w:sz w:val="16"/>
                <w:szCs w:val="16"/>
                <w:lang w:val="en-US"/>
              </w:rPr>
              <w:t>Priority Axis</w:t>
            </w:r>
          </w:p>
        </w:tc>
        <w:tc>
          <w:tcPr>
            <w:tcW w:w="2841" w:type="dxa"/>
            <w:shd w:val="clear" w:color="auto" w:fill="374E81"/>
            <w:vAlign w:val="center"/>
            <w:hideMark/>
          </w:tcPr>
          <w:p w14:paraId="76EFE8EB" w14:textId="77777777" w:rsidR="000C68BE" w:rsidRPr="00B36ADE" w:rsidRDefault="000C68BE" w:rsidP="00712784">
            <w:pPr>
              <w:spacing w:after="0" w:line="240" w:lineRule="auto"/>
              <w:jc w:val="center"/>
              <w:rPr>
                <w:rFonts w:ascii="Verdana" w:eastAsia="Times New Roman" w:hAnsi="Verdana" w:cs="Times New Roman"/>
                <w:b/>
                <w:smallCaps/>
                <w:color w:val="FFFFFF" w:themeColor="background1"/>
                <w:sz w:val="16"/>
                <w:szCs w:val="16"/>
                <w:lang w:val="en-US"/>
              </w:rPr>
            </w:pPr>
            <w:r w:rsidRPr="00B36ADE">
              <w:rPr>
                <w:rFonts w:ascii="Verdana" w:eastAsia="Times New Roman" w:hAnsi="Verdana" w:cs="Times New Roman"/>
                <w:b/>
                <w:smallCaps/>
                <w:color w:val="FFFFFF" w:themeColor="background1"/>
                <w:sz w:val="16"/>
                <w:szCs w:val="16"/>
                <w:lang w:val="en-US"/>
              </w:rPr>
              <w:t>Objective</w:t>
            </w:r>
          </w:p>
        </w:tc>
        <w:tc>
          <w:tcPr>
            <w:tcW w:w="0" w:type="auto"/>
            <w:shd w:val="clear" w:color="auto" w:fill="374E81"/>
            <w:vAlign w:val="center"/>
            <w:hideMark/>
          </w:tcPr>
          <w:p w14:paraId="6CC76413" w14:textId="77777777" w:rsidR="000C68BE" w:rsidRPr="00B36ADE" w:rsidRDefault="000C68BE" w:rsidP="00712784">
            <w:pPr>
              <w:spacing w:after="0" w:line="240" w:lineRule="auto"/>
              <w:jc w:val="center"/>
              <w:rPr>
                <w:rFonts w:ascii="Verdana" w:eastAsia="Times New Roman" w:hAnsi="Verdana" w:cs="Times New Roman"/>
                <w:b/>
                <w:smallCaps/>
                <w:color w:val="FFFFFF" w:themeColor="background1"/>
                <w:sz w:val="16"/>
                <w:szCs w:val="16"/>
                <w:lang w:val="en-US"/>
              </w:rPr>
            </w:pPr>
            <w:r w:rsidRPr="00B36ADE">
              <w:rPr>
                <w:rFonts w:ascii="Verdana" w:eastAsia="Times New Roman" w:hAnsi="Verdana" w:cs="Times New Roman"/>
                <w:b/>
                <w:smallCaps/>
                <w:color w:val="FFFFFF" w:themeColor="background1"/>
                <w:sz w:val="16"/>
                <w:szCs w:val="16"/>
                <w:lang w:val="en-US"/>
              </w:rPr>
              <w:t>Beneficiary</w:t>
            </w:r>
          </w:p>
        </w:tc>
      </w:tr>
      <w:tr w:rsidR="000C68BE" w:rsidRPr="00B36ADE" w14:paraId="555F2960" w14:textId="77777777" w:rsidTr="00712784">
        <w:trPr>
          <w:trHeight w:val="1008"/>
        </w:trPr>
        <w:tc>
          <w:tcPr>
            <w:tcW w:w="2962" w:type="dxa"/>
            <w:shd w:val="clear" w:color="auto" w:fill="CED7EA"/>
            <w:vAlign w:val="center"/>
            <w:hideMark/>
          </w:tcPr>
          <w:p w14:paraId="7E62707D" w14:textId="3559B020" w:rsidR="000C68BE" w:rsidRPr="00B36ADE" w:rsidRDefault="000C68BE" w:rsidP="00712784">
            <w:pPr>
              <w:spacing w:after="0" w:line="240" w:lineRule="auto"/>
              <w:jc w:val="both"/>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Development of railway infrastructure along the “core” and “comprehensive” Trans-European transport network</w:t>
            </w:r>
          </w:p>
        </w:tc>
        <w:tc>
          <w:tcPr>
            <w:tcW w:w="2841" w:type="dxa"/>
            <w:shd w:val="clear" w:color="auto" w:fill="CED7EA"/>
            <w:vAlign w:val="center"/>
            <w:hideMark/>
          </w:tcPr>
          <w:p w14:paraId="218276EE" w14:textId="77777777" w:rsidR="000C68BE" w:rsidRPr="00B36ADE" w:rsidRDefault="000C68BE" w:rsidP="00712784">
            <w:pPr>
              <w:spacing w:after="0" w:line="240" w:lineRule="auto"/>
              <w:jc w:val="both"/>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Increasing railway traffic of passenger and freight through improving the quality of the TEN-T railway infrastructure</w:t>
            </w:r>
          </w:p>
        </w:tc>
        <w:tc>
          <w:tcPr>
            <w:tcW w:w="0" w:type="auto"/>
            <w:shd w:val="clear" w:color="auto" w:fill="CED7EA"/>
            <w:vAlign w:val="center"/>
            <w:hideMark/>
          </w:tcPr>
          <w:p w14:paraId="25194455" w14:textId="77777777" w:rsidR="000C68BE" w:rsidRPr="00B36ADE" w:rsidRDefault="000C68BE" w:rsidP="00712784">
            <w:pPr>
              <w:spacing w:after="0" w:line="240" w:lineRule="auto"/>
              <w:jc w:val="both"/>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National Railway Infrastructure Company</w:t>
            </w:r>
          </w:p>
        </w:tc>
      </w:tr>
      <w:tr w:rsidR="000C68BE" w:rsidRPr="00B36ADE" w14:paraId="1799F7B7" w14:textId="77777777" w:rsidTr="00712784">
        <w:trPr>
          <w:trHeight w:val="1130"/>
        </w:trPr>
        <w:tc>
          <w:tcPr>
            <w:tcW w:w="2962" w:type="dxa"/>
            <w:shd w:val="clear" w:color="auto" w:fill="auto"/>
            <w:vAlign w:val="center"/>
            <w:hideMark/>
          </w:tcPr>
          <w:p w14:paraId="3EC32011" w14:textId="4CC682BB" w:rsidR="000C68BE" w:rsidRPr="00B36ADE" w:rsidRDefault="000C68BE" w:rsidP="00712784">
            <w:pPr>
              <w:spacing w:after="0" w:line="240" w:lineRule="auto"/>
              <w:jc w:val="both"/>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Development of road infrastructure along the „core” and “comprehensive” Trans-European transport network</w:t>
            </w:r>
          </w:p>
        </w:tc>
        <w:tc>
          <w:tcPr>
            <w:tcW w:w="2841" w:type="dxa"/>
            <w:shd w:val="clear" w:color="auto" w:fill="auto"/>
            <w:vAlign w:val="center"/>
            <w:hideMark/>
          </w:tcPr>
          <w:p w14:paraId="5EB1FDFF" w14:textId="77777777" w:rsidR="000C68BE" w:rsidRPr="00B36ADE" w:rsidRDefault="000C68BE" w:rsidP="00712784">
            <w:pPr>
              <w:spacing w:after="0" w:line="240" w:lineRule="auto"/>
              <w:jc w:val="both"/>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Removal of bottlenecks in the TEN-T road network</w:t>
            </w:r>
          </w:p>
        </w:tc>
        <w:tc>
          <w:tcPr>
            <w:tcW w:w="0" w:type="auto"/>
            <w:shd w:val="clear" w:color="auto" w:fill="auto"/>
            <w:vAlign w:val="center"/>
            <w:hideMark/>
          </w:tcPr>
          <w:p w14:paraId="6D6A06F6" w14:textId="77777777" w:rsidR="000C68BE" w:rsidRPr="00B36ADE" w:rsidRDefault="000C68BE" w:rsidP="00712784">
            <w:pPr>
              <w:spacing w:after="0" w:line="240" w:lineRule="auto"/>
              <w:jc w:val="both"/>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Road Infrastructure Agency</w:t>
            </w:r>
          </w:p>
        </w:tc>
      </w:tr>
      <w:tr w:rsidR="000C68BE" w:rsidRPr="00B36ADE" w14:paraId="75192E96" w14:textId="77777777" w:rsidTr="00712784">
        <w:trPr>
          <w:trHeight w:val="1530"/>
        </w:trPr>
        <w:tc>
          <w:tcPr>
            <w:tcW w:w="2962" w:type="dxa"/>
            <w:shd w:val="clear" w:color="auto" w:fill="CED7EA"/>
            <w:vAlign w:val="center"/>
            <w:hideMark/>
          </w:tcPr>
          <w:p w14:paraId="08C0F423" w14:textId="7692283B" w:rsidR="000C68BE" w:rsidRPr="00B36ADE" w:rsidRDefault="000C68BE" w:rsidP="00712784">
            <w:pPr>
              <w:spacing w:after="0" w:line="240" w:lineRule="auto"/>
              <w:jc w:val="both"/>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 xml:space="preserve">Improvement of intermodal transport services for passengers and freights and development of sustainable urban transport </w:t>
            </w:r>
          </w:p>
        </w:tc>
        <w:tc>
          <w:tcPr>
            <w:tcW w:w="2841" w:type="dxa"/>
            <w:shd w:val="clear" w:color="auto" w:fill="CED7EA"/>
            <w:vAlign w:val="center"/>
            <w:hideMark/>
          </w:tcPr>
          <w:p w14:paraId="6D628F38" w14:textId="77777777" w:rsidR="000C68BE" w:rsidRPr="00B36ADE" w:rsidRDefault="000C68BE" w:rsidP="00712784">
            <w:pPr>
              <w:spacing w:after="0" w:line="240" w:lineRule="auto"/>
              <w:jc w:val="both"/>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To increase the use of the metro and the potential for the use of intermodal transport along the Orient / East-Mediterranean corridor, section Sofia-Plovdiv-Burgas</w:t>
            </w:r>
          </w:p>
        </w:tc>
        <w:tc>
          <w:tcPr>
            <w:tcW w:w="0" w:type="auto"/>
            <w:shd w:val="clear" w:color="auto" w:fill="CED7EA"/>
            <w:vAlign w:val="center"/>
            <w:hideMark/>
          </w:tcPr>
          <w:p w14:paraId="791D537F" w14:textId="5496FAEF" w:rsidR="000C68BE" w:rsidRPr="00B36ADE" w:rsidRDefault="000C68BE" w:rsidP="0085223A">
            <w:pPr>
              <w:spacing w:after="0" w:line="240" w:lineRule="auto"/>
              <w:jc w:val="both"/>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National Railway Infrastructure Company and Metropolit</w:t>
            </w:r>
            <w:r w:rsidR="0085223A" w:rsidRPr="00B36ADE">
              <w:rPr>
                <w:rFonts w:ascii="Verdana" w:eastAsia="Times New Roman" w:hAnsi="Verdana" w:cs="Times New Roman"/>
                <w:color w:val="000000"/>
                <w:sz w:val="16"/>
                <w:szCs w:val="16"/>
                <w:lang w:val="en-US"/>
              </w:rPr>
              <w:t>a</w:t>
            </w:r>
            <w:r w:rsidRPr="00B36ADE">
              <w:rPr>
                <w:rFonts w:ascii="Verdana" w:eastAsia="Times New Roman" w:hAnsi="Verdana" w:cs="Times New Roman"/>
                <w:color w:val="000000"/>
                <w:sz w:val="16"/>
                <w:szCs w:val="16"/>
                <w:lang w:val="en-US"/>
              </w:rPr>
              <w:t>n Jsc</w:t>
            </w:r>
          </w:p>
        </w:tc>
      </w:tr>
      <w:tr w:rsidR="000C68BE" w:rsidRPr="00B36ADE" w14:paraId="499A4621" w14:textId="77777777" w:rsidTr="00712784">
        <w:trPr>
          <w:trHeight w:val="1335"/>
        </w:trPr>
        <w:tc>
          <w:tcPr>
            <w:tcW w:w="2962" w:type="dxa"/>
            <w:shd w:val="clear" w:color="auto" w:fill="auto"/>
            <w:vAlign w:val="center"/>
            <w:hideMark/>
          </w:tcPr>
          <w:p w14:paraId="621D2FA5" w14:textId="601E59A4" w:rsidR="000C68BE" w:rsidRPr="00B36ADE" w:rsidRDefault="000C68BE" w:rsidP="00712784">
            <w:pPr>
              <w:spacing w:after="0" w:line="240" w:lineRule="auto"/>
              <w:jc w:val="both"/>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Innovations in management and services - establishment of modern infrastructure for traffic management and transport safety improvement</w:t>
            </w:r>
          </w:p>
        </w:tc>
        <w:tc>
          <w:tcPr>
            <w:tcW w:w="2841" w:type="dxa"/>
            <w:shd w:val="clear" w:color="auto" w:fill="auto"/>
            <w:vAlign w:val="center"/>
            <w:hideMark/>
          </w:tcPr>
          <w:p w14:paraId="14B9B039" w14:textId="77777777" w:rsidR="000C68BE" w:rsidRPr="00B36ADE" w:rsidRDefault="000C68BE" w:rsidP="00712784">
            <w:pPr>
              <w:spacing w:after="0" w:line="240" w:lineRule="auto"/>
              <w:jc w:val="both"/>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Improving transport management through the introduction of innovative systems and improving the management of the railway network.</w:t>
            </w:r>
          </w:p>
        </w:tc>
        <w:tc>
          <w:tcPr>
            <w:tcW w:w="0" w:type="auto"/>
            <w:shd w:val="clear" w:color="auto" w:fill="auto"/>
            <w:vAlign w:val="center"/>
            <w:hideMark/>
          </w:tcPr>
          <w:p w14:paraId="32AA4809" w14:textId="77777777" w:rsidR="000C68BE" w:rsidRPr="00B36ADE" w:rsidRDefault="000C68BE" w:rsidP="00712784">
            <w:pPr>
              <w:spacing w:after="0" w:line="240" w:lineRule="auto"/>
              <w:jc w:val="both"/>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Executive Agency For Exploration And Maintenance Of The Danube River, Bulgarian Ports Infrastructure Company, Executive Agency Maritime Administration, Road Infrastructure Agency and  National Railway Infrastructure Company</w:t>
            </w:r>
          </w:p>
        </w:tc>
      </w:tr>
      <w:tr w:rsidR="000C68BE" w:rsidRPr="00B36ADE" w14:paraId="2395653E" w14:textId="77777777" w:rsidTr="00712784">
        <w:trPr>
          <w:trHeight w:val="1275"/>
        </w:trPr>
        <w:tc>
          <w:tcPr>
            <w:tcW w:w="2962" w:type="dxa"/>
            <w:shd w:val="clear" w:color="auto" w:fill="CED7EA"/>
            <w:vAlign w:val="center"/>
            <w:hideMark/>
          </w:tcPr>
          <w:p w14:paraId="3E81370E" w14:textId="0761CC50" w:rsidR="000C68BE" w:rsidRPr="00B36ADE" w:rsidRDefault="000C68BE" w:rsidP="00712784">
            <w:pPr>
              <w:spacing w:after="0" w:line="240" w:lineRule="auto"/>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Technical Assistance</w:t>
            </w:r>
          </w:p>
        </w:tc>
        <w:tc>
          <w:tcPr>
            <w:tcW w:w="2841" w:type="dxa"/>
            <w:shd w:val="clear" w:color="auto" w:fill="CED7EA"/>
            <w:vAlign w:val="center"/>
            <w:hideMark/>
          </w:tcPr>
          <w:p w14:paraId="7E29F078" w14:textId="77777777" w:rsidR="000C68BE" w:rsidRPr="00B36ADE" w:rsidRDefault="000C68BE" w:rsidP="00712784">
            <w:pPr>
              <w:spacing w:after="0" w:line="240" w:lineRule="auto"/>
              <w:jc w:val="both"/>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 xml:space="preserve">Establishment of necessary conditions for successful completion of OPT 2007-2013 and implementation of OPTTI 2014-2020, strengthening the administrative capacity and public awareness of OPTTI </w:t>
            </w:r>
          </w:p>
        </w:tc>
        <w:tc>
          <w:tcPr>
            <w:tcW w:w="0" w:type="auto"/>
            <w:shd w:val="clear" w:color="auto" w:fill="CED7EA"/>
            <w:vAlign w:val="center"/>
            <w:hideMark/>
          </w:tcPr>
          <w:p w14:paraId="29FB2A60" w14:textId="77777777" w:rsidR="000C68BE" w:rsidRPr="00B36ADE" w:rsidRDefault="000C68BE" w:rsidP="00712784">
            <w:pPr>
              <w:spacing w:after="0" w:line="240" w:lineRule="auto"/>
              <w:jc w:val="both"/>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MA of OPTTI and beneficiaries of the program</w:t>
            </w:r>
          </w:p>
        </w:tc>
      </w:tr>
    </w:tbl>
    <w:p w14:paraId="43C29E3E" w14:textId="21BDA386" w:rsidR="00651083" w:rsidRPr="00B36ADE" w:rsidRDefault="000C68BE" w:rsidP="008C29E4">
      <w:pPr>
        <w:jc w:val="both"/>
        <w:rPr>
          <w:rFonts w:ascii="Verdana" w:eastAsia="Calibri" w:hAnsi="Verdana" w:cs="Helvetica"/>
          <w:i/>
          <w:sz w:val="16"/>
          <w:szCs w:val="16"/>
          <w:lang w:val="en-US"/>
        </w:rPr>
      </w:pPr>
      <w:r w:rsidRPr="00B36ADE">
        <w:rPr>
          <w:rFonts w:ascii="Verdana" w:eastAsia="Calibri" w:hAnsi="Verdana" w:cs="Helvetica"/>
          <w:i/>
          <w:sz w:val="16"/>
          <w:szCs w:val="16"/>
          <w:lang w:val="en-US"/>
        </w:rPr>
        <w:t>Source</w:t>
      </w:r>
      <w:r w:rsidR="001F7702" w:rsidRPr="00B36ADE">
        <w:rPr>
          <w:rFonts w:ascii="Verdana" w:eastAsia="Calibri" w:hAnsi="Verdana" w:cs="Helvetica"/>
          <w:i/>
          <w:sz w:val="16"/>
          <w:szCs w:val="16"/>
          <w:lang w:val="en-US"/>
        </w:rPr>
        <w:t xml:space="preserve">: </w:t>
      </w:r>
      <w:r w:rsidRPr="00B36ADE">
        <w:rPr>
          <w:rFonts w:ascii="Verdana" w:eastAsia="Calibri" w:hAnsi="Verdana" w:cs="Helvetica"/>
          <w:i/>
          <w:sz w:val="16"/>
          <w:szCs w:val="16"/>
          <w:lang w:val="en-US"/>
        </w:rPr>
        <w:t>OPTTI, all approved versions till the date of evaluation</w:t>
      </w:r>
    </w:p>
    <w:p w14:paraId="75B9CCDA" w14:textId="77777777" w:rsidR="00753AD3" w:rsidRPr="00B36ADE" w:rsidRDefault="00753AD3" w:rsidP="00753AD3">
      <w:pPr>
        <w:jc w:val="both"/>
        <w:rPr>
          <w:rFonts w:ascii="Verdana" w:eastAsia="Calibri" w:hAnsi="Verdana" w:cs="Helvetica"/>
          <w:sz w:val="20"/>
          <w:szCs w:val="20"/>
          <w:lang w:val="en-US"/>
        </w:rPr>
      </w:pPr>
      <w:r w:rsidRPr="00B36ADE">
        <w:rPr>
          <w:rFonts w:ascii="Verdana" w:eastAsia="Calibri" w:hAnsi="Verdana" w:cs="Helvetica"/>
          <w:sz w:val="20"/>
          <w:szCs w:val="20"/>
          <w:lang w:val="en-US"/>
        </w:rPr>
        <w:t>This report presents the evaluation of the progress of OPTTI 2014-2020 in implementation of contract No Д-4/06.02.2020 and in accordance with the provision of Article 56 of Regulation (EU) No 1303/2013, according to which, during the programming period, the MA carries out evaluations, including evaluations of the effectiveness, efficiency and impact of the programme on the basis of the developed evaluation plan.</w:t>
      </w:r>
    </w:p>
    <w:p w14:paraId="7ABB65B1" w14:textId="6FB4B9EC" w:rsidR="00853175" w:rsidRPr="00B36ADE" w:rsidRDefault="00853175" w:rsidP="008C29E4">
      <w:pPr>
        <w:jc w:val="both"/>
        <w:rPr>
          <w:rFonts w:ascii="Verdana" w:eastAsia="Calibri" w:hAnsi="Verdana" w:cs="Helvetica"/>
          <w:sz w:val="20"/>
          <w:szCs w:val="20"/>
          <w:lang w:val="en-US"/>
        </w:rPr>
      </w:pPr>
    </w:p>
    <w:p w14:paraId="35E1FC63" w14:textId="21F486BD" w:rsidR="00753AD3" w:rsidRPr="00B36ADE" w:rsidRDefault="00041BAD" w:rsidP="00753AD3">
      <w:pPr>
        <w:jc w:val="both"/>
        <w:rPr>
          <w:rFonts w:ascii="Verdana" w:eastAsia="Calibri" w:hAnsi="Verdana" w:cs="Helvetica"/>
          <w:sz w:val="20"/>
          <w:szCs w:val="20"/>
          <w:lang w:val="en-US"/>
        </w:rPr>
      </w:pPr>
      <w:r w:rsidRPr="00B36ADE">
        <w:rPr>
          <w:rFonts w:ascii="Verdana" w:eastAsia="Calibri" w:hAnsi="Verdana" w:cs="Helvetica"/>
          <w:sz w:val="20"/>
          <w:szCs w:val="20"/>
          <w:lang w:val="en-US"/>
        </w:rPr>
        <w:lastRenderedPageBreak/>
        <w:t xml:space="preserve">The Evaluator's </w:t>
      </w:r>
      <w:r w:rsidR="00753AD3" w:rsidRPr="00B36ADE">
        <w:rPr>
          <w:rFonts w:ascii="Verdana" w:eastAsia="Calibri" w:hAnsi="Verdana" w:cs="Helvetica"/>
          <w:sz w:val="20"/>
          <w:szCs w:val="20"/>
          <w:lang w:val="en-US"/>
        </w:rPr>
        <w:t>assessment of the programme's progress seeks changes related to the physical and financial implementation of the Programme, the results achieved, effectiveness and efficiency, the problems identified and impact factors identified.</w:t>
      </w:r>
    </w:p>
    <w:p w14:paraId="399C3A88" w14:textId="77777777" w:rsidR="00753AD3" w:rsidRPr="00B36ADE" w:rsidRDefault="00753AD3" w:rsidP="00753AD3">
      <w:pPr>
        <w:jc w:val="both"/>
        <w:rPr>
          <w:rFonts w:ascii="Verdana" w:eastAsia="Calibri" w:hAnsi="Verdana" w:cs="Helvetica"/>
          <w:sz w:val="20"/>
          <w:szCs w:val="20"/>
          <w:lang w:val="en-US"/>
        </w:rPr>
      </w:pPr>
      <w:r w:rsidRPr="00B36ADE">
        <w:rPr>
          <w:rFonts w:ascii="Verdana" w:eastAsia="Calibri" w:hAnsi="Verdana" w:cs="Helvetica"/>
          <w:sz w:val="20"/>
          <w:szCs w:val="20"/>
          <w:lang w:val="en-US"/>
        </w:rPr>
        <w:t xml:space="preserve">On the basis of the information analysed and evaluations carried out by thematic area, recommendations for improving the quality, effectiveness and coherence of programming and management, both at operational programme and strategic level, are defined. </w:t>
      </w:r>
    </w:p>
    <w:p w14:paraId="4502B69B" w14:textId="3F09B7DD" w:rsidR="00753AD3" w:rsidRPr="00B36ADE" w:rsidRDefault="00753AD3" w:rsidP="00753AD3">
      <w:pPr>
        <w:jc w:val="both"/>
        <w:rPr>
          <w:rFonts w:ascii="Verdana" w:eastAsia="Calibri" w:hAnsi="Verdana" w:cs="Helvetica"/>
          <w:sz w:val="20"/>
          <w:szCs w:val="20"/>
          <w:lang w:val="en-US"/>
        </w:rPr>
      </w:pPr>
      <w:r w:rsidRPr="00B36ADE">
        <w:rPr>
          <w:rFonts w:ascii="Verdana" w:eastAsia="Calibri" w:hAnsi="Verdana" w:cs="Helvetica"/>
          <w:sz w:val="20"/>
          <w:szCs w:val="20"/>
          <w:lang w:val="en-US"/>
        </w:rPr>
        <w:t>The evaluation thus aims to support stakeholders in their decision-making in shaping their strategies and provides an assessment of what has been achi</w:t>
      </w:r>
      <w:r w:rsidR="00041BAD" w:rsidRPr="00B36ADE">
        <w:rPr>
          <w:rFonts w:ascii="Verdana" w:eastAsia="Calibri" w:hAnsi="Verdana" w:cs="Helvetica"/>
          <w:sz w:val="20"/>
          <w:szCs w:val="20"/>
          <w:lang w:val="en-US"/>
        </w:rPr>
        <w:t>eved with the help of the ESIF.</w:t>
      </w:r>
    </w:p>
    <w:p w14:paraId="23DBFFC5" w14:textId="77777777" w:rsidR="00E456B5" w:rsidRDefault="00753AD3" w:rsidP="00853175">
      <w:pPr>
        <w:spacing w:before="120" w:line="240" w:lineRule="auto"/>
        <w:rPr>
          <w:rFonts w:ascii="Verdana" w:eastAsia="Calibri" w:hAnsi="Verdana" w:cs="Helvetica"/>
          <w:sz w:val="20"/>
          <w:szCs w:val="20"/>
          <w:lang w:val="en-US"/>
        </w:rPr>
      </w:pPr>
      <w:r w:rsidRPr="00B36ADE">
        <w:rPr>
          <w:rFonts w:ascii="Verdana" w:eastAsia="Calibri" w:hAnsi="Verdana" w:cs="Helvetica"/>
          <w:sz w:val="20"/>
          <w:szCs w:val="20"/>
          <w:lang w:val="en-US"/>
        </w:rPr>
        <w:t xml:space="preserve">An extended version of the </w:t>
      </w:r>
      <w:r w:rsidR="00041BAD" w:rsidRPr="00B36ADE">
        <w:rPr>
          <w:rFonts w:ascii="Verdana" w:eastAsia="Calibri" w:hAnsi="Verdana" w:cs="Helvetica"/>
          <w:sz w:val="20"/>
          <w:szCs w:val="20"/>
          <w:lang w:val="en-US"/>
        </w:rPr>
        <w:t>evaluation</w:t>
      </w:r>
      <w:r w:rsidRPr="00B36ADE">
        <w:rPr>
          <w:rFonts w:ascii="Verdana" w:eastAsia="Calibri" w:hAnsi="Verdana" w:cs="Helvetica"/>
          <w:sz w:val="20"/>
          <w:szCs w:val="20"/>
          <w:lang w:val="en-US"/>
        </w:rPr>
        <w:t xml:space="preserve"> is presented in Annex VII.5.</w:t>
      </w:r>
    </w:p>
    <w:p w14:paraId="04470160" w14:textId="77777777" w:rsidR="00E456B5" w:rsidRDefault="00E456B5" w:rsidP="00853175">
      <w:pPr>
        <w:spacing w:before="120" w:line="240" w:lineRule="auto"/>
        <w:rPr>
          <w:rFonts w:ascii="Verdana" w:eastAsia="Calibri" w:hAnsi="Verdana" w:cs="Helvetica"/>
          <w:sz w:val="20"/>
          <w:szCs w:val="20"/>
          <w:lang w:val="en-US"/>
        </w:rPr>
      </w:pPr>
    </w:p>
    <w:p w14:paraId="712FE9E0" w14:textId="7EADE541" w:rsidR="009F28CC" w:rsidRPr="00B36ADE" w:rsidRDefault="00F846A5" w:rsidP="00E456B5">
      <w:pPr>
        <w:pStyle w:val="Heading1"/>
        <w:spacing w:before="320" w:after="80" w:line="276" w:lineRule="auto"/>
        <w:rPr>
          <w:rFonts w:ascii="Verdana" w:hAnsi="Verdana"/>
          <w:b/>
          <w:color w:val="374E81"/>
          <w:sz w:val="22"/>
          <w:szCs w:val="22"/>
          <w:lang w:val="en-US"/>
        </w:rPr>
      </w:pPr>
      <w:bookmarkStart w:id="4" w:name="_Toc62547315"/>
      <w:bookmarkStart w:id="5" w:name="OLE_LINK1"/>
      <w:bookmarkStart w:id="6" w:name="OLE_LINK2"/>
      <w:r w:rsidRPr="00B36ADE">
        <w:rPr>
          <w:rFonts w:ascii="Verdana" w:hAnsi="Verdana"/>
          <w:b/>
          <w:color w:val="374E81"/>
          <w:sz w:val="22"/>
          <w:szCs w:val="22"/>
          <w:lang w:val="en-US"/>
        </w:rPr>
        <w:t>SUMMARY</w:t>
      </w:r>
      <w:bookmarkEnd w:id="4"/>
    </w:p>
    <w:p w14:paraId="7BDDD1ED" w14:textId="77777777" w:rsidR="009F28CC" w:rsidRPr="00B36ADE" w:rsidRDefault="009F28CC" w:rsidP="009F28CC">
      <w:pPr>
        <w:spacing w:after="120"/>
        <w:jc w:val="both"/>
        <w:rPr>
          <w:rFonts w:ascii="Verdana" w:eastAsiaTheme="majorEastAsia" w:hAnsi="Verdana" w:cstheme="majorBidi"/>
          <w:b/>
          <w:bCs/>
          <w:color w:val="374E81"/>
          <w:sz w:val="24"/>
          <w:szCs w:val="24"/>
          <w:lang w:val="en-US"/>
        </w:rPr>
      </w:pPr>
    </w:p>
    <w:bookmarkEnd w:id="5"/>
    <w:bookmarkEnd w:id="6"/>
    <w:p w14:paraId="4F970C57" w14:textId="77777777" w:rsidR="00D96045" w:rsidRPr="00B36ADE" w:rsidRDefault="00D96045" w:rsidP="00D96045">
      <w:pPr>
        <w:spacing w:after="120"/>
        <w:jc w:val="both"/>
        <w:rPr>
          <w:rFonts w:ascii="Verdana" w:eastAsiaTheme="majorEastAsia" w:hAnsi="Verdana" w:cstheme="majorBidi"/>
          <w:b/>
          <w:bCs/>
          <w:color w:val="374E81"/>
          <w:lang w:val="en-US"/>
        </w:rPr>
      </w:pPr>
      <w:r w:rsidRPr="00B36ADE">
        <w:rPr>
          <w:rFonts w:ascii="Verdana" w:eastAsiaTheme="majorEastAsia" w:hAnsi="Verdana" w:cstheme="majorBidi"/>
          <w:b/>
          <w:bCs/>
          <w:color w:val="374E81"/>
          <w:lang w:val="en-US"/>
        </w:rPr>
        <w:t>INTRODUCTION</w:t>
      </w:r>
    </w:p>
    <w:p w14:paraId="70C14702" w14:textId="0BC05262" w:rsidR="00D96045" w:rsidRPr="00B36ADE" w:rsidRDefault="00D96045" w:rsidP="00D96045">
      <w:pPr>
        <w:spacing w:after="120"/>
        <w:jc w:val="both"/>
        <w:rPr>
          <w:rFonts w:ascii="Verdana" w:hAnsi="Verdana" w:cs="Tahoma"/>
          <w:sz w:val="20"/>
          <w:szCs w:val="20"/>
          <w:lang w:val="en-US"/>
        </w:rPr>
      </w:pPr>
      <w:r w:rsidRPr="00B36ADE">
        <w:rPr>
          <w:rFonts w:ascii="Verdana" w:hAnsi="Verdana" w:cs="Tahoma"/>
          <w:b/>
          <w:sz w:val="20"/>
          <w:szCs w:val="20"/>
          <w:lang w:val="en-US"/>
        </w:rPr>
        <w:t>The present report</w:t>
      </w:r>
      <w:r w:rsidRPr="00B36ADE">
        <w:rPr>
          <w:rFonts w:ascii="Verdana" w:hAnsi="Verdana" w:cs="Tahoma"/>
          <w:sz w:val="20"/>
          <w:szCs w:val="20"/>
          <w:lang w:val="en-US"/>
        </w:rPr>
        <w:t xml:space="preserve"> is a summary of the results of the prepared evaluation of the progress of Operational Program "Transport and Transport Infrastructure" 2014-2020 (OPTTI), c</w:t>
      </w:r>
      <w:r w:rsidR="000461CA" w:rsidRPr="00B36ADE">
        <w:rPr>
          <w:rFonts w:ascii="Verdana" w:hAnsi="Verdana" w:cs="Tahoma"/>
          <w:sz w:val="20"/>
          <w:szCs w:val="20"/>
          <w:lang w:val="en-US"/>
        </w:rPr>
        <w:t>arried out under the contract "Evaluation</w:t>
      </w:r>
      <w:r w:rsidRPr="00B36ADE">
        <w:rPr>
          <w:rFonts w:ascii="Verdana" w:hAnsi="Verdana" w:cs="Tahoma"/>
          <w:sz w:val="20"/>
          <w:szCs w:val="20"/>
          <w:lang w:val="en-US"/>
        </w:rPr>
        <w:t xml:space="preserve"> of the impact and effects of the implementation of the Operational Program "Transport" </w:t>
      </w:r>
      <w:r w:rsidR="000461CA" w:rsidRPr="00B36ADE">
        <w:rPr>
          <w:rFonts w:ascii="Verdana" w:hAnsi="Verdana" w:cs="Tahoma"/>
          <w:sz w:val="20"/>
          <w:szCs w:val="20"/>
          <w:lang w:val="en-US"/>
        </w:rPr>
        <w:t>2007- 2013 and evaluation</w:t>
      </w:r>
      <w:r w:rsidRPr="00B36ADE">
        <w:rPr>
          <w:rFonts w:ascii="Verdana" w:hAnsi="Verdana" w:cs="Tahoma"/>
          <w:sz w:val="20"/>
          <w:szCs w:val="20"/>
          <w:lang w:val="en-US"/>
        </w:rPr>
        <w:t xml:space="preserve"> of the progress under Operational Program "Transport and Transport Infrastructure" 2014-2020 and contribution to the EU Strategy</w:t>
      </w:r>
      <w:r w:rsidR="0085223A" w:rsidRPr="00B36ADE">
        <w:rPr>
          <w:rFonts w:ascii="Verdana" w:hAnsi="Verdana" w:cs="Tahoma"/>
          <w:sz w:val="20"/>
          <w:szCs w:val="20"/>
          <w:lang w:val="en-US"/>
        </w:rPr>
        <w:t>”</w:t>
      </w:r>
      <w:r w:rsidRPr="00B36ADE">
        <w:rPr>
          <w:rFonts w:ascii="Verdana" w:hAnsi="Verdana" w:cs="Tahoma"/>
          <w:sz w:val="20"/>
          <w:szCs w:val="20"/>
          <w:lang w:val="en-US"/>
        </w:rPr>
        <w:t xml:space="preserve"> between the Ministry of Transport, Information Technology and Communications (MTITC) and Consortium "European </w:t>
      </w:r>
      <w:r w:rsidR="000461CA" w:rsidRPr="00B36ADE">
        <w:rPr>
          <w:rFonts w:ascii="Verdana" w:hAnsi="Verdana" w:cs="Tahoma"/>
          <w:sz w:val="20"/>
          <w:szCs w:val="20"/>
          <w:lang w:val="en-US"/>
        </w:rPr>
        <w:t>Evaluations</w:t>
      </w:r>
      <w:r w:rsidRPr="00B36ADE">
        <w:rPr>
          <w:rFonts w:ascii="Verdana" w:hAnsi="Verdana" w:cs="Tahoma"/>
          <w:sz w:val="20"/>
          <w:szCs w:val="20"/>
          <w:lang w:val="en-US"/>
        </w:rPr>
        <w:t>".</w:t>
      </w:r>
    </w:p>
    <w:p w14:paraId="41CE1D06" w14:textId="77777777" w:rsidR="00D96045" w:rsidRPr="00B36ADE" w:rsidRDefault="00D96045" w:rsidP="00D96045">
      <w:pPr>
        <w:spacing w:after="120"/>
        <w:jc w:val="both"/>
        <w:rPr>
          <w:rFonts w:ascii="Verdana" w:hAnsi="Verdana" w:cs="Tahoma"/>
          <w:sz w:val="20"/>
          <w:szCs w:val="20"/>
          <w:lang w:val="en-US"/>
        </w:rPr>
      </w:pPr>
      <w:r w:rsidRPr="00B36ADE">
        <w:rPr>
          <w:rFonts w:ascii="Verdana" w:hAnsi="Verdana" w:cs="Tahoma"/>
          <w:b/>
          <w:sz w:val="20"/>
          <w:szCs w:val="20"/>
          <w:lang w:val="en-US"/>
        </w:rPr>
        <w:t>The scope</w:t>
      </w:r>
      <w:r w:rsidRPr="00B36ADE">
        <w:rPr>
          <w:rFonts w:ascii="Verdana" w:hAnsi="Verdana" w:cs="Tahoma"/>
          <w:sz w:val="20"/>
          <w:szCs w:val="20"/>
          <w:lang w:val="en-US"/>
        </w:rPr>
        <w:t xml:space="preserve"> of the evaluation includes the following evaluation questions (EQ):</w:t>
      </w:r>
    </w:p>
    <w:p w14:paraId="1B3C4E6B" w14:textId="77777777" w:rsidR="00D96045" w:rsidRPr="00B36ADE" w:rsidRDefault="00D96045" w:rsidP="00D96045">
      <w:pPr>
        <w:spacing w:after="120"/>
        <w:jc w:val="both"/>
        <w:rPr>
          <w:rFonts w:ascii="Verdana" w:hAnsi="Verdana" w:cs="Tahoma"/>
          <w:sz w:val="20"/>
          <w:szCs w:val="20"/>
          <w:lang w:val="en-US"/>
        </w:rPr>
      </w:pPr>
      <w:r w:rsidRPr="00B36ADE">
        <w:rPr>
          <w:rFonts w:ascii="Verdana" w:hAnsi="Verdana" w:cs="Tahoma"/>
          <w:sz w:val="20"/>
          <w:szCs w:val="20"/>
          <w:lang w:val="en-US"/>
        </w:rPr>
        <w:t>1. At what stage is the financial implementation regarding the objectives at the level of OP and priority axes? Is there a significant delay in the process of funds absorption?</w:t>
      </w:r>
    </w:p>
    <w:p w14:paraId="73990D2D" w14:textId="77777777" w:rsidR="00D96045" w:rsidRPr="00B36ADE" w:rsidRDefault="00D96045" w:rsidP="00D96045">
      <w:pPr>
        <w:spacing w:after="120"/>
        <w:jc w:val="both"/>
        <w:rPr>
          <w:rFonts w:ascii="Verdana" w:hAnsi="Verdana" w:cs="Tahoma"/>
          <w:sz w:val="20"/>
          <w:szCs w:val="20"/>
          <w:lang w:val="en-US"/>
        </w:rPr>
      </w:pPr>
      <w:r w:rsidRPr="00B36ADE">
        <w:rPr>
          <w:rFonts w:ascii="Verdana" w:hAnsi="Verdana" w:cs="Tahoma"/>
          <w:sz w:val="20"/>
          <w:szCs w:val="20"/>
          <w:lang w:val="en-US"/>
        </w:rPr>
        <w:t>2. What obstacles and problems in the absorption of funds are identified?</w:t>
      </w:r>
    </w:p>
    <w:p w14:paraId="519B5AED" w14:textId="71FB6A3F" w:rsidR="00D96045" w:rsidRPr="00B36ADE" w:rsidRDefault="00D96045" w:rsidP="00D96045">
      <w:pPr>
        <w:spacing w:after="120"/>
        <w:jc w:val="both"/>
        <w:rPr>
          <w:rFonts w:ascii="Verdana" w:hAnsi="Verdana" w:cs="Tahoma"/>
          <w:sz w:val="20"/>
          <w:szCs w:val="20"/>
          <w:lang w:val="en-US"/>
        </w:rPr>
      </w:pPr>
      <w:r w:rsidRPr="00B36ADE">
        <w:rPr>
          <w:rFonts w:ascii="Verdana" w:hAnsi="Verdana" w:cs="Tahoma"/>
          <w:sz w:val="20"/>
          <w:szCs w:val="20"/>
          <w:lang w:val="en-US"/>
        </w:rPr>
        <w:t xml:space="preserve">3. What is the degree of physical progress in relation to the </w:t>
      </w:r>
      <w:r w:rsidR="002F4577" w:rsidRPr="00B36ADE">
        <w:rPr>
          <w:rFonts w:ascii="Verdana" w:hAnsi="Verdana" w:cs="Tahoma"/>
          <w:sz w:val="20"/>
          <w:szCs w:val="20"/>
          <w:lang w:val="en-US"/>
        </w:rPr>
        <w:t>output</w:t>
      </w:r>
      <w:r w:rsidRPr="00B36ADE">
        <w:rPr>
          <w:rFonts w:ascii="Verdana" w:hAnsi="Verdana" w:cs="Tahoma"/>
          <w:sz w:val="20"/>
          <w:szCs w:val="20"/>
          <w:lang w:val="en-US"/>
        </w:rPr>
        <w:t xml:space="preserve"> and result indicators at the level of priority axes?</w:t>
      </w:r>
    </w:p>
    <w:p w14:paraId="4FFC1F5F" w14:textId="58CAA502" w:rsidR="00D96045" w:rsidRPr="00B36ADE" w:rsidRDefault="00D96045" w:rsidP="00D96045">
      <w:pPr>
        <w:spacing w:after="120"/>
        <w:jc w:val="both"/>
        <w:rPr>
          <w:rFonts w:ascii="Verdana" w:hAnsi="Verdana" w:cs="Tahoma"/>
          <w:sz w:val="20"/>
          <w:szCs w:val="20"/>
          <w:lang w:val="en-US"/>
        </w:rPr>
      </w:pPr>
      <w:r w:rsidRPr="00B36ADE">
        <w:rPr>
          <w:rFonts w:ascii="Verdana" w:hAnsi="Verdana" w:cs="Tahoma"/>
          <w:sz w:val="20"/>
          <w:szCs w:val="20"/>
          <w:lang w:val="en-US"/>
        </w:rPr>
        <w:t>4. Wh</w:t>
      </w:r>
      <w:r w:rsidR="00202216">
        <w:rPr>
          <w:rFonts w:ascii="Verdana" w:hAnsi="Verdana" w:cs="Tahoma"/>
          <w:sz w:val="20"/>
          <w:szCs w:val="20"/>
          <w:lang w:val="en-US"/>
        </w:rPr>
        <w:t>at</w:t>
      </w:r>
      <w:r w:rsidRPr="00B36ADE">
        <w:rPr>
          <w:rFonts w:ascii="Verdana" w:hAnsi="Verdana" w:cs="Tahoma"/>
          <w:sz w:val="20"/>
          <w:szCs w:val="20"/>
          <w:lang w:val="en-US"/>
        </w:rPr>
        <w:t xml:space="preserve"> are the factors that influence </w:t>
      </w:r>
      <w:r w:rsidR="008B4263">
        <w:rPr>
          <w:rFonts w:ascii="Verdana" w:hAnsi="Verdana" w:cs="Tahoma"/>
          <w:sz w:val="20"/>
          <w:szCs w:val="20"/>
          <w:lang w:val="en-US"/>
        </w:rPr>
        <w:t xml:space="preserve">the </w:t>
      </w:r>
      <w:r w:rsidRPr="00B36ADE">
        <w:rPr>
          <w:rFonts w:ascii="Verdana" w:hAnsi="Verdana" w:cs="Tahoma"/>
          <w:sz w:val="20"/>
          <w:szCs w:val="20"/>
          <w:lang w:val="en-US"/>
        </w:rPr>
        <w:t>progress?</w:t>
      </w:r>
    </w:p>
    <w:p w14:paraId="164C6139" w14:textId="1FB09BD0" w:rsidR="00D96045" w:rsidRPr="00B36ADE" w:rsidRDefault="00D96045" w:rsidP="00D96045">
      <w:pPr>
        <w:spacing w:after="120"/>
        <w:jc w:val="both"/>
        <w:rPr>
          <w:rFonts w:ascii="Verdana" w:hAnsi="Verdana" w:cs="Tahoma"/>
          <w:sz w:val="20"/>
          <w:szCs w:val="20"/>
          <w:lang w:val="en-US"/>
        </w:rPr>
      </w:pPr>
      <w:r w:rsidRPr="00B36ADE">
        <w:rPr>
          <w:rFonts w:ascii="Verdana" w:hAnsi="Verdana" w:cs="Tahoma"/>
          <w:sz w:val="20"/>
          <w:szCs w:val="20"/>
          <w:lang w:val="en-US"/>
        </w:rPr>
        <w:t xml:space="preserve">5. What is the progress in achieving milestones for 2018 in terms of </w:t>
      </w:r>
      <w:r w:rsidR="0027752F" w:rsidRPr="00B36ADE">
        <w:rPr>
          <w:rFonts w:ascii="Verdana" w:hAnsi="Verdana" w:cs="Tahoma"/>
          <w:sz w:val="20"/>
          <w:szCs w:val="20"/>
          <w:lang w:val="en-US"/>
        </w:rPr>
        <w:t>output</w:t>
      </w:r>
      <w:r w:rsidRPr="00B36ADE">
        <w:rPr>
          <w:rFonts w:ascii="Verdana" w:hAnsi="Verdana" w:cs="Tahoma"/>
          <w:sz w:val="20"/>
          <w:szCs w:val="20"/>
          <w:lang w:val="en-US"/>
        </w:rPr>
        <w:t xml:space="preserve"> indicators in the </w:t>
      </w:r>
      <w:r w:rsidR="0027752F" w:rsidRPr="00B36ADE">
        <w:rPr>
          <w:rFonts w:ascii="Verdana" w:hAnsi="Verdana" w:cs="Tahoma"/>
          <w:sz w:val="20"/>
          <w:szCs w:val="20"/>
          <w:lang w:val="en-US"/>
        </w:rPr>
        <w:t xml:space="preserve">Performance </w:t>
      </w:r>
      <w:r w:rsidRPr="00B36ADE">
        <w:rPr>
          <w:rFonts w:ascii="Verdana" w:hAnsi="Verdana" w:cs="Tahoma"/>
          <w:sz w:val="20"/>
          <w:szCs w:val="20"/>
          <w:lang w:val="en-US"/>
        </w:rPr>
        <w:t>framework?</w:t>
      </w:r>
    </w:p>
    <w:p w14:paraId="0B3A75CB" w14:textId="375CEBD8" w:rsidR="00D96045" w:rsidRPr="00B36ADE" w:rsidRDefault="00D96045" w:rsidP="00D96045">
      <w:pPr>
        <w:spacing w:after="120"/>
        <w:jc w:val="both"/>
        <w:rPr>
          <w:rFonts w:ascii="Verdana" w:hAnsi="Verdana" w:cs="Tahoma"/>
          <w:sz w:val="20"/>
          <w:szCs w:val="20"/>
          <w:lang w:val="en-US"/>
        </w:rPr>
      </w:pPr>
      <w:r w:rsidRPr="00B36ADE">
        <w:rPr>
          <w:rFonts w:ascii="Verdana" w:hAnsi="Verdana" w:cs="Tahoma"/>
          <w:sz w:val="20"/>
          <w:szCs w:val="20"/>
          <w:lang w:val="en-US"/>
        </w:rPr>
        <w:t>6. What is the fo</w:t>
      </w:r>
      <w:r w:rsidR="00FB500A">
        <w:rPr>
          <w:rFonts w:ascii="Verdana" w:hAnsi="Verdana" w:cs="Tahoma"/>
          <w:sz w:val="20"/>
          <w:szCs w:val="20"/>
          <w:lang w:val="en-US"/>
        </w:rPr>
        <w:t>recast for achieving the final targets</w:t>
      </w:r>
      <w:r w:rsidRPr="00B36ADE">
        <w:rPr>
          <w:rFonts w:ascii="Verdana" w:hAnsi="Verdana" w:cs="Tahoma"/>
          <w:sz w:val="20"/>
          <w:szCs w:val="20"/>
          <w:lang w:val="en-US"/>
        </w:rPr>
        <w:t xml:space="preserve"> set in the </w:t>
      </w:r>
      <w:r w:rsidR="00C201C5" w:rsidRPr="00B36ADE">
        <w:rPr>
          <w:rFonts w:ascii="Verdana" w:hAnsi="Verdana" w:cs="Tahoma"/>
          <w:sz w:val="20"/>
          <w:szCs w:val="20"/>
          <w:lang w:val="en-US"/>
        </w:rPr>
        <w:t>Performance</w:t>
      </w:r>
      <w:r w:rsidRPr="00B36ADE">
        <w:rPr>
          <w:rFonts w:ascii="Verdana" w:hAnsi="Verdana" w:cs="Tahoma"/>
          <w:sz w:val="20"/>
          <w:szCs w:val="20"/>
          <w:lang w:val="en-US"/>
        </w:rPr>
        <w:t xml:space="preserve"> framework by the end of 2023?</w:t>
      </w:r>
    </w:p>
    <w:p w14:paraId="5CC5950E" w14:textId="77777777" w:rsidR="00D96045" w:rsidRPr="00B36ADE" w:rsidRDefault="00D96045" w:rsidP="00D96045">
      <w:pPr>
        <w:spacing w:after="120"/>
        <w:jc w:val="both"/>
        <w:rPr>
          <w:rFonts w:ascii="Verdana" w:hAnsi="Verdana" w:cs="Tahoma"/>
          <w:sz w:val="20"/>
          <w:szCs w:val="20"/>
          <w:lang w:val="en-US"/>
        </w:rPr>
      </w:pPr>
      <w:r w:rsidRPr="00B36ADE">
        <w:rPr>
          <w:rFonts w:ascii="Verdana" w:hAnsi="Verdana" w:cs="Tahoma"/>
          <w:sz w:val="20"/>
          <w:szCs w:val="20"/>
          <w:lang w:val="en-US"/>
        </w:rPr>
        <w:t>7. What is the contribution of OPTTI to the EU Strategy for Smart, Sustainable and Inclusive Growth?</w:t>
      </w:r>
    </w:p>
    <w:p w14:paraId="22F42FA7" w14:textId="7D95ADF2" w:rsidR="00D96045" w:rsidRPr="00B36ADE" w:rsidRDefault="00D96045" w:rsidP="00D96045">
      <w:pPr>
        <w:spacing w:after="120"/>
        <w:jc w:val="both"/>
        <w:rPr>
          <w:rFonts w:ascii="Verdana" w:hAnsi="Verdana" w:cs="Tahoma"/>
          <w:sz w:val="20"/>
          <w:szCs w:val="20"/>
          <w:lang w:val="en-US"/>
        </w:rPr>
      </w:pPr>
      <w:r w:rsidRPr="00B36ADE">
        <w:rPr>
          <w:rFonts w:ascii="Verdana" w:hAnsi="Verdana" w:cs="Tahoma"/>
          <w:sz w:val="20"/>
          <w:szCs w:val="20"/>
          <w:lang w:val="en-US"/>
        </w:rPr>
        <w:t>8. What is the contribution of the program to the national strateg</w:t>
      </w:r>
      <w:r w:rsidR="00E4596C" w:rsidRPr="00B36ADE">
        <w:rPr>
          <w:rFonts w:ascii="Verdana" w:hAnsi="Verdana" w:cs="Tahoma"/>
          <w:sz w:val="20"/>
          <w:szCs w:val="20"/>
          <w:lang w:val="en-US"/>
        </w:rPr>
        <w:t>ic documents</w:t>
      </w:r>
      <w:r w:rsidRPr="00B36ADE">
        <w:rPr>
          <w:rFonts w:ascii="Verdana" w:hAnsi="Verdana" w:cs="Tahoma"/>
          <w:sz w:val="20"/>
          <w:szCs w:val="20"/>
          <w:lang w:val="en-US"/>
        </w:rPr>
        <w:t>?</w:t>
      </w:r>
    </w:p>
    <w:p w14:paraId="0CD4CCEC" w14:textId="77777777" w:rsidR="00D96045" w:rsidRPr="00B36ADE" w:rsidRDefault="00D96045" w:rsidP="00D96045">
      <w:pPr>
        <w:spacing w:after="120"/>
        <w:jc w:val="both"/>
        <w:rPr>
          <w:rFonts w:ascii="Verdana" w:eastAsiaTheme="majorEastAsia" w:hAnsi="Verdana" w:cstheme="majorBidi"/>
          <w:b/>
          <w:bCs/>
          <w:color w:val="374E81"/>
          <w:sz w:val="24"/>
          <w:szCs w:val="24"/>
          <w:lang w:val="en-US"/>
        </w:rPr>
      </w:pPr>
    </w:p>
    <w:p w14:paraId="5AC63680" w14:textId="5555188D" w:rsidR="00D96045" w:rsidRPr="00B36ADE" w:rsidRDefault="00D96045" w:rsidP="00D96045">
      <w:pPr>
        <w:spacing w:after="120"/>
        <w:jc w:val="both"/>
        <w:rPr>
          <w:rFonts w:ascii="Verdana" w:eastAsiaTheme="majorEastAsia" w:hAnsi="Verdana" w:cstheme="majorBidi"/>
          <w:b/>
          <w:bCs/>
          <w:color w:val="374E81"/>
          <w:lang w:val="en-US"/>
        </w:rPr>
      </w:pPr>
      <w:r w:rsidRPr="00B36ADE">
        <w:rPr>
          <w:rFonts w:ascii="Verdana" w:eastAsiaTheme="majorEastAsia" w:hAnsi="Verdana" w:cstheme="majorBidi"/>
          <w:b/>
          <w:bCs/>
          <w:color w:val="374E81"/>
          <w:lang w:val="en-US"/>
        </w:rPr>
        <w:t>OPERATIONAL PROGRAM</w:t>
      </w:r>
      <w:r w:rsidR="006E2CF5" w:rsidRPr="00B36ADE">
        <w:rPr>
          <w:rFonts w:ascii="Verdana" w:eastAsiaTheme="majorEastAsia" w:hAnsi="Verdana" w:cstheme="majorBidi"/>
          <w:b/>
          <w:bCs/>
          <w:color w:val="374E81"/>
          <w:lang w:val="en-US"/>
        </w:rPr>
        <w:t>ME</w:t>
      </w:r>
      <w:r w:rsidRPr="00B36ADE">
        <w:rPr>
          <w:rFonts w:ascii="Verdana" w:eastAsiaTheme="majorEastAsia" w:hAnsi="Verdana" w:cstheme="majorBidi"/>
          <w:b/>
          <w:bCs/>
          <w:color w:val="374E81"/>
          <w:lang w:val="en-US"/>
        </w:rPr>
        <w:t xml:space="preserve"> “TRANSPORT AND TRANSPORT INFRASTRUCTURE” 2014-2020</w:t>
      </w:r>
    </w:p>
    <w:p w14:paraId="0125B242" w14:textId="148A64AB" w:rsidR="00D96045" w:rsidRPr="00B36ADE" w:rsidRDefault="00D96045" w:rsidP="00D96045">
      <w:pPr>
        <w:jc w:val="both"/>
        <w:rPr>
          <w:rFonts w:ascii="Verdana" w:hAnsi="Verdana" w:cs="Tahoma"/>
          <w:sz w:val="20"/>
          <w:szCs w:val="20"/>
          <w:lang w:val="en-US"/>
        </w:rPr>
      </w:pPr>
      <w:r w:rsidRPr="00B36ADE">
        <w:rPr>
          <w:rFonts w:ascii="Verdana" w:hAnsi="Verdana" w:cs="Tahoma"/>
          <w:sz w:val="20"/>
          <w:szCs w:val="20"/>
          <w:lang w:val="en-US"/>
        </w:rPr>
        <w:t>Operational Program</w:t>
      </w:r>
      <w:r w:rsidR="006E2CF5" w:rsidRPr="00B36ADE">
        <w:rPr>
          <w:rFonts w:ascii="Verdana" w:hAnsi="Verdana" w:cs="Tahoma"/>
          <w:sz w:val="20"/>
          <w:szCs w:val="20"/>
          <w:lang w:val="en-US"/>
        </w:rPr>
        <w:t>me</w:t>
      </w:r>
      <w:r w:rsidRPr="00B36ADE">
        <w:rPr>
          <w:rFonts w:ascii="Verdana" w:hAnsi="Verdana" w:cs="Tahoma"/>
          <w:sz w:val="20"/>
          <w:szCs w:val="20"/>
          <w:lang w:val="en-US"/>
        </w:rPr>
        <w:t xml:space="preserve"> "Transport and Transport Infrastructure" 2014-2020 (OPTTI) is the successor of the Operational Program</w:t>
      </w:r>
      <w:r w:rsidR="006E2CF5" w:rsidRPr="00B36ADE">
        <w:rPr>
          <w:rFonts w:ascii="Verdana" w:hAnsi="Verdana" w:cs="Tahoma"/>
          <w:sz w:val="20"/>
          <w:szCs w:val="20"/>
          <w:lang w:val="en-US"/>
        </w:rPr>
        <w:t>me</w:t>
      </w:r>
      <w:r w:rsidRPr="00B36ADE">
        <w:rPr>
          <w:rFonts w:ascii="Verdana" w:hAnsi="Verdana" w:cs="Tahoma"/>
          <w:sz w:val="20"/>
          <w:szCs w:val="20"/>
          <w:lang w:val="en-US"/>
        </w:rPr>
        <w:t xml:space="preserve"> "Transport" 2007-</w:t>
      </w:r>
      <w:r w:rsidR="006E2CF5" w:rsidRPr="00B36ADE">
        <w:rPr>
          <w:rFonts w:ascii="Verdana" w:hAnsi="Verdana" w:cs="Tahoma"/>
          <w:sz w:val="20"/>
          <w:szCs w:val="20"/>
          <w:lang w:val="en-US"/>
        </w:rPr>
        <w:t xml:space="preserve">2013. The budget of the </w:t>
      </w:r>
      <w:r w:rsidR="006E2CF5" w:rsidRPr="00B36ADE">
        <w:rPr>
          <w:rFonts w:ascii="Verdana" w:hAnsi="Verdana" w:cs="Tahoma"/>
          <w:sz w:val="20"/>
          <w:szCs w:val="20"/>
          <w:lang w:val="en-US"/>
        </w:rPr>
        <w:lastRenderedPageBreak/>
        <w:t xml:space="preserve">programme </w:t>
      </w:r>
      <w:r w:rsidRPr="00B36ADE">
        <w:rPr>
          <w:rFonts w:ascii="Verdana" w:hAnsi="Verdana" w:cs="Tahoma"/>
          <w:sz w:val="20"/>
          <w:szCs w:val="20"/>
          <w:lang w:val="en-US"/>
        </w:rPr>
        <w:t>is the largest among all eight operational program</w:t>
      </w:r>
      <w:r w:rsidR="006E2CF5" w:rsidRPr="00B36ADE">
        <w:rPr>
          <w:rFonts w:ascii="Verdana" w:hAnsi="Verdana" w:cs="Tahoma"/>
          <w:sz w:val="20"/>
          <w:szCs w:val="20"/>
          <w:lang w:val="en-US"/>
        </w:rPr>
        <w:t>me</w:t>
      </w:r>
      <w:r w:rsidRPr="00B36ADE">
        <w:rPr>
          <w:rFonts w:ascii="Verdana" w:hAnsi="Verdana" w:cs="Tahoma"/>
          <w:sz w:val="20"/>
          <w:szCs w:val="20"/>
          <w:lang w:val="en-US"/>
        </w:rPr>
        <w:t>s of the Republic of Bulgaria during the second programming period for the country and amounts to BGN 3,691,799,790.72 (15% of all European funds available in the country).</w:t>
      </w:r>
    </w:p>
    <w:p w14:paraId="1E3434B8" w14:textId="77777777" w:rsidR="00D96045" w:rsidRPr="00B36ADE" w:rsidRDefault="00D96045" w:rsidP="00D96045">
      <w:pPr>
        <w:jc w:val="both"/>
        <w:rPr>
          <w:rFonts w:ascii="Verdana" w:hAnsi="Verdana" w:cs="Tahoma"/>
          <w:sz w:val="20"/>
          <w:szCs w:val="20"/>
          <w:lang w:val="en-US"/>
        </w:rPr>
      </w:pPr>
      <w:r w:rsidRPr="00B36ADE">
        <w:rPr>
          <w:rFonts w:ascii="Verdana" w:hAnsi="Verdana" w:cs="Tahoma"/>
          <w:noProof/>
          <w:sz w:val="20"/>
          <w:szCs w:val="20"/>
          <w:lang w:eastAsia="bg-BG"/>
        </w:rPr>
        <w:drawing>
          <wp:inline distT="0" distB="0" distL="0" distR="0" wp14:anchorId="5B3EFAE1" wp14:editId="1A2B81C2">
            <wp:extent cx="5760720" cy="3908206"/>
            <wp:effectExtent l="0" t="0" r="0" b="0"/>
            <wp:docPr id="2" name="Picture 2" descr="\\srvdesktop\desktop\savcheva\Desktop\Final_pic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vdesktop\desktop\savcheva\Desktop\Final_pic_e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908206"/>
                    </a:xfrm>
                    <a:prstGeom prst="rect">
                      <a:avLst/>
                    </a:prstGeom>
                    <a:noFill/>
                    <a:ln>
                      <a:noFill/>
                    </a:ln>
                  </pic:spPr>
                </pic:pic>
              </a:graphicData>
            </a:graphic>
          </wp:inline>
        </w:drawing>
      </w:r>
    </w:p>
    <w:p w14:paraId="53D726CC" w14:textId="77777777" w:rsidR="00D96045" w:rsidRPr="00B36ADE" w:rsidRDefault="00D96045" w:rsidP="00D96045">
      <w:pPr>
        <w:jc w:val="both"/>
        <w:rPr>
          <w:rFonts w:ascii="Verdana" w:hAnsi="Verdana" w:cs="Tahoma"/>
          <w:sz w:val="20"/>
          <w:szCs w:val="20"/>
          <w:lang w:val="en-US"/>
        </w:rPr>
      </w:pPr>
    </w:p>
    <w:p w14:paraId="7FF84F0A" w14:textId="11208748" w:rsidR="00D96045" w:rsidRPr="00B36ADE" w:rsidRDefault="00D96045" w:rsidP="00D96045">
      <w:pPr>
        <w:jc w:val="both"/>
        <w:rPr>
          <w:rFonts w:ascii="Verdana" w:eastAsia="Calibri" w:hAnsi="Verdana" w:cs="Helvetica"/>
          <w:sz w:val="20"/>
          <w:szCs w:val="20"/>
          <w:lang w:val="en-US"/>
        </w:rPr>
      </w:pPr>
      <w:r w:rsidRPr="00B36ADE">
        <w:rPr>
          <w:rFonts w:ascii="Verdana" w:eastAsia="Calibri" w:hAnsi="Verdana" w:cs="Helvetica"/>
          <w:sz w:val="20"/>
          <w:szCs w:val="20"/>
          <w:lang w:val="en-US"/>
        </w:rPr>
        <w:t>The program</w:t>
      </w:r>
      <w:r w:rsidR="006E2CF5" w:rsidRPr="00B36ADE">
        <w:rPr>
          <w:rFonts w:ascii="Verdana" w:eastAsia="Calibri" w:hAnsi="Verdana" w:cs="Helvetica"/>
          <w:sz w:val="20"/>
          <w:szCs w:val="20"/>
          <w:lang w:val="en-US"/>
        </w:rPr>
        <w:t>me</w:t>
      </w:r>
      <w:r w:rsidRPr="00B36ADE">
        <w:rPr>
          <w:rFonts w:ascii="Verdana" w:eastAsia="Calibri" w:hAnsi="Verdana" w:cs="Helvetica"/>
          <w:sz w:val="20"/>
          <w:szCs w:val="20"/>
          <w:lang w:val="en-US"/>
        </w:rPr>
        <w:t xml:space="preserve"> focuses on several strategic priorities for balanced economic growth and envisages the modernization and completion of areas in the transport sector that are at an advanced stage of implementation. A logical addition to these priorities are the planned investments in the implementation of intelligent traffic management systems, improving transport safety and security. Continuing the practice adopted during the previous programming period, the beneficiaries of the program</w:t>
      </w:r>
      <w:r w:rsidR="006E2CF5" w:rsidRPr="00B36ADE">
        <w:rPr>
          <w:rFonts w:ascii="Verdana" w:eastAsia="Calibri" w:hAnsi="Verdana" w:cs="Helvetica"/>
          <w:sz w:val="20"/>
          <w:szCs w:val="20"/>
          <w:lang w:val="en-US"/>
        </w:rPr>
        <w:t>me</w:t>
      </w:r>
      <w:r w:rsidRPr="00B36ADE">
        <w:rPr>
          <w:rFonts w:ascii="Verdana" w:eastAsia="Calibri" w:hAnsi="Verdana" w:cs="Helvetica"/>
          <w:sz w:val="20"/>
          <w:szCs w:val="20"/>
          <w:lang w:val="en-US"/>
        </w:rPr>
        <w:t xml:space="preserve"> are pre-determined and the indicative list of infrastructure projects is pre-prioritized.</w:t>
      </w:r>
    </w:p>
    <w:p w14:paraId="73FD1C94" w14:textId="77777777" w:rsidR="00D96045" w:rsidRPr="00B36ADE" w:rsidRDefault="00D96045" w:rsidP="00D96045">
      <w:pPr>
        <w:jc w:val="both"/>
        <w:rPr>
          <w:rFonts w:ascii="Verdana" w:eastAsia="Calibri" w:hAnsi="Verdana" w:cs="Helvetica"/>
          <w:sz w:val="20"/>
          <w:szCs w:val="20"/>
          <w:lang w:val="en-US"/>
        </w:rPr>
      </w:pPr>
      <w:r w:rsidRPr="00B36ADE">
        <w:rPr>
          <w:rFonts w:ascii="Verdana" w:eastAsia="Calibri" w:hAnsi="Verdana" w:cs="Helvetica"/>
          <w:sz w:val="20"/>
          <w:szCs w:val="20"/>
          <w:lang w:val="en-US"/>
        </w:rPr>
        <w:t>The priority axes of OPTTI are as follows:</w:t>
      </w:r>
    </w:p>
    <w:tbl>
      <w:tblPr>
        <w:tblW w:w="0" w:type="auto"/>
        <w:tblBorders>
          <w:top w:val="double" w:sz="4" w:space="0" w:color="6A84BE"/>
          <w:left w:val="double" w:sz="4" w:space="0" w:color="6A84BE"/>
          <w:bottom w:val="double" w:sz="4" w:space="0" w:color="6A84BE"/>
          <w:right w:val="double" w:sz="4" w:space="0" w:color="6A84BE"/>
          <w:insideH w:val="single" w:sz="6" w:space="0" w:color="6A84BE"/>
          <w:insideV w:val="single" w:sz="6" w:space="0" w:color="6A84BE"/>
        </w:tblBorders>
        <w:tblLook w:val="04A0" w:firstRow="1" w:lastRow="0" w:firstColumn="1" w:lastColumn="0" w:noHBand="0" w:noVBand="1"/>
      </w:tblPr>
      <w:tblGrid>
        <w:gridCol w:w="2962"/>
        <w:gridCol w:w="2841"/>
        <w:gridCol w:w="3239"/>
      </w:tblGrid>
      <w:tr w:rsidR="00D96045" w:rsidRPr="00B36ADE" w14:paraId="4B84171D" w14:textId="77777777" w:rsidTr="00712784">
        <w:trPr>
          <w:trHeight w:val="255"/>
        </w:trPr>
        <w:tc>
          <w:tcPr>
            <w:tcW w:w="2962" w:type="dxa"/>
            <w:shd w:val="clear" w:color="auto" w:fill="374E81"/>
            <w:vAlign w:val="center"/>
            <w:hideMark/>
          </w:tcPr>
          <w:p w14:paraId="503E53F9" w14:textId="77777777" w:rsidR="00D96045" w:rsidRPr="00B36ADE" w:rsidRDefault="00D96045" w:rsidP="00712784">
            <w:pPr>
              <w:spacing w:after="0" w:line="240" w:lineRule="auto"/>
              <w:jc w:val="center"/>
              <w:rPr>
                <w:rFonts w:ascii="Verdana" w:eastAsia="Times New Roman" w:hAnsi="Verdana" w:cs="Times New Roman"/>
                <w:b/>
                <w:smallCaps/>
                <w:color w:val="FFFFFF" w:themeColor="background1"/>
                <w:sz w:val="16"/>
                <w:szCs w:val="16"/>
                <w:lang w:val="en-US"/>
              </w:rPr>
            </w:pPr>
            <w:r w:rsidRPr="00B36ADE">
              <w:rPr>
                <w:rFonts w:ascii="Verdana" w:eastAsia="Times New Roman" w:hAnsi="Verdana" w:cs="Times New Roman"/>
                <w:b/>
                <w:smallCaps/>
                <w:color w:val="FFFFFF" w:themeColor="background1"/>
                <w:sz w:val="16"/>
                <w:szCs w:val="16"/>
                <w:lang w:val="en-US"/>
              </w:rPr>
              <w:t>Priority Axis</w:t>
            </w:r>
          </w:p>
        </w:tc>
        <w:tc>
          <w:tcPr>
            <w:tcW w:w="2841" w:type="dxa"/>
            <w:shd w:val="clear" w:color="auto" w:fill="374E81"/>
            <w:vAlign w:val="center"/>
            <w:hideMark/>
          </w:tcPr>
          <w:p w14:paraId="02285B31" w14:textId="77777777" w:rsidR="00D96045" w:rsidRPr="00B36ADE" w:rsidRDefault="00D96045" w:rsidP="00712784">
            <w:pPr>
              <w:spacing w:after="0" w:line="240" w:lineRule="auto"/>
              <w:jc w:val="center"/>
              <w:rPr>
                <w:rFonts w:ascii="Verdana" w:eastAsia="Times New Roman" w:hAnsi="Verdana" w:cs="Times New Roman"/>
                <w:b/>
                <w:smallCaps/>
                <w:color w:val="FFFFFF" w:themeColor="background1"/>
                <w:sz w:val="16"/>
                <w:szCs w:val="16"/>
                <w:lang w:val="en-US"/>
              </w:rPr>
            </w:pPr>
            <w:r w:rsidRPr="00B36ADE">
              <w:rPr>
                <w:rFonts w:ascii="Verdana" w:eastAsia="Times New Roman" w:hAnsi="Verdana" w:cs="Times New Roman"/>
                <w:b/>
                <w:smallCaps/>
                <w:color w:val="FFFFFF" w:themeColor="background1"/>
                <w:sz w:val="16"/>
                <w:szCs w:val="16"/>
                <w:lang w:val="en-US"/>
              </w:rPr>
              <w:t>Objective</w:t>
            </w:r>
          </w:p>
        </w:tc>
        <w:tc>
          <w:tcPr>
            <w:tcW w:w="0" w:type="auto"/>
            <w:shd w:val="clear" w:color="auto" w:fill="374E81"/>
            <w:vAlign w:val="center"/>
            <w:hideMark/>
          </w:tcPr>
          <w:p w14:paraId="613F1135" w14:textId="77777777" w:rsidR="00D96045" w:rsidRPr="00B36ADE" w:rsidRDefault="00D96045" w:rsidP="00712784">
            <w:pPr>
              <w:spacing w:after="0" w:line="240" w:lineRule="auto"/>
              <w:jc w:val="center"/>
              <w:rPr>
                <w:rFonts w:ascii="Verdana" w:eastAsia="Times New Roman" w:hAnsi="Verdana" w:cs="Times New Roman"/>
                <w:b/>
                <w:smallCaps/>
                <w:color w:val="FFFFFF" w:themeColor="background1"/>
                <w:sz w:val="16"/>
                <w:szCs w:val="16"/>
                <w:lang w:val="en-US"/>
              </w:rPr>
            </w:pPr>
            <w:r w:rsidRPr="00B36ADE">
              <w:rPr>
                <w:rFonts w:ascii="Verdana" w:eastAsia="Times New Roman" w:hAnsi="Verdana" w:cs="Times New Roman"/>
                <w:b/>
                <w:smallCaps/>
                <w:color w:val="FFFFFF" w:themeColor="background1"/>
                <w:sz w:val="16"/>
                <w:szCs w:val="16"/>
                <w:lang w:val="en-US"/>
              </w:rPr>
              <w:t>Beneficiary</w:t>
            </w:r>
          </w:p>
        </w:tc>
      </w:tr>
      <w:tr w:rsidR="00D96045" w:rsidRPr="00B36ADE" w14:paraId="5B83FB61" w14:textId="77777777" w:rsidTr="00712784">
        <w:trPr>
          <w:trHeight w:val="1008"/>
        </w:trPr>
        <w:tc>
          <w:tcPr>
            <w:tcW w:w="2962" w:type="dxa"/>
            <w:shd w:val="clear" w:color="auto" w:fill="CED7EA"/>
            <w:vAlign w:val="center"/>
            <w:hideMark/>
          </w:tcPr>
          <w:p w14:paraId="2577A3DB" w14:textId="77777777" w:rsidR="00D96045" w:rsidRPr="00B36ADE" w:rsidRDefault="00D96045" w:rsidP="00712784">
            <w:pPr>
              <w:spacing w:after="0" w:line="240" w:lineRule="auto"/>
              <w:jc w:val="both"/>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PA1 – Development of railway infrastructure along the “core” and “comprehensive” Trans-European transport network</w:t>
            </w:r>
          </w:p>
        </w:tc>
        <w:tc>
          <w:tcPr>
            <w:tcW w:w="2841" w:type="dxa"/>
            <w:shd w:val="clear" w:color="auto" w:fill="CED7EA"/>
            <w:vAlign w:val="center"/>
            <w:hideMark/>
          </w:tcPr>
          <w:p w14:paraId="79D5C6BF" w14:textId="77777777" w:rsidR="00D96045" w:rsidRPr="00B36ADE" w:rsidRDefault="00D96045" w:rsidP="00712784">
            <w:pPr>
              <w:spacing w:after="0" w:line="240" w:lineRule="auto"/>
              <w:jc w:val="both"/>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Increasing railway traffic of passenger and freight through improving the quality of the TEN-T railway infrastructure</w:t>
            </w:r>
          </w:p>
        </w:tc>
        <w:tc>
          <w:tcPr>
            <w:tcW w:w="0" w:type="auto"/>
            <w:shd w:val="clear" w:color="auto" w:fill="CED7EA"/>
            <w:vAlign w:val="center"/>
            <w:hideMark/>
          </w:tcPr>
          <w:p w14:paraId="19368473" w14:textId="77777777" w:rsidR="00D96045" w:rsidRPr="00B36ADE" w:rsidRDefault="00D96045" w:rsidP="00712784">
            <w:pPr>
              <w:spacing w:after="0" w:line="240" w:lineRule="auto"/>
              <w:jc w:val="both"/>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National Railway Infrastructure Company</w:t>
            </w:r>
          </w:p>
        </w:tc>
      </w:tr>
      <w:tr w:rsidR="00D96045" w:rsidRPr="00B36ADE" w14:paraId="5E61C273" w14:textId="77777777" w:rsidTr="00712784">
        <w:trPr>
          <w:trHeight w:val="1130"/>
        </w:trPr>
        <w:tc>
          <w:tcPr>
            <w:tcW w:w="2962" w:type="dxa"/>
            <w:shd w:val="clear" w:color="auto" w:fill="auto"/>
            <w:vAlign w:val="center"/>
            <w:hideMark/>
          </w:tcPr>
          <w:p w14:paraId="714F9CA4" w14:textId="77777777" w:rsidR="00D96045" w:rsidRPr="00B36ADE" w:rsidRDefault="00D96045" w:rsidP="00712784">
            <w:pPr>
              <w:spacing w:after="0" w:line="240" w:lineRule="auto"/>
              <w:jc w:val="both"/>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PA2 - Development of road infrastructure along the „core” and “comprehensive” Trans-European transport network</w:t>
            </w:r>
          </w:p>
        </w:tc>
        <w:tc>
          <w:tcPr>
            <w:tcW w:w="2841" w:type="dxa"/>
            <w:shd w:val="clear" w:color="auto" w:fill="auto"/>
            <w:vAlign w:val="center"/>
            <w:hideMark/>
          </w:tcPr>
          <w:p w14:paraId="163928B5" w14:textId="77777777" w:rsidR="00D96045" w:rsidRPr="00B36ADE" w:rsidRDefault="00D96045" w:rsidP="00712784">
            <w:pPr>
              <w:spacing w:after="0" w:line="240" w:lineRule="auto"/>
              <w:jc w:val="both"/>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Removal of bottlenecks in the TEN-T road network</w:t>
            </w:r>
          </w:p>
        </w:tc>
        <w:tc>
          <w:tcPr>
            <w:tcW w:w="0" w:type="auto"/>
            <w:shd w:val="clear" w:color="auto" w:fill="auto"/>
            <w:vAlign w:val="center"/>
            <w:hideMark/>
          </w:tcPr>
          <w:p w14:paraId="29DB553D" w14:textId="77777777" w:rsidR="00D96045" w:rsidRPr="00B36ADE" w:rsidRDefault="00D96045" w:rsidP="00712784">
            <w:pPr>
              <w:spacing w:after="0" w:line="240" w:lineRule="auto"/>
              <w:jc w:val="both"/>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Road Infrastructure Agency</w:t>
            </w:r>
          </w:p>
        </w:tc>
      </w:tr>
      <w:tr w:rsidR="00D96045" w:rsidRPr="00B36ADE" w14:paraId="1193D630" w14:textId="77777777" w:rsidTr="00712784">
        <w:trPr>
          <w:trHeight w:val="1530"/>
        </w:trPr>
        <w:tc>
          <w:tcPr>
            <w:tcW w:w="2962" w:type="dxa"/>
            <w:shd w:val="clear" w:color="auto" w:fill="CED7EA"/>
            <w:vAlign w:val="center"/>
            <w:hideMark/>
          </w:tcPr>
          <w:p w14:paraId="676DA5F1" w14:textId="77777777" w:rsidR="00D96045" w:rsidRPr="00B36ADE" w:rsidRDefault="00D96045" w:rsidP="00712784">
            <w:pPr>
              <w:spacing w:after="0" w:line="240" w:lineRule="auto"/>
              <w:jc w:val="both"/>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lastRenderedPageBreak/>
              <w:t xml:space="preserve">PA3 - Improvement of intermodal transport services for passengers and freights and development of sustainable urban transport </w:t>
            </w:r>
          </w:p>
        </w:tc>
        <w:tc>
          <w:tcPr>
            <w:tcW w:w="2841" w:type="dxa"/>
            <w:shd w:val="clear" w:color="auto" w:fill="CED7EA"/>
            <w:vAlign w:val="center"/>
            <w:hideMark/>
          </w:tcPr>
          <w:p w14:paraId="74840B87" w14:textId="77777777" w:rsidR="00D96045" w:rsidRPr="00B36ADE" w:rsidRDefault="00D96045" w:rsidP="00712784">
            <w:pPr>
              <w:spacing w:after="0" w:line="240" w:lineRule="auto"/>
              <w:jc w:val="both"/>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To increase the use of the metro and the potential for the use of intermodal transport along the Orient / East-Mediterranean corridor, section Sofia-Plovdiv-Burgas</w:t>
            </w:r>
          </w:p>
        </w:tc>
        <w:tc>
          <w:tcPr>
            <w:tcW w:w="0" w:type="auto"/>
            <w:shd w:val="clear" w:color="auto" w:fill="CED7EA"/>
            <w:vAlign w:val="center"/>
            <w:hideMark/>
          </w:tcPr>
          <w:p w14:paraId="08BB395A" w14:textId="781972FD" w:rsidR="00D96045" w:rsidRPr="00B36ADE" w:rsidRDefault="00D96045" w:rsidP="00712784">
            <w:pPr>
              <w:spacing w:after="0" w:line="240" w:lineRule="auto"/>
              <w:jc w:val="both"/>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National Railway Infras</w:t>
            </w:r>
            <w:r w:rsidR="00E4596C" w:rsidRPr="00B36ADE">
              <w:rPr>
                <w:rFonts w:ascii="Verdana" w:eastAsia="Times New Roman" w:hAnsi="Verdana" w:cs="Times New Roman"/>
                <w:color w:val="000000"/>
                <w:sz w:val="16"/>
                <w:szCs w:val="16"/>
                <w:lang w:val="en-US"/>
              </w:rPr>
              <w:t>tructure Company and Metropolita</w:t>
            </w:r>
            <w:r w:rsidRPr="00B36ADE">
              <w:rPr>
                <w:rFonts w:ascii="Verdana" w:eastAsia="Times New Roman" w:hAnsi="Verdana" w:cs="Times New Roman"/>
                <w:color w:val="000000"/>
                <w:sz w:val="16"/>
                <w:szCs w:val="16"/>
                <w:lang w:val="en-US"/>
              </w:rPr>
              <w:t>n Jsc</w:t>
            </w:r>
          </w:p>
        </w:tc>
      </w:tr>
      <w:tr w:rsidR="00D96045" w:rsidRPr="00B36ADE" w14:paraId="2921B9B1" w14:textId="77777777" w:rsidTr="00712784">
        <w:trPr>
          <w:trHeight w:val="1335"/>
        </w:trPr>
        <w:tc>
          <w:tcPr>
            <w:tcW w:w="2962" w:type="dxa"/>
            <w:shd w:val="clear" w:color="auto" w:fill="auto"/>
            <w:vAlign w:val="center"/>
            <w:hideMark/>
          </w:tcPr>
          <w:p w14:paraId="6F8CB485" w14:textId="77777777" w:rsidR="00D96045" w:rsidRPr="00B36ADE" w:rsidRDefault="00D96045" w:rsidP="00712784">
            <w:pPr>
              <w:spacing w:after="0" w:line="240" w:lineRule="auto"/>
              <w:jc w:val="both"/>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PA4 - Innovations in management and services - establishment of modern infrastructure for traffic management and transport safety improvement</w:t>
            </w:r>
          </w:p>
        </w:tc>
        <w:tc>
          <w:tcPr>
            <w:tcW w:w="2841" w:type="dxa"/>
            <w:shd w:val="clear" w:color="auto" w:fill="auto"/>
            <w:vAlign w:val="center"/>
            <w:hideMark/>
          </w:tcPr>
          <w:p w14:paraId="03F63E4B" w14:textId="77777777" w:rsidR="00D96045" w:rsidRPr="00B36ADE" w:rsidRDefault="00D96045" w:rsidP="00712784">
            <w:pPr>
              <w:spacing w:after="0" w:line="240" w:lineRule="auto"/>
              <w:jc w:val="both"/>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Improving transport management through the introduction of innovative systems and improving the management of the railway network.</w:t>
            </w:r>
          </w:p>
        </w:tc>
        <w:tc>
          <w:tcPr>
            <w:tcW w:w="0" w:type="auto"/>
            <w:shd w:val="clear" w:color="auto" w:fill="auto"/>
            <w:vAlign w:val="center"/>
            <w:hideMark/>
          </w:tcPr>
          <w:p w14:paraId="18C06CFC" w14:textId="77777777" w:rsidR="00D96045" w:rsidRPr="00B36ADE" w:rsidRDefault="00D96045" w:rsidP="00712784">
            <w:pPr>
              <w:spacing w:after="0" w:line="240" w:lineRule="auto"/>
              <w:jc w:val="both"/>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Executive Agency For Exploration And Maintenance Of The Danube River, Bulgarian Ports Infrastructure Company, Executive Agency Maritime Administration, Road Infrastructure Agency and  National Railway Infrastructure Company</w:t>
            </w:r>
          </w:p>
        </w:tc>
      </w:tr>
      <w:tr w:rsidR="00D96045" w:rsidRPr="00B36ADE" w14:paraId="0589C071" w14:textId="77777777" w:rsidTr="00712784">
        <w:trPr>
          <w:trHeight w:val="1275"/>
        </w:trPr>
        <w:tc>
          <w:tcPr>
            <w:tcW w:w="2962" w:type="dxa"/>
            <w:shd w:val="clear" w:color="auto" w:fill="CED7EA"/>
            <w:vAlign w:val="center"/>
            <w:hideMark/>
          </w:tcPr>
          <w:p w14:paraId="0DDD9358" w14:textId="77777777" w:rsidR="00D96045" w:rsidRPr="00B36ADE" w:rsidRDefault="00D96045" w:rsidP="00712784">
            <w:pPr>
              <w:spacing w:after="0" w:line="240" w:lineRule="auto"/>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PA5 – Technical Assistance</w:t>
            </w:r>
          </w:p>
        </w:tc>
        <w:tc>
          <w:tcPr>
            <w:tcW w:w="2841" w:type="dxa"/>
            <w:shd w:val="clear" w:color="auto" w:fill="CED7EA"/>
            <w:vAlign w:val="center"/>
            <w:hideMark/>
          </w:tcPr>
          <w:p w14:paraId="086A5ADC" w14:textId="77777777" w:rsidR="00D96045" w:rsidRPr="00B36ADE" w:rsidRDefault="00D96045" w:rsidP="00712784">
            <w:pPr>
              <w:spacing w:after="0" w:line="240" w:lineRule="auto"/>
              <w:jc w:val="both"/>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 xml:space="preserve">Establishment of necessary conditions for successful completion of OPT 2007-2013 and implementation of OPTTI 2014-2020, strengthening the administrative capacity and public awareness of OPTTI </w:t>
            </w:r>
          </w:p>
        </w:tc>
        <w:tc>
          <w:tcPr>
            <w:tcW w:w="0" w:type="auto"/>
            <w:shd w:val="clear" w:color="auto" w:fill="CED7EA"/>
            <w:vAlign w:val="center"/>
            <w:hideMark/>
          </w:tcPr>
          <w:p w14:paraId="732C4CC3" w14:textId="27F29C7D" w:rsidR="00D96045" w:rsidRPr="00B36ADE" w:rsidRDefault="00D96045" w:rsidP="00712784">
            <w:pPr>
              <w:spacing w:after="0" w:line="240" w:lineRule="auto"/>
              <w:jc w:val="both"/>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MA of OPTTI and beneficiaries of the program</w:t>
            </w:r>
            <w:r w:rsidR="006E2CF5" w:rsidRPr="00B36ADE">
              <w:rPr>
                <w:rFonts w:ascii="Verdana" w:eastAsia="Times New Roman" w:hAnsi="Verdana" w:cs="Times New Roman"/>
                <w:color w:val="000000"/>
                <w:sz w:val="16"/>
                <w:szCs w:val="16"/>
                <w:lang w:val="en-US"/>
              </w:rPr>
              <w:t>me</w:t>
            </w:r>
          </w:p>
        </w:tc>
      </w:tr>
    </w:tbl>
    <w:p w14:paraId="10A85C3C" w14:textId="77777777" w:rsidR="00D96045" w:rsidRPr="00B36ADE" w:rsidRDefault="00D96045" w:rsidP="00D96045">
      <w:pPr>
        <w:jc w:val="both"/>
        <w:rPr>
          <w:rFonts w:ascii="Verdana" w:eastAsia="Times New Roman" w:hAnsi="Verdana" w:cs="Times New Roman"/>
          <w:color w:val="333333"/>
          <w:sz w:val="20"/>
          <w:szCs w:val="20"/>
          <w:lang w:val="en-US" w:eastAsia="bg-BG"/>
        </w:rPr>
      </w:pPr>
    </w:p>
    <w:p w14:paraId="3165D50E" w14:textId="77777777" w:rsidR="00D96045" w:rsidRPr="00B36ADE" w:rsidRDefault="00D96045" w:rsidP="00D96045">
      <w:pPr>
        <w:spacing w:after="120"/>
        <w:rPr>
          <w:rFonts w:ascii="Verdana" w:eastAsiaTheme="majorEastAsia" w:hAnsi="Verdana" w:cstheme="majorBidi"/>
          <w:b/>
          <w:bCs/>
          <w:color w:val="374E81"/>
          <w:lang w:val="en-US"/>
        </w:rPr>
      </w:pPr>
      <w:r w:rsidRPr="00B36ADE">
        <w:rPr>
          <w:rFonts w:ascii="Verdana" w:eastAsiaTheme="majorEastAsia" w:hAnsi="Verdana" w:cstheme="majorBidi"/>
          <w:b/>
          <w:bCs/>
          <w:color w:val="374E81"/>
          <w:lang w:val="en-US"/>
        </w:rPr>
        <w:t>EVALUATION METHODOLOGY</w:t>
      </w:r>
    </w:p>
    <w:p w14:paraId="2AAB4F35" w14:textId="49ADBF30" w:rsidR="00D96045" w:rsidRPr="00B36ADE" w:rsidRDefault="00D96045" w:rsidP="00D96045">
      <w:pPr>
        <w:spacing w:after="120"/>
        <w:jc w:val="both"/>
        <w:rPr>
          <w:rFonts w:ascii="Verdana" w:eastAsia="Calibri" w:hAnsi="Verdana" w:cs="Helvetica"/>
          <w:sz w:val="20"/>
          <w:szCs w:val="20"/>
          <w:lang w:val="en-US"/>
        </w:rPr>
      </w:pPr>
      <w:r w:rsidRPr="00B36ADE">
        <w:rPr>
          <w:rFonts w:ascii="Verdana" w:eastAsia="Calibri" w:hAnsi="Verdana" w:cs="Helvetica"/>
          <w:sz w:val="20"/>
          <w:szCs w:val="20"/>
          <w:lang w:val="en-US"/>
        </w:rPr>
        <w:t xml:space="preserve">The scope of the analysis is based on the requirements and evaluation questions formulated by the MA of OPTTI. The approaches used are in line with established good practices in the EU to ensure the accuracy, consistency, transparency, independence and reliability of the evaluation results. Among the main methods used are </w:t>
      </w:r>
      <w:r w:rsidRPr="00B36ADE">
        <w:rPr>
          <w:rFonts w:ascii="Verdana" w:eastAsia="Calibri" w:hAnsi="Verdana" w:cs="Helvetica"/>
          <w:b/>
          <w:sz w:val="20"/>
          <w:szCs w:val="20"/>
          <w:lang w:val="en-US"/>
        </w:rPr>
        <w:t>quantitative research among stakeholders, in-depth interviews and focus groups, statistical and econometric analysis, financial forecasting and others.</w:t>
      </w:r>
      <w:r w:rsidRPr="00B36ADE">
        <w:rPr>
          <w:rFonts w:ascii="Verdana" w:eastAsia="Calibri" w:hAnsi="Verdana" w:cs="Helvetica"/>
          <w:sz w:val="20"/>
          <w:szCs w:val="20"/>
          <w:lang w:val="en-US"/>
        </w:rPr>
        <w:t xml:space="preserve"> The </w:t>
      </w:r>
      <w:r w:rsidR="000461CA" w:rsidRPr="00B36ADE">
        <w:rPr>
          <w:rFonts w:ascii="Verdana" w:eastAsia="Calibri" w:hAnsi="Verdana" w:cs="Helvetica"/>
          <w:sz w:val="20"/>
          <w:szCs w:val="20"/>
          <w:lang w:val="en-US"/>
        </w:rPr>
        <w:t xml:space="preserve">evaluation </w:t>
      </w:r>
      <w:r w:rsidRPr="00B36ADE">
        <w:rPr>
          <w:rFonts w:ascii="Verdana" w:eastAsia="Calibri" w:hAnsi="Verdana" w:cs="Helvetica"/>
          <w:sz w:val="20"/>
          <w:szCs w:val="20"/>
          <w:lang w:val="en-US"/>
        </w:rPr>
        <w:t>is based on the following logical sequence:</w:t>
      </w:r>
    </w:p>
    <w:p w14:paraId="090A64EC" w14:textId="77777777" w:rsidR="00D96045" w:rsidRPr="00B36ADE" w:rsidRDefault="00D96045" w:rsidP="00D96045">
      <w:pPr>
        <w:spacing w:line="240" w:lineRule="auto"/>
        <w:jc w:val="both"/>
        <w:rPr>
          <w:rFonts w:eastAsia="Calibri" w:cs="Calibri"/>
          <w:lang w:val="en-US"/>
        </w:rPr>
      </w:pPr>
      <w:r w:rsidRPr="00B36ADE">
        <w:rPr>
          <w:rFonts w:eastAsia="Calibri"/>
          <w:noProof/>
          <w:lang w:eastAsia="bg-BG"/>
        </w:rPr>
        <mc:AlternateContent>
          <mc:Choice Requires="wps">
            <w:drawing>
              <wp:anchor distT="0" distB="0" distL="114300" distR="114300" simplePos="0" relativeHeight="251659264" behindDoc="0" locked="0" layoutInCell="1" allowOverlap="1" wp14:anchorId="121DAA60" wp14:editId="171DCF83">
                <wp:simplePos x="0" y="0"/>
                <wp:positionH relativeFrom="margin">
                  <wp:posOffset>4274185</wp:posOffset>
                </wp:positionH>
                <wp:positionV relativeFrom="paragraph">
                  <wp:posOffset>115570</wp:posOffset>
                </wp:positionV>
                <wp:extent cx="1641475" cy="295275"/>
                <wp:effectExtent l="19050" t="19050" r="53975" b="66675"/>
                <wp:wrapNone/>
                <wp:docPr id="7" name="Pentago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475" cy="295275"/>
                        </a:xfrm>
                        <a:prstGeom prst="homePlate">
                          <a:avLst>
                            <a:gd name="adj" fmla="val 96505"/>
                          </a:avLst>
                        </a:prstGeom>
                        <a:solidFill>
                          <a:srgbClr val="374E81"/>
                        </a:solidFill>
                        <a:ln w="38100">
                          <a:solidFill>
                            <a:srgbClr val="CAC5BC"/>
                          </a:solidFill>
                          <a:miter lim="800000"/>
                          <a:headEnd/>
                          <a:tailEnd/>
                        </a:ln>
                        <a:effectLst>
                          <a:outerShdw dist="28398" dir="3806097" algn="ctr" rotWithShape="0">
                            <a:srgbClr val="243F60">
                              <a:alpha val="50000"/>
                            </a:srgbClr>
                          </a:outerShdw>
                        </a:effectLst>
                      </wps:spPr>
                      <wps:txbx>
                        <w:txbxContent>
                          <w:p w14:paraId="2169EE85" w14:textId="77777777" w:rsidR="0034605D" w:rsidRPr="002D2F17" w:rsidRDefault="0034605D" w:rsidP="00D96045">
                            <w:pPr>
                              <w:shd w:val="clear" w:color="auto" w:fill="374E81"/>
                              <w:rPr>
                                <w:rFonts w:ascii="Tahoma" w:hAnsi="Tahoma" w:cs="Tahoma"/>
                                <w:b/>
                                <w:color w:val="EEECE1"/>
                                <w:lang w:val="en-US"/>
                              </w:rPr>
                            </w:pPr>
                            <w:r>
                              <w:rPr>
                                <w:rFonts w:ascii="Verdana" w:hAnsi="Verdana" w:cs="Tahoma"/>
                                <w:b/>
                                <w:color w:val="EEECE1"/>
                                <w:sz w:val="18"/>
                                <w:szCs w:val="18"/>
                                <w:shd w:val="clear" w:color="auto" w:fill="374E81"/>
                                <w:lang w:val="en-US"/>
                              </w:rPr>
                              <w:t>Recommendations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DAA6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7" o:spid="_x0000_s1026" type="#_x0000_t15" style="position:absolute;left:0;text-align:left;margin-left:336.55pt;margin-top:9.1pt;width:129.25pt;height:23.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" adj="17850" fillcolor="#374e81" strokecolor="#cac5bc" strokeweight="3pt">
                <v:shadow on="t" color="#243f60" opacity=".5" offset="1pt"/>
                <v:textbox>
                  <w:txbxContent>
                    <w:p w14:paraId="2169EE85" w14:textId="77777777" w:rsidR="0034605D" w:rsidRPr="002D2F17" w:rsidRDefault="0034605D" w:rsidP="00D96045">
                      <w:pPr>
                        <w:shd w:val="clear" w:color="auto" w:fill="374E81"/>
                        <w:rPr>
                          <w:rFonts w:ascii="Tahoma" w:hAnsi="Tahoma" w:cs="Tahoma"/>
                          <w:b/>
                          <w:color w:val="EEECE1"/>
                          <w:lang w:val="en-US"/>
                        </w:rPr>
                      </w:pPr>
                      <w:r>
                        <w:rPr>
                          <w:rFonts w:ascii="Verdana" w:hAnsi="Verdana" w:cs="Tahoma"/>
                          <w:b/>
                          <w:color w:val="EEECE1"/>
                          <w:sz w:val="18"/>
                          <w:szCs w:val="18"/>
                          <w:shd w:val="clear" w:color="auto" w:fill="374E81"/>
                          <w:lang w:val="en-US"/>
                        </w:rPr>
                        <w:t>Recommendations</w:t>
                      </w:r>
                    </w:p>
                  </w:txbxContent>
                </v:textbox>
                <w10:wrap anchorx="margin"/>
              </v:shape>
            </w:pict>
          </mc:Fallback>
        </mc:AlternateContent>
      </w:r>
      <w:r w:rsidRPr="00B36ADE">
        <w:rPr>
          <w:rFonts w:eastAsia="Calibri"/>
          <w:noProof/>
          <w:lang w:eastAsia="bg-BG"/>
        </w:rPr>
        <mc:AlternateContent>
          <mc:Choice Requires="wps">
            <w:drawing>
              <wp:anchor distT="0" distB="0" distL="114300" distR="114300" simplePos="0" relativeHeight="251660288" behindDoc="0" locked="0" layoutInCell="1" allowOverlap="1" wp14:anchorId="6DAE95A0" wp14:editId="5DAF0E70">
                <wp:simplePos x="0" y="0"/>
                <wp:positionH relativeFrom="column">
                  <wp:posOffset>3062605</wp:posOffset>
                </wp:positionH>
                <wp:positionV relativeFrom="paragraph">
                  <wp:posOffset>115570</wp:posOffset>
                </wp:positionV>
                <wp:extent cx="1150620" cy="295275"/>
                <wp:effectExtent l="19050" t="19050" r="49530" b="66675"/>
                <wp:wrapNone/>
                <wp:docPr id="8" name="Pentago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0620" cy="295275"/>
                        </a:xfrm>
                        <a:prstGeom prst="homePlate">
                          <a:avLst>
                            <a:gd name="adj" fmla="val 105108"/>
                          </a:avLst>
                        </a:prstGeom>
                        <a:solidFill>
                          <a:srgbClr val="374E81"/>
                        </a:solidFill>
                        <a:ln w="38100">
                          <a:solidFill>
                            <a:srgbClr val="CAC5BC"/>
                          </a:solidFill>
                          <a:miter lim="800000"/>
                          <a:headEnd/>
                          <a:tailEnd/>
                        </a:ln>
                        <a:effectLst>
                          <a:outerShdw dist="28398" dir="3806097" algn="ctr" rotWithShape="0">
                            <a:srgbClr val="243F60">
                              <a:alpha val="50000"/>
                            </a:srgbClr>
                          </a:outerShdw>
                        </a:effectLst>
                      </wps:spPr>
                      <wps:txbx>
                        <w:txbxContent>
                          <w:p w14:paraId="77F028DF" w14:textId="77777777" w:rsidR="0034605D" w:rsidRDefault="0034605D" w:rsidP="00D96045">
                            <w:pPr>
                              <w:shd w:val="clear" w:color="auto" w:fill="374E81"/>
                              <w:rPr>
                                <w:rFonts w:ascii="Tahoma" w:hAnsi="Tahoma" w:cs="Tahoma"/>
                                <w:color w:val="EEECE1"/>
                              </w:rPr>
                            </w:pPr>
                            <w:r>
                              <w:rPr>
                                <w:rFonts w:ascii="Verdana" w:hAnsi="Verdana" w:cs="Tahoma"/>
                                <w:b/>
                                <w:color w:val="EEECE1"/>
                                <w:sz w:val="18"/>
                                <w:szCs w:val="18"/>
                              </w:rPr>
                              <w:t>Conclusions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E95A0" id="Pentagon 8" o:spid="_x0000_s1027" type="#_x0000_t15" style="position:absolute;left:0;text-align:left;margin-left:241.15pt;margin-top:9.1pt;width:90.6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" adj="15774" fillcolor="#374e81" strokecolor="#cac5bc" strokeweight="3pt">
                <v:shadow on="t" color="#243f60" opacity=".5" offset="1pt"/>
                <v:textbox>
                  <w:txbxContent>
                    <w:p w14:paraId="77F028DF" w14:textId="77777777" w:rsidR="0034605D" w:rsidRDefault="0034605D" w:rsidP="00D96045">
                      <w:pPr>
                        <w:shd w:val="clear" w:color="auto" w:fill="374E81"/>
                        <w:rPr>
                          <w:rFonts w:ascii="Tahoma" w:hAnsi="Tahoma" w:cs="Tahoma"/>
                          <w:color w:val="EEECE1"/>
                        </w:rPr>
                      </w:pPr>
                      <w:r>
                        <w:rPr>
                          <w:rFonts w:ascii="Verdana" w:hAnsi="Verdana" w:cs="Tahoma"/>
                          <w:b/>
                          <w:color w:val="EEECE1"/>
                          <w:sz w:val="18"/>
                          <w:szCs w:val="18"/>
                        </w:rPr>
                        <w:t>Conclusions</w:t>
                      </w:r>
                    </w:p>
                  </w:txbxContent>
                </v:textbox>
              </v:shape>
            </w:pict>
          </mc:Fallback>
        </mc:AlternateContent>
      </w:r>
      <w:r w:rsidRPr="00B36ADE">
        <w:rPr>
          <w:rFonts w:eastAsia="Calibri"/>
          <w:noProof/>
          <w:lang w:eastAsia="bg-BG"/>
        </w:rPr>
        <mc:AlternateContent>
          <mc:Choice Requires="wps">
            <w:drawing>
              <wp:anchor distT="0" distB="0" distL="114300" distR="114300" simplePos="0" relativeHeight="251662336" behindDoc="0" locked="0" layoutInCell="1" allowOverlap="1" wp14:anchorId="1FC9CD82" wp14:editId="1BDDC082">
                <wp:simplePos x="0" y="0"/>
                <wp:positionH relativeFrom="margin">
                  <wp:posOffset>1859915</wp:posOffset>
                </wp:positionH>
                <wp:positionV relativeFrom="paragraph">
                  <wp:posOffset>115570</wp:posOffset>
                </wp:positionV>
                <wp:extent cx="1158240" cy="295275"/>
                <wp:effectExtent l="19050" t="19050" r="60960" b="66675"/>
                <wp:wrapNone/>
                <wp:docPr id="18" name="Pentagon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240" cy="295275"/>
                        </a:xfrm>
                        <a:prstGeom prst="homePlate">
                          <a:avLst>
                            <a:gd name="adj" fmla="val 105645"/>
                          </a:avLst>
                        </a:prstGeom>
                        <a:solidFill>
                          <a:srgbClr val="374E81"/>
                        </a:solidFill>
                        <a:ln w="38100">
                          <a:solidFill>
                            <a:srgbClr val="CAC5BC"/>
                          </a:solidFill>
                          <a:miter lim="800000"/>
                          <a:headEnd/>
                          <a:tailEnd/>
                        </a:ln>
                        <a:effectLst>
                          <a:outerShdw dist="28398" dir="3806097" algn="ctr" rotWithShape="0">
                            <a:srgbClr val="243F60">
                              <a:alpha val="50000"/>
                            </a:srgbClr>
                          </a:outerShdw>
                        </a:effectLst>
                      </wps:spPr>
                      <wps:txbx>
                        <w:txbxContent>
                          <w:p w14:paraId="535CFAEE" w14:textId="77777777" w:rsidR="0034605D" w:rsidRPr="002D2F17" w:rsidRDefault="0034605D" w:rsidP="00D96045">
                            <w:pPr>
                              <w:shd w:val="clear" w:color="auto" w:fill="374E81"/>
                              <w:rPr>
                                <w:rFonts w:ascii="Tahoma" w:hAnsi="Tahoma" w:cs="Tahoma"/>
                                <w:b/>
                                <w:color w:val="EEECE1"/>
                                <w:lang w:val="en-US"/>
                              </w:rPr>
                            </w:pPr>
                            <w:r>
                              <w:rPr>
                                <w:rFonts w:ascii="Verdana" w:hAnsi="Verdana" w:cs="Tahoma"/>
                                <w:b/>
                                <w:color w:val="EEECE1"/>
                                <w:sz w:val="18"/>
                                <w:szCs w:val="18"/>
                                <w:lang w:val="en-US"/>
                              </w:rPr>
                              <w:t>Statements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9CD82" id="Pentagon 18" o:spid="_x0000_s1028" type="#_x0000_t15" style="position:absolute;left:0;text-align:left;margin-left:146.45pt;margin-top:9.1pt;width:91.2pt;height:23.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" adj="15783" fillcolor="#374e81" strokecolor="#cac5bc" strokeweight="3pt">
                <v:shadow on="t" color="#243f60" opacity=".5" offset="1pt"/>
                <v:textbox>
                  <w:txbxContent>
                    <w:p w14:paraId="535CFAEE" w14:textId="77777777" w:rsidR="0034605D" w:rsidRPr="002D2F17" w:rsidRDefault="0034605D" w:rsidP="00D96045">
                      <w:pPr>
                        <w:shd w:val="clear" w:color="auto" w:fill="374E81"/>
                        <w:rPr>
                          <w:rFonts w:ascii="Tahoma" w:hAnsi="Tahoma" w:cs="Tahoma"/>
                          <w:b/>
                          <w:color w:val="EEECE1"/>
                          <w:lang w:val="en-US"/>
                        </w:rPr>
                      </w:pPr>
                      <w:r>
                        <w:rPr>
                          <w:rFonts w:ascii="Verdana" w:hAnsi="Verdana" w:cs="Tahoma"/>
                          <w:b/>
                          <w:color w:val="EEECE1"/>
                          <w:sz w:val="18"/>
                          <w:szCs w:val="18"/>
                          <w:lang w:val="en-US"/>
                        </w:rPr>
                        <w:t>Statements</w:t>
                      </w:r>
                    </w:p>
                  </w:txbxContent>
                </v:textbox>
                <w10:wrap anchorx="margin"/>
              </v:shape>
            </w:pict>
          </mc:Fallback>
        </mc:AlternateContent>
      </w:r>
      <w:r w:rsidRPr="00B36ADE">
        <w:rPr>
          <w:rFonts w:eastAsia="Calibri"/>
          <w:noProof/>
          <w:lang w:eastAsia="bg-BG"/>
        </w:rPr>
        <mc:AlternateContent>
          <mc:Choice Requires="wps">
            <w:drawing>
              <wp:anchor distT="0" distB="0" distL="114300" distR="114300" simplePos="0" relativeHeight="251661312" behindDoc="0" locked="0" layoutInCell="1" allowOverlap="1" wp14:anchorId="252EEB42" wp14:editId="14040704">
                <wp:simplePos x="0" y="0"/>
                <wp:positionH relativeFrom="column">
                  <wp:posOffset>875665</wp:posOffset>
                </wp:positionH>
                <wp:positionV relativeFrom="paragraph">
                  <wp:posOffset>115570</wp:posOffset>
                </wp:positionV>
                <wp:extent cx="937260" cy="295275"/>
                <wp:effectExtent l="19050" t="19050" r="53340" b="66675"/>
                <wp:wrapNone/>
                <wp:docPr id="19" name="Pentagon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260" cy="295275"/>
                        </a:xfrm>
                        <a:prstGeom prst="homePlate">
                          <a:avLst>
                            <a:gd name="adj" fmla="val 97581"/>
                          </a:avLst>
                        </a:prstGeom>
                        <a:solidFill>
                          <a:srgbClr val="374E81"/>
                        </a:solidFill>
                        <a:ln w="38100">
                          <a:solidFill>
                            <a:srgbClr val="CAC5BC"/>
                          </a:solidFill>
                          <a:miter lim="800000"/>
                          <a:headEnd/>
                          <a:tailEnd/>
                        </a:ln>
                        <a:effectLst>
                          <a:outerShdw dist="28398" dir="3806097" algn="ctr" rotWithShape="0">
                            <a:srgbClr val="243F60">
                              <a:alpha val="50000"/>
                            </a:srgbClr>
                          </a:outerShdw>
                        </a:effectLst>
                      </wps:spPr>
                      <wps:txbx>
                        <w:txbxContent>
                          <w:p w14:paraId="3113697C" w14:textId="77777777" w:rsidR="0034605D" w:rsidRPr="002D2F17" w:rsidRDefault="0034605D" w:rsidP="00D96045">
                            <w:pPr>
                              <w:shd w:val="clear" w:color="auto" w:fill="374E81"/>
                              <w:jc w:val="center"/>
                              <w:rPr>
                                <w:rFonts w:ascii="Verdana" w:hAnsi="Verdana" w:cs="Tahoma"/>
                                <w:b/>
                                <w:color w:val="EEECE1"/>
                                <w:sz w:val="18"/>
                                <w:szCs w:val="18"/>
                                <w:lang w:val="en-US"/>
                              </w:rPr>
                            </w:pPr>
                            <w:r>
                              <w:rPr>
                                <w:rFonts w:ascii="Verdana" w:hAnsi="Verdana" w:cs="Tahoma"/>
                                <w:b/>
                                <w:color w:val="EEECE1"/>
                                <w:sz w:val="18"/>
                                <w:szCs w:val="18"/>
                                <w:lang w:val="en-US"/>
                              </w:rPr>
                              <w:t>Analysis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EEB42" id="Pentagon 19" o:spid="_x0000_s1029" type="#_x0000_t15" style="position:absolute;left:0;text-align:left;margin-left:68.95pt;margin-top:9.1pt;width:73.8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" adj="14960" fillcolor="#374e81" strokecolor="#cac5bc" strokeweight="3pt">
                <v:shadow on="t" color="#243f60" opacity=".5" offset="1pt"/>
                <v:textbox>
                  <w:txbxContent>
                    <w:p w14:paraId="3113697C" w14:textId="77777777" w:rsidR="0034605D" w:rsidRPr="002D2F17" w:rsidRDefault="0034605D" w:rsidP="00D96045">
                      <w:pPr>
                        <w:shd w:val="clear" w:color="auto" w:fill="374E81"/>
                        <w:jc w:val="center"/>
                        <w:rPr>
                          <w:rFonts w:ascii="Verdana" w:hAnsi="Verdana" w:cs="Tahoma"/>
                          <w:b/>
                          <w:color w:val="EEECE1"/>
                          <w:sz w:val="18"/>
                          <w:szCs w:val="18"/>
                          <w:lang w:val="en-US"/>
                        </w:rPr>
                      </w:pPr>
                      <w:r>
                        <w:rPr>
                          <w:rFonts w:ascii="Verdana" w:hAnsi="Verdana" w:cs="Tahoma"/>
                          <w:b/>
                          <w:color w:val="EEECE1"/>
                          <w:sz w:val="18"/>
                          <w:szCs w:val="18"/>
                          <w:lang w:val="en-US"/>
                        </w:rPr>
                        <w:t>Analysis</w:t>
                      </w:r>
                    </w:p>
                  </w:txbxContent>
                </v:textbox>
              </v:shape>
            </w:pict>
          </mc:Fallback>
        </mc:AlternateContent>
      </w:r>
      <w:r w:rsidRPr="00B36ADE">
        <w:rPr>
          <w:rFonts w:eastAsia="Calibri"/>
          <w:noProof/>
          <w:lang w:eastAsia="bg-BG"/>
        </w:rPr>
        <mc:AlternateContent>
          <mc:Choice Requires="wps">
            <w:drawing>
              <wp:anchor distT="0" distB="0" distL="114300" distR="114300" simplePos="0" relativeHeight="251663360" behindDoc="0" locked="0" layoutInCell="1" allowOverlap="1" wp14:anchorId="798DD53A" wp14:editId="513A1BCA">
                <wp:simplePos x="0" y="0"/>
                <wp:positionH relativeFrom="column">
                  <wp:posOffset>6985</wp:posOffset>
                </wp:positionH>
                <wp:positionV relativeFrom="paragraph">
                  <wp:posOffset>123190</wp:posOffset>
                </wp:positionV>
                <wp:extent cx="792480" cy="295275"/>
                <wp:effectExtent l="19050" t="19050" r="64770" b="66675"/>
                <wp:wrapNone/>
                <wp:docPr id="22" name="Pentagon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480" cy="295275"/>
                        </a:xfrm>
                        <a:prstGeom prst="homePlate">
                          <a:avLst>
                            <a:gd name="adj" fmla="val 99194"/>
                          </a:avLst>
                        </a:prstGeom>
                        <a:solidFill>
                          <a:srgbClr val="374E81"/>
                        </a:solidFill>
                        <a:ln w="38100">
                          <a:solidFill>
                            <a:srgbClr val="CAC5BC"/>
                          </a:solidFill>
                          <a:miter lim="800000"/>
                          <a:headEnd/>
                          <a:tailEnd/>
                        </a:ln>
                        <a:effectLst>
                          <a:outerShdw dist="28398" dir="3806097" algn="ctr" rotWithShape="0">
                            <a:srgbClr val="243F60">
                              <a:alpha val="50000"/>
                            </a:srgbClr>
                          </a:outerShdw>
                        </a:effectLst>
                      </wps:spPr>
                      <wps:txbx>
                        <w:txbxContent>
                          <w:p w14:paraId="50C27889" w14:textId="77777777" w:rsidR="0034605D" w:rsidRPr="002D2F17" w:rsidRDefault="0034605D" w:rsidP="00D96045">
                            <w:pPr>
                              <w:shd w:val="clear" w:color="auto" w:fill="374E81"/>
                              <w:jc w:val="center"/>
                              <w:rPr>
                                <w:rFonts w:ascii="Verdana" w:hAnsi="Verdana" w:cs="Tahoma"/>
                                <w:b/>
                                <w:color w:val="EEECE1"/>
                                <w:sz w:val="18"/>
                                <w:szCs w:val="18"/>
                                <w:lang w:val="en-US"/>
                              </w:rPr>
                            </w:pPr>
                            <w:r>
                              <w:rPr>
                                <w:rFonts w:ascii="Verdana" w:hAnsi="Verdana" w:cs="Tahoma"/>
                                <w:b/>
                                <w:color w:val="EEECE1"/>
                                <w:sz w:val="18"/>
                                <w:szCs w:val="18"/>
                                <w:lang w:val="en-US"/>
                              </w:rPr>
                              <w:t>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DD53A" id="Pentagon 22" o:spid="_x0000_s1030" type="#_x0000_t15" style="position:absolute;left:0;text-align:left;margin-left:.55pt;margin-top:9.7pt;width:62.4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" adj="13617" fillcolor="#374e81" strokecolor="#cac5bc" strokeweight="3pt">
                <v:shadow on="t" color="#243f60" opacity=".5" offset="1pt"/>
                <v:textbox>
                  <w:txbxContent>
                    <w:p w14:paraId="50C27889" w14:textId="77777777" w:rsidR="0034605D" w:rsidRPr="002D2F17" w:rsidRDefault="0034605D" w:rsidP="00D96045">
                      <w:pPr>
                        <w:shd w:val="clear" w:color="auto" w:fill="374E81"/>
                        <w:jc w:val="center"/>
                        <w:rPr>
                          <w:rFonts w:ascii="Verdana" w:hAnsi="Verdana" w:cs="Tahoma"/>
                          <w:b/>
                          <w:color w:val="EEECE1"/>
                          <w:sz w:val="18"/>
                          <w:szCs w:val="18"/>
                          <w:lang w:val="en-US"/>
                        </w:rPr>
                      </w:pPr>
                      <w:r>
                        <w:rPr>
                          <w:rFonts w:ascii="Verdana" w:hAnsi="Verdana" w:cs="Tahoma"/>
                          <w:b/>
                          <w:color w:val="EEECE1"/>
                          <w:sz w:val="18"/>
                          <w:szCs w:val="18"/>
                          <w:lang w:val="en-US"/>
                        </w:rPr>
                        <w:t>Data</w:t>
                      </w:r>
                    </w:p>
                  </w:txbxContent>
                </v:textbox>
              </v:shape>
            </w:pict>
          </mc:Fallback>
        </mc:AlternateContent>
      </w:r>
    </w:p>
    <w:p w14:paraId="6ECE5BD7" w14:textId="77777777" w:rsidR="00D96045" w:rsidRPr="00B36ADE" w:rsidRDefault="00D96045" w:rsidP="00D96045">
      <w:pPr>
        <w:spacing w:after="120"/>
        <w:jc w:val="both"/>
        <w:rPr>
          <w:rFonts w:ascii="Verdana" w:eastAsia="Calibri" w:hAnsi="Verdana" w:cs="Helvetica"/>
          <w:sz w:val="20"/>
          <w:szCs w:val="20"/>
          <w:lang w:val="en-US"/>
        </w:rPr>
      </w:pPr>
    </w:p>
    <w:p w14:paraId="7DA64A74" w14:textId="77777777" w:rsidR="00D96045" w:rsidRPr="00B36ADE" w:rsidRDefault="00D96045" w:rsidP="00D96045">
      <w:pPr>
        <w:pStyle w:val="wygheadinglevel1"/>
        <w:numPr>
          <w:ilvl w:val="0"/>
          <w:numId w:val="0"/>
        </w:numPr>
        <w:spacing w:before="0"/>
        <w:rPr>
          <w:rFonts w:ascii="Verdana" w:hAnsi="Verdana"/>
          <w:lang w:val="en-US"/>
        </w:rPr>
      </w:pPr>
    </w:p>
    <w:p w14:paraId="16891C42" w14:textId="77777777" w:rsidR="00D96045" w:rsidRPr="00B36ADE" w:rsidRDefault="00D96045" w:rsidP="00D96045">
      <w:pPr>
        <w:spacing w:after="120"/>
        <w:jc w:val="both"/>
        <w:rPr>
          <w:rFonts w:ascii="Verdana" w:eastAsiaTheme="majorEastAsia" w:hAnsi="Verdana" w:cstheme="majorBidi"/>
          <w:b/>
          <w:bCs/>
          <w:color w:val="374E81"/>
          <w:lang w:val="en-US"/>
        </w:rPr>
      </w:pPr>
      <w:r w:rsidRPr="00B36ADE">
        <w:rPr>
          <w:rFonts w:ascii="Verdana" w:eastAsiaTheme="majorEastAsia" w:hAnsi="Verdana" w:cstheme="majorBidi"/>
          <w:b/>
          <w:bCs/>
          <w:color w:val="374E81"/>
          <w:lang w:val="en-US"/>
        </w:rPr>
        <w:t>MAIN FINDINGS FROM THE ANSWERS TO THE EVALUATION QUESTIONS</w:t>
      </w:r>
    </w:p>
    <w:p w14:paraId="250DCA7F" w14:textId="77777777" w:rsidR="00D96045" w:rsidRPr="00B36ADE" w:rsidRDefault="00D96045" w:rsidP="00D96045">
      <w:pPr>
        <w:shd w:val="clear" w:color="auto" w:fill="374E81"/>
        <w:jc w:val="both"/>
        <w:rPr>
          <w:rFonts w:ascii="Verdana" w:hAnsi="Verdana" w:cs="Tahoma"/>
          <w:b/>
          <w:i/>
          <w:color w:val="FFFFFF" w:themeColor="background1"/>
          <w:sz w:val="20"/>
          <w:szCs w:val="20"/>
          <w:lang w:val="en-US"/>
        </w:rPr>
      </w:pPr>
      <w:r w:rsidRPr="00B36ADE">
        <w:rPr>
          <w:rFonts w:ascii="Verdana" w:hAnsi="Verdana" w:cs="Tahoma"/>
          <w:b/>
          <w:i/>
          <w:color w:val="FFFFFF" w:themeColor="background1"/>
          <w:sz w:val="20"/>
          <w:szCs w:val="20"/>
          <w:lang w:val="en-US"/>
        </w:rPr>
        <w:t>At what stage is the financial implementation regarding the objectives at the level of OP and priority axes? Is there a significant delay in the process of funds absorption?</w:t>
      </w:r>
    </w:p>
    <w:p w14:paraId="1D1E3EA9" w14:textId="16EE0F12" w:rsidR="00D96045" w:rsidRPr="00B36ADE" w:rsidRDefault="00D96045" w:rsidP="00D96045">
      <w:pPr>
        <w:jc w:val="both"/>
        <w:rPr>
          <w:rFonts w:ascii="Verdana" w:hAnsi="Verdana" w:cs="Times New Roman"/>
          <w:sz w:val="20"/>
          <w:szCs w:val="20"/>
          <w:lang w:val="en-US"/>
        </w:rPr>
      </w:pPr>
      <w:r w:rsidRPr="00B36ADE">
        <w:rPr>
          <w:rFonts w:ascii="Verdana" w:hAnsi="Verdana" w:cs="Times New Roman"/>
          <w:sz w:val="20"/>
          <w:szCs w:val="20"/>
          <w:lang w:val="en-US"/>
        </w:rPr>
        <w:t xml:space="preserve">As of the end of 2019, 83.32% </w:t>
      </w:r>
      <w:r w:rsidR="00E4596C" w:rsidRPr="00B36ADE">
        <w:rPr>
          <w:rFonts w:ascii="Verdana" w:hAnsi="Verdana" w:cs="Times New Roman"/>
          <w:sz w:val="20"/>
          <w:szCs w:val="20"/>
          <w:lang w:val="en-US"/>
        </w:rPr>
        <w:t xml:space="preserve">of </w:t>
      </w:r>
      <w:r w:rsidR="00E4596C" w:rsidRPr="00B36ADE">
        <w:rPr>
          <w:rFonts w:ascii="Verdana" w:hAnsi="Verdana" w:cs="Times New Roman"/>
          <w:b/>
          <w:sz w:val="20"/>
          <w:szCs w:val="20"/>
          <w:lang w:val="en-US"/>
        </w:rPr>
        <w:t xml:space="preserve">the programme budget </w:t>
      </w:r>
      <w:r w:rsidR="00FF60EE" w:rsidRPr="007F3962">
        <w:rPr>
          <w:rFonts w:ascii="Verdana" w:hAnsi="Verdana" w:cs="Times New Roman"/>
          <w:sz w:val="20"/>
          <w:szCs w:val="20"/>
          <w:lang w:val="en-US"/>
        </w:rPr>
        <w:t xml:space="preserve">has </w:t>
      </w:r>
      <w:r w:rsidRPr="00B36ADE">
        <w:rPr>
          <w:rFonts w:ascii="Verdana" w:hAnsi="Verdana" w:cs="Times New Roman"/>
          <w:sz w:val="20"/>
          <w:szCs w:val="20"/>
          <w:lang w:val="en-US"/>
        </w:rPr>
        <w:t xml:space="preserve">been </w:t>
      </w:r>
      <w:r w:rsidR="009855A4" w:rsidRPr="00B36ADE">
        <w:rPr>
          <w:rFonts w:ascii="Verdana" w:hAnsi="Verdana" w:cs="Times New Roman"/>
          <w:b/>
          <w:sz w:val="20"/>
          <w:szCs w:val="20"/>
          <w:lang w:val="en-US"/>
        </w:rPr>
        <w:t>awarded</w:t>
      </w:r>
      <w:r w:rsidRPr="00B36ADE">
        <w:rPr>
          <w:rFonts w:ascii="Verdana" w:hAnsi="Verdana" w:cs="Times New Roman"/>
          <w:b/>
          <w:sz w:val="20"/>
          <w:szCs w:val="20"/>
          <w:lang w:val="en-US"/>
        </w:rPr>
        <w:t>, 39.96% ha</w:t>
      </w:r>
      <w:r w:rsidR="00FF60EE">
        <w:rPr>
          <w:rFonts w:ascii="Verdana" w:hAnsi="Verdana" w:cs="Times New Roman"/>
          <w:b/>
          <w:sz w:val="20"/>
          <w:szCs w:val="20"/>
          <w:lang w:val="en-US"/>
        </w:rPr>
        <w:t>s</w:t>
      </w:r>
      <w:r w:rsidRPr="00B36ADE">
        <w:rPr>
          <w:rFonts w:ascii="Verdana" w:hAnsi="Verdana" w:cs="Times New Roman"/>
          <w:b/>
          <w:sz w:val="20"/>
          <w:szCs w:val="20"/>
          <w:lang w:val="en-US"/>
        </w:rPr>
        <w:t xml:space="preserve"> been verified and 29.96% ha</w:t>
      </w:r>
      <w:r w:rsidR="00FF60EE">
        <w:rPr>
          <w:rFonts w:ascii="Verdana" w:hAnsi="Verdana" w:cs="Times New Roman"/>
          <w:b/>
          <w:sz w:val="20"/>
          <w:szCs w:val="20"/>
          <w:lang w:val="en-US"/>
        </w:rPr>
        <w:t>s</w:t>
      </w:r>
      <w:r w:rsidRPr="00B36ADE">
        <w:rPr>
          <w:rFonts w:ascii="Verdana" w:hAnsi="Verdana" w:cs="Times New Roman"/>
          <w:b/>
          <w:sz w:val="20"/>
          <w:szCs w:val="20"/>
          <w:lang w:val="en-US"/>
        </w:rPr>
        <w:t xml:space="preserve"> been certified.</w:t>
      </w:r>
      <w:r w:rsidRPr="00B36ADE">
        <w:rPr>
          <w:rFonts w:ascii="Verdana" w:hAnsi="Verdana" w:cs="Times New Roman"/>
          <w:sz w:val="20"/>
          <w:szCs w:val="20"/>
          <w:lang w:val="en-US"/>
        </w:rPr>
        <w:t xml:space="preserve"> The total number of supported projects is </w:t>
      </w:r>
      <w:r w:rsidRPr="00B36ADE">
        <w:rPr>
          <w:rFonts w:ascii="Verdana" w:hAnsi="Verdana" w:cs="Times New Roman"/>
          <w:b/>
          <w:sz w:val="20"/>
          <w:szCs w:val="20"/>
          <w:lang w:val="en-US"/>
        </w:rPr>
        <w:t>56</w:t>
      </w:r>
      <w:r w:rsidRPr="00B36ADE">
        <w:rPr>
          <w:rFonts w:ascii="Verdana" w:hAnsi="Verdana" w:cs="Times New Roman"/>
          <w:sz w:val="20"/>
          <w:szCs w:val="20"/>
          <w:lang w:val="en-US"/>
        </w:rPr>
        <w:t xml:space="preserve">, of which 7 projects are worth over EUR 50 million and are categorized as </w:t>
      </w:r>
      <w:r w:rsidR="009855A4" w:rsidRPr="00B36ADE">
        <w:rPr>
          <w:rFonts w:ascii="Verdana" w:hAnsi="Verdana" w:cs="Times New Roman"/>
          <w:b/>
          <w:i/>
          <w:sz w:val="20"/>
          <w:szCs w:val="20"/>
          <w:lang w:val="en-US"/>
        </w:rPr>
        <w:t>major</w:t>
      </w:r>
      <w:r w:rsidR="00E4596C" w:rsidRPr="00B36ADE">
        <w:rPr>
          <w:rFonts w:ascii="Verdana" w:hAnsi="Verdana" w:cs="Times New Roman"/>
          <w:b/>
          <w:i/>
          <w:sz w:val="20"/>
          <w:szCs w:val="20"/>
          <w:lang w:val="en-US"/>
        </w:rPr>
        <w:t xml:space="preserve"> projects</w:t>
      </w:r>
      <w:r w:rsidRPr="00B36ADE">
        <w:rPr>
          <w:rFonts w:ascii="Verdana" w:hAnsi="Verdana" w:cs="Times New Roman"/>
          <w:sz w:val="20"/>
          <w:szCs w:val="20"/>
          <w:lang w:val="en-US"/>
        </w:rPr>
        <w:t xml:space="preserve"> within the meaning of Regulation (EC) 1083/2006.</w:t>
      </w:r>
    </w:p>
    <w:p w14:paraId="2C5688AD" w14:textId="7D7F728A" w:rsidR="00D96045" w:rsidRPr="00B36ADE" w:rsidRDefault="009855A4" w:rsidP="00D96045">
      <w:pPr>
        <w:jc w:val="both"/>
        <w:rPr>
          <w:rFonts w:ascii="Verdana" w:hAnsi="Verdana" w:cs="Times New Roman"/>
          <w:sz w:val="20"/>
          <w:szCs w:val="20"/>
          <w:lang w:val="en-US"/>
        </w:rPr>
      </w:pPr>
      <w:r w:rsidRPr="00B36ADE">
        <w:rPr>
          <w:rFonts w:ascii="Verdana" w:hAnsi="Verdana" w:cs="Times New Roman"/>
          <w:sz w:val="20"/>
          <w:szCs w:val="20"/>
          <w:lang w:val="en-US"/>
        </w:rPr>
        <w:t>The evaluation</w:t>
      </w:r>
      <w:r w:rsidR="00D96045" w:rsidRPr="00B36ADE">
        <w:rPr>
          <w:rFonts w:ascii="Verdana" w:hAnsi="Verdana" w:cs="Times New Roman"/>
          <w:sz w:val="20"/>
          <w:szCs w:val="20"/>
          <w:lang w:val="en-US"/>
        </w:rPr>
        <w:t xml:space="preserve"> </w:t>
      </w:r>
      <w:r w:rsidR="00A9258A" w:rsidRPr="00B36ADE">
        <w:rPr>
          <w:rFonts w:ascii="Verdana" w:hAnsi="Verdana" w:cs="Times New Roman"/>
          <w:sz w:val="20"/>
          <w:szCs w:val="20"/>
          <w:lang w:val="en-US"/>
        </w:rPr>
        <w:t xml:space="preserve">is based on data </w:t>
      </w:r>
      <w:r w:rsidR="00D96045" w:rsidRPr="00B36ADE">
        <w:rPr>
          <w:rFonts w:ascii="Verdana" w:hAnsi="Verdana" w:cs="Times New Roman"/>
          <w:sz w:val="20"/>
          <w:szCs w:val="20"/>
          <w:lang w:val="en-US"/>
        </w:rPr>
        <w:t>at the end of 2019, which is the penultimate year for negotiating the funds. The budget of the program</w:t>
      </w:r>
      <w:r w:rsidR="006E2CF5" w:rsidRPr="00B36ADE">
        <w:rPr>
          <w:rFonts w:ascii="Verdana" w:hAnsi="Verdana" w:cs="Times New Roman"/>
          <w:sz w:val="20"/>
          <w:szCs w:val="20"/>
          <w:lang w:val="en-US"/>
        </w:rPr>
        <w:t>me</w:t>
      </w:r>
      <w:r w:rsidR="00D96045" w:rsidRPr="00B36ADE">
        <w:rPr>
          <w:rFonts w:ascii="Verdana" w:hAnsi="Verdana" w:cs="Times New Roman"/>
          <w:sz w:val="20"/>
          <w:szCs w:val="20"/>
          <w:lang w:val="en-US"/>
        </w:rPr>
        <w:t xml:space="preserve"> is distributed by years in the </w:t>
      </w:r>
      <w:r w:rsidR="0034605D">
        <w:rPr>
          <w:rFonts w:ascii="Verdana" w:hAnsi="Verdana" w:cs="Times New Roman"/>
          <w:sz w:val="20"/>
          <w:szCs w:val="20"/>
          <w:lang w:val="en-US"/>
        </w:rPr>
        <w:t>financing plan</w:t>
      </w:r>
      <w:r w:rsidR="00D96045" w:rsidRPr="00B36ADE">
        <w:rPr>
          <w:rFonts w:ascii="Verdana" w:hAnsi="Verdana" w:cs="Times New Roman"/>
          <w:sz w:val="20"/>
          <w:szCs w:val="20"/>
          <w:lang w:val="en-US"/>
        </w:rPr>
        <w:t xml:space="preserve"> of OPTTI, as the annual distribution is relatively even. Given that the programming period is 7 years, in the 6th year (2019) the negotiation of funds should be at least 6/7 or a little over 85%. Therefore, it can be concluded that the level of negotiation of funds is relatively good, which is largely due to the over</w:t>
      </w:r>
      <w:r w:rsidR="00A9258A" w:rsidRPr="00B36ADE">
        <w:rPr>
          <w:rFonts w:ascii="Verdana" w:hAnsi="Verdana" w:cs="Times New Roman"/>
          <w:sz w:val="20"/>
          <w:szCs w:val="20"/>
          <w:lang w:val="en-US"/>
        </w:rPr>
        <w:t>booked</w:t>
      </w:r>
      <w:r w:rsidRPr="00B36ADE">
        <w:rPr>
          <w:rFonts w:ascii="Verdana" w:hAnsi="Verdana" w:cs="Times New Roman"/>
          <w:sz w:val="20"/>
          <w:szCs w:val="20"/>
          <w:lang w:val="en-US"/>
        </w:rPr>
        <w:t xml:space="preserve"> </w:t>
      </w:r>
      <w:r w:rsidR="00D96045" w:rsidRPr="00B36ADE">
        <w:rPr>
          <w:rFonts w:ascii="Verdana" w:hAnsi="Verdana" w:cs="Times New Roman"/>
          <w:sz w:val="20"/>
          <w:szCs w:val="20"/>
          <w:lang w:val="en-US"/>
        </w:rPr>
        <w:t xml:space="preserve">budget under PА1 (103.52%) and the high degree of negotiation under PА3 (98.17%). Regarding the other axes the degree of negotiation is below 63%, which shows a different degree of negotiation </w:t>
      </w:r>
      <w:r w:rsidRPr="00B36ADE">
        <w:rPr>
          <w:rFonts w:ascii="Verdana" w:hAnsi="Verdana" w:cs="Times New Roman"/>
          <w:sz w:val="20"/>
          <w:szCs w:val="20"/>
          <w:lang w:val="en-US"/>
        </w:rPr>
        <w:t>under the different axes.</w:t>
      </w:r>
      <w:r w:rsidR="00D96045" w:rsidRPr="00B36ADE">
        <w:rPr>
          <w:rFonts w:ascii="Verdana" w:hAnsi="Verdana" w:cs="Times New Roman"/>
          <w:sz w:val="20"/>
          <w:szCs w:val="20"/>
          <w:lang w:val="en-US"/>
        </w:rPr>
        <w:t xml:space="preserve"> </w:t>
      </w:r>
    </w:p>
    <w:p w14:paraId="0EC61FEE" w14:textId="45C4E7A0" w:rsidR="00D96045" w:rsidRPr="00B36ADE" w:rsidRDefault="00D96045" w:rsidP="00D96045">
      <w:pPr>
        <w:jc w:val="both"/>
        <w:rPr>
          <w:rFonts w:ascii="Verdana" w:hAnsi="Verdana" w:cs="Times New Roman"/>
          <w:sz w:val="20"/>
          <w:szCs w:val="20"/>
          <w:lang w:val="en-US"/>
        </w:rPr>
      </w:pPr>
      <w:r w:rsidRPr="00B36ADE">
        <w:rPr>
          <w:rFonts w:ascii="Verdana" w:hAnsi="Verdana" w:cs="Times New Roman"/>
          <w:sz w:val="20"/>
          <w:szCs w:val="20"/>
          <w:lang w:val="en-US"/>
        </w:rPr>
        <w:lastRenderedPageBreak/>
        <w:t xml:space="preserve">The implementation of the investment projects is about 3 years, due to which the absorption of the </w:t>
      </w:r>
      <w:r w:rsidR="009855A4" w:rsidRPr="00B36ADE">
        <w:rPr>
          <w:rFonts w:ascii="Verdana" w:hAnsi="Verdana" w:cs="Times New Roman"/>
          <w:sz w:val="20"/>
          <w:szCs w:val="20"/>
          <w:lang w:val="en-US"/>
        </w:rPr>
        <w:t>awarded</w:t>
      </w:r>
      <w:r w:rsidRPr="00B36ADE">
        <w:rPr>
          <w:rFonts w:ascii="Verdana" w:hAnsi="Verdana" w:cs="Times New Roman"/>
          <w:sz w:val="20"/>
          <w:szCs w:val="20"/>
          <w:lang w:val="en-US"/>
        </w:rPr>
        <w:t xml:space="preserve"> budget must follow the negotiation by 3 years or by the end of 2019 at least 3/7 or 43% of the OPTTI funds should be actually used. However, the amount of verified funds shows a lag, as only in PA3 the verified </w:t>
      </w:r>
      <w:r w:rsidR="00FF60EE">
        <w:rPr>
          <w:rFonts w:ascii="Verdana" w:hAnsi="Verdana" w:cs="Times New Roman"/>
          <w:sz w:val="20"/>
          <w:szCs w:val="20"/>
          <w:lang w:val="en-US"/>
        </w:rPr>
        <w:t>expenditures</w:t>
      </w:r>
      <w:r w:rsidR="00FF60EE" w:rsidRPr="00B36ADE">
        <w:rPr>
          <w:rFonts w:ascii="Verdana" w:hAnsi="Verdana" w:cs="Times New Roman"/>
          <w:sz w:val="20"/>
          <w:szCs w:val="20"/>
          <w:lang w:val="en-US"/>
        </w:rPr>
        <w:t xml:space="preserve"> </w:t>
      </w:r>
      <w:r w:rsidRPr="00B36ADE">
        <w:rPr>
          <w:rFonts w:ascii="Verdana" w:hAnsi="Verdana" w:cs="Times New Roman"/>
          <w:sz w:val="20"/>
          <w:szCs w:val="20"/>
          <w:lang w:val="en-US"/>
        </w:rPr>
        <w:t>have a high percentage - a total of 84.62% of the resource of the axis. For the other two priority axes with an important</w:t>
      </w:r>
      <w:r w:rsidR="009855A4" w:rsidRPr="00B36ADE">
        <w:rPr>
          <w:rFonts w:ascii="Verdana" w:hAnsi="Verdana" w:cs="Times New Roman"/>
          <w:sz w:val="20"/>
          <w:szCs w:val="20"/>
          <w:lang w:val="en-US"/>
        </w:rPr>
        <w:t xml:space="preserve"> contribution to the program</w:t>
      </w:r>
      <w:r w:rsidR="006E2CF5" w:rsidRPr="00B36ADE">
        <w:rPr>
          <w:rFonts w:ascii="Verdana" w:hAnsi="Verdana" w:cs="Times New Roman"/>
          <w:sz w:val="20"/>
          <w:szCs w:val="20"/>
          <w:lang w:val="en-US"/>
        </w:rPr>
        <w:t>me</w:t>
      </w:r>
      <w:r w:rsidR="009855A4" w:rsidRPr="00B36ADE">
        <w:rPr>
          <w:rFonts w:ascii="Verdana" w:hAnsi="Verdana" w:cs="Times New Roman"/>
          <w:sz w:val="20"/>
          <w:szCs w:val="20"/>
          <w:lang w:val="en-US"/>
        </w:rPr>
        <w:t>, P</w:t>
      </w:r>
      <w:r w:rsidRPr="00B36ADE">
        <w:rPr>
          <w:rFonts w:ascii="Verdana" w:hAnsi="Verdana" w:cs="Times New Roman"/>
          <w:sz w:val="20"/>
          <w:szCs w:val="20"/>
          <w:lang w:val="en-US"/>
        </w:rPr>
        <w:t>A</w:t>
      </w:r>
      <w:r w:rsidR="009855A4" w:rsidRPr="00B36ADE">
        <w:rPr>
          <w:rFonts w:ascii="Verdana" w:hAnsi="Verdana" w:cs="Times New Roman"/>
          <w:sz w:val="20"/>
          <w:szCs w:val="20"/>
          <w:lang w:val="en-US"/>
        </w:rPr>
        <w:t>1</w:t>
      </w:r>
      <w:r w:rsidRPr="00B36ADE">
        <w:rPr>
          <w:rFonts w:ascii="Verdana" w:hAnsi="Verdana" w:cs="Times New Roman"/>
          <w:sz w:val="20"/>
          <w:szCs w:val="20"/>
          <w:lang w:val="en-US"/>
        </w:rPr>
        <w:t xml:space="preserve"> and PA2, the level of verification of expenditures relative to the axis budget is low (18.64% under PA1 and 35.43% under PA2). Nearly 50% of the financial </w:t>
      </w:r>
      <w:r w:rsidR="00B1333A" w:rsidRPr="00B36ADE">
        <w:rPr>
          <w:rFonts w:ascii="Verdana" w:hAnsi="Verdana" w:cs="Times New Roman"/>
          <w:sz w:val="20"/>
          <w:szCs w:val="20"/>
          <w:lang w:val="en-US"/>
        </w:rPr>
        <w:t>performance</w:t>
      </w:r>
      <w:r w:rsidRPr="00B36ADE">
        <w:rPr>
          <w:rFonts w:ascii="Verdana" w:hAnsi="Verdana" w:cs="Times New Roman"/>
          <w:sz w:val="20"/>
          <w:szCs w:val="20"/>
          <w:lang w:val="en-US"/>
        </w:rPr>
        <w:t xml:space="preserve"> of OPTTI is due to the projects for construction of the metro in Sofia. None of the major projects under the program</w:t>
      </w:r>
      <w:r w:rsidR="006E2CF5" w:rsidRPr="00B36ADE">
        <w:rPr>
          <w:rFonts w:ascii="Verdana" w:hAnsi="Verdana" w:cs="Times New Roman"/>
          <w:sz w:val="20"/>
          <w:szCs w:val="20"/>
          <w:lang w:val="en-US"/>
        </w:rPr>
        <w:t>me</w:t>
      </w:r>
      <w:r w:rsidRPr="00B36ADE">
        <w:rPr>
          <w:rFonts w:ascii="Verdana" w:hAnsi="Verdana" w:cs="Times New Roman"/>
          <w:sz w:val="20"/>
          <w:szCs w:val="20"/>
          <w:lang w:val="en-US"/>
        </w:rPr>
        <w:t xml:space="preserve"> has been fully completed, due to which the projects completed as of 31.12.2019 contribute insignificantly to the implementation of the financial objectives of the program</w:t>
      </w:r>
      <w:r w:rsidR="006E2CF5" w:rsidRPr="00B36ADE">
        <w:rPr>
          <w:rFonts w:ascii="Verdana" w:hAnsi="Verdana" w:cs="Times New Roman"/>
          <w:sz w:val="20"/>
          <w:szCs w:val="20"/>
          <w:lang w:val="en-US"/>
        </w:rPr>
        <w:t>me</w:t>
      </w:r>
      <w:r w:rsidRPr="00B36ADE">
        <w:rPr>
          <w:rFonts w:ascii="Verdana" w:hAnsi="Verdana" w:cs="Times New Roman"/>
          <w:sz w:val="20"/>
          <w:szCs w:val="20"/>
          <w:lang w:val="en-US"/>
        </w:rPr>
        <w:t xml:space="preserve">. 98% of the resource is concentrated in projects that are still </w:t>
      </w:r>
      <w:r w:rsidR="009855A4" w:rsidRPr="00B36ADE">
        <w:rPr>
          <w:rFonts w:ascii="Verdana" w:hAnsi="Verdana" w:cs="Times New Roman"/>
          <w:sz w:val="20"/>
          <w:szCs w:val="20"/>
          <w:lang w:val="en-US"/>
        </w:rPr>
        <w:t>in progress</w:t>
      </w:r>
      <w:r w:rsidRPr="00B36ADE">
        <w:rPr>
          <w:rFonts w:ascii="Verdana" w:hAnsi="Verdana" w:cs="Times New Roman"/>
          <w:sz w:val="20"/>
          <w:szCs w:val="20"/>
          <w:lang w:val="en-US"/>
        </w:rPr>
        <w:t>.</w:t>
      </w:r>
    </w:p>
    <w:p w14:paraId="61C3A116" w14:textId="0ED70AA9" w:rsidR="00D96045" w:rsidRPr="00B36ADE" w:rsidRDefault="00696A81" w:rsidP="00D96045">
      <w:pPr>
        <w:jc w:val="center"/>
        <w:rPr>
          <w:rFonts w:ascii="Verdana" w:hAnsi="Verdana" w:cs="Times New Roman"/>
          <w:sz w:val="20"/>
          <w:szCs w:val="20"/>
          <w:lang w:val="en-US"/>
        </w:rPr>
      </w:pPr>
      <w:r w:rsidRPr="00B36ADE">
        <w:rPr>
          <w:noProof/>
          <w:lang w:eastAsia="bg-BG"/>
        </w:rPr>
        <w:drawing>
          <wp:inline distT="0" distB="0" distL="0" distR="0" wp14:anchorId="6AC0AAD1" wp14:editId="4D2D719C">
            <wp:extent cx="4037965" cy="1705970"/>
            <wp:effectExtent l="0" t="0" r="635" b="889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5DBED18" w14:textId="087A413D" w:rsidR="00D96045" w:rsidRPr="00B36ADE" w:rsidRDefault="00D96045" w:rsidP="00D96045">
      <w:pPr>
        <w:jc w:val="both"/>
        <w:rPr>
          <w:rFonts w:ascii="Verdana" w:hAnsi="Verdana" w:cs="Times New Roman"/>
          <w:sz w:val="20"/>
          <w:szCs w:val="20"/>
          <w:lang w:val="en-US"/>
        </w:rPr>
      </w:pPr>
      <w:r w:rsidRPr="00B36ADE">
        <w:rPr>
          <w:rFonts w:ascii="Verdana" w:hAnsi="Verdana" w:cs="Times New Roman"/>
          <w:sz w:val="20"/>
          <w:szCs w:val="20"/>
          <w:lang w:val="en-US"/>
        </w:rPr>
        <w:t xml:space="preserve">The commitments under the OPTTI </w:t>
      </w:r>
      <w:r w:rsidR="0034605D">
        <w:rPr>
          <w:rFonts w:ascii="Verdana" w:hAnsi="Verdana" w:cs="Times New Roman"/>
          <w:sz w:val="20"/>
          <w:szCs w:val="20"/>
          <w:lang w:val="en-US"/>
        </w:rPr>
        <w:t>financing plan</w:t>
      </w:r>
      <w:r w:rsidRPr="00B36ADE">
        <w:rPr>
          <w:rFonts w:ascii="Verdana" w:hAnsi="Verdana" w:cs="Times New Roman"/>
          <w:sz w:val="20"/>
          <w:szCs w:val="20"/>
          <w:lang w:val="en-US"/>
        </w:rPr>
        <w:t xml:space="preserve"> are such that the annual resource must be spent no later than three years after the respective budget year (rule N+3), and according to the mechanism for calculating the annual commitments, they are not evenly distributed for all years and increase sharply at the end of the period. If part of the mandatory resource is not paid in this period (up to N+3), then this amount reduces the total resource of the program</w:t>
      </w:r>
      <w:r w:rsidR="006E2CF5" w:rsidRPr="00B36ADE">
        <w:rPr>
          <w:rFonts w:ascii="Verdana" w:hAnsi="Verdana" w:cs="Times New Roman"/>
          <w:sz w:val="20"/>
          <w:szCs w:val="20"/>
          <w:lang w:val="en-US"/>
        </w:rPr>
        <w:t>me</w:t>
      </w:r>
      <w:r w:rsidRPr="00B36ADE">
        <w:rPr>
          <w:rFonts w:ascii="Verdana" w:hAnsi="Verdana" w:cs="Times New Roman"/>
          <w:sz w:val="20"/>
          <w:szCs w:val="20"/>
          <w:lang w:val="en-US"/>
        </w:rPr>
        <w:t>. Although at the end of 2019 the implementation under the N+3 rule amounts to 112%, the data for 2019 show that the level of disbursement of funds under the program</w:t>
      </w:r>
      <w:r w:rsidR="006E2CF5" w:rsidRPr="00B36ADE">
        <w:rPr>
          <w:rFonts w:ascii="Verdana" w:hAnsi="Verdana" w:cs="Times New Roman"/>
          <w:sz w:val="20"/>
          <w:szCs w:val="20"/>
          <w:lang w:val="en-US"/>
        </w:rPr>
        <w:t>me</w:t>
      </w:r>
      <w:r w:rsidRPr="00B36ADE">
        <w:rPr>
          <w:rFonts w:ascii="Verdana" w:hAnsi="Verdana" w:cs="Times New Roman"/>
          <w:sz w:val="20"/>
          <w:szCs w:val="20"/>
          <w:lang w:val="en-US"/>
        </w:rPr>
        <w:t xml:space="preserve"> in this year is lower than in previous years. Therefore, in order not to lose funds under the program</w:t>
      </w:r>
      <w:r w:rsidR="006E2CF5" w:rsidRPr="00B36ADE">
        <w:rPr>
          <w:rFonts w:ascii="Verdana" w:hAnsi="Verdana" w:cs="Times New Roman"/>
          <w:sz w:val="20"/>
          <w:szCs w:val="20"/>
          <w:lang w:val="en-US"/>
        </w:rPr>
        <w:t>me</w:t>
      </w:r>
      <w:r w:rsidRPr="00B36ADE">
        <w:rPr>
          <w:rFonts w:ascii="Verdana" w:hAnsi="Verdana" w:cs="Times New Roman"/>
          <w:sz w:val="20"/>
          <w:szCs w:val="20"/>
          <w:lang w:val="en-US"/>
        </w:rPr>
        <w:t xml:space="preserve"> due to non-fulfillment of commitments under the </w:t>
      </w:r>
      <w:r w:rsidR="0034605D">
        <w:rPr>
          <w:rFonts w:ascii="Verdana" w:hAnsi="Verdana" w:cs="Times New Roman"/>
          <w:sz w:val="20"/>
          <w:szCs w:val="20"/>
          <w:lang w:val="en-US"/>
        </w:rPr>
        <w:t>financing plan</w:t>
      </w:r>
      <w:r w:rsidRPr="00B36ADE">
        <w:rPr>
          <w:rFonts w:ascii="Verdana" w:hAnsi="Verdana" w:cs="Times New Roman"/>
          <w:sz w:val="20"/>
          <w:szCs w:val="20"/>
          <w:lang w:val="en-US"/>
        </w:rPr>
        <w:t xml:space="preserve">, it is necessary to </w:t>
      </w:r>
      <w:r w:rsidR="00B1333A" w:rsidRPr="00B36ADE">
        <w:rPr>
          <w:rFonts w:ascii="Verdana" w:hAnsi="Verdana" w:cs="Times New Roman"/>
          <w:sz w:val="20"/>
          <w:szCs w:val="20"/>
          <w:lang w:val="en-US"/>
        </w:rPr>
        <w:t xml:space="preserve">significantly </w:t>
      </w:r>
      <w:r w:rsidRPr="00B36ADE">
        <w:rPr>
          <w:rFonts w:ascii="Verdana" w:hAnsi="Verdana" w:cs="Times New Roman"/>
          <w:sz w:val="20"/>
          <w:szCs w:val="20"/>
          <w:lang w:val="en-US"/>
        </w:rPr>
        <w:t xml:space="preserve">increase the rate of </w:t>
      </w:r>
      <w:r w:rsidR="00B1333A" w:rsidRPr="00B36ADE">
        <w:rPr>
          <w:rFonts w:ascii="Verdana" w:hAnsi="Verdana" w:cs="Times New Roman"/>
          <w:sz w:val="20"/>
          <w:szCs w:val="20"/>
          <w:lang w:val="en-US"/>
        </w:rPr>
        <w:t>payment</w:t>
      </w:r>
      <w:r w:rsidRPr="00B36ADE">
        <w:rPr>
          <w:rFonts w:ascii="Verdana" w:hAnsi="Verdana" w:cs="Times New Roman"/>
          <w:sz w:val="20"/>
          <w:szCs w:val="20"/>
          <w:lang w:val="en-US"/>
        </w:rPr>
        <w:t xml:space="preserve"> of grants for projects in the coming years (2020-2023).</w:t>
      </w:r>
    </w:p>
    <w:p w14:paraId="012380B3" w14:textId="77777777" w:rsidR="00D96045" w:rsidRPr="00B36ADE" w:rsidRDefault="00D96045" w:rsidP="00D96045">
      <w:pPr>
        <w:shd w:val="clear" w:color="auto" w:fill="374E81"/>
        <w:rPr>
          <w:rFonts w:ascii="Verdana" w:hAnsi="Verdana" w:cs="Tahoma"/>
          <w:b/>
          <w:i/>
          <w:color w:val="FFFFFF" w:themeColor="background1"/>
          <w:sz w:val="20"/>
          <w:szCs w:val="20"/>
          <w:lang w:val="en-US"/>
        </w:rPr>
      </w:pPr>
      <w:r w:rsidRPr="00B36ADE">
        <w:rPr>
          <w:rFonts w:ascii="Verdana" w:hAnsi="Verdana" w:cs="Tahoma"/>
          <w:b/>
          <w:i/>
          <w:color w:val="FFFFFF" w:themeColor="background1"/>
          <w:sz w:val="20"/>
          <w:szCs w:val="20"/>
          <w:lang w:val="en-US"/>
        </w:rPr>
        <w:t>What obstacles and problems in the absorption of funds are identified?</w:t>
      </w:r>
    </w:p>
    <w:p w14:paraId="4A0CF15F" w14:textId="2DF6C6E8" w:rsidR="00D96045" w:rsidRPr="00B36ADE" w:rsidRDefault="00D96045" w:rsidP="00D96045">
      <w:pPr>
        <w:jc w:val="both"/>
        <w:rPr>
          <w:rFonts w:ascii="Verdana" w:hAnsi="Verdana" w:cs="Times New Roman"/>
          <w:sz w:val="20"/>
          <w:szCs w:val="20"/>
          <w:lang w:val="en-US"/>
        </w:rPr>
      </w:pPr>
      <w:r w:rsidRPr="00B36ADE">
        <w:rPr>
          <w:rFonts w:ascii="Verdana" w:hAnsi="Verdana" w:cs="Times New Roman"/>
          <w:sz w:val="20"/>
          <w:szCs w:val="20"/>
          <w:lang w:val="en-US"/>
        </w:rPr>
        <w:t>The results of the analysis of financial and physical progress under the priority axes of the program</w:t>
      </w:r>
      <w:r w:rsidR="006E2CF5" w:rsidRPr="00B36ADE">
        <w:rPr>
          <w:rFonts w:ascii="Verdana" w:hAnsi="Verdana" w:cs="Times New Roman"/>
          <w:sz w:val="20"/>
          <w:szCs w:val="20"/>
          <w:lang w:val="en-US"/>
        </w:rPr>
        <w:t>me</w:t>
      </w:r>
      <w:r w:rsidRPr="00B36ADE">
        <w:rPr>
          <w:rFonts w:ascii="Verdana" w:hAnsi="Verdana" w:cs="Times New Roman"/>
          <w:sz w:val="20"/>
          <w:szCs w:val="20"/>
          <w:lang w:val="en-US"/>
        </w:rPr>
        <w:t xml:space="preserve"> show a significant delay in the implementation of projects under priority axes 1, 2 and 4 of the program</w:t>
      </w:r>
      <w:r w:rsidR="006E2CF5" w:rsidRPr="00B36ADE">
        <w:rPr>
          <w:rFonts w:ascii="Verdana" w:hAnsi="Verdana" w:cs="Times New Roman"/>
          <w:sz w:val="20"/>
          <w:szCs w:val="20"/>
          <w:lang w:val="en-US"/>
        </w:rPr>
        <w:t>me</w:t>
      </w:r>
      <w:r w:rsidRPr="00B36ADE">
        <w:rPr>
          <w:rFonts w:ascii="Verdana" w:hAnsi="Verdana" w:cs="Times New Roman"/>
          <w:sz w:val="20"/>
          <w:szCs w:val="20"/>
          <w:lang w:val="en-US"/>
        </w:rPr>
        <w:t>, as by the end of 2019 none of the major projects under the program</w:t>
      </w:r>
      <w:r w:rsidR="006E2CF5" w:rsidRPr="00B36ADE">
        <w:rPr>
          <w:rFonts w:ascii="Verdana" w:hAnsi="Verdana" w:cs="Times New Roman"/>
          <w:sz w:val="20"/>
          <w:szCs w:val="20"/>
          <w:lang w:val="en-US"/>
        </w:rPr>
        <w:t>me</w:t>
      </w:r>
      <w:r w:rsidRPr="00B36ADE">
        <w:rPr>
          <w:rFonts w:ascii="Verdana" w:hAnsi="Verdana" w:cs="Times New Roman"/>
          <w:sz w:val="20"/>
          <w:szCs w:val="20"/>
          <w:lang w:val="en-US"/>
        </w:rPr>
        <w:t xml:space="preserve"> has been completed. </w:t>
      </w:r>
      <w:r w:rsidRPr="00B36ADE">
        <w:rPr>
          <w:rFonts w:ascii="Verdana" w:hAnsi="Verdana" w:cs="Times New Roman"/>
          <w:b/>
          <w:sz w:val="20"/>
          <w:szCs w:val="20"/>
          <w:lang w:val="en-US"/>
        </w:rPr>
        <w:t>Nearly 99% of the PA1 budget</w:t>
      </w:r>
      <w:r w:rsidRPr="00B36ADE">
        <w:rPr>
          <w:rFonts w:ascii="Verdana" w:hAnsi="Verdana" w:cs="Times New Roman"/>
          <w:sz w:val="20"/>
          <w:szCs w:val="20"/>
          <w:lang w:val="en-US"/>
        </w:rPr>
        <w:t xml:space="preserve"> is concentrated in two main projects, one of which has a high risk of </w:t>
      </w:r>
      <w:r w:rsidR="00B5764B" w:rsidRPr="00B36ADE">
        <w:rPr>
          <w:rFonts w:ascii="Verdana" w:hAnsi="Verdana" w:cs="Times New Roman"/>
          <w:sz w:val="20"/>
          <w:szCs w:val="20"/>
          <w:lang w:val="en-US"/>
        </w:rPr>
        <w:t>incompletion</w:t>
      </w:r>
      <w:r w:rsidRPr="00B36ADE">
        <w:rPr>
          <w:rFonts w:ascii="Verdana" w:hAnsi="Verdana" w:cs="Times New Roman"/>
          <w:sz w:val="20"/>
          <w:szCs w:val="20"/>
          <w:lang w:val="en-US"/>
        </w:rPr>
        <w:t xml:space="preserve">, which identifies PA1 as the most critical </w:t>
      </w:r>
      <w:r w:rsidR="00B5764B" w:rsidRPr="00B36ADE">
        <w:rPr>
          <w:rFonts w:ascii="Verdana" w:hAnsi="Verdana" w:cs="Times New Roman"/>
          <w:sz w:val="20"/>
          <w:szCs w:val="20"/>
          <w:lang w:val="en-US"/>
        </w:rPr>
        <w:t>ax</w:t>
      </w:r>
      <w:r w:rsidR="00FF60EE">
        <w:rPr>
          <w:rFonts w:ascii="Verdana" w:hAnsi="Verdana" w:cs="Times New Roman"/>
          <w:sz w:val="20"/>
          <w:szCs w:val="20"/>
          <w:lang w:val="en-US"/>
        </w:rPr>
        <w:t>is</w:t>
      </w:r>
      <w:r w:rsidR="00B5764B" w:rsidRPr="00B36ADE">
        <w:rPr>
          <w:rFonts w:ascii="Verdana" w:hAnsi="Verdana" w:cs="Times New Roman"/>
          <w:sz w:val="20"/>
          <w:szCs w:val="20"/>
          <w:lang w:val="en-US"/>
        </w:rPr>
        <w:t xml:space="preserve"> </w:t>
      </w:r>
      <w:r w:rsidRPr="00B36ADE">
        <w:rPr>
          <w:rFonts w:ascii="Verdana" w:hAnsi="Verdana" w:cs="Times New Roman"/>
          <w:sz w:val="20"/>
          <w:szCs w:val="20"/>
          <w:lang w:val="en-US"/>
        </w:rPr>
        <w:t>for the financial implementation of the program</w:t>
      </w:r>
      <w:r w:rsidR="006E2CF5" w:rsidRPr="00B36ADE">
        <w:rPr>
          <w:rFonts w:ascii="Verdana" w:hAnsi="Verdana" w:cs="Times New Roman"/>
          <w:sz w:val="20"/>
          <w:szCs w:val="20"/>
          <w:lang w:val="en-US"/>
        </w:rPr>
        <w:t>me</w:t>
      </w:r>
      <w:r w:rsidRPr="00B36ADE">
        <w:rPr>
          <w:rFonts w:ascii="Verdana" w:hAnsi="Verdana" w:cs="Times New Roman"/>
          <w:sz w:val="20"/>
          <w:szCs w:val="20"/>
          <w:lang w:val="en-US"/>
        </w:rPr>
        <w:t xml:space="preserve">. Within PA2, where the other major project for the construction of the Struma Motorway </w:t>
      </w:r>
      <w:r w:rsidR="009855A4" w:rsidRPr="00B36ADE">
        <w:rPr>
          <w:rFonts w:ascii="Verdana" w:hAnsi="Verdana" w:cs="Times New Roman"/>
          <w:sz w:val="20"/>
          <w:szCs w:val="20"/>
          <w:lang w:val="en-US"/>
        </w:rPr>
        <w:t>falls</w:t>
      </w:r>
      <w:r w:rsidRPr="00B36ADE">
        <w:rPr>
          <w:rFonts w:ascii="Verdana" w:hAnsi="Verdana" w:cs="Times New Roman"/>
          <w:sz w:val="20"/>
          <w:szCs w:val="20"/>
          <w:lang w:val="en-US"/>
        </w:rPr>
        <w:t>, there are also serious problems related to the withdrawal from the program of Lot 3.2, section "Krupnik - Kresna".</w:t>
      </w:r>
    </w:p>
    <w:p w14:paraId="6D94B901" w14:textId="79ACF707" w:rsidR="00D96045" w:rsidRPr="00B36ADE" w:rsidRDefault="00D96045" w:rsidP="00D96045">
      <w:pPr>
        <w:jc w:val="both"/>
        <w:rPr>
          <w:rFonts w:ascii="Verdana" w:hAnsi="Verdana" w:cs="Times New Roman"/>
          <w:sz w:val="20"/>
          <w:szCs w:val="20"/>
          <w:lang w:val="en-US"/>
        </w:rPr>
      </w:pPr>
      <w:r w:rsidRPr="00B36ADE">
        <w:rPr>
          <w:rFonts w:ascii="Verdana" w:hAnsi="Verdana" w:cs="Times New Roman"/>
          <w:sz w:val="20"/>
          <w:szCs w:val="20"/>
          <w:lang w:val="en-US"/>
        </w:rPr>
        <w:t xml:space="preserve">There are a number of unresolved issues from the previous programming period, related to lengthy appeals </w:t>
      </w:r>
      <w:r w:rsidR="00FF60EE">
        <w:rPr>
          <w:rFonts w:ascii="Verdana" w:hAnsi="Verdana" w:cs="Times New Roman"/>
          <w:sz w:val="20"/>
          <w:szCs w:val="20"/>
          <w:lang w:val="en-US"/>
        </w:rPr>
        <w:t>against</w:t>
      </w:r>
      <w:r w:rsidRPr="00B36ADE">
        <w:rPr>
          <w:rFonts w:ascii="Verdana" w:hAnsi="Verdana" w:cs="Times New Roman"/>
          <w:sz w:val="20"/>
          <w:szCs w:val="20"/>
          <w:lang w:val="en-US"/>
        </w:rPr>
        <w:t xml:space="preserve"> tender procedures, complex coordination and </w:t>
      </w:r>
      <w:r w:rsidR="00FB500A">
        <w:rPr>
          <w:rFonts w:ascii="Verdana" w:hAnsi="Verdana" w:cs="Times New Roman"/>
          <w:sz w:val="20"/>
          <w:szCs w:val="20"/>
          <w:lang w:val="en-US"/>
        </w:rPr>
        <w:t>land acquisition</w:t>
      </w:r>
      <w:r w:rsidRPr="00B36ADE">
        <w:rPr>
          <w:rFonts w:ascii="Verdana" w:hAnsi="Verdana" w:cs="Times New Roman"/>
          <w:sz w:val="20"/>
          <w:szCs w:val="20"/>
          <w:lang w:val="en-US"/>
        </w:rPr>
        <w:t xml:space="preserve"> procedures, which lead to serious delays in project implementation (in some projects for years) and risk </w:t>
      </w:r>
      <w:r w:rsidR="009F3689" w:rsidRPr="00B36ADE">
        <w:rPr>
          <w:rFonts w:ascii="Verdana" w:hAnsi="Verdana" w:cs="Times New Roman"/>
          <w:sz w:val="20"/>
          <w:szCs w:val="20"/>
          <w:lang w:val="en-US"/>
        </w:rPr>
        <w:t>of</w:t>
      </w:r>
      <w:r w:rsidRPr="00B36ADE">
        <w:rPr>
          <w:rFonts w:ascii="Verdana" w:hAnsi="Verdana" w:cs="Times New Roman"/>
          <w:sz w:val="20"/>
          <w:szCs w:val="20"/>
          <w:lang w:val="en-US"/>
        </w:rPr>
        <w:t xml:space="preserve"> </w:t>
      </w:r>
      <w:r w:rsidR="009F3689" w:rsidRPr="00B36ADE">
        <w:rPr>
          <w:rFonts w:ascii="Verdana" w:hAnsi="Verdana" w:cs="Times New Roman"/>
          <w:sz w:val="20"/>
          <w:szCs w:val="20"/>
          <w:lang w:val="en-US"/>
        </w:rPr>
        <w:t xml:space="preserve">failure to </w:t>
      </w:r>
      <w:r w:rsidRPr="00B36ADE">
        <w:rPr>
          <w:rFonts w:ascii="Verdana" w:hAnsi="Verdana" w:cs="Times New Roman"/>
          <w:sz w:val="20"/>
          <w:szCs w:val="20"/>
          <w:lang w:val="en-US"/>
        </w:rPr>
        <w:t>achieve</w:t>
      </w:r>
      <w:r w:rsidR="009F3689" w:rsidRPr="00B36ADE">
        <w:rPr>
          <w:rFonts w:ascii="Verdana" w:hAnsi="Verdana" w:cs="Times New Roman"/>
          <w:sz w:val="20"/>
          <w:szCs w:val="20"/>
          <w:lang w:val="en-US"/>
        </w:rPr>
        <w:t xml:space="preserve"> the</w:t>
      </w:r>
      <w:r w:rsidRPr="00B36ADE">
        <w:rPr>
          <w:rFonts w:ascii="Verdana" w:hAnsi="Verdana" w:cs="Times New Roman"/>
          <w:sz w:val="20"/>
          <w:szCs w:val="20"/>
          <w:lang w:val="en-US"/>
        </w:rPr>
        <w:t xml:space="preserve"> program</w:t>
      </w:r>
      <w:r w:rsidR="006E2CF5" w:rsidRPr="00B36ADE">
        <w:rPr>
          <w:rFonts w:ascii="Verdana" w:hAnsi="Verdana" w:cs="Times New Roman"/>
          <w:sz w:val="20"/>
          <w:szCs w:val="20"/>
          <w:lang w:val="en-US"/>
        </w:rPr>
        <w:t>me</w:t>
      </w:r>
      <w:r w:rsidRPr="00B36ADE">
        <w:rPr>
          <w:rFonts w:ascii="Verdana" w:hAnsi="Verdana" w:cs="Times New Roman"/>
          <w:sz w:val="20"/>
          <w:szCs w:val="20"/>
          <w:lang w:val="en-US"/>
        </w:rPr>
        <w:t xml:space="preserve"> objectives.</w:t>
      </w:r>
    </w:p>
    <w:p w14:paraId="7D8A4B74" w14:textId="2791864A" w:rsidR="00D96045" w:rsidRPr="00B36ADE" w:rsidRDefault="00D96045" w:rsidP="00D96045">
      <w:pPr>
        <w:jc w:val="both"/>
        <w:rPr>
          <w:rFonts w:ascii="Verdana" w:hAnsi="Verdana" w:cs="Times New Roman"/>
          <w:sz w:val="20"/>
          <w:szCs w:val="20"/>
          <w:lang w:val="en-US"/>
        </w:rPr>
      </w:pPr>
      <w:r w:rsidRPr="00B36ADE">
        <w:rPr>
          <w:rFonts w:ascii="Verdana" w:hAnsi="Verdana" w:cs="Times New Roman"/>
          <w:sz w:val="20"/>
          <w:szCs w:val="20"/>
          <w:lang w:val="en-US"/>
        </w:rPr>
        <w:lastRenderedPageBreak/>
        <w:t xml:space="preserve">The analysis shows that a large part of the projects included in OPTTI have a low degree of project </w:t>
      </w:r>
      <w:r w:rsidR="001F4F0F">
        <w:rPr>
          <w:rFonts w:ascii="Verdana" w:hAnsi="Verdana" w:cs="Times New Roman"/>
          <w:sz w:val="20"/>
          <w:szCs w:val="20"/>
          <w:lang w:val="en-US"/>
        </w:rPr>
        <w:t>maturity</w:t>
      </w:r>
      <w:r w:rsidRPr="00B36ADE">
        <w:rPr>
          <w:rFonts w:ascii="Verdana" w:hAnsi="Verdana" w:cs="Times New Roman"/>
          <w:sz w:val="20"/>
          <w:szCs w:val="20"/>
          <w:lang w:val="en-US"/>
        </w:rPr>
        <w:t xml:space="preserve">. This leads to serious delays and creates a risk of </w:t>
      </w:r>
      <w:r w:rsidR="009F3689" w:rsidRPr="00B36ADE">
        <w:rPr>
          <w:rFonts w:ascii="Verdana" w:hAnsi="Verdana" w:cs="Times New Roman"/>
          <w:sz w:val="20"/>
          <w:szCs w:val="20"/>
          <w:lang w:val="en-US"/>
        </w:rPr>
        <w:t>incompletion</w:t>
      </w:r>
      <w:r w:rsidRPr="00B36ADE">
        <w:rPr>
          <w:rFonts w:ascii="Verdana" w:hAnsi="Verdana" w:cs="Times New Roman"/>
          <w:sz w:val="20"/>
          <w:szCs w:val="20"/>
          <w:lang w:val="en-US"/>
        </w:rPr>
        <w:t xml:space="preserve"> of the projects by the deadline </w:t>
      </w:r>
      <w:r w:rsidR="009F3689" w:rsidRPr="00B36ADE">
        <w:rPr>
          <w:rFonts w:ascii="Verdana" w:hAnsi="Verdana" w:cs="Times New Roman"/>
          <w:sz w:val="20"/>
          <w:szCs w:val="20"/>
          <w:lang w:val="en-US"/>
        </w:rPr>
        <w:t>when</w:t>
      </w:r>
      <w:r w:rsidRPr="00B36ADE">
        <w:rPr>
          <w:rFonts w:ascii="Verdana" w:hAnsi="Verdana" w:cs="Times New Roman"/>
          <w:sz w:val="20"/>
          <w:szCs w:val="20"/>
          <w:lang w:val="en-US"/>
        </w:rPr>
        <w:t xml:space="preserve"> the costs for them </w:t>
      </w:r>
      <w:r w:rsidR="009F3689" w:rsidRPr="00B36ADE">
        <w:rPr>
          <w:rFonts w:ascii="Verdana" w:hAnsi="Verdana" w:cs="Times New Roman"/>
          <w:sz w:val="20"/>
          <w:szCs w:val="20"/>
          <w:lang w:val="en-US"/>
        </w:rPr>
        <w:t>should</w:t>
      </w:r>
      <w:r w:rsidRPr="00B36ADE">
        <w:rPr>
          <w:rFonts w:ascii="Verdana" w:hAnsi="Verdana" w:cs="Times New Roman"/>
          <w:sz w:val="20"/>
          <w:szCs w:val="20"/>
          <w:lang w:val="en-US"/>
        </w:rPr>
        <w:t xml:space="preserve"> be reported (31.12.2023).</w:t>
      </w:r>
    </w:p>
    <w:p w14:paraId="3D7D9727" w14:textId="6460DD45" w:rsidR="00D96045" w:rsidRPr="00B36ADE" w:rsidRDefault="00D96045" w:rsidP="00D96045">
      <w:pPr>
        <w:tabs>
          <w:tab w:val="left" w:pos="8735"/>
        </w:tabs>
        <w:jc w:val="both"/>
        <w:rPr>
          <w:rFonts w:ascii="Verdana" w:hAnsi="Verdana" w:cs="Times New Roman"/>
          <w:sz w:val="20"/>
          <w:szCs w:val="20"/>
          <w:lang w:val="en-US"/>
        </w:rPr>
      </w:pPr>
      <w:r w:rsidRPr="00B36ADE">
        <w:rPr>
          <w:rFonts w:ascii="Verdana" w:hAnsi="Verdana" w:cs="Times New Roman"/>
          <w:sz w:val="20"/>
          <w:szCs w:val="20"/>
          <w:lang w:val="en-US"/>
        </w:rPr>
        <w:t>Financial corrections were imposed on all studied priority axes (1-4), as their total value amounted to BGN 72,458,339.18, which represents about 2% of the grants under the program</w:t>
      </w:r>
      <w:r w:rsidR="006E2CF5" w:rsidRPr="00B36ADE">
        <w:rPr>
          <w:rFonts w:ascii="Verdana" w:hAnsi="Verdana" w:cs="Times New Roman"/>
          <w:sz w:val="20"/>
          <w:szCs w:val="20"/>
          <w:lang w:val="en-US"/>
        </w:rPr>
        <w:t>me</w:t>
      </w:r>
      <w:r w:rsidRPr="00B36ADE">
        <w:rPr>
          <w:rFonts w:ascii="Verdana" w:hAnsi="Verdana" w:cs="Times New Roman"/>
          <w:sz w:val="20"/>
          <w:szCs w:val="20"/>
          <w:lang w:val="en-US"/>
        </w:rPr>
        <w:t xml:space="preserve">. The main reason for </w:t>
      </w:r>
      <w:r w:rsidR="009F3689" w:rsidRPr="00B36ADE">
        <w:rPr>
          <w:rFonts w:ascii="Verdana" w:hAnsi="Verdana" w:cs="Times New Roman"/>
          <w:sz w:val="20"/>
          <w:szCs w:val="20"/>
          <w:lang w:val="en-US"/>
        </w:rPr>
        <w:t>imposing</w:t>
      </w:r>
      <w:r w:rsidRPr="00B36ADE">
        <w:rPr>
          <w:rFonts w:ascii="Verdana" w:hAnsi="Verdana" w:cs="Times New Roman"/>
          <w:sz w:val="20"/>
          <w:szCs w:val="20"/>
          <w:lang w:val="en-US"/>
        </w:rPr>
        <w:t xml:space="preserve"> financial corrections is a violation of the Public Procurement Act in the selection of contractors for projects.</w:t>
      </w:r>
    </w:p>
    <w:p w14:paraId="161C904F" w14:textId="31BC6C93" w:rsidR="00D96045" w:rsidRPr="00B36ADE" w:rsidRDefault="00D96045" w:rsidP="00D96045">
      <w:pPr>
        <w:tabs>
          <w:tab w:val="left" w:pos="8735"/>
        </w:tabs>
        <w:jc w:val="both"/>
        <w:rPr>
          <w:rFonts w:ascii="Verdana" w:hAnsi="Verdana" w:cs="Times New Roman"/>
          <w:sz w:val="20"/>
          <w:szCs w:val="20"/>
          <w:lang w:val="en-US"/>
        </w:rPr>
      </w:pPr>
      <w:r w:rsidRPr="00B36ADE">
        <w:rPr>
          <w:rFonts w:ascii="Verdana" w:hAnsi="Verdana" w:cs="Times New Roman"/>
          <w:sz w:val="20"/>
          <w:szCs w:val="20"/>
          <w:lang w:val="en-US"/>
        </w:rPr>
        <w:t xml:space="preserve">The most relevant problems identified in the scope of the analysis are related to the continuation and appeal </w:t>
      </w:r>
      <w:r w:rsidR="00753112">
        <w:rPr>
          <w:rFonts w:ascii="Verdana" w:hAnsi="Verdana" w:cs="Times New Roman"/>
          <w:sz w:val="20"/>
          <w:szCs w:val="20"/>
          <w:lang w:val="en-US"/>
        </w:rPr>
        <w:t>against</w:t>
      </w:r>
      <w:r w:rsidRPr="00B36ADE">
        <w:rPr>
          <w:rFonts w:ascii="Verdana" w:hAnsi="Verdana" w:cs="Times New Roman"/>
          <w:sz w:val="20"/>
          <w:szCs w:val="20"/>
          <w:lang w:val="en-US"/>
        </w:rPr>
        <w:t xml:space="preserve"> public procurement procedures, as well as the length of </w:t>
      </w:r>
      <w:r w:rsidR="00FB500A">
        <w:rPr>
          <w:rFonts w:ascii="Verdana" w:hAnsi="Verdana" w:cs="Times New Roman"/>
          <w:sz w:val="20"/>
          <w:szCs w:val="20"/>
          <w:lang w:val="en-US"/>
        </w:rPr>
        <w:t>land acquisition</w:t>
      </w:r>
      <w:r w:rsidRPr="00B36ADE">
        <w:rPr>
          <w:rFonts w:ascii="Verdana" w:hAnsi="Verdana" w:cs="Times New Roman"/>
          <w:sz w:val="20"/>
          <w:szCs w:val="20"/>
          <w:lang w:val="en-US"/>
        </w:rPr>
        <w:t xml:space="preserve"> procedures. These are the problems leading to the largest amount of delays in project implementation. Most of the causes leading to these problems are not in the scope and powers of the beneficiaries and the MA and therefore have to be addressed to other institutions.</w:t>
      </w:r>
    </w:p>
    <w:p w14:paraId="60D8D1B5" w14:textId="16E82A3A" w:rsidR="00D96045" w:rsidRPr="00B36ADE" w:rsidRDefault="00D96045" w:rsidP="00D96045">
      <w:pPr>
        <w:tabs>
          <w:tab w:val="left" w:pos="8735"/>
        </w:tabs>
        <w:jc w:val="both"/>
        <w:rPr>
          <w:rFonts w:ascii="Verdana" w:hAnsi="Verdana" w:cs="Times New Roman"/>
          <w:sz w:val="20"/>
          <w:szCs w:val="20"/>
          <w:lang w:val="en-US"/>
        </w:rPr>
      </w:pPr>
      <w:r w:rsidRPr="00B36ADE">
        <w:rPr>
          <w:rFonts w:ascii="Verdana" w:hAnsi="Verdana" w:cs="Times New Roman"/>
          <w:sz w:val="20"/>
          <w:szCs w:val="20"/>
          <w:lang w:val="en-US"/>
        </w:rPr>
        <w:t xml:space="preserve">The MA and </w:t>
      </w:r>
      <w:r w:rsidR="007605DE" w:rsidRPr="00B36ADE">
        <w:rPr>
          <w:rFonts w:ascii="Verdana" w:hAnsi="Verdana" w:cs="Times New Roman"/>
          <w:sz w:val="20"/>
          <w:szCs w:val="20"/>
          <w:lang w:val="en-US"/>
        </w:rPr>
        <w:t>beneficiaries</w:t>
      </w:r>
      <w:r w:rsidR="007605DE" w:rsidRPr="00380774">
        <w:rPr>
          <w:rFonts w:ascii="Verdana" w:hAnsi="Verdana" w:cs="Times New Roman"/>
          <w:sz w:val="20"/>
          <w:szCs w:val="20"/>
          <w:lang w:val="en-US"/>
        </w:rPr>
        <w:t xml:space="preserve"> </w:t>
      </w:r>
      <w:r w:rsidRPr="00B36ADE">
        <w:rPr>
          <w:rFonts w:ascii="Verdana" w:hAnsi="Verdana" w:cs="Times New Roman"/>
          <w:sz w:val="20"/>
          <w:szCs w:val="20"/>
          <w:lang w:val="en-US"/>
        </w:rPr>
        <w:t xml:space="preserve">have taken corrective measures for most of the problems, which measures are evaluated as effective to a certain extend and it is expected that this will lead to resolution or mitigation of some problems during the next programming period. </w:t>
      </w:r>
    </w:p>
    <w:p w14:paraId="78F1F0A1" w14:textId="2B51E4C1" w:rsidR="00D96045" w:rsidRPr="00B36ADE" w:rsidRDefault="00D96045" w:rsidP="00D96045">
      <w:pPr>
        <w:shd w:val="clear" w:color="auto" w:fill="374E81"/>
        <w:tabs>
          <w:tab w:val="left" w:pos="8735"/>
        </w:tabs>
        <w:spacing w:before="120" w:after="120"/>
        <w:jc w:val="both"/>
        <w:rPr>
          <w:rFonts w:ascii="Verdana" w:hAnsi="Verdana" w:cs="Times New Roman"/>
          <w:b/>
          <w:color w:val="FFFFFF" w:themeColor="background1"/>
          <w:sz w:val="20"/>
          <w:szCs w:val="20"/>
          <w:lang w:val="en-US"/>
        </w:rPr>
      </w:pPr>
      <w:r w:rsidRPr="00B36ADE">
        <w:rPr>
          <w:rFonts w:ascii="Verdana" w:hAnsi="Verdana" w:cs="Tahoma"/>
          <w:b/>
          <w:i/>
          <w:color w:val="FFFFFF" w:themeColor="background1"/>
          <w:sz w:val="20"/>
          <w:szCs w:val="20"/>
          <w:lang w:val="en-US"/>
        </w:rPr>
        <w:t>What is th</w:t>
      </w:r>
      <w:r w:rsidR="005535F6" w:rsidRPr="00B36ADE">
        <w:rPr>
          <w:rFonts w:ascii="Verdana" w:hAnsi="Verdana" w:cs="Tahoma"/>
          <w:b/>
          <w:i/>
          <w:color w:val="FFFFFF" w:themeColor="background1"/>
          <w:sz w:val="20"/>
          <w:szCs w:val="20"/>
          <w:lang w:val="en-US"/>
        </w:rPr>
        <w:t xml:space="preserve">e degree of physical </w:t>
      </w:r>
      <w:r w:rsidR="003712D2" w:rsidRPr="00B36ADE">
        <w:rPr>
          <w:rFonts w:ascii="Verdana" w:hAnsi="Verdana" w:cs="Tahoma"/>
          <w:b/>
          <w:i/>
          <w:color w:val="FFFFFF" w:themeColor="background1"/>
          <w:sz w:val="20"/>
          <w:szCs w:val="20"/>
          <w:lang w:val="en-US"/>
        </w:rPr>
        <w:t>progress</w:t>
      </w:r>
      <w:r w:rsidRPr="00B36ADE">
        <w:rPr>
          <w:rFonts w:ascii="Verdana" w:hAnsi="Verdana" w:cs="Tahoma"/>
          <w:b/>
          <w:i/>
          <w:color w:val="FFFFFF" w:themeColor="background1"/>
          <w:sz w:val="20"/>
          <w:szCs w:val="20"/>
          <w:lang w:val="en-US"/>
        </w:rPr>
        <w:t xml:space="preserve"> in relation to the </w:t>
      </w:r>
      <w:r w:rsidR="0027752F" w:rsidRPr="00B36ADE">
        <w:rPr>
          <w:rFonts w:ascii="Verdana" w:hAnsi="Verdana" w:cs="Tahoma"/>
          <w:b/>
          <w:i/>
          <w:color w:val="FFFFFF" w:themeColor="background1"/>
          <w:sz w:val="20"/>
          <w:szCs w:val="20"/>
          <w:lang w:val="en-US"/>
        </w:rPr>
        <w:t>output</w:t>
      </w:r>
      <w:r w:rsidRPr="00B36ADE">
        <w:rPr>
          <w:rFonts w:ascii="Verdana" w:hAnsi="Verdana" w:cs="Tahoma"/>
          <w:b/>
          <w:i/>
          <w:color w:val="FFFFFF" w:themeColor="background1"/>
          <w:sz w:val="20"/>
          <w:szCs w:val="20"/>
          <w:lang w:val="en-US"/>
        </w:rPr>
        <w:t xml:space="preserve"> and result indicators at the level of priority axes?</w:t>
      </w:r>
    </w:p>
    <w:p w14:paraId="74A9558F" w14:textId="2E97A456" w:rsidR="00D96045" w:rsidRPr="00B36ADE" w:rsidRDefault="00D96045" w:rsidP="00D96045">
      <w:pPr>
        <w:jc w:val="both"/>
        <w:rPr>
          <w:rFonts w:ascii="Verdana" w:hAnsi="Verdana"/>
          <w:sz w:val="20"/>
          <w:szCs w:val="20"/>
          <w:lang w:val="en-US"/>
        </w:rPr>
      </w:pPr>
      <w:r w:rsidRPr="00B36ADE">
        <w:rPr>
          <w:rFonts w:ascii="Verdana" w:hAnsi="Verdana"/>
          <w:sz w:val="20"/>
          <w:szCs w:val="20"/>
          <w:lang w:val="en-US"/>
        </w:rPr>
        <w:t>The degree of physical performance is measured in relation to the indicators set in the program</w:t>
      </w:r>
      <w:r w:rsidR="006E2CF5" w:rsidRPr="00B36ADE">
        <w:rPr>
          <w:rFonts w:ascii="Verdana" w:hAnsi="Verdana"/>
          <w:sz w:val="20"/>
          <w:szCs w:val="20"/>
          <w:lang w:val="en-US"/>
        </w:rPr>
        <w:t>me</w:t>
      </w:r>
      <w:r w:rsidRPr="00B36ADE">
        <w:rPr>
          <w:rFonts w:ascii="Verdana" w:hAnsi="Verdana"/>
          <w:sz w:val="20"/>
          <w:szCs w:val="20"/>
          <w:lang w:val="en-US"/>
        </w:rPr>
        <w:t xml:space="preserve"> for progress and results, the achieved values of which at the end of 2019 are reviewed and analyzed </w:t>
      </w:r>
      <w:r w:rsidR="009F3689" w:rsidRPr="00B36ADE">
        <w:rPr>
          <w:rFonts w:ascii="Verdana" w:hAnsi="Verdana"/>
          <w:sz w:val="20"/>
          <w:szCs w:val="20"/>
          <w:lang w:val="en-US"/>
        </w:rPr>
        <w:t>under all</w:t>
      </w:r>
      <w:r w:rsidRPr="00B36ADE">
        <w:rPr>
          <w:rFonts w:ascii="Verdana" w:hAnsi="Verdana"/>
          <w:sz w:val="20"/>
          <w:szCs w:val="20"/>
          <w:lang w:val="en-US"/>
        </w:rPr>
        <w:t xml:space="preserve"> priority axes of OPTTI. The analysis shows that out of 12 indicators for progress, only two have achieved the target values, one has a little over 50% </w:t>
      </w:r>
      <w:r w:rsidR="00157EE9" w:rsidRPr="00B36ADE">
        <w:rPr>
          <w:rFonts w:ascii="Verdana" w:hAnsi="Verdana"/>
          <w:sz w:val="20"/>
          <w:szCs w:val="20"/>
          <w:lang w:val="en-US"/>
        </w:rPr>
        <w:t>progress</w:t>
      </w:r>
      <w:r w:rsidRPr="00B36ADE">
        <w:rPr>
          <w:rFonts w:ascii="Verdana" w:hAnsi="Verdana"/>
          <w:sz w:val="20"/>
          <w:szCs w:val="20"/>
          <w:lang w:val="en-US"/>
        </w:rPr>
        <w:t xml:space="preserve">, the rest are below 33% and </w:t>
      </w:r>
      <w:r w:rsidR="00157EE9" w:rsidRPr="00B36ADE">
        <w:rPr>
          <w:rFonts w:ascii="Verdana" w:hAnsi="Verdana"/>
          <w:sz w:val="20"/>
          <w:szCs w:val="20"/>
          <w:lang w:val="en-US"/>
        </w:rPr>
        <w:t>for</w:t>
      </w:r>
      <w:r w:rsidRPr="00B36ADE">
        <w:rPr>
          <w:rFonts w:ascii="Verdana" w:hAnsi="Verdana"/>
          <w:sz w:val="20"/>
          <w:szCs w:val="20"/>
          <w:lang w:val="en-US"/>
        </w:rPr>
        <w:t xml:space="preserve"> 5 of the indicators the level of </w:t>
      </w:r>
      <w:r w:rsidR="00FC644C">
        <w:rPr>
          <w:rFonts w:ascii="Verdana" w:hAnsi="Verdana"/>
          <w:sz w:val="20"/>
          <w:szCs w:val="20"/>
          <w:lang w:val="en-US"/>
        </w:rPr>
        <w:t>progress</w:t>
      </w:r>
      <w:r w:rsidR="00FC644C" w:rsidRPr="00B36ADE">
        <w:rPr>
          <w:rFonts w:ascii="Verdana" w:hAnsi="Verdana"/>
          <w:sz w:val="20"/>
          <w:szCs w:val="20"/>
          <w:lang w:val="en-US"/>
        </w:rPr>
        <w:t xml:space="preserve"> </w:t>
      </w:r>
      <w:r w:rsidRPr="00B36ADE">
        <w:rPr>
          <w:rFonts w:ascii="Verdana" w:hAnsi="Verdana"/>
          <w:sz w:val="20"/>
          <w:szCs w:val="20"/>
          <w:lang w:val="en-US"/>
        </w:rPr>
        <w:t xml:space="preserve">as of 31.12.2019 is 0%. The main reason for not achieving the </w:t>
      </w:r>
      <w:r w:rsidR="00157EE9" w:rsidRPr="00B36ADE">
        <w:rPr>
          <w:rFonts w:ascii="Verdana" w:hAnsi="Verdana"/>
          <w:sz w:val="20"/>
          <w:szCs w:val="20"/>
          <w:lang w:val="en-US"/>
        </w:rPr>
        <w:t xml:space="preserve">targets of </w:t>
      </w:r>
      <w:r w:rsidRPr="00B36ADE">
        <w:rPr>
          <w:rFonts w:ascii="Verdana" w:hAnsi="Verdana"/>
          <w:sz w:val="20"/>
          <w:szCs w:val="20"/>
          <w:lang w:val="en-US"/>
        </w:rPr>
        <w:t>indicators is the delay in the implementation of projects, which in many cases is close to or over 1 year.</w:t>
      </w:r>
    </w:p>
    <w:p w14:paraId="1F443F92" w14:textId="32CE1C49" w:rsidR="00D96045" w:rsidRPr="00B36ADE" w:rsidRDefault="00D96045" w:rsidP="00D96045">
      <w:pPr>
        <w:jc w:val="both"/>
        <w:rPr>
          <w:rFonts w:ascii="Verdana" w:hAnsi="Verdana"/>
          <w:sz w:val="20"/>
          <w:szCs w:val="20"/>
          <w:lang w:val="en-US"/>
        </w:rPr>
      </w:pPr>
      <w:r w:rsidRPr="00B36ADE">
        <w:rPr>
          <w:rFonts w:ascii="Verdana" w:hAnsi="Verdana"/>
          <w:sz w:val="20"/>
          <w:szCs w:val="20"/>
          <w:lang w:val="en-US"/>
        </w:rPr>
        <w:t xml:space="preserve">The deadlines for implementation of some of the projects (under PА1, PА2 and PА4), which contribute to achieving the values of the indicators under the priority axes, are in 2023, </w:t>
      </w:r>
      <w:r w:rsidR="00157EE9" w:rsidRPr="00B36ADE">
        <w:rPr>
          <w:rFonts w:ascii="Verdana" w:hAnsi="Verdana"/>
          <w:sz w:val="20"/>
          <w:szCs w:val="20"/>
          <w:lang w:val="en-US"/>
        </w:rPr>
        <w:t>i.</w:t>
      </w:r>
      <w:r w:rsidRPr="00B36ADE">
        <w:rPr>
          <w:rFonts w:ascii="Verdana" w:hAnsi="Verdana"/>
          <w:sz w:val="20"/>
          <w:szCs w:val="20"/>
          <w:lang w:val="en-US"/>
        </w:rPr>
        <w:t>e. close to the end of t</w:t>
      </w:r>
      <w:r w:rsidR="00F86016" w:rsidRPr="00B36ADE">
        <w:rPr>
          <w:rFonts w:ascii="Verdana" w:hAnsi="Verdana"/>
          <w:sz w:val="20"/>
          <w:szCs w:val="20"/>
          <w:lang w:val="en-US"/>
        </w:rPr>
        <w:t>he programming period. This expose</w:t>
      </w:r>
      <w:r w:rsidR="00412642">
        <w:rPr>
          <w:rFonts w:ascii="Verdana" w:hAnsi="Verdana"/>
          <w:sz w:val="20"/>
          <w:szCs w:val="20"/>
          <w:lang w:val="en-US"/>
        </w:rPr>
        <w:t>s</w:t>
      </w:r>
      <w:r w:rsidRPr="00B36ADE">
        <w:rPr>
          <w:rFonts w:ascii="Verdana" w:hAnsi="Verdana"/>
          <w:sz w:val="20"/>
          <w:szCs w:val="20"/>
          <w:lang w:val="en-US"/>
        </w:rPr>
        <w:t xml:space="preserve"> at risk the achievement of the final </w:t>
      </w:r>
      <w:r w:rsidR="00CD180E">
        <w:rPr>
          <w:rFonts w:ascii="Verdana" w:hAnsi="Verdana"/>
          <w:sz w:val="20"/>
          <w:szCs w:val="20"/>
          <w:lang w:val="en-US"/>
        </w:rPr>
        <w:t>targets</w:t>
      </w:r>
      <w:r w:rsidRPr="00B36ADE">
        <w:rPr>
          <w:rFonts w:ascii="Verdana" w:hAnsi="Verdana"/>
          <w:sz w:val="20"/>
          <w:szCs w:val="20"/>
          <w:lang w:val="en-US"/>
        </w:rPr>
        <w:t xml:space="preserve"> of the indicators for both progress and results under each of these axes.</w:t>
      </w:r>
    </w:p>
    <w:p w14:paraId="184777D1" w14:textId="1AF80064" w:rsidR="00D96045" w:rsidRPr="00B36ADE" w:rsidRDefault="00D96045" w:rsidP="00D96045">
      <w:pPr>
        <w:jc w:val="both"/>
        <w:rPr>
          <w:rFonts w:ascii="Verdana" w:hAnsi="Verdana"/>
          <w:sz w:val="20"/>
          <w:szCs w:val="20"/>
          <w:lang w:val="en-US"/>
        </w:rPr>
      </w:pPr>
      <w:r w:rsidRPr="00B36ADE">
        <w:rPr>
          <w:rFonts w:ascii="Verdana" w:hAnsi="Verdana"/>
          <w:sz w:val="20"/>
          <w:szCs w:val="20"/>
          <w:lang w:val="en-US"/>
        </w:rPr>
        <w:t xml:space="preserve">For the achievement of some indicators (under PA2 and PA4) there are no approved projects </w:t>
      </w:r>
      <w:r w:rsidR="00157EE9" w:rsidRPr="00B36ADE">
        <w:rPr>
          <w:rFonts w:ascii="Verdana" w:hAnsi="Verdana"/>
          <w:sz w:val="20"/>
          <w:szCs w:val="20"/>
          <w:lang w:val="en-US"/>
        </w:rPr>
        <w:t xml:space="preserve">at the end of 2019 </w:t>
      </w:r>
      <w:r w:rsidRPr="00B36ADE">
        <w:rPr>
          <w:rFonts w:ascii="Verdana" w:hAnsi="Verdana"/>
          <w:sz w:val="20"/>
          <w:szCs w:val="20"/>
          <w:lang w:val="en-US"/>
        </w:rPr>
        <w:t>and therefore their implementation rate is 0%.</w:t>
      </w:r>
    </w:p>
    <w:p w14:paraId="08CC541D" w14:textId="4795A394" w:rsidR="00D96045" w:rsidRPr="00B36ADE" w:rsidRDefault="00D96045" w:rsidP="00D96045">
      <w:pPr>
        <w:jc w:val="both"/>
        <w:rPr>
          <w:rFonts w:ascii="Verdana" w:hAnsi="Verdana"/>
          <w:sz w:val="20"/>
          <w:szCs w:val="20"/>
          <w:lang w:val="en-US"/>
        </w:rPr>
      </w:pPr>
      <w:r w:rsidRPr="00B36ADE">
        <w:rPr>
          <w:rFonts w:ascii="Verdana" w:hAnsi="Verdana"/>
          <w:sz w:val="20"/>
          <w:szCs w:val="20"/>
          <w:lang w:val="en-US"/>
        </w:rPr>
        <w:t>Regarding the achieved values of the result indicators, the analysis shows that their values will represent the effects of the funded projects at the end of the projects and the program</w:t>
      </w:r>
      <w:r w:rsidR="006E2CF5" w:rsidRPr="00B36ADE">
        <w:rPr>
          <w:rFonts w:ascii="Verdana" w:hAnsi="Verdana"/>
          <w:sz w:val="20"/>
          <w:szCs w:val="20"/>
          <w:lang w:val="en-US"/>
        </w:rPr>
        <w:t>me</w:t>
      </w:r>
      <w:r w:rsidRPr="00B36ADE">
        <w:rPr>
          <w:rFonts w:ascii="Verdana" w:hAnsi="Verdana"/>
          <w:sz w:val="20"/>
          <w:szCs w:val="20"/>
          <w:lang w:val="en-US"/>
        </w:rPr>
        <w:t>, i</w:t>
      </w:r>
      <w:r w:rsidR="00696A81" w:rsidRPr="00B36ADE">
        <w:rPr>
          <w:rFonts w:ascii="Verdana" w:hAnsi="Verdana"/>
          <w:sz w:val="20"/>
          <w:szCs w:val="20"/>
          <w:lang w:val="en-US"/>
        </w:rPr>
        <w:t>.</w:t>
      </w:r>
      <w:r w:rsidRPr="00B36ADE">
        <w:rPr>
          <w:rFonts w:ascii="Verdana" w:hAnsi="Verdana"/>
          <w:sz w:val="20"/>
          <w:szCs w:val="20"/>
          <w:lang w:val="en-US"/>
        </w:rPr>
        <w:t xml:space="preserve">e. after 2023. Therefore, and as a large part of the projects that contribute to the result indicators </w:t>
      </w:r>
      <w:r w:rsidR="00157EE9" w:rsidRPr="00B36ADE">
        <w:rPr>
          <w:rFonts w:ascii="Verdana" w:hAnsi="Verdana"/>
          <w:sz w:val="20"/>
          <w:szCs w:val="20"/>
          <w:lang w:val="en-US"/>
        </w:rPr>
        <w:t xml:space="preserve">have not been completed </w:t>
      </w:r>
      <w:r w:rsidRPr="00B36ADE">
        <w:rPr>
          <w:rFonts w:ascii="Verdana" w:hAnsi="Verdana"/>
          <w:sz w:val="20"/>
          <w:szCs w:val="20"/>
          <w:lang w:val="en-US"/>
        </w:rPr>
        <w:t xml:space="preserve">as of 31.12.2019, the values of these indicators as of 31.12.2019 still cannot give a clear </w:t>
      </w:r>
      <w:r w:rsidR="00696A81" w:rsidRPr="00B36ADE">
        <w:rPr>
          <w:rFonts w:ascii="Verdana" w:hAnsi="Verdana"/>
          <w:sz w:val="20"/>
          <w:szCs w:val="20"/>
          <w:lang w:val="en-US"/>
        </w:rPr>
        <w:t>picture</w:t>
      </w:r>
      <w:r w:rsidRPr="00B36ADE">
        <w:rPr>
          <w:rFonts w:ascii="Verdana" w:hAnsi="Verdana"/>
          <w:sz w:val="20"/>
          <w:szCs w:val="20"/>
          <w:lang w:val="en-US"/>
        </w:rPr>
        <w:t xml:space="preserve"> of the real effects of projects.</w:t>
      </w:r>
    </w:p>
    <w:p w14:paraId="21C37F14" w14:textId="02AB6C41" w:rsidR="00D96045" w:rsidRPr="00B36ADE" w:rsidRDefault="00D96045" w:rsidP="00D96045">
      <w:pPr>
        <w:jc w:val="both"/>
        <w:rPr>
          <w:rFonts w:ascii="Verdana" w:hAnsi="Verdana"/>
          <w:sz w:val="20"/>
          <w:szCs w:val="20"/>
          <w:lang w:val="en-US"/>
        </w:rPr>
      </w:pPr>
      <w:r w:rsidRPr="00B36ADE">
        <w:rPr>
          <w:rFonts w:ascii="Verdana" w:hAnsi="Verdana"/>
          <w:sz w:val="20"/>
          <w:szCs w:val="20"/>
          <w:lang w:val="en-US"/>
        </w:rPr>
        <w:t>In addition to the analysis of the degree of implementation of the progress and result indicators, the evaluation also includes a detailed analysis of the physical progress of all approved projects. Based on it, two groups of projects significant for the pace of program</w:t>
      </w:r>
      <w:r w:rsidR="006E2CF5" w:rsidRPr="00B36ADE">
        <w:rPr>
          <w:rFonts w:ascii="Verdana" w:hAnsi="Verdana"/>
          <w:sz w:val="20"/>
          <w:szCs w:val="20"/>
          <w:lang w:val="en-US"/>
        </w:rPr>
        <w:t>me</w:t>
      </w:r>
      <w:r w:rsidRPr="00B36ADE">
        <w:rPr>
          <w:rFonts w:ascii="Verdana" w:hAnsi="Verdana"/>
          <w:sz w:val="20"/>
          <w:szCs w:val="20"/>
          <w:lang w:val="en-US"/>
        </w:rPr>
        <w:t xml:space="preserve"> implementation are identified. These two groups of projects are presented in the table below.</w:t>
      </w:r>
    </w:p>
    <w:tbl>
      <w:tblPr>
        <w:tblStyle w:val="TableGrid"/>
        <w:tblW w:w="0" w:type="auto"/>
        <w:tblBorders>
          <w:top w:val="double" w:sz="4" w:space="0" w:color="6A84BE"/>
          <w:left w:val="double" w:sz="4" w:space="0" w:color="6A84BE"/>
          <w:bottom w:val="double" w:sz="4" w:space="0" w:color="6A84BE"/>
          <w:right w:val="double" w:sz="4" w:space="0" w:color="6A84BE"/>
          <w:insideH w:val="single" w:sz="6" w:space="0" w:color="6A84BE"/>
          <w:insideV w:val="single" w:sz="6" w:space="0" w:color="6A84BE"/>
        </w:tblBorders>
        <w:tblLook w:val="04A0" w:firstRow="1" w:lastRow="0" w:firstColumn="1" w:lastColumn="0" w:noHBand="0" w:noVBand="1"/>
      </w:tblPr>
      <w:tblGrid>
        <w:gridCol w:w="4507"/>
        <w:gridCol w:w="4511"/>
      </w:tblGrid>
      <w:tr w:rsidR="00D96045" w:rsidRPr="00B36ADE" w14:paraId="349B95D6" w14:textId="77777777" w:rsidTr="00712784">
        <w:tc>
          <w:tcPr>
            <w:tcW w:w="4507" w:type="dxa"/>
            <w:shd w:val="clear" w:color="auto" w:fill="374E81"/>
          </w:tcPr>
          <w:p w14:paraId="63EEF1FD" w14:textId="43FAE096" w:rsidR="00D96045" w:rsidRPr="00B36ADE" w:rsidRDefault="00D96045" w:rsidP="00712784">
            <w:pPr>
              <w:jc w:val="center"/>
              <w:rPr>
                <w:rFonts w:ascii="Verdana" w:hAnsi="Verdana"/>
                <w:b/>
                <w:smallCaps/>
                <w:color w:val="FFFFFF" w:themeColor="background1"/>
                <w:sz w:val="18"/>
                <w:szCs w:val="18"/>
                <w:lang w:val="en-US"/>
              </w:rPr>
            </w:pPr>
            <w:r w:rsidRPr="00B36ADE">
              <w:rPr>
                <w:rFonts w:ascii="Verdana" w:hAnsi="Verdana"/>
                <w:b/>
                <w:smallCaps/>
                <w:color w:val="FFFFFF" w:themeColor="background1"/>
                <w:sz w:val="18"/>
                <w:szCs w:val="18"/>
                <w:lang w:val="en-US"/>
              </w:rPr>
              <w:t>Projects with high level of implementation (over 70%)</w:t>
            </w:r>
          </w:p>
        </w:tc>
        <w:tc>
          <w:tcPr>
            <w:tcW w:w="4511" w:type="dxa"/>
            <w:shd w:val="clear" w:color="auto" w:fill="374E81"/>
          </w:tcPr>
          <w:p w14:paraId="60C65AF0" w14:textId="77777777" w:rsidR="00D96045" w:rsidRPr="00B36ADE" w:rsidRDefault="00D96045" w:rsidP="00712784">
            <w:pPr>
              <w:jc w:val="center"/>
              <w:rPr>
                <w:rFonts w:ascii="Verdana" w:hAnsi="Verdana"/>
                <w:b/>
                <w:smallCaps/>
                <w:color w:val="FFFFFF" w:themeColor="background1"/>
                <w:sz w:val="18"/>
                <w:szCs w:val="18"/>
                <w:lang w:val="en-US"/>
              </w:rPr>
            </w:pPr>
            <w:r w:rsidRPr="00B36ADE">
              <w:rPr>
                <w:rFonts w:ascii="Verdana" w:hAnsi="Verdana"/>
                <w:b/>
                <w:smallCaps/>
                <w:color w:val="FFFFFF" w:themeColor="background1"/>
                <w:sz w:val="18"/>
                <w:szCs w:val="18"/>
                <w:lang w:val="en-US"/>
              </w:rPr>
              <w:t>Projects with low level of implementation (under 30%)</w:t>
            </w:r>
          </w:p>
        </w:tc>
      </w:tr>
      <w:tr w:rsidR="00D96045" w:rsidRPr="00B36ADE" w14:paraId="22C847D7" w14:textId="77777777" w:rsidTr="00712784">
        <w:tc>
          <w:tcPr>
            <w:tcW w:w="4507" w:type="dxa"/>
            <w:shd w:val="clear" w:color="auto" w:fill="auto"/>
          </w:tcPr>
          <w:p w14:paraId="4FCFF4C1" w14:textId="77777777" w:rsidR="00D96045" w:rsidRPr="00B36ADE" w:rsidRDefault="00D96045" w:rsidP="00871EDE">
            <w:pPr>
              <w:numPr>
                <w:ilvl w:val="1"/>
                <w:numId w:val="21"/>
              </w:numPr>
              <w:tabs>
                <w:tab w:val="clear" w:pos="1440"/>
                <w:tab w:val="num" w:pos="596"/>
              </w:tabs>
              <w:ind w:left="596" w:hanging="425"/>
              <w:jc w:val="both"/>
              <w:rPr>
                <w:rFonts w:ascii="Verdana" w:hAnsi="Verdana" w:cs="Times New Roman"/>
                <w:sz w:val="20"/>
                <w:szCs w:val="20"/>
                <w:lang w:val="en-US"/>
              </w:rPr>
            </w:pPr>
            <w:r w:rsidRPr="00B36ADE">
              <w:rPr>
                <w:rFonts w:ascii="Verdana" w:hAnsi="Verdana" w:cs="Times New Roman"/>
                <w:sz w:val="20"/>
                <w:szCs w:val="20"/>
                <w:lang w:val="en-US"/>
              </w:rPr>
              <w:t>Traction substations Burgas, Karnobat and Yambol</w:t>
            </w:r>
          </w:p>
          <w:p w14:paraId="77ED6AEC" w14:textId="77777777" w:rsidR="00D96045" w:rsidRPr="00B36ADE" w:rsidRDefault="00D96045" w:rsidP="00871EDE">
            <w:pPr>
              <w:numPr>
                <w:ilvl w:val="1"/>
                <w:numId w:val="21"/>
              </w:numPr>
              <w:tabs>
                <w:tab w:val="clear" w:pos="1440"/>
                <w:tab w:val="num" w:pos="596"/>
              </w:tabs>
              <w:ind w:left="596" w:hanging="425"/>
              <w:jc w:val="both"/>
              <w:rPr>
                <w:rFonts w:ascii="Verdana" w:hAnsi="Verdana" w:cs="Times New Roman"/>
                <w:sz w:val="20"/>
                <w:szCs w:val="20"/>
                <w:lang w:val="en-US"/>
              </w:rPr>
            </w:pPr>
            <w:r w:rsidRPr="00B36ADE">
              <w:rPr>
                <w:rFonts w:ascii="Verdana" w:hAnsi="Verdana" w:cs="Times New Roman"/>
                <w:sz w:val="20"/>
                <w:szCs w:val="20"/>
                <w:lang w:val="en-US"/>
              </w:rPr>
              <w:lastRenderedPageBreak/>
              <w:t>Four overpasses</w:t>
            </w:r>
          </w:p>
          <w:p w14:paraId="6A2BE5A1" w14:textId="77777777" w:rsidR="00D96045" w:rsidRPr="00B36ADE" w:rsidRDefault="00D96045" w:rsidP="00871EDE">
            <w:pPr>
              <w:numPr>
                <w:ilvl w:val="1"/>
                <w:numId w:val="21"/>
              </w:numPr>
              <w:tabs>
                <w:tab w:val="clear" w:pos="1440"/>
                <w:tab w:val="num" w:pos="596"/>
              </w:tabs>
              <w:ind w:left="596" w:hanging="425"/>
              <w:jc w:val="both"/>
              <w:rPr>
                <w:rFonts w:ascii="Verdana" w:hAnsi="Verdana" w:cs="Times New Roman"/>
                <w:sz w:val="20"/>
                <w:szCs w:val="20"/>
                <w:lang w:val="en-US"/>
              </w:rPr>
            </w:pPr>
            <w:r w:rsidRPr="00B36ADE">
              <w:rPr>
                <w:rFonts w:ascii="Verdana" w:hAnsi="Verdana" w:cs="Times New Roman"/>
                <w:sz w:val="20"/>
                <w:szCs w:val="20"/>
                <w:lang w:val="en-US"/>
              </w:rPr>
              <w:t>Western arc of Sofia Bypass</w:t>
            </w:r>
          </w:p>
          <w:p w14:paraId="3115421B" w14:textId="77777777" w:rsidR="00D96045" w:rsidRPr="00B36ADE" w:rsidRDefault="00D96045" w:rsidP="00871EDE">
            <w:pPr>
              <w:numPr>
                <w:ilvl w:val="1"/>
                <w:numId w:val="21"/>
              </w:numPr>
              <w:tabs>
                <w:tab w:val="clear" w:pos="1440"/>
                <w:tab w:val="num" w:pos="596"/>
              </w:tabs>
              <w:ind w:left="596" w:hanging="425"/>
              <w:jc w:val="both"/>
              <w:rPr>
                <w:rFonts w:ascii="Verdana" w:hAnsi="Verdana" w:cs="Times New Roman"/>
                <w:sz w:val="20"/>
                <w:szCs w:val="20"/>
                <w:lang w:val="en-US"/>
              </w:rPr>
            </w:pPr>
            <w:r w:rsidRPr="00B36ADE">
              <w:rPr>
                <w:rFonts w:ascii="Verdana" w:hAnsi="Verdana" w:cs="Times New Roman"/>
                <w:sz w:val="20"/>
                <w:szCs w:val="20"/>
                <w:lang w:val="en-US"/>
              </w:rPr>
              <w:t>Metro, Line 3, stage I</w:t>
            </w:r>
          </w:p>
          <w:p w14:paraId="1795DFE0" w14:textId="77777777" w:rsidR="00D96045" w:rsidRPr="00B36ADE" w:rsidRDefault="00D96045" w:rsidP="00871EDE">
            <w:pPr>
              <w:numPr>
                <w:ilvl w:val="1"/>
                <w:numId w:val="21"/>
              </w:numPr>
              <w:tabs>
                <w:tab w:val="clear" w:pos="1440"/>
                <w:tab w:val="num" w:pos="596"/>
              </w:tabs>
              <w:ind w:left="596" w:hanging="425"/>
              <w:jc w:val="both"/>
              <w:rPr>
                <w:rFonts w:ascii="Verdana" w:hAnsi="Verdana" w:cs="Times New Roman"/>
                <w:sz w:val="20"/>
                <w:szCs w:val="20"/>
                <w:lang w:val="en-US"/>
              </w:rPr>
            </w:pPr>
            <w:r w:rsidRPr="00B36ADE">
              <w:rPr>
                <w:rFonts w:ascii="Verdana" w:hAnsi="Verdana" w:cs="Times New Roman"/>
                <w:sz w:val="20"/>
                <w:szCs w:val="20"/>
                <w:lang w:val="en-US"/>
              </w:rPr>
              <w:t>Extension of Metro Line 2</w:t>
            </w:r>
          </w:p>
          <w:p w14:paraId="6BBA5496" w14:textId="77777777" w:rsidR="00D96045" w:rsidRPr="00B36ADE" w:rsidRDefault="00D96045" w:rsidP="00871EDE">
            <w:pPr>
              <w:numPr>
                <w:ilvl w:val="1"/>
                <w:numId w:val="21"/>
              </w:numPr>
              <w:tabs>
                <w:tab w:val="clear" w:pos="1440"/>
                <w:tab w:val="num" w:pos="596"/>
              </w:tabs>
              <w:ind w:left="596" w:hanging="425"/>
              <w:jc w:val="both"/>
              <w:rPr>
                <w:rFonts w:ascii="Verdana" w:hAnsi="Verdana" w:cs="Times New Roman"/>
                <w:sz w:val="20"/>
                <w:szCs w:val="20"/>
                <w:lang w:val="en-US"/>
              </w:rPr>
            </w:pPr>
            <w:r w:rsidRPr="00B36ADE">
              <w:rPr>
                <w:rFonts w:ascii="Verdana" w:hAnsi="Verdana" w:cs="Times New Roman"/>
                <w:sz w:val="20"/>
                <w:szCs w:val="20"/>
                <w:lang w:val="en-US"/>
              </w:rPr>
              <w:t>Metro, Line 3, stage II</w:t>
            </w:r>
          </w:p>
          <w:p w14:paraId="664BF1E1" w14:textId="77777777" w:rsidR="00D96045" w:rsidRPr="00B36ADE" w:rsidRDefault="00D96045" w:rsidP="00871EDE">
            <w:pPr>
              <w:numPr>
                <w:ilvl w:val="1"/>
                <w:numId w:val="21"/>
              </w:numPr>
              <w:tabs>
                <w:tab w:val="clear" w:pos="1440"/>
                <w:tab w:val="num" w:pos="596"/>
              </w:tabs>
              <w:ind w:left="596" w:hanging="425"/>
              <w:jc w:val="both"/>
              <w:rPr>
                <w:rFonts w:ascii="Verdana" w:hAnsi="Verdana" w:cs="Times New Roman"/>
                <w:sz w:val="20"/>
                <w:szCs w:val="20"/>
                <w:lang w:val="en-US"/>
              </w:rPr>
            </w:pPr>
            <w:r w:rsidRPr="00B36ADE">
              <w:rPr>
                <w:rFonts w:ascii="Verdana" w:hAnsi="Verdana" w:cs="Times New Roman"/>
                <w:sz w:val="20"/>
                <w:szCs w:val="20"/>
                <w:lang w:val="en-US"/>
              </w:rPr>
              <w:t>Danube navigation systems 2</w:t>
            </w:r>
          </w:p>
          <w:p w14:paraId="0A8B3A74" w14:textId="77777777" w:rsidR="00D96045" w:rsidRPr="00B36ADE" w:rsidRDefault="00D96045" w:rsidP="00871EDE">
            <w:pPr>
              <w:numPr>
                <w:ilvl w:val="1"/>
                <w:numId w:val="21"/>
              </w:numPr>
              <w:tabs>
                <w:tab w:val="clear" w:pos="1440"/>
                <w:tab w:val="num" w:pos="596"/>
              </w:tabs>
              <w:ind w:left="596" w:hanging="425"/>
              <w:jc w:val="both"/>
              <w:rPr>
                <w:rFonts w:ascii="Verdana" w:hAnsi="Verdana" w:cs="Times New Roman"/>
                <w:sz w:val="20"/>
                <w:szCs w:val="20"/>
                <w:lang w:val="en-US"/>
              </w:rPr>
            </w:pPr>
            <w:r w:rsidRPr="00B36ADE">
              <w:rPr>
                <w:rFonts w:ascii="Verdana" w:hAnsi="Verdana" w:cs="Times New Roman"/>
                <w:sz w:val="20"/>
                <w:szCs w:val="20"/>
                <w:lang w:val="en-US"/>
              </w:rPr>
              <w:t>Vessel Traffic Management (VTMIS)</w:t>
            </w:r>
          </w:p>
          <w:p w14:paraId="1A4E3555" w14:textId="77777777" w:rsidR="00D96045" w:rsidRPr="00B36ADE" w:rsidRDefault="00D96045" w:rsidP="00871EDE">
            <w:pPr>
              <w:numPr>
                <w:ilvl w:val="1"/>
                <w:numId w:val="21"/>
              </w:numPr>
              <w:tabs>
                <w:tab w:val="clear" w:pos="1440"/>
                <w:tab w:val="num" w:pos="596"/>
              </w:tabs>
              <w:ind w:left="596" w:hanging="425"/>
              <w:jc w:val="both"/>
              <w:rPr>
                <w:rFonts w:ascii="Verdana" w:hAnsi="Verdana" w:cs="Times New Roman"/>
                <w:sz w:val="20"/>
                <w:szCs w:val="20"/>
                <w:lang w:val="en-US"/>
              </w:rPr>
            </w:pPr>
            <w:r w:rsidRPr="00B36ADE">
              <w:rPr>
                <w:rFonts w:ascii="Verdana" w:hAnsi="Verdana" w:cs="Times New Roman"/>
                <w:sz w:val="20"/>
                <w:szCs w:val="20"/>
                <w:lang w:val="en-US"/>
              </w:rPr>
              <w:t>Seaport risk prevention (RPSSP)</w:t>
            </w:r>
          </w:p>
          <w:p w14:paraId="4560B267" w14:textId="77777777" w:rsidR="00D96045" w:rsidRPr="00B36ADE" w:rsidRDefault="00D96045" w:rsidP="00712784">
            <w:pPr>
              <w:ind w:left="596"/>
              <w:jc w:val="both"/>
              <w:rPr>
                <w:rFonts w:ascii="Verdana" w:hAnsi="Verdana" w:cs="Times New Roman"/>
                <w:sz w:val="20"/>
                <w:szCs w:val="20"/>
                <w:lang w:val="en-US"/>
              </w:rPr>
            </w:pPr>
          </w:p>
          <w:p w14:paraId="29A8FFEC" w14:textId="77777777" w:rsidR="00D96045" w:rsidRPr="00B36ADE" w:rsidRDefault="00D96045" w:rsidP="00712784">
            <w:pPr>
              <w:jc w:val="both"/>
              <w:rPr>
                <w:rFonts w:ascii="Verdana" w:hAnsi="Verdana" w:cs="Times New Roman"/>
                <w:b/>
                <w:bCs/>
                <w:smallCaps/>
                <w:sz w:val="20"/>
                <w:szCs w:val="20"/>
                <w:lang w:val="en-US"/>
              </w:rPr>
            </w:pPr>
            <w:r w:rsidRPr="00B36ADE">
              <w:rPr>
                <w:rFonts w:ascii="Verdana" w:hAnsi="Verdana" w:cs="Times New Roman"/>
                <w:b/>
                <w:bCs/>
                <w:smallCaps/>
                <w:sz w:val="20"/>
                <w:szCs w:val="20"/>
                <w:lang w:val="en-US"/>
              </w:rPr>
              <w:t>Total budget 470 mln EUR</w:t>
            </w:r>
          </w:p>
          <w:p w14:paraId="536EC6CB" w14:textId="77777777" w:rsidR="00D96045" w:rsidRPr="00B36ADE" w:rsidRDefault="00D96045" w:rsidP="00712784">
            <w:pPr>
              <w:jc w:val="both"/>
              <w:rPr>
                <w:rFonts w:ascii="Verdana" w:hAnsi="Verdana" w:cs="Times New Roman"/>
                <w:sz w:val="20"/>
                <w:szCs w:val="20"/>
                <w:lang w:val="en-US"/>
              </w:rPr>
            </w:pPr>
          </w:p>
        </w:tc>
        <w:tc>
          <w:tcPr>
            <w:tcW w:w="4511" w:type="dxa"/>
          </w:tcPr>
          <w:p w14:paraId="5BCD2D37" w14:textId="77777777" w:rsidR="00D96045" w:rsidRPr="00B36ADE" w:rsidRDefault="00D96045" w:rsidP="00871EDE">
            <w:pPr>
              <w:numPr>
                <w:ilvl w:val="1"/>
                <w:numId w:val="21"/>
              </w:numPr>
              <w:tabs>
                <w:tab w:val="clear" w:pos="1440"/>
                <w:tab w:val="num" w:pos="596"/>
              </w:tabs>
              <w:ind w:left="596" w:hanging="425"/>
              <w:jc w:val="both"/>
              <w:rPr>
                <w:rFonts w:ascii="Verdana" w:hAnsi="Verdana" w:cs="Times New Roman"/>
                <w:sz w:val="20"/>
                <w:szCs w:val="20"/>
                <w:lang w:val="en-US"/>
              </w:rPr>
            </w:pPr>
            <w:r w:rsidRPr="00B36ADE">
              <w:rPr>
                <w:rFonts w:ascii="Verdana" w:hAnsi="Verdana" w:cs="Times New Roman"/>
                <w:sz w:val="20"/>
                <w:szCs w:val="20"/>
                <w:lang w:val="en-US"/>
              </w:rPr>
              <w:lastRenderedPageBreak/>
              <w:t>Railway line Plovdiv - Burgas</w:t>
            </w:r>
          </w:p>
          <w:p w14:paraId="694C7E28" w14:textId="77777777" w:rsidR="00D96045" w:rsidRPr="00B36ADE" w:rsidRDefault="00D96045" w:rsidP="00871EDE">
            <w:pPr>
              <w:numPr>
                <w:ilvl w:val="1"/>
                <w:numId w:val="21"/>
              </w:numPr>
              <w:tabs>
                <w:tab w:val="clear" w:pos="1440"/>
                <w:tab w:val="num" w:pos="596"/>
              </w:tabs>
              <w:ind w:left="596" w:hanging="425"/>
              <w:jc w:val="both"/>
              <w:rPr>
                <w:rFonts w:ascii="Verdana" w:hAnsi="Verdana" w:cs="Times New Roman"/>
                <w:sz w:val="20"/>
                <w:szCs w:val="20"/>
                <w:lang w:val="en-US"/>
              </w:rPr>
            </w:pPr>
            <w:r w:rsidRPr="00B36ADE">
              <w:rPr>
                <w:rFonts w:ascii="Verdana" w:hAnsi="Verdana" w:cs="Times New Roman"/>
                <w:sz w:val="20"/>
                <w:szCs w:val="20"/>
                <w:lang w:val="en-US"/>
              </w:rPr>
              <w:t>Railway line Elin Pelin - Kostenets</w:t>
            </w:r>
          </w:p>
          <w:p w14:paraId="3690A2F1" w14:textId="77777777" w:rsidR="00D96045" w:rsidRPr="00B36ADE" w:rsidRDefault="00D96045" w:rsidP="00871EDE">
            <w:pPr>
              <w:numPr>
                <w:ilvl w:val="1"/>
                <w:numId w:val="21"/>
              </w:numPr>
              <w:tabs>
                <w:tab w:val="clear" w:pos="1440"/>
                <w:tab w:val="num" w:pos="596"/>
              </w:tabs>
              <w:ind w:left="596" w:hanging="425"/>
              <w:jc w:val="both"/>
              <w:rPr>
                <w:rFonts w:ascii="Verdana" w:hAnsi="Verdana" w:cs="Times New Roman"/>
                <w:sz w:val="20"/>
                <w:szCs w:val="20"/>
                <w:lang w:val="en-US"/>
              </w:rPr>
            </w:pPr>
            <w:r w:rsidRPr="00B36ADE">
              <w:rPr>
                <w:rFonts w:ascii="Verdana" w:hAnsi="Verdana" w:cs="Times New Roman"/>
                <w:sz w:val="20"/>
                <w:szCs w:val="20"/>
                <w:lang w:val="en-US"/>
              </w:rPr>
              <w:lastRenderedPageBreak/>
              <w:t>All station complexes</w:t>
            </w:r>
          </w:p>
          <w:p w14:paraId="65C7CC4B" w14:textId="77777777" w:rsidR="00D96045" w:rsidRPr="00B36ADE" w:rsidRDefault="00D96045" w:rsidP="00871EDE">
            <w:pPr>
              <w:numPr>
                <w:ilvl w:val="1"/>
                <w:numId w:val="21"/>
              </w:numPr>
              <w:tabs>
                <w:tab w:val="clear" w:pos="1440"/>
                <w:tab w:val="num" w:pos="596"/>
              </w:tabs>
              <w:ind w:left="596" w:hanging="425"/>
              <w:jc w:val="both"/>
              <w:rPr>
                <w:rFonts w:ascii="Verdana" w:hAnsi="Verdana" w:cs="Times New Roman"/>
                <w:sz w:val="20"/>
                <w:szCs w:val="20"/>
                <w:lang w:val="en-US"/>
              </w:rPr>
            </w:pPr>
            <w:r w:rsidRPr="00B36ADE">
              <w:rPr>
                <w:rFonts w:ascii="Verdana" w:hAnsi="Verdana" w:cs="Times New Roman"/>
                <w:sz w:val="20"/>
                <w:szCs w:val="20"/>
                <w:lang w:val="en-US"/>
              </w:rPr>
              <w:t>ITS Trakia Motorway</w:t>
            </w:r>
          </w:p>
          <w:p w14:paraId="3CF543CB" w14:textId="77777777" w:rsidR="00D96045" w:rsidRPr="00B36ADE" w:rsidRDefault="00D96045" w:rsidP="00871EDE">
            <w:pPr>
              <w:numPr>
                <w:ilvl w:val="1"/>
                <w:numId w:val="21"/>
              </w:numPr>
              <w:tabs>
                <w:tab w:val="clear" w:pos="1440"/>
                <w:tab w:val="num" w:pos="596"/>
              </w:tabs>
              <w:ind w:left="596" w:hanging="425"/>
              <w:jc w:val="both"/>
              <w:rPr>
                <w:rFonts w:ascii="Verdana" w:hAnsi="Verdana" w:cs="Times New Roman"/>
                <w:sz w:val="20"/>
                <w:szCs w:val="20"/>
                <w:lang w:val="en-US"/>
              </w:rPr>
            </w:pPr>
            <w:r w:rsidRPr="00B36ADE">
              <w:rPr>
                <w:rFonts w:ascii="Verdana" w:hAnsi="Verdana" w:cs="Times New Roman"/>
                <w:sz w:val="20"/>
                <w:szCs w:val="20"/>
                <w:lang w:val="en-US"/>
              </w:rPr>
              <w:t>Modernization of the Danube waterway</w:t>
            </w:r>
          </w:p>
          <w:p w14:paraId="2836A7D3" w14:textId="77777777" w:rsidR="00D96045" w:rsidRPr="00B36ADE" w:rsidRDefault="00D96045" w:rsidP="00871EDE">
            <w:pPr>
              <w:numPr>
                <w:ilvl w:val="1"/>
                <w:numId w:val="21"/>
              </w:numPr>
              <w:tabs>
                <w:tab w:val="clear" w:pos="1440"/>
                <w:tab w:val="num" w:pos="596"/>
              </w:tabs>
              <w:ind w:left="596" w:hanging="425"/>
              <w:jc w:val="both"/>
              <w:rPr>
                <w:rFonts w:ascii="Verdana" w:hAnsi="Verdana" w:cs="Times New Roman"/>
                <w:sz w:val="20"/>
                <w:szCs w:val="20"/>
                <w:lang w:val="en-US"/>
              </w:rPr>
            </w:pPr>
            <w:r w:rsidRPr="00B36ADE">
              <w:rPr>
                <w:rFonts w:ascii="Verdana" w:hAnsi="Verdana" w:cs="Times New Roman"/>
                <w:sz w:val="20"/>
                <w:szCs w:val="20"/>
                <w:lang w:val="en-US"/>
              </w:rPr>
              <w:t>Train operation management system in NRIC</w:t>
            </w:r>
          </w:p>
          <w:p w14:paraId="53D124C4" w14:textId="77777777" w:rsidR="00D96045" w:rsidRPr="00B36ADE" w:rsidRDefault="00D96045" w:rsidP="00712784">
            <w:pPr>
              <w:jc w:val="both"/>
              <w:rPr>
                <w:rFonts w:ascii="Verdana" w:hAnsi="Verdana" w:cs="Times New Roman"/>
                <w:b/>
                <w:bCs/>
                <w:sz w:val="20"/>
                <w:szCs w:val="20"/>
                <w:lang w:val="en-US"/>
              </w:rPr>
            </w:pPr>
          </w:p>
          <w:p w14:paraId="197C4840" w14:textId="77777777" w:rsidR="00D96045" w:rsidRPr="00B36ADE" w:rsidRDefault="00D96045" w:rsidP="00712784">
            <w:pPr>
              <w:jc w:val="both"/>
              <w:rPr>
                <w:rFonts w:ascii="Verdana" w:hAnsi="Verdana" w:cs="Times New Roman"/>
                <w:b/>
                <w:bCs/>
                <w:sz w:val="20"/>
                <w:szCs w:val="20"/>
                <w:lang w:val="en-US"/>
              </w:rPr>
            </w:pPr>
          </w:p>
          <w:p w14:paraId="4FEC78F2" w14:textId="77777777" w:rsidR="00D96045" w:rsidRPr="00B36ADE" w:rsidRDefault="00D96045" w:rsidP="00712784">
            <w:pPr>
              <w:jc w:val="both"/>
              <w:rPr>
                <w:rFonts w:ascii="Verdana" w:hAnsi="Verdana" w:cs="Times New Roman"/>
                <w:b/>
                <w:bCs/>
                <w:sz w:val="20"/>
                <w:szCs w:val="20"/>
                <w:lang w:val="en-US"/>
              </w:rPr>
            </w:pPr>
          </w:p>
          <w:p w14:paraId="3DE8B082" w14:textId="77777777" w:rsidR="00D96045" w:rsidRPr="00B36ADE" w:rsidRDefault="00D96045" w:rsidP="00712784">
            <w:pPr>
              <w:jc w:val="both"/>
              <w:rPr>
                <w:rFonts w:ascii="Verdana" w:hAnsi="Verdana" w:cs="Times New Roman"/>
                <w:smallCaps/>
                <w:sz w:val="20"/>
                <w:szCs w:val="20"/>
                <w:lang w:val="en-US"/>
              </w:rPr>
            </w:pPr>
            <w:r w:rsidRPr="00B36ADE">
              <w:rPr>
                <w:rFonts w:ascii="Verdana" w:hAnsi="Verdana" w:cs="Times New Roman"/>
                <w:b/>
                <w:bCs/>
                <w:smallCaps/>
                <w:sz w:val="20"/>
                <w:szCs w:val="20"/>
                <w:lang w:val="en-US"/>
              </w:rPr>
              <w:t>Total budget 663 mln EUR</w:t>
            </w:r>
          </w:p>
        </w:tc>
      </w:tr>
    </w:tbl>
    <w:p w14:paraId="7878CA0F" w14:textId="77777777" w:rsidR="00D96045" w:rsidRPr="00B36ADE" w:rsidRDefault="00D96045" w:rsidP="00D96045">
      <w:pPr>
        <w:jc w:val="both"/>
        <w:rPr>
          <w:rFonts w:ascii="Verdana" w:hAnsi="Verdana"/>
          <w:sz w:val="20"/>
          <w:szCs w:val="20"/>
          <w:lang w:val="en-US"/>
        </w:rPr>
      </w:pPr>
    </w:p>
    <w:p w14:paraId="4CECA22D" w14:textId="091D0B71" w:rsidR="00D96045" w:rsidRPr="00B36ADE" w:rsidRDefault="00D96045" w:rsidP="00D96045">
      <w:pPr>
        <w:jc w:val="both"/>
        <w:rPr>
          <w:rFonts w:ascii="Verdana" w:hAnsi="Verdana"/>
          <w:sz w:val="20"/>
          <w:szCs w:val="20"/>
          <w:lang w:val="en-US"/>
        </w:rPr>
      </w:pPr>
      <w:r w:rsidRPr="00B36ADE">
        <w:rPr>
          <w:rFonts w:ascii="Verdana" w:hAnsi="Verdana"/>
          <w:sz w:val="20"/>
          <w:szCs w:val="20"/>
          <w:lang w:val="en-US"/>
        </w:rPr>
        <w:t>The first group of projects is composed of projects with good implementation</w:t>
      </w:r>
      <w:r w:rsidR="00FC644C">
        <w:rPr>
          <w:rFonts w:ascii="Verdana" w:hAnsi="Verdana"/>
          <w:sz w:val="20"/>
          <w:szCs w:val="20"/>
          <w:lang w:val="en-US"/>
        </w:rPr>
        <w:t xml:space="preserve"> rate</w:t>
      </w:r>
      <w:r w:rsidRPr="00B36ADE">
        <w:rPr>
          <w:rFonts w:ascii="Verdana" w:hAnsi="Verdana"/>
          <w:sz w:val="20"/>
          <w:szCs w:val="20"/>
          <w:lang w:val="en-US"/>
        </w:rPr>
        <w:t xml:space="preserve"> (over 70% physical implementation), and the second group includes projects whose implementation </w:t>
      </w:r>
      <w:r w:rsidR="00FC644C">
        <w:rPr>
          <w:rFonts w:ascii="Verdana" w:hAnsi="Verdana"/>
          <w:sz w:val="20"/>
          <w:szCs w:val="20"/>
          <w:lang w:val="en-US"/>
        </w:rPr>
        <w:t xml:space="preserve">rate </w:t>
      </w:r>
      <w:r w:rsidRPr="00B36ADE">
        <w:rPr>
          <w:rFonts w:ascii="Verdana" w:hAnsi="Verdana"/>
          <w:sz w:val="20"/>
          <w:szCs w:val="20"/>
          <w:lang w:val="en-US"/>
        </w:rPr>
        <w:t>is below 30%. The evaluation shows that the total value of "risky" projects is higher than the total value of those with a high degree of implementation. In order to ensure a good level of implementation of the program</w:t>
      </w:r>
      <w:r w:rsidR="006E2CF5" w:rsidRPr="00B36ADE">
        <w:rPr>
          <w:rFonts w:ascii="Verdana" w:hAnsi="Verdana"/>
          <w:sz w:val="20"/>
          <w:szCs w:val="20"/>
          <w:lang w:val="en-US"/>
        </w:rPr>
        <w:t>me</w:t>
      </w:r>
      <w:r w:rsidRPr="00B36ADE">
        <w:rPr>
          <w:rFonts w:ascii="Verdana" w:hAnsi="Verdana"/>
          <w:sz w:val="20"/>
          <w:szCs w:val="20"/>
          <w:lang w:val="en-US"/>
        </w:rPr>
        <w:t xml:space="preserve"> at the end of the period, under some of the risk projects described above, the MA and the beneficiaries </w:t>
      </w:r>
      <w:r w:rsidR="00C7730D">
        <w:rPr>
          <w:rFonts w:ascii="Verdana" w:hAnsi="Verdana"/>
          <w:sz w:val="20"/>
          <w:szCs w:val="20"/>
          <w:lang w:val="en-US"/>
        </w:rPr>
        <w:t>under</w:t>
      </w:r>
      <w:r w:rsidRPr="00B36ADE">
        <w:rPr>
          <w:rFonts w:ascii="Verdana" w:hAnsi="Verdana"/>
          <w:sz w:val="20"/>
          <w:szCs w:val="20"/>
          <w:lang w:val="en-US"/>
        </w:rPr>
        <w:t>take steps in 2020 to separate and phase them, as well as to provide additional/alternative projects.</w:t>
      </w:r>
    </w:p>
    <w:p w14:paraId="2D167496" w14:textId="0A8841A6" w:rsidR="00D96045" w:rsidRPr="00B36ADE" w:rsidRDefault="00D96045" w:rsidP="00D96045">
      <w:pPr>
        <w:shd w:val="clear" w:color="auto" w:fill="374E81"/>
        <w:jc w:val="both"/>
        <w:rPr>
          <w:rFonts w:ascii="Verdana" w:hAnsi="Verdana" w:cs="Times New Roman"/>
          <w:b/>
          <w:color w:val="FFFFFF" w:themeColor="background1"/>
          <w:sz w:val="20"/>
          <w:szCs w:val="20"/>
          <w:lang w:val="en-US"/>
        </w:rPr>
      </w:pPr>
      <w:r w:rsidRPr="00B36ADE">
        <w:rPr>
          <w:rFonts w:ascii="Verdana" w:hAnsi="Verdana" w:cs="Tahoma"/>
          <w:b/>
          <w:i/>
          <w:color w:val="FFFFFF" w:themeColor="background1"/>
          <w:sz w:val="20"/>
          <w:szCs w:val="20"/>
          <w:lang w:val="en-US"/>
        </w:rPr>
        <w:t>Wh</w:t>
      </w:r>
      <w:r w:rsidR="00202216">
        <w:rPr>
          <w:rFonts w:ascii="Verdana" w:hAnsi="Verdana" w:cs="Tahoma"/>
          <w:b/>
          <w:i/>
          <w:color w:val="FFFFFF" w:themeColor="background1"/>
          <w:sz w:val="20"/>
          <w:szCs w:val="20"/>
          <w:lang w:val="en-US"/>
        </w:rPr>
        <w:t>at</w:t>
      </w:r>
      <w:r w:rsidRPr="00B36ADE">
        <w:rPr>
          <w:rFonts w:ascii="Verdana" w:hAnsi="Verdana" w:cs="Tahoma"/>
          <w:b/>
          <w:i/>
          <w:color w:val="FFFFFF" w:themeColor="background1"/>
          <w:sz w:val="20"/>
          <w:szCs w:val="20"/>
          <w:lang w:val="en-US"/>
        </w:rPr>
        <w:t xml:space="preserve"> are the factors that influence</w:t>
      </w:r>
      <w:r w:rsidR="008B4263">
        <w:rPr>
          <w:rFonts w:ascii="Verdana" w:hAnsi="Verdana" w:cs="Tahoma"/>
          <w:b/>
          <w:i/>
          <w:color w:val="FFFFFF" w:themeColor="background1"/>
          <w:sz w:val="20"/>
          <w:szCs w:val="20"/>
          <w:lang w:val="en-US"/>
        </w:rPr>
        <w:t xml:space="preserve"> the</w:t>
      </w:r>
      <w:r w:rsidRPr="00B36ADE">
        <w:rPr>
          <w:rFonts w:ascii="Verdana" w:hAnsi="Verdana" w:cs="Tahoma"/>
          <w:b/>
          <w:i/>
          <w:color w:val="FFFFFF" w:themeColor="background1"/>
          <w:sz w:val="20"/>
          <w:szCs w:val="20"/>
          <w:lang w:val="en-US"/>
        </w:rPr>
        <w:t xml:space="preserve"> progress?</w:t>
      </w:r>
    </w:p>
    <w:p w14:paraId="518368F8" w14:textId="11BBC091" w:rsidR="00D96045" w:rsidRPr="00B36ADE" w:rsidRDefault="00D96045" w:rsidP="00D96045">
      <w:pPr>
        <w:spacing w:before="120" w:after="120"/>
        <w:jc w:val="both"/>
        <w:rPr>
          <w:rFonts w:ascii="Verdana" w:eastAsia="Helvetica" w:hAnsi="Verdana" w:cs="Helvetica"/>
          <w:sz w:val="20"/>
          <w:szCs w:val="20"/>
          <w:lang w:val="en-US"/>
        </w:rPr>
      </w:pPr>
      <w:r w:rsidRPr="00B36ADE">
        <w:rPr>
          <w:rFonts w:ascii="Verdana" w:eastAsia="Helvetica" w:hAnsi="Verdana" w:cs="Helvetica"/>
          <w:sz w:val="20"/>
          <w:szCs w:val="20"/>
          <w:lang w:val="en-US"/>
        </w:rPr>
        <w:t xml:space="preserve">The factors influencing progress are numerous and diverse and they are assessed by the following criteria: </w:t>
      </w:r>
      <w:r w:rsidRPr="00B36ADE">
        <w:rPr>
          <w:rFonts w:ascii="Verdana" w:eastAsia="Helvetica" w:hAnsi="Verdana" w:cs="Helvetica"/>
          <w:b/>
          <w:sz w:val="20"/>
          <w:szCs w:val="20"/>
          <w:lang w:val="en-US"/>
        </w:rPr>
        <w:t xml:space="preserve">importance and frequency of </w:t>
      </w:r>
      <w:r w:rsidR="003712D2" w:rsidRPr="00B36ADE">
        <w:rPr>
          <w:rFonts w:ascii="Verdana" w:eastAsia="Helvetica" w:hAnsi="Verdana" w:cs="Helvetica"/>
          <w:b/>
          <w:sz w:val="20"/>
          <w:szCs w:val="20"/>
          <w:lang w:val="en-US"/>
        </w:rPr>
        <w:t>occurrence</w:t>
      </w:r>
      <w:r w:rsidR="003712D2" w:rsidRPr="00380774">
        <w:rPr>
          <w:rFonts w:ascii="Verdana" w:eastAsia="Helvetica" w:hAnsi="Verdana" w:cs="Helvetica"/>
          <w:sz w:val="20"/>
          <w:szCs w:val="20"/>
          <w:lang w:val="en-US"/>
        </w:rPr>
        <w:t xml:space="preserve"> </w:t>
      </w:r>
      <w:r w:rsidRPr="00B36ADE">
        <w:rPr>
          <w:rFonts w:ascii="Verdana" w:eastAsia="Helvetica" w:hAnsi="Verdana" w:cs="Helvetica"/>
          <w:sz w:val="20"/>
          <w:szCs w:val="20"/>
          <w:lang w:val="en-US"/>
        </w:rPr>
        <w:t>(taking into account the impact on physical and financial progress of the program</w:t>
      </w:r>
      <w:r w:rsidR="006E2CF5" w:rsidRPr="00B36ADE">
        <w:rPr>
          <w:rFonts w:ascii="Verdana" w:eastAsia="Helvetica" w:hAnsi="Verdana" w:cs="Helvetica"/>
          <w:sz w:val="20"/>
          <w:szCs w:val="20"/>
          <w:lang w:val="en-US"/>
        </w:rPr>
        <w:t>me</w:t>
      </w:r>
      <w:r w:rsidRPr="00B36ADE">
        <w:rPr>
          <w:rFonts w:ascii="Verdana" w:eastAsia="Helvetica" w:hAnsi="Verdana" w:cs="Helvetica"/>
          <w:sz w:val="20"/>
          <w:szCs w:val="20"/>
          <w:lang w:val="en-US"/>
        </w:rPr>
        <w:t xml:space="preserve"> and the achievement of program</w:t>
      </w:r>
      <w:r w:rsidR="00467637" w:rsidRPr="00B36ADE">
        <w:rPr>
          <w:rFonts w:ascii="Verdana" w:eastAsia="Helvetica" w:hAnsi="Verdana" w:cs="Helvetica"/>
          <w:sz w:val="20"/>
          <w:szCs w:val="20"/>
          <w:lang w:val="en-US"/>
        </w:rPr>
        <w:t>me</w:t>
      </w:r>
      <w:r w:rsidRPr="00B36ADE">
        <w:rPr>
          <w:rFonts w:ascii="Verdana" w:eastAsia="Helvetica" w:hAnsi="Verdana" w:cs="Helvetica"/>
          <w:sz w:val="20"/>
          <w:szCs w:val="20"/>
          <w:lang w:val="en-US"/>
        </w:rPr>
        <w:t xml:space="preserve"> objectives and impact on </w:t>
      </w:r>
      <w:r w:rsidR="003712D2" w:rsidRPr="00B36ADE">
        <w:rPr>
          <w:rFonts w:ascii="Verdana" w:eastAsia="Helvetica" w:hAnsi="Verdana" w:cs="Helvetica"/>
          <w:sz w:val="20"/>
          <w:szCs w:val="20"/>
          <w:lang w:val="en-US"/>
        </w:rPr>
        <w:t>absorption</w:t>
      </w:r>
      <w:r w:rsidR="003712D2" w:rsidRPr="00380774">
        <w:rPr>
          <w:rFonts w:ascii="Verdana" w:eastAsia="Helvetica" w:hAnsi="Verdana" w:cs="Helvetica"/>
          <w:sz w:val="20"/>
          <w:szCs w:val="20"/>
          <w:lang w:val="en-US"/>
        </w:rPr>
        <w:t xml:space="preserve"> </w:t>
      </w:r>
      <w:r w:rsidR="00467637" w:rsidRPr="00B36ADE">
        <w:rPr>
          <w:rFonts w:ascii="Verdana" w:eastAsia="Helvetica" w:hAnsi="Verdana" w:cs="Helvetica"/>
          <w:sz w:val="20"/>
          <w:szCs w:val="20"/>
          <w:lang w:val="en-US"/>
        </w:rPr>
        <w:t>level</w:t>
      </w:r>
      <w:r w:rsidRPr="00B36ADE">
        <w:rPr>
          <w:rFonts w:ascii="Verdana" w:eastAsia="Helvetica" w:hAnsi="Verdana" w:cs="Helvetica"/>
          <w:sz w:val="20"/>
          <w:szCs w:val="20"/>
          <w:lang w:val="en-US"/>
        </w:rPr>
        <w:t xml:space="preserve">) </w:t>
      </w:r>
      <w:r w:rsidRPr="00B36ADE">
        <w:rPr>
          <w:rFonts w:ascii="Verdana" w:eastAsia="Helvetica" w:hAnsi="Verdana" w:cs="Helvetica"/>
          <w:b/>
          <w:sz w:val="20"/>
          <w:szCs w:val="20"/>
          <w:lang w:val="en-US"/>
        </w:rPr>
        <w:t>and feasibility</w:t>
      </w:r>
      <w:r w:rsidRPr="00B36ADE">
        <w:rPr>
          <w:rFonts w:ascii="Verdana" w:eastAsia="Helvetica" w:hAnsi="Verdana" w:cs="Helvetica"/>
          <w:sz w:val="20"/>
          <w:szCs w:val="20"/>
          <w:lang w:val="en-US"/>
        </w:rPr>
        <w:t xml:space="preserve"> - the possibility to apply realistic corrective/preventive actions in order to minimize the negative effect.</w:t>
      </w:r>
    </w:p>
    <w:p w14:paraId="395EE110" w14:textId="3EA65F87" w:rsidR="00D96045" w:rsidRPr="00B36ADE" w:rsidRDefault="00D96045" w:rsidP="00D96045">
      <w:pPr>
        <w:spacing w:before="120" w:after="120"/>
        <w:jc w:val="both"/>
        <w:rPr>
          <w:rFonts w:ascii="Verdana" w:eastAsia="Helvetica" w:hAnsi="Verdana" w:cs="Helvetica"/>
          <w:sz w:val="20"/>
          <w:szCs w:val="20"/>
          <w:lang w:val="en-US"/>
        </w:rPr>
      </w:pPr>
      <w:r w:rsidRPr="00B36ADE">
        <w:rPr>
          <w:rFonts w:ascii="Verdana" w:eastAsia="Helvetica" w:hAnsi="Verdana" w:cs="Helvetica"/>
          <w:sz w:val="20"/>
          <w:szCs w:val="20"/>
          <w:lang w:val="en-US"/>
        </w:rPr>
        <w:t xml:space="preserve">The following can be mentioned as </w:t>
      </w:r>
      <w:r w:rsidR="00467637" w:rsidRPr="00B36ADE">
        <w:rPr>
          <w:rFonts w:ascii="Verdana" w:eastAsia="Helvetica" w:hAnsi="Verdana" w:cs="Helvetica"/>
          <w:sz w:val="20"/>
          <w:szCs w:val="20"/>
          <w:lang w:val="en-US"/>
        </w:rPr>
        <w:t xml:space="preserve">with </w:t>
      </w:r>
      <w:r w:rsidRPr="00B36ADE">
        <w:rPr>
          <w:rFonts w:ascii="Verdana" w:eastAsia="Helvetica" w:hAnsi="Verdana" w:cs="Helvetica"/>
          <w:sz w:val="20"/>
          <w:szCs w:val="20"/>
          <w:lang w:val="en-US"/>
        </w:rPr>
        <w:t>the highest priority:</w:t>
      </w:r>
    </w:p>
    <w:p w14:paraId="07ECFD08" w14:textId="284B3EF2" w:rsidR="00D96045" w:rsidRPr="00B36ADE" w:rsidRDefault="00D96045" w:rsidP="00462B09">
      <w:pPr>
        <w:pStyle w:val="ListParagraph"/>
        <w:numPr>
          <w:ilvl w:val="0"/>
          <w:numId w:val="27"/>
        </w:numPr>
        <w:spacing w:before="120" w:after="120"/>
        <w:jc w:val="both"/>
        <w:rPr>
          <w:rFonts w:ascii="Verdana" w:eastAsia="Helvetica" w:hAnsi="Verdana" w:cs="Helvetica"/>
          <w:sz w:val="20"/>
          <w:szCs w:val="20"/>
          <w:lang w:val="en-US"/>
        </w:rPr>
      </w:pPr>
      <w:r w:rsidRPr="00B36ADE">
        <w:rPr>
          <w:rFonts w:ascii="Verdana" w:eastAsia="Helvetica" w:hAnsi="Verdana" w:cs="Helvetica"/>
          <w:sz w:val="20"/>
          <w:szCs w:val="20"/>
          <w:lang w:val="en-US"/>
        </w:rPr>
        <w:t xml:space="preserve">Delays and </w:t>
      </w:r>
      <w:r w:rsidR="00045DCA">
        <w:rPr>
          <w:rFonts w:ascii="Verdana" w:eastAsia="Helvetica" w:hAnsi="Verdana" w:cs="Helvetica"/>
          <w:sz w:val="20"/>
          <w:szCs w:val="20"/>
          <w:lang w:val="en-US"/>
        </w:rPr>
        <w:t>gaps</w:t>
      </w:r>
      <w:r w:rsidR="00045DCA" w:rsidRPr="00B36ADE">
        <w:rPr>
          <w:rFonts w:ascii="Verdana" w:eastAsia="Helvetica" w:hAnsi="Verdana" w:cs="Helvetica"/>
          <w:sz w:val="20"/>
          <w:szCs w:val="20"/>
          <w:lang w:val="en-US"/>
        </w:rPr>
        <w:t xml:space="preserve"> </w:t>
      </w:r>
      <w:r w:rsidRPr="00B36ADE">
        <w:rPr>
          <w:rFonts w:ascii="Verdana" w:eastAsia="Helvetica" w:hAnsi="Verdana" w:cs="Helvetica"/>
          <w:sz w:val="20"/>
          <w:szCs w:val="20"/>
          <w:lang w:val="en-US"/>
        </w:rPr>
        <w:t>in the preparation and initial stages of project implementation</w:t>
      </w:r>
    </w:p>
    <w:p w14:paraId="29B3C3B2" w14:textId="69BA81E2" w:rsidR="00D96045" w:rsidRPr="00B36ADE" w:rsidRDefault="00D96045" w:rsidP="00462B09">
      <w:pPr>
        <w:pStyle w:val="ListParagraph"/>
        <w:numPr>
          <w:ilvl w:val="0"/>
          <w:numId w:val="27"/>
        </w:numPr>
        <w:spacing w:before="120" w:after="120"/>
        <w:jc w:val="both"/>
        <w:rPr>
          <w:rFonts w:ascii="Verdana" w:eastAsia="Helvetica" w:hAnsi="Verdana" w:cs="Helvetica"/>
          <w:sz w:val="20"/>
          <w:szCs w:val="20"/>
          <w:lang w:val="en-US"/>
        </w:rPr>
      </w:pPr>
      <w:r w:rsidRPr="00B36ADE">
        <w:rPr>
          <w:rFonts w:ascii="Verdana" w:eastAsia="Helvetica" w:hAnsi="Verdana" w:cs="Helvetica"/>
          <w:sz w:val="20"/>
          <w:szCs w:val="20"/>
          <w:lang w:val="en-US"/>
        </w:rPr>
        <w:t xml:space="preserve">Unrealistic planning of the time frame for implementation of the projects and the activities envisaged </w:t>
      </w:r>
    </w:p>
    <w:p w14:paraId="70674872" w14:textId="3315AF3E" w:rsidR="00D96045" w:rsidRPr="00B36ADE" w:rsidRDefault="00D96045" w:rsidP="00462B09">
      <w:pPr>
        <w:pStyle w:val="ListParagraph"/>
        <w:numPr>
          <w:ilvl w:val="0"/>
          <w:numId w:val="27"/>
        </w:numPr>
        <w:spacing w:before="120" w:after="120"/>
        <w:jc w:val="both"/>
        <w:rPr>
          <w:rFonts w:ascii="Verdana" w:eastAsia="Helvetica" w:hAnsi="Verdana" w:cs="Helvetica"/>
          <w:sz w:val="20"/>
          <w:szCs w:val="20"/>
          <w:lang w:val="en-US"/>
        </w:rPr>
      </w:pPr>
      <w:r w:rsidRPr="00B36ADE">
        <w:rPr>
          <w:rFonts w:ascii="Verdana" w:eastAsia="Helvetica" w:hAnsi="Verdana" w:cs="Helvetica"/>
          <w:sz w:val="20"/>
          <w:szCs w:val="20"/>
          <w:lang w:val="en-US"/>
        </w:rPr>
        <w:t xml:space="preserve">Delays in the preparation and </w:t>
      </w:r>
      <w:r w:rsidR="00045DCA">
        <w:rPr>
          <w:rFonts w:ascii="Verdana" w:eastAsia="Helvetica" w:hAnsi="Verdana" w:cs="Helvetica"/>
          <w:sz w:val="20"/>
          <w:szCs w:val="20"/>
          <w:lang w:val="en-US"/>
        </w:rPr>
        <w:t>start</w:t>
      </w:r>
      <w:r w:rsidR="00045DCA" w:rsidRPr="00B36ADE">
        <w:rPr>
          <w:rFonts w:ascii="Verdana" w:eastAsia="Helvetica" w:hAnsi="Verdana" w:cs="Helvetica"/>
          <w:sz w:val="20"/>
          <w:szCs w:val="20"/>
          <w:lang w:val="en-US"/>
        </w:rPr>
        <w:t xml:space="preserve"> </w:t>
      </w:r>
      <w:r w:rsidRPr="00B36ADE">
        <w:rPr>
          <w:rFonts w:ascii="Verdana" w:eastAsia="Helvetica" w:hAnsi="Verdana" w:cs="Helvetica"/>
          <w:sz w:val="20"/>
          <w:szCs w:val="20"/>
          <w:lang w:val="en-US"/>
        </w:rPr>
        <w:t>of tender procedures</w:t>
      </w:r>
    </w:p>
    <w:p w14:paraId="455333E0" w14:textId="61F0A5D4" w:rsidR="00D96045" w:rsidRPr="00B36ADE" w:rsidRDefault="00D96045" w:rsidP="00462B09">
      <w:pPr>
        <w:pStyle w:val="ListParagraph"/>
        <w:numPr>
          <w:ilvl w:val="0"/>
          <w:numId w:val="27"/>
        </w:numPr>
        <w:spacing w:before="120" w:after="120"/>
        <w:jc w:val="both"/>
        <w:rPr>
          <w:rFonts w:ascii="Verdana" w:eastAsia="Helvetica" w:hAnsi="Verdana" w:cs="Helvetica"/>
          <w:sz w:val="20"/>
          <w:szCs w:val="20"/>
          <w:lang w:val="en-US"/>
        </w:rPr>
      </w:pPr>
      <w:r w:rsidRPr="00B36ADE">
        <w:rPr>
          <w:rFonts w:ascii="Verdana" w:eastAsia="Helvetica" w:hAnsi="Verdana" w:cs="Helvetica"/>
          <w:sz w:val="20"/>
          <w:szCs w:val="20"/>
          <w:lang w:val="en-US"/>
        </w:rPr>
        <w:t xml:space="preserve">Appeal </w:t>
      </w:r>
      <w:r w:rsidR="00753112">
        <w:rPr>
          <w:rFonts w:ascii="Verdana" w:eastAsia="Helvetica" w:hAnsi="Verdana" w:cs="Helvetica"/>
          <w:sz w:val="20"/>
          <w:szCs w:val="20"/>
          <w:lang w:val="en-US"/>
        </w:rPr>
        <w:t>against</w:t>
      </w:r>
      <w:r w:rsidR="00753112" w:rsidRPr="00B36ADE">
        <w:rPr>
          <w:rFonts w:ascii="Verdana" w:eastAsia="Helvetica" w:hAnsi="Verdana" w:cs="Helvetica"/>
          <w:sz w:val="20"/>
          <w:szCs w:val="20"/>
          <w:lang w:val="en-US"/>
        </w:rPr>
        <w:t xml:space="preserve"> </w:t>
      </w:r>
      <w:r w:rsidRPr="00B36ADE">
        <w:rPr>
          <w:rFonts w:ascii="Verdana" w:eastAsia="Helvetica" w:hAnsi="Verdana" w:cs="Helvetica"/>
          <w:sz w:val="20"/>
          <w:szCs w:val="20"/>
          <w:lang w:val="en-US"/>
        </w:rPr>
        <w:t>the tender documentation</w:t>
      </w:r>
    </w:p>
    <w:p w14:paraId="23F9F8F6" w14:textId="77777777" w:rsidR="00D96045" w:rsidRPr="00B36ADE" w:rsidRDefault="00D96045" w:rsidP="00462B09">
      <w:pPr>
        <w:pStyle w:val="ListParagraph"/>
        <w:numPr>
          <w:ilvl w:val="0"/>
          <w:numId w:val="27"/>
        </w:numPr>
        <w:spacing w:before="120" w:after="120"/>
        <w:jc w:val="both"/>
        <w:rPr>
          <w:rFonts w:ascii="Verdana" w:eastAsia="Helvetica" w:hAnsi="Verdana" w:cs="Helvetica"/>
          <w:sz w:val="20"/>
          <w:szCs w:val="20"/>
          <w:lang w:val="en-US"/>
        </w:rPr>
      </w:pPr>
      <w:r w:rsidRPr="00B36ADE">
        <w:rPr>
          <w:rFonts w:ascii="Verdana" w:eastAsia="Helvetica" w:hAnsi="Verdana" w:cs="Helvetica"/>
          <w:sz w:val="20"/>
          <w:szCs w:val="20"/>
          <w:lang w:val="en-US"/>
        </w:rPr>
        <w:t>Appeal against the decision for selection of a contractor</w:t>
      </w:r>
    </w:p>
    <w:p w14:paraId="47D0AE03" w14:textId="6500ADAA" w:rsidR="00D96045" w:rsidRPr="00B36ADE" w:rsidRDefault="00D96045" w:rsidP="00462B09">
      <w:pPr>
        <w:pStyle w:val="ListParagraph"/>
        <w:numPr>
          <w:ilvl w:val="0"/>
          <w:numId w:val="27"/>
        </w:numPr>
        <w:spacing w:before="120" w:after="120"/>
        <w:jc w:val="both"/>
        <w:rPr>
          <w:rFonts w:ascii="Verdana" w:eastAsia="Helvetica" w:hAnsi="Verdana" w:cs="Helvetica"/>
          <w:sz w:val="20"/>
          <w:szCs w:val="20"/>
          <w:lang w:val="en-US"/>
        </w:rPr>
      </w:pPr>
      <w:r w:rsidRPr="00B36ADE">
        <w:rPr>
          <w:rFonts w:ascii="Verdana" w:eastAsia="Helvetica" w:hAnsi="Verdana" w:cs="Helvetica"/>
          <w:sz w:val="20"/>
          <w:szCs w:val="20"/>
          <w:lang w:val="en-US"/>
        </w:rPr>
        <w:t xml:space="preserve">Delays and problems with the application of procedures under the </w:t>
      </w:r>
      <w:r w:rsidR="00724696" w:rsidRPr="00B36ADE">
        <w:rPr>
          <w:rFonts w:ascii="Verdana" w:eastAsia="Helvetica" w:hAnsi="Verdana" w:cs="Helvetica"/>
          <w:sz w:val="20"/>
          <w:szCs w:val="20"/>
          <w:lang w:val="en-US"/>
        </w:rPr>
        <w:t>SPL</w:t>
      </w:r>
      <w:r w:rsidRPr="00B36ADE">
        <w:rPr>
          <w:rFonts w:ascii="Verdana" w:eastAsia="Helvetica" w:hAnsi="Verdana" w:cs="Helvetica"/>
          <w:sz w:val="20"/>
          <w:szCs w:val="20"/>
          <w:lang w:val="en-US"/>
        </w:rPr>
        <w:t xml:space="preserve"> - Detailed development plans, conformity assessment, issuance of building permits</w:t>
      </w:r>
    </w:p>
    <w:p w14:paraId="2BB08F38" w14:textId="463A637A" w:rsidR="00D96045" w:rsidRPr="00B36ADE" w:rsidRDefault="00D96045" w:rsidP="00462B09">
      <w:pPr>
        <w:pStyle w:val="ListParagraph"/>
        <w:numPr>
          <w:ilvl w:val="0"/>
          <w:numId w:val="27"/>
        </w:numPr>
        <w:spacing w:before="120" w:after="120"/>
        <w:jc w:val="both"/>
        <w:rPr>
          <w:rFonts w:ascii="Verdana" w:eastAsia="Helvetica" w:hAnsi="Verdana" w:cs="Helvetica"/>
          <w:sz w:val="20"/>
          <w:szCs w:val="20"/>
          <w:lang w:val="en-US"/>
        </w:rPr>
      </w:pPr>
      <w:r w:rsidRPr="00B36ADE">
        <w:rPr>
          <w:rFonts w:ascii="Verdana" w:eastAsia="Helvetica" w:hAnsi="Verdana" w:cs="Helvetica"/>
          <w:sz w:val="20"/>
          <w:szCs w:val="20"/>
          <w:lang w:val="en-US"/>
        </w:rPr>
        <w:t xml:space="preserve">Poor coordination between the various institutions involved in the approval of the </w:t>
      </w:r>
      <w:r w:rsidR="00412642">
        <w:rPr>
          <w:rFonts w:ascii="Verdana" w:eastAsia="Helvetica" w:hAnsi="Verdana" w:cs="Helvetica"/>
          <w:sz w:val="20"/>
          <w:szCs w:val="20"/>
          <w:lang w:val="en-US"/>
        </w:rPr>
        <w:t xml:space="preserve">project </w:t>
      </w:r>
      <w:r w:rsidRPr="00B36ADE">
        <w:rPr>
          <w:rFonts w:ascii="Verdana" w:eastAsia="Helvetica" w:hAnsi="Verdana" w:cs="Helvetica"/>
          <w:sz w:val="20"/>
          <w:szCs w:val="20"/>
          <w:lang w:val="en-US"/>
        </w:rPr>
        <w:t xml:space="preserve">technical documentation </w:t>
      </w:r>
    </w:p>
    <w:p w14:paraId="2F7320ED" w14:textId="7902FC44" w:rsidR="00D96045" w:rsidRPr="00B36ADE" w:rsidRDefault="00D96045" w:rsidP="00462B09">
      <w:pPr>
        <w:pStyle w:val="ListParagraph"/>
        <w:numPr>
          <w:ilvl w:val="0"/>
          <w:numId w:val="27"/>
        </w:numPr>
        <w:spacing w:before="120" w:after="120"/>
        <w:jc w:val="both"/>
        <w:rPr>
          <w:rFonts w:ascii="Verdana" w:eastAsia="Helvetica" w:hAnsi="Verdana" w:cs="Helvetica"/>
          <w:sz w:val="20"/>
          <w:szCs w:val="20"/>
          <w:lang w:val="en-US"/>
        </w:rPr>
      </w:pPr>
      <w:r w:rsidRPr="00B36ADE">
        <w:rPr>
          <w:rFonts w:ascii="Verdana" w:eastAsia="Helvetica" w:hAnsi="Verdana" w:cs="Helvetica"/>
          <w:sz w:val="20"/>
          <w:szCs w:val="20"/>
          <w:lang w:val="en-US"/>
        </w:rPr>
        <w:t>Delay</w:t>
      </w:r>
      <w:r w:rsidR="00412642">
        <w:rPr>
          <w:rFonts w:ascii="Verdana" w:eastAsia="Helvetica" w:hAnsi="Verdana" w:cs="Helvetica"/>
          <w:sz w:val="20"/>
          <w:szCs w:val="20"/>
          <w:lang w:val="en-US"/>
        </w:rPr>
        <w:t>s</w:t>
      </w:r>
      <w:r w:rsidRPr="00B36ADE">
        <w:rPr>
          <w:rFonts w:ascii="Verdana" w:eastAsia="Helvetica" w:hAnsi="Verdana" w:cs="Helvetica"/>
          <w:sz w:val="20"/>
          <w:szCs w:val="20"/>
          <w:lang w:val="en-US"/>
        </w:rPr>
        <w:t xml:space="preserve"> in construction</w:t>
      </w:r>
      <w:r w:rsidR="00412642">
        <w:rPr>
          <w:rFonts w:ascii="Verdana" w:eastAsia="Helvetica" w:hAnsi="Verdana" w:cs="Helvetica"/>
          <w:sz w:val="20"/>
          <w:szCs w:val="20"/>
          <w:lang w:val="en-US"/>
        </w:rPr>
        <w:t xml:space="preserve"> phase</w:t>
      </w:r>
    </w:p>
    <w:p w14:paraId="6EC2E5CF" w14:textId="1622B4BF" w:rsidR="00D96045" w:rsidRPr="00B36ADE" w:rsidRDefault="00412642" w:rsidP="00462B09">
      <w:pPr>
        <w:pStyle w:val="ListParagraph"/>
        <w:numPr>
          <w:ilvl w:val="0"/>
          <w:numId w:val="27"/>
        </w:numPr>
        <w:spacing w:before="120" w:after="120"/>
        <w:jc w:val="both"/>
        <w:rPr>
          <w:rFonts w:ascii="Verdana" w:eastAsia="Helvetica" w:hAnsi="Verdana" w:cs="Helvetica"/>
          <w:sz w:val="20"/>
          <w:szCs w:val="20"/>
          <w:lang w:val="en-US"/>
        </w:rPr>
      </w:pPr>
      <w:r>
        <w:rPr>
          <w:rFonts w:ascii="Verdana" w:eastAsia="Helvetica" w:hAnsi="Verdana" w:cs="Helvetica"/>
          <w:sz w:val="20"/>
          <w:szCs w:val="20"/>
          <w:lang w:val="en-US"/>
        </w:rPr>
        <w:t>Existence</w:t>
      </w:r>
      <w:r w:rsidRPr="00B36ADE">
        <w:rPr>
          <w:rFonts w:ascii="Verdana" w:eastAsia="Helvetica" w:hAnsi="Verdana" w:cs="Helvetica"/>
          <w:sz w:val="20"/>
          <w:szCs w:val="20"/>
          <w:lang w:val="en-US"/>
        </w:rPr>
        <w:t xml:space="preserve"> </w:t>
      </w:r>
      <w:r w:rsidR="00D96045" w:rsidRPr="00B36ADE">
        <w:rPr>
          <w:rFonts w:ascii="Verdana" w:eastAsia="Helvetica" w:hAnsi="Verdana" w:cs="Helvetica"/>
          <w:sz w:val="20"/>
          <w:szCs w:val="20"/>
          <w:lang w:val="en-US"/>
        </w:rPr>
        <w:t xml:space="preserve">of </w:t>
      </w:r>
      <w:r w:rsidR="00CD4A3A">
        <w:rPr>
          <w:rFonts w:ascii="Verdana" w:eastAsia="Helvetica" w:hAnsi="Verdana" w:cs="Helvetica"/>
          <w:sz w:val="20"/>
          <w:szCs w:val="20"/>
          <w:lang w:val="en-US"/>
        </w:rPr>
        <w:t>un</w:t>
      </w:r>
      <w:r w:rsidR="00F52F36">
        <w:rPr>
          <w:rFonts w:ascii="Verdana" w:eastAsia="Helvetica" w:hAnsi="Verdana" w:cs="Helvetica"/>
          <w:sz w:val="20"/>
          <w:szCs w:val="20"/>
          <w:lang w:val="en-US"/>
        </w:rPr>
        <w:t>foreseen</w:t>
      </w:r>
      <w:r w:rsidR="00CD4A3A" w:rsidRPr="00B36ADE">
        <w:rPr>
          <w:rFonts w:ascii="Verdana" w:eastAsia="Helvetica" w:hAnsi="Verdana" w:cs="Helvetica"/>
          <w:sz w:val="20"/>
          <w:szCs w:val="20"/>
          <w:lang w:val="en-US"/>
        </w:rPr>
        <w:t xml:space="preserve"> </w:t>
      </w:r>
      <w:r w:rsidR="00D96045" w:rsidRPr="00B36ADE">
        <w:rPr>
          <w:rFonts w:ascii="Verdana" w:eastAsia="Helvetica" w:hAnsi="Verdana" w:cs="Helvetica"/>
          <w:sz w:val="20"/>
          <w:szCs w:val="20"/>
          <w:lang w:val="en-US"/>
        </w:rPr>
        <w:t>circumstances, incl. unexpected find</w:t>
      </w:r>
      <w:r w:rsidR="00724696" w:rsidRPr="00B36ADE">
        <w:rPr>
          <w:rFonts w:ascii="Verdana" w:eastAsia="Helvetica" w:hAnsi="Verdana" w:cs="Helvetica"/>
          <w:sz w:val="20"/>
          <w:szCs w:val="20"/>
          <w:lang w:val="en-US"/>
        </w:rPr>
        <w:t>ing</w:t>
      </w:r>
      <w:r w:rsidR="00D96045" w:rsidRPr="00B36ADE">
        <w:rPr>
          <w:rFonts w:ascii="Verdana" w:eastAsia="Helvetica" w:hAnsi="Verdana" w:cs="Helvetica"/>
          <w:sz w:val="20"/>
          <w:szCs w:val="20"/>
          <w:lang w:val="en-US"/>
        </w:rPr>
        <w:t>s of archeological sites/artifacts in the construction phase, which lead to suspension and delay of construction and possible increase in the value of the sites</w:t>
      </w:r>
    </w:p>
    <w:p w14:paraId="33E6ED85" w14:textId="238E968E" w:rsidR="00D96045" w:rsidRPr="00B36ADE" w:rsidRDefault="00045DCA" w:rsidP="00462B09">
      <w:pPr>
        <w:pStyle w:val="ListParagraph"/>
        <w:numPr>
          <w:ilvl w:val="0"/>
          <w:numId w:val="27"/>
        </w:numPr>
        <w:spacing w:before="120" w:after="120"/>
        <w:jc w:val="both"/>
        <w:rPr>
          <w:rFonts w:ascii="Verdana" w:eastAsia="Helvetica" w:hAnsi="Verdana" w:cs="Helvetica"/>
          <w:sz w:val="20"/>
          <w:szCs w:val="20"/>
          <w:lang w:val="en-US"/>
        </w:rPr>
      </w:pPr>
      <w:r>
        <w:rPr>
          <w:rFonts w:ascii="Verdana" w:eastAsia="Helvetica" w:hAnsi="Verdana" w:cs="Helvetica"/>
          <w:sz w:val="20"/>
          <w:szCs w:val="20"/>
          <w:lang w:val="en-US"/>
        </w:rPr>
        <w:t>Contingencies</w:t>
      </w:r>
      <w:r w:rsidRPr="00B36ADE">
        <w:rPr>
          <w:rFonts w:ascii="Verdana" w:eastAsia="Helvetica" w:hAnsi="Verdana" w:cs="Helvetica"/>
          <w:sz w:val="20"/>
          <w:szCs w:val="20"/>
          <w:lang w:val="en-US"/>
        </w:rPr>
        <w:t xml:space="preserve"> that exceed the </w:t>
      </w:r>
      <w:r>
        <w:rPr>
          <w:rFonts w:ascii="Verdana" w:eastAsia="Helvetica" w:hAnsi="Verdana" w:cs="Helvetica"/>
          <w:sz w:val="20"/>
          <w:szCs w:val="20"/>
          <w:lang w:val="en-US"/>
        </w:rPr>
        <w:t>amounts included in</w:t>
      </w:r>
      <w:r w:rsidRPr="00B36ADE">
        <w:rPr>
          <w:rFonts w:ascii="Verdana" w:eastAsia="Helvetica" w:hAnsi="Verdana" w:cs="Helvetica"/>
          <w:sz w:val="20"/>
          <w:szCs w:val="20"/>
          <w:lang w:val="en-US"/>
        </w:rPr>
        <w:t xml:space="preserve"> project budgets</w:t>
      </w:r>
      <w:r w:rsidR="00D96045" w:rsidRPr="00B36ADE">
        <w:rPr>
          <w:rFonts w:ascii="Verdana" w:eastAsia="Helvetica" w:hAnsi="Verdana" w:cs="Helvetica"/>
          <w:sz w:val="20"/>
          <w:szCs w:val="20"/>
          <w:lang w:val="en-US"/>
        </w:rPr>
        <w:t xml:space="preserve">Lack of practice </w:t>
      </w:r>
      <w:r w:rsidR="00724696" w:rsidRPr="00B36ADE">
        <w:rPr>
          <w:rFonts w:ascii="Verdana" w:eastAsia="Helvetica" w:hAnsi="Verdana" w:cs="Helvetica"/>
          <w:sz w:val="20"/>
          <w:szCs w:val="20"/>
          <w:lang w:val="en-US"/>
        </w:rPr>
        <w:t>in some</w:t>
      </w:r>
      <w:r w:rsidR="00D96045" w:rsidRPr="00B36ADE">
        <w:rPr>
          <w:rFonts w:ascii="Verdana" w:eastAsia="Helvetica" w:hAnsi="Verdana" w:cs="Helvetica"/>
          <w:sz w:val="20"/>
          <w:szCs w:val="20"/>
          <w:lang w:val="en-US"/>
        </w:rPr>
        <w:t xml:space="preserve"> beneficiaries </w:t>
      </w:r>
      <w:r w:rsidR="0084434D">
        <w:rPr>
          <w:rFonts w:ascii="Verdana" w:eastAsia="Helvetica" w:hAnsi="Verdana" w:cs="Helvetica"/>
          <w:sz w:val="20"/>
          <w:szCs w:val="20"/>
          <w:lang w:val="en-US"/>
        </w:rPr>
        <w:t>in financing and starting</w:t>
      </w:r>
      <w:r w:rsidR="00D96045" w:rsidRPr="00B36ADE">
        <w:rPr>
          <w:rFonts w:ascii="Verdana" w:eastAsia="Helvetica" w:hAnsi="Verdana" w:cs="Helvetica"/>
          <w:sz w:val="20"/>
          <w:szCs w:val="20"/>
          <w:lang w:val="en-US"/>
        </w:rPr>
        <w:t xml:space="preserve"> implementation activities </w:t>
      </w:r>
      <w:r w:rsidR="0084434D">
        <w:rPr>
          <w:rFonts w:ascii="Verdana" w:eastAsia="Helvetica" w:hAnsi="Verdana" w:cs="Helvetica"/>
          <w:sz w:val="20"/>
          <w:szCs w:val="20"/>
          <w:lang w:val="en-US"/>
        </w:rPr>
        <w:t>prior to</w:t>
      </w:r>
      <w:r w:rsidR="00D96045" w:rsidRPr="00B36ADE">
        <w:rPr>
          <w:rFonts w:ascii="Verdana" w:eastAsia="Helvetica" w:hAnsi="Verdana" w:cs="Helvetica"/>
          <w:sz w:val="20"/>
          <w:szCs w:val="20"/>
          <w:lang w:val="en-US"/>
        </w:rPr>
        <w:t xml:space="preserve"> grant contracts</w:t>
      </w:r>
      <w:r w:rsidR="0084434D">
        <w:rPr>
          <w:rFonts w:ascii="Verdana" w:eastAsia="Helvetica" w:hAnsi="Verdana" w:cs="Helvetica"/>
          <w:sz w:val="20"/>
          <w:szCs w:val="20"/>
          <w:lang w:val="en-US"/>
        </w:rPr>
        <w:t>’ signing</w:t>
      </w:r>
      <w:r w:rsidR="00D96045" w:rsidRPr="00B36ADE">
        <w:rPr>
          <w:rFonts w:ascii="Verdana" w:eastAsia="Helvetica" w:hAnsi="Verdana" w:cs="Helvetica"/>
          <w:sz w:val="20"/>
          <w:szCs w:val="20"/>
          <w:lang w:val="en-US"/>
        </w:rPr>
        <w:t>, in order to avoid possible serious delays in the overall project implementation</w:t>
      </w:r>
    </w:p>
    <w:p w14:paraId="3D32CFFF" w14:textId="30327E02" w:rsidR="00D96045" w:rsidRPr="00B36ADE" w:rsidRDefault="00D96045" w:rsidP="00462B09">
      <w:pPr>
        <w:pStyle w:val="ListParagraph"/>
        <w:numPr>
          <w:ilvl w:val="0"/>
          <w:numId w:val="27"/>
        </w:numPr>
        <w:spacing w:before="120" w:after="120"/>
        <w:jc w:val="both"/>
        <w:rPr>
          <w:rFonts w:ascii="Verdana" w:eastAsia="Helvetica" w:hAnsi="Verdana" w:cs="Helvetica"/>
          <w:sz w:val="20"/>
          <w:szCs w:val="20"/>
          <w:lang w:val="en-US"/>
        </w:rPr>
      </w:pPr>
      <w:r w:rsidRPr="00B36ADE">
        <w:rPr>
          <w:rFonts w:ascii="Verdana" w:eastAsia="Helvetica" w:hAnsi="Verdana" w:cs="Helvetica"/>
          <w:sz w:val="20"/>
          <w:szCs w:val="20"/>
          <w:lang w:val="en-US"/>
        </w:rPr>
        <w:t xml:space="preserve">Need to </w:t>
      </w:r>
      <w:r w:rsidR="00FD5E8B">
        <w:rPr>
          <w:rFonts w:ascii="Verdana" w:eastAsia="Helvetica" w:hAnsi="Verdana" w:cs="Helvetica"/>
          <w:sz w:val="20"/>
          <w:szCs w:val="20"/>
          <w:lang w:val="en-US"/>
        </w:rPr>
        <w:t>provide</w:t>
      </w:r>
      <w:r w:rsidR="00FD5E8B" w:rsidRPr="00B36ADE">
        <w:rPr>
          <w:rFonts w:ascii="Verdana" w:eastAsia="Helvetica" w:hAnsi="Verdana" w:cs="Helvetica"/>
          <w:sz w:val="20"/>
          <w:szCs w:val="20"/>
          <w:lang w:val="en-US"/>
        </w:rPr>
        <w:t xml:space="preserve"> </w:t>
      </w:r>
      <w:r w:rsidRPr="00B36ADE">
        <w:rPr>
          <w:rFonts w:ascii="Verdana" w:eastAsia="Helvetica" w:hAnsi="Verdana" w:cs="Helvetica"/>
          <w:sz w:val="20"/>
          <w:szCs w:val="20"/>
          <w:lang w:val="en-US"/>
        </w:rPr>
        <w:t xml:space="preserve">a full EIA, appeal against an effective EIA decision or </w:t>
      </w:r>
      <w:r w:rsidR="00FD5E8B">
        <w:rPr>
          <w:rFonts w:ascii="Verdana" w:eastAsia="Helvetica" w:hAnsi="Verdana" w:cs="Helvetica"/>
          <w:sz w:val="20"/>
          <w:szCs w:val="20"/>
          <w:lang w:val="en-US"/>
        </w:rPr>
        <w:t xml:space="preserve">need to </w:t>
      </w:r>
      <w:r w:rsidRPr="00B36ADE">
        <w:rPr>
          <w:rFonts w:ascii="Verdana" w:eastAsia="Helvetica" w:hAnsi="Verdana" w:cs="Helvetica"/>
          <w:sz w:val="20"/>
          <w:szCs w:val="20"/>
          <w:lang w:val="en-US"/>
        </w:rPr>
        <w:t xml:space="preserve">change an </w:t>
      </w:r>
      <w:r w:rsidR="00FD5E8B">
        <w:rPr>
          <w:rFonts w:ascii="Verdana" w:eastAsia="Helvetica" w:hAnsi="Verdana" w:cs="Helvetica"/>
          <w:sz w:val="20"/>
          <w:szCs w:val="20"/>
          <w:lang w:val="en-US"/>
        </w:rPr>
        <w:t xml:space="preserve">implemented </w:t>
      </w:r>
      <w:r w:rsidRPr="00B36ADE">
        <w:rPr>
          <w:rFonts w:ascii="Verdana" w:eastAsia="Helvetica" w:hAnsi="Verdana" w:cs="Helvetica"/>
          <w:sz w:val="20"/>
          <w:szCs w:val="20"/>
          <w:lang w:val="en-US"/>
        </w:rPr>
        <w:t>EIA</w:t>
      </w:r>
    </w:p>
    <w:p w14:paraId="61624AD1" w14:textId="01EDB739" w:rsidR="00D96045" w:rsidRPr="00B36ADE" w:rsidRDefault="006549AC" w:rsidP="00462B09">
      <w:pPr>
        <w:pStyle w:val="ListParagraph"/>
        <w:numPr>
          <w:ilvl w:val="0"/>
          <w:numId w:val="27"/>
        </w:numPr>
        <w:spacing w:before="120" w:after="120"/>
        <w:jc w:val="both"/>
        <w:rPr>
          <w:rFonts w:ascii="Verdana" w:eastAsia="Helvetica" w:hAnsi="Verdana" w:cs="Helvetica"/>
          <w:sz w:val="20"/>
          <w:szCs w:val="20"/>
          <w:lang w:val="en-US"/>
        </w:rPr>
      </w:pPr>
      <w:r>
        <w:rPr>
          <w:rFonts w:ascii="Verdana" w:eastAsia="Helvetica" w:hAnsi="Verdana" w:cs="Helvetica"/>
          <w:sz w:val="20"/>
          <w:szCs w:val="20"/>
          <w:lang w:val="en-US"/>
        </w:rPr>
        <w:t>Underestimated</w:t>
      </w:r>
      <w:r w:rsidR="00D96045" w:rsidRPr="00B36ADE">
        <w:rPr>
          <w:rFonts w:ascii="Verdana" w:eastAsia="Helvetica" w:hAnsi="Verdana" w:cs="Helvetica"/>
          <w:sz w:val="20"/>
          <w:szCs w:val="20"/>
          <w:lang w:val="en-US"/>
        </w:rPr>
        <w:t xml:space="preserve"> value of te</w:t>
      </w:r>
      <w:r w:rsidR="00724696" w:rsidRPr="00B36ADE">
        <w:rPr>
          <w:rFonts w:ascii="Verdana" w:eastAsia="Helvetica" w:hAnsi="Verdana" w:cs="Helvetica"/>
          <w:sz w:val="20"/>
          <w:szCs w:val="20"/>
          <w:lang w:val="en-US"/>
        </w:rPr>
        <w:t>n</w:t>
      </w:r>
      <w:r w:rsidR="00D96045" w:rsidRPr="00B36ADE">
        <w:rPr>
          <w:rFonts w:ascii="Verdana" w:eastAsia="Helvetica" w:hAnsi="Verdana" w:cs="Helvetica"/>
          <w:sz w:val="20"/>
          <w:szCs w:val="20"/>
          <w:lang w:val="en-US"/>
        </w:rPr>
        <w:t xml:space="preserve">ders, incl. outdated prices at the time of </w:t>
      </w:r>
      <w:r>
        <w:rPr>
          <w:rFonts w:ascii="Verdana" w:eastAsia="Helvetica" w:hAnsi="Verdana" w:cs="Helvetica"/>
          <w:sz w:val="20"/>
          <w:szCs w:val="20"/>
          <w:lang w:val="en-US"/>
        </w:rPr>
        <w:t>tendering</w:t>
      </w:r>
    </w:p>
    <w:p w14:paraId="12DD2452" w14:textId="77777777" w:rsidR="00D96045" w:rsidRPr="00B36ADE" w:rsidRDefault="00D96045" w:rsidP="00462B09">
      <w:pPr>
        <w:pStyle w:val="ListParagraph"/>
        <w:numPr>
          <w:ilvl w:val="0"/>
          <w:numId w:val="27"/>
        </w:numPr>
        <w:spacing w:before="120" w:after="120"/>
        <w:jc w:val="both"/>
        <w:rPr>
          <w:rFonts w:ascii="Verdana" w:eastAsia="Helvetica" w:hAnsi="Verdana" w:cs="Helvetica"/>
          <w:sz w:val="20"/>
          <w:szCs w:val="20"/>
          <w:lang w:val="en-US"/>
        </w:rPr>
      </w:pPr>
      <w:r w:rsidRPr="00B36ADE">
        <w:rPr>
          <w:rFonts w:ascii="Verdana" w:eastAsia="Helvetica" w:hAnsi="Verdana" w:cs="Helvetica"/>
          <w:sz w:val="20"/>
          <w:szCs w:val="20"/>
          <w:lang w:val="en-US"/>
        </w:rPr>
        <w:t>Difficulties in preparing technical specifications</w:t>
      </w:r>
    </w:p>
    <w:p w14:paraId="48C722F3" w14:textId="77777777" w:rsidR="00D96045" w:rsidRPr="00B36ADE" w:rsidRDefault="00D96045" w:rsidP="00462B09">
      <w:pPr>
        <w:pStyle w:val="ListParagraph"/>
        <w:numPr>
          <w:ilvl w:val="0"/>
          <w:numId w:val="27"/>
        </w:numPr>
        <w:spacing w:before="120" w:after="120"/>
        <w:jc w:val="both"/>
        <w:rPr>
          <w:rFonts w:ascii="Verdana" w:eastAsia="Helvetica" w:hAnsi="Verdana" w:cs="Helvetica"/>
          <w:sz w:val="20"/>
          <w:szCs w:val="20"/>
          <w:lang w:val="en-US"/>
        </w:rPr>
      </w:pPr>
      <w:r w:rsidRPr="00B36ADE">
        <w:rPr>
          <w:rFonts w:ascii="Verdana" w:eastAsia="Helvetica" w:hAnsi="Verdana" w:cs="Helvetica"/>
          <w:sz w:val="20"/>
          <w:szCs w:val="20"/>
          <w:lang w:val="en-US"/>
        </w:rPr>
        <w:lastRenderedPageBreak/>
        <w:t>Insufficient administrative capacity of some of the beneficiaries</w:t>
      </w:r>
    </w:p>
    <w:p w14:paraId="1A9490DB" w14:textId="77777777" w:rsidR="00D96045" w:rsidRPr="00B36ADE" w:rsidRDefault="00D96045" w:rsidP="00D96045">
      <w:pPr>
        <w:pStyle w:val="ListParagraph"/>
        <w:spacing w:before="120" w:after="120"/>
        <w:jc w:val="both"/>
        <w:rPr>
          <w:rFonts w:ascii="Verdana" w:eastAsia="Helvetica" w:hAnsi="Verdana" w:cs="Helvetica"/>
          <w:sz w:val="20"/>
          <w:szCs w:val="20"/>
          <w:lang w:val="en-US"/>
        </w:rPr>
      </w:pPr>
    </w:p>
    <w:p w14:paraId="5085ED76" w14:textId="55564604" w:rsidR="00D96045" w:rsidRPr="00B36ADE" w:rsidRDefault="00724696" w:rsidP="00D96045">
      <w:pPr>
        <w:shd w:val="clear" w:color="auto" w:fill="374E81"/>
        <w:jc w:val="both"/>
        <w:rPr>
          <w:rFonts w:ascii="Verdana" w:hAnsi="Verdana" w:cs="Tahoma"/>
          <w:b/>
          <w:i/>
          <w:color w:val="FFFFFF" w:themeColor="background1"/>
          <w:sz w:val="20"/>
          <w:szCs w:val="20"/>
          <w:lang w:val="en-US"/>
        </w:rPr>
      </w:pPr>
      <w:r w:rsidRPr="00B36ADE">
        <w:rPr>
          <w:rFonts w:ascii="Verdana" w:hAnsi="Verdana" w:cs="Tahoma"/>
          <w:b/>
          <w:i/>
          <w:color w:val="FFFFFF" w:themeColor="background1"/>
          <w:sz w:val="20"/>
          <w:szCs w:val="20"/>
          <w:lang w:val="en-US"/>
        </w:rPr>
        <w:t>What is the progress in achieving milestones for 2018 in terms of output indicators in the Performance framework</w:t>
      </w:r>
      <w:r w:rsidR="00D96045" w:rsidRPr="00B36ADE">
        <w:rPr>
          <w:rFonts w:ascii="Verdana" w:hAnsi="Verdana" w:cs="Tahoma"/>
          <w:b/>
          <w:i/>
          <w:color w:val="FFFFFF" w:themeColor="background1"/>
          <w:sz w:val="20"/>
          <w:szCs w:val="20"/>
          <w:lang w:val="en-US"/>
        </w:rPr>
        <w:t>?</w:t>
      </w:r>
    </w:p>
    <w:p w14:paraId="3CF3A1C8" w14:textId="3406CC5A" w:rsidR="00D96045" w:rsidRPr="00B36ADE" w:rsidRDefault="00D96045" w:rsidP="00D96045">
      <w:pPr>
        <w:jc w:val="both"/>
        <w:rPr>
          <w:rFonts w:ascii="Verdana" w:hAnsi="Verdana"/>
          <w:sz w:val="20"/>
          <w:szCs w:val="20"/>
          <w:lang w:val="en-US"/>
        </w:rPr>
      </w:pPr>
      <w:r w:rsidRPr="00B36ADE">
        <w:rPr>
          <w:rFonts w:ascii="Verdana" w:hAnsi="Verdana"/>
          <w:sz w:val="20"/>
          <w:szCs w:val="20"/>
          <w:lang w:val="en-US"/>
        </w:rPr>
        <w:t xml:space="preserve">The milestones of a priority axis are considered </w:t>
      </w:r>
      <w:r w:rsidR="008F3AAE" w:rsidRPr="00B36ADE">
        <w:rPr>
          <w:rFonts w:ascii="Verdana" w:hAnsi="Verdana"/>
          <w:sz w:val="20"/>
          <w:szCs w:val="20"/>
          <w:lang w:val="en-US"/>
        </w:rPr>
        <w:t>achieved</w:t>
      </w:r>
      <w:r w:rsidRPr="00B36ADE">
        <w:rPr>
          <w:rFonts w:ascii="Verdana" w:hAnsi="Verdana"/>
          <w:sz w:val="20"/>
          <w:szCs w:val="20"/>
          <w:lang w:val="en-US"/>
        </w:rPr>
        <w:t xml:space="preserve"> if all indicators on each of the axes have reached </w:t>
      </w:r>
      <w:r w:rsidRPr="00B36ADE">
        <w:rPr>
          <w:rFonts w:ascii="Verdana" w:hAnsi="Verdana"/>
          <w:b/>
          <w:sz w:val="20"/>
          <w:szCs w:val="20"/>
          <w:lang w:val="en-US"/>
        </w:rPr>
        <w:t>at least 85%</w:t>
      </w:r>
      <w:r w:rsidRPr="00B36ADE">
        <w:rPr>
          <w:rFonts w:ascii="Verdana" w:hAnsi="Verdana"/>
          <w:sz w:val="20"/>
          <w:szCs w:val="20"/>
          <w:lang w:val="en-US"/>
        </w:rPr>
        <w:t xml:space="preserve"> of the value of their </w:t>
      </w:r>
      <w:r w:rsidR="00724696" w:rsidRPr="00B36ADE">
        <w:rPr>
          <w:rFonts w:ascii="Verdana" w:hAnsi="Verdana"/>
          <w:sz w:val="20"/>
          <w:szCs w:val="20"/>
          <w:lang w:val="en-US"/>
        </w:rPr>
        <w:t>targets</w:t>
      </w:r>
      <w:r w:rsidRPr="00B36ADE">
        <w:rPr>
          <w:rFonts w:ascii="Verdana" w:hAnsi="Verdana"/>
          <w:sz w:val="20"/>
          <w:szCs w:val="20"/>
          <w:lang w:val="en-US"/>
        </w:rPr>
        <w:t xml:space="preserve"> (by the end of 2018), which are pre-determined upon approval of the program</w:t>
      </w:r>
      <w:r w:rsidR="006E2CF5" w:rsidRPr="00B36ADE">
        <w:rPr>
          <w:rFonts w:ascii="Verdana" w:hAnsi="Verdana"/>
          <w:sz w:val="20"/>
          <w:szCs w:val="20"/>
          <w:lang w:val="en-US"/>
        </w:rPr>
        <w:t>me</w:t>
      </w:r>
      <w:r w:rsidRPr="00B36ADE">
        <w:rPr>
          <w:rFonts w:ascii="Verdana" w:hAnsi="Verdana"/>
          <w:sz w:val="20"/>
          <w:szCs w:val="20"/>
          <w:lang w:val="en-US"/>
        </w:rPr>
        <w:t>.</w:t>
      </w:r>
    </w:p>
    <w:p w14:paraId="69924E4B" w14:textId="179AC64C" w:rsidR="00D96045" w:rsidRPr="00B36ADE" w:rsidRDefault="00D96045" w:rsidP="00D96045">
      <w:pPr>
        <w:jc w:val="both"/>
        <w:rPr>
          <w:rFonts w:ascii="Verdana" w:hAnsi="Verdana"/>
          <w:sz w:val="20"/>
          <w:szCs w:val="20"/>
          <w:lang w:val="en-US"/>
        </w:rPr>
      </w:pPr>
      <w:r w:rsidRPr="00B36ADE">
        <w:rPr>
          <w:rFonts w:ascii="Verdana" w:hAnsi="Verdana"/>
          <w:sz w:val="20"/>
          <w:szCs w:val="20"/>
          <w:lang w:val="en-US"/>
        </w:rPr>
        <w:t>Under OPTTI for each of the axes it is determined to have two indicators: "financial indicator" and "</w:t>
      </w:r>
      <w:r w:rsidR="008F3AAE" w:rsidRPr="00B36ADE">
        <w:rPr>
          <w:rFonts w:ascii="Verdana" w:hAnsi="Verdana"/>
          <w:sz w:val="20"/>
          <w:szCs w:val="20"/>
          <w:lang w:val="en-US"/>
        </w:rPr>
        <w:t>key implementation step</w:t>
      </w:r>
      <w:r w:rsidRPr="00B36ADE">
        <w:rPr>
          <w:rFonts w:ascii="Verdana" w:hAnsi="Verdana"/>
          <w:sz w:val="20"/>
          <w:szCs w:val="20"/>
          <w:lang w:val="en-US"/>
        </w:rPr>
        <w:t xml:space="preserve">". Their achievement </w:t>
      </w:r>
      <w:r w:rsidRPr="00B36ADE">
        <w:rPr>
          <w:rFonts w:ascii="Verdana" w:hAnsi="Verdana"/>
          <w:b/>
          <w:sz w:val="20"/>
          <w:szCs w:val="20"/>
          <w:lang w:val="en-US"/>
        </w:rPr>
        <w:t>at the end of 2018</w:t>
      </w:r>
      <w:r w:rsidRPr="00B36ADE">
        <w:rPr>
          <w:rFonts w:ascii="Verdana" w:hAnsi="Verdana"/>
          <w:sz w:val="20"/>
          <w:szCs w:val="20"/>
          <w:lang w:val="en-US"/>
        </w:rPr>
        <w:t xml:space="preserve"> </w:t>
      </w:r>
      <w:r w:rsidR="00DD10E3">
        <w:rPr>
          <w:rFonts w:ascii="Verdana" w:hAnsi="Verdana"/>
          <w:sz w:val="20"/>
          <w:szCs w:val="20"/>
          <w:lang w:val="en-US"/>
        </w:rPr>
        <w:t>by</w:t>
      </w:r>
      <w:r w:rsidRPr="00B36ADE">
        <w:rPr>
          <w:rFonts w:ascii="Verdana" w:hAnsi="Verdana"/>
          <w:sz w:val="20"/>
          <w:szCs w:val="20"/>
          <w:lang w:val="en-US"/>
        </w:rPr>
        <w:t xml:space="preserve"> priority axes is shown in the next two figures.</w:t>
      </w:r>
    </w:p>
    <w:p w14:paraId="2CD28EE1" w14:textId="0EA950AF" w:rsidR="00D96045" w:rsidRPr="00B36ADE" w:rsidRDefault="00D52E81" w:rsidP="00D96045">
      <w:pPr>
        <w:jc w:val="center"/>
        <w:rPr>
          <w:rFonts w:ascii="Verdana" w:hAnsi="Verdana"/>
          <w:sz w:val="20"/>
          <w:szCs w:val="20"/>
          <w:lang w:val="en-US"/>
        </w:rPr>
      </w:pPr>
      <w:r w:rsidRPr="00B36ADE">
        <w:rPr>
          <w:noProof/>
          <w:lang w:eastAsia="bg-BG"/>
        </w:rPr>
        <w:drawing>
          <wp:inline distT="0" distB="0" distL="0" distR="0" wp14:anchorId="1088EFF1" wp14:editId="550E4514">
            <wp:extent cx="5760720" cy="2695433"/>
            <wp:effectExtent l="0" t="0" r="11430" b="10160"/>
            <wp:docPr id="65" name="Chart 65">
              <a:extLst xmlns:a="http://schemas.openxmlformats.org/drawingml/2006/main">
                <a:ext uri="{FF2B5EF4-FFF2-40B4-BE49-F238E27FC236}">
                  <a16:creationId xmlns:a16="http://schemas.microsoft.com/office/drawing/2014/main" id="{9D3EB44B-5C62-4EC9-A7B1-4E69A28D2A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90BFDD5" w14:textId="6FA7FEBF" w:rsidR="00D96045" w:rsidRPr="00B36ADE" w:rsidRDefault="00D52E81" w:rsidP="00D96045">
      <w:pPr>
        <w:jc w:val="center"/>
        <w:rPr>
          <w:rFonts w:ascii="Verdana" w:hAnsi="Verdana"/>
          <w:sz w:val="20"/>
          <w:szCs w:val="20"/>
          <w:lang w:val="en-US"/>
        </w:rPr>
      </w:pPr>
      <w:r w:rsidRPr="00B36ADE">
        <w:rPr>
          <w:noProof/>
          <w:lang w:eastAsia="bg-BG"/>
        </w:rPr>
        <w:drawing>
          <wp:inline distT="0" distB="0" distL="0" distR="0" wp14:anchorId="1AE4EB83" wp14:editId="6C157240">
            <wp:extent cx="5760720" cy="2797791"/>
            <wp:effectExtent l="0" t="0" r="11430" b="3175"/>
            <wp:docPr id="66" name="Chart 66">
              <a:extLst xmlns:a="http://schemas.openxmlformats.org/drawingml/2006/main">
                <a:ext uri="{FF2B5EF4-FFF2-40B4-BE49-F238E27FC236}">
                  <a16:creationId xmlns:a16="http://schemas.microsoft.com/office/drawing/2014/main" id="{9D3EB44B-5C62-4EC9-A7B1-4E69A28D2A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C15D87A" w14:textId="7AE15294" w:rsidR="00D96045" w:rsidRPr="00B36ADE" w:rsidRDefault="00D96045" w:rsidP="00D96045">
      <w:pPr>
        <w:jc w:val="both"/>
        <w:rPr>
          <w:rFonts w:ascii="Verdana" w:hAnsi="Verdana"/>
          <w:sz w:val="20"/>
          <w:szCs w:val="20"/>
          <w:lang w:val="en-US"/>
        </w:rPr>
      </w:pPr>
      <w:r w:rsidRPr="00B36ADE">
        <w:rPr>
          <w:rFonts w:ascii="Verdana" w:hAnsi="Verdana"/>
          <w:sz w:val="20"/>
          <w:szCs w:val="20"/>
          <w:lang w:val="en-US"/>
        </w:rPr>
        <w:t xml:space="preserve">The general conclusion in the review of the </w:t>
      </w:r>
      <w:r w:rsidR="005B752A" w:rsidRPr="00B36ADE">
        <w:rPr>
          <w:rFonts w:ascii="Verdana" w:hAnsi="Verdana"/>
          <w:sz w:val="20"/>
          <w:szCs w:val="20"/>
          <w:lang w:val="en-US"/>
        </w:rPr>
        <w:t>achievement</w:t>
      </w:r>
      <w:r w:rsidRPr="00B36ADE">
        <w:rPr>
          <w:rFonts w:ascii="Verdana" w:hAnsi="Verdana"/>
          <w:sz w:val="20"/>
          <w:szCs w:val="20"/>
          <w:lang w:val="en-US"/>
        </w:rPr>
        <w:t xml:space="preserve"> of the milestones under OPTTI is that under two of the axes (PA1 and PA4) the </w:t>
      </w:r>
      <w:r w:rsidR="008F3AAE" w:rsidRPr="00B36ADE">
        <w:rPr>
          <w:rFonts w:ascii="Verdana" w:hAnsi="Verdana"/>
          <w:sz w:val="20"/>
          <w:szCs w:val="20"/>
          <w:lang w:val="en-US"/>
        </w:rPr>
        <w:t>targets</w:t>
      </w:r>
      <w:r w:rsidRPr="00B36ADE">
        <w:rPr>
          <w:rFonts w:ascii="Verdana" w:hAnsi="Verdana"/>
          <w:sz w:val="20"/>
          <w:szCs w:val="20"/>
          <w:lang w:val="en-US"/>
        </w:rPr>
        <w:t xml:space="preserve"> (85%) have not been achieved, therefore the MA has taken the regulated actions to transfer the financial reserve from them to the other two priority axes in the program</w:t>
      </w:r>
      <w:r w:rsidR="006E2CF5" w:rsidRPr="00B36ADE">
        <w:rPr>
          <w:rFonts w:ascii="Verdana" w:hAnsi="Verdana"/>
          <w:sz w:val="20"/>
          <w:szCs w:val="20"/>
          <w:lang w:val="en-US"/>
        </w:rPr>
        <w:t>me</w:t>
      </w:r>
      <w:r w:rsidRPr="00B36ADE">
        <w:rPr>
          <w:rFonts w:ascii="Verdana" w:hAnsi="Verdana"/>
          <w:sz w:val="20"/>
          <w:szCs w:val="20"/>
          <w:lang w:val="en-US"/>
        </w:rPr>
        <w:t>. As a result, the program</w:t>
      </w:r>
      <w:r w:rsidR="006E2CF5" w:rsidRPr="00B36ADE">
        <w:rPr>
          <w:rFonts w:ascii="Verdana" w:hAnsi="Verdana"/>
          <w:sz w:val="20"/>
          <w:szCs w:val="20"/>
          <w:lang w:val="en-US"/>
        </w:rPr>
        <w:t>me</w:t>
      </w:r>
      <w:r w:rsidRPr="00B36ADE">
        <w:rPr>
          <w:rFonts w:ascii="Verdana" w:hAnsi="Verdana"/>
          <w:sz w:val="20"/>
          <w:szCs w:val="20"/>
          <w:lang w:val="en-US"/>
        </w:rPr>
        <w:t xml:space="preserve"> has </w:t>
      </w:r>
      <w:r w:rsidRPr="00B36ADE">
        <w:rPr>
          <w:rFonts w:ascii="Verdana" w:hAnsi="Verdana"/>
          <w:sz w:val="20"/>
          <w:szCs w:val="20"/>
          <w:lang w:val="en-US"/>
        </w:rPr>
        <w:lastRenderedPageBreak/>
        <w:t>been amended and in 2019 version 4.0 of OPTTI was approved with changed amounts of funds under the individual priority axes.</w:t>
      </w:r>
    </w:p>
    <w:p w14:paraId="4D1EA326" w14:textId="19A8D6C9" w:rsidR="00D96045" w:rsidRPr="00B36ADE" w:rsidRDefault="00724696" w:rsidP="00D96045">
      <w:pPr>
        <w:shd w:val="clear" w:color="auto" w:fill="374E81"/>
        <w:jc w:val="both"/>
        <w:rPr>
          <w:rFonts w:ascii="Verdana" w:hAnsi="Verdana" w:cs="Tahoma"/>
          <w:b/>
          <w:i/>
          <w:color w:val="FFFFFF" w:themeColor="background1"/>
          <w:sz w:val="20"/>
          <w:szCs w:val="20"/>
          <w:lang w:val="en-US"/>
        </w:rPr>
      </w:pPr>
      <w:r w:rsidRPr="00B36ADE">
        <w:rPr>
          <w:rFonts w:ascii="Verdana" w:hAnsi="Verdana" w:cs="Tahoma"/>
          <w:b/>
          <w:i/>
          <w:color w:val="FFFFFF" w:themeColor="background1"/>
          <w:sz w:val="20"/>
          <w:szCs w:val="20"/>
          <w:lang w:val="en-US"/>
        </w:rPr>
        <w:t xml:space="preserve">What is the forecast for achieving the final </w:t>
      </w:r>
      <w:r w:rsidR="00FB500A">
        <w:rPr>
          <w:rFonts w:ascii="Verdana" w:hAnsi="Verdana" w:cs="Tahoma"/>
          <w:b/>
          <w:i/>
          <w:color w:val="FFFFFF" w:themeColor="background1"/>
          <w:sz w:val="20"/>
          <w:szCs w:val="20"/>
          <w:lang w:val="en-US"/>
        </w:rPr>
        <w:t>targets</w:t>
      </w:r>
      <w:r w:rsidRPr="00B36ADE">
        <w:rPr>
          <w:rFonts w:ascii="Verdana" w:hAnsi="Verdana" w:cs="Tahoma"/>
          <w:b/>
          <w:i/>
          <w:color w:val="FFFFFF" w:themeColor="background1"/>
          <w:sz w:val="20"/>
          <w:szCs w:val="20"/>
          <w:lang w:val="en-US"/>
        </w:rPr>
        <w:t xml:space="preserve"> set in the Performance framework by the end of 2023</w:t>
      </w:r>
      <w:r w:rsidR="00D96045" w:rsidRPr="00B36ADE">
        <w:rPr>
          <w:rFonts w:ascii="Verdana" w:hAnsi="Verdana" w:cs="Tahoma"/>
          <w:b/>
          <w:i/>
          <w:color w:val="FFFFFF" w:themeColor="background1"/>
          <w:sz w:val="20"/>
          <w:szCs w:val="20"/>
          <w:lang w:val="en-US"/>
        </w:rPr>
        <w:t>?</w:t>
      </w:r>
    </w:p>
    <w:p w14:paraId="2B65D90D" w14:textId="3625AC21" w:rsidR="00D96045" w:rsidRPr="00B36ADE" w:rsidRDefault="00D96045" w:rsidP="00D96045">
      <w:pPr>
        <w:jc w:val="both"/>
        <w:rPr>
          <w:rFonts w:ascii="Verdana" w:hAnsi="Verdana"/>
          <w:sz w:val="20"/>
          <w:szCs w:val="20"/>
          <w:lang w:val="en-US"/>
        </w:rPr>
      </w:pPr>
      <w:r w:rsidRPr="00B36ADE">
        <w:rPr>
          <w:rFonts w:ascii="Verdana" w:hAnsi="Verdana"/>
          <w:sz w:val="20"/>
          <w:szCs w:val="20"/>
          <w:lang w:val="en-US"/>
        </w:rPr>
        <w:t>Based on the analysis of the level of implementation of the approved projects, the risks to th</w:t>
      </w:r>
      <w:r w:rsidR="00724696" w:rsidRPr="00B36ADE">
        <w:rPr>
          <w:rFonts w:ascii="Verdana" w:hAnsi="Verdana"/>
          <w:sz w:val="20"/>
          <w:szCs w:val="20"/>
          <w:lang w:val="en-US"/>
        </w:rPr>
        <w:t>eir completion</w:t>
      </w:r>
      <w:r w:rsidRPr="00B36ADE">
        <w:rPr>
          <w:rFonts w:ascii="Verdana" w:hAnsi="Verdana"/>
          <w:sz w:val="20"/>
          <w:szCs w:val="20"/>
          <w:lang w:val="en-US"/>
        </w:rPr>
        <w:t xml:space="preserve"> and the additional projects proposed by the beneficiaries for the remaining resource of the program</w:t>
      </w:r>
      <w:r w:rsidR="006E2CF5" w:rsidRPr="00B36ADE">
        <w:rPr>
          <w:rFonts w:ascii="Verdana" w:hAnsi="Verdana"/>
          <w:sz w:val="20"/>
          <w:szCs w:val="20"/>
          <w:lang w:val="en-US"/>
        </w:rPr>
        <w:t>me</w:t>
      </w:r>
      <w:r w:rsidRPr="00B36ADE">
        <w:rPr>
          <w:rFonts w:ascii="Verdana" w:hAnsi="Verdana"/>
          <w:sz w:val="20"/>
          <w:szCs w:val="20"/>
          <w:lang w:val="en-US"/>
        </w:rPr>
        <w:t>, a forecast for the achievement of the indicators under the program</w:t>
      </w:r>
      <w:r w:rsidR="006E2CF5" w:rsidRPr="00B36ADE">
        <w:rPr>
          <w:rFonts w:ascii="Verdana" w:hAnsi="Verdana"/>
          <w:sz w:val="20"/>
          <w:szCs w:val="20"/>
          <w:lang w:val="en-US"/>
        </w:rPr>
        <w:t>me</w:t>
      </w:r>
      <w:r w:rsidRPr="00B36ADE">
        <w:rPr>
          <w:rFonts w:ascii="Verdana" w:hAnsi="Verdana"/>
          <w:sz w:val="20"/>
          <w:szCs w:val="20"/>
          <w:lang w:val="en-US"/>
        </w:rPr>
        <w:t xml:space="preserve"> </w:t>
      </w:r>
      <w:r w:rsidRPr="00B36ADE">
        <w:rPr>
          <w:rFonts w:ascii="Verdana" w:hAnsi="Verdana"/>
          <w:b/>
          <w:sz w:val="20"/>
          <w:szCs w:val="20"/>
          <w:lang w:val="en-US"/>
        </w:rPr>
        <w:t>at the end of 2023</w:t>
      </w:r>
      <w:r w:rsidRPr="00B36ADE">
        <w:rPr>
          <w:rFonts w:ascii="Verdana" w:hAnsi="Verdana"/>
          <w:sz w:val="20"/>
          <w:szCs w:val="20"/>
          <w:lang w:val="en-US"/>
        </w:rPr>
        <w:t xml:space="preserve"> has been prepared. Up to three scenarios/variants for the implementation of each of the axes are considered, and the results are presented in the figures below. For PA4 there is no pre-determined indicator for reporting the physical </w:t>
      </w:r>
      <w:r w:rsidR="008F3AAE" w:rsidRPr="00B36ADE">
        <w:rPr>
          <w:rFonts w:ascii="Verdana" w:hAnsi="Verdana"/>
          <w:sz w:val="20"/>
          <w:szCs w:val="20"/>
          <w:lang w:val="en-US"/>
        </w:rPr>
        <w:t>progress of the program</w:t>
      </w:r>
      <w:r w:rsidR="006E2CF5" w:rsidRPr="00B36ADE">
        <w:rPr>
          <w:rFonts w:ascii="Verdana" w:hAnsi="Verdana"/>
          <w:sz w:val="20"/>
          <w:szCs w:val="20"/>
          <w:lang w:val="en-US"/>
        </w:rPr>
        <w:t>me</w:t>
      </w:r>
      <w:r w:rsidR="008F3AAE" w:rsidRPr="00B36ADE">
        <w:rPr>
          <w:rFonts w:ascii="Verdana" w:hAnsi="Verdana"/>
          <w:sz w:val="20"/>
          <w:szCs w:val="20"/>
          <w:lang w:val="en-US"/>
        </w:rPr>
        <w:t>, the entire PA</w:t>
      </w:r>
      <w:r w:rsidRPr="00B36ADE">
        <w:rPr>
          <w:rFonts w:ascii="Verdana" w:hAnsi="Verdana"/>
          <w:sz w:val="20"/>
          <w:szCs w:val="20"/>
          <w:lang w:val="en-US"/>
        </w:rPr>
        <w:t>5 is also not reported, therefore the forecast for financi</w:t>
      </w:r>
      <w:r w:rsidR="008F3AAE" w:rsidRPr="00B36ADE">
        <w:rPr>
          <w:rFonts w:ascii="Verdana" w:hAnsi="Verdana"/>
          <w:sz w:val="20"/>
          <w:szCs w:val="20"/>
          <w:lang w:val="en-US"/>
        </w:rPr>
        <w:t>al implementation is made for PA1-PA</w:t>
      </w:r>
      <w:r w:rsidRPr="00B36ADE">
        <w:rPr>
          <w:rFonts w:ascii="Verdana" w:hAnsi="Verdana"/>
          <w:sz w:val="20"/>
          <w:szCs w:val="20"/>
          <w:lang w:val="en-US"/>
        </w:rPr>
        <w:t xml:space="preserve">4, and for physical </w:t>
      </w:r>
      <w:r w:rsidR="008F3AAE" w:rsidRPr="00B36ADE">
        <w:rPr>
          <w:rFonts w:ascii="Verdana" w:hAnsi="Verdana"/>
          <w:sz w:val="20"/>
          <w:szCs w:val="20"/>
          <w:lang w:val="en-US"/>
        </w:rPr>
        <w:t>progress</w:t>
      </w:r>
      <w:r w:rsidR="00D52E81" w:rsidRPr="00B36ADE">
        <w:rPr>
          <w:rFonts w:ascii="Verdana" w:hAnsi="Verdana"/>
          <w:sz w:val="20"/>
          <w:szCs w:val="20"/>
          <w:lang w:val="en-US"/>
        </w:rPr>
        <w:t xml:space="preserve"> </w:t>
      </w:r>
      <w:r w:rsidRPr="00B36ADE">
        <w:rPr>
          <w:rFonts w:ascii="Verdana" w:hAnsi="Verdana"/>
          <w:sz w:val="20"/>
          <w:szCs w:val="20"/>
          <w:lang w:val="en-US"/>
        </w:rPr>
        <w:t>only for the first 3 priority axes.</w:t>
      </w:r>
    </w:p>
    <w:p w14:paraId="7D447EF1" w14:textId="11924A00" w:rsidR="00D96045" w:rsidRPr="00B36ADE" w:rsidRDefault="00D52E81" w:rsidP="00D96045">
      <w:pPr>
        <w:jc w:val="center"/>
        <w:rPr>
          <w:rFonts w:ascii="Verdana" w:hAnsi="Verdana"/>
          <w:sz w:val="20"/>
          <w:szCs w:val="20"/>
          <w:lang w:val="en-US"/>
        </w:rPr>
      </w:pPr>
      <w:r w:rsidRPr="00B36ADE">
        <w:rPr>
          <w:noProof/>
          <w:lang w:eastAsia="bg-BG"/>
        </w:rPr>
        <w:drawing>
          <wp:inline distT="0" distB="0" distL="0" distR="0" wp14:anchorId="342D933B" wp14:editId="0504ADC1">
            <wp:extent cx="4572000" cy="2490717"/>
            <wp:effectExtent l="0" t="0" r="0" b="508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7C6DEBC" w14:textId="77777777" w:rsidR="00D96045" w:rsidRPr="00B36ADE" w:rsidRDefault="00D96045" w:rsidP="00D96045">
      <w:pPr>
        <w:spacing w:after="0" w:line="240" w:lineRule="auto"/>
        <w:jc w:val="both"/>
        <w:rPr>
          <w:rFonts w:ascii="Verdana" w:hAnsi="Verdana"/>
          <w:sz w:val="14"/>
          <w:szCs w:val="14"/>
          <w:lang w:val="en-US"/>
        </w:rPr>
      </w:pPr>
    </w:p>
    <w:p w14:paraId="335B9D73" w14:textId="2947E11C" w:rsidR="00D96045" w:rsidRPr="00B36ADE" w:rsidRDefault="00D52E81" w:rsidP="00D96045">
      <w:pPr>
        <w:jc w:val="center"/>
        <w:rPr>
          <w:rFonts w:ascii="Verdana" w:hAnsi="Verdana"/>
          <w:sz w:val="20"/>
          <w:szCs w:val="20"/>
          <w:lang w:val="en-US"/>
        </w:rPr>
      </w:pPr>
      <w:r w:rsidRPr="00B36ADE">
        <w:rPr>
          <w:noProof/>
          <w:lang w:eastAsia="bg-BG"/>
        </w:rPr>
        <w:drawing>
          <wp:inline distT="0" distB="0" distL="0" distR="0" wp14:anchorId="4593C557" wp14:editId="6C41E2CA">
            <wp:extent cx="4572000" cy="2531660"/>
            <wp:effectExtent l="0" t="0" r="0" b="254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CB425BC" w14:textId="598826F7" w:rsidR="00D96045" w:rsidRPr="00B36ADE" w:rsidRDefault="00D96045" w:rsidP="00D96045">
      <w:pPr>
        <w:jc w:val="both"/>
        <w:rPr>
          <w:rFonts w:ascii="Verdana" w:hAnsi="Verdana"/>
          <w:sz w:val="20"/>
          <w:szCs w:val="20"/>
          <w:lang w:val="en-US"/>
        </w:rPr>
      </w:pPr>
      <w:r w:rsidRPr="00B36ADE">
        <w:rPr>
          <w:rFonts w:ascii="Verdana" w:hAnsi="Verdana"/>
          <w:sz w:val="20"/>
          <w:szCs w:val="20"/>
          <w:lang w:val="en-US"/>
        </w:rPr>
        <w:t xml:space="preserve">According to EU rules, "very good" performance is defined </w:t>
      </w:r>
      <w:r w:rsidR="00724696" w:rsidRPr="00B36ADE">
        <w:rPr>
          <w:rFonts w:ascii="Verdana" w:hAnsi="Verdana"/>
          <w:sz w:val="20"/>
          <w:szCs w:val="20"/>
          <w:lang w:val="en-US"/>
        </w:rPr>
        <w:t>as all of</w:t>
      </w:r>
      <w:r w:rsidRPr="00B36ADE">
        <w:rPr>
          <w:rFonts w:ascii="Verdana" w:hAnsi="Verdana"/>
          <w:sz w:val="20"/>
          <w:szCs w:val="20"/>
          <w:lang w:val="en-US"/>
        </w:rPr>
        <w:t xml:space="preserve"> the indicators have reached at least 85%. If the indicators </w:t>
      </w:r>
      <w:r w:rsidR="00724696" w:rsidRPr="00B36ADE">
        <w:rPr>
          <w:rFonts w:ascii="Verdana" w:hAnsi="Verdana"/>
          <w:sz w:val="20"/>
          <w:szCs w:val="20"/>
          <w:lang w:val="en-US"/>
        </w:rPr>
        <w:t>achieved</w:t>
      </w:r>
      <w:r w:rsidRPr="00B36ADE">
        <w:rPr>
          <w:rFonts w:ascii="Verdana" w:hAnsi="Verdana"/>
          <w:sz w:val="20"/>
          <w:szCs w:val="20"/>
          <w:lang w:val="en-US"/>
        </w:rPr>
        <w:t xml:space="preserve"> below 65%</w:t>
      </w:r>
      <w:r w:rsidR="00724696" w:rsidRPr="00B36ADE">
        <w:rPr>
          <w:rFonts w:ascii="Verdana" w:hAnsi="Verdana"/>
          <w:sz w:val="20"/>
          <w:szCs w:val="20"/>
          <w:lang w:val="en-US"/>
        </w:rPr>
        <w:t xml:space="preserve"> of their milestone values</w:t>
      </w:r>
      <w:r w:rsidRPr="00B36ADE">
        <w:rPr>
          <w:rFonts w:ascii="Verdana" w:hAnsi="Verdana"/>
          <w:sz w:val="20"/>
          <w:szCs w:val="20"/>
          <w:lang w:val="en-US"/>
        </w:rPr>
        <w:t>, it is considered that the priority axis and respectively the program</w:t>
      </w:r>
      <w:r w:rsidR="006E2CF5" w:rsidRPr="00B36ADE">
        <w:rPr>
          <w:rFonts w:ascii="Verdana" w:hAnsi="Verdana"/>
          <w:sz w:val="20"/>
          <w:szCs w:val="20"/>
          <w:lang w:val="en-US"/>
        </w:rPr>
        <w:t>me</w:t>
      </w:r>
      <w:r w:rsidRPr="00B36ADE">
        <w:rPr>
          <w:rFonts w:ascii="Verdana" w:hAnsi="Verdana"/>
          <w:sz w:val="20"/>
          <w:szCs w:val="20"/>
          <w:lang w:val="en-US"/>
        </w:rPr>
        <w:t xml:space="preserve"> </w:t>
      </w:r>
      <w:r w:rsidR="00724696" w:rsidRPr="00B36ADE">
        <w:rPr>
          <w:rFonts w:ascii="Verdana" w:hAnsi="Verdana"/>
          <w:sz w:val="20"/>
          <w:szCs w:val="20"/>
          <w:lang w:val="en-US"/>
        </w:rPr>
        <w:t>do</w:t>
      </w:r>
      <w:r w:rsidRPr="00B36ADE">
        <w:rPr>
          <w:rFonts w:ascii="Verdana" w:hAnsi="Verdana"/>
          <w:sz w:val="20"/>
          <w:szCs w:val="20"/>
          <w:lang w:val="en-US"/>
        </w:rPr>
        <w:t xml:space="preserve"> not achieve </w:t>
      </w:r>
      <w:r w:rsidR="00724696" w:rsidRPr="00B36ADE">
        <w:rPr>
          <w:rFonts w:ascii="Verdana" w:hAnsi="Verdana"/>
          <w:sz w:val="20"/>
          <w:szCs w:val="20"/>
          <w:lang w:val="en-US"/>
        </w:rPr>
        <w:t>th</w:t>
      </w:r>
      <w:r w:rsidR="003712D2" w:rsidRPr="00B36ADE">
        <w:rPr>
          <w:rFonts w:ascii="Verdana" w:hAnsi="Verdana"/>
          <w:sz w:val="20"/>
          <w:szCs w:val="20"/>
          <w:lang w:val="en-US"/>
        </w:rPr>
        <w:t>e</w:t>
      </w:r>
      <w:r w:rsidR="00724696" w:rsidRPr="00B36ADE">
        <w:rPr>
          <w:rFonts w:ascii="Verdana" w:hAnsi="Verdana"/>
          <w:sz w:val="20"/>
          <w:szCs w:val="20"/>
          <w:lang w:val="en-US"/>
        </w:rPr>
        <w:t>ir</w:t>
      </w:r>
      <w:r w:rsidR="00AB36C2" w:rsidRPr="00B36ADE">
        <w:rPr>
          <w:rFonts w:ascii="Verdana" w:hAnsi="Verdana"/>
          <w:sz w:val="20"/>
          <w:szCs w:val="20"/>
          <w:lang w:val="en-US"/>
        </w:rPr>
        <w:t xml:space="preserve"> targets</w:t>
      </w:r>
      <w:r w:rsidR="007605DE" w:rsidRPr="00B36ADE">
        <w:rPr>
          <w:rFonts w:ascii="Verdana" w:hAnsi="Verdana"/>
          <w:sz w:val="20"/>
          <w:szCs w:val="20"/>
          <w:lang w:val="en-US"/>
        </w:rPr>
        <w:t xml:space="preserve">. This risk exists at priorities </w:t>
      </w:r>
      <w:r w:rsidRPr="00B36ADE">
        <w:rPr>
          <w:rFonts w:ascii="Verdana" w:hAnsi="Verdana"/>
          <w:sz w:val="20"/>
          <w:szCs w:val="20"/>
          <w:lang w:val="en-US"/>
        </w:rPr>
        <w:t xml:space="preserve">1, 2 and 4, which </w:t>
      </w:r>
      <w:r w:rsidR="007605DE" w:rsidRPr="00B36ADE">
        <w:rPr>
          <w:rFonts w:ascii="Verdana" w:hAnsi="Verdana"/>
          <w:sz w:val="20"/>
          <w:szCs w:val="20"/>
          <w:lang w:val="en-US"/>
        </w:rPr>
        <w:t>shows</w:t>
      </w:r>
      <w:r w:rsidRPr="00B36ADE">
        <w:rPr>
          <w:rFonts w:ascii="Verdana" w:hAnsi="Verdana"/>
          <w:sz w:val="20"/>
          <w:szCs w:val="20"/>
          <w:lang w:val="en-US"/>
        </w:rPr>
        <w:t xml:space="preserve"> </w:t>
      </w:r>
      <w:r w:rsidR="007605DE" w:rsidRPr="00B36ADE">
        <w:rPr>
          <w:rFonts w:ascii="Verdana" w:hAnsi="Verdana"/>
          <w:sz w:val="20"/>
          <w:szCs w:val="20"/>
          <w:lang w:val="en-US"/>
        </w:rPr>
        <w:t>a</w:t>
      </w:r>
      <w:r w:rsidRPr="00B36ADE">
        <w:rPr>
          <w:rFonts w:ascii="Verdana" w:hAnsi="Verdana"/>
          <w:sz w:val="20"/>
          <w:szCs w:val="20"/>
          <w:lang w:val="en-US"/>
        </w:rPr>
        <w:t xml:space="preserve"> presence of </w:t>
      </w:r>
      <w:r w:rsidR="007605DE" w:rsidRPr="00B36ADE">
        <w:rPr>
          <w:rFonts w:ascii="Verdana" w:hAnsi="Verdana"/>
          <w:sz w:val="20"/>
          <w:szCs w:val="20"/>
          <w:lang w:val="en-US"/>
        </w:rPr>
        <w:t>risk</w:t>
      </w:r>
      <w:r w:rsidRPr="00B36ADE">
        <w:rPr>
          <w:rFonts w:ascii="Verdana" w:hAnsi="Verdana"/>
          <w:sz w:val="20"/>
          <w:szCs w:val="20"/>
          <w:lang w:val="en-US"/>
        </w:rPr>
        <w:t xml:space="preserve"> not only of </w:t>
      </w:r>
      <w:r w:rsidRPr="00B36ADE">
        <w:rPr>
          <w:rFonts w:ascii="Verdana" w:hAnsi="Verdana"/>
          <w:sz w:val="20"/>
          <w:szCs w:val="20"/>
          <w:lang w:val="en-US"/>
        </w:rPr>
        <w:lastRenderedPageBreak/>
        <w:t>not using a significant part of the program</w:t>
      </w:r>
      <w:r w:rsidR="006E2CF5" w:rsidRPr="00B36ADE">
        <w:rPr>
          <w:rFonts w:ascii="Verdana" w:hAnsi="Verdana"/>
          <w:sz w:val="20"/>
          <w:szCs w:val="20"/>
          <w:lang w:val="en-US"/>
        </w:rPr>
        <w:t>me</w:t>
      </w:r>
      <w:r w:rsidRPr="00B36ADE">
        <w:rPr>
          <w:rFonts w:ascii="Verdana" w:hAnsi="Verdana"/>
          <w:sz w:val="20"/>
          <w:szCs w:val="20"/>
          <w:lang w:val="en-US"/>
        </w:rPr>
        <w:t>'s resources, but also of imposing a sanction (financial correction) by the EU subsequently. In order to prevent such situation, as well as to ensure the balanced distribution of financial resources under the program</w:t>
      </w:r>
      <w:r w:rsidR="006E2CF5" w:rsidRPr="00B36ADE">
        <w:rPr>
          <w:rFonts w:ascii="Verdana" w:hAnsi="Verdana"/>
          <w:sz w:val="20"/>
          <w:szCs w:val="20"/>
          <w:lang w:val="en-US"/>
        </w:rPr>
        <w:t>me</w:t>
      </w:r>
      <w:r w:rsidRPr="00B36ADE">
        <w:rPr>
          <w:rFonts w:ascii="Verdana" w:hAnsi="Verdana"/>
          <w:sz w:val="20"/>
          <w:szCs w:val="20"/>
          <w:lang w:val="en-US"/>
        </w:rPr>
        <w:t xml:space="preserve"> between the various modes of transport, additional projects are envisaged to be approved and implemented by the end of 2023.</w:t>
      </w:r>
    </w:p>
    <w:p w14:paraId="061878CA" w14:textId="27B61B1E" w:rsidR="00D96045" w:rsidRPr="00B36ADE" w:rsidRDefault="00D96045" w:rsidP="00D96045">
      <w:pPr>
        <w:jc w:val="both"/>
        <w:rPr>
          <w:rFonts w:ascii="Verdana" w:hAnsi="Verdana"/>
          <w:sz w:val="20"/>
          <w:szCs w:val="20"/>
          <w:lang w:val="en-US"/>
        </w:rPr>
      </w:pPr>
      <w:r w:rsidRPr="00B36ADE">
        <w:rPr>
          <w:rFonts w:ascii="Verdana" w:hAnsi="Verdana"/>
          <w:sz w:val="20"/>
          <w:szCs w:val="20"/>
          <w:lang w:val="en-US"/>
        </w:rPr>
        <w:t xml:space="preserve">For an accurate and up-to-date forecast, it is necessary to assess the degree of </w:t>
      </w:r>
      <w:r w:rsidR="001F4F0F">
        <w:rPr>
          <w:rFonts w:ascii="Verdana" w:hAnsi="Verdana"/>
          <w:sz w:val="20"/>
          <w:szCs w:val="20"/>
          <w:lang w:val="en-US"/>
        </w:rPr>
        <w:t>maturity</w:t>
      </w:r>
      <w:r w:rsidRPr="00B36ADE">
        <w:rPr>
          <w:rFonts w:ascii="Verdana" w:hAnsi="Verdana"/>
          <w:sz w:val="20"/>
          <w:szCs w:val="20"/>
          <w:lang w:val="en-US"/>
        </w:rPr>
        <w:t xml:space="preserve"> of these alternatives and decide whether and which of the activities included in these projects to be financed with the OPTTI resource. In addition, a detailed analysis of the status of all projects is </w:t>
      </w:r>
      <w:r w:rsidR="007E3AC5">
        <w:rPr>
          <w:rFonts w:ascii="Verdana" w:hAnsi="Verdana"/>
          <w:sz w:val="20"/>
          <w:szCs w:val="20"/>
          <w:lang w:val="en-US"/>
        </w:rPr>
        <w:t>necessary</w:t>
      </w:r>
      <w:r w:rsidRPr="00B36ADE">
        <w:rPr>
          <w:rFonts w:ascii="Verdana" w:hAnsi="Verdana"/>
          <w:sz w:val="20"/>
          <w:szCs w:val="20"/>
          <w:lang w:val="en-US"/>
        </w:rPr>
        <w:t>, including an assessment of the risks that could lead to delays. On this basis, the activities that can be successfully implemented in the current programming period and those that should be divided into parts and shaped as future projects under TCP should be identified.</w:t>
      </w:r>
    </w:p>
    <w:p w14:paraId="73DE888A" w14:textId="34DA8129" w:rsidR="00D96045" w:rsidRPr="00B36ADE" w:rsidRDefault="00D96045" w:rsidP="00D96045">
      <w:pPr>
        <w:jc w:val="both"/>
        <w:rPr>
          <w:rFonts w:ascii="Verdana" w:hAnsi="Verdana"/>
          <w:sz w:val="20"/>
          <w:szCs w:val="20"/>
          <w:lang w:val="en-US"/>
        </w:rPr>
      </w:pPr>
      <w:r w:rsidRPr="00B36ADE">
        <w:rPr>
          <w:rFonts w:ascii="Verdana" w:hAnsi="Verdana"/>
          <w:sz w:val="20"/>
          <w:szCs w:val="20"/>
          <w:lang w:val="en-US"/>
        </w:rPr>
        <w:t>In order to reduce the risk of n</w:t>
      </w:r>
      <w:r w:rsidR="008C1301" w:rsidRPr="00B36ADE">
        <w:rPr>
          <w:rFonts w:ascii="Verdana" w:hAnsi="Verdana"/>
          <w:sz w:val="20"/>
          <w:szCs w:val="20"/>
          <w:lang w:val="en-US"/>
        </w:rPr>
        <w:t>on-fulfillment of the final target</w:t>
      </w:r>
      <w:r w:rsidRPr="00B36ADE">
        <w:rPr>
          <w:rFonts w:ascii="Verdana" w:hAnsi="Verdana"/>
          <w:sz w:val="20"/>
          <w:szCs w:val="20"/>
          <w:lang w:val="en-US"/>
        </w:rPr>
        <w:t xml:space="preserve"> of the financial indicator, it is necessary to perform the so-called </w:t>
      </w:r>
      <w:r w:rsidRPr="00B36ADE">
        <w:rPr>
          <w:rFonts w:ascii="Verdana" w:hAnsi="Verdana"/>
          <w:i/>
          <w:sz w:val="20"/>
          <w:szCs w:val="20"/>
          <w:lang w:val="en-US"/>
        </w:rPr>
        <w:t>"</w:t>
      </w:r>
      <w:r w:rsidR="008C1301" w:rsidRPr="00B36ADE">
        <w:rPr>
          <w:rFonts w:ascii="Verdana" w:hAnsi="Verdana"/>
          <w:i/>
          <w:sz w:val="20"/>
          <w:szCs w:val="20"/>
          <w:lang w:val="en-US"/>
        </w:rPr>
        <w:t>over</w:t>
      </w:r>
      <w:r w:rsidR="00B1333A" w:rsidRPr="00B36ADE">
        <w:rPr>
          <w:rFonts w:ascii="Verdana" w:hAnsi="Verdana"/>
          <w:i/>
          <w:sz w:val="20"/>
          <w:szCs w:val="20"/>
          <w:lang w:val="en-US"/>
        </w:rPr>
        <w:t>booking</w:t>
      </w:r>
      <w:r w:rsidRPr="00B36ADE">
        <w:rPr>
          <w:rFonts w:ascii="Verdana" w:hAnsi="Verdana"/>
          <w:i/>
          <w:sz w:val="20"/>
          <w:szCs w:val="20"/>
          <w:lang w:val="en-US"/>
        </w:rPr>
        <w:t>"</w:t>
      </w:r>
      <w:r w:rsidRPr="00B36ADE">
        <w:rPr>
          <w:rFonts w:ascii="Verdana" w:hAnsi="Verdana"/>
          <w:sz w:val="20"/>
          <w:szCs w:val="20"/>
          <w:lang w:val="en-US"/>
        </w:rPr>
        <w:t xml:space="preserve">, i.e. to approve projects with a grant exceeding the budget of the </w:t>
      </w:r>
      <w:r w:rsidR="007605DE" w:rsidRPr="00B36ADE">
        <w:rPr>
          <w:rFonts w:ascii="Verdana" w:hAnsi="Verdana"/>
          <w:sz w:val="20"/>
          <w:szCs w:val="20"/>
          <w:lang w:val="en-US"/>
        </w:rPr>
        <w:t>priority axes</w:t>
      </w:r>
      <w:r w:rsidRPr="00B36ADE">
        <w:rPr>
          <w:rFonts w:ascii="Verdana" w:hAnsi="Verdana"/>
          <w:sz w:val="20"/>
          <w:szCs w:val="20"/>
          <w:lang w:val="en-US"/>
        </w:rPr>
        <w:t xml:space="preserve">. Thus, in case of possible </w:t>
      </w:r>
      <w:r w:rsidR="009F3689" w:rsidRPr="00B36ADE">
        <w:rPr>
          <w:rFonts w:ascii="Verdana" w:hAnsi="Verdana"/>
          <w:sz w:val="20"/>
          <w:szCs w:val="20"/>
          <w:lang w:val="en-US"/>
        </w:rPr>
        <w:t>incompletion</w:t>
      </w:r>
      <w:r w:rsidRPr="00B36ADE">
        <w:rPr>
          <w:rFonts w:ascii="Verdana" w:hAnsi="Verdana"/>
          <w:sz w:val="20"/>
          <w:szCs w:val="20"/>
          <w:lang w:val="en-US"/>
        </w:rPr>
        <w:t xml:space="preserve"> of some of the projects, the possibility of non-utilization of the program</w:t>
      </w:r>
      <w:r w:rsidR="006E2CF5" w:rsidRPr="00B36ADE">
        <w:rPr>
          <w:rFonts w:ascii="Verdana" w:hAnsi="Verdana"/>
          <w:sz w:val="20"/>
          <w:szCs w:val="20"/>
          <w:lang w:val="en-US"/>
        </w:rPr>
        <w:t>me</w:t>
      </w:r>
      <w:r w:rsidRPr="00B36ADE">
        <w:rPr>
          <w:rFonts w:ascii="Verdana" w:hAnsi="Verdana"/>
          <w:sz w:val="20"/>
          <w:szCs w:val="20"/>
          <w:lang w:val="en-US"/>
        </w:rPr>
        <w:t xml:space="preserve"> budget will be reduced. The </w:t>
      </w:r>
      <w:r w:rsidR="007605DE" w:rsidRPr="00B36ADE">
        <w:rPr>
          <w:rFonts w:ascii="Verdana" w:hAnsi="Verdana"/>
          <w:sz w:val="20"/>
          <w:szCs w:val="20"/>
          <w:lang w:val="en-US"/>
        </w:rPr>
        <w:t>overbooking</w:t>
      </w:r>
      <w:r w:rsidRPr="00B36ADE">
        <w:rPr>
          <w:rFonts w:ascii="Verdana" w:hAnsi="Verdana"/>
          <w:sz w:val="20"/>
          <w:szCs w:val="20"/>
          <w:lang w:val="en-US"/>
        </w:rPr>
        <w:t xml:space="preserve"> rate should correspond to the established savings rate. According t</w:t>
      </w:r>
      <w:r w:rsidR="000461CA" w:rsidRPr="00B36ADE">
        <w:rPr>
          <w:rFonts w:ascii="Verdana" w:hAnsi="Verdana"/>
          <w:sz w:val="20"/>
          <w:szCs w:val="20"/>
          <w:lang w:val="en-US"/>
        </w:rPr>
        <w:t>o the prepared impact evaluation</w:t>
      </w:r>
      <w:r w:rsidRPr="00B36ADE">
        <w:rPr>
          <w:rFonts w:ascii="Verdana" w:hAnsi="Verdana"/>
          <w:sz w:val="20"/>
          <w:szCs w:val="20"/>
          <w:lang w:val="en-US"/>
        </w:rPr>
        <w:t xml:space="preserve"> of OPT 2007-2013, the savings rate is over 25% for the railway projects and about 20% for road projects.</w:t>
      </w:r>
    </w:p>
    <w:p w14:paraId="3B2907F3" w14:textId="77777777" w:rsidR="00D96045" w:rsidRPr="00B36ADE" w:rsidRDefault="00D96045" w:rsidP="00D96045">
      <w:pPr>
        <w:shd w:val="clear" w:color="auto" w:fill="374E81"/>
        <w:spacing w:after="120"/>
        <w:jc w:val="both"/>
        <w:rPr>
          <w:rFonts w:ascii="Verdana" w:hAnsi="Verdana" w:cs="Tahoma"/>
          <w:b/>
          <w:i/>
          <w:color w:val="FFFFFF" w:themeColor="background1"/>
          <w:sz w:val="20"/>
          <w:szCs w:val="20"/>
          <w:lang w:val="en-US"/>
        </w:rPr>
      </w:pPr>
      <w:r w:rsidRPr="00B36ADE">
        <w:rPr>
          <w:rFonts w:ascii="Verdana" w:hAnsi="Verdana" w:cs="Tahoma"/>
          <w:b/>
          <w:i/>
          <w:color w:val="FFFFFF" w:themeColor="background1"/>
          <w:sz w:val="20"/>
          <w:szCs w:val="20"/>
          <w:lang w:val="en-US"/>
        </w:rPr>
        <w:t>What is the contribution of OPTTI to the EU Strategy for Smart, Sustainable and Inclusive Growth?</w:t>
      </w:r>
    </w:p>
    <w:p w14:paraId="3022CBD2" w14:textId="77777777" w:rsidR="00D96045" w:rsidRPr="00B36ADE" w:rsidRDefault="00D96045" w:rsidP="00D96045">
      <w:pPr>
        <w:tabs>
          <w:tab w:val="left" w:pos="2304"/>
        </w:tabs>
        <w:jc w:val="both"/>
        <w:rPr>
          <w:rFonts w:ascii="Verdana" w:hAnsi="Verdana" w:cs="Tahoma"/>
          <w:sz w:val="20"/>
          <w:szCs w:val="20"/>
          <w:lang w:val="en-US"/>
        </w:rPr>
      </w:pPr>
      <w:r w:rsidRPr="00B36ADE">
        <w:rPr>
          <w:rFonts w:ascii="Verdana" w:hAnsi="Verdana" w:cs="Tahoma"/>
          <w:sz w:val="20"/>
          <w:szCs w:val="20"/>
          <w:lang w:val="en-US"/>
        </w:rPr>
        <w:t>Infrastructure investments have a crucial contribution to the creation of employment and achievement of higher economic growth in the short and long term. These investments are particularly important in times of economic crisis, which was observed both in 2009-2011 and in 2020. Given the expectations of a prolonged economic slowdown in the next few years, infrastructure projects will continue to have a key role for the socio-economic development of the country.</w:t>
      </w:r>
    </w:p>
    <w:p w14:paraId="41F20943" w14:textId="7F8A98DB" w:rsidR="00D96045" w:rsidRPr="00B36ADE" w:rsidRDefault="00D96045" w:rsidP="00D96045">
      <w:pPr>
        <w:tabs>
          <w:tab w:val="left" w:pos="2304"/>
        </w:tabs>
        <w:jc w:val="both"/>
        <w:rPr>
          <w:rFonts w:ascii="Verdana" w:hAnsi="Verdana" w:cs="Tahoma"/>
          <w:sz w:val="20"/>
          <w:szCs w:val="20"/>
          <w:lang w:val="en-US"/>
        </w:rPr>
      </w:pPr>
      <w:r w:rsidRPr="00B36ADE">
        <w:rPr>
          <w:rFonts w:ascii="Verdana" w:hAnsi="Verdana" w:cs="Tahoma"/>
          <w:sz w:val="20"/>
          <w:szCs w:val="20"/>
          <w:lang w:val="en-US"/>
        </w:rPr>
        <w:t>OPTTI has a tangible effect on real GDP, the labor market, the current account and others. Although infrastructure projects require significant national funding, the p</w:t>
      </w:r>
      <w:bookmarkStart w:id="7" w:name="_GoBack"/>
      <w:bookmarkEnd w:id="7"/>
      <w:r w:rsidRPr="00B36ADE">
        <w:rPr>
          <w:rFonts w:ascii="Verdana" w:hAnsi="Verdana" w:cs="Tahoma"/>
          <w:sz w:val="20"/>
          <w:szCs w:val="20"/>
          <w:lang w:val="en-US"/>
        </w:rPr>
        <w:t>rogram</w:t>
      </w:r>
      <w:r w:rsidR="006E2CF5" w:rsidRPr="00B36ADE">
        <w:rPr>
          <w:rFonts w:ascii="Verdana" w:hAnsi="Verdana" w:cs="Tahoma"/>
          <w:sz w:val="20"/>
          <w:szCs w:val="20"/>
          <w:lang w:val="en-US"/>
        </w:rPr>
        <w:t>me</w:t>
      </w:r>
      <w:r w:rsidRPr="00B36ADE">
        <w:rPr>
          <w:rFonts w:ascii="Verdana" w:hAnsi="Verdana" w:cs="Tahoma"/>
          <w:sz w:val="20"/>
          <w:szCs w:val="20"/>
          <w:lang w:val="en-US"/>
        </w:rPr>
        <w:t xml:space="preserve"> has a positive impact on the budget balance. The short-term positive effects are observed mainly on the Construction and Transport sectors, and the long-term effects are related to the improvement of competitiveness at local, regional and national level.</w:t>
      </w:r>
    </w:p>
    <w:p w14:paraId="7D5A1E3C" w14:textId="103B1FA6" w:rsidR="00D96045" w:rsidRPr="00B36ADE" w:rsidRDefault="00D96045" w:rsidP="00D96045">
      <w:pPr>
        <w:shd w:val="clear" w:color="auto" w:fill="374E81"/>
        <w:tabs>
          <w:tab w:val="left" w:pos="2304"/>
        </w:tabs>
        <w:jc w:val="both"/>
        <w:rPr>
          <w:rFonts w:ascii="Verdana" w:hAnsi="Verdana" w:cs="Tahoma"/>
          <w:b/>
          <w:color w:val="FFFFFF" w:themeColor="background1"/>
          <w:sz w:val="20"/>
          <w:szCs w:val="20"/>
          <w:lang w:val="en-US"/>
        </w:rPr>
      </w:pPr>
      <w:r w:rsidRPr="00B36ADE">
        <w:rPr>
          <w:rFonts w:ascii="Verdana" w:hAnsi="Verdana" w:cs="Tahoma"/>
          <w:b/>
          <w:i/>
          <w:color w:val="FFFFFF" w:themeColor="background1"/>
          <w:sz w:val="20"/>
          <w:szCs w:val="20"/>
          <w:lang w:val="en-US"/>
        </w:rPr>
        <w:t xml:space="preserve">What is the contribution of the program to the national strategy </w:t>
      </w:r>
      <w:r w:rsidR="00341798">
        <w:rPr>
          <w:rFonts w:ascii="Verdana" w:hAnsi="Verdana" w:cs="Tahoma"/>
          <w:b/>
          <w:i/>
          <w:color w:val="FFFFFF" w:themeColor="background1"/>
          <w:sz w:val="20"/>
          <w:szCs w:val="20"/>
          <w:lang w:val="en-US"/>
        </w:rPr>
        <w:t>documents</w:t>
      </w:r>
      <w:r w:rsidRPr="00B36ADE">
        <w:rPr>
          <w:rFonts w:ascii="Verdana" w:hAnsi="Verdana" w:cs="Tahoma"/>
          <w:b/>
          <w:i/>
          <w:color w:val="FFFFFF" w:themeColor="background1"/>
          <w:sz w:val="20"/>
          <w:szCs w:val="20"/>
          <w:lang w:val="en-US"/>
        </w:rPr>
        <w:t>?</w:t>
      </w:r>
    </w:p>
    <w:p w14:paraId="0546EE45" w14:textId="77777777" w:rsidR="00D96045" w:rsidRPr="00B36ADE" w:rsidRDefault="00D96045" w:rsidP="00D96045">
      <w:pPr>
        <w:rPr>
          <w:rFonts w:ascii="Verdana" w:hAnsi="Verdana" w:cs="Tahoma"/>
          <w:sz w:val="20"/>
          <w:szCs w:val="20"/>
          <w:lang w:val="en-US"/>
        </w:rPr>
      </w:pPr>
      <w:r w:rsidRPr="00B36ADE">
        <w:rPr>
          <w:rFonts w:ascii="Verdana" w:hAnsi="Verdana" w:cs="Tahoma"/>
          <w:sz w:val="20"/>
          <w:szCs w:val="20"/>
          <w:lang w:val="en-US"/>
        </w:rPr>
        <w:t>OPTTI contributes to the achievement of the objectives of key strategic documents of the Republic of Bulgaria such as:</w:t>
      </w:r>
    </w:p>
    <w:p w14:paraId="0D2F73F5" w14:textId="77777777" w:rsidR="00D96045" w:rsidRPr="00B36ADE" w:rsidRDefault="00D96045" w:rsidP="00462B09">
      <w:pPr>
        <w:pStyle w:val="ListParagraph"/>
        <w:numPr>
          <w:ilvl w:val="0"/>
          <w:numId w:val="28"/>
        </w:numPr>
        <w:spacing w:before="120" w:after="120"/>
        <w:jc w:val="both"/>
        <w:rPr>
          <w:rFonts w:ascii="Verdana" w:eastAsia="Helvetica" w:hAnsi="Verdana" w:cs="Helvetica"/>
          <w:sz w:val="20"/>
          <w:szCs w:val="20"/>
          <w:lang w:val="en-US"/>
        </w:rPr>
      </w:pPr>
      <w:r w:rsidRPr="00B36ADE">
        <w:rPr>
          <w:rFonts w:ascii="Verdana" w:eastAsia="Helvetica" w:hAnsi="Verdana" w:cs="Helvetica"/>
          <w:sz w:val="20"/>
          <w:szCs w:val="20"/>
          <w:lang w:val="en-US"/>
        </w:rPr>
        <w:t>The National Reform Program</w:t>
      </w:r>
    </w:p>
    <w:p w14:paraId="70803BE4" w14:textId="77777777" w:rsidR="00D96045" w:rsidRPr="00B36ADE" w:rsidRDefault="00D96045" w:rsidP="00462B09">
      <w:pPr>
        <w:pStyle w:val="ListParagraph"/>
        <w:numPr>
          <w:ilvl w:val="0"/>
          <w:numId w:val="28"/>
        </w:numPr>
        <w:spacing w:before="120" w:after="120"/>
        <w:jc w:val="both"/>
        <w:rPr>
          <w:rFonts w:ascii="Verdana" w:eastAsia="Helvetica" w:hAnsi="Verdana" w:cs="Helvetica"/>
          <w:sz w:val="20"/>
          <w:szCs w:val="20"/>
          <w:lang w:val="en-US"/>
        </w:rPr>
      </w:pPr>
      <w:r w:rsidRPr="00B36ADE">
        <w:rPr>
          <w:rFonts w:ascii="Verdana" w:eastAsia="Helvetica" w:hAnsi="Verdana" w:cs="Helvetica"/>
          <w:sz w:val="20"/>
          <w:szCs w:val="20"/>
          <w:lang w:val="en-US"/>
        </w:rPr>
        <w:t>Partnership Agreement 2014-2020</w:t>
      </w:r>
    </w:p>
    <w:p w14:paraId="02869B62" w14:textId="77777777" w:rsidR="00D96045" w:rsidRPr="00B36ADE" w:rsidRDefault="00D96045" w:rsidP="00462B09">
      <w:pPr>
        <w:pStyle w:val="ListParagraph"/>
        <w:numPr>
          <w:ilvl w:val="0"/>
          <w:numId w:val="28"/>
        </w:numPr>
        <w:spacing w:before="120" w:after="120"/>
        <w:jc w:val="both"/>
        <w:rPr>
          <w:rFonts w:ascii="Verdana" w:eastAsia="Helvetica" w:hAnsi="Verdana" w:cs="Helvetica"/>
          <w:sz w:val="20"/>
          <w:szCs w:val="20"/>
          <w:lang w:val="en-US"/>
        </w:rPr>
      </w:pPr>
      <w:r w:rsidRPr="00B36ADE">
        <w:rPr>
          <w:rFonts w:ascii="Verdana" w:eastAsia="Helvetica" w:hAnsi="Verdana" w:cs="Helvetica"/>
          <w:sz w:val="20"/>
          <w:szCs w:val="20"/>
          <w:lang w:val="en-US"/>
        </w:rPr>
        <w:t>National Development Program: Bulgaria 2020</w:t>
      </w:r>
    </w:p>
    <w:p w14:paraId="0103B454" w14:textId="77777777" w:rsidR="00D96045" w:rsidRPr="00B36ADE" w:rsidRDefault="00D96045" w:rsidP="00462B09">
      <w:pPr>
        <w:pStyle w:val="ListParagraph"/>
        <w:numPr>
          <w:ilvl w:val="0"/>
          <w:numId w:val="28"/>
        </w:numPr>
        <w:spacing w:before="120" w:after="120"/>
        <w:jc w:val="both"/>
        <w:rPr>
          <w:rFonts w:ascii="Verdana" w:eastAsia="Helvetica" w:hAnsi="Verdana" w:cs="Helvetica"/>
          <w:sz w:val="20"/>
          <w:szCs w:val="20"/>
          <w:lang w:val="en-US"/>
        </w:rPr>
      </w:pPr>
      <w:r w:rsidRPr="00B36ADE">
        <w:rPr>
          <w:rFonts w:ascii="Verdana" w:eastAsia="Helvetica" w:hAnsi="Verdana" w:cs="Helvetica"/>
          <w:sz w:val="20"/>
          <w:szCs w:val="20"/>
          <w:lang w:val="en-US"/>
        </w:rPr>
        <w:t>Strategy for the development of the transport system of the Republic of Bulgaria until 2020.</w:t>
      </w:r>
    </w:p>
    <w:p w14:paraId="0629B710" w14:textId="77777777" w:rsidR="00D96045" w:rsidRPr="00B36ADE" w:rsidRDefault="00D96045" w:rsidP="00462B09">
      <w:pPr>
        <w:pStyle w:val="ListParagraph"/>
        <w:numPr>
          <w:ilvl w:val="0"/>
          <w:numId w:val="28"/>
        </w:numPr>
        <w:spacing w:before="120" w:after="120"/>
        <w:jc w:val="both"/>
        <w:rPr>
          <w:rFonts w:ascii="Verdana" w:eastAsia="Helvetica" w:hAnsi="Verdana" w:cs="Helvetica"/>
          <w:sz w:val="20"/>
          <w:szCs w:val="20"/>
          <w:lang w:val="en-US"/>
        </w:rPr>
      </w:pPr>
      <w:r w:rsidRPr="00B36ADE">
        <w:rPr>
          <w:rFonts w:ascii="Verdana" w:eastAsia="Helvetica" w:hAnsi="Verdana" w:cs="Helvetica"/>
          <w:sz w:val="20"/>
          <w:szCs w:val="20"/>
          <w:lang w:val="en-US"/>
        </w:rPr>
        <w:t>General Transport Master Plan (GTMP)</w:t>
      </w:r>
    </w:p>
    <w:p w14:paraId="27A51AB9" w14:textId="046673EF" w:rsidR="009F28CC" w:rsidRPr="00B36ADE" w:rsidRDefault="00D96045" w:rsidP="006E7B90">
      <w:pPr>
        <w:jc w:val="both"/>
        <w:rPr>
          <w:rFonts w:ascii="Verdana" w:eastAsia="Helvetica" w:hAnsi="Verdana" w:cs="Helvetica"/>
          <w:sz w:val="20"/>
          <w:szCs w:val="20"/>
          <w:lang w:val="en-US"/>
        </w:rPr>
      </w:pPr>
      <w:r w:rsidRPr="00B36ADE">
        <w:rPr>
          <w:rFonts w:ascii="Verdana" w:hAnsi="Verdana" w:cs="Tahoma"/>
          <w:sz w:val="20"/>
          <w:szCs w:val="20"/>
          <w:lang w:val="en-US"/>
        </w:rPr>
        <w:t>Although overall the program leads to significant improvements in transport infrastructure and the quality of transport services, Bulgaria lags significantly behind other EU Member States in this area. This implies the realization of more intensive, more efficient investments in transport and transport infrastructure.</w:t>
      </w:r>
    </w:p>
    <w:sectPr w:rsidR="009F28CC" w:rsidRPr="00B36ADE" w:rsidSect="00E456B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C98DAA" w14:textId="77777777" w:rsidR="00314EBC" w:rsidRDefault="00314EBC" w:rsidP="00DC2821">
      <w:pPr>
        <w:spacing w:after="0" w:line="240" w:lineRule="auto"/>
      </w:pPr>
      <w:r>
        <w:separator/>
      </w:r>
    </w:p>
  </w:endnote>
  <w:endnote w:type="continuationSeparator" w:id="0">
    <w:p w14:paraId="4D86B212" w14:textId="77777777" w:rsidR="00314EBC" w:rsidRDefault="00314EBC" w:rsidP="00DC28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0002AFF" w:usb1="C000247B" w:usb2="00000009" w:usb3="00000000" w:csb0="000001FF" w:csb1="00000000"/>
  </w:font>
  <w:font w:name="Segoe UI">
    <w:altName w:val="Calibri"/>
    <w:panose1 w:val="020B0502040204020203"/>
    <w:charset w:val="CC"/>
    <w:family w:val="swiss"/>
    <w:pitch w:val="variable"/>
    <w:sig w:usb0="E4002EFF" w:usb1="C000E47F" w:usb2="00000009" w:usb3="00000000" w:csb0="000001FF" w:csb1="00000000"/>
  </w:font>
  <w:font w:name="Corbel">
    <w:panose1 w:val="020B0503020204020204"/>
    <w:charset w:val="CC"/>
    <w:family w:val="swiss"/>
    <w:pitch w:val="variable"/>
    <w:sig w:usb0="A00002EF" w:usb1="4000A44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695B0" w14:textId="77777777" w:rsidR="0034605D" w:rsidRDefault="0034605D" w:rsidP="009206B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C3DCDF" w14:textId="77777777" w:rsidR="00314EBC" w:rsidRDefault="00314EBC" w:rsidP="00DC2821">
      <w:pPr>
        <w:spacing w:after="0" w:line="240" w:lineRule="auto"/>
      </w:pPr>
      <w:r>
        <w:separator/>
      </w:r>
    </w:p>
  </w:footnote>
  <w:footnote w:type="continuationSeparator" w:id="0">
    <w:p w14:paraId="72EE79DA" w14:textId="77777777" w:rsidR="00314EBC" w:rsidRDefault="00314EBC" w:rsidP="00DC28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E5F11" w14:textId="77777777" w:rsidR="0034605D" w:rsidRPr="002F0FCA" w:rsidRDefault="0034605D" w:rsidP="009206BD">
    <w:pPr>
      <w:pStyle w:val="Header"/>
      <w:pBdr>
        <w:bottom w:val="single" w:sz="6" w:space="1" w:color="auto"/>
      </w:pBdr>
      <w:rPr>
        <w:lang w:val="en-US"/>
      </w:rPr>
    </w:pPr>
    <w:r w:rsidRPr="0006190E">
      <w:rPr>
        <w:noProof/>
        <w:lang w:eastAsia="bg-BG"/>
      </w:rPr>
      <w:drawing>
        <wp:anchor distT="0" distB="0" distL="114300" distR="114300" simplePos="0" relativeHeight="251659264" behindDoc="0" locked="0" layoutInCell="1" allowOverlap="1" wp14:anchorId="4D1B31B2" wp14:editId="274E6483">
          <wp:simplePos x="0" y="0"/>
          <wp:positionH relativeFrom="column">
            <wp:posOffset>2712085</wp:posOffset>
          </wp:positionH>
          <wp:positionV relativeFrom="paragraph">
            <wp:posOffset>-190500</wp:posOffset>
          </wp:positionV>
          <wp:extent cx="3169920" cy="807720"/>
          <wp:effectExtent l="0" t="0" r="0" b="0"/>
          <wp:wrapNone/>
          <wp:docPr id="21" name="Picture 21" descr="\\srvdesktop\desktop\savcheva\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desktop\desktop\savcheva\Desktop\unnam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9920" cy="807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bg-BG"/>
      </w:rPr>
      <w:drawing>
        <wp:inline distT="0" distB="0" distL="0" distR="0" wp14:anchorId="0572D02F" wp14:editId="20A93F57">
          <wp:extent cx="2755265" cy="617220"/>
          <wp:effectExtent l="0" t="0" r="6985" b="0"/>
          <wp:docPr id="23" name="Picture 23" descr="ESIF | EUROPEAN INNOVATION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IF | EUROPEAN INNOVATION PARTNERSHIP"/>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755265" cy="617220"/>
                  </a:xfrm>
                  <a:prstGeom prst="rect">
                    <a:avLst/>
                  </a:prstGeom>
                  <a:noFill/>
                  <a:ln>
                    <a:noFill/>
                  </a:ln>
                </pic:spPr>
              </pic:pic>
            </a:graphicData>
          </a:graphic>
        </wp:inline>
      </w:drawing>
    </w:r>
    <w:r>
      <w:ptab w:relativeTo="margin" w:alignment="center" w:leader="none"/>
    </w:r>
    <w:r>
      <w:ptab w:relativeTo="margin" w:alignment="right" w:leader="none"/>
    </w:r>
  </w:p>
  <w:p w14:paraId="46B1CD24" w14:textId="77777777" w:rsidR="0034605D" w:rsidRDefault="003460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516E4" w14:textId="04712554" w:rsidR="003D7AF7" w:rsidRDefault="003D7AF7">
    <w:pPr>
      <w:pStyle w:val="Header"/>
    </w:pPr>
    <w:r w:rsidRPr="0006190E">
      <w:rPr>
        <w:noProof/>
        <w:lang w:eastAsia="bg-BG"/>
      </w:rPr>
      <w:drawing>
        <wp:anchor distT="0" distB="0" distL="114300" distR="114300" simplePos="0" relativeHeight="251663360" behindDoc="0" locked="0" layoutInCell="1" allowOverlap="1" wp14:anchorId="01E6136A" wp14:editId="4DA5361C">
          <wp:simplePos x="0" y="0"/>
          <wp:positionH relativeFrom="column">
            <wp:posOffset>2622550</wp:posOffset>
          </wp:positionH>
          <wp:positionV relativeFrom="paragraph">
            <wp:posOffset>-70485</wp:posOffset>
          </wp:positionV>
          <wp:extent cx="2818537" cy="780098"/>
          <wp:effectExtent l="0" t="0" r="1270" b="1270"/>
          <wp:wrapNone/>
          <wp:docPr id="53" name="Picture 53" descr="\\srvdesktop\desktop\savcheva\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desktop\desktop\savcheva\Desktop\unnam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8537" cy="78009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bg-BG"/>
      </w:rPr>
      <w:drawing>
        <wp:inline distT="0" distB="0" distL="0" distR="0" wp14:anchorId="28C515D6" wp14:editId="4C88DF1D">
          <wp:extent cx="2483140" cy="556260"/>
          <wp:effectExtent l="0" t="0" r="0" b="0"/>
          <wp:docPr id="4" name="Picture 4" descr="ESIF | EUROPEAN INNOVATION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IF | EUROPEAN INNOVATION PARTNERSHIP"/>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488677" cy="557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1"/>
    <w:lvl w:ilvl="0">
      <w:start w:val="1"/>
      <w:numFmt w:val="bullet"/>
      <w:lvlText w:val=""/>
      <w:lvlJc w:val="left"/>
      <w:pPr>
        <w:tabs>
          <w:tab w:val="num" w:pos="720"/>
        </w:tabs>
        <w:ind w:left="720" w:hanging="360"/>
      </w:pPr>
      <w:rPr>
        <w:rFonts w:ascii="Symbol" w:hAnsi="Symbol"/>
        <w:color w:val="auto"/>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1460AF8"/>
    <w:multiLevelType w:val="hybridMultilevel"/>
    <w:tmpl w:val="F8128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5F170B"/>
    <w:multiLevelType w:val="hybridMultilevel"/>
    <w:tmpl w:val="D40ED2F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 w15:restartNumberingAfterBreak="0">
    <w:nsid w:val="08491563"/>
    <w:multiLevelType w:val="hybridMultilevel"/>
    <w:tmpl w:val="6E701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2A25E2"/>
    <w:multiLevelType w:val="multilevel"/>
    <w:tmpl w:val="23B8A1C2"/>
    <w:lvl w:ilvl="0">
      <w:start w:val="2021"/>
      <w:numFmt w:val="decimal"/>
      <w:lvlText w:val="%1"/>
      <w:lvlJc w:val="left"/>
      <w:pPr>
        <w:ind w:left="1044" w:hanging="1044"/>
      </w:pPr>
      <w:rPr>
        <w:rFonts w:hint="default"/>
      </w:rPr>
    </w:lvl>
    <w:lvl w:ilvl="1">
      <w:start w:val="2027"/>
      <w:numFmt w:val="decimal"/>
      <w:lvlText w:val="%1-%2"/>
      <w:lvlJc w:val="left"/>
      <w:pPr>
        <w:ind w:left="1044" w:hanging="1044"/>
      </w:pPr>
      <w:rPr>
        <w:rFonts w:hint="default"/>
      </w:rPr>
    </w:lvl>
    <w:lvl w:ilvl="2">
      <w:start w:val="1"/>
      <w:numFmt w:val="decimal"/>
      <w:lvlText w:val="%1-%2.%3"/>
      <w:lvlJc w:val="left"/>
      <w:pPr>
        <w:ind w:left="1044" w:hanging="10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34D13ED"/>
    <w:multiLevelType w:val="hybridMultilevel"/>
    <w:tmpl w:val="6F3CCD78"/>
    <w:lvl w:ilvl="0" w:tplc="4E06BB2E">
      <w:start w:val="1"/>
      <w:numFmt w:val="decimal"/>
      <w:lvlText w:val="%1."/>
      <w:lvlJc w:val="left"/>
      <w:pPr>
        <w:ind w:left="1920" w:hanging="360"/>
      </w:pPr>
      <w:rPr>
        <w:rFonts w:ascii="Verdana" w:eastAsiaTheme="minorHAnsi" w:hAnsi="Verdana"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742FCE"/>
    <w:multiLevelType w:val="hybridMultilevel"/>
    <w:tmpl w:val="F766A81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15:restartNumberingAfterBreak="0">
    <w:nsid w:val="16573BFB"/>
    <w:multiLevelType w:val="hybridMultilevel"/>
    <w:tmpl w:val="231C3D78"/>
    <w:lvl w:ilvl="0" w:tplc="ADC87C80">
      <w:start w:val="1"/>
      <w:numFmt w:val="decimal"/>
      <w:lvlText w:val="%1."/>
      <w:lvlJc w:val="left"/>
      <w:pPr>
        <w:ind w:left="1920" w:hanging="360"/>
      </w:pPr>
      <w:rPr>
        <w:rFonts w:ascii="Verdana" w:eastAsiaTheme="minorHAnsi" w:hAnsi="Verdana" w:hint="default"/>
        <w:i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290737"/>
    <w:multiLevelType w:val="hybridMultilevel"/>
    <w:tmpl w:val="6E1A755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 w15:restartNumberingAfterBreak="0">
    <w:nsid w:val="191A3710"/>
    <w:multiLevelType w:val="multilevel"/>
    <w:tmpl w:val="3346778E"/>
    <w:lvl w:ilvl="0">
      <w:start w:val="2014"/>
      <w:numFmt w:val="decimal"/>
      <w:lvlText w:val="%1"/>
      <w:lvlJc w:val="left"/>
      <w:pPr>
        <w:ind w:left="1044" w:hanging="1044"/>
      </w:pPr>
      <w:rPr>
        <w:rFonts w:hint="default"/>
      </w:rPr>
    </w:lvl>
    <w:lvl w:ilvl="1">
      <w:start w:val="2020"/>
      <w:numFmt w:val="decimal"/>
      <w:lvlText w:val="%1-%2"/>
      <w:lvlJc w:val="left"/>
      <w:pPr>
        <w:ind w:left="1044" w:hanging="1044"/>
      </w:pPr>
      <w:rPr>
        <w:rFonts w:hint="default"/>
      </w:rPr>
    </w:lvl>
    <w:lvl w:ilvl="2">
      <w:start w:val="1"/>
      <w:numFmt w:val="decimal"/>
      <w:lvlText w:val="%1-%2.%3"/>
      <w:lvlJc w:val="left"/>
      <w:pPr>
        <w:ind w:left="1044" w:hanging="10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98375F0"/>
    <w:multiLevelType w:val="hybridMultilevel"/>
    <w:tmpl w:val="B290AEF2"/>
    <w:lvl w:ilvl="0" w:tplc="4050A560">
      <w:numFmt w:val="bullet"/>
      <w:lvlText w:val="-"/>
      <w:lvlJc w:val="left"/>
      <w:pPr>
        <w:ind w:left="720" w:hanging="360"/>
      </w:pPr>
      <w:rPr>
        <w:rFonts w:ascii="Calibri" w:eastAsiaTheme="minorHAnsi" w:hAnsi="Calibri" w:cstheme="minorBidi"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1CB323BA"/>
    <w:multiLevelType w:val="hybridMultilevel"/>
    <w:tmpl w:val="9D9863A8"/>
    <w:lvl w:ilvl="0" w:tplc="0409000F">
      <w:start w:val="1"/>
      <w:numFmt w:val="decimal"/>
      <w:lvlText w:val="%1."/>
      <w:lvlJc w:val="left"/>
      <w:pPr>
        <w:ind w:left="288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15:restartNumberingAfterBreak="0">
    <w:nsid w:val="1F5C44F8"/>
    <w:multiLevelType w:val="hybridMultilevel"/>
    <w:tmpl w:val="DDD8207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 w15:restartNumberingAfterBreak="0">
    <w:nsid w:val="1FD26C04"/>
    <w:multiLevelType w:val="hybridMultilevel"/>
    <w:tmpl w:val="58CAB918"/>
    <w:lvl w:ilvl="0" w:tplc="4E06BB2E">
      <w:start w:val="1"/>
      <w:numFmt w:val="decimal"/>
      <w:lvlText w:val="%1."/>
      <w:lvlJc w:val="left"/>
      <w:pPr>
        <w:ind w:left="1920" w:hanging="360"/>
      </w:pPr>
      <w:rPr>
        <w:rFonts w:ascii="Verdana" w:eastAsiaTheme="minorHAnsi" w:hAnsi="Verdana"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980FDF"/>
    <w:multiLevelType w:val="hybridMultilevel"/>
    <w:tmpl w:val="E712381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15:restartNumberingAfterBreak="0">
    <w:nsid w:val="2656643D"/>
    <w:multiLevelType w:val="hybridMultilevel"/>
    <w:tmpl w:val="2EACF84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15:restartNumberingAfterBreak="0">
    <w:nsid w:val="267040B5"/>
    <w:multiLevelType w:val="multilevel"/>
    <w:tmpl w:val="4A44A46E"/>
    <w:lvl w:ilvl="0">
      <w:start w:val="2014"/>
      <w:numFmt w:val="decimal"/>
      <w:lvlText w:val="%1"/>
      <w:lvlJc w:val="left"/>
      <w:pPr>
        <w:ind w:left="1044" w:hanging="1044"/>
      </w:pPr>
      <w:rPr>
        <w:rFonts w:hint="default"/>
      </w:rPr>
    </w:lvl>
    <w:lvl w:ilvl="1">
      <w:start w:val="2020"/>
      <w:numFmt w:val="decimal"/>
      <w:lvlText w:val="%1-%2"/>
      <w:lvlJc w:val="left"/>
      <w:pPr>
        <w:ind w:left="1044" w:hanging="1044"/>
      </w:pPr>
      <w:rPr>
        <w:rFonts w:hint="default"/>
      </w:rPr>
    </w:lvl>
    <w:lvl w:ilvl="2">
      <w:start w:val="1"/>
      <w:numFmt w:val="decimal"/>
      <w:lvlText w:val="%1-%2.%3"/>
      <w:lvlJc w:val="left"/>
      <w:pPr>
        <w:ind w:left="1044" w:hanging="10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6FB1E0C"/>
    <w:multiLevelType w:val="hybridMultilevel"/>
    <w:tmpl w:val="BAB8CC4E"/>
    <w:lvl w:ilvl="0" w:tplc="84C2AED0">
      <w:start w:val="1"/>
      <w:numFmt w:val="decimal"/>
      <w:lvlText w:val="%1."/>
      <w:lvlJc w:val="left"/>
      <w:pPr>
        <w:tabs>
          <w:tab w:val="num" w:pos="720"/>
        </w:tabs>
        <w:ind w:left="720" w:hanging="360"/>
      </w:pPr>
    </w:lvl>
    <w:lvl w:ilvl="1" w:tplc="FE78EE58" w:tentative="1">
      <w:start w:val="1"/>
      <w:numFmt w:val="decimal"/>
      <w:lvlText w:val="%2."/>
      <w:lvlJc w:val="left"/>
      <w:pPr>
        <w:tabs>
          <w:tab w:val="num" w:pos="1440"/>
        </w:tabs>
        <w:ind w:left="1440" w:hanging="360"/>
      </w:pPr>
    </w:lvl>
    <w:lvl w:ilvl="2" w:tplc="24AC4D1E" w:tentative="1">
      <w:start w:val="1"/>
      <w:numFmt w:val="decimal"/>
      <w:lvlText w:val="%3."/>
      <w:lvlJc w:val="left"/>
      <w:pPr>
        <w:tabs>
          <w:tab w:val="num" w:pos="2160"/>
        </w:tabs>
        <w:ind w:left="2160" w:hanging="360"/>
      </w:pPr>
    </w:lvl>
    <w:lvl w:ilvl="3" w:tplc="DA42A0E2" w:tentative="1">
      <w:start w:val="1"/>
      <w:numFmt w:val="decimal"/>
      <w:lvlText w:val="%4."/>
      <w:lvlJc w:val="left"/>
      <w:pPr>
        <w:tabs>
          <w:tab w:val="num" w:pos="2880"/>
        </w:tabs>
        <w:ind w:left="2880" w:hanging="360"/>
      </w:pPr>
    </w:lvl>
    <w:lvl w:ilvl="4" w:tplc="86063156" w:tentative="1">
      <w:start w:val="1"/>
      <w:numFmt w:val="decimal"/>
      <w:lvlText w:val="%5."/>
      <w:lvlJc w:val="left"/>
      <w:pPr>
        <w:tabs>
          <w:tab w:val="num" w:pos="3600"/>
        </w:tabs>
        <w:ind w:left="3600" w:hanging="360"/>
      </w:pPr>
    </w:lvl>
    <w:lvl w:ilvl="5" w:tplc="1BB65944" w:tentative="1">
      <w:start w:val="1"/>
      <w:numFmt w:val="decimal"/>
      <w:lvlText w:val="%6."/>
      <w:lvlJc w:val="left"/>
      <w:pPr>
        <w:tabs>
          <w:tab w:val="num" w:pos="4320"/>
        </w:tabs>
        <w:ind w:left="4320" w:hanging="360"/>
      </w:pPr>
    </w:lvl>
    <w:lvl w:ilvl="6" w:tplc="E3E8E426" w:tentative="1">
      <w:start w:val="1"/>
      <w:numFmt w:val="decimal"/>
      <w:lvlText w:val="%7."/>
      <w:lvlJc w:val="left"/>
      <w:pPr>
        <w:tabs>
          <w:tab w:val="num" w:pos="5040"/>
        </w:tabs>
        <w:ind w:left="5040" w:hanging="360"/>
      </w:pPr>
    </w:lvl>
    <w:lvl w:ilvl="7" w:tplc="41F0F86E" w:tentative="1">
      <w:start w:val="1"/>
      <w:numFmt w:val="decimal"/>
      <w:lvlText w:val="%8."/>
      <w:lvlJc w:val="left"/>
      <w:pPr>
        <w:tabs>
          <w:tab w:val="num" w:pos="5760"/>
        </w:tabs>
        <w:ind w:left="5760" w:hanging="360"/>
      </w:pPr>
    </w:lvl>
    <w:lvl w:ilvl="8" w:tplc="356CF0B2" w:tentative="1">
      <w:start w:val="1"/>
      <w:numFmt w:val="decimal"/>
      <w:lvlText w:val="%9."/>
      <w:lvlJc w:val="left"/>
      <w:pPr>
        <w:tabs>
          <w:tab w:val="num" w:pos="6480"/>
        </w:tabs>
        <w:ind w:left="6480" w:hanging="360"/>
      </w:pPr>
    </w:lvl>
  </w:abstractNum>
  <w:abstractNum w:abstractNumId="18" w15:restartNumberingAfterBreak="0">
    <w:nsid w:val="2A6A62B9"/>
    <w:multiLevelType w:val="hybridMultilevel"/>
    <w:tmpl w:val="58CAB918"/>
    <w:lvl w:ilvl="0" w:tplc="4E06BB2E">
      <w:start w:val="1"/>
      <w:numFmt w:val="decimal"/>
      <w:lvlText w:val="%1."/>
      <w:lvlJc w:val="left"/>
      <w:pPr>
        <w:ind w:left="1920" w:hanging="360"/>
      </w:pPr>
      <w:rPr>
        <w:rFonts w:ascii="Verdana" w:eastAsiaTheme="minorHAnsi" w:hAnsi="Verdana"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520456"/>
    <w:multiLevelType w:val="hybridMultilevel"/>
    <w:tmpl w:val="CEF8AE94"/>
    <w:lvl w:ilvl="0" w:tplc="E4B47226">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FE3141"/>
    <w:multiLevelType w:val="hybridMultilevel"/>
    <w:tmpl w:val="1320FCF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9E219D"/>
    <w:multiLevelType w:val="hybridMultilevel"/>
    <w:tmpl w:val="7BBA0D0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665894"/>
    <w:multiLevelType w:val="hybridMultilevel"/>
    <w:tmpl w:val="BE320298"/>
    <w:lvl w:ilvl="0" w:tplc="BDC0F4FA">
      <w:numFmt w:val="bullet"/>
      <w:lvlText w:val="-"/>
      <w:lvlJc w:val="left"/>
      <w:pPr>
        <w:ind w:left="720" w:hanging="360"/>
      </w:pPr>
      <w:rPr>
        <w:rFonts w:ascii="Calibri" w:eastAsiaTheme="minorHAnsi" w:hAnsi="Calibri"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320D557E"/>
    <w:multiLevelType w:val="hybridMultilevel"/>
    <w:tmpl w:val="D368BB82"/>
    <w:lvl w:ilvl="0" w:tplc="0409000F">
      <w:start w:val="1"/>
      <w:numFmt w:val="decimal"/>
      <w:lvlText w:val="%1."/>
      <w:lvlJc w:val="left"/>
      <w:pPr>
        <w:ind w:left="288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4" w15:restartNumberingAfterBreak="0">
    <w:nsid w:val="32B91C66"/>
    <w:multiLevelType w:val="multilevel"/>
    <w:tmpl w:val="5DF2950A"/>
    <w:lvl w:ilvl="0">
      <w:start w:val="2014"/>
      <w:numFmt w:val="decimal"/>
      <w:lvlText w:val="%1"/>
      <w:lvlJc w:val="left"/>
      <w:pPr>
        <w:ind w:left="1044" w:hanging="1044"/>
      </w:pPr>
      <w:rPr>
        <w:rFonts w:hint="default"/>
      </w:rPr>
    </w:lvl>
    <w:lvl w:ilvl="1">
      <w:start w:val="2020"/>
      <w:numFmt w:val="decimal"/>
      <w:lvlText w:val="%1-%2"/>
      <w:lvlJc w:val="left"/>
      <w:pPr>
        <w:ind w:left="1044" w:hanging="1044"/>
      </w:pPr>
      <w:rPr>
        <w:rFonts w:hint="default"/>
      </w:rPr>
    </w:lvl>
    <w:lvl w:ilvl="2">
      <w:start w:val="1"/>
      <w:numFmt w:val="decimal"/>
      <w:lvlText w:val="%1-%2.%3"/>
      <w:lvlJc w:val="left"/>
      <w:pPr>
        <w:ind w:left="1044" w:hanging="10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32E95101"/>
    <w:multiLevelType w:val="hybridMultilevel"/>
    <w:tmpl w:val="C1C2B796"/>
    <w:lvl w:ilvl="0" w:tplc="7938BCFE">
      <w:start w:val="1"/>
      <w:numFmt w:val="decimal"/>
      <w:lvlText w:val="%1."/>
      <w:lvlJc w:val="left"/>
      <w:pPr>
        <w:ind w:left="720" w:hanging="360"/>
      </w:pPr>
      <w:rPr>
        <w:rFonts w:cs="Times New Roman" w:hint="default"/>
        <w:color w:val="auto"/>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 w15:restartNumberingAfterBreak="0">
    <w:nsid w:val="32F236F1"/>
    <w:multiLevelType w:val="hybridMultilevel"/>
    <w:tmpl w:val="54DAC81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15:restartNumberingAfterBreak="0">
    <w:nsid w:val="365523E9"/>
    <w:multiLevelType w:val="hybridMultilevel"/>
    <w:tmpl w:val="6F3CCD78"/>
    <w:lvl w:ilvl="0" w:tplc="4E06BB2E">
      <w:start w:val="1"/>
      <w:numFmt w:val="decimal"/>
      <w:lvlText w:val="%1."/>
      <w:lvlJc w:val="left"/>
      <w:pPr>
        <w:ind w:left="1920" w:hanging="360"/>
      </w:pPr>
      <w:rPr>
        <w:rFonts w:ascii="Verdana" w:eastAsiaTheme="minorHAnsi" w:hAnsi="Verdana"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6D82868"/>
    <w:multiLevelType w:val="hybridMultilevel"/>
    <w:tmpl w:val="A852FD4C"/>
    <w:lvl w:ilvl="0" w:tplc="BDC0F4FA">
      <w:numFmt w:val="bullet"/>
      <w:lvlText w:val="-"/>
      <w:lvlJc w:val="left"/>
      <w:pPr>
        <w:ind w:left="720" w:hanging="360"/>
      </w:pPr>
      <w:rPr>
        <w:rFonts w:ascii="Calibri" w:eastAsiaTheme="minorHAnsi" w:hAnsi="Calibri"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15:restartNumberingAfterBreak="0">
    <w:nsid w:val="423777D8"/>
    <w:multiLevelType w:val="hybridMultilevel"/>
    <w:tmpl w:val="92B22AE6"/>
    <w:lvl w:ilvl="0" w:tplc="ADC87C80">
      <w:start w:val="1"/>
      <w:numFmt w:val="decimal"/>
      <w:lvlText w:val="%1."/>
      <w:lvlJc w:val="left"/>
      <w:pPr>
        <w:ind w:left="1920" w:hanging="360"/>
      </w:pPr>
      <w:rPr>
        <w:rFonts w:ascii="Verdana" w:eastAsiaTheme="minorHAnsi" w:hAnsi="Verdana" w:hint="default"/>
        <w:i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2447857"/>
    <w:multiLevelType w:val="hybridMultilevel"/>
    <w:tmpl w:val="D368BB82"/>
    <w:lvl w:ilvl="0" w:tplc="0409000F">
      <w:start w:val="1"/>
      <w:numFmt w:val="decimal"/>
      <w:lvlText w:val="%1."/>
      <w:lvlJc w:val="left"/>
      <w:pPr>
        <w:ind w:left="288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1" w15:restartNumberingAfterBreak="0">
    <w:nsid w:val="480403D9"/>
    <w:multiLevelType w:val="hybridMultilevel"/>
    <w:tmpl w:val="1026C866"/>
    <w:lvl w:ilvl="0" w:tplc="54DAC99C">
      <w:numFmt w:val="bullet"/>
      <w:lvlText w:val="-"/>
      <w:lvlJc w:val="left"/>
      <w:pPr>
        <w:ind w:left="720" w:hanging="360"/>
      </w:pPr>
      <w:rPr>
        <w:rFonts w:ascii="Verdana" w:eastAsiaTheme="minorHAnsi" w:hAnsi="Verdana"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15:restartNumberingAfterBreak="0">
    <w:nsid w:val="4F326F31"/>
    <w:multiLevelType w:val="multilevel"/>
    <w:tmpl w:val="E8BC1A3E"/>
    <w:lvl w:ilvl="0">
      <w:start w:val="2028"/>
      <w:numFmt w:val="decimal"/>
      <w:lvlText w:val="%1"/>
      <w:lvlJc w:val="left"/>
      <w:pPr>
        <w:ind w:left="1044" w:hanging="1044"/>
      </w:pPr>
      <w:rPr>
        <w:rFonts w:hint="default"/>
      </w:rPr>
    </w:lvl>
    <w:lvl w:ilvl="1">
      <w:start w:val="2035"/>
      <w:numFmt w:val="decimal"/>
      <w:lvlText w:val="%1-%2"/>
      <w:lvlJc w:val="left"/>
      <w:pPr>
        <w:ind w:left="1044" w:hanging="1044"/>
      </w:pPr>
      <w:rPr>
        <w:rFonts w:hint="default"/>
      </w:rPr>
    </w:lvl>
    <w:lvl w:ilvl="2">
      <w:start w:val="1"/>
      <w:numFmt w:val="decimal"/>
      <w:lvlText w:val="%1-%2.%3"/>
      <w:lvlJc w:val="left"/>
      <w:pPr>
        <w:ind w:left="1044" w:hanging="10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14463C6"/>
    <w:multiLevelType w:val="hybridMultilevel"/>
    <w:tmpl w:val="C4B62098"/>
    <w:lvl w:ilvl="0" w:tplc="040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34" w15:restartNumberingAfterBreak="0">
    <w:nsid w:val="5318152F"/>
    <w:multiLevelType w:val="multilevel"/>
    <w:tmpl w:val="EA68547A"/>
    <w:lvl w:ilvl="0">
      <w:start w:val="1"/>
      <w:numFmt w:val="upperRoman"/>
      <w:lvlText w:val="%1"/>
      <w:lvlJc w:val="left"/>
      <w:pPr>
        <w:tabs>
          <w:tab w:val="num" w:pos="538"/>
        </w:tabs>
        <w:ind w:left="567" w:hanging="567"/>
      </w:pPr>
      <w:rPr>
        <w:rFonts w:hint="default"/>
        <w:color w:val="374E81"/>
        <w:sz w:val="36"/>
      </w:rPr>
    </w:lvl>
    <w:lvl w:ilvl="1">
      <w:start w:val="1"/>
      <w:numFmt w:val="decimal"/>
      <w:pStyle w:val="Style1"/>
      <w:lvlText w:val="%1.%2"/>
      <w:lvlJc w:val="left"/>
      <w:pPr>
        <w:tabs>
          <w:tab w:val="num" w:pos="553"/>
        </w:tabs>
        <w:ind w:left="576" w:hanging="576"/>
      </w:pPr>
      <w:rPr>
        <w:rFonts w:ascii="Verdana" w:hAnsi="Verdana" w:hint="default"/>
        <w:b/>
        <w:color w:val="FFFFFF" w:themeColor="background1"/>
        <w:sz w:val="22"/>
      </w:rPr>
    </w:lvl>
    <w:lvl w:ilvl="2">
      <w:start w:val="1"/>
      <w:numFmt w:val="decimal"/>
      <w:pStyle w:val="Style2"/>
      <w:lvlText w:val="%1.%2.%3"/>
      <w:lvlJc w:val="left"/>
      <w:pPr>
        <w:tabs>
          <w:tab w:val="num" w:pos="567"/>
        </w:tabs>
        <w:ind w:left="567" w:hanging="567"/>
      </w:pPr>
      <w:rPr>
        <w:rFonts w:hint="default"/>
        <w:color w:val="374E81"/>
      </w:rPr>
    </w:lvl>
    <w:lvl w:ilvl="3">
      <w:start w:val="1"/>
      <w:numFmt w:val="decimal"/>
      <w:lvlText w:val="%1.%2.%3.%4"/>
      <w:lvlJc w:val="left"/>
      <w:pPr>
        <w:tabs>
          <w:tab w:val="num" w:pos="5684"/>
        </w:tabs>
        <w:ind w:left="5684" w:hanging="864"/>
      </w:pPr>
      <w:rPr>
        <w:rFonts w:hint="default"/>
        <w:color w:val="374E81"/>
      </w:rPr>
    </w:lvl>
    <w:lvl w:ilvl="4">
      <w:start w:val="1"/>
      <w:numFmt w:val="decimal"/>
      <w:lvlText w:val="%1.%2.%3.%4.%5"/>
      <w:lvlJc w:val="left"/>
      <w:pPr>
        <w:tabs>
          <w:tab w:val="num" w:pos="1008"/>
        </w:tabs>
        <w:ind w:left="1008" w:hanging="1008"/>
      </w:pPr>
      <w:rPr>
        <w:rFonts w:hint="default"/>
        <w:color w:val="auto"/>
      </w:rPr>
    </w:lvl>
    <w:lvl w:ilvl="5">
      <w:start w:val="1"/>
      <w:numFmt w:val="decimal"/>
      <w:lvlText w:val="%1.%2.%3.%4.%5.%6"/>
      <w:lvlJc w:val="left"/>
      <w:pPr>
        <w:tabs>
          <w:tab w:val="num" w:pos="1152"/>
        </w:tabs>
        <w:ind w:left="1152" w:hanging="1152"/>
      </w:pPr>
      <w:rPr>
        <w:rFonts w:hint="default"/>
        <w:color w:val="auto"/>
      </w:rPr>
    </w:lvl>
    <w:lvl w:ilvl="6">
      <w:start w:val="1"/>
      <w:numFmt w:val="decimal"/>
      <w:lvlText w:val="%1.%2.%3.%4.%5.%6.%7"/>
      <w:lvlJc w:val="left"/>
      <w:pPr>
        <w:tabs>
          <w:tab w:val="num" w:pos="1296"/>
        </w:tabs>
        <w:ind w:left="1296" w:hanging="1296"/>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584"/>
        </w:tabs>
        <w:ind w:left="1584" w:hanging="1584"/>
      </w:pPr>
      <w:rPr>
        <w:rFonts w:hint="default"/>
        <w:color w:val="000000"/>
      </w:rPr>
    </w:lvl>
  </w:abstractNum>
  <w:abstractNum w:abstractNumId="35" w15:restartNumberingAfterBreak="0">
    <w:nsid w:val="53D96191"/>
    <w:multiLevelType w:val="hybridMultilevel"/>
    <w:tmpl w:val="75DCE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655C90"/>
    <w:multiLevelType w:val="hybridMultilevel"/>
    <w:tmpl w:val="E2A45A4C"/>
    <w:lvl w:ilvl="0" w:tplc="16CC191E">
      <w:numFmt w:val="bullet"/>
      <w:lvlText w:val="-"/>
      <w:lvlJc w:val="left"/>
      <w:pPr>
        <w:ind w:left="720" w:hanging="360"/>
      </w:pPr>
      <w:rPr>
        <w:rFonts w:ascii="Calibri" w:eastAsiaTheme="minorHAnsi" w:hAnsi="Calibri"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 w15:restartNumberingAfterBreak="0">
    <w:nsid w:val="5CC3009F"/>
    <w:multiLevelType w:val="multilevel"/>
    <w:tmpl w:val="069C0CAE"/>
    <w:lvl w:ilvl="0">
      <w:start w:val="2014"/>
      <w:numFmt w:val="decimal"/>
      <w:lvlText w:val="%1"/>
      <w:lvlJc w:val="left"/>
      <w:pPr>
        <w:ind w:left="1044" w:hanging="1044"/>
      </w:pPr>
      <w:rPr>
        <w:rFonts w:hint="default"/>
      </w:rPr>
    </w:lvl>
    <w:lvl w:ilvl="1">
      <w:start w:val="2020"/>
      <w:numFmt w:val="decimal"/>
      <w:lvlText w:val="%1-%2"/>
      <w:lvlJc w:val="left"/>
      <w:pPr>
        <w:ind w:left="1044" w:hanging="1044"/>
      </w:pPr>
      <w:rPr>
        <w:rFonts w:hint="default"/>
      </w:rPr>
    </w:lvl>
    <w:lvl w:ilvl="2">
      <w:start w:val="1"/>
      <w:numFmt w:val="decimal"/>
      <w:lvlText w:val="%1-%2.%3"/>
      <w:lvlJc w:val="left"/>
      <w:pPr>
        <w:ind w:left="1044" w:hanging="10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5CF14CC6"/>
    <w:multiLevelType w:val="hybridMultilevel"/>
    <w:tmpl w:val="6E1A755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9" w15:restartNumberingAfterBreak="0">
    <w:nsid w:val="5D2221BE"/>
    <w:multiLevelType w:val="multilevel"/>
    <w:tmpl w:val="35A08916"/>
    <w:lvl w:ilvl="0">
      <w:start w:val="1"/>
      <w:numFmt w:val="upperRoman"/>
      <w:pStyle w:val="wygheadinglevel1"/>
      <w:lvlText w:val="%1."/>
      <w:lvlJc w:val="left"/>
      <w:pPr>
        <w:tabs>
          <w:tab w:val="num" w:pos="567"/>
        </w:tabs>
        <w:ind w:left="567" w:hanging="567"/>
      </w:pPr>
      <w:rPr>
        <w:rFonts w:hint="default"/>
        <w:b/>
        <w:color w:val="9EC3DE"/>
      </w:rPr>
    </w:lvl>
    <w:lvl w:ilvl="1">
      <w:start w:val="1"/>
      <w:numFmt w:val="decimal"/>
      <w:pStyle w:val="wygheadinglevel2"/>
      <w:lvlText w:val="%1.%2."/>
      <w:lvlJc w:val="left"/>
      <w:pPr>
        <w:tabs>
          <w:tab w:val="num" w:pos="567"/>
        </w:tabs>
        <w:ind w:left="567" w:hanging="567"/>
      </w:pPr>
      <w:rPr>
        <w:rFonts w:hint="default"/>
      </w:rPr>
    </w:lvl>
    <w:lvl w:ilvl="2">
      <w:start w:val="1"/>
      <w:numFmt w:val="decimal"/>
      <w:pStyle w:val="wygheadinglevel3"/>
      <w:lvlText w:val="%1.%2.%3."/>
      <w:lvlJc w:val="left"/>
      <w:pPr>
        <w:tabs>
          <w:tab w:val="num" w:pos="567"/>
        </w:tabs>
        <w:ind w:left="567" w:hanging="567"/>
      </w:pPr>
      <w:rPr>
        <w:rFonts w:ascii="Tahoma" w:hAnsi="Tahoma" w:hint="default"/>
        <w:sz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0" w15:restartNumberingAfterBreak="0">
    <w:nsid w:val="6016096A"/>
    <w:multiLevelType w:val="hybridMultilevel"/>
    <w:tmpl w:val="AE9E603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1" w15:restartNumberingAfterBreak="0">
    <w:nsid w:val="637A08DF"/>
    <w:multiLevelType w:val="hybridMultilevel"/>
    <w:tmpl w:val="FC2CB01A"/>
    <w:lvl w:ilvl="0" w:tplc="6B507216">
      <w:start w:val="1"/>
      <w:numFmt w:val="decimal"/>
      <w:lvlText w:val="%1."/>
      <w:lvlJc w:val="left"/>
      <w:pPr>
        <w:ind w:left="2880" w:hanging="360"/>
      </w:pPr>
      <w:rPr>
        <w:i w:val="0"/>
        <w:sz w:val="16"/>
        <w:szCs w:val="16"/>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2" w15:restartNumberingAfterBreak="0">
    <w:nsid w:val="63B26760"/>
    <w:multiLevelType w:val="hybridMultilevel"/>
    <w:tmpl w:val="6E1A755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3" w15:restartNumberingAfterBreak="0">
    <w:nsid w:val="712325EE"/>
    <w:multiLevelType w:val="hybridMultilevel"/>
    <w:tmpl w:val="A7726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412B70"/>
    <w:multiLevelType w:val="hybridMultilevel"/>
    <w:tmpl w:val="E21E31D0"/>
    <w:lvl w:ilvl="0" w:tplc="72DE400C">
      <w:start w:val="1"/>
      <w:numFmt w:val="decimal"/>
      <w:lvlText w:val="%1."/>
      <w:lvlJc w:val="left"/>
      <w:pPr>
        <w:ind w:left="720" w:hanging="360"/>
      </w:pPr>
      <w:rPr>
        <w:rFonts w:cs="Times New Roman" w:hint="default"/>
        <w:color w:val="auto"/>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5" w15:restartNumberingAfterBreak="0">
    <w:nsid w:val="72E63702"/>
    <w:multiLevelType w:val="hybridMultilevel"/>
    <w:tmpl w:val="81BCA6B2"/>
    <w:lvl w:ilvl="0" w:tplc="BDC0F4FA">
      <w:numFmt w:val="bullet"/>
      <w:lvlText w:val="-"/>
      <w:lvlJc w:val="left"/>
      <w:pPr>
        <w:ind w:left="720" w:hanging="360"/>
      </w:pPr>
      <w:rPr>
        <w:rFonts w:ascii="Calibri" w:eastAsiaTheme="minorHAnsi" w:hAnsi="Calibri"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6" w15:restartNumberingAfterBreak="0">
    <w:nsid w:val="73717CAB"/>
    <w:multiLevelType w:val="hybridMultilevel"/>
    <w:tmpl w:val="6E1A755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7" w15:restartNumberingAfterBreak="0">
    <w:nsid w:val="75871AD6"/>
    <w:multiLevelType w:val="hybridMultilevel"/>
    <w:tmpl w:val="6F3CCD78"/>
    <w:lvl w:ilvl="0" w:tplc="4E06BB2E">
      <w:start w:val="1"/>
      <w:numFmt w:val="decimal"/>
      <w:lvlText w:val="%1."/>
      <w:lvlJc w:val="left"/>
      <w:pPr>
        <w:ind w:left="1920" w:hanging="360"/>
      </w:pPr>
      <w:rPr>
        <w:rFonts w:ascii="Verdana" w:eastAsiaTheme="minorHAnsi" w:hAnsi="Verdana"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8E65607"/>
    <w:multiLevelType w:val="hybridMultilevel"/>
    <w:tmpl w:val="9D9C0C1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9" w15:restartNumberingAfterBreak="0">
    <w:nsid w:val="79533161"/>
    <w:multiLevelType w:val="hybridMultilevel"/>
    <w:tmpl w:val="14F2C45C"/>
    <w:lvl w:ilvl="0" w:tplc="4050A560">
      <w:numFmt w:val="bullet"/>
      <w:lvlText w:val="-"/>
      <w:lvlJc w:val="left"/>
      <w:pPr>
        <w:ind w:left="720" w:hanging="360"/>
      </w:pPr>
      <w:rPr>
        <w:rFonts w:ascii="Calibri" w:eastAsiaTheme="minorHAnsi" w:hAnsi="Calibri"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0" w15:restartNumberingAfterBreak="0">
    <w:nsid w:val="79700328"/>
    <w:multiLevelType w:val="hybridMultilevel"/>
    <w:tmpl w:val="9B94FCF6"/>
    <w:lvl w:ilvl="0" w:tplc="A7667A52">
      <w:start w:val="1"/>
      <w:numFmt w:val="bullet"/>
      <w:lvlText w:val="▻"/>
      <w:lvlJc w:val="left"/>
      <w:pPr>
        <w:tabs>
          <w:tab w:val="num" w:pos="720"/>
        </w:tabs>
        <w:ind w:left="720" w:hanging="360"/>
      </w:pPr>
      <w:rPr>
        <w:rFonts w:ascii="Segoe UI Symbol" w:hAnsi="Segoe UI Symbol" w:hint="default"/>
      </w:rPr>
    </w:lvl>
    <w:lvl w:ilvl="1" w:tplc="54DAC99C">
      <w:numFmt w:val="bullet"/>
      <w:lvlText w:val="-"/>
      <w:lvlJc w:val="left"/>
      <w:pPr>
        <w:tabs>
          <w:tab w:val="num" w:pos="1440"/>
        </w:tabs>
        <w:ind w:left="1440" w:hanging="360"/>
      </w:pPr>
      <w:rPr>
        <w:rFonts w:ascii="Verdana" w:eastAsiaTheme="minorHAnsi" w:hAnsi="Verdana" w:cstheme="minorBidi" w:hint="default"/>
      </w:rPr>
    </w:lvl>
    <w:lvl w:ilvl="2" w:tplc="4A5647E4" w:tentative="1">
      <w:start w:val="1"/>
      <w:numFmt w:val="bullet"/>
      <w:lvlText w:val="▻"/>
      <w:lvlJc w:val="left"/>
      <w:pPr>
        <w:tabs>
          <w:tab w:val="num" w:pos="2160"/>
        </w:tabs>
        <w:ind w:left="2160" w:hanging="360"/>
      </w:pPr>
      <w:rPr>
        <w:rFonts w:ascii="Segoe UI Symbol" w:hAnsi="Segoe UI Symbol" w:hint="default"/>
      </w:rPr>
    </w:lvl>
    <w:lvl w:ilvl="3" w:tplc="4E1C2160" w:tentative="1">
      <w:start w:val="1"/>
      <w:numFmt w:val="bullet"/>
      <w:lvlText w:val="▻"/>
      <w:lvlJc w:val="left"/>
      <w:pPr>
        <w:tabs>
          <w:tab w:val="num" w:pos="2880"/>
        </w:tabs>
        <w:ind w:left="2880" w:hanging="360"/>
      </w:pPr>
      <w:rPr>
        <w:rFonts w:ascii="Segoe UI Symbol" w:hAnsi="Segoe UI Symbol" w:hint="default"/>
      </w:rPr>
    </w:lvl>
    <w:lvl w:ilvl="4" w:tplc="BE8ECC84" w:tentative="1">
      <w:start w:val="1"/>
      <w:numFmt w:val="bullet"/>
      <w:lvlText w:val="▻"/>
      <w:lvlJc w:val="left"/>
      <w:pPr>
        <w:tabs>
          <w:tab w:val="num" w:pos="3600"/>
        </w:tabs>
        <w:ind w:left="3600" w:hanging="360"/>
      </w:pPr>
      <w:rPr>
        <w:rFonts w:ascii="Segoe UI Symbol" w:hAnsi="Segoe UI Symbol" w:hint="default"/>
      </w:rPr>
    </w:lvl>
    <w:lvl w:ilvl="5" w:tplc="7C3C86EC" w:tentative="1">
      <w:start w:val="1"/>
      <w:numFmt w:val="bullet"/>
      <w:lvlText w:val="▻"/>
      <w:lvlJc w:val="left"/>
      <w:pPr>
        <w:tabs>
          <w:tab w:val="num" w:pos="4320"/>
        </w:tabs>
        <w:ind w:left="4320" w:hanging="360"/>
      </w:pPr>
      <w:rPr>
        <w:rFonts w:ascii="Segoe UI Symbol" w:hAnsi="Segoe UI Symbol" w:hint="default"/>
      </w:rPr>
    </w:lvl>
    <w:lvl w:ilvl="6" w:tplc="A6188328" w:tentative="1">
      <w:start w:val="1"/>
      <w:numFmt w:val="bullet"/>
      <w:lvlText w:val="▻"/>
      <w:lvlJc w:val="left"/>
      <w:pPr>
        <w:tabs>
          <w:tab w:val="num" w:pos="5040"/>
        </w:tabs>
        <w:ind w:left="5040" w:hanging="360"/>
      </w:pPr>
      <w:rPr>
        <w:rFonts w:ascii="Segoe UI Symbol" w:hAnsi="Segoe UI Symbol" w:hint="default"/>
      </w:rPr>
    </w:lvl>
    <w:lvl w:ilvl="7" w:tplc="2A985F14" w:tentative="1">
      <w:start w:val="1"/>
      <w:numFmt w:val="bullet"/>
      <w:lvlText w:val="▻"/>
      <w:lvlJc w:val="left"/>
      <w:pPr>
        <w:tabs>
          <w:tab w:val="num" w:pos="5760"/>
        </w:tabs>
        <w:ind w:left="5760" w:hanging="360"/>
      </w:pPr>
      <w:rPr>
        <w:rFonts w:ascii="Segoe UI Symbol" w:hAnsi="Segoe UI Symbol" w:hint="default"/>
      </w:rPr>
    </w:lvl>
    <w:lvl w:ilvl="8" w:tplc="F5C2C150" w:tentative="1">
      <w:start w:val="1"/>
      <w:numFmt w:val="bullet"/>
      <w:lvlText w:val="▻"/>
      <w:lvlJc w:val="left"/>
      <w:pPr>
        <w:tabs>
          <w:tab w:val="num" w:pos="6480"/>
        </w:tabs>
        <w:ind w:left="6480" w:hanging="360"/>
      </w:pPr>
      <w:rPr>
        <w:rFonts w:ascii="Segoe UI Symbol" w:hAnsi="Segoe UI Symbol" w:hint="default"/>
      </w:rPr>
    </w:lvl>
  </w:abstractNum>
  <w:num w:numId="1">
    <w:abstractNumId w:val="34"/>
  </w:num>
  <w:num w:numId="2">
    <w:abstractNumId w:val="1"/>
  </w:num>
  <w:num w:numId="3">
    <w:abstractNumId w:val="22"/>
  </w:num>
  <w:num w:numId="4">
    <w:abstractNumId w:val="19"/>
  </w:num>
  <w:num w:numId="5">
    <w:abstractNumId w:val="31"/>
  </w:num>
  <w:num w:numId="6">
    <w:abstractNumId w:val="35"/>
  </w:num>
  <w:num w:numId="7">
    <w:abstractNumId w:val="21"/>
  </w:num>
  <w:num w:numId="8">
    <w:abstractNumId w:val="33"/>
  </w:num>
  <w:num w:numId="9">
    <w:abstractNumId w:val="3"/>
  </w:num>
  <w:num w:numId="10">
    <w:abstractNumId w:val="20"/>
  </w:num>
  <w:num w:numId="11">
    <w:abstractNumId w:val="47"/>
  </w:num>
  <w:num w:numId="12">
    <w:abstractNumId w:val="43"/>
  </w:num>
  <w:num w:numId="13">
    <w:abstractNumId w:val="48"/>
  </w:num>
  <w:num w:numId="14">
    <w:abstractNumId w:val="36"/>
  </w:num>
  <w:num w:numId="15">
    <w:abstractNumId w:val="6"/>
  </w:num>
  <w:num w:numId="16">
    <w:abstractNumId w:val="49"/>
  </w:num>
  <w:num w:numId="17">
    <w:abstractNumId w:val="10"/>
  </w:num>
  <w:num w:numId="18">
    <w:abstractNumId w:val="17"/>
  </w:num>
  <w:num w:numId="19">
    <w:abstractNumId w:val="14"/>
  </w:num>
  <w:num w:numId="20">
    <w:abstractNumId w:val="35"/>
  </w:num>
  <w:num w:numId="21">
    <w:abstractNumId w:val="50"/>
  </w:num>
  <w:num w:numId="22">
    <w:abstractNumId w:val="46"/>
  </w:num>
  <w:num w:numId="23">
    <w:abstractNumId w:val="41"/>
  </w:num>
  <w:num w:numId="24">
    <w:abstractNumId w:val="8"/>
  </w:num>
  <w:num w:numId="25">
    <w:abstractNumId w:val="29"/>
  </w:num>
  <w:num w:numId="26">
    <w:abstractNumId w:val="39"/>
  </w:num>
  <w:num w:numId="27">
    <w:abstractNumId w:val="28"/>
  </w:num>
  <w:num w:numId="28">
    <w:abstractNumId w:val="45"/>
  </w:num>
  <w:num w:numId="29">
    <w:abstractNumId w:val="4"/>
  </w:num>
  <w:num w:numId="30">
    <w:abstractNumId w:val="24"/>
  </w:num>
  <w:num w:numId="31">
    <w:abstractNumId w:val="16"/>
  </w:num>
  <w:num w:numId="32">
    <w:abstractNumId w:val="32"/>
  </w:num>
  <w:num w:numId="33">
    <w:abstractNumId w:val="37"/>
  </w:num>
  <w:num w:numId="34">
    <w:abstractNumId w:val="9"/>
  </w:num>
  <w:num w:numId="3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num>
  <w:num w:numId="45">
    <w:abstractNumId w:val="30"/>
  </w:num>
  <w:num w:numId="46">
    <w:abstractNumId w:val="23"/>
  </w:num>
  <w:num w:numId="47">
    <w:abstractNumId w:val="42"/>
  </w:num>
  <w:num w:numId="48">
    <w:abstractNumId w:val="38"/>
  </w:num>
  <w:num w:numId="49">
    <w:abstractNumId w:val="18"/>
  </w:num>
  <w:num w:numId="50">
    <w:abstractNumId w:val="13"/>
  </w:num>
  <w:num w:numId="51">
    <w:abstractNumId w:val="7"/>
  </w:num>
  <w:num w:numId="52">
    <w:abstractNumId w:val="5"/>
  </w:num>
  <w:num w:numId="53">
    <w:abstractNumId w:val="27"/>
  </w:num>
  <w:num w:numId="54">
    <w:abstractNumId w:val="35"/>
  </w:num>
  <w:num w:numId="55">
    <w:abstractNumId w:val="2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9A3"/>
    <w:rsid w:val="00005673"/>
    <w:rsid w:val="00005B3B"/>
    <w:rsid w:val="000068C8"/>
    <w:rsid w:val="00007767"/>
    <w:rsid w:val="000127C1"/>
    <w:rsid w:val="0001329F"/>
    <w:rsid w:val="0001576C"/>
    <w:rsid w:val="00016344"/>
    <w:rsid w:val="00017A4B"/>
    <w:rsid w:val="000202D7"/>
    <w:rsid w:val="0002202E"/>
    <w:rsid w:val="000223FA"/>
    <w:rsid w:val="000245F1"/>
    <w:rsid w:val="00024AAE"/>
    <w:rsid w:val="00030BB7"/>
    <w:rsid w:val="00032139"/>
    <w:rsid w:val="0003270E"/>
    <w:rsid w:val="00035139"/>
    <w:rsid w:val="0003571D"/>
    <w:rsid w:val="00035BF1"/>
    <w:rsid w:val="00036266"/>
    <w:rsid w:val="00041B7F"/>
    <w:rsid w:val="00041BAD"/>
    <w:rsid w:val="0004483F"/>
    <w:rsid w:val="00044D0F"/>
    <w:rsid w:val="000454A0"/>
    <w:rsid w:val="00045DCA"/>
    <w:rsid w:val="000461CA"/>
    <w:rsid w:val="00047FBE"/>
    <w:rsid w:val="0005183E"/>
    <w:rsid w:val="00051DD0"/>
    <w:rsid w:val="00061CDD"/>
    <w:rsid w:val="00062BB7"/>
    <w:rsid w:val="00063C47"/>
    <w:rsid w:val="0006498F"/>
    <w:rsid w:val="00066EF9"/>
    <w:rsid w:val="0006760D"/>
    <w:rsid w:val="00071B18"/>
    <w:rsid w:val="000723EB"/>
    <w:rsid w:val="00073517"/>
    <w:rsid w:val="00076BB8"/>
    <w:rsid w:val="0007748D"/>
    <w:rsid w:val="00082867"/>
    <w:rsid w:val="00083318"/>
    <w:rsid w:val="00084148"/>
    <w:rsid w:val="00084B07"/>
    <w:rsid w:val="000851A4"/>
    <w:rsid w:val="00086196"/>
    <w:rsid w:val="00087D19"/>
    <w:rsid w:val="00090B6B"/>
    <w:rsid w:val="00094206"/>
    <w:rsid w:val="00094FF9"/>
    <w:rsid w:val="000A544E"/>
    <w:rsid w:val="000A646A"/>
    <w:rsid w:val="000A6A0E"/>
    <w:rsid w:val="000A78AF"/>
    <w:rsid w:val="000B0746"/>
    <w:rsid w:val="000B5781"/>
    <w:rsid w:val="000B7071"/>
    <w:rsid w:val="000C0104"/>
    <w:rsid w:val="000C150C"/>
    <w:rsid w:val="000C1544"/>
    <w:rsid w:val="000C5135"/>
    <w:rsid w:val="000C68BE"/>
    <w:rsid w:val="000C7DB5"/>
    <w:rsid w:val="000E3E61"/>
    <w:rsid w:val="000E44FC"/>
    <w:rsid w:val="000E4823"/>
    <w:rsid w:val="000E4F41"/>
    <w:rsid w:val="000F23D5"/>
    <w:rsid w:val="000F25B0"/>
    <w:rsid w:val="000F2684"/>
    <w:rsid w:val="000F4AC3"/>
    <w:rsid w:val="000F50C2"/>
    <w:rsid w:val="00101101"/>
    <w:rsid w:val="00102F04"/>
    <w:rsid w:val="001109A3"/>
    <w:rsid w:val="001111FC"/>
    <w:rsid w:val="00112C00"/>
    <w:rsid w:val="001138D6"/>
    <w:rsid w:val="00114BC6"/>
    <w:rsid w:val="00114FCF"/>
    <w:rsid w:val="00115AE6"/>
    <w:rsid w:val="00115C80"/>
    <w:rsid w:val="00115E9B"/>
    <w:rsid w:val="00120B9B"/>
    <w:rsid w:val="00122CF4"/>
    <w:rsid w:val="00127319"/>
    <w:rsid w:val="0012760C"/>
    <w:rsid w:val="001279A4"/>
    <w:rsid w:val="00127AB0"/>
    <w:rsid w:val="00131AC2"/>
    <w:rsid w:val="00132F8D"/>
    <w:rsid w:val="00134E2D"/>
    <w:rsid w:val="0013635F"/>
    <w:rsid w:val="00136A78"/>
    <w:rsid w:val="00136B19"/>
    <w:rsid w:val="00136B94"/>
    <w:rsid w:val="00140144"/>
    <w:rsid w:val="00141913"/>
    <w:rsid w:val="00142302"/>
    <w:rsid w:val="00142CE3"/>
    <w:rsid w:val="00143510"/>
    <w:rsid w:val="0014518E"/>
    <w:rsid w:val="001451A9"/>
    <w:rsid w:val="00145323"/>
    <w:rsid w:val="0014532C"/>
    <w:rsid w:val="001454DC"/>
    <w:rsid w:val="00147022"/>
    <w:rsid w:val="0015240B"/>
    <w:rsid w:val="001571C5"/>
    <w:rsid w:val="00157EE9"/>
    <w:rsid w:val="00160BFD"/>
    <w:rsid w:val="00162F4E"/>
    <w:rsid w:val="00166FAC"/>
    <w:rsid w:val="001700A9"/>
    <w:rsid w:val="001739CA"/>
    <w:rsid w:val="00174840"/>
    <w:rsid w:val="00175156"/>
    <w:rsid w:val="00175B76"/>
    <w:rsid w:val="001761F1"/>
    <w:rsid w:val="001765EB"/>
    <w:rsid w:val="00176610"/>
    <w:rsid w:val="00182CD3"/>
    <w:rsid w:val="00182DB5"/>
    <w:rsid w:val="00183988"/>
    <w:rsid w:val="00184ED1"/>
    <w:rsid w:val="00187954"/>
    <w:rsid w:val="00190FED"/>
    <w:rsid w:val="001912C2"/>
    <w:rsid w:val="00194589"/>
    <w:rsid w:val="0019466A"/>
    <w:rsid w:val="00195864"/>
    <w:rsid w:val="001A01B4"/>
    <w:rsid w:val="001A0D75"/>
    <w:rsid w:val="001A1AEA"/>
    <w:rsid w:val="001A2C3A"/>
    <w:rsid w:val="001A3AF0"/>
    <w:rsid w:val="001A3FFF"/>
    <w:rsid w:val="001A5BDE"/>
    <w:rsid w:val="001B01EF"/>
    <w:rsid w:val="001B08CC"/>
    <w:rsid w:val="001B40B2"/>
    <w:rsid w:val="001B4686"/>
    <w:rsid w:val="001B6A24"/>
    <w:rsid w:val="001C721F"/>
    <w:rsid w:val="001D16AB"/>
    <w:rsid w:val="001D45B5"/>
    <w:rsid w:val="001D4D94"/>
    <w:rsid w:val="001D6288"/>
    <w:rsid w:val="001D7574"/>
    <w:rsid w:val="001E220C"/>
    <w:rsid w:val="001E39A0"/>
    <w:rsid w:val="001E6C6B"/>
    <w:rsid w:val="001E7E34"/>
    <w:rsid w:val="001F0368"/>
    <w:rsid w:val="001F0D61"/>
    <w:rsid w:val="001F10C9"/>
    <w:rsid w:val="001F1CBE"/>
    <w:rsid w:val="001F1DEC"/>
    <w:rsid w:val="001F282F"/>
    <w:rsid w:val="001F484C"/>
    <w:rsid w:val="001F4F0F"/>
    <w:rsid w:val="001F7216"/>
    <w:rsid w:val="001F7702"/>
    <w:rsid w:val="001F78BB"/>
    <w:rsid w:val="00200968"/>
    <w:rsid w:val="00202013"/>
    <w:rsid w:val="00202216"/>
    <w:rsid w:val="00204296"/>
    <w:rsid w:val="00204307"/>
    <w:rsid w:val="00206A8D"/>
    <w:rsid w:val="00210DC3"/>
    <w:rsid w:val="00214235"/>
    <w:rsid w:val="00214540"/>
    <w:rsid w:val="00214574"/>
    <w:rsid w:val="002156EC"/>
    <w:rsid w:val="002165FB"/>
    <w:rsid w:val="00217772"/>
    <w:rsid w:val="00220F57"/>
    <w:rsid w:val="00221C2C"/>
    <w:rsid w:val="00222E96"/>
    <w:rsid w:val="00222FB6"/>
    <w:rsid w:val="00223FA8"/>
    <w:rsid w:val="002241B5"/>
    <w:rsid w:val="00224685"/>
    <w:rsid w:val="00225785"/>
    <w:rsid w:val="002307A8"/>
    <w:rsid w:val="00230BDF"/>
    <w:rsid w:val="00231F58"/>
    <w:rsid w:val="0023722C"/>
    <w:rsid w:val="002414C8"/>
    <w:rsid w:val="0024210B"/>
    <w:rsid w:val="00242E8F"/>
    <w:rsid w:val="00244E8F"/>
    <w:rsid w:val="00245F8C"/>
    <w:rsid w:val="00247FD7"/>
    <w:rsid w:val="002515FB"/>
    <w:rsid w:val="0025193A"/>
    <w:rsid w:val="00253B9A"/>
    <w:rsid w:val="00255566"/>
    <w:rsid w:val="00256AE4"/>
    <w:rsid w:val="00263284"/>
    <w:rsid w:val="00267662"/>
    <w:rsid w:val="00267D92"/>
    <w:rsid w:val="0027037D"/>
    <w:rsid w:val="00271514"/>
    <w:rsid w:val="00272080"/>
    <w:rsid w:val="0027588D"/>
    <w:rsid w:val="00276104"/>
    <w:rsid w:val="0027752F"/>
    <w:rsid w:val="002775A5"/>
    <w:rsid w:val="0027795F"/>
    <w:rsid w:val="00280E01"/>
    <w:rsid w:val="00281575"/>
    <w:rsid w:val="002836EF"/>
    <w:rsid w:val="00283A68"/>
    <w:rsid w:val="002840A5"/>
    <w:rsid w:val="0028512C"/>
    <w:rsid w:val="00285B76"/>
    <w:rsid w:val="00290511"/>
    <w:rsid w:val="002935F7"/>
    <w:rsid w:val="002951E6"/>
    <w:rsid w:val="00295211"/>
    <w:rsid w:val="0029595D"/>
    <w:rsid w:val="00295C6A"/>
    <w:rsid w:val="00296D1B"/>
    <w:rsid w:val="002A1AC6"/>
    <w:rsid w:val="002A4D27"/>
    <w:rsid w:val="002A5F22"/>
    <w:rsid w:val="002B2085"/>
    <w:rsid w:val="002B2175"/>
    <w:rsid w:val="002B2F14"/>
    <w:rsid w:val="002B5E05"/>
    <w:rsid w:val="002B7F05"/>
    <w:rsid w:val="002C20AF"/>
    <w:rsid w:val="002C46F1"/>
    <w:rsid w:val="002D031E"/>
    <w:rsid w:val="002D107E"/>
    <w:rsid w:val="002D2C80"/>
    <w:rsid w:val="002D3930"/>
    <w:rsid w:val="002D405D"/>
    <w:rsid w:val="002D40F9"/>
    <w:rsid w:val="002D4599"/>
    <w:rsid w:val="002D4D15"/>
    <w:rsid w:val="002D7FF0"/>
    <w:rsid w:val="002E1C4E"/>
    <w:rsid w:val="002E29AA"/>
    <w:rsid w:val="002E7778"/>
    <w:rsid w:val="002F123E"/>
    <w:rsid w:val="002F14A3"/>
    <w:rsid w:val="002F3331"/>
    <w:rsid w:val="002F4577"/>
    <w:rsid w:val="002F6F61"/>
    <w:rsid w:val="002F701B"/>
    <w:rsid w:val="00302AAA"/>
    <w:rsid w:val="00303218"/>
    <w:rsid w:val="00305C61"/>
    <w:rsid w:val="00307222"/>
    <w:rsid w:val="003075B6"/>
    <w:rsid w:val="00310072"/>
    <w:rsid w:val="00310C2D"/>
    <w:rsid w:val="00311918"/>
    <w:rsid w:val="00311CDA"/>
    <w:rsid w:val="00312BB8"/>
    <w:rsid w:val="00312C89"/>
    <w:rsid w:val="00314789"/>
    <w:rsid w:val="00314EBC"/>
    <w:rsid w:val="00324582"/>
    <w:rsid w:val="003258AC"/>
    <w:rsid w:val="0032798A"/>
    <w:rsid w:val="00327A56"/>
    <w:rsid w:val="003308D4"/>
    <w:rsid w:val="00334581"/>
    <w:rsid w:val="00334805"/>
    <w:rsid w:val="003357DF"/>
    <w:rsid w:val="003370EB"/>
    <w:rsid w:val="00341798"/>
    <w:rsid w:val="00345278"/>
    <w:rsid w:val="0034605D"/>
    <w:rsid w:val="00346C99"/>
    <w:rsid w:val="00350660"/>
    <w:rsid w:val="003520C0"/>
    <w:rsid w:val="00357ED7"/>
    <w:rsid w:val="00357FC3"/>
    <w:rsid w:val="003627BD"/>
    <w:rsid w:val="0037010F"/>
    <w:rsid w:val="003710ED"/>
    <w:rsid w:val="003712D2"/>
    <w:rsid w:val="00371B42"/>
    <w:rsid w:val="00373C35"/>
    <w:rsid w:val="00380598"/>
    <w:rsid w:val="003821EF"/>
    <w:rsid w:val="00382402"/>
    <w:rsid w:val="00385C6C"/>
    <w:rsid w:val="003861E2"/>
    <w:rsid w:val="003933D8"/>
    <w:rsid w:val="00395A2E"/>
    <w:rsid w:val="00397BC7"/>
    <w:rsid w:val="003A173D"/>
    <w:rsid w:val="003A3431"/>
    <w:rsid w:val="003B00F4"/>
    <w:rsid w:val="003B19CF"/>
    <w:rsid w:val="003B1C5E"/>
    <w:rsid w:val="003C18E7"/>
    <w:rsid w:val="003C1F1D"/>
    <w:rsid w:val="003C5BFC"/>
    <w:rsid w:val="003C6765"/>
    <w:rsid w:val="003C6A1D"/>
    <w:rsid w:val="003D3222"/>
    <w:rsid w:val="003D3B5E"/>
    <w:rsid w:val="003D4B8F"/>
    <w:rsid w:val="003D51C0"/>
    <w:rsid w:val="003D603B"/>
    <w:rsid w:val="003D60F3"/>
    <w:rsid w:val="003D7AF7"/>
    <w:rsid w:val="003E050B"/>
    <w:rsid w:val="003E09AE"/>
    <w:rsid w:val="003E0C24"/>
    <w:rsid w:val="003E1150"/>
    <w:rsid w:val="003E13BC"/>
    <w:rsid w:val="003F0B9E"/>
    <w:rsid w:val="003F10DA"/>
    <w:rsid w:val="003F272A"/>
    <w:rsid w:val="003F42C4"/>
    <w:rsid w:val="003F7125"/>
    <w:rsid w:val="00400FCA"/>
    <w:rsid w:val="00403A06"/>
    <w:rsid w:val="004078E5"/>
    <w:rsid w:val="00407A6B"/>
    <w:rsid w:val="004106EC"/>
    <w:rsid w:val="004112F2"/>
    <w:rsid w:val="00412642"/>
    <w:rsid w:val="004145BB"/>
    <w:rsid w:val="0041568C"/>
    <w:rsid w:val="004164C1"/>
    <w:rsid w:val="00417A6C"/>
    <w:rsid w:val="00421791"/>
    <w:rsid w:val="0042268F"/>
    <w:rsid w:val="0042283D"/>
    <w:rsid w:val="00424E09"/>
    <w:rsid w:val="0042596A"/>
    <w:rsid w:val="00425FC6"/>
    <w:rsid w:val="00427153"/>
    <w:rsid w:val="00430014"/>
    <w:rsid w:val="004314E4"/>
    <w:rsid w:val="00434BC8"/>
    <w:rsid w:val="004351EB"/>
    <w:rsid w:val="00435692"/>
    <w:rsid w:val="00435A6D"/>
    <w:rsid w:val="00435B79"/>
    <w:rsid w:val="00437B5D"/>
    <w:rsid w:val="00440310"/>
    <w:rsid w:val="00440D89"/>
    <w:rsid w:val="004418FD"/>
    <w:rsid w:val="004427A7"/>
    <w:rsid w:val="00442BD4"/>
    <w:rsid w:val="00445041"/>
    <w:rsid w:val="00445793"/>
    <w:rsid w:val="004523DD"/>
    <w:rsid w:val="00452F14"/>
    <w:rsid w:val="00452F76"/>
    <w:rsid w:val="0045500E"/>
    <w:rsid w:val="00456167"/>
    <w:rsid w:val="00461AAA"/>
    <w:rsid w:val="00462B09"/>
    <w:rsid w:val="00462C8B"/>
    <w:rsid w:val="004637B3"/>
    <w:rsid w:val="0046710C"/>
    <w:rsid w:val="00467194"/>
    <w:rsid w:val="00467637"/>
    <w:rsid w:val="00467A48"/>
    <w:rsid w:val="00467D63"/>
    <w:rsid w:val="00472554"/>
    <w:rsid w:val="00475D90"/>
    <w:rsid w:val="004815A0"/>
    <w:rsid w:val="00482789"/>
    <w:rsid w:val="004828B5"/>
    <w:rsid w:val="00490589"/>
    <w:rsid w:val="00490835"/>
    <w:rsid w:val="00490BDA"/>
    <w:rsid w:val="00492A1F"/>
    <w:rsid w:val="00495D5D"/>
    <w:rsid w:val="004962B8"/>
    <w:rsid w:val="0049633E"/>
    <w:rsid w:val="00496BE5"/>
    <w:rsid w:val="00497166"/>
    <w:rsid w:val="004A320B"/>
    <w:rsid w:val="004A5CCA"/>
    <w:rsid w:val="004B0263"/>
    <w:rsid w:val="004B569F"/>
    <w:rsid w:val="004B775C"/>
    <w:rsid w:val="004C4173"/>
    <w:rsid w:val="004C58F0"/>
    <w:rsid w:val="004C66C3"/>
    <w:rsid w:val="004C78D6"/>
    <w:rsid w:val="004D1B14"/>
    <w:rsid w:val="004D3753"/>
    <w:rsid w:val="004D4753"/>
    <w:rsid w:val="004D529D"/>
    <w:rsid w:val="004D67B2"/>
    <w:rsid w:val="004E0D99"/>
    <w:rsid w:val="004E3C0A"/>
    <w:rsid w:val="004F1DCA"/>
    <w:rsid w:val="004F224B"/>
    <w:rsid w:val="004F2ED6"/>
    <w:rsid w:val="004F3ECE"/>
    <w:rsid w:val="004F439A"/>
    <w:rsid w:val="00500C4D"/>
    <w:rsid w:val="00501287"/>
    <w:rsid w:val="00501313"/>
    <w:rsid w:val="00502CDA"/>
    <w:rsid w:val="00503559"/>
    <w:rsid w:val="00504BE9"/>
    <w:rsid w:val="0050558B"/>
    <w:rsid w:val="00505BA1"/>
    <w:rsid w:val="00510674"/>
    <w:rsid w:val="00510AA1"/>
    <w:rsid w:val="00511D00"/>
    <w:rsid w:val="00512861"/>
    <w:rsid w:val="00512C47"/>
    <w:rsid w:val="00513DF9"/>
    <w:rsid w:val="00522182"/>
    <w:rsid w:val="00524CB0"/>
    <w:rsid w:val="00525A6A"/>
    <w:rsid w:val="00525E4B"/>
    <w:rsid w:val="00526173"/>
    <w:rsid w:val="00526DF6"/>
    <w:rsid w:val="00530626"/>
    <w:rsid w:val="00530AB0"/>
    <w:rsid w:val="00531FA0"/>
    <w:rsid w:val="00533AD9"/>
    <w:rsid w:val="005470E1"/>
    <w:rsid w:val="005535F6"/>
    <w:rsid w:val="00555024"/>
    <w:rsid w:val="00555A6D"/>
    <w:rsid w:val="00557B65"/>
    <w:rsid w:val="00560100"/>
    <w:rsid w:val="005631C0"/>
    <w:rsid w:val="0056394C"/>
    <w:rsid w:val="00563AD3"/>
    <w:rsid w:val="00563B0B"/>
    <w:rsid w:val="00570E6B"/>
    <w:rsid w:val="005718D8"/>
    <w:rsid w:val="0057676B"/>
    <w:rsid w:val="00577775"/>
    <w:rsid w:val="00577FE5"/>
    <w:rsid w:val="00580404"/>
    <w:rsid w:val="00583E64"/>
    <w:rsid w:val="00590166"/>
    <w:rsid w:val="00592EDD"/>
    <w:rsid w:val="005954CB"/>
    <w:rsid w:val="005967B4"/>
    <w:rsid w:val="005972FD"/>
    <w:rsid w:val="005978A1"/>
    <w:rsid w:val="005A31EE"/>
    <w:rsid w:val="005A46D3"/>
    <w:rsid w:val="005A6361"/>
    <w:rsid w:val="005A6E38"/>
    <w:rsid w:val="005A7651"/>
    <w:rsid w:val="005B2C88"/>
    <w:rsid w:val="005B5F74"/>
    <w:rsid w:val="005B6121"/>
    <w:rsid w:val="005B6D78"/>
    <w:rsid w:val="005B752A"/>
    <w:rsid w:val="005B7742"/>
    <w:rsid w:val="005C1A00"/>
    <w:rsid w:val="005C4566"/>
    <w:rsid w:val="005C49F2"/>
    <w:rsid w:val="005C4CA9"/>
    <w:rsid w:val="005D0047"/>
    <w:rsid w:val="005D21CC"/>
    <w:rsid w:val="005D405C"/>
    <w:rsid w:val="005D44C9"/>
    <w:rsid w:val="005D547D"/>
    <w:rsid w:val="005D5EC3"/>
    <w:rsid w:val="005D68C1"/>
    <w:rsid w:val="005D78E2"/>
    <w:rsid w:val="005D7E0B"/>
    <w:rsid w:val="005E15CB"/>
    <w:rsid w:val="005E2F33"/>
    <w:rsid w:val="005E3063"/>
    <w:rsid w:val="005E440F"/>
    <w:rsid w:val="005E6718"/>
    <w:rsid w:val="005F2692"/>
    <w:rsid w:val="005F2D37"/>
    <w:rsid w:val="005F4FEF"/>
    <w:rsid w:val="005F674F"/>
    <w:rsid w:val="005F7DDD"/>
    <w:rsid w:val="006005C8"/>
    <w:rsid w:val="006024EA"/>
    <w:rsid w:val="00604C57"/>
    <w:rsid w:val="006055D0"/>
    <w:rsid w:val="00611BF5"/>
    <w:rsid w:val="00611FCC"/>
    <w:rsid w:val="00612A47"/>
    <w:rsid w:val="00613C5E"/>
    <w:rsid w:val="00613F92"/>
    <w:rsid w:val="00615D57"/>
    <w:rsid w:val="00620305"/>
    <w:rsid w:val="00622178"/>
    <w:rsid w:val="00624BA2"/>
    <w:rsid w:val="00630D2A"/>
    <w:rsid w:val="00632517"/>
    <w:rsid w:val="00633A9F"/>
    <w:rsid w:val="0063734E"/>
    <w:rsid w:val="00641084"/>
    <w:rsid w:val="00642721"/>
    <w:rsid w:val="00646776"/>
    <w:rsid w:val="00646AF3"/>
    <w:rsid w:val="00646CD3"/>
    <w:rsid w:val="006476BF"/>
    <w:rsid w:val="00650C88"/>
    <w:rsid w:val="00651083"/>
    <w:rsid w:val="00651E8E"/>
    <w:rsid w:val="006549AC"/>
    <w:rsid w:val="006573DE"/>
    <w:rsid w:val="0066167D"/>
    <w:rsid w:val="00662AC3"/>
    <w:rsid w:val="006649FF"/>
    <w:rsid w:val="00681032"/>
    <w:rsid w:val="00681321"/>
    <w:rsid w:val="006838F0"/>
    <w:rsid w:val="00692C33"/>
    <w:rsid w:val="00693FF8"/>
    <w:rsid w:val="00694F63"/>
    <w:rsid w:val="00696A81"/>
    <w:rsid w:val="00697AF1"/>
    <w:rsid w:val="006A1E73"/>
    <w:rsid w:val="006A605A"/>
    <w:rsid w:val="006A6B5B"/>
    <w:rsid w:val="006B1118"/>
    <w:rsid w:val="006B337A"/>
    <w:rsid w:val="006C4A98"/>
    <w:rsid w:val="006C4EE1"/>
    <w:rsid w:val="006C591C"/>
    <w:rsid w:val="006D0A12"/>
    <w:rsid w:val="006D2C40"/>
    <w:rsid w:val="006D4440"/>
    <w:rsid w:val="006D721C"/>
    <w:rsid w:val="006E29BF"/>
    <w:rsid w:val="006E2CF5"/>
    <w:rsid w:val="006E3216"/>
    <w:rsid w:val="006E4996"/>
    <w:rsid w:val="006E4B51"/>
    <w:rsid w:val="006E5BE7"/>
    <w:rsid w:val="006E5EB1"/>
    <w:rsid w:val="006E7B90"/>
    <w:rsid w:val="006E7C94"/>
    <w:rsid w:val="006E7CC3"/>
    <w:rsid w:val="006F0F8E"/>
    <w:rsid w:val="006F287D"/>
    <w:rsid w:val="006F603D"/>
    <w:rsid w:val="006F6BB1"/>
    <w:rsid w:val="006F78CB"/>
    <w:rsid w:val="007016B7"/>
    <w:rsid w:val="00702E49"/>
    <w:rsid w:val="00705F79"/>
    <w:rsid w:val="00706082"/>
    <w:rsid w:val="00706DA0"/>
    <w:rsid w:val="00712784"/>
    <w:rsid w:val="00713194"/>
    <w:rsid w:val="00714C94"/>
    <w:rsid w:val="0071525C"/>
    <w:rsid w:val="00715844"/>
    <w:rsid w:val="00722616"/>
    <w:rsid w:val="0072333F"/>
    <w:rsid w:val="00724696"/>
    <w:rsid w:val="00725077"/>
    <w:rsid w:val="00725410"/>
    <w:rsid w:val="0072744A"/>
    <w:rsid w:val="007318B8"/>
    <w:rsid w:val="007328FF"/>
    <w:rsid w:val="0074247F"/>
    <w:rsid w:val="0075007A"/>
    <w:rsid w:val="007509E1"/>
    <w:rsid w:val="00750D95"/>
    <w:rsid w:val="00751F7D"/>
    <w:rsid w:val="007524B1"/>
    <w:rsid w:val="00752DB5"/>
    <w:rsid w:val="00753112"/>
    <w:rsid w:val="00753AD3"/>
    <w:rsid w:val="00755372"/>
    <w:rsid w:val="00757595"/>
    <w:rsid w:val="00757721"/>
    <w:rsid w:val="00757B8F"/>
    <w:rsid w:val="007605DE"/>
    <w:rsid w:val="0076096F"/>
    <w:rsid w:val="00761025"/>
    <w:rsid w:val="00765706"/>
    <w:rsid w:val="0076588B"/>
    <w:rsid w:val="007730B5"/>
    <w:rsid w:val="00773B97"/>
    <w:rsid w:val="0077434E"/>
    <w:rsid w:val="00774374"/>
    <w:rsid w:val="00777068"/>
    <w:rsid w:val="0078034F"/>
    <w:rsid w:val="007837C8"/>
    <w:rsid w:val="00784516"/>
    <w:rsid w:val="00786F80"/>
    <w:rsid w:val="007910AE"/>
    <w:rsid w:val="00791C7B"/>
    <w:rsid w:val="00793150"/>
    <w:rsid w:val="007953EB"/>
    <w:rsid w:val="007956DE"/>
    <w:rsid w:val="00796C77"/>
    <w:rsid w:val="007A0463"/>
    <w:rsid w:val="007A0B7F"/>
    <w:rsid w:val="007A3D17"/>
    <w:rsid w:val="007A53B2"/>
    <w:rsid w:val="007B0676"/>
    <w:rsid w:val="007B22FB"/>
    <w:rsid w:val="007B26A3"/>
    <w:rsid w:val="007B3BA2"/>
    <w:rsid w:val="007B495B"/>
    <w:rsid w:val="007B5218"/>
    <w:rsid w:val="007C0950"/>
    <w:rsid w:val="007C23A0"/>
    <w:rsid w:val="007C41BD"/>
    <w:rsid w:val="007C52F3"/>
    <w:rsid w:val="007C5B0B"/>
    <w:rsid w:val="007C5F8C"/>
    <w:rsid w:val="007C62D6"/>
    <w:rsid w:val="007C6A52"/>
    <w:rsid w:val="007C715D"/>
    <w:rsid w:val="007C75AE"/>
    <w:rsid w:val="007D0287"/>
    <w:rsid w:val="007D29DD"/>
    <w:rsid w:val="007D2E01"/>
    <w:rsid w:val="007D3336"/>
    <w:rsid w:val="007D4127"/>
    <w:rsid w:val="007D60F1"/>
    <w:rsid w:val="007D6F25"/>
    <w:rsid w:val="007E3258"/>
    <w:rsid w:val="007E3AC5"/>
    <w:rsid w:val="007E58D2"/>
    <w:rsid w:val="007E5B2C"/>
    <w:rsid w:val="007E5BED"/>
    <w:rsid w:val="007E7E74"/>
    <w:rsid w:val="007F09DB"/>
    <w:rsid w:val="007F3962"/>
    <w:rsid w:val="00801A66"/>
    <w:rsid w:val="00801B80"/>
    <w:rsid w:val="00802118"/>
    <w:rsid w:val="008027F3"/>
    <w:rsid w:val="008057B6"/>
    <w:rsid w:val="00811B82"/>
    <w:rsid w:val="0081462E"/>
    <w:rsid w:val="00814746"/>
    <w:rsid w:val="0081559D"/>
    <w:rsid w:val="008178C0"/>
    <w:rsid w:val="00817E19"/>
    <w:rsid w:val="00826E06"/>
    <w:rsid w:val="00830FCA"/>
    <w:rsid w:val="0083377C"/>
    <w:rsid w:val="00834330"/>
    <w:rsid w:val="00834D91"/>
    <w:rsid w:val="00835A04"/>
    <w:rsid w:val="00835C4A"/>
    <w:rsid w:val="00836AC9"/>
    <w:rsid w:val="00837A96"/>
    <w:rsid w:val="0084434D"/>
    <w:rsid w:val="0084698A"/>
    <w:rsid w:val="00847091"/>
    <w:rsid w:val="008503F6"/>
    <w:rsid w:val="00851F80"/>
    <w:rsid w:val="0085223A"/>
    <w:rsid w:val="008530E8"/>
    <w:rsid w:val="00853175"/>
    <w:rsid w:val="00853DC5"/>
    <w:rsid w:val="008542A2"/>
    <w:rsid w:val="008554C6"/>
    <w:rsid w:val="00855A8B"/>
    <w:rsid w:val="008576B1"/>
    <w:rsid w:val="008622A1"/>
    <w:rsid w:val="00865DBF"/>
    <w:rsid w:val="00866B05"/>
    <w:rsid w:val="0087102D"/>
    <w:rsid w:val="00871EDE"/>
    <w:rsid w:val="00874676"/>
    <w:rsid w:val="008764F4"/>
    <w:rsid w:val="00876A08"/>
    <w:rsid w:val="00877775"/>
    <w:rsid w:val="00882BDA"/>
    <w:rsid w:val="00882F5B"/>
    <w:rsid w:val="00884B9A"/>
    <w:rsid w:val="00885DF2"/>
    <w:rsid w:val="008873D9"/>
    <w:rsid w:val="00890870"/>
    <w:rsid w:val="00891891"/>
    <w:rsid w:val="00891BF7"/>
    <w:rsid w:val="00893B53"/>
    <w:rsid w:val="00895ACA"/>
    <w:rsid w:val="008963D1"/>
    <w:rsid w:val="008A3460"/>
    <w:rsid w:val="008A6CF7"/>
    <w:rsid w:val="008A7638"/>
    <w:rsid w:val="008B0119"/>
    <w:rsid w:val="008B0552"/>
    <w:rsid w:val="008B0DA3"/>
    <w:rsid w:val="008B1742"/>
    <w:rsid w:val="008B190F"/>
    <w:rsid w:val="008B2881"/>
    <w:rsid w:val="008B2CBE"/>
    <w:rsid w:val="008B3ECC"/>
    <w:rsid w:val="008B4263"/>
    <w:rsid w:val="008B527E"/>
    <w:rsid w:val="008C1301"/>
    <w:rsid w:val="008C180E"/>
    <w:rsid w:val="008C29E4"/>
    <w:rsid w:val="008C5E0F"/>
    <w:rsid w:val="008C7341"/>
    <w:rsid w:val="008C78EC"/>
    <w:rsid w:val="008D1C11"/>
    <w:rsid w:val="008D2342"/>
    <w:rsid w:val="008D3073"/>
    <w:rsid w:val="008D5C78"/>
    <w:rsid w:val="008D60B2"/>
    <w:rsid w:val="008E1309"/>
    <w:rsid w:val="008E1406"/>
    <w:rsid w:val="008E208D"/>
    <w:rsid w:val="008E33C5"/>
    <w:rsid w:val="008E49C9"/>
    <w:rsid w:val="008F1E8F"/>
    <w:rsid w:val="008F3AAE"/>
    <w:rsid w:val="00903440"/>
    <w:rsid w:val="00904456"/>
    <w:rsid w:val="00905133"/>
    <w:rsid w:val="009118B9"/>
    <w:rsid w:val="00913115"/>
    <w:rsid w:val="00915582"/>
    <w:rsid w:val="009168AB"/>
    <w:rsid w:val="009172A7"/>
    <w:rsid w:val="009205C1"/>
    <w:rsid w:val="009206BD"/>
    <w:rsid w:val="0092140A"/>
    <w:rsid w:val="00922ED2"/>
    <w:rsid w:val="0092472D"/>
    <w:rsid w:val="00931772"/>
    <w:rsid w:val="00932813"/>
    <w:rsid w:val="00934199"/>
    <w:rsid w:val="009346DA"/>
    <w:rsid w:val="00936F91"/>
    <w:rsid w:val="00937E02"/>
    <w:rsid w:val="009418DB"/>
    <w:rsid w:val="00944A27"/>
    <w:rsid w:val="009451E9"/>
    <w:rsid w:val="009460C5"/>
    <w:rsid w:val="009478D0"/>
    <w:rsid w:val="00947C7B"/>
    <w:rsid w:val="009527BE"/>
    <w:rsid w:val="00952CD9"/>
    <w:rsid w:val="00955079"/>
    <w:rsid w:val="00955CB9"/>
    <w:rsid w:val="009572DD"/>
    <w:rsid w:val="009607C0"/>
    <w:rsid w:val="00961249"/>
    <w:rsid w:val="00962837"/>
    <w:rsid w:val="0096349F"/>
    <w:rsid w:val="00965AAB"/>
    <w:rsid w:val="00967434"/>
    <w:rsid w:val="0097334F"/>
    <w:rsid w:val="009744EF"/>
    <w:rsid w:val="00975172"/>
    <w:rsid w:val="0097617A"/>
    <w:rsid w:val="00976537"/>
    <w:rsid w:val="0097679E"/>
    <w:rsid w:val="00977794"/>
    <w:rsid w:val="00980947"/>
    <w:rsid w:val="00981398"/>
    <w:rsid w:val="0098143C"/>
    <w:rsid w:val="00982DE4"/>
    <w:rsid w:val="009842B8"/>
    <w:rsid w:val="00984B34"/>
    <w:rsid w:val="00985409"/>
    <w:rsid w:val="009855A4"/>
    <w:rsid w:val="009868C0"/>
    <w:rsid w:val="0099144A"/>
    <w:rsid w:val="00991663"/>
    <w:rsid w:val="009955C3"/>
    <w:rsid w:val="00996C53"/>
    <w:rsid w:val="00997AE6"/>
    <w:rsid w:val="009A32FE"/>
    <w:rsid w:val="009A3827"/>
    <w:rsid w:val="009A62C0"/>
    <w:rsid w:val="009A7393"/>
    <w:rsid w:val="009B1916"/>
    <w:rsid w:val="009B1ADE"/>
    <w:rsid w:val="009B2782"/>
    <w:rsid w:val="009B2CD9"/>
    <w:rsid w:val="009B359A"/>
    <w:rsid w:val="009B45CB"/>
    <w:rsid w:val="009B5FE2"/>
    <w:rsid w:val="009C1217"/>
    <w:rsid w:val="009C144C"/>
    <w:rsid w:val="009C5923"/>
    <w:rsid w:val="009C6B62"/>
    <w:rsid w:val="009D3B2E"/>
    <w:rsid w:val="009D436E"/>
    <w:rsid w:val="009E3AED"/>
    <w:rsid w:val="009E5A1B"/>
    <w:rsid w:val="009E6321"/>
    <w:rsid w:val="009F28CC"/>
    <w:rsid w:val="009F34A1"/>
    <w:rsid w:val="009F3689"/>
    <w:rsid w:val="00A01C4D"/>
    <w:rsid w:val="00A0226F"/>
    <w:rsid w:val="00A0243B"/>
    <w:rsid w:val="00A03FA3"/>
    <w:rsid w:val="00A0547F"/>
    <w:rsid w:val="00A07C6C"/>
    <w:rsid w:val="00A07C75"/>
    <w:rsid w:val="00A10E58"/>
    <w:rsid w:val="00A16B24"/>
    <w:rsid w:val="00A17CFC"/>
    <w:rsid w:val="00A17F4D"/>
    <w:rsid w:val="00A209EB"/>
    <w:rsid w:val="00A24716"/>
    <w:rsid w:val="00A27C63"/>
    <w:rsid w:val="00A401A9"/>
    <w:rsid w:val="00A40C25"/>
    <w:rsid w:val="00A45155"/>
    <w:rsid w:val="00A46902"/>
    <w:rsid w:val="00A47D80"/>
    <w:rsid w:val="00A500C1"/>
    <w:rsid w:val="00A5102E"/>
    <w:rsid w:val="00A51635"/>
    <w:rsid w:val="00A51A03"/>
    <w:rsid w:val="00A535F8"/>
    <w:rsid w:val="00A623F7"/>
    <w:rsid w:val="00A64834"/>
    <w:rsid w:val="00A707C8"/>
    <w:rsid w:val="00A71696"/>
    <w:rsid w:val="00A72B1B"/>
    <w:rsid w:val="00A75D4A"/>
    <w:rsid w:val="00A80730"/>
    <w:rsid w:val="00A849D4"/>
    <w:rsid w:val="00A85350"/>
    <w:rsid w:val="00A90638"/>
    <w:rsid w:val="00A9258A"/>
    <w:rsid w:val="00A96B8D"/>
    <w:rsid w:val="00A9724E"/>
    <w:rsid w:val="00AA124E"/>
    <w:rsid w:val="00AA3A57"/>
    <w:rsid w:val="00AA3C6B"/>
    <w:rsid w:val="00AA5ADB"/>
    <w:rsid w:val="00AA6F7F"/>
    <w:rsid w:val="00AB1CD8"/>
    <w:rsid w:val="00AB1F76"/>
    <w:rsid w:val="00AB31FF"/>
    <w:rsid w:val="00AB36C2"/>
    <w:rsid w:val="00AB3B46"/>
    <w:rsid w:val="00AB3DEC"/>
    <w:rsid w:val="00AB59E9"/>
    <w:rsid w:val="00AB6778"/>
    <w:rsid w:val="00AC2788"/>
    <w:rsid w:val="00AC2E88"/>
    <w:rsid w:val="00AC6676"/>
    <w:rsid w:val="00AD09F6"/>
    <w:rsid w:val="00AD20DF"/>
    <w:rsid w:val="00AD5793"/>
    <w:rsid w:val="00AD5C86"/>
    <w:rsid w:val="00AD5D31"/>
    <w:rsid w:val="00AE04D5"/>
    <w:rsid w:val="00AE4737"/>
    <w:rsid w:val="00AE4FB6"/>
    <w:rsid w:val="00AE538B"/>
    <w:rsid w:val="00AE5C0A"/>
    <w:rsid w:val="00AF31A9"/>
    <w:rsid w:val="00AF6263"/>
    <w:rsid w:val="00AF75E1"/>
    <w:rsid w:val="00B02675"/>
    <w:rsid w:val="00B110FD"/>
    <w:rsid w:val="00B11C53"/>
    <w:rsid w:val="00B1333A"/>
    <w:rsid w:val="00B1369B"/>
    <w:rsid w:val="00B13EB9"/>
    <w:rsid w:val="00B15D77"/>
    <w:rsid w:val="00B16199"/>
    <w:rsid w:val="00B17D0D"/>
    <w:rsid w:val="00B209BF"/>
    <w:rsid w:val="00B20DF6"/>
    <w:rsid w:val="00B2505A"/>
    <w:rsid w:val="00B302F0"/>
    <w:rsid w:val="00B312E7"/>
    <w:rsid w:val="00B33472"/>
    <w:rsid w:val="00B36ADE"/>
    <w:rsid w:val="00B4011C"/>
    <w:rsid w:val="00B420BC"/>
    <w:rsid w:val="00B440DF"/>
    <w:rsid w:val="00B4499B"/>
    <w:rsid w:val="00B44CB4"/>
    <w:rsid w:val="00B45019"/>
    <w:rsid w:val="00B46AB2"/>
    <w:rsid w:val="00B504BC"/>
    <w:rsid w:val="00B54195"/>
    <w:rsid w:val="00B56527"/>
    <w:rsid w:val="00B5764B"/>
    <w:rsid w:val="00B60031"/>
    <w:rsid w:val="00B60EF8"/>
    <w:rsid w:val="00B62550"/>
    <w:rsid w:val="00B66B4D"/>
    <w:rsid w:val="00B66DFD"/>
    <w:rsid w:val="00B66E46"/>
    <w:rsid w:val="00B72D08"/>
    <w:rsid w:val="00B750FF"/>
    <w:rsid w:val="00B76250"/>
    <w:rsid w:val="00B8064E"/>
    <w:rsid w:val="00B80810"/>
    <w:rsid w:val="00B808F5"/>
    <w:rsid w:val="00B82B8D"/>
    <w:rsid w:val="00B83F70"/>
    <w:rsid w:val="00B86A6C"/>
    <w:rsid w:val="00B90667"/>
    <w:rsid w:val="00B91408"/>
    <w:rsid w:val="00B9214D"/>
    <w:rsid w:val="00B921B3"/>
    <w:rsid w:val="00B92C24"/>
    <w:rsid w:val="00B93498"/>
    <w:rsid w:val="00B94897"/>
    <w:rsid w:val="00B95F92"/>
    <w:rsid w:val="00BA05B9"/>
    <w:rsid w:val="00BA36E2"/>
    <w:rsid w:val="00BA42F2"/>
    <w:rsid w:val="00BA4E1F"/>
    <w:rsid w:val="00BB13CD"/>
    <w:rsid w:val="00BB2BEB"/>
    <w:rsid w:val="00BB399D"/>
    <w:rsid w:val="00BB4E70"/>
    <w:rsid w:val="00BB51EF"/>
    <w:rsid w:val="00BC1DBA"/>
    <w:rsid w:val="00BC20D3"/>
    <w:rsid w:val="00BC2109"/>
    <w:rsid w:val="00BC3FDE"/>
    <w:rsid w:val="00BD3C6F"/>
    <w:rsid w:val="00BD7FCB"/>
    <w:rsid w:val="00BE2EFB"/>
    <w:rsid w:val="00BE33FC"/>
    <w:rsid w:val="00BE3B0B"/>
    <w:rsid w:val="00BF49DE"/>
    <w:rsid w:val="00BF57A3"/>
    <w:rsid w:val="00BF60CA"/>
    <w:rsid w:val="00BF62CC"/>
    <w:rsid w:val="00BF65B2"/>
    <w:rsid w:val="00BF6EC0"/>
    <w:rsid w:val="00C068E7"/>
    <w:rsid w:val="00C07369"/>
    <w:rsid w:val="00C10A2C"/>
    <w:rsid w:val="00C12150"/>
    <w:rsid w:val="00C130F2"/>
    <w:rsid w:val="00C13638"/>
    <w:rsid w:val="00C201C5"/>
    <w:rsid w:val="00C20CA2"/>
    <w:rsid w:val="00C20DD5"/>
    <w:rsid w:val="00C2277C"/>
    <w:rsid w:val="00C2578E"/>
    <w:rsid w:val="00C30EAE"/>
    <w:rsid w:val="00C30ED0"/>
    <w:rsid w:val="00C33824"/>
    <w:rsid w:val="00C34D68"/>
    <w:rsid w:val="00C35EBE"/>
    <w:rsid w:val="00C37F61"/>
    <w:rsid w:val="00C40C38"/>
    <w:rsid w:val="00C4169C"/>
    <w:rsid w:val="00C4170B"/>
    <w:rsid w:val="00C42DBC"/>
    <w:rsid w:val="00C47CDF"/>
    <w:rsid w:val="00C51DF4"/>
    <w:rsid w:val="00C54EFC"/>
    <w:rsid w:val="00C55217"/>
    <w:rsid w:val="00C55529"/>
    <w:rsid w:val="00C62D95"/>
    <w:rsid w:val="00C63671"/>
    <w:rsid w:val="00C64627"/>
    <w:rsid w:val="00C65A2F"/>
    <w:rsid w:val="00C6757F"/>
    <w:rsid w:val="00C7182A"/>
    <w:rsid w:val="00C71AA1"/>
    <w:rsid w:val="00C74AFA"/>
    <w:rsid w:val="00C75333"/>
    <w:rsid w:val="00C756E0"/>
    <w:rsid w:val="00C765D8"/>
    <w:rsid w:val="00C77163"/>
    <w:rsid w:val="00C771D6"/>
    <w:rsid w:val="00C7730D"/>
    <w:rsid w:val="00C7775B"/>
    <w:rsid w:val="00C77E53"/>
    <w:rsid w:val="00C87405"/>
    <w:rsid w:val="00C8742B"/>
    <w:rsid w:val="00C90313"/>
    <w:rsid w:val="00C91820"/>
    <w:rsid w:val="00CA0C59"/>
    <w:rsid w:val="00CA1A69"/>
    <w:rsid w:val="00CA2066"/>
    <w:rsid w:val="00CA2B16"/>
    <w:rsid w:val="00CA33F7"/>
    <w:rsid w:val="00CA46ED"/>
    <w:rsid w:val="00CA4D57"/>
    <w:rsid w:val="00CA5B75"/>
    <w:rsid w:val="00CA7D50"/>
    <w:rsid w:val="00CB0AFE"/>
    <w:rsid w:val="00CB3BCE"/>
    <w:rsid w:val="00CB4E96"/>
    <w:rsid w:val="00CB62F9"/>
    <w:rsid w:val="00CB7FE6"/>
    <w:rsid w:val="00CC2818"/>
    <w:rsid w:val="00CC7441"/>
    <w:rsid w:val="00CD0115"/>
    <w:rsid w:val="00CD15EA"/>
    <w:rsid w:val="00CD180E"/>
    <w:rsid w:val="00CD364E"/>
    <w:rsid w:val="00CD4A3A"/>
    <w:rsid w:val="00CD52B1"/>
    <w:rsid w:val="00CE35E5"/>
    <w:rsid w:val="00CE43CC"/>
    <w:rsid w:val="00CE453E"/>
    <w:rsid w:val="00CE4E83"/>
    <w:rsid w:val="00CE6BE2"/>
    <w:rsid w:val="00CE710A"/>
    <w:rsid w:val="00CE7E88"/>
    <w:rsid w:val="00CF1782"/>
    <w:rsid w:val="00CF49D4"/>
    <w:rsid w:val="00D01943"/>
    <w:rsid w:val="00D05305"/>
    <w:rsid w:val="00D05456"/>
    <w:rsid w:val="00D06DA7"/>
    <w:rsid w:val="00D06E76"/>
    <w:rsid w:val="00D10B5D"/>
    <w:rsid w:val="00D152DA"/>
    <w:rsid w:val="00D16262"/>
    <w:rsid w:val="00D2024D"/>
    <w:rsid w:val="00D20C9A"/>
    <w:rsid w:val="00D2256C"/>
    <w:rsid w:val="00D240DD"/>
    <w:rsid w:val="00D2480F"/>
    <w:rsid w:val="00D24D50"/>
    <w:rsid w:val="00D25546"/>
    <w:rsid w:val="00D27BD2"/>
    <w:rsid w:val="00D3212C"/>
    <w:rsid w:val="00D40FFF"/>
    <w:rsid w:val="00D47E6E"/>
    <w:rsid w:val="00D503CC"/>
    <w:rsid w:val="00D50A61"/>
    <w:rsid w:val="00D52E81"/>
    <w:rsid w:val="00D54DEC"/>
    <w:rsid w:val="00D56548"/>
    <w:rsid w:val="00D56DE3"/>
    <w:rsid w:val="00D57BCC"/>
    <w:rsid w:val="00D60476"/>
    <w:rsid w:val="00D61262"/>
    <w:rsid w:val="00D62052"/>
    <w:rsid w:val="00D642A8"/>
    <w:rsid w:val="00D65392"/>
    <w:rsid w:val="00D66E01"/>
    <w:rsid w:val="00D71E63"/>
    <w:rsid w:val="00D72B28"/>
    <w:rsid w:val="00D7414B"/>
    <w:rsid w:val="00D755D1"/>
    <w:rsid w:val="00D75D4F"/>
    <w:rsid w:val="00D807B5"/>
    <w:rsid w:val="00D8202E"/>
    <w:rsid w:val="00D824C6"/>
    <w:rsid w:val="00D83B44"/>
    <w:rsid w:val="00D8525E"/>
    <w:rsid w:val="00D8747C"/>
    <w:rsid w:val="00D92E92"/>
    <w:rsid w:val="00D937C9"/>
    <w:rsid w:val="00D93AC5"/>
    <w:rsid w:val="00D93BE0"/>
    <w:rsid w:val="00D93D04"/>
    <w:rsid w:val="00D94A39"/>
    <w:rsid w:val="00D94AF1"/>
    <w:rsid w:val="00D96045"/>
    <w:rsid w:val="00D96F48"/>
    <w:rsid w:val="00DA0221"/>
    <w:rsid w:val="00DA1609"/>
    <w:rsid w:val="00DA1818"/>
    <w:rsid w:val="00DA1CEA"/>
    <w:rsid w:val="00DA32D5"/>
    <w:rsid w:val="00DA4067"/>
    <w:rsid w:val="00DA42B7"/>
    <w:rsid w:val="00DB5446"/>
    <w:rsid w:val="00DB701F"/>
    <w:rsid w:val="00DC0D59"/>
    <w:rsid w:val="00DC2821"/>
    <w:rsid w:val="00DC63C9"/>
    <w:rsid w:val="00DC691A"/>
    <w:rsid w:val="00DC797F"/>
    <w:rsid w:val="00DC7FC6"/>
    <w:rsid w:val="00DD10E3"/>
    <w:rsid w:val="00DD201C"/>
    <w:rsid w:val="00DD2677"/>
    <w:rsid w:val="00DD530B"/>
    <w:rsid w:val="00DD6F9D"/>
    <w:rsid w:val="00DE0953"/>
    <w:rsid w:val="00DE15B3"/>
    <w:rsid w:val="00DE1C21"/>
    <w:rsid w:val="00DE2425"/>
    <w:rsid w:val="00DE5909"/>
    <w:rsid w:val="00DE7247"/>
    <w:rsid w:val="00DF048B"/>
    <w:rsid w:val="00DF0F21"/>
    <w:rsid w:val="00DF1912"/>
    <w:rsid w:val="00DF2245"/>
    <w:rsid w:val="00DF6651"/>
    <w:rsid w:val="00DF6BF6"/>
    <w:rsid w:val="00E01B06"/>
    <w:rsid w:val="00E0481E"/>
    <w:rsid w:val="00E0587F"/>
    <w:rsid w:val="00E05AE6"/>
    <w:rsid w:val="00E206B1"/>
    <w:rsid w:val="00E20C46"/>
    <w:rsid w:val="00E21E0D"/>
    <w:rsid w:val="00E245F6"/>
    <w:rsid w:val="00E2474A"/>
    <w:rsid w:val="00E252FF"/>
    <w:rsid w:val="00E259E7"/>
    <w:rsid w:val="00E25F3A"/>
    <w:rsid w:val="00E32588"/>
    <w:rsid w:val="00E33B37"/>
    <w:rsid w:val="00E346D3"/>
    <w:rsid w:val="00E34B00"/>
    <w:rsid w:val="00E34B55"/>
    <w:rsid w:val="00E35358"/>
    <w:rsid w:val="00E356F0"/>
    <w:rsid w:val="00E37677"/>
    <w:rsid w:val="00E37C58"/>
    <w:rsid w:val="00E419AA"/>
    <w:rsid w:val="00E41CE6"/>
    <w:rsid w:val="00E43EC2"/>
    <w:rsid w:val="00E450CE"/>
    <w:rsid w:val="00E456B5"/>
    <w:rsid w:val="00E4596C"/>
    <w:rsid w:val="00E4778F"/>
    <w:rsid w:val="00E47A61"/>
    <w:rsid w:val="00E54AC5"/>
    <w:rsid w:val="00E61933"/>
    <w:rsid w:val="00E67B34"/>
    <w:rsid w:val="00E7039E"/>
    <w:rsid w:val="00E73096"/>
    <w:rsid w:val="00E73A3C"/>
    <w:rsid w:val="00E74643"/>
    <w:rsid w:val="00E75585"/>
    <w:rsid w:val="00E75CD7"/>
    <w:rsid w:val="00E76A3F"/>
    <w:rsid w:val="00E80822"/>
    <w:rsid w:val="00E81C15"/>
    <w:rsid w:val="00E826A7"/>
    <w:rsid w:val="00E84C33"/>
    <w:rsid w:val="00E902DC"/>
    <w:rsid w:val="00E921AC"/>
    <w:rsid w:val="00E94FE3"/>
    <w:rsid w:val="00E96DA7"/>
    <w:rsid w:val="00E96F6A"/>
    <w:rsid w:val="00E96FE1"/>
    <w:rsid w:val="00E97E7F"/>
    <w:rsid w:val="00EA134B"/>
    <w:rsid w:val="00EA2F67"/>
    <w:rsid w:val="00EA3BA6"/>
    <w:rsid w:val="00EA71DA"/>
    <w:rsid w:val="00EA7E6B"/>
    <w:rsid w:val="00EB22C1"/>
    <w:rsid w:val="00EB35C8"/>
    <w:rsid w:val="00EB426E"/>
    <w:rsid w:val="00EB66C7"/>
    <w:rsid w:val="00EB6E7C"/>
    <w:rsid w:val="00EB7628"/>
    <w:rsid w:val="00EC17C7"/>
    <w:rsid w:val="00EC1DF5"/>
    <w:rsid w:val="00EC22E5"/>
    <w:rsid w:val="00EC2D53"/>
    <w:rsid w:val="00ED00F9"/>
    <w:rsid w:val="00ED08A6"/>
    <w:rsid w:val="00ED0D65"/>
    <w:rsid w:val="00ED0FC6"/>
    <w:rsid w:val="00ED34AA"/>
    <w:rsid w:val="00ED4097"/>
    <w:rsid w:val="00ED4703"/>
    <w:rsid w:val="00ED6B69"/>
    <w:rsid w:val="00EE2249"/>
    <w:rsid w:val="00EE246B"/>
    <w:rsid w:val="00EE32BE"/>
    <w:rsid w:val="00EE4943"/>
    <w:rsid w:val="00EE6BA5"/>
    <w:rsid w:val="00EE6D20"/>
    <w:rsid w:val="00EE7D31"/>
    <w:rsid w:val="00EE7D36"/>
    <w:rsid w:val="00EF0A05"/>
    <w:rsid w:val="00EF0C74"/>
    <w:rsid w:val="00EF3FD7"/>
    <w:rsid w:val="00EF49BA"/>
    <w:rsid w:val="00EF66F3"/>
    <w:rsid w:val="00EF6D6B"/>
    <w:rsid w:val="00EF78D5"/>
    <w:rsid w:val="00EF794C"/>
    <w:rsid w:val="00F015BB"/>
    <w:rsid w:val="00F021AA"/>
    <w:rsid w:val="00F023DC"/>
    <w:rsid w:val="00F0439C"/>
    <w:rsid w:val="00F04968"/>
    <w:rsid w:val="00F04D9E"/>
    <w:rsid w:val="00F07A4F"/>
    <w:rsid w:val="00F1192E"/>
    <w:rsid w:val="00F12F19"/>
    <w:rsid w:val="00F15F3B"/>
    <w:rsid w:val="00F1675A"/>
    <w:rsid w:val="00F242C7"/>
    <w:rsid w:val="00F24377"/>
    <w:rsid w:val="00F24791"/>
    <w:rsid w:val="00F2509D"/>
    <w:rsid w:val="00F26B52"/>
    <w:rsid w:val="00F30FC5"/>
    <w:rsid w:val="00F31086"/>
    <w:rsid w:val="00F35D75"/>
    <w:rsid w:val="00F40267"/>
    <w:rsid w:val="00F40F03"/>
    <w:rsid w:val="00F41953"/>
    <w:rsid w:val="00F453C3"/>
    <w:rsid w:val="00F46AF2"/>
    <w:rsid w:val="00F47562"/>
    <w:rsid w:val="00F50A38"/>
    <w:rsid w:val="00F52F36"/>
    <w:rsid w:val="00F534A0"/>
    <w:rsid w:val="00F53CD7"/>
    <w:rsid w:val="00F55F24"/>
    <w:rsid w:val="00F55F3A"/>
    <w:rsid w:val="00F57889"/>
    <w:rsid w:val="00F705D8"/>
    <w:rsid w:val="00F7119B"/>
    <w:rsid w:val="00F7174F"/>
    <w:rsid w:val="00F73645"/>
    <w:rsid w:val="00F73F4C"/>
    <w:rsid w:val="00F73FC0"/>
    <w:rsid w:val="00F7408E"/>
    <w:rsid w:val="00F764C9"/>
    <w:rsid w:val="00F76A57"/>
    <w:rsid w:val="00F7731B"/>
    <w:rsid w:val="00F80A38"/>
    <w:rsid w:val="00F8356E"/>
    <w:rsid w:val="00F846A5"/>
    <w:rsid w:val="00F86016"/>
    <w:rsid w:val="00F871F3"/>
    <w:rsid w:val="00F91129"/>
    <w:rsid w:val="00F911B5"/>
    <w:rsid w:val="00F920F9"/>
    <w:rsid w:val="00F92AB4"/>
    <w:rsid w:val="00F9330C"/>
    <w:rsid w:val="00F94C4D"/>
    <w:rsid w:val="00F952C2"/>
    <w:rsid w:val="00F95A57"/>
    <w:rsid w:val="00FA2708"/>
    <w:rsid w:val="00FA6DA1"/>
    <w:rsid w:val="00FB0250"/>
    <w:rsid w:val="00FB0C2F"/>
    <w:rsid w:val="00FB1944"/>
    <w:rsid w:val="00FB500A"/>
    <w:rsid w:val="00FB54D3"/>
    <w:rsid w:val="00FB5C5D"/>
    <w:rsid w:val="00FB7691"/>
    <w:rsid w:val="00FC0625"/>
    <w:rsid w:val="00FC47E6"/>
    <w:rsid w:val="00FC6086"/>
    <w:rsid w:val="00FC644C"/>
    <w:rsid w:val="00FC6562"/>
    <w:rsid w:val="00FC7421"/>
    <w:rsid w:val="00FC7855"/>
    <w:rsid w:val="00FC7BCD"/>
    <w:rsid w:val="00FD2D2D"/>
    <w:rsid w:val="00FD31EA"/>
    <w:rsid w:val="00FD3D2D"/>
    <w:rsid w:val="00FD5717"/>
    <w:rsid w:val="00FD5E8B"/>
    <w:rsid w:val="00FE2742"/>
    <w:rsid w:val="00FE346D"/>
    <w:rsid w:val="00FE41C0"/>
    <w:rsid w:val="00FE6CA4"/>
    <w:rsid w:val="00FF0583"/>
    <w:rsid w:val="00FF1730"/>
    <w:rsid w:val="00FF2AF5"/>
    <w:rsid w:val="00FF60E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04CE41"/>
  <w15:chartTrackingRefBased/>
  <w15:docId w15:val="{B0E9FFCE-0CF4-43A5-86A0-988A39D8F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35C4A"/>
    <w:pPr>
      <w:keepNext/>
      <w:keepLines/>
      <w:spacing w:before="240" w:after="0"/>
      <w:outlineLvl w:val="0"/>
    </w:pPr>
    <w:rPr>
      <w:rFonts w:asciiTheme="majorHAnsi" w:eastAsiaTheme="majorEastAsia" w:hAnsiTheme="majorHAnsi" w:cstheme="majorBidi"/>
      <w:color w:val="2E74B5" w:themeColor="accent1" w:themeShade="BF"/>
      <w:sz w:val="32"/>
      <w:szCs w:val="32"/>
      <w:lang w:val="en-GB"/>
    </w:rPr>
  </w:style>
  <w:style w:type="paragraph" w:styleId="Heading2">
    <w:name w:val="heading 2"/>
    <w:basedOn w:val="Normal"/>
    <w:next w:val="Normal"/>
    <w:link w:val="Heading2Char"/>
    <w:uiPriority w:val="9"/>
    <w:unhideWhenUsed/>
    <w:qFormat/>
    <w:rsid w:val="00FB7691"/>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1739CA"/>
    <w:pPr>
      <w:keepNext/>
      <w:keepLines/>
      <w:spacing w:before="40" w:after="0"/>
      <w:jc w:val="both"/>
      <w:outlineLvl w:val="2"/>
    </w:pPr>
    <w:rPr>
      <w:rFonts w:asciiTheme="majorHAnsi" w:eastAsiaTheme="majorEastAsia" w:hAnsiTheme="majorHAnsi" w:cstheme="majorBidi"/>
      <w:color w:val="1F4D78" w:themeColor="accent1" w:themeShade="7F"/>
      <w:sz w:val="24"/>
      <w:szCs w:val="24"/>
      <w:lang w:val="en-GB"/>
    </w:rPr>
  </w:style>
  <w:style w:type="paragraph" w:styleId="Heading4">
    <w:name w:val="heading 4"/>
    <w:basedOn w:val="Normal"/>
    <w:next w:val="Normal"/>
    <w:link w:val="Heading4Char"/>
    <w:uiPriority w:val="9"/>
    <w:unhideWhenUsed/>
    <w:qFormat/>
    <w:rsid w:val="001739CA"/>
    <w:pPr>
      <w:keepNext/>
      <w:keepLines/>
      <w:spacing w:before="40" w:after="0"/>
      <w:jc w:val="both"/>
      <w:outlineLvl w:val="3"/>
    </w:pPr>
    <w:rPr>
      <w:rFonts w:asciiTheme="majorHAnsi" w:eastAsiaTheme="majorEastAsia" w:hAnsiTheme="majorHAnsi" w:cstheme="majorBidi"/>
      <w:i/>
      <w:iCs/>
      <w:color w:val="2E74B5" w:themeColor="accent1" w:themeShade="B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23FA"/>
    <w:pPr>
      <w:tabs>
        <w:tab w:val="center" w:pos="4536"/>
        <w:tab w:val="right" w:pos="9072"/>
      </w:tabs>
      <w:spacing w:after="0" w:line="240" w:lineRule="auto"/>
    </w:pPr>
  </w:style>
  <w:style w:type="character" w:customStyle="1" w:styleId="HeaderChar">
    <w:name w:val="Header Char"/>
    <w:basedOn w:val="DefaultParagraphFont"/>
    <w:link w:val="Header"/>
    <w:uiPriority w:val="99"/>
    <w:rsid w:val="000223FA"/>
  </w:style>
  <w:style w:type="paragraph" w:styleId="Footer">
    <w:name w:val="footer"/>
    <w:basedOn w:val="Normal"/>
    <w:link w:val="FooterChar"/>
    <w:uiPriority w:val="99"/>
    <w:unhideWhenUsed/>
    <w:rsid w:val="000223FA"/>
    <w:pPr>
      <w:tabs>
        <w:tab w:val="center" w:pos="4536"/>
        <w:tab w:val="right" w:pos="9072"/>
      </w:tabs>
      <w:spacing w:after="0" w:line="240" w:lineRule="auto"/>
    </w:pPr>
  </w:style>
  <w:style w:type="character" w:customStyle="1" w:styleId="FooterChar">
    <w:name w:val="Footer Char"/>
    <w:basedOn w:val="DefaultParagraphFont"/>
    <w:link w:val="Footer"/>
    <w:uiPriority w:val="99"/>
    <w:rsid w:val="000223FA"/>
  </w:style>
  <w:style w:type="character" w:customStyle="1" w:styleId="Heading1Char">
    <w:name w:val="Heading 1 Char"/>
    <w:basedOn w:val="DefaultParagraphFont"/>
    <w:link w:val="Heading1"/>
    <w:uiPriority w:val="9"/>
    <w:rsid w:val="00835C4A"/>
    <w:rPr>
      <w:rFonts w:asciiTheme="majorHAnsi" w:eastAsiaTheme="majorEastAsia" w:hAnsiTheme="majorHAnsi" w:cstheme="majorBidi"/>
      <w:color w:val="2E74B5" w:themeColor="accent1" w:themeShade="BF"/>
      <w:sz w:val="32"/>
      <w:szCs w:val="32"/>
      <w:lang w:val="en-GB"/>
    </w:rPr>
  </w:style>
  <w:style w:type="paragraph" w:styleId="ListParagraph">
    <w:name w:val="List Paragraph"/>
    <w:aliases w:val="bullet2,Normal List,Endnote,Indent"/>
    <w:basedOn w:val="Normal"/>
    <w:link w:val="ListParagraphChar"/>
    <w:uiPriority w:val="34"/>
    <w:qFormat/>
    <w:rsid w:val="00835C4A"/>
    <w:pPr>
      <w:ind w:left="720"/>
      <w:contextualSpacing/>
    </w:pPr>
  </w:style>
  <w:style w:type="table" w:styleId="TableGrid">
    <w:name w:val="Table Grid"/>
    <w:basedOn w:val="TableNormal"/>
    <w:rsid w:val="003075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stile 1,Footnote,Footnote1,Footnote2,Footnote3,Footnote4,Footnote5,Footnote6,Footnote7,Footnote8,Footnote9,Footnote10,Footnote11,Footnote21,Footnote31,Footnote41,Footnote51,Footnote61,Footnote71,Footnote81,Footnote91"/>
    <w:basedOn w:val="Normal"/>
    <w:link w:val="FootnoteTextChar"/>
    <w:uiPriority w:val="99"/>
    <w:unhideWhenUsed/>
    <w:rsid w:val="00577775"/>
    <w:pPr>
      <w:spacing w:after="0" w:line="240" w:lineRule="auto"/>
    </w:pPr>
    <w:rPr>
      <w:sz w:val="20"/>
      <w:szCs w:val="20"/>
    </w:rPr>
  </w:style>
  <w:style w:type="character" w:customStyle="1" w:styleId="FootnoteTextChar">
    <w:name w:val="Footnote Text Char"/>
    <w:aliases w:val="stile 1 Char,Footnote Char,Footnote1 Char,Footnote2 Char,Footnote3 Char,Footnote4 Char,Footnote5 Char,Footnote6 Char,Footnote7 Char,Footnote8 Char,Footnote9 Char,Footnote10 Char,Footnote11 Char,Footnote21 Char,Footnote31 Char"/>
    <w:basedOn w:val="DefaultParagraphFont"/>
    <w:link w:val="FootnoteText"/>
    <w:uiPriority w:val="99"/>
    <w:rsid w:val="00577775"/>
    <w:rPr>
      <w:sz w:val="20"/>
      <w:szCs w:val="20"/>
    </w:rPr>
  </w:style>
  <w:style w:type="character" w:styleId="FootnoteReference">
    <w:name w:val="footnote reference"/>
    <w:aliases w:val="AA_Footnote Reference,Footnote symbol"/>
    <w:basedOn w:val="DefaultParagraphFont"/>
    <w:unhideWhenUsed/>
    <w:rsid w:val="00577775"/>
    <w:rPr>
      <w:vertAlign w:val="superscript"/>
    </w:rPr>
  </w:style>
  <w:style w:type="paragraph" w:styleId="EndnoteText">
    <w:name w:val="endnote text"/>
    <w:basedOn w:val="Normal"/>
    <w:link w:val="EndnoteTextChar"/>
    <w:uiPriority w:val="99"/>
    <w:semiHidden/>
    <w:unhideWhenUsed/>
    <w:rsid w:val="00AD57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D5793"/>
    <w:rPr>
      <w:sz w:val="20"/>
      <w:szCs w:val="20"/>
    </w:rPr>
  </w:style>
  <w:style w:type="character" w:styleId="EndnoteReference">
    <w:name w:val="endnote reference"/>
    <w:basedOn w:val="DefaultParagraphFont"/>
    <w:uiPriority w:val="99"/>
    <w:semiHidden/>
    <w:unhideWhenUsed/>
    <w:rsid w:val="00AD5793"/>
    <w:rPr>
      <w:vertAlign w:val="superscript"/>
    </w:rPr>
  </w:style>
  <w:style w:type="character" w:customStyle="1" w:styleId="ListParagraphChar">
    <w:name w:val="List Paragraph Char"/>
    <w:aliases w:val="bullet2 Char,Normal List Char,Endnote Char,Indent Char"/>
    <w:basedOn w:val="DefaultParagraphFont"/>
    <w:link w:val="ListParagraph"/>
    <w:uiPriority w:val="34"/>
    <w:locked/>
    <w:rsid w:val="00F021AA"/>
  </w:style>
  <w:style w:type="paragraph" w:styleId="Caption">
    <w:name w:val="caption"/>
    <w:aliases w:val="Figure-Table-Labelling,Labelling"/>
    <w:basedOn w:val="Normal"/>
    <w:next w:val="Normal"/>
    <w:link w:val="CaptionChar"/>
    <w:autoRedefine/>
    <w:unhideWhenUsed/>
    <w:qFormat/>
    <w:rsid w:val="00777068"/>
    <w:pPr>
      <w:keepNext/>
      <w:spacing w:before="360" w:line="240" w:lineRule="auto"/>
      <w:jc w:val="both"/>
    </w:pPr>
    <w:rPr>
      <w:rFonts w:ascii="Verdana" w:eastAsiaTheme="minorEastAsia" w:hAnsi="Verdana"/>
      <w:bCs/>
      <w:iCs/>
      <w:color w:val="374E81"/>
      <w:sz w:val="20"/>
      <w:szCs w:val="20"/>
    </w:rPr>
  </w:style>
  <w:style w:type="character" w:customStyle="1" w:styleId="Heading2Char">
    <w:name w:val="Heading 2 Char"/>
    <w:basedOn w:val="DefaultParagraphFont"/>
    <w:link w:val="Heading2"/>
    <w:uiPriority w:val="9"/>
    <w:rsid w:val="00FB7691"/>
    <w:rPr>
      <w:rFonts w:asciiTheme="majorHAnsi" w:eastAsiaTheme="majorEastAsia" w:hAnsiTheme="majorHAnsi" w:cstheme="majorBidi"/>
      <w:sz w:val="32"/>
      <w:szCs w:val="32"/>
    </w:rPr>
  </w:style>
  <w:style w:type="paragraph" w:styleId="TOCHeading">
    <w:name w:val="TOC Heading"/>
    <w:basedOn w:val="Heading1"/>
    <w:next w:val="Normal"/>
    <w:uiPriority w:val="39"/>
    <w:unhideWhenUsed/>
    <w:qFormat/>
    <w:rsid w:val="0076588B"/>
    <w:pPr>
      <w:spacing w:before="320" w:after="80" w:line="240" w:lineRule="auto"/>
      <w:jc w:val="center"/>
      <w:outlineLvl w:val="9"/>
    </w:pPr>
    <w:rPr>
      <w:sz w:val="40"/>
      <w:szCs w:val="40"/>
      <w:lang w:val="bg-BG"/>
    </w:rPr>
  </w:style>
  <w:style w:type="paragraph" w:styleId="TOC1">
    <w:name w:val="toc 1"/>
    <w:basedOn w:val="Normal"/>
    <w:next w:val="Normal"/>
    <w:autoRedefine/>
    <w:uiPriority w:val="39"/>
    <w:unhideWhenUsed/>
    <w:rsid w:val="00C37F61"/>
    <w:pPr>
      <w:tabs>
        <w:tab w:val="left" w:pos="660"/>
        <w:tab w:val="right" w:leader="dot" w:pos="9062"/>
      </w:tabs>
      <w:spacing w:after="100"/>
    </w:pPr>
    <w:rPr>
      <w:rFonts w:ascii="Verdana" w:hAnsi="Verdana"/>
      <w:bCs/>
      <w:i/>
      <w:iCs/>
      <w:noProof/>
      <w:color w:val="374E81"/>
      <w:sz w:val="16"/>
      <w:szCs w:val="16"/>
      <w:lang w:eastAsia="pl-PL"/>
    </w:rPr>
  </w:style>
  <w:style w:type="character" w:styleId="Hyperlink">
    <w:name w:val="Hyperlink"/>
    <w:basedOn w:val="DefaultParagraphFont"/>
    <w:uiPriority w:val="99"/>
    <w:unhideWhenUsed/>
    <w:rsid w:val="008B3ECC"/>
    <w:rPr>
      <w:color w:val="0563C1" w:themeColor="hyperlink"/>
      <w:u w:val="single"/>
    </w:rPr>
  </w:style>
  <w:style w:type="paragraph" w:styleId="TableofFigures">
    <w:name w:val="table of figures"/>
    <w:basedOn w:val="Normal"/>
    <w:next w:val="Normal"/>
    <w:uiPriority w:val="99"/>
    <w:unhideWhenUsed/>
    <w:rsid w:val="008B3ECC"/>
    <w:pPr>
      <w:spacing w:after="0"/>
    </w:pPr>
  </w:style>
  <w:style w:type="numbering" w:customStyle="1" w:styleId="NoList1">
    <w:name w:val="No List1"/>
    <w:next w:val="NoList"/>
    <w:uiPriority w:val="99"/>
    <w:semiHidden/>
    <w:unhideWhenUsed/>
    <w:rsid w:val="00961249"/>
  </w:style>
  <w:style w:type="character" w:styleId="CommentReference">
    <w:name w:val="annotation reference"/>
    <w:basedOn w:val="DefaultParagraphFont"/>
    <w:semiHidden/>
    <w:unhideWhenUsed/>
    <w:rsid w:val="00961249"/>
    <w:rPr>
      <w:sz w:val="16"/>
      <w:szCs w:val="16"/>
    </w:rPr>
  </w:style>
  <w:style w:type="paragraph" w:styleId="CommentText">
    <w:name w:val="annotation text"/>
    <w:basedOn w:val="Normal"/>
    <w:link w:val="CommentTextChar"/>
    <w:semiHidden/>
    <w:unhideWhenUsed/>
    <w:rsid w:val="00961249"/>
    <w:pPr>
      <w:spacing w:line="240" w:lineRule="auto"/>
    </w:pPr>
    <w:rPr>
      <w:sz w:val="20"/>
      <w:szCs w:val="20"/>
    </w:rPr>
  </w:style>
  <w:style w:type="character" w:customStyle="1" w:styleId="CommentTextChar">
    <w:name w:val="Comment Text Char"/>
    <w:basedOn w:val="DefaultParagraphFont"/>
    <w:link w:val="CommentText"/>
    <w:semiHidden/>
    <w:rsid w:val="00961249"/>
    <w:rPr>
      <w:sz w:val="20"/>
      <w:szCs w:val="20"/>
    </w:rPr>
  </w:style>
  <w:style w:type="paragraph" w:styleId="BalloonText">
    <w:name w:val="Balloon Text"/>
    <w:basedOn w:val="Normal"/>
    <w:link w:val="BalloonTextChar"/>
    <w:uiPriority w:val="99"/>
    <w:semiHidden/>
    <w:unhideWhenUsed/>
    <w:rsid w:val="009612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1249"/>
    <w:rPr>
      <w:rFonts w:ascii="Segoe UI" w:hAnsi="Segoe UI" w:cs="Segoe UI"/>
      <w:sz w:val="18"/>
      <w:szCs w:val="18"/>
    </w:rPr>
  </w:style>
  <w:style w:type="table" w:customStyle="1" w:styleId="TableGrid1">
    <w:name w:val="Table Grid1"/>
    <w:basedOn w:val="TableNormal"/>
    <w:next w:val="TableGrid"/>
    <w:uiPriority w:val="39"/>
    <w:rsid w:val="00961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961249"/>
    <w:rPr>
      <w:rFonts w:ascii="Times New Roman" w:eastAsia="Times New Roman" w:hAnsi="Times New Roman" w:cs="Times New Roman"/>
    </w:rPr>
  </w:style>
  <w:style w:type="paragraph" w:styleId="BodyText">
    <w:name w:val="Body Text"/>
    <w:basedOn w:val="Normal"/>
    <w:link w:val="BodyTextChar"/>
    <w:qFormat/>
    <w:rsid w:val="00961249"/>
    <w:pPr>
      <w:widowControl w:val="0"/>
      <w:spacing w:after="0" w:line="240" w:lineRule="auto"/>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961249"/>
  </w:style>
  <w:style w:type="character" w:customStyle="1" w:styleId="Other">
    <w:name w:val="Other_"/>
    <w:basedOn w:val="DefaultParagraphFont"/>
    <w:link w:val="Other0"/>
    <w:rsid w:val="00961249"/>
    <w:rPr>
      <w:rFonts w:ascii="Times New Roman" w:eastAsia="Times New Roman" w:hAnsi="Times New Roman" w:cs="Times New Roman"/>
      <w:sz w:val="20"/>
      <w:szCs w:val="20"/>
    </w:rPr>
  </w:style>
  <w:style w:type="paragraph" w:customStyle="1" w:styleId="Other0">
    <w:name w:val="Other"/>
    <w:basedOn w:val="Normal"/>
    <w:link w:val="Other"/>
    <w:rsid w:val="00961249"/>
    <w:pPr>
      <w:widowControl w:val="0"/>
      <w:spacing w:after="0" w:line="240" w:lineRule="auto"/>
    </w:pPr>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61249"/>
    <w:rPr>
      <w:b/>
      <w:bCs/>
    </w:rPr>
  </w:style>
  <w:style w:type="character" w:customStyle="1" w:styleId="CommentSubjectChar">
    <w:name w:val="Comment Subject Char"/>
    <w:basedOn w:val="CommentTextChar"/>
    <w:link w:val="CommentSubject"/>
    <w:uiPriority w:val="99"/>
    <w:semiHidden/>
    <w:rsid w:val="00961249"/>
    <w:rPr>
      <w:b/>
      <w:bCs/>
      <w:sz w:val="20"/>
      <w:szCs w:val="20"/>
    </w:rPr>
  </w:style>
  <w:style w:type="numbering" w:customStyle="1" w:styleId="NoList2">
    <w:name w:val="No List2"/>
    <w:next w:val="NoList"/>
    <w:uiPriority w:val="99"/>
    <w:semiHidden/>
    <w:unhideWhenUsed/>
    <w:rsid w:val="00490BDA"/>
  </w:style>
  <w:style w:type="table" w:customStyle="1" w:styleId="TableGrid2">
    <w:name w:val="Table Grid2"/>
    <w:basedOn w:val="TableNormal"/>
    <w:next w:val="TableGrid"/>
    <w:uiPriority w:val="39"/>
    <w:rsid w:val="00490B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490589"/>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Revision">
    <w:name w:val="Revision"/>
    <w:hidden/>
    <w:uiPriority w:val="99"/>
    <w:semiHidden/>
    <w:rsid w:val="00490589"/>
    <w:pPr>
      <w:spacing w:after="0" w:line="240" w:lineRule="auto"/>
    </w:pPr>
  </w:style>
  <w:style w:type="paragraph" w:customStyle="1" w:styleId="wygtext">
    <w:name w:val="wyg text"/>
    <w:basedOn w:val="Normal"/>
    <w:link w:val="wygtextChar"/>
    <w:uiPriority w:val="99"/>
    <w:rsid w:val="00490589"/>
    <w:pPr>
      <w:spacing w:after="120" w:line="240" w:lineRule="auto"/>
      <w:jc w:val="both"/>
    </w:pPr>
    <w:rPr>
      <w:rFonts w:ascii="Tahoma" w:eastAsia="Times New Roman" w:hAnsi="Tahoma" w:cs="Tahoma"/>
      <w:sz w:val="20"/>
      <w:szCs w:val="20"/>
      <w:lang w:eastAsia="bg-BG"/>
    </w:rPr>
  </w:style>
  <w:style w:type="character" w:customStyle="1" w:styleId="wygtextChar">
    <w:name w:val="wyg text Char"/>
    <w:link w:val="wygtext"/>
    <w:uiPriority w:val="99"/>
    <w:rsid w:val="00490589"/>
    <w:rPr>
      <w:rFonts w:ascii="Tahoma" w:eastAsia="Times New Roman" w:hAnsi="Tahoma" w:cs="Tahoma"/>
      <w:sz w:val="20"/>
      <w:szCs w:val="20"/>
      <w:lang w:eastAsia="bg-BG"/>
    </w:rPr>
  </w:style>
  <w:style w:type="numbering" w:customStyle="1" w:styleId="NoList3">
    <w:name w:val="No List3"/>
    <w:next w:val="NoList"/>
    <w:uiPriority w:val="99"/>
    <w:semiHidden/>
    <w:unhideWhenUsed/>
    <w:rsid w:val="007837C8"/>
  </w:style>
  <w:style w:type="table" w:customStyle="1" w:styleId="TableGrid3">
    <w:name w:val="Table Grid3"/>
    <w:basedOn w:val="TableNormal"/>
    <w:next w:val="TableGrid"/>
    <w:uiPriority w:val="39"/>
    <w:rsid w:val="007837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1"/>
    <w:link w:val="Style1Char"/>
    <w:qFormat/>
    <w:rsid w:val="0006498F"/>
    <w:pPr>
      <w:numPr>
        <w:ilvl w:val="1"/>
        <w:numId w:val="1"/>
      </w:numPr>
      <w:shd w:val="clear" w:color="auto" w:fill="415C99"/>
      <w:spacing w:before="320" w:after="80" w:line="276" w:lineRule="auto"/>
    </w:pPr>
    <w:rPr>
      <w:rFonts w:ascii="Verdana" w:hAnsi="Verdana"/>
      <w:b/>
      <w:color w:val="FFFFFF" w:themeColor="background1"/>
      <w:sz w:val="22"/>
      <w:szCs w:val="22"/>
      <w:lang w:val="bg-BG"/>
    </w:rPr>
  </w:style>
  <w:style w:type="paragraph" w:styleId="TOC2">
    <w:name w:val="toc 2"/>
    <w:basedOn w:val="Normal"/>
    <w:next w:val="Normal"/>
    <w:autoRedefine/>
    <w:uiPriority w:val="39"/>
    <w:unhideWhenUsed/>
    <w:rsid w:val="00C77163"/>
    <w:pPr>
      <w:spacing w:after="100"/>
      <w:ind w:left="220"/>
    </w:pPr>
  </w:style>
  <w:style w:type="character" w:customStyle="1" w:styleId="Style1Char">
    <w:name w:val="Style1 Char"/>
    <w:basedOn w:val="Heading1Char"/>
    <w:link w:val="Style1"/>
    <w:rsid w:val="0006498F"/>
    <w:rPr>
      <w:rFonts w:ascii="Verdana" w:eastAsiaTheme="majorEastAsia" w:hAnsi="Verdana" w:cstheme="majorBidi"/>
      <w:b/>
      <w:color w:val="FFFFFF" w:themeColor="background1"/>
      <w:sz w:val="32"/>
      <w:szCs w:val="32"/>
      <w:shd w:val="clear" w:color="auto" w:fill="415C99"/>
      <w:lang w:val="en-GB"/>
    </w:rPr>
  </w:style>
  <w:style w:type="paragraph" w:customStyle="1" w:styleId="Style2">
    <w:name w:val="Style2"/>
    <w:basedOn w:val="Heading1"/>
    <w:link w:val="Style2Char"/>
    <w:qFormat/>
    <w:rsid w:val="00C77163"/>
    <w:pPr>
      <w:numPr>
        <w:ilvl w:val="2"/>
        <w:numId w:val="1"/>
      </w:numPr>
      <w:spacing w:before="320" w:after="240" w:line="276" w:lineRule="auto"/>
      <w:jc w:val="both"/>
    </w:pPr>
    <w:rPr>
      <w:rFonts w:ascii="Verdana" w:hAnsi="Verdana"/>
      <w:b/>
      <w:bCs/>
      <w:i/>
      <w:iCs/>
      <w:color w:val="374E81"/>
      <w:sz w:val="20"/>
      <w:szCs w:val="20"/>
      <w:lang w:val="bg-BG"/>
    </w:rPr>
  </w:style>
  <w:style w:type="character" w:styleId="IntenseReference">
    <w:name w:val="Intense Reference"/>
    <w:basedOn w:val="DefaultParagraphFont"/>
    <w:uiPriority w:val="32"/>
    <w:qFormat/>
    <w:rsid w:val="00BD7FCB"/>
    <w:rPr>
      <w:b/>
      <w:bCs/>
      <w:smallCaps/>
      <w:color w:val="5B9BD5" w:themeColor="accent1"/>
      <w:spacing w:val="5"/>
    </w:rPr>
  </w:style>
  <w:style w:type="character" w:customStyle="1" w:styleId="Style2Char">
    <w:name w:val="Style2 Char"/>
    <w:basedOn w:val="Heading1Char"/>
    <w:link w:val="Style2"/>
    <w:rsid w:val="00C77163"/>
    <w:rPr>
      <w:rFonts w:ascii="Verdana" w:eastAsiaTheme="majorEastAsia" w:hAnsi="Verdana" w:cstheme="majorBidi"/>
      <w:b/>
      <w:bCs/>
      <w:i/>
      <w:iCs/>
      <w:color w:val="374E81"/>
      <w:sz w:val="20"/>
      <w:szCs w:val="20"/>
      <w:lang w:val="en-GB"/>
    </w:rPr>
  </w:style>
  <w:style w:type="character" w:customStyle="1" w:styleId="Bodytext0">
    <w:name w:val="Body text_"/>
    <w:link w:val="BodyText3"/>
    <w:rsid w:val="00853175"/>
    <w:rPr>
      <w:rFonts w:ascii="Times New Roman" w:hAnsi="Times New Roman"/>
      <w:sz w:val="23"/>
      <w:szCs w:val="23"/>
      <w:shd w:val="clear" w:color="auto" w:fill="FFFFFF"/>
    </w:rPr>
  </w:style>
  <w:style w:type="paragraph" w:customStyle="1" w:styleId="BodyText3">
    <w:name w:val="Body Text3"/>
    <w:basedOn w:val="Normal"/>
    <w:link w:val="Bodytext0"/>
    <w:rsid w:val="00853175"/>
    <w:pPr>
      <w:widowControl w:val="0"/>
      <w:shd w:val="clear" w:color="auto" w:fill="FFFFFF"/>
      <w:spacing w:after="0" w:line="270" w:lineRule="exact"/>
      <w:ind w:hanging="1960"/>
      <w:jc w:val="center"/>
    </w:pPr>
    <w:rPr>
      <w:rFonts w:ascii="Times New Roman" w:hAnsi="Times New Roman"/>
      <w:sz w:val="23"/>
      <w:szCs w:val="23"/>
    </w:rPr>
  </w:style>
  <w:style w:type="paragraph" w:styleId="TOC3">
    <w:name w:val="toc 3"/>
    <w:basedOn w:val="Normal"/>
    <w:next w:val="Normal"/>
    <w:autoRedefine/>
    <w:uiPriority w:val="39"/>
    <w:unhideWhenUsed/>
    <w:rsid w:val="002D4599"/>
    <w:pPr>
      <w:spacing w:after="100"/>
      <w:ind w:left="440"/>
    </w:pPr>
  </w:style>
  <w:style w:type="character" w:customStyle="1" w:styleId="Heading3Char">
    <w:name w:val="Heading 3 Char"/>
    <w:basedOn w:val="DefaultParagraphFont"/>
    <w:link w:val="Heading3"/>
    <w:uiPriority w:val="9"/>
    <w:rsid w:val="001739CA"/>
    <w:rPr>
      <w:rFonts w:asciiTheme="majorHAnsi" w:eastAsiaTheme="majorEastAsia" w:hAnsiTheme="majorHAnsi" w:cstheme="majorBidi"/>
      <w:color w:val="1F4D78" w:themeColor="accent1" w:themeShade="7F"/>
      <w:sz w:val="24"/>
      <w:szCs w:val="24"/>
      <w:lang w:val="en-GB"/>
    </w:rPr>
  </w:style>
  <w:style w:type="character" w:customStyle="1" w:styleId="Heading4Char">
    <w:name w:val="Heading 4 Char"/>
    <w:basedOn w:val="DefaultParagraphFont"/>
    <w:link w:val="Heading4"/>
    <w:uiPriority w:val="9"/>
    <w:rsid w:val="001739CA"/>
    <w:rPr>
      <w:rFonts w:asciiTheme="majorHAnsi" w:eastAsiaTheme="majorEastAsia" w:hAnsiTheme="majorHAnsi" w:cstheme="majorBidi"/>
      <w:i/>
      <w:iCs/>
      <w:color w:val="2E74B5" w:themeColor="accent1" w:themeShade="BF"/>
      <w:lang w:val="en-GB"/>
    </w:rPr>
  </w:style>
  <w:style w:type="paragraph" w:customStyle="1" w:styleId="TableParagraph">
    <w:name w:val="Table Paragraph"/>
    <w:basedOn w:val="Normal"/>
    <w:uiPriority w:val="1"/>
    <w:qFormat/>
    <w:rsid w:val="001739CA"/>
    <w:pPr>
      <w:widowControl w:val="0"/>
      <w:autoSpaceDE w:val="0"/>
      <w:autoSpaceDN w:val="0"/>
      <w:spacing w:before="56" w:after="0" w:line="240" w:lineRule="auto"/>
    </w:pPr>
    <w:rPr>
      <w:rFonts w:ascii="Calibri" w:eastAsia="Calibri" w:hAnsi="Calibri" w:cs="Calibri"/>
      <w:lang w:eastAsia="bg-BG" w:bidi="bg-BG"/>
    </w:rPr>
  </w:style>
  <w:style w:type="table" w:styleId="TableGridLight">
    <w:name w:val="Grid Table Light"/>
    <w:basedOn w:val="TableNormal"/>
    <w:uiPriority w:val="40"/>
    <w:rsid w:val="001739CA"/>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aptionChar">
    <w:name w:val="Caption Char"/>
    <w:aliases w:val="Figure-Table-Labelling Char,Labelling Char"/>
    <w:link w:val="Caption"/>
    <w:rsid w:val="00777068"/>
    <w:rPr>
      <w:rFonts w:ascii="Verdana" w:eastAsiaTheme="minorEastAsia" w:hAnsi="Verdana"/>
      <w:bCs/>
      <w:iCs/>
      <w:color w:val="374E81"/>
      <w:sz w:val="20"/>
      <w:szCs w:val="20"/>
    </w:rPr>
  </w:style>
  <w:style w:type="paragraph" w:styleId="IntenseQuote">
    <w:name w:val="Intense Quote"/>
    <w:basedOn w:val="Normal"/>
    <w:next w:val="Normal"/>
    <w:link w:val="IntenseQuoteChar"/>
    <w:uiPriority w:val="30"/>
    <w:qFormat/>
    <w:rsid w:val="001739CA"/>
    <w:pPr>
      <w:pBdr>
        <w:top w:val="single" w:sz="4" w:space="10" w:color="5B9BD5" w:themeColor="accent1"/>
        <w:bottom w:val="single" w:sz="4" w:space="10" w:color="5B9BD5" w:themeColor="accent1"/>
      </w:pBdr>
      <w:spacing w:before="360" w:after="360"/>
      <w:ind w:left="864" w:right="864"/>
      <w:jc w:val="center"/>
    </w:pPr>
    <w:rPr>
      <w:i/>
      <w:iCs/>
      <w:color w:val="5B9BD5" w:themeColor="accent1"/>
      <w:lang w:val="en-GB"/>
    </w:rPr>
  </w:style>
  <w:style w:type="character" w:customStyle="1" w:styleId="IntenseQuoteChar">
    <w:name w:val="Intense Quote Char"/>
    <w:basedOn w:val="DefaultParagraphFont"/>
    <w:link w:val="IntenseQuote"/>
    <w:uiPriority w:val="30"/>
    <w:rsid w:val="001739CA"/>
    <w:rPr>
      <w:i/>
      <w:iCs/>
      <w:color w:val="5B9BD5" w:themeColor="accent1"/>
      <w:lang w:val="en-GB"/>
    </w:rPr>
  </w:style>
  <w:style w:type="table" w:styleId="PlainTable1">
    <w:name w:val="Plain Table 1"/>
    <w:basedOn w:val="TableNormal"/>
    <w:uiPriority w:val="41"/>
    <w:rsid w:val="00017A4B"/>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graf">
    <w:name w:val="graf"/>
    <w:basedOn w:val="Normal"/>
    <w:qFormat/>
    <w:rsid w:val="00725077"/>
    <w:pPr>
      <w:spacing w:before="120" w:after="120" w:line="240" w:lineRule="auto"/>
      <w:jc w:val="center"/>
    </w:pPr>
    <w:rPr>
      <w:rFonts w:ascii="Calibri" w:eastAsia="Corbel" w:hAnsi="Calibri" w:cs="Times New Roman"/>
      <w:bCs/>
      <w:noProof/>
      <w:color w:val="3B3838" w:themeColor="background2" w:themeShade="40"/>
      <w:sz w:val="16"/>
      <w:lang w:eastAsia="bg-BG"/>
    </w:rPr>
  </w:style>
  <w:style w:type="paragraph" w:customStyle="1" w:styleId="ydpf46ac157msonormal">
    <w:name w:val="ydpf46ac157msonormal"/>
    <w:basedOn w:val="Normal"/>
    <w:rsid w:val="00CD15EA"/>
    <w:pPr>
      <w:spacing w:before="100" w:beforeAutospacing="1" w:after="100" w:afterAutospacing="1" w:line="240" w:lineRule="auto"/>
    </w:pPr>
    <w:rPr>
      <w:rFonts w:ascii="Times New Roman" w:hAnsi="Times New Roman" w:cs="Times New Roman"/>
      <w:sz w:val="24"/>
      <w:szCs w:val="24"/>
      <w:lang w:val="en-US"/>
    </w:rPr>
  </w:style>
  <w:style w:type="paragraph" w:customStyle="1" w:styleId="ydpf46ac157msolistparagraph">
    <w:name w:val="ydpf46ac157msolistparagraph"/>
    <w:basedOn w:val="Normal"/>
    <w:rsid w:val="00CD15EA"/>
    <w:pPr>
      <w:spacing w:before="100" w:beforeAutospacing="1" w:after="100" w:afterAutospacing="1" w:line="240" w:lineRule="auto"/>
    </w:pPr>
    <w:rPr>
      <w:rFonts w:ascii="Times New Roman" w:hAnsi="Times New Roman" w:cs="Times New Roman"/>
      <w:sz w:val="24"/>
      <w:szCs w:val="24"/>
      <w:lang w:val="en-US"/>
    </w:rPr>
  </w:style>
  <w:style w:type="paragraph" w:customStyle="1" w:styleId="wygheadinglevel1">
    <w:name w:val="wyg heading level 1"/>
    <w:basedOn w:val="Normal"/>
    <w:next w:val="wygtext"/>
    <w:uiPriority w:val="99"/>
    <w:rsid w:val="009F28CC"/>
    <w:pPr>
      <w:numPr>
        <w:numId w:val="26"/>
      </w:numPr>
      <w:spacing w:before="240" w:after="120" w:line="240" w:lineRule="auto"/>
    </w:pPr>
    <w:rPr>
      <w:rFonts w:ascii="Tahoma" w:eastAsia="Times New Roman" w:hAnsi="Tahoma" w:cs="Tahoma"/>
      <w:b/>
      <w:caps/>
      <w:color w:val="9EC3DE"/>
      <w:szCs w:val="20"/>
      <w:lang w:eastAsia="bg-BG"/>
    </w:rPr>
  </w:style>
  <w:style w:type="paragraph" w:customStyle="1" w:styleId="wygheadinglevel2">
    <w:name w:val="wyg heading level 2"/>
    <w:basedOn w:val="wygtext"/>
    <w:next w:val="wygtext"/>
    <w:uiPriority w:val="99"/>
    <w:rsid w:val="009F28CC"/>
    <w:pPr>
      <w:numPr>
        <w:ilvl w:val="1"/>
        <w:numId w:val="26"/>
      </w:numPr>
      <w:spacing w:before="120"/>
      <w:outlineLvl w:val="1"/>
    </w:pPr>
    <w:rPr>
      <w:b/>
      <w:color w:val="9EC3DE"/>
    </w:rPr>
  </w:style>
  <w:style w:type="paragraph" w:customStyle="1" w:styleId="wygheadinglevel3">
    <w:name w:val="wyg heading level 3"/>
    <w:basedOn w:val="wygheadinglevel2"/>
    <w:next w:val="wygtext"/>
    <w:uiPriority w:val="99"/>
    <w:rsid w:val="009F28CC"/>
    <w:pPr>
      <w:numPr>
        <w:ilvl w:val="2"/>
      </w:numPr>
    </w:pPr>
  </w:style>
  <w:style w:type="table" w:customStyle="1" w:styleId="TableGrid4">
    <w:name w:val="Table Grid4"/>
    <w:basedOn w:val="TableNormal"/>
    <w:next w:val="TableGrid"/>
    <w:rsid w:val="007B2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D364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557297">
      <w:bodyDiv w:val="1"/>
      <w:marLeft w:val="0"/>
      <w:marRight w:val="0"/>
      <w:marTop w:val="0"/>
      <w:marBottom w:val="0"/>
      <w:divBdr>
        <w:top w:val="none" w:sz="0" w:space="0" w:color="auto"/>
        <w:left w:val="none" w:sz="0" w:space="0" w:color="auto"/>
        <w:bottom w:val="none" w:sz="0" w:space="0" w:color="auto"/>
        <w:right w:val="none" w:sz="0" w:space="0" w:color="auto"/>
      </w:divBdr>
    </w:div>
    <w:div w:id="102962791">
      <w:bodyDiv w:val="1"/>
      <w:marLeft w:val="0"/>
      <w:marRight w:val="0"/>
      <w:marTop w:val="0"/>
      <w:marBottom w:val="0"/>
      <w:divBdr>
        <w:top w:val="none" w:sz="0" w:space="0" w:color="auto"/>
        <w:left w:val="none" w:sz="0" w:space="0" w:color="auto"/>
        <w:bottom w:val="none" w:sz="0" w:space="0" w:color="auto"/>
        <w:right w:val="none" w:sz="0" w:space="0" w:color="auto"/>
      </w:divBdr>
    </w:div>
    <w:div w:id="149755470">
      <w:bodyDiv w:val="1"/>
      <w:marLeft w:val="0"/>
      <w:marRight w:val="0"/>
      <w:marTop w:val="0"/>
      <w:marBottom w:val="0"/>
      <w:divBdr>
        <w:top w:val="none" w:sz="0" w:space="0" w:color="auto"/>
        <w:left w:val="none" w:sz="0" w:space="0" w:color="auto"/>
        <w:bottom w:val="none" w:sz="0" w:space="0" w:color="auto"/>
        <w:right w:val="none" w:sz="0" w:space="0" w:color="auto"/>
      </w:divBdr>
    </w:div>
    <w:div w:id="191265234">
      <w:bodyDiv w:val="1"/>
      <w:marLeft w:val="0"/>
      <w:marRight w:val="0"/>
      <w:marTop w:val="0"/>
      <w:marBottom w:val="0"/>
      <w:divBdr>
        <w:top w:val="none" w:sz="0" w:space="0" w:color="auto"/>
        <w:left w:val="none" w:sz="0" w:space="0" w:color="auto"/>
        <w:bottom w:val="none" w:sz="0" w:space="0" w:color="auto"/>
        <w:right w:val="none" w:sz="0" w:space="0" w:color="auto"/>
      </w:divBdr>
      <w:divsChild>
        <w:div w:id="630549597">
          <w:marLeft w:val="547"/>
          <w:marRight w:val="0"/>
          <w:marTop w:val="0"/>
          <w:marBottom w:val="0"/>
          <w:divBdr>
            <w:top w:val="none" w:sz="0" w:space="0" w:color="auto"/>
            <w:left w:val="none" w:sz="0" w:space="0" w:color="auto"/>
            <w:bottom w:val="none" w:sz="0" w:space="0" w:color="auto"/>
            <w:right w:val="none" w:sz="0" w:space="0" w:color="auto"/>
          </w:divBdr>
        </w:div>
        <w:div w:id="1779448357">
          <w:marLeft w:val="547"/>
          <w:marRight w:val="0"/>
          <w:marTop w:val="0"/>
          <w:marBottom w:val="0"/>
          <w:divBdr>
            <w:top w:val="none" w:sz="0" w:space="0" w:color="auto"/>
            <w:left w:val="none" w:sz="0" w:space="0" w:color="auto"/>
            <w:bottom w:val="none" w:sz="0" w:space="0" w:color="auto"/>
            <w:right w:val="none" w:sz="0" w:space="0" w:color="auto"/>
          </w:divBdr>
        </w:div>
        <w:div w:id="1589078634">
          <w:marLeft w:val="547"/>
          <w:marRight w:val="0"/>
          <w:marTop w:val="0"/>
          <w:marBottom w:val="0"/>
          <w:divBdr>
            <w:top w:val="none" w:sz="0" w:space="0" w:color="auto"/>
            <w:left w:val="none" w:sz="0" w:space="0" w:color="auto"/>
            <w:bottom w:val="none" w:sz="0" w:space="0" w:color="auto"/>
            <w:right w:val="none" w:sz="0" w:space="0" w:color="auto"/>
          </w:divBdr>
        </w:div>
      </w:divsChild>
    </w:div>
    <w:div w:id="317154328">
      <w:bodyDiv w:val="1"/>
      <w:marLeft w:val="0"/>
      <w:marRight w:val="0"/>
      <w:marTop w:val="0"/>
      <w:marBottom w:val="0"/>
      <w:divBdr>
        <w:top w:val="none" w:sz="0" w:space="0" w:color="auto"/>
        <w:left w:val="none" w:sz="0" w:space="0" w:color="auto"/>
        <w:bottom w:val="none" w:sz="0" w:space="0" w:color="auto"/>
        <w:right w:val="none" w:sz="0" w:space="0" w:color="auto"/>
      </w:divBdr>
    </w:div>
    <w:div w:id="338041411">
      <w:bodyDiv w:val="1"/>
      <w:marLeft w:val="0"/>
      <w:marRight w:val="0"/>
      <w:marTop w:val="0"/>
      <w:marBottom w:val="0"/>
      <w:divBdr>
        <w:top w:val="none" w:sz="0" w:space="0" w:color="auto"/>
        <w:left w:val="none" w:sz="0" w:space="0" w:color="auto"/>
        <w:bottom w:val="none" w:sz="0" w:space="0" w:color="auto"/>
        <w:right w:val="none" w:sz="0" w:space="0" w:color="auto"/>
      </w:divBdr>
      <w:divsChild>
        <w:div w:id="148180090">
          <w:marLeft w:val="0"/>
          <w:marRight w:val="0"/>
          <w:marTop w:val="0"/>
          <w:marBottom w:val="0"/>
          <w:divBdr>
            <w:top w:val="none" w:sz="0" w:space="0" w:color="auto"/>
            <w:left w:val="none" w:sz="0" w:space="0" w:color="auto"/>
            <w:bottom w:val="none" w:sz="0" w:space="0" w:color="auto"/>
            <w:right w:val="none" w:sz="0" w:space="0" w:color="auto"/>
          </w:divBdr>
          <w:divsChild>
            <w:div w:id="1114668483">
              <w:marLeft w:val="0"/>
              <w:marRight w:val="0"/>
              <w:marTop w:val="0"/>
              <w:marBottom w:val="0"/>
              <w:divBdr>
                <w:top w:val="none" w:sz="0" w:space="0" w:color="auto"/>
                <w:left w:val="none" w:sz="0" w:space="0" w:color="auto"/>
                <w:bottom w:val="none" w:sz="0" w:space="0" w:color="auto"/>
                <w:right w:val="none" w:sz="0" w:space="0" w:color="auto"/>
              </w:divBdr>
            </w:div>
            <w:div w:id="1539198671">
              <w:marLeft w:val="0"/>
              <w:marRight w:val="0"/>
              <w:marTop w:val="0"/>
              <w:marBottom w:val="0"/>
              <w:divBdr>
                <w:top w:val="none" w:sz="0" w:space="0" w:color="auto"/>
                <w:left w:val="none" w:sz="0" w:space="0" w:color="auto"/>
                <w:bottom w:val="none" w:sz="0" w:space="0" w:color="auto"/>
                <w:right w:val="none" w:sz="0" w:space="0" w:color="auto"/>
              </w:divBdr>
            </w:div>
          </w:divsChild>
        </w:div>
        <w:div w:id="579603828">
          <w:marLeft w:val="0"/>
          <w:marRight w:val="0"/>
          <w:marTop w:val="100"/>
          <w:marBottom w:val="0"/>
          <w:divBdr>
            <w:top w:val="none" w:sz="0" w:space="0" w:color="auto"/>
            <w:left w:val="none" w:sz="0" w:space="0" w:color="auto"/>
            <w:bottom w:val="none" w:sz="0" w:space="0" w:color="auto"/>
            <w:right w:val="none" w:sz="0" w:space="0" w:color="auto"/>
          </w:divBdr>
          <w:divsChild>
            <w:div w:id="1884438338">
              <w:marLeft w:val="0"/>
              <w:marRight w:val="0"/>
              <w:marTop w:val="0"/>
              <w:marBottom w:val="0"/>
              <w:divBdr>
                <w:top w:val="none" w:sz="0" w:space="0" w:color="auto"/>
                <w:left w:val="none" w:sz="0" w:space="0" w:color="auto"/>
                <w:bottom w:val="none" w:sz="0" w:space="0" w:color="auto"/>
                <w:right w:val="none" w:sz="0" w:space="0" w:color="auto"/>
              </w:divBdr>
              <w:divsChild>
                <w:div w:id="541136143">
                  <w:marLeft w:val="0"/>
                  <w:marRight w:val="0"/>
                  <w:marTop w:val="0"/>
                  <w:marBottom w:val="0"/>
                  <w:divBdr>
                    <w:top w:val="none" w:sz="0" w:space="0" w:color="auto"/>
                    <w:left w:val="none" w:sz="0" w:space="0" w:color="auto"/>
                    <w:bottom w:val="none" w:sz="0" w:space="0" w:color="auto"/>
                    <w:right w:val="none" w:sz="0" w:space="0" w:color="auto"/>
                  </w:divBdr>
                  <w:divsChild>
                    <w:div w:id="529412797">
                      <w:marLeft w:val="0"/>
                      <w:marRight w:val="0"/>
                      <w:marTop w:val="0"/>
                      <w:marBottom w:val="0"/>
                      <w:divBdr>
                        <w:top w:val="none" w:sz="0" w:space="0" w:color="auto"/>
                        <w:left w:val="none" w:sz="0" w:space="0" w:color="auto"/>
                        <w:bottom w:val="none" w:sz="0" w:space="0" w:color="auto"/>
                        <w:right w:val="none" w:sz="0" w:space="0" w:color="auto"/>
                      </w:divBdr>
                      <w:divsChild>
                        <w:div w:id="79051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835285">
              <w:marLeft w:val="0"/>
              <w:marRight w:val="0"/>
              <w:marTop w:val="60"/>
              <w:marBottom w:val="0"/>
              <w:divBdr>
                <w:top w:val="none" w:sz="0" w:space="0" w:color="auto"/>
                <w:left w:val="none" w:sz="0" w:space="0" w:color="auto"/>
                <w:bottom w:val="none" w:sz="0" w:space="0" w:color="auto"/>
                <w:right w:val="none" w:sz="0" w:space="0" w:color="auto"/>
              </w:divBdr>
            </w:div>
          </w:divsChild>
        </w:div>
        <w:div w:id="722146019">
          <w:marLeft w:val="0"/>
          <w:marRight w:val="0"/>
          <w:marTop w:val="0"/>
          <w:marBottom w:val="0"/>
          <w:divBdr>
            <w:top w:val="none" w:sz="0" w:space="0" w:color="auto"/>
            <w:left w:val="none" w:sz="0" w:space="0" w:color="auto"/>
            <w:bottom w:val="none" w:sz="0" w:space="0" w:color="auto"/>
            <w:right w:val="none" w:sz="0" w:space="0" w:color="auto"/>
          </w:divBdr>
          <w:divsChild>
            <w:div w:id="1657957782">
              <w:marLeft w:val="0"/>
              <w:marRight w:val="0"/>
              <w:marTop w:val="0"/>
              <w:marBottom w:val="0"/>
              <w:divBdr>
                <w:top w:val="none" w:sz="0" w:space="0" w:color="auto"/>
                <w:left w:val="none" w:sz="0" w:space="0" w:color="auto"/>
                <w:bottom w:val="none" w:sz="0" w:space="0" w:color="auto"/>
                <w:right w:val="none" w:sz="0" w:space="0" w:color="auto"/>
              </w:divBdr>
              <w:divsChild>
                <w:div w:id="63356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937903">
      <w:bodyDiv w:val="1"/>
      <w:marLeft w:val="0"/>
      <w:marRight w:val="0"/>
      <w:marTop w:val="0"/>
      <w:marBottom w:val="0"/>
      <w:divBdr>
        <w:top w:val="none" w:sz="0" w:space="0" w:color="auto"/>
        <w:left w:val="none" w:sz="0" w:space="0" w:color="auto"/>
        <w:bottom w:val="none" w:sz="0" w:space="0" w:color="auto"/>
        <w:right w:val="none" w:sz="0" w:space="0" w:color="auto"/>
      </w:divBdr>
    </w:div>
    <w:div w:id="350301400">
      <w:bodyDiv w:val="1"/>
      <w:marLeft w:val="0"/>
      <w:marRight w:val="0"/>
      <w:marTop w:val="0"/>
      <w:marBottom w:val="0"/>
      <w:divBdr>
        <w:top w:val="none" w:sz="0" w:space="0" w:color="auto"/>
        <w:left w:val="none" w:sz="0" w:space="0" w:color="auto"/>
        <w:bottom w:val="none" w:sz="0" w:space="0" w:color="auto"/>
        <w:right w:val="none" w:sz="0" w:space="0" w:color="auto"/>
      </w:divBdr>
    </w:div>
    <w:div w:id="360203208">
      <w:bodyDiv w:val="1"/>
      <w:marLeft w:val="0"/>
      <w:marRight w:val="0"/>
      <w:marTop w:val="0"/>
      <w:marBottom w:val="0"/>
      <w:divBdr>
        <w:top w:val="none" w:sz="0" w:space="0" w:color="auto"/>
        <w:left w:val="none" w:sz="0" w:space="0" w:color="auto"/>
        <w:bottom w:val="none" w:sz="0" w:space="0" w:color="auto"/>
        <w:right w:val="none" w:sz="0" w:space="0" w:color="auto"/>
      </w:divBdr>
    </w:div>
    <w:div w:id="406540346">
      <w:bodyDiv w:val="1"/>
      <w:marLeft w:val="0"/>
      <w:marRight w:val="0"/>
      <w:marTop w:val="0"/>
      <w:marBottom w:val="0"/>
      <w:divBdr>
        <w:top w:val="none" w:sz="0" w:space="0" w:color="auto"/>
        <w:left w:val="none" w:sz="0" w:space="0" w:color="auto"/>
        <w:bottom w:val="none" w:sz="0" w:space="0" w:color="auto"/>
        <w:right w:val="none" w:sz="0" w:space="0" w:color="auto"/>
      </w:divBdr>
    </w:div>
    <w:div w:id="424376461">
      <w:bodyDiv w:val="1"/>
      <w:marLeft w:val="0"/>
      <w:marRight w:val="0"/>
      <w:marTop w:val="0"/>
      <w:marBottom w:val="0"/>
      <w:divBdr>
        <w:top w:val="none" w:sz="0" w:space="0" w:color="auto"/>
        <w:left w:val="none" w:sz="0" w:space="0" w:color="auto"/>
        <w:bottom w:val="none" w:sz="0" w:space="0" w:color="auto"/>
        <w:right w:val="none" w:sz="0" w:space="0" w:color="auto"/>
      </w:divBdr>
    </w:div>
    <w:div w:id="522091145">
      <w:bodyDiv w:val="1"/>
      <w:marLeft w:val="0"/>
      <w:marRight w:val="0"/>
      <w:marTop w:val="0"/>
      <w:marBottom w:val="0"/>
      <w:divBdr>
        <w:top w:val="none" w:sz="0" w:space="0" w:color="auto"/>
        <w:left w:val="none" w:sz="0" w:space="0" w:color="auto"/>
        <w:bottom w:val="none" w:sz="0" w:space="0" w:color="auto"/>
        <w:right w:val="none" w:sz="0" w:space="0" w:color="auto"/>
      </w:divBdr>
    </w:div>
    <w:div w:id="643436432">
      <w:bodyDiv w:val="1"/>
      <w:marLeft w:val="0"/>
      <w:marRight w:val="0"/>
      <w:marTop w:val="0"/>
      <w:marBottom w:val="0"/>
      <w:divBdr>
        <w:top w:val="none" w:sz="0" w:space="0" w:color="auto"/>
        <w:left w:val="none" w:sz="0" w:space="0" w:color="auto"/>
        <w:bottom w:val="none" w:sz="0" w:space="0" w:color="auto"/>
        <w:right w:val="none" w:sz="0" w:space="0" w:color="auto"/>
      </w:divBdr>
    </w:div>
    <w:div w:id="728649974">
      <w:bodyDiv w:val="1"/>
      <w:marLeft w:val="0"/>
      <w:marRight w:val="0"/>
      <w:marTop w:val="0"/>
      <w:marBottom w:val="0"/>
      <w:divBdr>
        <w:top w:val="none" w:sz="0" w:space="0" w:color="auto"/>
        <w:left w:val="none" w:sz="0" w:space="0" w:color="auto"/>
        <w:bottom w:val="none" w:sz="0" w:space="0" w:color="auto"/>
        <w:right w:val="none" w:sz="0" w:space="0" w:color="auto"/>
      </w:divBdr>
    </w:div>
    <w:div w:id="743992359">
      <w:bodyDiv w:val="1"/>
      <w:marLeft w:val="0"/>
      <w:marRight w:val="0"/>
      <w:marTop w:val="0"/>
      <w:marBottom w:val="0"/>
      <w:divBdr>
        <w:top w:val="none" w:sz="0" w:space="0" w:color="auto"/>
        <w:left w:val="none" w:sz="0" w:space="0" w:color="auto"/>
        <w:bottom w:val="none" w:sz="0" w:space="0" w:color="auto"/>
        <w:right w:val="none" w:sz="0" w:space="0" w:color="auto"/>
      </w:divBdr>
    </w:div>
    <w:div w:id="774250347">
      <w:bodyDiv w:val="1"/>
      <w:marLeft w:val="0"/>
      <w:marRight w:val="0"/>
      <w:marTop w:val="0"/>
      <w:marBottom w:val="0"/>
      <w:divBdr>
        <w:top w:val="none" w:sz="0" w:space="0" w:color="auto"/>
        <w:left w:val="none" w:sz="0" w:space="0" w:color="auto"/>
        <w:bottom w:val="none" w:sz="0" w:space="0" w:color="auto"/>
        <w:right w:val="none" w:sz="0" w:space="0" w:color="auto"/>
      </w:divBdr>
    </w:div>
    <w:div w:id="778993398">
      <w:bodyDiv w:val="1"/>
      <w:marLeft w:val="0"/>
      <w:marRight w:val="0"/>
      <w:marTop w:val="0"/>
      <w:marBottom w:val="0"/>
      <w:divBdr>
        <w:top w:val="none" w:sz="0" w:space="0" w:color="auto"/>
        <w:left w:val="none" w:sz="0" w:space="0" w:color="auto"/>
        <w:bottom w:val="none" w:sz="0" w:space="0" w:color="auto"/>
        <w:right w:val="none" w:sz="0" w:space="0" w:color="auto"/>
      </w:divBdr>
    </w:div>
    <w:div w:id="781724219">
      <w:bodyDiv w:val="1"/>
      <w:marLeft w:val="0"/>
      <w:marRight w:val="0"/>
      <w:marTop w:val="0"/>
      <w:marBottom w:val="0"/>
      <w:divBdr>
        <w:top w:val="none" w:sz="0" w:space="0" w:color="auto"/>
        <w:left w:val="none" w:sz="0" w:space="0" w:color="auto"/>
        <w:bottom w:val="none" w:sz="0" w:space="0" w:color="auto"/>
        <w:right w:val="none" w:sz="0" w:space="0" w:color="auto"/>
      </w:divBdr>
    </w:div>
    <w:div w:id="824316493">
      <w:bodyDiv w:val="1"/>
      <w:marLeft w:val="0"/>
      <w:marRight w:val="0"/>
      <w:marTop w:val="0"/>
      <w:marBottom w:val="0"/>
      <w:divBdr>
        <w:top w:val="none" w:sz="0" w:space="0" w:color="auto"/>
        <w:left w:val="none" w:sz="0" w:space="0" w:color="auto"/>
        <w:bottom w:val="none" w:sz="0" w:space="0" w:color="auto"/>
        <w:right w:val="none" w:sz="0" w:space="0" w:color="auto"/>
      </w:divBdr>
    </w:div>
    <w:div w:id="845706119">
      <w:bodyDiv w:val="1"/>
      <w:marLeft w:val="0"/>
      <w:marRight w:val="0"/>
      <w:marTop w:val="0"/>
      <w:marBottom w:val="0"/>
      <w:divBdr>
        <w:top w:val="none" w:sz="0" w:space="0" w:color="auto"/>
        <w:left w:val="none" w:sz="0" w:space="0" w:color="auto"/>
        <w:bottom w:val="none" w:sz="0" w:space="0" w:color="auto"/>
        <w:right w:val="none" w:sz="0" w:space="0" w:color="auto"/>
      </w:divBdr>
    </w:div>
    <w:div w:id="911548681">
      <w:bodyDiv w:val="1"/>
      <w:marLeft w:val="0"/>
      <w:marRight w:val="0"/>
      <w:marTop w:val="0"/>
      <w:marBottom w:val="0"/>
      <w:divBdr>
        <w:top w:val="none" w:sz="0" w:space="0" w:color="auto"/>
        <w:left w:val="none" w:sz="0" w:space="0" w:color="auto"/>
        <w:bottom w:val="none" w:sz="0" w:space="0" w:color="auto"/>
        <w:right w:val="none" w:sz="0" w:space="0" w:color="auto"/>
      </w:divBdr>
    </w:div>
    <w:div w:id="994339516">
      <w:bodyDiv w:val="1"/>
      <w:marLeft w:val="0"/>
      <w:marRight w:val="0"/>
      <w:marTop w:val="0"/>
      <w:marBottom w:val="0"/>
      <w:divBdr>
        <w:top w:val="none" w:sz="0" w:space="0" w:color="auto"/>
        <w:left w:val="none" w:sz="0" w:space="0" w:color="auto"/>
        <w:bottom w:val="none" w:sz="0" w:space="0" w:color="auto"/>
        <w:right w:val="none" w:sz="0" w:space="0" w:color="auto"/>
      </w:divBdr>
    </w:div>
    <w:div w:id="1064641365">
      <w:bodyDiv w:val="1"/>
      <w:marLeft w:val="0"/>
      <w:marRight w:val="0"/>
      <w:marTop w:val="0"/>
      <w:marBottom w:val="0"/>
      <w:divBdr>
        <w:top w:val="none" w:sz="0" w:space="0" w:color="auto"/>
        <w:left w:val="none" w:sz="0" w:space="0" w:color="auto"/>
        <w:bottom w:val="none" w:sz="0" w:space="0" w:color="auto"/>
        <w:right w:val="none" w:sz="0" w:space="0" w:color="auto"/>
      </w:divBdr>
    </w:div>
    <w:div w:id="1065445657">
      <w:bodyDiv w:val="1"/>
      <w:marLeft w:val="0"/>
      <w:marRight w:val="0"/>
      <w:marTop w:val="0"/>
      <w:marBottom w:val="0"/>
      <w:divBdr>
        <w:top w:val="none" w:sz="0" w:space="0" w:color="auto"/>
        <w:left w:val="none" w:sz="0" w:space="0" w:color="auto"/>
        <w:bottom w:val="none" w:sz="0" w:space="0" w:color="auto"/>
        <w:right w:val="none" w:sz="0" w:space="0" w:color="auto"/>
      </w:divBdr>
    </w:div>
    <w:div w:id="1098259930">
      <w:bodyDiv w:val="1"/>
      <w:marLeft w:val="0"/>
      <w:marRight w:val="0"/>
      <w:marTop w:val="0"/>
      <w:marBottom w:val="0"/>
      <w:divBdr>
        <w:top w:val="none" w:sz="0" w:space="0" w:color="auto"/>
        <w:left w:val="none" w:sz="0" w:space="0" w:color="auto"/>
        <w:bottom w:val="none" w:sz="0" w:space="0" w:color="auto"/>
        <w:right w:val="none" w:sz="0" w:space="0" w:color="auto"/>
      </w:divBdr>
    </w:div>
    <w:div w:id="1140147115">
      <w:bodyDiv w:val="1"/>
      <w:marLeft w:val="0"/>
      <w:marRight w:val="0"/>
      <w:marTop w:val="0"/>
      <w:marBottom w:val="0"/>
      <w:divBdr>
        <w:top w:val="none" w:sz="0" w:space="0" w:color="auto"/>
        <w:left w:val="none" w:sz="0" w:space="0" w:color="auto"/>
        <w:bottom w:val="none" w:sz="0" w:space="0" w:color="auto"/>
        <w:right w:val="none" w:sz="0" w:space="0" w:color="auto"/>
      </w:divBdr>
    </w:div>
    <w:div w:id="1296568141">
      <w:bodyDiv w:val="1"/>
      <w:marLeft w:val="0"/>
      <w:marRight w:val="0"/>
      <w:marTop w:val="0"/>
      <w:marBottom w:val="0"/>
      <w:divBdr>
        <w:top w:val="none" w:sz="0" w:space="0" w:color="auto"/>
        <w:left w:val="none" w:sz="0" w:space="0" w:color="auto"/>
        <w:bottom w:val="none" w:sz="0" w:space="0" w:color="auto"/>
        <w:right w:val="none" w:sz="0" w:space="0" w:color="auto"/>
      </w:divBdr>
    </w:div>
    <w:div w:id="1372730627">
      <w:bodyDiv w:val="1"/>
      <w:marLeft w:val="0"/>
      <w:marRight w:val="0"/>
      <w:marTop w:val="0"/>
      <w:marBottom w:val="0"/>
      <w:divBdr>
        <w:top w:val="none" w:sz="0" w:space="0" w:color="auto"/>
        <w:left w:val="none" w:sz="0" w:space="0" w:color="auto"/>
        <w:bottom w:val="none" w:sz="0" w:space="0" w:color="auto"/>
        <w:right w:val="none" w:sz="0" w:space="0" w:color="auto"/>
      </w:divBdr>
    </w:div>
    <w:div w:id="1387028750">
      <w:bodyDiv w:val="1"/>
      <w:marLeft w:val="0"/>
      <w:marRight w:val="0"/>
      <w:marTop w:val="0"/>
      <w:marBottom w:val="0"/>
      <w:divBdr>
        <w:top w:val="none" w:sz="0" w:space="0" w:color="auto"/>
        <w:left w:val="none" w:sz="0" w:space="0" w:color="auto"/>
        <w:bottom w:val="none" w:sz="0" w:space="0" w:color="auto"/>
        <w:right w:val="none" w:sz="0" w:space="0" w:color="auto"/>
      </w:divBdr>
    </w:div>
    <w:div w:id="1404913573">
      <w:bodyDiv w:val="1"/>
      <w:marLeft w:val="0"/>
      <w:marRight w:val="0"/>
      <w:marTop w:val="0"/>
      <w:marBottom w:val="0"/>
      <w:divBdr>
        <w:top w:val="none" w:sz="0" w:space="0" w:color="auto"/>
        <w:left w:val="none" w:sz="0" w:space="0" w:color="auto"/>
        <w:bottom w:val="none" w:sz="0" w:space="0" w:color="auto"/>
        <w:right w:val="none" w:sz="0" w:space="0" w:color="auto"/>
      </w:divBdr>
      <w:divsChild>
        <w:div w:id="1669670193">
          <w:marLeft w:val="0"/>
          <w:marRight w:val="0"/>
          <w:marTop w:val="0"/>
          <w:marBottom w:val="0"/>
          <w:divBdr>
            <w:top w:val="none" w:sz="0" w:space="0" w:color="auto"/>
            <w:left w:val="none" w:sz="0" w:space="0" w:color="auto"/>
            <w:bottom w:val="none" w:sz="0" w:space="0" w:color="auto"/>
            <w:right w:val="none" w:sz="0" w:space="0" w:color="auto"/>
          </w:divBdr>
          <w:divsChild>
            <w:div w:id="950741996">
              <w:marLeft w:val="0"/>
              <w:marRight w:val="0"/>
              <w:marTop w:val="0"/>
              <w:marBottom w:val="0"/>
              <w:divBdr>
                <w:top w:val="none" w:sz="0" w:space="0" w:color="auto"/>
                <w:left w:val="none" w:sz="0" w:space="0" w:color="auto"/>
                <w:bottom w:val="none" w:sz="0" w:space="0" w:color="auto"/>
                <w:right w:val="none" w:sz="0" w:space="0" w:color="auto"/>
              </w:divBdr>
            </w:div>
            <w:div w:id="130943903">
              <w:marLeft w:val="0"/>
              <w:marRight w:val="0"/>
              <w:marTop w:val="0"/>
              <w:marBottom w:val="0"/>
              <w:divBdr>
                <w:top w:val="none" w:sz="0" w:space="0" w:color="auto"/>
                <w:left w:val="none" w:sz="0" w:space="0" w:color="auto"/>
                <w:bottom w:val="none" w:sz="0" w:space="0" w:color="auto"/>
                <w:right w:val="none" w:sz="0" w:space="0" w:color="auto"/>
              </w:divBdr>
            </w:div>
          </w:divsChild>
        </w:div>
        <w:div w:id="2039768478">
          <w:marLeft w:val="0"/>
          <w:marRight w:val="0"/>
          <w:marTop w:val="100"/>
          <w:marBottom w:val="0"/>
          <w:divBdr>
            <w:top w:val="none" w:sz="0" w:space="0" w:color="auto"/>
            <w:left w:val="none" w:sz="0" w:space="0" w:color="auto"/>
            <w:bottom w:val="none" w:sz="0" w:space="0" w:color="auto"/>
            <w:right w:val="none" w:sz="0" w:space="0" w:color="auto"/>
          </w:divBdr>
          <w:divsChild>
            <w:div w:id="961574709">
              <w:marLeft w:val="0"/>
              <w:marRight w:val="0"/>
              <w:marTop w:val="0"/>
              <w:marBottom w:val="0"/>
              <w:divBdr>
                <w:top w:val="none" w:sz="0" w:space="0" w:color="auto"/>
                <w:left w:val="none" w:sz="0" w:space="0" w:color="auto"/>
                <w:bottom w:val="none" w:sz="0" w:space="0" w:color="auto"/>
                <w:right w:val="none" w:sz="0" w:space="0" w:color="auto"/>
              </w:divBdr>
              <w:divsChild>
                <w:div w:id="1061708978">
                  <w:marLeft w:val="0"/>
                  <w:marRight w:val="0"/>
                  <w:marTop w:val="0"/>
                  <w:marBottom w:val="0"/>
                  <w:divBdr>
                    <w:top w:val="none" w:sz="0" w:space="0" w:color="auto"/>
                    <w:left w:val="none" w:sz="0" w:space="0" w:color="auto"/>
                    <w:bottom w:val="none" w:sz="0" w:space="0" w:color="auto"/>
                    <w:right w:val="none" w:sz="0" w:space="0" w:color="auto"/>
                  </w:divBdr>
                  <w:divsChild>
                    <w:div w:id="560756332">
                      <w:marLeft w:val="0"/>
                      <w:marRight w:val="0"/>
                      <w:marTop w:val="0"/>
                      <w:marBottom w:val="0"/>
                      <w:divBdr>
                        <w:top w:val="none" w:sz="0" w:space="0" w:color="auto"/>
                        <w:left w:val="none" w:sz="0" w:space="0" w:color="auto"/>
                        <w:bottom w:val="none" w:sz="0" w:space="0" w:color="auto"/>
                        <w:right w:val="none" w:sz="0" w:space="0" w:color="auto"/>
                      </w:divBdr>
                      <w:divsChild>
                        <w:div w:id="172583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814324">
              <w:marLeft w:val="0"/>
              <w:marRight w:val="0"/>
              <w:marTop w:val="60"/>
              <w:marBottom w:val="0"/>
              <w:divBdr>
                <w:top w:val="none" w:sz="0" w:space="0" w:color="auto"/>
                <w:left w:val="none" w:sz="0" w:space="0" w:color="auto"/>
                <w:bottom w:val="none" w:sz="0" w:space="0" w:color="auto"/>
                <w:right w:val="none" w:sz="0" w:space="0" w:color="auto"/>
              </w:divBdr>
            </w:div>
          </w:divsChild>
        </w:div>
        <w:div w:id="199244329">
          <w:marLeft w:val="0"/>
          <w:marRight w:val="0"/>
          <w:marTop w:val="0"/>
          <w:marBottom w:val="0"/>
          <w:divBdr>
            <w:top w:val="none" w:sz="0" w:space="0" w:color="auto"/>
            <w:left w:val="none" w:sz="0" w:space="0" w:color="auto"/>
            <w:bottom w:val="none" w:sz="0" w:space="0" w:color="auto"/>
            <w:right w:val="none" w:sz="0" w:space="0" w:color="auto"/>
          </w:divBdr>
          <w:divsChild>
            <w:div w:id="311914351">
              <w:marLeft w:val="0"/>
              <w:marRight w:val="0"/>
              <w:marTop w:val="0"/>
              <w:marBottom w:val="0"/>
              <w:divBdr>
                <w:top w:val="none" w:sz="0" w:space="0" w:color="auto"/>
                <w:left w:val="none" w:sz="0" w:space="0" w:color="auto"/>
                <w:bottom w:val="none" w:sz="0" w:space="0" w:color="auto"/>
                <w:right w:val="none" w:sz="0" w:space="0" w:color="auto"/>
              </w:divBdr>
              <w:divsChild>
                <w:div w:id="32401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629357">
      <w:bodyDiv w:val="1"/>
      <w:marLeft w:val="0"/>
      <w:marRight w:val="0"/>
      <w:marTop w:val="0"/>
      <w:marBottom w:val="0"/>
      <w:divBdr>
        <w:top w:val="none" w:sz="0" w:space="0" w:color="auto"/>
        <w:left w:val="none" w:sz="0" w:space="0" w:color="auto"/>
        <w:bottom w:val="none" w:sz="0" w:space="0" w:color="auto"/>
        <w:right w:val="none" w:sz="0" w:space="0" w:color="auto"/>
      </w:divBdr>
    </w:div>
    <w:div w:id="1589077535">
      <w:bodyDiv w:val="1"/>
      <w:marLeft w:val="0"/>
      <w:marRight w:val="0"/>
      <w:marTop w:val="0"/>
      <w:marBottom w:val="0"/>
      <w:divBdr>
        <w:top w:val="none" w:sz="0" w:space="0" w:color="auto"/>
        <w:left w:val="none" w:sz="0" w:space="0" w:color="auto"/>
        <w:bottom w:val="none" w:sz="0" w:space="0" w:color="auto"/>
        <w:right w:val="none" w:sz="0" w:space="0" w:color="auto"/>
      </w:divBdr>
      <w:divsChild>
        <w:div w:id="169954836">
          <w:marLeft w:val="0"/>
          <w:marRight w:val="0"/>
          <w:marTop w:val="0"/>
          <w:marBottom w:val="0"/>
          <w:divBdr>
            <w:top w:val="none" w:sz="0" w:space="0" w:color="auto"/>
            <w:left w:val="none" w:sz="0" w:space="0" w:color="auto"/>
            <w:bottom w:val="none" w:sz="0" w:space="0" w:color="auto"/>
            <w:right w:val="none" w:sz="0" w:space="0" w:color="auto"/>
          </w:divBdr>
          <w:divsChild>
            <w:div w:id="1431927936">
              <w:marLeft w:val="0"/>
              <w:marRight w:val="0"/>
              <w:marTop w:val="0"/>
              <w:marBottom w:val="0"/>
              <w:divBdr>
                <w:top w:val="none" w:sz="0" w:space="0" w:color="auto"/>
                <w:left w:val="none" w:sz="0" w:space="0" w:color="auto"/>
                <w:bottom w:val="none" w:sz="0" w:space="0" w:color="auto"/>
                <w:right w:val="none" w:sz="0" w:space="0" w:color="auto"/>
              </w:divBdr>
            </w:div>
            <w:div w:id="1771047500">
              <w:marLeft w:val="0"/>
              <w:marRight w:val="0"/>
              <w:marTop w:val="0"/>
              <w:marBottom w:val="0"/>
              <w:divBdr>
                <w:top w:val="none" w:sz="0" w:space="0" w:color="auto"/>
                <w:left w:val="none" w:sz="0" w:space="0" w:color="auto"/>
                <w:bottom w:val="none" w:sz="0" w:space="0" w:color="auto"/>
                <w:right w:val="none" w:sz="0" w:space="0" w:color="auto"/>
              </w:divBdr>
            </w:div>
          </w:divsChild>
        </w:div>
        <w:div w:id="1304775355">
          <w:marLeft w:val="0"/>
          <w:marRight w:val="0"/>
          <w:marTop w:val="100"/>
          <w:marBottom w:val="0"/>
          <w:divBdr>
            <w:top w:val="none" w:sz="0" w:space="0" w:color="auto"/>
            <w:left w:val="none" w:sz="0" w:space="0" w:color="auto"/>
            <w:bottom w:val="none" w:sz="0" w:space="0" w:color="auto"/>
            <w:right w:val="none" w:sz="0" w:space="0" w:color="auto"/>
          </w:divBdr>
          <w:divsChild>
            <w:div w:id="1297566222">
              <w:marLeft w:val="0"/>
              <w:marRight w:val="0"/>
              <w:marTop w:val="0"/>
              <w:marBottom w:val="0"/>
              <w:divBdr>
                <w:top w:val="none" w:sz="0" w:space="0" w:color="auto"/>
                <w:left w:val="none" w:sz="0" w:space="0" w:color="auto"/>
                <w:bottom w:val="none" w:sz="0" w:space="0" w:color="auto"/>
                <w:right w:val="none" w:sz="0" w:space="0" w:color="auto"/>
              </w:divBdr>
              <w:divsChild>
                <w:div w:id="729185137">
                  <w:marLeft w:val="0"/>
                  <w:marRight w:val="0"/>
                  <w:marTop w:val="0"/>
                  <w:marBottom w:val="0"/>
                  <w:divBdr>
                    <w:top w:val="none" w:sz="0" w:space="0" w:color="auto"/>
                    <w:left w:val="none" w:sz="0" w:space="0" w:color="auto"/>
                    <w:bottom w:val="none" w:sz="0" w:space="0" w:color="auto"/>
                    <w:right w:val="none" w:sz="0" w:space="0" w:color="auto"/>
                  </w:divBdr>
                  <w:divsChild>
                    <w:div w:id="2088257866">
                      <w:marLeft w:val="0"/>
                      <w:marRight w:val="0"/>
                      <w:marTop w:val="0"/>
                      <w:marBottom w:val="0"/>
                      <w:divBdr>
                        <w:top w:val="none" w:sz="0" w:space="0" w:color="auto"/>
                        <w:left w:val="none" w:sz="0" w:space="0" w:color="auto"/>
                        <w:bottom w:val="none" w:sz="0" w:space="0" w:color="auto"/>
                        <w:right w:val="none" w:sz="0" w:space="0" w:color="auto"/>
                      </w:divBdr>
                      <w:divsChild>
                        <w:div w:id="213032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782950">
              <w:marLeft w:val="0"/>
              <w:marRight w:val="0"/>
              <w:marTop w:val="60"/>
              <w:marBottom w:val="0"/>
              <w:divBdr>
                <w:top w:val="none" w:sz="0" w:space="0" w:color="auto"/>
                <w:left w:val="none" w:sz="0" w:space="0" w:color="auto"/>
                <w:bottom w:val="none" w:sz="0" w:space="0" w:color="auto"/>
                <w:right w:val="none" w:sz="0" w:space="0" w:color="auto"/>
              </w:divBdr>
            </w:div>
          </w:divsChild>
        </w:div>
        <w:div w:id="1001541093">
          <w:marLeft w:val="0"/>
          <w:marRight w:val="0"/>
          <w:marTop w:val="0"/>
          <w:marBottom w:val="0"/>
          <w:divBdr>
            <w:top w:val="none" w:sz="0" w:space="0" w:color="auto"/>
            <w:left w:val="none" w:sz="0" w:space="0" w:color="auto"/>
            <w:bottom w:val="none" w:sz="0" w:space="0" w:color="auto"/>
            <w:right w:val="none" w:sz="0" w:space="0" w:color="auto"/>
          </w:divBdr>
          <w:divsChild>
            <w:div w:id="957031124">
              <w:marLeft w:val="0"/>
              <w:marRight w:val="0"/>
              <w:marTop w:val="0"/>
              <w:marBottom w:val="0"/>
              <w:divBdr>
                <w:top w:val="none" w:sz="0" w:space="0" w:color="auto"/>
                <w:left w:val="none" w:sz="0" w:space="0" w:color="auto"/>
                <w:bottom w:val="none" w:sz="0" w:space="0" w:color="auto"/>
                <w:right w:val="none" w:sz="0" w:space="0" w:color="auto"/>
              </w:divBdr>
              <w:divsChild>
                <w:div w:id="196210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351852">
      <w:bodyDiv w:val="1"/>
      <w:marLeft w:val="0"/>
      <w:marRight w:val="0"/>
      <w:marTop w:val="0"/>
      <w:marBottom w:val="0"/>
      <w:divBdr>
        <w:top w:val="none" w:sz="0" w:space="0" w:color="auto"/>
        <w:left w:val="none" w:sz="0" w:space="0" w:color="auto"/>
        <w:bottom w:val="none" w:sz="0" w:space="0" w:color="auto"/>
        <w:right w:val="none" w:sz="0" w:space="0" w:color="auto"/>
      </w:divBdr>
      <w:divsChild>
        <w:div w:id="1310524002">
          <w:marLeft w:val="720"/>
          <w:marRight w:val="0"/>
          <w:marTop w:val="120"/>
          <w:marBottom w:val="0"/>
          <w:divBdr>
            <w:top w:val="none" w:sz="0" w:space="0" w:color="auto"/>
            <w:left w:val="none" w:sz="0" w:space="0" w:color="auto"/>
            <w:bottom w:val="none" w:sz="0" w:space="0" w:color="auto"/>
            <w:right w:val="none" w:sz="0" w:space="0" w:color="auto"/>
          </w:divBdr>
        </w:div>
      </w:divsChild>
    </w:div>
    <w:div w:id="1716392215">
      <w:bodyDiv w:val="1"/>
      <w:marLeft w:val="0"/>
      <w:marRight w:val="0"/>
      <w:marTop w:val="0"/>
      <w:marBottom w:val="0"/>
      <w:divBdr>
        <w:top w:val="none" w:sz="0" w:space="0" w:color="auto"/>
        <w:left w:val="none" w:sz="0" w:space="0" w:color="auto"/>
        <w:bottom w:val="none" w:sz="0" w:space="0" w:color="auto"/>
        <w:right w:val="none" w:sz="0" w:space="0" w:color="auto"/>
      </w:divBdr>
    </w:div>
    <w:div w:id="1790970638">
      <w:bodyDiv w:val="1"/>
      <w:marLeft w:val="0"/>
      <w:marRight w:val="0"/>
      <w:marTop w:val="0"/>
      <w:marBottom w:val="0"/>
      <w:divBdr>
        <w:top w:val="none" w:sz="0" w:space="0" w:color="auto"/>
        <w:left w:val="none" w:sz="0" w:space="0" w:color="auto"/>
        <w:bottom w:val="none" w:sz="0" w:space="0" w:color="auto"/>
        <w:right w:val="none" w:sz="0" w:space="0" w:color="auto"/>
      </w:divBdr>
      <w:divsChild>
        <w:div w:id="1754352936">
          <w:marLeft w:val="1440"/>
          <w:marRight w:val="0"/>
          <w:marTop w:val="200"/>
          <w:marBottom w:val="0"/>
          <w:divBdr>
            <w:top w:val="none" w:sz="0" w:space="0" w:color="auto"/>
            <w:left w:val="none" w:sz="0" w:space="0" w:color="auto"/>
            <w:bottom w:val="none" w:sz="0" w:space="0" w:color="auto"/>
            <w:right w:val="none" w:sz="0" w:space="0" w:color="auto"/>
          </w:divBdr>
        </w:div>
        <w:div w:id="291789801">
          <w:marLeft w:val="1440"/>
          <w:marRight w:val="0"/>
          <w:marTop w:val="200"/>
          <w:marBottom w:val="0"/>
          <w:divBdr>
            <w:top w:val="none" w:sz="0" w:space="0" w:color="auto"/>
            <w:left w:val="none" w:sz="0" w:space="0" w:color="auto"/>
            <w:bottom w:val="none" w:sz="0" w:space="0" w:color="auto"/>
            <w:right w:val="none" w:sz="0" w:space="0" w:color="auto"/>
          </w:divBdr>
        </w:div>
        <w:div w:id="1995327533">
          <w:marLeft w:val="1440"/>
          <w:marRight w:val="0"/>
          <w:marTop w:val="200"/>
          <w:marBottom w:val="0"/>
          <w:divBdr>
            <w:top w:val="none" w:sz="0" w:space="0" w:color="auto"/>
            <w:left w:val="none" w:sz="0" w:space="0" w:color="auto"/>
            <w:bottom w:val="none" w:sz="0" w:space="0" w:color="auto"/>
            <w:right w:val="none" w:sz="0" w:space="0" w:color="auto"/>
          </w:divBdr>
        </w:div>
        <w:div w:id="207228722">
          <w:marLeft w:val="1440"/>
          <w:marRight w:val="0"/>
          <w:marTop w:val="200"/>
          <w:marBottom w:val="0"/>
          <w:divBdr>
            <w:top w:val="none" w:sz="0" w:space="0" w:color="auto"/>
            <w:left w:val="none" w:sz="0" w:space="0" w:color="auto"/>
            <w:bottom w:val="none" w:sz="0" w:space="0" w:color="auto"/>
            <w:right w:val="none" w:sz="0" w:space="0" w:color="auto"/>
          </w:divBdr>
        </w:div>
      </w:divsChild>
    </w:div>
    <w:div w:id="1795248884">
      <w:bodyDiv w:val="1"/>
      <w:marLeft w:val="0"/>
      <w:marRight w:val="0"/>
      <w:marTop w:val="0"/>
      <w:marBottom w:val="0"/>
      <w:divBdr>
        <w:top w:val="none" w:sz="0" w:space="0" w:color="auto"/>
        <w:left w:val="none" w:sz="0" w:space="0" w:color="auto"/>
        <w:bottom w:val="none" w:sz="0" w:space="0" w:color="auto"/>
        <w:right w:val="none" w:sz="0" w:space="0" w:color="auto"/>
      </w:divBdr>
    </w:div>
    <w:div w:id="1810903040">
      <w:bodyDiv w:val="1"/>
      <w:marLeft w:val="0"/>
      <w:marRight w:val="0"/>
      <w:marTop w:val="0"/>
      <w:marBottom w:val="0"/>
      <w:divBdr>
        <w:top w:val="none" w:sz="0" w:space="0" w:color="auto"/>
        <w:left w:val="none" w:sz="0" w:space="0" w:color="auto"/>
        <w:bottom w:val="none" w:sz="0" w:space="0" w:color="auto"/>
        <w:right w:val="none" w:sz="0" w:space="0" w:color="auto"/>
      </w:divBdr>
    </w:div>
    <w:div w:id="1831284293">
      <w:bodyDiv w:val="1"/>
      <w:marLeft w:val="0"/>
      <w:marRight w:val="0"/>
      <w:marTop w:val="0"/>
      <w:marBottom w:val="0"/>
      <w:divBdr>
        <w:top w:val="none" w:sz="0" w:space="0" w:color="auto"/>
        <w:left w:val="none" w:sz="0" w:space="0" w:color="auto"/>
        <w:bottom w:val="none" w:sz="0" w:space="0" w:color="auto"/>
        <w:right w:val="none" w:sz="0" w:space="0" w:color="auto"/>
      </w:divBdr>
      <w:divsChild>
        <w:div w:id="1113862658">
          <w:marLeft w:val="1440"/>
          <w:marRight w:val="0"/>
          <w:marTop w:val="200"/>
          <w:marBottom w:val="0"/>
          <w:divBdr>
            <w:top w:val="none" w:sz="0" w:space="0" w:color="auto"/>
            <w:left w:val="none" w:sz="0" w:space="0" w:color="auto"/>
            <w:bottom w:val="none" w:sz="0" w:space="0" w:color="auto"/>
            <w:right w:val="none" w:sz="0" w:space="0" w:color="auto"/>
          </w:divBdr>
        </w:div>
        <w:div w:id="2066563066">
          <w:marLeft w:val="1440"/>
          <w:marRight w:val="0"/>
          <w:marTop w:val="200"/>
          <w:marBottom w:val="0"/>
          <w:divBdr>
            <w:top w:val="none" w:sz="0" w:space="0" w:color="auto"/>
            <w:left w:val="none" w:sz="0" w:space="0" w:color="auto"/>
            <w:bottom w:val="none" w:sz="0" w:space="0" w:color="auto"/>
            <w:right w:val="none" w:sz="0" w:space="0" w:color="auto"/>
          </w:divBdr>
        </w:div>
        <w:div w:id="928847991">
          <w:marLeft w:val="1440"/>
          <w:marRight w:val="0"/>
          <w:marTop w:val="200"/>
          <w:marBottom w:val="0"/>
          <w:divBdr>
            <w:top w:val="none" w:sz="0" w:space="0" w:color="auto"/>
            <w:left w:val="none" w:sz="0" w:space="0" w:color="auto"/>
            <w:bottom w:val="none" w:sz="0" w:space="0" w:color="auto"/>
            <w:right w:val="none" w:sz="0" w:space="0" w:color="auto"/>
          </w:divBdr>
        </w:div>
        <w:div w:id="1457483618">
          <w:marLeft w:val="1440"/>
          <w:marRight w:val="0"/>
          <w:marTop w:val="200"/>
          <w:marBottom w:val="0"/>
          <w:divBdr>
            <w:top w:val="none" w:sz="0" w:space="0" w:color="auto"/>
            <w:left w:val="none" w:sz="0" w:space="0" w:color="auto"/>
            <w:bottom w:val="none" w:sz="0" w:space="0" w:color="auto"/>
            <w:right w:val="none" w:sz="0" w:space="0" w:color="auto"/>
          </w:divBdr>
        </w:div>
        <w:div w:id="1782145555">
          <w:marLeft w:val="1440"/>
          <w:marRight w:val="0"/>
          <w:marTop w:val="200"/>
          <w:marBottom w:val="0"/>
          <w:divBdr>
            <w:top w:val="none" w:sz="0" w:space="0" w:color="auto"/>
            <w:left w:val="none" w:sz="0" w:space="0" w:color="auto"/>
            <w:bottom w:val="none" w:sz="0" w:space="0" w:color="auto"/>
            <w:right w:val="none" w:sz="0" w:space="0" w:color="auto"/>
          </w:divBdr>
        </w:div>
        <w:div w:id="115565423">
          <w:marLeft w:val="1440"/>
          <w:marRight w:val="0"/>
          <w:marTop w:val="200"/>
          <w:marBottom w:val="0"/>
          <w:divBdr>
            <w:top w:val="none" w:sz="0" w:space="0" w:color="auto"/>
            <w:left w:val="none" w:sz="0" w:space="0" w:color="auto"/>
            <w:bottom w:val="none" w:sz="0" w:space="0" w:color="auto"/>
            <w:right w:val="none" w:sz="0" w:space="0" w:color="auto"/>
          </w:divBdr>
        </w:div>
        <w:div w:id="1457992452">
          <w:marLeft w:val="1440"/>
          <w:marRight w:val="0"/>
          <w:marTop w:val="200"/>
          <w:marBottom w:val="0"/>
          <w:divBdr>
            <w:top w:val="none" w:sz="0" w:space="0" w:color="auto"/>
            <w:left w:val="none" w:sz="0" w:space="0" w:color="auto"/>
            <w:bottom w:val="none" w:sz="0" w:space="0" w:color="auto"/>
            <w:right w:val="none" w:sz="0" w:space="0" w:color="auto"/>
          </w:divBdr>
        </w:div>
        <w:div w:id="1393192453">
          <w:marLeft w:val="1440"/>
          <w:marRight w:val="0"/>
          <w:marTop w:val="200"/>
          <w:marBottom w:val="0"/>
          <w:divBdr>
            <w:top w:val="none" w:sz="0" w:space="0" w:color="auto"/>
            <w:left w:val="none" w:sz="0" w:space="0" w:color="auto"/>
            <w:bottom w:val="none" w:sz="0" w:space="0" w:color="auto"/>
            <w:right w:val="none" w:sz="0" w:space="0" w:color="auto"/>
          </w:divBdr>
        </w:div>
        <w:div w:id="234164159">
          <w:marLeft w:val="1440"/>
          <w:marRight w:val="0"/>
          <w:marTop w:val="200"/>
          <w:marBottom w:val="0"/>
          <w:divBdr>
            <w:top w:val="none" w:sz="0" w:space="0" w:color="auto"/>
            <w:left w:val="none" w:sz="0" w:space="0" w:color="auto"/>
            <w:bottom w:val="none" w:sz="0" w:space="0" w:color="auto"/>
            <w:right w:val="none" w:sz="0" w:space="0" w:color="auto"/>
          </w:divBdr>
        </w:div>
        <w:div w:id="2134135323">
          <w:marLeft w:val="720"/>
          <w:marRight w:val="0"/>
          <w:marTop w:val="120"/>
          <w:marBottom w:val="0"/>
          <w:divBdr>
            <w:top w:val="none" w:sz="0" w:space="0" w:color="auto"/>
            <w:left w:val="none" w:sz="0" w:space="0" w:color="auto"/>
            <w:bottom w:val="none" w:sz="0" w:space="0" w:color="auto"/>
            <w:right w:val="none" w:sz="0" w:space="0" w:color="auto"/>
          </w:divBdr>
        </w:div>
      </w:divsChild>
    </w:div>
    <w:div w:id="1836997621">
      <w:bodyDiv w:val="1"/>
      <w:marLeft w:val="0"/>
      <w:marRight w:val="0"/>
      <w:marTop w:val="0"/>
      <w:marBottom w:val="0"/>
      <w:divBdr>
        <w:top w:val="none" w:sz="0" w:space="0" w:color="auto"/>
        <w:left w:val="none" w:sz="0" w:space="0" w:color="auto"/>
        <w:bottom w:val="none" w:sz="0" w:space="0" w:color="auto"/>
        <w:right w:val="none" w:sz="0" w:space="0" w:color="auto"/>
      </w:divBdr>
    </w:div>
    <w:div w:id="1871914694">
      <w:bodyDiv w:val="1"/>
      <w:marLeft w:val="0"/>
      <w:marRight w:val="0"/>
      <w:marTop w:val="0"/>
      <w:marBottom w:val="0"/>
      <w:divBdr>
        <w:top w:val="none" w:sz="0" w:space="0" w:color="auto"/>
        <w:left w:val="none" w:sz="0" w:space="0" w:color="auto"/>
        <w:bottom w:val="none" w:sz="0" w:space="0" w:color="auto"/>
        <w:right w:val="none" w:sz="0" w:space="0" w:color="auto"/>
      </w:divBdr>
    </w:div>
    <w:div w:id="1875538358">
      <w:bodyDiv w:val="1"/>
      <w:marLeft w:val="0"/>
      <w:marRight w:val="0"/>
      <w:marTop w:val="0"/>
      <w:marBottom w:val="0"/>
      <w:divBdr>
        <w:top w:val="none" w:sz="0" w:space="0" w:color="auto"/>
        <w:left w:val="none" w:sz="0" w:space="0" w:color="auto"/>
        <w:bottom w:val="none" w:sz="0" w:space="0" w:color="auto"/>
        <w:right w:val="none" w:sz="0" w:space="0" w:color="auto"/>
      </w:divBdr>
    </w:div>
    <w:div w:id="1908756466">
      <w:bodyDiv w:val="1"/>
      <w:marLeft w:val="0"/>
      <w:marRight w:val="0"/>
      <w:marTop w:val="0"/>
      <w:marBottom w:val="0"/>
      <w:divBdr>
        <w:top w:val="none" w:sz="0" w:space="0" w:color="auto"/>
        <w:left w:val="none" w:sz="0" w:space="0" w:color="auto"/>
        <w:bottom w:val="none" w:sz="0" w:space="0" w:color="auto"/>
        <w:right w:val="none" w:sz="0" w:space="0" w:color="auto"/>
      </w:divBdr>
    </w:div>
    <w:div w:id="1940216619">
      <w:bodyDiv w:val="1"/>
      <w:marLeft w:val="0"/>
      <w:marRight w:val="0"/>
      <w:marTop w:val="0"/>
      <w:marBottom w:val="0"/>
      <w:divBdr>
        <w:top w:val="none" w:sz="0" w:space="0" w:color="auto"/>
        <w:left w:val="none" w:sz="0" w:space="0" w:color="auto"/>
        <w:bottom w:val="none" w:sz="0" w:space="0" w:color="auto"/>
        <w:right w:val="none" w:sz="0" w:space="0" w:color="auto"/>
      </w:divBdr>
    </w:div>
    <w:div w:id="2034649515">
      <w:bodyDiv w:val="1"/>
      <w:marLeft w:val="0"/>
      <w:marRight w:val="0"/>
      <w:marTop w:val="0"/>
      <w:marBottom w:val="0"/>
      <w:divBdr>
        <w:top w:val="none" w:sz="0" w:space="0" w:color="auto"/>
        <w:left w:val="none" w:sz="0" w:space="0" w:color="auto"/>
        <w:bottom w:val="none" w:sz="0" w:space="0" w:color="auto"/>
        <w:right w:val="none" w:sz="0" w:space="0" w:color="auto"/>
      </w:divBdr>
    </w:div>
    <w:div w:id="2078816668">
      <w:bodyDiv w:val="1"/>
      <w:marLeft w:val="0"/>
      <w:marRight w:val="0"/>
      <w:marTop w:val="0"/>
      <w:marBottom w:val="0"/>
      <w:divBdr>
        <w:top w:val="none" w:sz="0" w:space="0" w:color="auto"/>
        <w:left w:val="none" w:sz="0" w:space="0" w:color="auto"/>
        <w:bottom w:val="none" w:sz="0" w:space="0" w:color="auto"/>
        <w:right w:val="none" w:sz="0" w:space="0" w:color="auto"/>
      </w:divBdr>
    </w:div>
    <w:div w:id="2132700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rgbClr val="6A84BE"/>
            </a:solidFill>
            <a:ln>
              <a:solidFill>
                <a:srgbClr val="6A84BE"/>
              </a:solidFill>
            </a:ln>
          </c:spPr>
          <c:dPt>
            <c:idx val="0"/>
            <c:bubble3D val="0"/>
            <c:spPr>
              <a:solidFill>
                <a:srgbClr val="CED7EA"/>
              </a:solidFill>
              <a:ln w="19050">
                <a:solidFill>
                  <a:srgbClr val="CED7EA"/>
                </a:solidFill>
              </a:ln>
              <a:effectLst/>
            </c:spPr>
            <c:extLst>
              <c:ext xmlns:c16="http://schemas.microsoft.com/office/drawing/2014/chart" uri="{C3380CC4-5D6E-409C-BE32-E72D297353CC}">
                <c16:uniqueId val="{00000001-7923-4F04-9C6E-9AC4F052C1C1}"/>
              </c:ext>
            </c:extLst>
          </c:dPt>
          <c:dPt>
            <c:idx val="1"/>
            <c:bubble3D val="0"/>
            <c:spPr>
              <a:solidFill>
                <a:srgbClr val="6A84BE"/>
              </a:solidFill>
              <a:ln w="19050">
                <a:solidFill>
                  <a:srgbClr val="6A84BE"/>
                </a:solidFill>
              </a:ln>
              <a:effectLst/>
            </c:spPr>
            <c:extLst>
              <c:ext xmlns:c16="http://schemas.microsoft.com/office/drawing/2014/chart" uri="{C3380CC4-5D6E-409C-BE32-E72D297353CC}">
                <c16:uniqueId val="{00000003-7923-4F04-9C6E-9AC4F052C1C1}"/>
              </c:ext>
            </c:extLst>
          </c:dPt>
          <c:dLbls>
            <c:dLbl>
              <c:idx val="0"/>
              <c:layout>
                <c:manualLayout>
                  <c:x val="-2.8366021003153816E-2"/>
                  <c:y val="0"/>
                </c:manualLayout>
              </c:layout>
              <c:tx>
                <c:rich>
                  <a:bodyPr/>
                  <a:lstStyle/>
                  <a:p>
                    <a:fld id="{843847C3-0603-4B61-A85F-D2890FCBE063}" type="VALUE">
                      <a:rPr lang="en-US"/>
                      <a:pPr/>
                      <a:t>[VALUE]</a:t>
                    </a:fld>
                    <a:r>
                      <a:rPr lang="en-US"/>
                      <a:t> euro</a:t>
                    </a:r>
                  </a:p>
                </c:rich>
              </c:tx>
              <c:showLegendKey val="0"/>
              <c:showVal val="1"/>
              <c:showCatName val="0"/>
              <c:showSerName val="0"/>
              <c:showPercent val="0"/>
              <c:showBubbleSize val="0"/>
              <c:extLst>
                <c:ext xmlns:c15="http://schemas.microsoft.com/office/drawing/2012/chart" uri="{CE6537A1-D6FC-4f65-9D91-7224C49458BB}">
                  <c15:layout>
                    <c:manualLayout>
                      <c:w val="0.28403837081302091"/>
                      <c:h val="0.14764879973692865"/>
                    </c:manualLayout>
                  </c15:layout>
                  <c15:dlblFieldTable/>
                  <c15:showDataLabelsRange val="0"/>
                </c:ext>
                <c:ext xmlns:c16="http://schemas.microsoft.com/office/drawing/2014/chart" uri="{C3380CC4-5D6E-409C-BE32-E72D297353CC}">
                  <c16:uniqueId val="{00000001-7923-4F04-9C6E-9AC4F052C1C1}"/>
                </c:ext>
              </c:extLst>
            </c:dLbl>
            <c:dLbl>
              <c:idx val="1"/>
              <c:layout>
                <c:manualLayout>
                  <c:x val="5.8333343652062303E-2"/>
                  <c:y val="-0.31788108449613806"/>
                </c:manualLayout>
              </c:layout>
              <c:tx>
                <c:rich>
                  <a:bodyPr/>
                  <a:lstStyle/>
                  <a:p>
                    <a:fld id="{D1976A3C-F79B-4CD5-A26E-F9179C3022F5}" type="VALUE">
                      <a:rPr lang="en-US">
                        <a:solidFill>
                          <a:schemeClr val="bg1"/>
                        </a:solidFill>
                      </a:rPr>
                      <a:pPr/>
                      <a:t>[VALUE]</a:t>
                    </a:fld>
                    <a:r>
                      <a:rPr lang="en-US">
                        <a:solidFill>
                          <a:schemeClr val="bg1"/>
                        </a:solidFill>
                      </a:rPr>
                      <a:t> euro</a:t>
                    </a:r>
                  </a:p>
                </c:rich>
              </c:tx>
              <c:showLegendKey val="0"/>
              <c:showVal val="1"/>
              <c:showCatName val="0"/>
              <c:showSerName val="0"/>
              <c:showPercent val="0"/>
              <c:showBubbleSize val="0"/>
              <c:extLst>
                <c:ext xmlns:c15="http://schemas.microsoft.com/office/drawing/2012/chart" uri="{CE6537A1-D6FC-4f65-9D91-7224C49458BB}">
                  <c15:layout>
                    <c:manualLayout>
                      <c:w val="0.31314486381135054"/>
                      <c:h val="0.1145831121652378"/>
                    </c:manualLayout>
                  </c15:layout>
                  <c15:dlblFieldTable/>
                  <c15:showDataLabelsRange val="0"/>
                </c:ext>
                <c:ext xmlns:c16="http://schemas.microsoft.com/office/drawing/2014/chart" uri="{C3380CC4-5D6E-409C-BE32-E72D297353CC}">
                  <c16:uniqueId val="{00000003-7923-4F04-9C6E-9AC4F052C1C1}"/>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bg-BG"/>
              </a:p>
            </c:txPr>
            <c:showLegendKey val="0"/>
            <c:showVal val="1"/>
            <c:showCatName val="0"/>
            <c:showSerName val="0"/>
            <c:showPercent val="0"/>
            <c:showBubbleSize val="0"/>
            <c:showLeaderLines val="1"/>
            <c:leaderLines>
              <c:spPr>
                <a:ln w="9525" cap="flat" cmpd="sng" algn="ctr">
                  <a:solidFill>
                    <a:srgbClr val="CED7EA"/>
                  </a:solidFill>
                  <a:round/>
                </a:ln>
                <a:effectLst/>
              </c:spPr>
            </c:leaderLines>
            <c:extLst>
              <c:ext xmlns:c15="http://schemas.microsoft.com/office/drawing/2012/chart" uri="{CE6537A1-D6FC-4f65-9D91-7224C49458BB}"/>
            </c:extLst>
          </c:dLbls>
          <c:cat>
            <c:strRef>
              <c:f>'projects-prikliuchili'!$H$95:$J$95</c:f>
              <c:strCache>
                <c:ptCount val="2"/>
                <c:pt idx="0">
                  <c:v>completed</c:v>
                </c:pt>
                <c:pt idx="1">
                  <c:v>in progress</c:v>
                </c:pt>
              </c:strCache>
            </c:strRef>
          </c:cat>
          <c:val>
            <c:numRef>
              <c:f>'projects-prikliuchili'!$H$96:$J$96</c:f>
              <c:numCache>
                <c:formatCode>#,##0</c:formatCode>
                <c:ptCount val="2"/>
                <c:pt idx="0">
                  <c:v>37775117.223889604</c:v>
                </c:pt>
                <c:pt idx="1">
                  <c:v>1553378247.7721899</c:v>
                </c:pt>
              </c:numCache>
            </c:numRef>
          </c:val>
          <c:extLst>
            <c:ext xmlns:c16="http://schemas.microsoft.com/office/drawing/2014/chart" uri="{C3380CC4-5D6E-409C-BE32-E72D297353CC}">
              <c16:uniqueId val="{00000004-7923-4F04-9C6E-9AC4F052C1C1}"/>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7257839035256617"/>
          <c:y val="0.33221355387136947"/>
          <c:w val="0.23790399371960877"/>
          <c:h val="0.2762368367222758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bg-BG"/>
        </a:p>
      </c:txPr>
    </c:legend>
    <c:plotVisOnly val="1"/>
    <c:dispBlanksAs val="gap"/>
    <c:showDLblsOverMax val="0"/>
  </c:chart>
  <c:spPr>
    <a:gradFill>
      <a:gsLst>
        <a:gs pos="43363">
          <a:srgbClr val="F6F6F6"/>
        </a:gs>
        <a:gs pos="0">
          <a:srgbClr val="A5A5A5">
            <a:lumMod val="0"/>
            <a:lumOff val="100000"/>
          </a:srgbClr>
        </a:gs>
        <a:gs pos="37000">
          <a:srgbClr val="A5A5A5">
            <a:lumMod val="0"/>
            <a:lumOff val="100000"/>
          </a:srgbClr>
        </a:gs>
        <a:gs pos="100000">
          <a:srgbClr val="A5A5A5">
            <a:lumMod val="100000"/>
          </a:srgbClr>
        </a:gs>
      </a:gsLst>
      <a:path path="circle">
        <a:fillToRect l="50000" t="-80000" r="50000" b="180000"/>
      </a:path>
    </a:gradFill>
    <a:ln w="9525" cap="flat" cmpd="sng" algn="ctr">
      <a:solidFill>
        <a:schemeClr val="tx1">
          <a:lumMod val="15000"/>
          <a:lumOff val="85000"/>
        </a:schemeClr>
      </a:solid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bg-BG"/>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en-US" sz="1200" b="1" i="0" u="none" strike="noStrike" baseline="0">
                <a:solidFill>
                  <a:srgbClr val="374E81"/>
                </a:solidFill>
                <a:effectLst/>
                <a:latin typeface="Verdana" panose="020B0604030504040204" pitchFamily="34" charset="0"/>
                <a:ea typeface="Verdana" panose="020B0604030504040204" pitchFamily="34" charset="0"/>
                <a:cs typeface="Verdana" panose="020B0604030504040204" pitchFamily="34" charset="0"/>
              </a:rPr>
              <a:t>Achievement of </a:t>
            </a:r>
            <a:r>
              <a:rPr lang="en-US" sz="1200" b="1" i="0" u="none" strike="noStrike" baseline="0">
                <a:solidFill>
                  <a:srgbClr val="F88A10"/>
                </a:solidFill>
                <a:effectLst/>
                <a:latin typeface="Verdana" panose="020B0604030504040204" pitchFamily="34" charset="0"/>
                <a:ea typeface="Verdana" panose="020B0604030504040204" pitchFamily="34" charset="0"/>
                <a:cs typeface="Verdana" panose="020B0604030504040204" pitchFamily="34" charset="0"/>
              </a:rPr>
              <a:t>financial </a:t>
            </a:r>
            <a:r>
              <a:rPr lang="en-US" sz="1200" b="1" i="0" u="none" strike="noStrike" baseline="0">
                <a:solidFill>
                  <a:srgbClr val="374E81"/>
                </a:solidFill>
                <a:effectLst/>
                <a:latin typeface="Verdana" panose="020B0604030504040204" pitchFamily="34" charset="0"/>
                <a:ea typeface="Verdana" panose="020B0604030504040204" pitchFamily="34" charset="0"/>
                <a:cs typeface="Verdana" panose="020B0604030504040204" pitchFamily="34" charset="0"/>
              </a:rPr>
              <a:t>indicator</a:t>
            </a:r>
            <a:r>
              <a:rPr lang="en-US" sz="1200" b="1" i="0" u="none" strike="noStrike" baseline="0">
                <a:effectLst/>
                <a:latin typeface="Verdana" panose="020B0604030504040204" pitchFamily="34" charset="0"/>
                <a:ea typeface="Verdana" panose="020B0604030504040204" pitchFamily="34" charset="0"/>
                <a:cs typeface="Verdana" panose="020B0604030504040204" pitchFamily="34" charset="0"/>
              </a:rPr>
              <a:t> </a:t>
            </a:r>
            <a:endParaRPr lang="en-US" sz="1200">
              <a:latin typeface="Verdana" panose="020B0604030504040204" pitchFamily="34" charset="0"/>
              <a:ea typeface="Verdana" panose="020B0604030504040204" pitchFamily="34" charset="0"/>
              <a:cs typeface="Verdana" panose="020B0604030504040204" pitchFamily="34" charset="0"/>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bg-BG"/>
        </a:p>
      </c:txPr>
    </c:title>
    <c:autoTitleDeleted val="0"/>
    <c:plotArea>
      <c:layout/>
      <c:lineChart>
        <c:grouping val="standard"/>
        <c:varyColors val="0"/>
        <c:ser>
          <c:idx val="0"/>
          <c:order val="0"/>
          <c:tx>
            <c:strRef>
              <c:f>'рамка на изпълнението'!$U$14</c:f>
              <c:strCache>
                <c:ptCount val="1"/>
                <c:pt idx="0">
                  <c:v>achievment</c:v>
                </c:pt>
              </c:strCache>
            </c:strRef>
          </c:tx>
          <c:spPr>
            <a:ln w="31750" cap="rnd">
              <a:solidFill>
                <a:schemeClr val="accent1"/>
              </a:solidFill>
              <a:round/>
            </a:ln>
            <a:effectLst/>
          </c:spPr>
          <c:marker>
            <c:symbol val="circle"/>
            <c:size val="17"/>
            <c:spPr>
              <a:solidFill>
                <a:schemeClr val="accent1"/>
              </a:solidFill>
              <a:ln>
                <a:noFill/>
              </a:ln>
              <a:effectLst/>
            </c:spPr>
          </c:marker>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Verdana" panose="020B0604030504040204" pitchFamily="34" charset="0"/>
                      <a:ea typeface="Verdana" panose="020B0604030504040204" pitchFamily="34" charset="0"/>
                      <a:cs typeface="Verdana" panose="020B0604030504040204" pitchFamily="34" charset="0"/>
                    </a:defRPr>
                  </a:pPr>
                  <a:endParaRPr lang="bg-BG"/>
                </a:p>
              </c:txPr>
              <c:dLblPos val="b"/>
              <c:showLegendKey val="0"/>
              <c:showVal val="1"/>
              <c:showCatName val="0"/>
              <c:showSerName val="0"/>
              <c:showPercent val="0"/>
              <c:showBubbleSize val="0"/>
              <c:extLst>
                <c:ext xmlns:c16="http://schemas.microsoft.com/office/drawing/2014/chart" uri="{C3380CC4-5D6E-409C-BE32-E72D297353CC}">
                  <c16:uniqueId val="{00000000-03E2-4BAA-A2EF-579B5027D05D}"/>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Verdana" panose="020B0604030504040204" pitchFamily="34" charset="0"/>
                      <a:ea typeface="Verdana" panose="020B0604030504040204" pitchFamily="34" charset="0"/>
                      <a:cs typeface="Verdana" panose="020B0604030504040204" pitchFamily="34" charset="0"/>
                    </a:defRPr>
                  </a:pPr>
                  <a:endParaRPr lang="bg-BG"/>
                </a:p>
              </c:txPr>
              <c:dLblPos val="b"/>
              <c:showLegendKey val="0"/>
              <c:showVal val="1"/>
              <c:showCatName val="0"/>
              <c:showSerName val="0"/>
              <c:showPercent val="0"/>
              <c:showBubbleSize val="0"/>
              <c:extLst>
                <c:ext xmlns:c16="http://schemas.microsoft.com/office/drawing/2014/chart" uri="{C3380CC4-5D6E-409C-BE32-E72D297353CC}">
                  <c16:uniqueId val="{00000001-03E2-4BAA-A2EF-579B5027D05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637FBD"/>
                    </a:solidFill>
                    <a:latin typeface="Verdana" panose="020B0604030504040204" pitchFamily="34" charset="0"/>
                    <a:ea typeface="Verdana" panose="020B0604030504040204" pitchFamily="34" charset="0"/>
                    <a:cs typeface="Verdana" panose="020B0604030504040204" pitchFamily="34" charset="0"/>
                  </a:defRPr>
                </a:pPr>
                <a:endParaRPr lang="bg-BG"/>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'рамка на изпълнението'!$T$34:$T$37</c:f>
              <c:strCache>
                <c:ptCount val="4"/>
                <c:pt idx="0">
                  <c:v>PA1</c:v>
                </c:pt>
                <c:pt idx="1">
                  <c:v>PA2</c:v>
                </c:pt>
                <c:pt idx="2">
                  <c:v>PA3</c:v>
                </c:pt>
                <c:pt idx="3">
                  <c:v>PA4</c:v>
                </c:pt>
              </c:strCache>
            </c:strRef>
          </c:cat>
          <c:val>
            <c:numRef>
              <c:f>'рамка на изпълнението'!$U$34:$U$37</c:f>
              <c:numCache>
                <c:formatCode>0%</c:formatCode>
                <c:ptCount val="4"/>
                <c:pt idx="0">
                  <c:v>0.69553498684210524</c:v>
                </c:pt>
                <c:pt idx="1">
                  <c:v>2.7960123809523809</c:v>
                </c:pt>
                <c:pt idx="2">
                  <c:v>2.3935736172414153</c:v>
                </c:pt>
                <c:pt idx="3">
                  <c:v>0.61618857142857142</c:v>
                </c:pt>
              </c:numCache>
            </c:numRef>
          </c:val>
          <c:smooth val="0"/>
          <c:extLst>
            <c:ext xmlns:c16="http://schemas.microsoft.com/office/drawing/2014/chart" uri="{C3380CC4-5D6E-409C-BE32-E72D297353CC}">
              <c16:uniqueId val="{00000000-89BB-4B09-910C-CFF526853BED}"/>
            </c:ext>
          </c:extLst>
        </c:ser>
        <c:ser>
          <c:idx val="1"/>
          <c:order val="1"/>
          <c:tx>
            <c:strRef>
              <c:f>'рамка на изпълнението'!$V$14</c:f>
              <c:strCache>
                <c:ptCount val="1"/>
                <c:pt idx="0">
                  <c:v>required level</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88A10"/>
                    </a:solidFill>
                    <a:latin typeface="Verdana" panose="020B0604030504040204" pitchFamily="34" charset="0"/>
                    <a:ea typeface="Verdana" panose="020B0604030504040204" pitchFamily="34" charset="0"/>
                    <a:cs typeface="Verdana" panose="020B0604030504040204" pitchFamily="34" charset="0"/>
                  </a:defRPr>
                </a:pPr>
                <a:endParaRPr lang="bg-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'рамка на изпълнението'!$T$34:$T$37</c:f>
              <c:strCache>
                <c:ptCount val="4"/>
                <c:pt idx="0">
                  <c:v>PA1</c:v>
                </c:pt>
                <c:pt idx="1">
                  <c:v>PA2</c:v>
                </c:pt>
                <c:pt idx="2">
                  <c:v>PA3</c:v>
                </c:pt>
                <c:pt idx="3">
                  <c:v>PA4</c:v>
                </c:pt>
              </c:strCache>
            </c:strRef>
          </c:cat>
          <c:val>
            <c:numRef>
              <c:f>'рамка на изпълнението'!$V$34:$V$37</c:f>
              <c:numCache>
                <c:formatCode>0%</c:formatCode>
                <c:ptCount val="4"/>
                <c:pt idx="0">
                  <c:v>0.85</c:v>
                </c:pt>
                <c:pt idx="1">
                  <c:v>0.85</c:v>
                </c:pt>
                <c:pt idx="2">
                  <c:v>0.85</c:v>
                </c:pt>
                <c:pt idx="3">
                  <c:v>0.85</c:v>
                </c:pt>
              </c:numCache>
            </c:numRef>
          </c:val>
          <c:smooth val="0"/>
          <c:extLst>
            <c:ext xmlns:c16="http://schemas.microsoft.com/office/drawing/2014/chart" uri="{C3380CC4-5D6E-409C-BE32-E72D297353CC}">
              <c16:uniqueId val="{00000002-03E2-4BAA-A2EF-579B5027D05D}"/>
            </c:ext>
          </c:extLst>
        </c:ser>
        <c:dLbls>
          <c:showLegendKey val="0"/>
          <c:showVal val="0"/>
          <c:showCatName val="0"/>
          <c:showSerName val="0"/>
          <c:showPercent val="0"/>
          <c:showBubbleSize val="0"/>
        </c:dLbls>
        <c:marker val="1"/>
        <c:smooth val="0"/>
        <c:axId val="290818168"/>
        <c:axId val="290818952"/>
      </c:lineChart>
      <c:catAx>
        <c:axId val="2908181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rgbClr val="374E81"/>
                </a:solidFill>
                <a:latin typeface="Verdana" panose="020B0604030504040204" pitchFamily="34" charset="0"/>
                <a:ea typeface="Verdana" panose="020B0604030504040204" pitchFamily="34" charset="0"/>
                <a:cs typeface="Verdana" panose="020B0604030504040204" pitchFamily="34" charset="0"/>
              </a:defRPr>
            </a:pPr>
            <a:endParaRPr lang="bg-BG"/>
          </a:p>
        </c:txPr>
        <c:crossAx val="290818952"/>
        <c:crosses val="autoZero"/>
        <c:auto val="1"/>
        <c:lblAlgn val="ctr"/>
        <c:lblOffset val="100"/>
        <c:noMultiLvlLbl val="0"/>
      </c:catAx>
      <c:valAx>
        <c:axId val="290818952"/>
        <c:scaling>
          <c:orientation val="minMax"/>
        </c:scaling>
        <c:delete val="1"/>
        <c:axPos val="l"/>
        <c:numFmt formatCode="0%" sourceLinked="1"/>
        <c:majorTickMark val="none"/>
        <c:minorTickMark val="none"/>
        <c:tickLblPos val="nextTo"/>
        <c:crossAx val="29081816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bg-BG"/>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lumMod val="65000"/>
          <a:lumOff val="35000"/>
        </a:schemeClr>
      </a:solidFill>
      <a:round/>
    </a:ln>
    <a:effectLst/>
  </c:spPr>
  <c:txPr>
    <a:bodyPr/>
    <a:lstStyle/>
    <a:p>
      <a:pPr>
        <a:defRPr/>
      </a:pPr>
      <a:endParaRPr lang="bg-BG"/>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75000"/>
                    <a:lumOff val="25000"/>
                  </a:sysClr>
                </a:solidFill>
                <a:latin typeface="+mn-lt"/>
                <a:ea typeface="+mn-ea"/>
                <a:cs typeface="+mn-cs"/>
              </a:defRPr>
            </a:pPr>
            <a:r>
              <a:rPr lang="en-US" sz="1200" b="1" i="0" u="none" strike="noStrike" baseline="0">
                <a:solidFill>
                  <a:srgbClr val="374E81"/>
                </a:solidFill>
                <a:effectLst/>
                <a:latin typeface="Verdana" panose="020B0604030504040204" pitchFamily="34" charset="0"/>
                <a:ea typeface="Verdana" panose="020B0604030504040204" pitchFamily="34" charset="0"/>
                <a:cs typeface="Verdana" panose="020B0604030504040204" pitchFamily="34" charset="0"/>
              </a:rPr>
              <a:t>Achievement </a:t>
            </a:r>
            <a:r>
              <a:rPr lang="bg-BG" sz="1200" b="1" i="0" u="none" strike="noStrike" baseline="0">
                <a:solidFill>
                  <a:srgbClr val="374E81"/>
                </a:solidFill>
                <a:effectLst/>
                <a:latin typeface="Verdana" panose="020B0604030504040204" pitchFamily="34" charset="0"/>
                <a:ea typeface="Verdana" panose="020B0604030504040204" pitchFamily="34" charset="0"/>
                <a:cs typeface="Verdana" panose="020B0604030504040204" pitchFamily="34" charset="0"/>
              </a:rPr>
              <a:t>of </a:t>
            </a:r>
            <a:r>
              <a:rPr lang="bg-BG" sz="1200" b="1" i="0" u="none" strike="noStrike" baseline="0">
                <a:solidFill>
                  <a:srgbClr val="F88A10"/>
                </a:solidFill>
                <a:effectLst/>
                <a:latin typeface="Verdana" panose="020B0604030504040204" pitchFamily="34" charset="0"/>
                <a:ea typeface="Verdana" panose="020B0604030504040204" pitchFamily="34" charset="0"/>
                <a:cs typeface="Verdana" panose="020B0604030504040204" pitchFamily="34" charset="0"/>
              </a:rPr>
              <a:t>“key implementation step” </a:t>
            </a:r>
            <a:endParaRPr lang="en-US" sz="1200">
              <a:solidFill>
                <a:srgbClr val="F88A10"/>
              </a:solidFill>
              <a:latin typeface="Verdana" panose="020B0604030504040204" pitchFamily="34" charset="0"/>
              <a:ea typeface="Verdana" panose="020B0604030504040204" pitchFamily="34" charset="0"/>
              <a:cs typeface="Verdana" panose="020B0604030504040204" pitchFamily="34" charset="0"/>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75000"/>
                  <a:lumOff val="25000"/>
                </a:sysClr>
              </a:solidFill>
              <a:latin typeface="+mn-lt"/>
              <a:ea typeface="+mn-ea"/>
              <a:cs typeface="+mn-cs"/>
            </a:defRPr>
          </a:pPr>
          <a:endParaRPr lang="bg-BG"/>
        </a:p>
      </c:txPr>
    </c:title>
    <c:autoTitleDeleted val="0"/>
    <c:plotArea>
      <c:layout/>
      <c:lineChart>
        <c:grouping val="standard"/>
        <c:varyColors val="0"/>
        <c:ser>
          <c:idx val="0"/>
          <c:order val="0"/>
          <c:tx>
            <c:strRef>
              <c:f>'рамка на изпълнението'!$U$14</c:f>
              <c:strCache>
                <c:ptCount val="1"/>
                <c:pt idx="0">
                  <c:v>achievment</c:v>
                </c:pt>
              </c:strCache>
            </c:strRef>
          </c:tx>
          <c:spPr>
            <a:ln w="31750" cap="rnd">
              <a:solidFill>
                <a:schemeClr val="accent1"/>
              </a:solidFill>
              <a:round/>
            </a:ln>
            <a:effectLst/>
          </c:spPr>
          <c:marker>
            <c:symbol val="circle"/>
            <c:size val="17"/>
            <c:spPr>
              <a:solidFill>
                <a:schemeClr val="accent1"/>
              </a:solidFill>
              <a:ln>
                <a:noFill/>
              </a:ln>
              <a:effectLst/>
            </c:spPr>
          </c:marker>
          <c:dLbls>
            <c:dLbl>
              <c:idx val="0"/>
              <c:layout>
                <c:manualLayout>
                  <c:x val="-5.0070509280950908E-2"/>
                  <c:y val="8.1318495807762292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Verdana" panose="020B0604030504040204" pitchFamily="34" charset="0"/>
                      <a:ea typeface="Verdana" panose="020B0604030504040204" pitchFamily="34" charset="0"/>
                      <a:cs typeface="Verdana" panose="020B0604030504040204" pitchFamily="34" charset="0"/>
                    </a:defRPr>
                  </a:pPr>
                  <a:endParaRPr lang="bg-BG"/>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49A-43E3-A825-F20B3502C02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637FBD"/>
                    </a:solidFill>
                    <a:latin typeface="Verdana" panose="020B0604030504040204" pitchFamily="34" charset="0"/>
                    <a:ea typeface="Verdana" panose="020B0604030504040204" pitchFamily="34" charset="0"/>
                    <a:cs typeface="Verdana" panose="020B0604030504040204" pitchFamily="34" charset="0"/>
                  </a:defRPr>
                </a:pPr>
                <a:endParaRPr lang="bg-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'рамка на изпълнението'!$T$34:$T$37</c:f>
              <c:strCache>
                <c:ptCount val="4"/>
                <c:pt idx="0">
                  <c:v>PA1</c:v>
                </c:pt>
                <c:pt idx="1">
                  <c:v>PA2</c:v>
                </c:pt>
                <c:pt idx="2">
                  <c:v>PA3</c:v>
                </c:pt>
                <c:pt idx="3">
                  <c:v>PA4</c:v>
                </c:pt>
              </c:strCache>
            </c:strRef>
          </c:cat>
          <c:val>
            <c:numRef>
              <c:f>'рамка на изпълнението'!$W$34:$W$37</c:f>
              <c:numCache>
                <c:formatCode>0%</c:formatCode>
                <c:ptCount val="4"/>
                <c:pt idx="0">
                  <c:v>0.5</c:v>
                </c:pt>
                <c:pt idx="1">
                  <c:v>2</c:v>
                </c:pt>
                <c:pt idx="2">
                  <c:v>2</c:v>
                </c:pt>
                <c:pt idx="3">
                  <c:v>1</c:v>
                </c:pt>
              </c:numCache>
            </c:numRef>
          </c:val>
          <c:smooth val="0"/>
          <c:extLst>
            <c:ext xmlns:c16="http://schemas.microsoft.com/office/drawing/2014/chart" uri="{C3380CC4-5D6E-409C-BE32-E72D297353CC}">
              <c16:uniqueId val="{00000000-89BB-4B09-910C-CFF526853BED}"/>
            </c:ext>
          </c:extLst>
        </c:ser>
        <c:ser>
          <c:idx val="1"/>
          <c:order val="1"/>
          <c:tx>
            <c:strRef>
              <c:f>'рамка на изпълнението'!$V$14</c:f>
              <c:strCache>
                <c:ptCount val="1"/>
                <c:pt idx="0">
                  <c:v>required level</c:v>
                </c:pt>
              </c:strCache>
            </c:strRef>
          </c:tx>
          <c:spPr>
            <a:ln w="34925" cap="rnd">
              <a:solidFill>
                <a:schemeClr val="accent2"/>
              </a:solidFill>
              <a:round/>
            </a:ln>
            <a:effectLst/>
          </c:spPr>
          <c:marker>
            <c:symbol val="circle"/>
            <c:size val="17"/>
            <c:spPr>
              <a:solidFill>
                <a:schemeClr val="accent2"/>
              </a:solidFill>
              <a:ln>
                <a:noFill/>
              </a:ln>
              <a:effectLst/>
            </c:spPr>
          </c:marker>
          <c:dLbls>
            <c:dLbl>
              <c:idx val="0"/>
              <c:layout>
                <c:manualLayout>
                  <c:x val="-5.5575956142527937E-2"/>
                  <c:y val="-7.2186858240357227E-2"/>
                </c:manualLayout>
              </c:layout>
              <c:tx>
                <c:rich>
                  <a:bodyPr/>
                  <a:lstStyle/>
                  <a:p>
                    <a:fld id="{D1BB1838-D24D-4E63-8982-58600491178A}" type="VALUE">
                      <a:rPr lang="en-US" sz="900">
                        <a:solidFill>
                          <a:srgbClr val="F88A10"/>
                        </a:solidFill>
                      </a:rPr>
                      <a:pPr/>
                      <a:t>[VALUE]</a:t>
                    </a:fld>
                    <a:endParaRPr lang="bg-BG"/>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49A-43E3-A825-F20B3502C029}"/>
                </c:ext>
              </c:extLst>
            </c:dLbl>
            <c:dLbl>
              <c:idx val="1"/>
              <c:layout>
                <c:manualLayout>
                  <c:x val="-6.815466629293869E-2"/>
                  <c:y val="-7.2186858240357227E-2"/>
                </c:manualLayout>
              </c:layout>
              <c:tx>
                <c:rich>
                  <a:bodyPr rot="0" spcFirstLastPara="1" vertOverflow="ellipsis" vert="horz" wrap="square" lIns="38100" tIns="19050" rIns="38100" bIns="19050" anchor="ctr" anchorCtr="1">
                    <a:noAutofit/>
                  </a:bodyPr>
                  <a:lstStyle/>
                  <a:p>
                    <a:pPr>
                      <a:defRPr sz="1200" b="1" i="0" u="none" strike="noStrike" kern="1200" baseline="0">
                        <a:solidFill>
                          <a:schemeClr val="lt1"/>
                        </a:solidFill>
                        <a:latin typeface="Verdana" panose="020B0604030504040204" pitchFamily="34" charset="0"/>
                        <a:ea typeface="Verdana" panose="020B0604030504040204" pitchFamily="34" charset="0"/>
                        <a:cs typeface="Verdana" panose="020B0604030504040204" pitchFamily="34" charset="0"/>
                      </a:defRPr>
                    </a:pPr>
                    <a:fld id="{87B401B5-4EFA-4599-9D38-1E4FED134619}" type="VALUE">
                      <a:rPr lang="en-US" sz="900">
                        <a:solidFill>
                          <a:srgbClr val="F88A10"/>
                        </a:solidFill>
                        <a:latin typeface="Verdana" panose="020B0604030504040204" pitchFamily="34" charset="0"/>
                        <a:ea typeface="Verdana" panose="020B0604030504040204" pitchFamily="34" charset="0"/>
                        <a:cs typeface="Verdana" panose="020B0604030504040204" pitchFamily="34" charset="0"/>
                      </a:rPr>
                      <a:pPr>
                        <a:defRPr sz="1200">
                          <a:latin typeface="Verdana" panose="020B0604030504040204" pitchFamily="34" charset="0"/>
                          <a:ea typeface="Verdana" panose="020B0604030504040204" pitchFamily="34" charset="0"/>
                          <a:cs typeface="Verdana" panose="020B0604030504040204" pitchFamily="34" charset="0"/>
                        </a:defRPr>
                      </a:pPr>
                      <a:t>[VALUE]</a:t>
                    </a:fld>
                    <a:endParaRPr lang="bg-BG"/>
                  </a:p>
                </c:rich>
              </c:tx>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lt1"/>
                      </a:solidFill>
                      <a:latin typeface="Verdana" panose="020B0604030504040204" pitchFamily="34" charset="0"/>
                      <a:ea typeface="Verdana" panose="020B0604030504040204" pitchFamily="34" charset="0"/>
                      <a:cs typeface="Verdana" panose="020B0604030504040204" pitchFamily="34" charset="0"/>
                    </a:defRPr>
                  </a:pPr>
                  <a:endParaRPr lang="bg-BG"/>
                </a:p>
              </c:txPr>
              <c:dLblPos val="r"/>
              <c:showLegendKey val="0"/>
              <c:showVal val="1"/>
              <c:showCatName val="0"/>
              <c:showSerName val="0"/>
              <c:showPercent val="0"/>
              <c:showBubbleSize val="0"/>
              <c:extLst>
                <c:ext xmlns:c15="http://schemas.microsoft.com/office/drawing/2012/chart" uri="{CE6537A1-D6FC-4f65-9D91-7224C49458BB}">
                  <c15:layout>
                    <c:manualLayout>
                      <c:w val="9.8246879958966027E-2"/>
                      <c:h val="0.1298823467890774"/>
                    </c:manualLayout>
                  </c15:layout>
                  <c15:dlblFieldTable/>
                  <c15:showDataLabelsRange val="0"/>
                </c:ext>
                <c:ext xmlns:c16="http://schemas.microsoft.com/office/drawing/2014/chart" uri="{C3380CC4-5D6E-409C-BE32-E72D297353CC}">
                  <c16:uniqueId val="{00000002-D49A-43E3-A825-F20B3502C029}"/>
                </c:ext>
              </c:extLst>
            </c:dLbl>
            <c:dLbl>
              <c:idx val="2"/>
              <c:layout>
                <c:manualLayout>
                  <c:x val="-4.8325937981803374E-2"/>
                  <c:y val="-7.2186858240357296E-2"/>
                </c:manualLayout>
              </c:layout>
              <c:tx>
                <c:rich>
                  <a:bodyPr/>
                  <a:lstStyle/>
                  <a:p>
                    <a:fld id="{F1221166-6B18-48D0-B88B-583050EF9520}" type="VALUE">
                      <a:rPr lang="en-US" sz="800">
                        <a:solidFill>
                          <a:srgbClr val="F88A10"/>
                        </a:solidFill>
                      </a:rPr>
                      <a:pPr/>
                      <a:t>[VALUE]</a:t>
                    </a:fld>
                    <a:endParaRPr lang="bg-BG"/>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49A-43E3-A825-F20B3502C029}"/>
                </c:ext>
              </c:extLst>
            </c:dLbl>
            <c:dLbl>
              <c:idx val="3"/>
              <c:layout>
                <c:manualLayout>
                  <c:x val="-4.6513433441622155E-2"/>
                  <c:y val="9.023357280044654E-2"/>
                </c:manualLayout>
              </c:layout>
              <c:tx>
                <c:rich>
                  <a:bodyPr/>
                  <a:lstStyle/>
                  <a:p>
                    <a:fld id="{8E790504-2BB3-43A9-8B61-4BA45CEA136A}" type="VALUE">
                      <a:rPr lang="en-US" sz="900">
                        <a:solidFill>
                          <a:srgbClr val="F88A10"/>
                        </a:solidFill>
                      </a:rPr>
                      <a:pPr/>
                      <a:t>[VALUE]</a:t>
                    </a:fld>
                    <a:endParaRPr lang="bg-BG"/>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D49A-43E3-A825-F20B3502C029}"/>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Verdana" panose="020B0604030504040204" pitchFamily="34" charset="0"/>
                    <a:ea typeface="Verdana" panose="020B0604030504040204" pitchFamily="34" charset="0"/>
                    <a:cs typeface="Verdana" panose="020B0604030504040204" pitchFamily="34" charset="0"/>
                  </a:defRPr>
                </a:pPr>
                <a:endParaRPr lang="bg-BG"/>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'рамка на изпълнението'!$T$34:$T$37</c:f>
              <c:strCache>
                <c:ptCount val="4"/>
                <c:pt idx="0">
                  <c:v>PA1</c:v>
                </c:pt>
                <c:pt idx="1">
                  <c:v>PA2</c:v>
                </c:pt>
                <c:pt idx="2">
                  <c:v>PA3</c:v>
                </c:pt>
                <c:pt idx="3">
                  <c:v>PA4</c:v>
                </c:pt>
              </c:strCache>
            </c:strRef>
          </c:cat>
          <c:val>
            <c:numRef>
              <c:f>'рамка на изпълнението'!$V$15:$V$18</c:f>
              <c:numCache>
                <c:formatCode>0%</c:formatCode>
                <c:ptCount val="4"/>
                <c:pt idx="0">
                  <c:v>0.85</c:v>
                </c:pt>
                <c:pt idx="1">
                  <c:v>0.85</c:v>
                </c:pt>
                <c:pt idx="2">
                  <c:v>0.85</c:v>
                </c:pt>
                <c:pt idx="3">
                  <c:v>0.85</c:v>
                </c:pt>
              </c:numCache>
            </c:numRef>
          </c:val>
          <c:smooth val="0"/>
          <c:extLst>
            <c:ext xmlns:c16="http://schemas.microsoft.com/office/drawing/2014/chart" uri="{C3380CC4-5D6E-409C-BE32-E72D297353CC}">
              <c16:uniqueId val="{00000005-D49A-43E3-A825-F20B3502C029}"/>
            </c:ext>
          </c:extLst>
        </c:ser>
        <c:dLbls>
          <c:showLegendKey val="0"/>
          <c:showVal val="0"/>
          <c:showCatName val="0"/>
          <c:showSerName val="0"/>
          <c:showPercent val="0"/>
          <c:showBubbleSize val="0"/>
        </c:dLbls>
        <c:marker val="1"/>
        <c:smooth val="0"/>
        <c:axId val="290817776"/>
        <c:axId val="290821304"/>
      </c:lineChart>
      <c:catAx>
        <c:axId val="2908177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rgbClr val="374E81"/>
                </a:solidFill>
                <a:latin typeface="Verdana" panose="020B0604030504040204" pitchFamily="34" charset="0"/>
                <a:ea typeface="Verdana" panose="020B0604030504040204" pitchFamily="34" charset="0"/>
                <a:cs typeface="Verdana" panose="020B0604030504040204" pitchFamily="34" charset="0"/>
              </a:defRPr>
            </a:pPr>
            <a:endParaRPr lang="bg-BG"/>
          </a:p>
        </c:txPr>
        <c:crossAx val="290821304"/>
        <c:crosses val="autoZero"/>
        <c:auto val="1"/>
        <c:lblAlgn val="ctr"/>
        <c:lblOffset val="100"/>
        <c:noMultiLvlLbl val="0"/>
      </c:catAx>
      <c:valAx>
        <c:axId val="290821304"/>
        <c:scaling>
          <c:orientation val="minMax"/>
        </c:scaling>
        <c:delete val="1"/>
        <c:axPos val="l"/>
        <c:numFmt formatCode="0%" sourceLinked="1"/>
        <c:majorTickMark val="none"/>
        <c:minorTickMark val="none"/>
        <c:tickLblPos val="nextTo"/>
        <c:crossAx val="29081777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bg-BG"/>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lumMod val="65000"/>
          <a:lumOff val="35000"/>
        </a:schemeClr>
      </a:solidFill>
      <a:round/>
    </a:ln>
    <a:effectLst/>
  </c:spPr>
  <c:txPr>
    <a:bodyPr/>
    <a:lstStyle/>
    <a:p>
      <a:pPr>
        <a:defRPr/>
      </a:pPr>
      <a:endParaRPr lang="bg-BG"/>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374E81"/>
                </a:solidFill>
                <a:latin typeface="Verdana" panose="020B0604030504040204" pitchFamily="34" charset="0"/>
                <a:ea typeface="Verdana" panose="020B0604030504040204" pitchFamily="34" charset="0"/>
                <a:cs typeface="Verdana" panose="020B0604030504040204" pitchFamily="34" charset="0"/>
              </a:defRPr>
            </a:pPr>
            <a:r>
              <a:rPr lang="en-US" sz="1200">
                <a:solidFill>
                  <a:srgbClr val="374E81"/>
                </a:solidFill>
              </a:rPr>
              <a:t>financial achievment</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374E81"/>
              </a:solidFill>
              <a:latin typeface="Verdana" panose="020B0604030504040204" pitchFamily="34" charset="0"/>
              <a:ea typeface="Verdana" panose="020B0604030504040204" pitchFamily="34" charset="0"/>
              <a:cs typeface="Verdana" panose="020B0604030504040204" pitchFamily="34" charset="0"/>
            </a:defRPr>
          </a:pPr>
          <a:endParaRPr lang="bg-BG"/>
        </a:p>
      </c:txPr>
    </c:title>
    <c:autoTitleDeleted val="0"/>
    <c:plotArea>
      <c:layout/>
      <c:barChart>
        <c:barDir val="col"/>
        <c:grouping val="clustered"/>
        <c:varyColors val="0"/>
        <c:ser>
          <c:idx val="0"/>
          <c:order val="0"/>
          <c:tx>
            <c:strRef>
              <c:f>'графики-6та в.'!$C$87</c:f>
              <c:strCache>
                <c:ptCount val="1"/>
                <c:pt idx="0">
                  <c:v>optimistic scenario</c:v>
                </c:pt>
              </c:strCache>
            </c:strRef>
          </c:tx>
          <c:spPr>
            <a:solidFill>
              <a:srgbClr val="6A84BE"/>
            </a:solidFill>
            <a:ln w="9525" cap="flat" cmpd="sng" algn="ctr">
              <a:solidFill>
                <a:srgbClr val="6A84BE"/>
              </a:solidFill>
              <a:round/>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lt1"/>
                    </a:solidFill>
                    <a:latin typeface="Verdana" panose="020B0604030504040204" pitchFamily="34" charset="0"/>
                    <a:ea typeface="Verdana" panose="020B0604030504040204" pitchFamily="34" charset="0"/>
                    <a:cs typeface="Verdana" panose="020B0604030504040204" pitchFamily="34" charset="0"/>
                  </a:defRPr>
                </a:pPr>
                <a:endParaRPr lang="bg-BG"/>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'графики-6та в.'!$B$88:$B$91</c:f>
              <c:strCache>
                <c:ptCount val="4"/>
                <c:pt idx="0">
                  <c:v>PA1</c:v>
                </c:pt>
                <c:pt idx="1">
                  <c:v>PA2</c:v>
                </c:pt>
                <c:pt idx="2">
                  <c:v>PA3</c:v>
                </c:pt>
                <c:pt idx="3">
                  <c:v>PA4</c:v>
                </c:pt>
              </c:strCache>
            </c:strRef>
          </c:cat>
          <c:val>
            <c:numRef>
              <c:f>'графики-6та в.'!$C$88:$C$91</c:f>
              <c:numCache>
                <c:formatCode>0%</c:formatCode>
                <c:ptCount val="4"/>
                <c:pt idx="0">
                  <c:v>0.82775347514521125</c:v>
                </c:pt>
                <c:pt idx="1">
                  <c:v>1.0492353433068475</c:v>
                </c:pt>
                <c:pt idx="2">
                  <c:v>0.97727462109071794</c:v>
                </c:pt>
                <c:pt idx="3">
                  <c:v>0.95671984709032332</c:v>
                </c:pt>
              </c:numCache>
            </c:numRef>
          </c:val>
          <c:extLst>
            <c:ext xmlns:c16="http://schemas.microsoft.com/office/drawing/2014/chart" uri="{C3380CC4-5D6E-409C-BE32-E72D297353CC}">
              <c16:uniqueId val="{00000000-D1B3-4703-916A-BB276AEB3A69}"/>
            </c:ext>
          </c:extLst>
        </c:ser>
        <c:ser>
          <c:idx val="1"/>
          <c:order val="1"/>
          <c:tx>
            <c:strRef>
              <c:f>'графики-6та в.'!$D$87</c:f>
              <c:strCache>
                <c:ptCount val="1"/>
                <c:pt idx="0">
                  <c:v>realistic scenario</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lt1"/>
                    </a:solidFill>
                    <a:latin typeface="Verdana" panose="020B0604030504040204" pitchFamily="34" charset="0"/>
                    <a:ea typeface="Verdana" panose="020B0604030504040204" pitchFamily="34" charset="0"/>
                    <a:cs typeface="Verdana" panose="020B0604030504040204" pitchFamily="34" charset="0"/>
                  </a:defRPr>
                </a:pPr>
                <a:endParaRPr lang="bg-BG"/>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'графики-6та в.'!$B$88:$B$91</c:f>
              <c:strCache>
                <c:ptCount val="4"/>
                <c:pt idx="0">
                  <c:v>PA1</c:v>
                </c:pt>
                <c:pt idx="1">
                  <c:v>PA2</c:v>
                </c:pt>
                <c:pt idx="2">
                  <c:v>PA3</c:v>
                </c:pt>
                <c:pt idx="3">
                  <c:v>PA4</c:v>
                </c:pt>
              </c:strCache>
            </c:strRef>
          </c:cat>
          <c:val>
            <c:numRef>
              <c:f>'графики-6та в.'!$D$88:$D$91</c:f>
              <c:numCache>
                <c:formatCode>0%</c:formatCode>
                <c:ptCount val="4"/>
                <c:pt idx="0">
                  <c:v>0.52965722034402829</c:v>
                </c:pt>
                <c:pt idx="1">
                  <c:v>0.82608684057572856</c:v>
                </c:pt>
                <c:pt idx="2">
                  <c:v>0.97727462109071794</c:v>
                </c:pt>
                <c:pt idx="3">
                  <c:v>0.95671984709032332</c:v>
                </c:pt>
              </c:numCache>
            </c:numRef>
          </c:val>
          <c:extLst>
            <c:ext xmlns:c16="http://schemas.microsoft.com/office/drawing/2014/chart" uri="{C3380CC4-5D6E-409C-BE32-E72D297353CC}">
              <c16:uniqueId val="{00000001-D1B3-4703-916A-BB276AEB3A69}"/>
            </c:ext>
          </c:extLst>
        </c:ser>
        <c:ser>
          <c:idx val="2"/>
          <c:order val="2"/>
          <c:tx>
            <c:strRef>
              <c:f>'графики-6та в.'!$E$87</c:f>
              <c:strCache>
                <c:ptCount val="1"/>
                <c:pt idx="0">
                  <c:v>pesimistic</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lt1"/>
                    </a:solidFill>
                    <a:latin typeface="Verdana" panose="020B0604030504040204" pitchFamily="34" charset="0"/>
                    <a:ea typeface="Verdana" panose="020B0604030504040204" pitchFamily="34" charset="0"/>
                    <a:cs typeface="Verdana" panose="020B0604030504040204" pitchFamily="34" charset="0"/>
                  </a:defRPr>
                </a:pPr>
                <a:endParaRPr lang="bg-BG"/>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'графики-6та в.'!$B$88:$B$91</c:f>
              <c:strCache>
                <c:ptCount val="4"/>
                <c:pt idx="0">
                  <c:v>PA1</c:v>
                </c:pt>
                <c:pt idx="1">
                  <c:v>PA2</c:v>
                </c:pt>
                <c:pt idx="2">
                  <c:v>PA3</c:v>
                </c:pt>
                <c:pt idx="3">
                  <c:v>PA4</c:v>
                </c:pt>
              </c:strCache>
            </c:strRef>
          </c:cat>
          <c:val>
            <c:numRef>
              <c:f>'графики-6та в.'!$E$88:$E$91</c:f>
              <c:numCache>
                <c:formatCode>0%</c:formatCode>
                <c:ptCount val="4"/>
                <c:pt idx="0">
                  <c:v>0.26304275134460936</c:v>
                </c:pt>
                <c:pt idx="1">
                  <c:v>0.74479177879577807</c:v>
                </c:pt>
                <c:pt idx="2">
                  <c:v>0.97727462109071794</c:v>
                </c:pt>
                <c:pt idx="3">
                  <c:v>0.3530546738689373</c:v>
                </c:pt>
              </c:numCache>
            </c:numRef>
          </c:val>
          <c:extLst>
            <c:ext xmlns:c16="http://schemas.microsoft.com/office/drawing/2014/chart" uri="{C3380CC4-5D6E-409C-BE32-E72D297353CC}">
              <c16:uniqueId val="{00000002-D1B3-4703-916A-BB276AEB3A69}"/>
            </c:ext>
          </c:extLst>
        </c:ser>
        <c:dLbls>
          <c:dLblPos val="inEnd"/>
          <c:showLegendKey val="0"/>
          <c:showVal val="1"/>
          <c:showCatName val="0"/>
          <c:showSerName val="0"/>
          <c:showPercent val="0"/>
          <c:showBubbleSize val="0"/>
        </c:dLbls>
        <c:gapWidth val="65"/>
        <c:axId val="290818560"/>
        <c:axId val="290822872"/>
      </c:barChart>
      <c:catAx>
        <c:axId val="2908185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bg-BG"/>
          </a:p>
        </c:txPr>
        <c:crossAx val="290822872"/>
        <c:crosses val="autoZero"/>
        <c:auto val="1"/>
        <c:lblAlgn val="ctr"/>
        <c:lblOffset val="100"/>
        <c:noMultiLvlLbl val="0"/>
      </c:catAx>
      <c:valAx>
        <c:axId val="290822872"/>
        <c:scaling>
          <c:orientation val="minMax"/>
        </c:scaling>
        <c:delete val="1"/>
        <c:axPos val="l"/>
        <c:numFmt formatCode="0%" sourceLinked="1"/>
        <c:majorTickMark val="none"/>
        <c:minorTickMark val="none"/>
        <c:tickLblPos val="nextTo"/>
        <c:crossAx val="29081856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bg-BG"/>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bg-BG"/>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US" sz="1200">
                <a:solidFill>
                  <a:srgbClr val="374E81"/>
                </a:solidFill>
              </a:rPr>
              <a:t>physical progress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bg-BG"/>
        </a:p>
      </c:txPr>
    </c:title>
    <c:autoTitleDeleted val="0"/>
    <c:plotArea>
      <c:layout/>
      <c:barChart>
        <c:barDir val="col"/>
        <c:grouping val="clustered"/>
        <c:varyColors val="0"/>
        <c:ser>
          <c:idx val="0"/>
          <c:order val="0"/>
          <c:tx>
            <c:strRef>
              <c:f>'графики-6та в.'!$C$95</c:f>
              <c:strCache>
                <c:ptCount val="1"/>
                <c:pt idx="0">
                  <c:v>optimistic scenario</c:v>
                </c:pt>
              </c:strCache>
            </c:strRef>
          </c:tx>
          <c:spPr>
            <a:solidFill>
              <a:srgbClr val="6A84BE"/>
            </a:solidFill>
            <a:ln w="9525" cap="flat" cmpd="sng" algn="ctr">
              <a:solidFill>
                <a:srgbClr val="6A84BE"/>
              </a:solidFill>
              <a:round/>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lt1"/>
                    </a:solidFill>
                    <a:latin typeface="Verdana" panose="020B0604030504040204" pitchFamily="34" charset="0"/>
                    <a:ea typeface="Verdana" panose="020B0604030504040204" pitchFamily="34" charset="0"/>
                    <a:cs typeface="Verdana" panose="020B0604030504040204" pitchFamily="34" charset="0"/>
                  </a:defRPr>
                </a:pPr>
                <a:endParaRPr lang="bg-BG"/>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'графики-6та в.'!$B$96:$B$98</c:f>
              <c:strCache>
                <c:ptCount val="3"/>
                <c:pt idx="0">
                  <c:v>PA1</c:v>
                </c:pt>
                <c:pt idx="1">
                  <c:v>PA2</c:v>
                </c:pt>
                <c:pt idx="2">
                  <c:v>PA3</c:v>
                </c:pt>
              </c:strCache>
            </c:strRef>
          </c:cat>
          <c:val>
            <c:numRef>
              <c:f>'графики-6та в.'!$C$96:$C$98</c:f>
              <c:numCache>
                <c:formatCode>0%</c:formatCode>
                <c:ptCount val="3"/>
                <c:pt idx="0">
                  <c:v>0.90482758620689652</c:v>
                </c:pt>
                <c:pt idx="1">
                  <c:v>0.96896408683519175</c:v>
                </c:pt>
                <c:pt idx="2">
                  <c:v>1</c:v>
                </c:pt>
              </c:numCache>
            </c:numRef>
          </c:val>
          <c:extLst>
            <c:ext xmlns:c16="http://schemas.microsoft.com/office/drawing/2014/chart" uri="{C3380CC4-5D6E-409C-BE32-E72D297353CC}">
              <c16:uniqueId val="{00000000-20CB-42BB-9E9B-D24DFD54EEB5}"/>
            </c:ext>
          </c:extLst>
        </c:ser>
        <c:ser>
          <c:idx val="1"/>
          <c:order val="1"/>
          <c:tx>
            <c:strRef>
              <c:f>'графики-6та в.'!$D$95</c:f>
              <c:strCache>
                <c:ptCount val="1"/>
                <c:pt idx="0">
                  <c:v>realistic scenario</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lt1"/>
                    </a:solidFill>
                    <a:latin typeface="Verdana" panose="020B0604030504040204" pitchFamily="34" charset="0"/>
                    <a:ea typeface="Verdana" panose="020B0604030504040204" pitchFamily="34" charset="0"/>
                    <a:cs typeface="Verdana" panose="020B0604030504040204" pitchFamily="34" charset="0"/>
                  </a:defRPr>
                </a:pPr>
                <a:endParaRPr lang="bg-BG"/>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'графики-6та в.'!$B$96:$B$98</c:f>
              <c:strCache>
                <c:ptCount val="3"/>
                <c:pt idx="0">
                  <c:v>PA1</c:v>
                </c:pt>
                <c:pt idx="1">
                  <c:v>PA2</c:v>
                </c:pt>
                <c:pt idx="2">
                  <c:v>PA3</c:v>
                </c:pt>
              </c:strCache>
            </c:strRef>
          </c:cat>
          <c:val>
            <c:numRef>
              <c:f>'графики-6та в.'!$D$96:$D$98</c:f>
              <c:numCache>
                <c:formatCode>0%</c:formatCode>
                <c:ptCount val="3"/>
                <c:pt idx="0">
                  <c:v>0.86882068965517234</c:v>
                </c:pt>
                <c:pt idx="1">
                  <c:v>0.81812125249833456</c:v>
                </c:pt>
                <c:pt idx="2">
                  <c:v>1</c:v>
                </c:pt>
              </c:numCache>
            </c:numRef>
          </c:val>
          <c:extLst>
            <c:ext xmlns:c16="http://schemas.microsoft.com/office/drawing/2014/chart" uri="{C3380CC4-5D6E-409C-BE32-E72D297353CC}">
              <c16:uniqueId val="{00000001-20CB-42BB-9E9B-D24DFD54EEB5}"/>
            </c:ext>
          </c:extLst>
        </c:ser>
        <c:ser>
          <c:idx val="2"/>
          <c:order val="2"/>
          <c:tx>
            <c:strRef>
              <c:f>'графики-6та в.'!$E$95</c:f>
              <c:strCache>
                <c:ptCount val="1"/>
                <c:pt idx="0">
                  <c:v>pesimistic</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lt1"/>
                    </a:solidFill>
                    <a:latin typeface="Verdana" panose="020B0604030504040204" pitchFamily="34" charset="0"/>
                    <a:ea typeface="Verdana" panose="020B0604030504040204" pitchFamily="34" charset="0"/>
                    <a:cs typeface="Verdana" panose="020B0604030504040204" pitchFamily="34" charset="0"/>
                  </a:defRPr>
                </a:pPr>
                <a:endParaRPr lang="bg-BG"/>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'графики-6та в.'!$B$96:$B$98</c:f>
              <c:strCache>
                <c:ptCount val="3"/>
                <c:pt idx="0">
                  <c:v>PA1</c:v>
                </c:pt>
                <c:pt idx="1">
                  <c:v>PA2</c:v>
                </c:pt>
                <c:pt idx="2">
                  <c:v>PA3</c:v>
                </c:pt>
              </c:strCache>
            </c:strRef>
          </c:cat>
          <c:val>
            <c:numRef>
              <c:f>'графики-6та в.'!$E$96:$E$98</c:f>
              <c:numCache>
                <c:formatCode>0%</c:formatCode>
                <c:ptCount val="3"/>
                <c:pt idx="0">
                  <c:v>0.63433793103448266</c:v>
                </c:pt>
                <c:pt idx="1">
                  <c:v>0.54899249556899177</c:v>
                </c:pt>
                <c:pt idx="2">
                  <c:v>1</c:v>
                </c:pt>
              </c:numCache>
            </c:numRef>
          </c:val>
          <c:extLst>
            <c:ext xmlns:c16="http://schemas.microsoft.com/office/drawing/2014/chart" uri="{C3380CC4-5D6E-409C-BE32-E72D297353CC}">
              <c16:uniqueId val="{00000002-20CB-42BB-9E9B-D24DFD54EEB5}"/>
            </c:ext>
          </c:extLst>
        </c:ser>
        <c:dLbls>
          <c:dLblPos val="inEnd"/>
          <c:showLegendKey val="0"/>
          <c:showVal val="1"/>
          <c:showCatName val="0"/>
          <c:showSerName val="0"/>
          <c:showPercent val="0"/>
          <c:showBubbleSize val="0"/>
        </c:dLbls>
        <c:gapWidth val="65"/>
        <c:axId val="290819736"/>
        <c:axId val="290821696"/>
      </c:barChart>
      <c:catAx>
        <c:axId val="2908197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bg-BG"/>
          </a:p>
        </c:txPr>
        <c:crossAx val="290821696"/>
        <c:crosses val="autoZero"/>
        <c:auto val="1"/>
        <c:lblAlgn val="ctr"/>
        <c:lblOffset val="100"/>
        <c:noMultiLvlLbl val="0"/>
      </c:catAx>
      <c:valAx>
        <c:axId val="290821696"/>
        <c:scaling>
          <c:orientation val="minMax"/>
        </c:scaling>
        <c:delete val="1"/>
        <c:axPos val="l"/>
        <c:numFmt formatCode="0%" sourceLinked="1"/>
        <c:majorTickMark val="none"/>
        <c:minorTickMark val="none"/>
        <c:tickLblPos val="nextTo"/>
        <c:crossAx val="29081973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bg-BG"/>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bg-BG"/>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B8AD86-3A62-47BD-81AA-439A95DB1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3801</Words>
  <Characters>21671</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ELANA</Company>
  <LinksUpToDate>false</LinksUpToDate>
  <CharactersWithSpaces>25422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Velina Savcheva</dc:creator>
  <cp:keywords/>
  <dc:description/>
  <cp:lastModifiedBy>Momchil Markov</cp:lastModifiedBy>
  <cp:revision>3</cp:revision>
  <cp:lastPrinted>2020-12-21T13:30:00Z</cp:lastPrinted>
  <dcterms:created xsi:type="dcterms:W3CDTF">2021-02-08T14:37:00Z</dcterms:created>
  <dcterms:modified xsi:type="dcterms:W3CDTF">2021-02-08T14:46:00Z</dcterms:modified>
</cp:coreProperties>
</file>