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6F4" w:rsidRPr="004C591A" w:rsidRDefault="002F66F4" w:rsidP="00E23940">
      <w:pPr>
        <w:tabs>
          <w:tab w:val="num" w:pos="0"/>
        </w:tabs>
        <w:jc w:val="center"/>
        <w:rPr>
          <w:b/>
          <w:lang w:val="bg-BG"/>
        </w:rPr>
      </w:pPr>
    </w:p>
    <w:p w:rsidR="002F66F4" w:rsidRPr="004C591A" w:rsidRDefault="002F66F4" w:rsidP="00E23940">
      <w:pPr>
        <w:tabs>
          <w:tab w:val="num" w:pos="0"/>
        </w:tabs>
        <w:jc w:val="center"/>
        <w:rPr>
          <w:b/>
          <w:lang w:val="bg-BG"/>
        </w:rPr>
      </w:pPr>
      <w:r w:rsidRPr="004C591A">
        <w:rPr>
          <w:b/>
          <w:lang w:val="bg-BG"/>
        </w:rPr>
        <w:t>КОНТРОЛЕН ЛИСТ</w:t>
      </w:r>
    </w:p>
    <w:p w:rsidR="002F66F4" w:rsidRPr="004C591A" w:rsidRDefault="002F66F4" w:rsidP="00E23940">
      <w:pPr>
        <w:tabs>
          <w:tab w:val="num" w:pos="0"/>
        </w:tabs>
        <w:jc w:val="center"/>
        <w:rPr>
          <w:b/>
          <w:lang w:val="bg-BG"/>
        </w:rPr>
      </w:pPr>
      <w:r w:rsidRPr="004C591A">
        <w:rPr>
          <w:b/>
          <w:lang w:val="bg-BG"/>
        </w:rPr>
        <w:t>за проверка на обществени поръчки, възложени след открит конкурс по Наредбата за възлагане на малки обществени поръчки (отм.)</w:t>
      </w:r>
    </w:p>
    <w:p w:rsidR="002F66F4" w:rsidRPr="004C591A" w:rsidRDefault="002F66F4" w:rsidP="00E23940">
      <w:pPr>
        <w:tabs>
          <w:tab w:val="num" w:pos="0"/>
        </w:tabs>
        <w:jc w:val="center"/>
        <w:rPr>
          <w:b/>
          <w:lang w:val="bg-BG"/>
        </w:rPr>
      </w:pPr>
    </w:p>
    <w:p w:rsidR="002F66F4" w:rsidRPr="004C591A" w:rsidRDefault="002F66F4" w:rsidP="00071102">
      <w:pPr>
        <w:tabs>
          <w:tab w:val="num" w:pos="360"/>
        </w:tabs>
        <w:ind w:left="360"/>
        <w:jc w:val="both"/>
        <w:rPr>
          <w:lang w:val="bg-BG"/>
        </w:rPr>
      </w:pPr>
      <w:r w:rsidRPr="004C591A">
        <w:rPr>
          <w:b/>
          <w:lang w:val="bg-BG"/>
        </w:rPr>
        <w:t xml:space="preserve">Цел: </w:t>
      </w:r>
      <w:r w:rsidRPr="004C591A">
        <w:rPr>
          <w:lang w:val="bg-BG"/>
        </w:rPr>
        <w:t>да се установи дали обществената поръчка е възложена законосъобразно.</w:t>
      </w:r>
    </w:p>
    <w:p w:rsidR="007F6DDB" w:rsidRPr="004C591A" w:rsidRDefault="007F6DDB" w:rsidP="00071102">
      <w:pPr>
        <w:tabs>
          <w:tab w:val="num" w:pos="360"/>
        </w:tabs>
        <w:ind w:left="360"/>
        <w:jc w:val="both"/>
        <w:rPr>
          <w:lang w:val="bg-BG"/>
        </w:rPr>
      </w:pPr>
    </w:p>
    <w:tbl>
      <w:tblPr>
        <w:tblW w:w="1360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7488"/>
      </w:tblGrid>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1. </w:t>
            </w:r>
            <w:r w:rsidR="007F6DDB" w:rsidRPr="004C591A">
              <w:rPr>
                <w:b/>
                <w:bCs/>
              </w:rPr>
              <w:t xml:space="preserve">Наименование на проверката </w:t>
            </w:r>
          </w:p>
          <w:p w:rsidR="007F6DDB" w:rsidRPr="004C591A" w:rsidRDefault="007F6DDB" w:rsidP="007F6DDB">
            <w:pPr>
              <w:tabs>
                <w:tab w:val="num" w:pos="0"/>
              </w:tabs>
              <w:jc w:val="both"/>
              <w:rPr>
                <w:b/>
                <w:bCs/>
              </w:rPr>
            </w:pPr>
            <w:r w:rsidRPr="004C591A">
              <w:rPr>
                <w:b/>
                <w:bCs/>
              </w:rPr>
              <w:t>(вкл. обект /доставка, услуга или строителство/, предмет, сключен договор /номер, дата, изпълнител, стойност без ДДС)</w:t>
            </w:r>
          </w:p>
        </w:tc>
        <w:tc>
          <w:tcPr>
            <w:tcW w:w="7488" w:type="dxa"/>
          </w:tcPr>
          <w:p w:rsidR="007F6DDB" w:rsidRPr="004C591A" w:rsidRDefault="007F6DDB" w:rsidP="007F6DDB">
            <w:pPr>
              <w:tabs>
                <w:tab w:val="num" w:pos="0"/>
              </w:tabs>
              <w:jc w:val="both"/>
            </w:pPr>
            <w:r w:rsidRPr="004C591A">
              <w:t xml:space="preserve">Проверка на </w:t>
            </w:r>
            <w:r w:rsidR="00D157DF" w:rsidRPr="004C591A">
              <w:rPr>
                <w:lang w:val="bg-BG"/>
              </w:rPr>
              <w:t>открит конкурс</w:t>
            </w:r>
            <w:r w:rsidRPr="004C591A">
              <w:t xml:space="preserve"> по </w:t>
            </w:r>
            <w:r w:rsidR="00D157DF" w:rsidRPr="004C591A">
              <w:rPr>
                <w:lang w:val="bg-BG"/>
              </w:rPr>
              <w:t>НВМОП</w:t>
            </w:r>
            <w:r w:rsidRPr="004C591A">
              <w:t xml:space="preserve"> за ............ /доставка, услуга или строителство/ с предмет „......................”, сключен договор № .......  от /дата/ ...........г. с изпълнител  ................ на стойност ............... лв. без ДДС</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2.</w:t>
            </w:r>
            <w:r w:rsidR="007F6DDB" w:rsidRPr="004C591A">
              <w:rPr>
                <w:b/>
                <w:bCs/>
              </w:rPr>
              <w:t xml:space="preserve">Проект:  </w:t>
            </w:r>
          </w:p>
        </w:tc>
        <w:tc>
          <w:tcPr>
            <w:tcW w:w="7488" w:type="dxa"/>
          </w:tcPr>
          <w:p w:rsidR="007F6DDB" w:rsidRPr="004C591A" w:rsidRDefault="007F6DDB" w:rsidP="007F6DDB">
            <w:pPr>
              <w:tabs>
                <w:tab w:val="num" w:pos="0"/>
              </w:tabs>
              <w:jc w:val="both"/>
            </w:pP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3.</w:t>
            </w:r>
            <w:r w:rsidR="007F6DDB" w:rsidRPr="004C591A">
              <w:rPr>
                <w:b/>
                <w:bCs/>
              </w:rPr>
              <w:t xml:space="preserve">Възложител: </w:t>
            </w:r>
          </w:p>
        </w:tc>
        <w:tc>
          <w:tcPr>
            <w:tcW w:w="7488" w:type="dxa"/>
          </w:tcPr>
          <w:p w:rsidR="007F6DDB" w:rsidRPr="004C591A" w:rsidRDefault="007F6DDB" w:rsidP="007F6DDB">
            <w:pPr>
              <w:tabs>
                <w:tab w:val="num" w:pos="0"/>
              </w:tabs>
              <w:jc w:val="both"/>
            </w:pP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4.</w:t>
            </w:r>
            <w:r w:rsidR="007F6DDB" w:rsidRPr="004C591A">
              <w:rPr>
                <w:b/>
                <w:bCs/>
              </w:rPr>
              <w:t>Номер на поръчката в РОП:</w:t>
            </w:r>
          </w:p>
        </w:tc>
        <w:tc>
          <w:tcPr>
            <w:tcW w:w="7488" w:type="dxa"/>
          </w:tcPr>
          <w:p w:rsidR="007F6DDB" w:rsidRPr="004C591A" w:rsidRDefault="007F6DDB" w:rsidP="007F6DDB">
            <w:pPr>
              <w:tabs>
                <w:tab w:val="num" w:pos="0"/>
              </w:tabs>
              <w:jc w:val="both"/>
            </w:pPr>
            <w:r w:rsidRPr="004C591A">
              <w:t>nnnnn-yyyy-xxxx</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5.</w:t>
            </w:r>
            <w:r w:rsidR="007F6DDB" w:rsidRPr="004C591A">
              <w:rPr>
                <w:b/>
                <w:bCs/>
              </w:rPr>
              <w:t>Решение за откриване:</w:t>
            </w:r>
          </w:p>
        </w:tc>
        <w:tc>
          <w:tcPr>
            <w:tcW w:w="7488" w:type="dxa"/>
          </w:tcPr>
          <w:p w:rsidR="007F6DDB" w:rsidRPr="004C591A" w:rsidRDefault="007F6DDB" w:rsidP="007F6DDB">
            <w:pPr>
              <w:tabs>
                <w:tab w:val="num" w:pos="0"/>
              </w:tabs>
              <w:jc w:val="both"/>
            </w:pPr>
            <w:r w:rsidRPr="004C591A">
              <w:t>номер, дата и длъжност на лицето, издало решението</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6. </w:t>
            </w:r>
            <w:r w:rsidR="007F6DDB" w:rsidRPr="004C591A">
              <w:rPr>
                <w:b/>
                <w:bCs/>
              </w:rPr>
              <w:t>Прогнозна стойност на поръчката (без ДДС):</w:t>
            </w:r>
          </w:p>
        </w:tc>
        <w:tc>
          <w:tcPr>
            <w:tcW w:w="7488" w:type="dxa"/>
          </w:tcPr>
          <w:p w:rsidR="007F6DDB" w:rsidRPr="004C591A" w:rsidRDefault="007F6DDB" w:rsidP="007F6DDB">
            <w:pPr>
              <w:tabs>
                <w:tab w:val="num" w:pos="0"/>
              </w:tabs>
              <w:jc w:val="both"/>
            </w:pP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7. </w:t>
            </w:r>
            <w:r w:rsidR="007F6DDB" w:rsidRPr="004C591A">
              <w:rPr>
                <w:b/>
                <w:bCs/>
              </w:rPr>
              <w:t>Акт, с който е приключила процедурата:</w:t>
            </w:r>
          </w:p>
        </w:tc>
        <w:tc>
          <w:tcPr>
            <w:tcW w:w="7488" w:type="dxa"/>
          </w:tcPr>
          <w:p w:rsidR="007F6DDB" w:rsidRPr="004C591A" w:rsidRDefault="007F6DDB" w:rsidP="007F6DDB">
            <w:pPr>
              <w:tabs>
                <w:tab w:val="num" w:pos="0"/>
              </w:tabs>
              <w:jc w:val="both"/>
            </w:pPr>
            <w:r w:rsidRPr="004C591A">
              <w:t xml:space="preserve">рамково споразумение, договор за общ. поръчка или решение за прекратяване (номер, дата) </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8. </w:t>
            </w:r>
            <w:r w:rsidR="007F6DDB" w:rsidRPr="004C591A">
              <w:rPr>
                <w:b/>
                <w:bCs/>
              </w:rPr>
              <w:t xml:space="preserve">Актове на АОП по чл. 20а от ЗОП: </w:t>
            </w:r>
          </w:p>
        </w:tc>
        <w:tc>
          <w:tcPr>
            <w:tcW w:w="7488" w:type="dxa"/>
          </w:tcPr>
          <w:p w:rsidR="007F6DDB" w:rsidRPr="004C591A" w:rsidRDefault="007F6DDB" w:rsidP="007F6DDB">
            <w:pPr>
              <w:tabs>
                <w:tab w:val="num" w:pos="0"/>
              </w:tabs>
              <w:jc w:val="both"/>
            </w:pPr>
            <w:r w:rsidRPr="004C591A">
              <w:t>номер, дата на становището на АОП</w:t>
            </w:r>
          </w:p>
        </w:tc>
      </w:tr>
      <w:tr w:rsidR="000E53C0" w:rsidRPr="004C591A" w:rsidTr="004C591A">
        <w:tc>
          <w:tcPr>
            <w:tcW w:w="6120" w:type="dxa"/>
            <w:shd w:val="clear" w:color="auto" w:fill="CCFFCC"/>
          </w:tcPr>
          <w:p w:rsidR="000E53C0" w:rsidRPr="004C591A" w:rsidRDefault="000E53C0" w:rsidP="00A30106">
            <w:pPr>
              <w:tabs>
                <w:tab w:val="num" w:pos="0"/>
              </w:tabs>
              <w:jc w:val="both"/>
              <w:rPr>
                <w:b/>
                <w:bCs/>
              </w:rPr>
            </w:pPr>
            <w:r>
              <w:rPr>
                <w:b/>
                <w:bCs/>
              </w:rPr>
              <w:t xml:space="preserve">9. </w:t>
            </w:r>
            <w:r w:rsidRPr="004C591A">
              <w:rPr>
                <w:b/>
                <w:bCs/>
              </w:rPr>
              <w:t>Доклади от други органи (ЕК, ЕСП</w:t>
            </w:r>
            <w:r w:rsidR="00384BE5">
              <w:rPr>
                <w:b/>
                <w:bCs/>
              </w:rPr>
              <w:t xml:space="preserve">, ОЛАФ, СП, АДФИ, </w:t>
            </w:r>
            <w:r w:rsidRPr="004C591A">
              <w:rPr>
                <w:b/>
                <w:bCs/>
              </w:rPr>
              <w:t xml:space="preserve"> др.): </w:t>
            </w:r>
          </w:p>
        </w:tc>
        <w:tc>
          <w:tcPr>
            <w:tcW w:w="7488" w:type="dxa"/>
          </w:tcPr>
          <w:p w:rsidR="000E53C0" w:rsidRPr="004C591A" w:rsidRDefault="000E53C0" w:rsidP="00A30106">
            <w:pPr>
              <w:tabs>
                <w:tab w:val="num" w:pos="0"/>
              </w:tabs>
              <w:jc w:val="both"/>
            </w:pPr>
            <w:r w:rsidRPr="004C591A">
              <w:t>номер, дата и издател на доклада, свързан с проверяваната процедура</w:t>
            </w: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bCs/>
              </w:rPr>
              <w:t xml:space="preserve">10. </w:t>
            </w:r>
            <w:r w:rsidRPr="004C591A">
              <w:rPr>
                <w:b/>
                <w:bCs/>
              </w:rPr>
              <w:t xml:space="preserve">Актове на КЗК и ВАС: </w:t>
            </w:r>
          </w:p>
        </w:tc>
        <w:tc>
          <w:tcPr>
            <w:tcW w:w="7488" w:type="dxa"/>
          </w:tcPr>
          <w:p w:rsidR="000E53C0" w:rsidRPr="004C591A" w:rsidRDefault="000E53C0" w:rsidP="007F6DDB">
            <w:pPr>
              <w:tabs>
                <w:tab w:val="num" w:pos="0"/>
              </w:tabs>
              <w:jc w:val="both"/>
            </w:pPr>
            <w:r w:rsidRPr="004C591A">
              <w:t>номер, дата, издател (решения/ определения на  КЗК/ ВАС)  по проверяваната процедура</w:t>
            </w: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lang w:eastAsia="fr-FR"/>
              </w:rPr>
              <w:t>11.</w:t>
            </w:r>
            <w:r w:rsidRPr="004C591A">
              <w:rPr>
                <w:b/>
                <w:lang w:eastAsia="fr-FR"/>
              </w:rPr>
              <w:t>Интернет адрес, на който е била налична</w:t>
            </w:r>
            <w:r w:rsidRPr="004C591A" w:rsidDel="005B718C">
              <w:rPr>
                <w:b/>
                <w:lang w:eastAsia="fr-FR"/>
              </w:rPr>
              <w:t xml:space="preserve"> </w:t>
            </w:r>
            <w:r w:rsidRPr="004C591A">
              <w:rPr>
                <w:b/>
                <w:bCs/>
              </w:rPr>
              <w:t>ДУ:</w:t>
            </w:r>
          </w:p>
        </w:tc>
        <w:tc>
          <w:tcPr>
            <w:tcW w:w="7488" w:type="dxa"/>
          </w:tcPr>
          <w:p w:rsidR="000E53C0" w:rsidRPr="004C591A" w:rsidRDefault="000E53C0" w:rsidP="007F6DDB">
            <w:pPr>
              <w:tabs>
                <w:tab w:val="num" w:pos="0"/>
              </w:tabs>
              <w:jc w:val="both"/>
            </w:pP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bCs/>
              </w:rPr>
              <w:t xml:space="preserve">12. </w:t>
            </w:r>
            <w:r w:rsidRPr="004C591A">
              <w:rPr>
                <w:b/>
                <w:bCs/>
              </w:rPr>
              <w:t>Брой подадени оферти</w:t>
            </w:r>
            <w:r w:rsidRPr="004C591A">
              <w:rPr>
                <w:b/>
                <w:bCs/>
                <w:lang w:val="bg-BG"/>
              </w:rPr>
              <w:t xml:space="preserve"> </w:t>
            </w:r>
            <w:r w:rsidRPr="004C591A">
              <w:rPr>
                <w:b/>
                <w:lang w:eastAsia="fr-FR"/>
              </w:rPr>
              <w:t>(вкл. за всяка обособена позиция)</w:t>
            </w:r>
            <w:r w:rsidRPr="004C591A">
              <w:rPr>
                <w:b/>
                <w:bCs/>
              </w:rPr>
              <w:t>:</w:t>
            </w:r>
          </w:p>
        </w:tc>
        <w:tc>
          <w:tcPr>
            <w:tcW w:w="7488" w:type="dxa"/>
          </w:tcPr>
          <w:p w:rsidR="000E53C0" w:rsidRPr="004C591A" w:rsidRDefault="000E53C0" w:rsidP="007F6DDB">
            <w:pPr>
              <w:tabs>
                <w:tab w:val="num" w:pos="0"/>
              </w:tabs>
              <w:jc w:val="both"/>
            </w:pP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bCs/>
              </w:rPr>
              <w:t xml:space="preserve">13. </w:t>
            </w:r>
            <w:r w:rsidRPr="004C591A">
              <w:rPr>
                <w:b/>
                <w:bCs/>
              </w:rPr>
              <w:t>Брой отстранени участници</w:t>
            </w:r>
            <w:r w:rsidRPr="004C591A">
              <w:rPr>
                <w:b/>
                <w:bCs/>
                <w:lang w:val="bg-BG"/>
              </w:rPr>
              <w:t xml:space="preserve"> </w:t>
            </w:r>
            <w:r w:rsidRPr="004C591A">
              <w:rPr>
                <w:b/>
                <w:lang w:eastAsia="fr-FR"/>
              </w:rPr>
              <w:t>(вкл. за всяка обособена позиция)</w:t>
            </w:r>
            <w:r w:rsidRPr="004C591A">
              <w:rPr>
                <w:b/>
                <w:bCs/>
              </w:rPr>
              <w:t>:</w:t>
            </w:r>
          </w:p>
        </w:tc>
        <w:tc>
          <w:tcPr>
            <w:tcW w:w="7488" w:type="dxa"/>
          </w:tcPr>
          <w:p w:rsidR="000E53C0" w:rsidRPr="004C591A" w:rsidRDefault="000E53C0" w:rsidP="007F6DDB">
            <w:pPr>
              <w:tabs>
                <w:tab w:val="num" w:pos="0"/>
              </w:tabs>
              <w:jc w:val="both"/>
            </w:pPr>
          </w:p>
        </w:tc>
      </w:tr>
    </w:tbl>
    <w:p w:rsidR="002F66F4" w:rsidRPr="004C591A" w:rsidRDefault="002F66F4">
      <w:pPr>
        <w:tabs>
          <w:tab w:val="num" w:pos="0"/>
        </w:tabs>
        <w:jc w:val="both"/>
        <w:rPr>
          <w:lang w:val="bg-BG"/>
        </w:rPr>
      </w:pPr>
    </w:p>
    <w:p w:rsidR="00937638" w:rsidRDefault="00937638" w:rsidP="007F6DDB">
      <w:pPr>
        <w:jc w:val="both"/>
      </w:pPr>
    </w:p>
    <w:p w:rsidR="000127D3" w:rsidRPr="00765DF0" w:rsidRDefault="000127D3" w:rsidP="000127D3">
      <w:pPr>
        <w:ind w:right="426"/>
        <w:rPr>
          <w:b/>
          <w:sz w:val="16"/>
          <w:szCs w:val="16"/>
        </w:rPr>
      </w:pPr>
      <w:r w:rsidRPr="00765DF0">
        <w:rPr>
          <w:b/>
          <w:sz w:val="16"/>
          <w:szCs w:val="16"/>
        </w:rPr>
        <w:t>УКАЗАНИЯ:</w:t>
      </w:r>
    </w:p>
    <w:p w:rsidR="000127D3" w:rsidRPr="00314C70" w:rsidRDefault="000127D3" w:rsidP="000127D3">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0127D3" w:rsidRPr="00C44CA0" w:rsidRDefault="000127D3" w:rsidP="000127D3">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0127D3" w:rsidRPr="00C44CA0" w:rsidRDefault="000127D3" w:rsidP="000127D3">
      <w:pPr>
        <w:numPr>
          <w:ilvl w:val="0"/>
          <w:numId w:val="14"/>
        </w:numPr>
        <w:rPr>
          <w:bCs/>
          <w:sz w:val="16"/>
          <w:szCs w:val="16"/>
        </w:rPr>
      </w:pPr>
      <w:r w:rsidRPr="00C44CA0">
        <w:rPr>
          <w:bCs/>
          <w:sz w:val="16"/>
          <w:szCs w:val="16"/>
        </w:rPr>
        <w:t>предварителни обявления (ако има такива) (по отделно от ОВ и от АОП),</w:t>
      </w:r>
    </w:p>
    <w:p w:rsidR="000127D3" w:rsidRPr="00C44CA0" w:rsidRDefault="000127D3" w:rsidP="000127D3">
      <w:pPr>
        <w:numPr>
          <w:ilvl w:val="0"/>
          <w:numId w:val="14"/>
        </w:numPr>
        <w:rPr>
          <w:bCs/>
          <w:sz w:val="16"/>
          <w:szCs w:val="16"/>
        </w:rPr>
      </w:pPr>
      <w:r w:rsidRPr="00C44CA0">
        <w:rPr>
          <w:bCs/>
          <w:sz w:val="16"/>
          <w:szCs w:val="16"/>
        </w:rPr>
        <w:t>обявления за обществената поръчка (по отделно от ОВ и от АОП),</w:t>
      </w:r>
    </w:p>
    <w:p w:rsidR="000127D3" w:rsidRPr="00C44CA0" w:rsidRDefault="000127D3" w:rsidP="000127D3">
      <w:pPr>
        <w:numPr>
          <w:ilvl w:val="0"/>
          <w:numId w:val="14"/>
        </w:numPr>
        <w:rPr>
          <w:bCs/>
          <w:sz w:val="16"/>
          <w:szCs w:val="16"/>
        </w:rPr>
      </w:pPr>
      <w:r w:rsidRPr="00C44CA0">
        <w:rPr>
          <w:bCs/>
          <w:sz w:val="16"/>
          <w:szCs w:val="16"/>
        </w:rPr>
        <w:t>документация за участие, вкл. разясненията на възложителя,</w:t>
      </w:r>
    </w:p>
    <w:p w:rsidR="000127D3" w:rsidRPr="00C44CA0" w:rsidRDefault="000127D3" w:rsidP="000127D3">
      <w:pPr>
        <w:numPr>
          <w:ilvl w:val="0"/>
          <w:numId w:val="14"/>
        </w:numPr>
        <w:rPr>
          <w:bCs/>
          <w:sz w:val="16"/>
          <w:szCs w:val="16"/>
        </w:rPr>
      </w:pPr>
      <w:r w:rsidRPr="00C44CA0">
        <w:rPr>
          <w:bCs/>
          <w:sz w:val="16"/>
          <w:szCs w:val="16"/>
        </w:rPr>
        <w:t>актове на АОП по предварителен контрол (ако има такива),</w:t>
      </w:r>
    </w:p>
    <w:p w:rsidR="000127D3" w:rsidRPr="00C44CA0" w:rsidRDefault="000127D3" w:rsidP="000127D3">
      <w:pPr>
        <w:numPr>
          <w:ilvl w:val="0"/>
          <w:numId w:val="14"/>
        </w:numPr>
        <w:rPr>
          <w:bCs/>
          <w:sz w:val="16"/>
          <w:szCs w:val="16"/>
        </w:rPr>
      </w:pPr>
      <w:r w:rsidRPr="00C44CA0">
        <w:rPr>
          <w:bCs/>
          <w:sz w:val="16"/>
          <w:szCs w:val="16"/>
        </w:rPr>
        <w:t>решение за промяна на обявлението и/или документацията за участие (ако има такова) (по отделно от ОВ и от АОП),</w:t>
      </w:r>
    </w:p>
    <w:p w:rsidR="000127D3" w:rsidRPr="00C44CA0" w:rsidRDefault="000127D3" w:rsidP="000127D3">
      <w:pPr>
        <w:numPr>
          <w:ilvl w:val="0"/>
          <w:numId w:val="14"/>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rsidR="000127D3" w:rsidRPr="00C44CA0" w:rsidRDefault="000127D3" w:rsidP="000127D3">
      <w:pPr>
        <w:numPr>
          <w:ilvl w:val="0"/>
          <w:numId w:val="14"/>
        </w:numPr>
        <w:rPr>
          <w:bCs/>
          <w:sz w:val="16"/>
          <w:szCs w:val="16"/>
        </w:rPr>
      </w:pPr>
      <w:r w:rsidRPr="00C44CA0">
        <w:rPr>
          <w:bCs/>
          <w:sz w:val="16"/>
          <w:szCs w:val="16"/>
        </w:rPr>
        <w:t>решение за определяне на изпълнител,</w:t>
      </w:r>
    </w:p>
    <w:p w:rsidR="000127D3" w:rsidRPr="00C44CA0" w:rsidRDefault="000127D3" w:rsidP="000127D3">
      <w:pPr>
        <w:numPr>
          <w:ilvl w:val="0"/>
          <w:numId w:val="14"/>
        </w:numPr>
        <w:rPr>
          <w:bCs/>
          <w:sz w:val="16"/>
          <w:szCs w:val="16"/>
        </w:rPr>
      </w:pPr>
      <w:r w:rsidRPr="00C44CA0">
        <w:rPr>
          <w:bCs/>
          <w:sz w:val="16"/>
          <w:szCs w:val="16"/>
        </w:rPr>
        <w:t>договор за обществена поръчка/рамково споразумение и договор по него,</w:t>
      </w:r>
    </w:p>
    <w:p w:rsidR="000127D3" w:rsidRPr="00A73A70" w:rsidRDefault="000127D3" w:rsidP="000127D3">
      <w:pPr>
        <w:numPr>
          <w:ilvl w:val="0"/>
          <w:numId w:val="14"/>
        </w:numPr>
        <w:rPr>
          <w:bCs/>
          <w:sz w:val="16"/>
          <w:szCs w:val="16"/>
        </w:rPr>
      </w:pPr>
      <w:r w:rsidRPr="00C44CA0">
        <w:rPr>
          <w:bCs/>
          <w:sz w:val="16"/>
          <w:szCs w:val="16"/>
        </w:rPr>
        <w:t>актове на КЗК и ВАС във връзка с процедурата.</w:t>
      </w:r>
    </w:p>
    <w:p w:rsidR="000127D3" w:rsidRPr="00C44CA0" w:rsidRDefault="000127D3" w:rsidP="000127D3">
      <w:pPr>
        <w:numPr>
          <w:ilvl w:val="0"/>
          <w:numId w:val="14"/>
        </w:numPr>
        <w:rPr>
          <w:bCs/>
          <w:sz w:val="16"/>
          <w:szCs w:val="16"/>
        </w:rPr>
      </w:pPr>
      <w:r w:rsidRPr="00CD473A">
        <w:rPr>
          <w:bCs/>
          <w:sz w:val="16"/>
          <w:szCs w:val="16"/>
        </w:rPr>
        <w:lastRenderedPageBreak/>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0127D3" w:rsidRPr="00C44CA0" w:rsidRDefault="000127D3" w:rsidP="000127D3">
      <w:pPr>
        <w:numPr>
          <w:ilvl w:val="0"/>
          <w:numId w:val="14"/>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rsidR="000127D3" w:rsidRPr="00314C70" w:rsidRDefault="000127D3" w:rsidP="000127D3">
      <w:pPr>
        <w:rPr>
          <w:sz w:val="16"/>
          <w:szCs w:val="16"/>
        </w:rPr>
      </w:pPr>
    </w:p>
    <w:p w:rsidR="000127D3" w:rsidRPr="00314C70" w:rsidRDefault="000127D3" w:rsidP="000127D3">
      <w:pPr>
        <w:rPr>
          <w:b/>
          <w:sz w:val="16"/>
          <w:szCs w:val="16"/>
        </w:rPr>
      </w:pPr>
      <w:r w:rsidRPr="00314C70">
        <w:rPr>
          <w:b/>
          <w:sz w:val="16"/>
          <w:szCs w:val="16"/>
        </w:rPr>
        <w:t>2. Задължително се дава отговор в колона „Да/Не/НП”.</w:t>
      </w:r>
    </w:p>
    <w:p w:rsidR="000127D3" w:rsidRPr="00314C70" w:rsidRDefault="000127D3" w:rsidP="000127D3">
      <w:pPr>
        <w:rPr>
          <w:b/>
          <w:sz w:val="16"/>
          <w:szCs w:val="16"/>
        </w:rPr>
      </w:pPr>
    </w:p>
    <w:p w:rsidR="000127D3" w:rsidRPr="00F1015A" w:rsidRDefault="000127D3" w:rsidP="000127D3">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rsidR="000127D3" w:rsidRPr="00314C70" w:rsidRDefault="000127D3" w:rsidP="000127D3">
      <w:pPr>
        <w:jc w:val="both"/>
        <w:rPr>
          <w:b/>
          <w:i/>
          <w:sz w:val="16"/>
          <w:szCs w:val="16"/>
        </w:rPr>
      </w:pPr>
    </w:p>
    <w:p w:rsidR="000127D3" w:rsidRPr="00314C70" w:rsidRDefault="000127D3" w:rsidP="000127D3">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0127D3" w:rsidRPr="008D6E6E" w:rsidRDefault="000127D3" w:rsidP="000127D3">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0127D3" w:rsidRPr="00063B47" w:rsidRDefault="000127D3" w:rsidP="000127D3">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0127D3" w:rsidRPr="00314C70" w:rsidRDefault="000127D3" w:rsidP="000127D3">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0127D3" w:rsidRPr="00314C70" w:rsidRDefault="000127D3" w:rsidP="000127D3">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0127D3" w:rsidRPr="00314C70" w:rsidRDefault="000127D3" w:rsidP="000127D3">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0127D3" w:rsidRPr="00F1015A" w:rsidRDefault="000127D3" w:rsidP="000127D3">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0127D3" w:rsidRDefault="000127D3" w:rsidP="000127D3">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0127D3" w:rsidRPr="005B2CB9" w:rsidRDefault="000127D3" w:rsidP="000127D3">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0127D3" w:rsidRPr="00314C70" w:rsidRDefault="000127D3" w:rsidP="000127D3">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0127D3" w:rsidRPr="00314C70" w:rsidRDefault="000127D3" w:rsidP="000127D3">
      <w:pPr>
        <w:jc w:val="both"/>
        <w:rPr>
          <w:sz w:val="16"/>
          <w:szCs w:val="16"/>
        </w:rPr>
      </w:pPr>
    </w:p>
    <w:p w:rsidR="000127D3" w:rsidRPr="00F1015A" w:rsidRDefault="000127D3" w:rsidP="000127D3">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6B18B9">
        <w:rPr>
          <w:b/>
          <w:bCs/>
          <w:sz w:val="16"/>
          <w:szCs w:val="16"/>
        </w:rPr>
        <w:t>ОТДЕЛ „КОП</w:t>
      </w:r>
      <w:r>
        <w:rPr>
          <w:b/>
          <w:bCs/>
          <w:sz w:val="16"/>
          <w:szCs w:val="16"/>
        </w:rPr>
        <w:t>“</w:t>
      </w:r>
    </w:p>
    <w:p w:rsidR="000127D3" w:rsidRPr="00F1015A" w:rsidRDefault="000127D3" w:rsidP="000127D3">
      <w:pPr>
        <w:jc w:val="both"/>
        <w:rPr>
          <w:bCs/>
          <w:sz w:val="16"/>
          <w:szCs w:val="16"/>
        </w:rPr>
      </w:pPr>
      <w:r w:rsidRPr="00BF578F">
        <w:rPr>
          <w:bCs/>
          <w:sz w:val="16"/>
          <w:szCs w:val="16"/>
        </w:rPr>
        <w:t xml:space="preserve">Началника </w:t>
      </w:r>
      <w:r>
        <w:rPr>
          <w:bCs/>
          <w:sz w:val="16"/>
          <w:szCs w:val="16"/>
        </w:rPr>
        <w:t>на отде</w:t>
      </w:r>
      <w:r w:rsidR="006B18B9">
        <w:rPr>
          <w:bCs/>
          <w:sz w:val="16"/>
          <w:szCs w:val="16"/>
        </w:rPr>
        <w:t>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0127D3" w:rsidRPr="00314C70" w:rsidRDefault="000127D3" w:rsidP="000127D3">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0127D3" w:rsidRPr="00314C70" w:rsidRDefault="000127D3" w:rsidP="000127D3">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0127D3" w:rsidRPr="00314C70" w:rsidRDefault="000127D3" w:rsidP="000127D3">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0127D3" w:rsidRPr="00314C70" w:rsidRDefault="000127D3" w:rsidP="000127D3">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0127D3" w:rsidRPr="00314C70" w:rsidRDefault="000127D3" w:rsidP="000127D3">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0127D3" w:rsidRPr="00765DF0" w:rsidRDefault="000127D3" w:rsidP="000127D3">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0127D3" w:rsidRDefault="000127D3" w:rsidP="000127D3">
      <w:pPr>
        <w:ind w:left="709" w:hanging="425"/>
        <w:jc w:val="both"/>
        <w:rPr>
          <w:lang w:eastAsia="fr-FR"/>
        </w:rPr>
      </w:pPr>
    </w:p>
    <w:p w:rsidR="000127D3" w:rsidRDefault="000127D3" w:rsidP="000127D3">
      <w:pPr>
        <w:ind w:left="709" w:hanging="425"/>
        <w:jc w:val="both"/>
        <w:rPr>
          <w:lang w:eastAsia="fr-FR"/>
        </w:rPr>
      </w:pPr>
    </w:p>
    <w:p w:rsidR="000E53C0" w:rsidRPr="00F872AE" w:rsidRDefault="000E53C0" w:rsidP="000E53C0">
      <w:pPr>
        <w:ind w:left="709" w:hanging="425"/>
        <w:jc w:val="both"/>
        <w:rPr>
          <w:lang w:val="en-US" w:eastAsia="fr-FR"/>
        </w:rPr>
      </w:pPr>
    </w:p>
    <w:p w:rsidR="000E53C0" w:rsidRPr="00F872AE" w:rsidRDefault="000E53C0" w:rsidP="000E53C0">
      <w:pPr>
        <w:tabs>
          <w:tab w:val="num" w:pos="0"/>
        </w:tabs>
        <w:spacing w:before="120"/>
        <w:jc w:val="both"/>
        <w:rPr>
          <w:b/>
          <w:bCs/>
          <w:sz w:val="16"/>
          <w:szCs w:val="16"/>
        </w:rPr>
      </w:pPr>
      <w:r w:rsidRPr="00F872AE">
        <w:rPr>
          <w:b/>
          <w:bCs/>
          <w:sz w:val="16"/>
          <w:szCs w:val="16"/>
        </w:rPr>
        <w:lastRenderedPageBreak/>
        <w:t>ІII. ЗА</w:t>
      </w:r>
      <w:r w:rsidRPr="000A7FDB">
        <w:rPr>
          <w:b/>
          <w:bCs/>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0E53C0" w:rsidRPr="00F872AE" w:rsidRDefault="000E53C0" w:rsidP="000E53C0">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0E53C0" w:rsidRPr="00F872AE" w:rsidRDefault="000E53C0" w:rsidP="000E53C0">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0E53C0" w:rsidRPr="00F872AE" w:rsidRDefault="000E53C0" w:rsidP="000E53C0">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0E53C0" w:rsidRPr="00F872AE" w:rsidRDefault="000E53C0" w:rsidP="000E53C0">
      <w:pPr>
        <w:jc w:val="both"/>
        <w:rPr>
          <w:bCs/>
          <w:sz w:val="16"/>
          <w:szCs w:val="16"/>
        </w:rPr>
      </w:pPr>
      <w:r w:rsidRPr="00F872AE">
        <w:rPr>
          <w:bCs/>
          <w:sz w:val="16"/>
          <w:szCs w:val="16"/>
        </w:rPr>
        <w:t>За целта експертът проверява дали са налице някои от следните ситуации:</w:t>
      </w:r>
    </w:p>
    <w:p w:rsidR="000E53C0" w:rsidRPr="00F872AE" w:rsidRDefault="000E53C0" w:rsidP="000E53C0">
      <w:pPr>
        <w:jc w:val="both"/>
        <w:rPr>
          <w:bCs/>
          <w:sz w:val="16"/>
          <w:szCs w:val="16"/>
        </w:rPr>
      </w:pPr>
      <w:r w:rsidRPr="00F872AE">
        <w:rPr>
          <w:bCs/>
          <w:sz w:val="16"/>
          <w:szCs w:val="16"/>
        </w:rPr>
        <w:t>1. Индикатори за измама при конфликт на интереси:</w:t>
      </w:r>
    </w:p>
    <w:p w:rsidR="000E53C0" w:rsidRPr="00F872AE" w:rsidRDefault="000E53C0" w:rsidP="000E53C0">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0E53C0" w:rsidRPr="00F872AE" w:rsidRDefault="000E53C0" w:rsidP="000E53C0">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0E53C0" w:rsidRPr="00F872AE" w:rsidRDefault="000E53C0" w:rsidP="000E53C0">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0E53C0" w:rsidRPr="00F872AE" w:rsidRDefault="000E53C0" w:rsidP="000E53C0">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0E53C0" w:rsidRPr="00F872AE" w:rsidRDefault="000E53C0" w:rsidP="000E53C0">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0E53C0" w:rsidRPr="00F872AE" w:rsidRDefault="000E53C0" w:rsidP="000E53C0">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0E53C0" w:rsidRPr="00F872AE" w:rsidRDefault="000E53C0" w:rsidP="000E53C0">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0E53C0" w:rsidRPr="00F872AE" w:rsidRDefault="000E53C0" w:rsidP="000E53C0">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0E53C0" w:rsidRPr="00F872AE" w:rsidRDefault="000E53C0" w:rsidP="000E53C0">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0E53C0" w:rsidRPr="00F872AE" w:rsidRDefault="000E53C0" w:rsidP="000E53C0">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0E53C0" w:rsidRPr="00F872AE" w:rsidRDefault="000E53C0" w:rsidP="000E53C0">
      <w:pPr>
        <w:jc w:val="both"/>
        <w:rPr>
          <w:bCs/>
          <w:sz w:val="16"/>
          <w:szCs w:val="16"/>
        </w:rPr>
      </w:pPr>
    </w:p>
    <w:p w:rsidR="000E53C0" w:rsidRPr="00F872AE" w:rsidRDefault="000E53C0" w:rsidP="000E53C0">
      <w:pPr>
        <w:jc w:val="both"/>
        <w:rPr>
          <w:bCs/>
          <w:sz w:val="16"/>
          <w:szCs w:val="16"/>
        </w:rPr>
      </w:pPr>
      <w:r w:rsidRPr="00F872AE">
        <w:rPr>
          <w:bCs/>
          <w:sz w:val="16"/>
          <w:szCs w:val="16"/>
        </w:rPr>
        <w:t>2.  Индикатори за измама при договаряне при офериране:</w:t>
      </w:r>
    </w:p>
    <w:p w:rsidR="000E53C0" w:rsidRPr="00F872AE" w:rsidRDefault="000E53C0" w:rsidP="000E53C0">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0E53C0" w:rsidRPr="00F872AE" w:rsidRDefault="000E53C0" w:rsidP="000E53C0">
      <w:pPr>
        <w:jc w:val="both"/>
        <w:rPr>
          <w:bCs/>
          <w:sz w:val="16"/>
          <w:szCs w:val="16"/>
        </w:rPr>
      </w:pPr>
      <w:r w:rsidRPr="00F872AE">
        <w:rPr>
          <w:bCs/>
          <w:sz w:val="16"/>
          <w:szCs w:val="16"/>
        </w:rPr>
        <w:t>- Допълващо офериране</w:t>
      </w:r>
    </w:p>
    <w:p w:rsidR="000E53C0" w:rsidRPr="00F872AE" w:rsidRDefault="000E53C0" w:rsidP="000E53C0">
      <w:pPr>
        <w:jc w:val="both"/>
        <w:rPr>
          <w:bCs/>
          <w:sz w:val="16"/>
          <w:szCs w:val="16"/>
        </w:rPr>
      </w:pPr>
      <w:r w:rsidRPr="000A7FDB">
        <w:rPr>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0E53C0" w:rsidRPr="00F872AE" w:rsidRDefault="000E53C0" w:rsidP="000E53C0">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0E53C0" w:rsidRPr="00F872AE" w:rsidRDefault="000E53C0" w:rsidP="000E53C0">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E53C0" w:rsidRPr="000A7FDB" w:rsidRDefault="000E53C0" w:rsidP="000E53C0">
      <w:pPr>
        <w:jc w:val="both"/>
        <w:rPr>
          <w:lang w:eastAsia="fr-FR"/>
        </w:rPr>
      </w:pPr>
      <w:r w:rsidRPr="00F872AE">
        <w:rPr>
          <w:bCs/>
          <w:sz w:val="16"/>
          <w:szCs w:val="16"/>
        </w:rPr>
        <w:t>Допълващи оферти могат да бъдат представени</w:t>
      </w:r>
      <w:r w:rsidRPr="000A7FDB">
        <w:rPr>
          <w:lang w:eastAsia="fr-FR"/>
        </w:rPr>
        <w:t xml:space="preserve"> и от дъщерни дружества или свързани лица.</w:t>
      </w:r>
    </w:p>
    <w:p w:rsidR="000E53C0" w:rsidRPr="00E546CD" w:rsidRDefault="000E53C0" w:rsidP="000E53C0">
      <w:pPr>
        <w:jc w:val="both"/>
        <w:rPr>
          <w:bCs/>
          <w:sz w:val="16"/>
          <w:szCs w:val="16"/>
        </w:rPr>
      </w:pPr>
      <w:r w:rsidRPr="000A7FDB">
        <w:rPr>
          <w:b/>
          <w:lang w:eastAsia="fr-FR"/>
        </w:rPr>
        <w:t xml:space="preserve">- </w:t>
      </w:r>
      <w:r w:rsidRPr="00E546CD">
        <w:rPr>
          <w:bCs/>
          <w:sz w:val="16"/>
          <w:szCs w:val="16"/>
        </w:rPr>
        <w:t>Участие на ротационен принцип</w:t>
      </w:r>
    </w:p>
    <w:p w:rsidR="000E53C0" w:rsidRPr="00E546CD" w:rsidRDefault="000E53C0" w:rsidP="000E53C0">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0E53C0" w:rsidRPr="00E546CD" w:rsidRDefault="000E53C0" w:rsidP="000E53C0">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0E53C0" w:rsidRPr="00E546CD" w:rsidRDefault="000E53C0" w:rsidP="000E53C0">
      <w:pPr>
        <w:jc w:val="both"/>
        <w:rPr>
          <w:bCs/>
          <w:sz w:val="16"/>
          <w:szCs w:val="16"/>
        </w:rPr>
      </w:pPr>
      <w:r w:rsidRPr="00E546CD">
        <w:rPr>
          <w:bCs/>
          <w:sz w:val="16"/>
          <w:szCs w:val="16"/>
        </w:rPr>
        <w:lastRenderedPageBreak/>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0E53C0" w:rsidRPr="00E546CD" w:rsidRDefault="000E53C0" w:rsidP="000E53C0">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0E53C0" w:rsidRPr="00F872AE" w:rsidRDefault="000E53C0" w:rsidP="000E53C0">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0E53C0" w:rsidRPr="00F872AE" w:rsidRDefault="000E53C0" w:rsidP="000E53C0">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0E53C0" w:rsidRPr="00F872AE" w:rsidRDefault="000E53C0" w:rsidP="000E53C0">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0E53C0" w:rsidRPr="00DF02DE" w:rsidRDefault="000E53C0" w:rsidP="000E53C0">
      <w:pPr>
        <w:ind w:left="360"/>
        <w:jc w:val="both"/>
        <w:rPr>
          <w:lang w:eastAsia="fr-FR"/>
        </w:rPr>
      </w:pPr>
    </w:p>
    <w:p w:rsidR="000E53C0" w:rsidRPr="00E546CD" w:rsidRDefault="000E53C0" w:rsidP="000E53C0">
      <w:pPr>
        <w:jc w:val="both"/>
        <w:rPr>
          <w:bCs/>
          <w:sz w:val="16"/>
          <w:szCs w:val="16"/>
        </w:rPr>
      </w:pPr>
      <w:r w:rsidRPr="00767D48">
        <w:rPr>
          <w:b/>
          <w:lang w:eastAsia="fr-FR"/>
        </w:rPr>
        <w:t>3</w:t>
      </w:r>
      <w:r w:rsidRPr="00E546CD">
        <w:rPr>
          <w:bCs/>
          <w:sz w:val="16"/>
          <w:szCs w:val="16"/>
        </w:rPr>
        <w:t>. Индикатори за измама при неоснователно възлагане на един изпълнител:</w:t>
      </w:r>
    </w:p>
    <w:p w:rsidR="000E53C0" w:rsidRPr="00E546CD" w:rsidRDefault="000E53C0" w:rsidP="000E53C0">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0E53C0" w:rsidRPr="00E546CD" w:rsidRDefault="000E53C0" w:rsidP="000E53C0">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0E53C0" w:rsidRPr="00E546CD" w:rsidRDefault="000E53C0" w:rsidP="000E53C0">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0E53C0" w:rsidRPr="00E546CD" w:rsidRDefault="000E53C0" w:rsidP="000E53C0">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0E53C0" w:rsidRPr="00E546CD" w:rsidRDefault="000E53C0" w:rsidP="000E53C0">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AF6836" w:rsidRDefault="000E53C0" w:rsidP="000E53C0">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0E53C0" w:rsidRPr="000E53C0" w:rsidRDefault="000E53C0" w:rsidP="000E53C0">
      <w:pPr>
        <w:ind w:left="709" w:hanging="425"/>
        <w:jc w:val="both"/>
        <w:rPr>
          <w:bCs/>
          <w:sz w:val="16"/>
          <w:szCs w:val="16"/>
        </w:rPr>
      </w:pPr>
    </w:p>
    <w:p w:rsidR="002F66F4" w:rsidRPr="004C591A" w:rsidRDefault="002F66F4" w:rsidP="00BC4D84">
      <w:pPr>
        <w:rPr>
          <w:lang w:val="bg-BG"/>
        </w:rPr>
      </w:pPr>
    </w:p>
    <w:tbl>
      <w:tblPr>
        <w:tblW w:w="148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4"/>
        <w:gridCol w:w="7996"/>
        <w:gridCol w:w="700"/>
        <w:gridCol w:w="5240"/>
      </w:tblGrid>
      <w:tr w:rsidR="002F66F4" w:rsidRPr="004C591A" w:rsidTr="00AF7445">
        <w:trPr>
          <w:trHeight w:val="270"/>
        </w:trPr>
        <w:tc>
          <w:tcPr>
            <w:tcW w:w="14868" w:type="dxa"/>
            <w:gridSpan w:val="5"/>
          </w:tcPr>
          <w:p w:rsidR="002F66F4" w:rsidRPr="007733AB" w:rsidRDefault="002F66F4" w:rsidP="00182C6D">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I.   ОБЯВЯВАНЕ И ОТКРИВАНЕ НА ПРОЦЕДУРАТА ЗА ОБЩЕСТВЕНА ПОРЪЧКА</w:t>
            </w: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I.1 Обявяване на процедурата за обществена поръчка</w:t>
            </w:r>
          </w:p>
        </w:tc>
      </w:tr>
      <w:tr w:rsidR="002F66F4" w:rsidRPr="004C591A" w:rsidTr="00AF7445">
        <w:trPr>
          <w:trHeight w:val="270"/>
        </w:trPr>
        <w:tc>
          <w:tcPr>
            <w:tcW w:w="828" w:type="dxa"/>
          </w:tcPr>
          <w:p w:rsidR="002F66F4" w:rsidRPr="000E53C0" w:rsidRDefault="009F0AAB" w:rsidP="00C5312F">
            <w:pPr>
              <w:pStyle w:val="BodyText"/>
              <w:widowControl w:val="0"/>
              <w:spacing w:before="240" w:after="60"/>
              <w:ind w:left="180"/>
              <w:jc w:val="both"/>
              <w:rPr>
                <w:b/>
                <w:lang w:val="en-US"/>
              </w:rPr>
            </w:pPr>
            <w:r>
              <w:rPr>
                <w:b/>
                <w:lang w:val="bg-BG"/>
              </w:rPr>
              <w:t>1</w:t>
            </w:r>
            <w:r w:rsidR="000E53C0">
              <w:rPr>
                <w:b/>
                <w:lang w:val="en-US"/>
              </w:rPr>
              <w:t>4</w:t>
            </w:r>
          </w:p>
        </w:tc>
        <w:tc>
          <w:tcPr>
            <w:tcW w:w="8100" w:type="dxa"/>
            <w:gridSpan w:val="2"/>
            <w:noWrap/>
          </w:tcPr>
          <w:p w:rsidR="002F66F4" w:rsidRPr="004C591A" w:rsidRDefault="00810B7D" w:rsidP="00773F06">
            <w:pPr>
              <w:jc w:val="both"/>
              <w:rPr>
                <w:b/>
                <w:lang w:val="bg-BG" w:eastAsia="fr-FR"/>
              </w:rPr>
            </w:pPr>
            <w:r w:rsidRPr="004C591A">
              <w:rPr>
                <w:b/>
                <w:lang w:val="bg-BG" w:eastAsia="fr-FR"/>
              </w:rPr>
              <w:t>Правилно ли е избран реда за възлагане</w:t>
            </w:r>
            <w:r w:rsidR="002F66F4" w:rsidRPr="004C591A">
              <w:rPr>
                <w:b/>
                <w:lang w:val="bg-BG" w:eastAsia="fr-FR"/>
              </w:rPr>
              <w:t>?</w:t>
            </w:r>
          </w:p>
          <w:p w:rsidR="002F66F4" w:rsidRPr="0054517B" w:rsidRDefault="00810B7D" w:rsidP="00773F06">
            <w:pPr>
              <w:jc w:val="both"/>
              <w:rPr>
                <w:b/>
                <w:lang w:val="bg-BG" w:eastAsia="fr-FR"/>
              </w:rPr>
            </w:pPr>
            <w:r w:rsidRPr="004C591A">
              <w:rPr>
                <w:b/>
                <w:lang w:val="bg-BG" w:eastAsia="fr-FR"/>
              </w:rPr>
              <w:t>Спазени ли са правилата за определяне на прогнозната стойност на поръчката, включително на чл. 15, ал. 4 и ал. 6 от ЗОП във връзка с чл. 1, ал. 3 от НВМОП</w:t>
            </w:r>
            <w:r w:rsidR="002F66F4" w:rsidRPr="004C591A">
              <w:rPr>
                <w:b/>
                <w:lang w:val="bg-BG" w:eastAsia="fr-FR"/>
              </w:rPr>
              <w:t>?</w:t>
            </w:r>
          </w:p>
          <w:p w:rsidR="002F66F4" w:rsidRPr="0054517B" w:rsidRDefault="002F66F4" w:rsidP="00773F06">
            <w:pPr>
              <w:jc w:val="both"/>
              <w:rPr>
                <w:lang w:val="bg-BG" w:eastAsia="fr-FR"/>
              </w:rPr>
            </w:pPr>
            <w:r w:rsidRPr="0054517B">
              <w:rPr>
                <w:lang w:val="bg-BG" w:eastAsia="fr-FR"/>
              </w:rPr>
              <w:t>Възложителят прилага процедурите, регламентирани в НВМОП, когато прогнозната стойност на ОП е в рамките на праговете по чл. 1, ал. 2 от НВМОП и по чл. 2, ал. 1 от НВМОП.</w:t>
            </w:r>
          </w:p>
          <w:p w:rsidR="002F66F4" w:rsidRPr="0054517B" w:rsidRDefault="002F66F4" w:rsidP="00773F06">
            <w:pPr>
              <w:jc w:val="both"/>
              <w:rPr>
                <w:lang w:val="bg-BG" w:eastAsia="fr-FR"/>
              </w:rPr>
            </w:pPr>
            <w:r w:rsidRPr="0054517B">
              <w:rPr>
                <w:lang w:val="bg-BG" w:eastAsia="fr-FR"/>
              </w:rPr>
              <w:t>Възложителят е длъжен да не разделя предмета на поръчката на части и да не заобикаля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F66F4" w:rsidRPr="0054517B" w:rsidRDefault="002F66F4" w:rsidP="00773F06">
            <w:pPr>
              <w:jc w:val="both"/>
              <w:rPr>
                <w:b/>
                <w:lang w:val="bg-BG" w:eastAsia="fr-FR"/>
              </w:rPr>
            </w:pPr>
            <w:r w:rsidRPr="0054517B">
              <w:rPr>
                <w:b/>
                <w:lang w:val="bg-BG" w:eastAsia="fr-FR"/>
              </w:rPr>
              <w:t>(чл. 1, ал. 2 и ал. 3 и чл. 2, ал. 1от НВМОП)</w:t>
            </w:r>
          </w:p>
          <w:p w:rsidR="002F66F4" w:rsidRPr="00722655" w:rsidRDefault="002F66F4" w:rsidP="00005CDC">
            <w:pPr>
              <w:rPr>
                <w:b/>
                <w:color w:val="333399"/>
                <w:lang w:val="bg-BG"/>
              </w:rPr>
            </w:pPr>
            <w:r w:rsidRPr="00722655">
              <w:rPr>
                <w:b/>
                <w:color w:val="333399"/>
                <w:lang w:val="bg-BG"/>
              </w:rPr>
              <w:t xml:space="preserve">т. </w:t>
            </w:r>
            <w:r w:rsidR="004949D8" w:rsidRPr="00722655">
              <w:rPr>
                <w:b/>
                <w:color w:val="333399"/>
                <w:lang w:val="bg-BG"/>
              </w:rPr>
              <w:t xml:space="preserve">1 или 2 </w:t>
            </w:r>
            <w:r w:rsidRPr="00722655">
              <w:rPr>
                <w:b/>
                <w:color w:val="333399"/>
                <w:lang w:val="bg-BG"/>
              </w:rPr>
              <w:t>от Насоките</w:t>
            </w:r>
          </w:p>
          <w:p w:rsidR="002F66F4" w:rsidRPr="004C591A" w:rsidRDefault="002F66F4">
            <w:pPr>
              <w:jc w:val="both"/>
              <w:rPr>
                <w:b/>
                <w:lang w:val="bg-BG" w:eastAsia="fr-FR"/>
              </w:rPr>
            </w:pPr>
            <w:r w:rsidRPr="00223A61">
              <w:rPr>
                <w:b/>
                <w:bCs/>
                <w:color w:val="C0504D"/>
                <w:lang w:val="bg-BG"/>
              </w:rPr>
              <w:lastRenderedPageBreak/>
              <w:t xml:space="preserve">Насочващи източници на информация: </w:t>
            </w:r>
            <w:r w:rsidRPr="004C591A">
              <w:rPr>
                <w:bCs/>
                <w:color w:val="C0504D"/>
                <w:lang w:val="bg-BG"/>
              </w:rPr>
              <w:t>прегледайте обявлението за малка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F66F4" w:rsidRPr="004C591A" w:rsidRDefault="002F66F4" w:rsidP="00773F06">
            <w:pPr>
              <w:jc w:val="both"/>
              <w:rPr>
                <w:color w:val="008000"/>
                <w:lang w:val="bg-BG" w:eastAsia="fr-FR"/>
              </w:rPr>
            </w:pPr>
            <w:r w:rsidRPr="004C591A">
              <w:rPr>
                <w:color w:val="008000"/>
                <w:lang w:val="bg-BG" w:eastAsia="fr-FR"/>
              </w:rPr>
              <w:t>Анализирайте дали прогнозната стойност на поръчката попада в рамките на праговете по чл. 1, ал. 1 и чл. 2, ал. 1 от НВМОП.</w:t>
            </w:r>
          </w:p>
          <w:p w:rsidR="002F66F4" w:rsidRPr="004C591A" w:rsidRDefault="002F66F4" w:rsidP="00ED5EF1">
            <w:pPr>
              <w:jc w:val="both"/>
              <w:rPr>
                <w:color w:val="008000"/>
                <w:lang w:val="bg-BG" w:eastAsia="fr-FR"/>
              </w:rPr>
            </w:pPr>
            <w:r w:rsidRPr="004C591A">
              <w:rPr>
                <w:color w:val="008000"/>
                <w:lang w:val="bg-BG" w:eastAsia="fr-FR"/>
              </w:rPr>
              <w:t>Анализирайте подлежащите на изпълнение дейности по проекта с цел да установите дали са спазени чл. 15, ал. 4 и ал. 6 от ЗОП във връзка с чл. 1, ал. 3 от НВМОП.</w:t>
            </w:r>
          </w:p>
          <w:p w:rsidR="002F66F4" w:rsidRPr="004C591A" w:rsidRDefault="002F66F4" w:rsidP="00ED5EF1">
            <w:pPr>
              <w:jc w:val="both"/>
              <w:rPr>
                <w:color w:val="008000"/>
                <w:lang w:val="bg-BG" w:eastAsia="fr-FR"/>
              </w:rPr>
            </w:pPr>
            <w:r w:rsidRPr="004C591A">
              <w:rPr>
                <w:color w:val="008000"/>
                <w:lang w:val="bg-BG" w:eastAsia="fr-FR"/>
              </w:rPr>
              <w:t>Анализирайте възложените през годините дейности от възложителя с подобен характер с цел да установите дали са спазени изискванията на чл. 15, ал. 4 и ал. 6 от ЗОП.</w:t>
            </w:r>
            <w:r w:rsidR="004949D8" w:rsidRPr="004C591A">
              <w:rPr>
                <w:color w:val="008000"/>
                <w:lang w:val="bg-BG" w:eastAsia="fr-FR"/>
              </w:rPr>
              <w:t xml:space="preserve"> </w:t>
            </w:r>
            <w:r w:rsidR="004949D8" w:rsidRPr="004C591A">
              <w:rPr>
                <w:color w:val="008000"/>
                <w:lang w:eastAsia="fr-FR"/>
              </w:rPr>
              <w:t>При анализа използвайте информацията, съдържаща се в попълнената от бенефициента Справка.</w:t>
            </w:r>
          </w:p>
        </w:tc>
        <w:tc>
          <w:tcPr>
            <w:tcW w:w="700" w:type="dxa"/>
          </w:tcPr>
          <w:p w:rsidR="002F66F4" w:rsidRPr="004C591A" w:rsidRDefault="002F66F4" w:rsidP="00171A80">
            <w:pPr>
              <w:jc w:val="center"/>
              <w:outlineLvl w:val="1"/>
              <w:rPr>
                <w:lang w:val="bg-BG"/>
              </w:rPr>
            </w:pPr>
          </w:p>
        </w:tc>
        <w:tc>
          <w:tcPr>
            <w:tcW w:w="5240" w:type="dxa"/>
          </w:tcPr>
          <w:p w:rsidR="002F66F4" w:rsidRPr="004C591A" w:rsidRDefault="002F66F4" w:rsidP="00171A80">
            <w:pPr>
              <w:jc w:val="center"/>
              <w:outlineLvl w:val="1"/>
              <w:rPr>
                <w:lang w:val="bg-BG"/>
              </w:rPr>
            </w:pPr>
          </w:p>
        </w:tc>
      </w:tr>
      <w:tr w:rsidR="002F66F4" w:rsidRPr="004C591A" w:rsidTr="00AF7445">
        <w:trPr>
          <w:trHeight w:val="270"/>
        </w:trPr>
        <w:tc>
          <w:tcPr>
            <w:tcW w:w="828" w:type="dxa"/>
          </w:tcPr>
          <w:p w:rsidR="002F66F4" w:rsidRPr="004C591A" w:rsidRDefault="000E53C0" w:rsidP="00D85181">
            <w:pPr>
              <w:pStyle w:val="BodyText"/>
              <w:widowControl w:val="0"/>
              <w:spacing w:before="240" w:after="60"/>
              <w:ind w:left="180"/>
              <w:jc w:val="both"/>
              <w:rPr>
                <w:b/>
                <w:lang w:val="bg-BG"/>
              </w:rPr>
            </w:pPr>
            <w:r>
              <w:rPr>
                <w:b/>
                <w:lang w:val="en-US"/>
              </w:rPr>
              <w:t>15</w:t>
            </w:r>
          </w:p>
        </w:tc>
        <w:tc>
          <w:tcPr>
            <w:tcW w:w="8100" w:type="dxa"/>
            <w:gridSpan w:val="2"/>
            <w:noWrap/>
          </w:tcPr>
          <w:p w:rsidR="002F66F4" w:rsidRPr="0054517B" w:rsidRDefault="0000344B" w:rsidP="00071102">
            <w:pPr>
              <w:jc w:val="both"/>
              <w:rPr>
                <w:b/>
                <w:lang w:val="bg-BG" w:eastAsia="fr-FR"/>
              </w:rPr>
            </w:pPr>
            <w:r w:rsidRPr="004C591A">
              <w:rPr>
                <w:b/>
                <w:bCs/>
                <w:lang w:val="bg-BG"/>
              </w:rPr>
              <w:t xml:space="preserve">Изпратено ли е обявлението за малка обществената поръчка (МОП) до </w:t>
            </w:r>
            <w:r w:rsidRPr="004C591A">
              <w:rPr>
                <w:b/>
                <w:lang w:val="bg-BG" w:eastAsia="fr-FR"/>
              </w:rPr>
              <w:t>ДВ и РОП едновременно (за процедури, открити след 01.01.2009 г., само до РОП)?</w:t>
            </w:r>
          </w:p>
          <w:p w:rsidR="002F66F4" w:rsidRPr="0054517B" w:rsidRDefault="002F66F4" w:rsidP="00D85181">
            <w:pPr>
              <w:jc w:val="both"/>
              <w:rPr>
                <w:bCs/>
                <w:lang w:val="bg-BG"/>
              </w:rPr>
            </w:pPr>
            <w:r w:rsidRPr="0054517B">
              <w:rPr>
                <w:bCs/>
                <w:lang w:val="bg-BG"/>
              </w:rPr>
              <w:t>Задължението за изпращане на обявление до ДВ и РОП (а за процедури, открити след 01.01.2009 г., само до РОП) възниква, когато обществената поръчка е на стойност над праговете по чл. 2, ал. 1 от НВМОП и под стойностите по чл. 1, ал. 2 от НВМОП.</w:t>
            </w:r>
          </w:p>
          <w:p w:rsidR="002F66F4" w:rsidRPr="0054517B" w:rsidRDefault="002F66F4" w:rsidP="00D85181">
            <w:pPr>
              <w:jc w:val="both"/>
              <w:rPr>
                <w:b/>
                <w:bCs/>
                <w:lang w:val="bg-BG"/>
              </w:rPr>
            </w:pPr>
            <w:r w:rsidRPr="0054517B">
              <w:rPr>
                <w:b/>
                <w:bCs/>
                <w:lang w:val="bg-BG"/>
              </w:rPr>
              <w:t>(чл. 35, ал. 1 от НВМОП)</w:t>
            </w:r>
          </w:p>
          <w:p w:rsidR="002F66F4" w:rsidRPr="0054517B" w:rsidRDefault="002F66F4" w:rsidP="00D85181">
            <w:pPr>
              <w:rPr>
                <w:b/>
                <w:color w:val="333399"/>
                <w:lang w:val="bg-BG"/>
              </w:rPr>
            </w:pPr>
            <w:r w:rsidRPr="0054517B">
              <w:rPr>
                <w:b/>
                <w:color w:val="333399"/>
                <w:lang w:val="bg-BG"/>
              </w:rPr>
              <w:t>т. 1 от Насоките</w:t>
            </w:r>
          </w:p>
          <w:p w:rsidR="002F66F4" w:rsidRPr="00223A61" w:rsidRDefault="002F66F4">
            <w:pPr>
              <w:jc w:val="both"/>
              <w:rPr>
                <w:b/>
                <w:lang w:val="bg-BG" w:eastAsia="fr-FR"/>
              </w:rPr>
            </w:pPr>
            <w:r w:rsidRPr="00722655">
              <w:rPr>
                <w:b/>
                <w:bCs/>
                <w:color w:val="C0504D"/>
                <w:lang w:val="bg-BG"/>
              </w:rPr>
              <w:t xml:space="preserve">Насочващи източници на информация: </w:t>
            </w:r>
            <w:r w:rsidRPr="00722655">
              <w:rPr>
                <w:bCs/>
                <w:color w:val="C0504D"/>
                <w:lang w:val="bg-BG"/>
              </w:rPr>
              <w:t>прегледайте обявлението за малка обществена поръчка в частта за датата на изпращане, както и други документи, удостоверяващи датата на изпращане.</w:t>
            </w:r>
          </w:p>
          <w:p w:rsidR="002F66F4" w:rsidRPr="004C591A" w:rsidRDefault="002F66F4" w:rsidP="00D85181">
            <w:pPr>
              <w:jc w:val="both"/>
              <w:rPr>
                <w:b/>
                <w:lang w:val="bg-BG" w:eastAsia="fr-FR"/>
              </w:rPr>
            </w:pPr>
            <w:r w:rsidRPr="004C591A">
              <w:rPr>
                <w:color w:val="008000"/>
                <w:lang w:val="bg-BG"/>
              </w:rPr>
              <w:t>Анализирайте датата на изпращане на обявлението за обществената поръчка до ДВ и РОП, а за процедури, открити след 01.01.2009 г., само до РОП.</w:t>
            </w:r>
          </w:p>
        </w:tc>
        <w:tc>
          <w:tcPr>
            <w:tcW w:w="700" w:type="dxa"/>
          </w:tcPr>
          <w:p w:rsidR="002F66F4" w:rsidRPr="004C591A" w:rsidRDefault="002F66F4" w:rsidP="00171A80">
            <w:pPr>
              <w:jc w:val="center"/>
              <w:outlineLvl w:val="1"/>
              <w:rPr>
                <w:lang w:val="bg-BG"/>
              </w:rPr>
            </w:pPr>
          </w:p>
        </w:tc>
        <w:tc>
          <w:tcPr>
            <w:tcW w:w="5240" w:type="dxa"/>
          </w:tcPr>
          <w:p w:rsidR="002F66F4" w:rsidRPr="004C591A" w:rsidRDefault="002F66F4" w:rsidP="00171A80">
            <w:pPr>
              <w:jc w:val="center"/>
              <w:outlineLvl w:val="1"/>
              <w:rPr>
                <w:lang w:val="bg-BG"/>
              </w:rPr>
            </w:pPr>
          </w:p>
        </w:tc>
      </w:tr>
      <w:tr w:rsidR="002F66F4" w:rsidRPr="004C591A" w:rsidTr="00AF7445">
        <w:trPr>
          <w:trHeight w:val="270"/>
        </w:trPr>
        <w:tc>
          <w:tcPr>
            <w:tcW w:w="828" w:type="dxa"/>
          </w:tcPr>
          <w:p w:rsidR="002F66F4" w:rsidRPr="004C591A" w:rsidRDefault="000E53C0" w:rsidP="00D85181">
            <w:pPr>
              <w:pStyle w:val="BodyText"/>
              <w:widowControl w:val="0"/>
              <w:spacing w:before="240" w:after="60"/>
              <w:ind w:left="180"/>
              <w:jc w:val="both"/>
              <w:rPr>
                <w:b/>
                <w:lang w:val="bg-BG"/>
              </w:rPr>
            </w:pPr>
            <w:r>
              <w:rPr>
                <w:b/>
                <w:lang w:val="en-US"/>
              </w:rPr>
              <w:t>16</w:t>
            </w:r>
          </w:p>
          <w:p w:rsidR="002F66F4" w:rsidRPr="004C591A" w:rsidRDefault="002F66F4" w:rsidP="00D85181">
            <w:pPr>
              <w:pStyle w:val="BodyText"/>
              <w:widowControl w:val="0"/>
              <w:spacing w:before="240" w:after="60"/>
              <w:ind w:left="180"/>
              <w:jc w:val="both"/>
              <w:rPr>
                <w:b/>
                <w:lang w:val="bg-BG"/>
              </w:rPr>
            </w:pPr>
          </w:p>
        </w:tc>
        <w:tc>
          <w:tcPr>
            <w:tcW w:w="8100" w:type="dxa"/>
            <w:gridSpan w:val="2"/>
            <w:noWrap/>
          </w:tcPr>
          <w:p w:rsidR="002F66F4" w:rsidRPr="0054517B" w:rsidRDefault="005116D5" w:rsidP="001A581B">
            <w:pPr>
              <w:pStyle w:val="Style"/>
              <w:ind w:left="24" w:firstLine="0"/>
              <w:rPr>
                <w:b/>
                <w:sz w:val="20"/>
                <w:szCs w:val="20"/>
              </w:rPr>
            </w:pPr>
            <w:r w:rsidRPr="004C591A">
              <w:rPr>
                <w:b/>
                <w:sz w:val="20"/>
                <w:szCs w:val="20"/>
              </w:rPr>
              <w:t xml:space="preserve">Срокът за получаване на офертите законосъобразен ли е, включително спазени ли са условията за намаляването му, ако </w:t>
            </w:r>
            <w:r w:rsidR="004949D8" w:rsidRPr="004C591A">
              <w:rPr>
                <w:b/>
                <w:sz w:val="20"/>
                <w:szCs w:val="20"/>
              </w:rPr>
              <w:t xml:space="preserve">има такова </w:t>
            </w:r>
            <w:r w:rsidRPr="004C591A">
              <w:rPr>
                <w:b/>
                <w:sz w:val="20"/>
                <w:szCs w:val="20"/>
              </w:rPr>
              <w:t>?</w:t>
            </w:r>
          </w:p>
          <w:p w:rsidR="002F66F4" w:rsidRPr="0054517B" w:rsidRDefault="002F66F4" w:rsidP="001A581B">
            <w:pPr>
              <w:pStyle w:val="Style"/>
              <w:ind w:left="24" w:firstLine="0"/>
              <w:rPr>
                <w:sz w:val="20"/>
                <w:szCs w:val="20"/>
              </w:rPr>
            </w:pPr>
            <w:r w:rsidRPr="0054517B">
              <w:rPr>
                <w:sz w:val="20"/>
                <w:szCs w:val="20"/>
              </w:rPr>
              <w:t xml:space="preserve">Датата на </w:t>
            </w:r>
            <w:r w:rsidRPr="0054517B">
              <w:rPr>
                <w:b/>
                <w:sz w:val="20"/>
                <w:szCs w:val="20"/>
              </w:rPr>
              <w:t>ИЗПРАЩАНЕ</w:t>
            </w:r>
            <w:r w:rsidRPr="0054517B">
              <w:rPr>
                <w:sz w:val="20"/>
                <w:szCs w:val="20"/>
              </w:rPr>
              <w:t xml:space="preserve"> на обявлението за МОП трябва да отстои на 33 календарни дни от крайната дата за получаване на офертите, ако срокът за получаване на офертите не е намаляван.</w:t>
            </w:r>
          </w:p>
          <w:p w:rsidR="002F66F4" w:rsidRPr="004C591A" w:rsidRDefault="002F66F4" w:rsidP="001A581B">
            <w:pPr>
              <w:pStyle w:val="Style"/>
              <w:ind w:left="24" w:firstLine="0"/>
              <w:rPr>
                <w:sz w:val="20"/>
                <w:szCs w:val="20"/>
              </w:rPr>
            </w:pPr>
            <w:r w:rsidRPr="0054517B">
              <w:rPr>
                <w:b/>
                <w:sz w:val="20"/>
                <w:szCs w:val="20"/>
              </w:rPr>
              <w:t>Внимание!</w:t>
            </w:r>
            <w:r w:rsidRPr="0054517B">
              <w:rPr>
                <w:sz w:val="20"/>
                <w:szCs w:val="20"/>
              </w:rPr>
              <w:t xml:space="preserve"> Датата, на която е</w:t>
            </w:r>
            <w:r w:rsidRPr="00722655">
              <w:rPr>
                <w:sz w:val="20"/>
                <w:szCs w:val="20"/>
              </w:rPr>
              <w:t xml:space="preserve"> </w:t>
            </w:r>
            <w:r w:rsidRPr="00722655">
              <w:rPr>
                <w:b/>
                <w:sz w:val="20"/>
                <w:szCs w:val="20"/>
              </w:rPr>
              <w:t>публикувано</w:t>
            </w:r>
            <w:r w:rsidRPr="00722655">
              <w:rPr>
                <w:sz w:val="20"/>
                <w:szCs w:val="20"/>
              </w:rPr>
              <w:t xml:space="preserve"> обявлението в РОП и ДВ, е </w:t>
            </w:r>
            <w:r w:rsidRPr="00722655">
              <w:rPr>
                <w:b/>
                <w:sz w:val="20"/>
                <w:szCs w:val="20"/>
              </w:rPr>
              <w:t>БЕЗ ЗНАЧЕНИЕ</w:t>
            </w:r>
            <w:r w:rsidRPr="00223A61">
              <w:rPr>
                <w:sz w:val="20"/>
                <w:szCs w:val="20"/>
              </w:rPr>
              <w:t xml:space="preserve"> за изчисляване срока за получаване на</w:t>
            </w:r>
            <w:r w:rsidRPr="004C591A">
              <w:rPr>
                <w:sz w:val="20"/>
                <w:szCs w:val="20"/>
              </w:rPr>
              <w:t xml:space="preserve"> офертите.</w:t>
            </w:r>
          </w:p>
          <w:p w:rsidR="002F66F4" w:rsidRPr="004C591A" w:rsidRDefault="002F66F4" w:rsidP="00071102">
            <w:pPr>
              <w:jc w:val="both"/>
              <w:rPr>
                <w:lang w:val="bg-BG" w:eastAsia="zh-CN"/>
              </w:rPr>
            </w:pPr>
            <w:r w:rsidRPr="004C591A">
              <w:rPr>
                <w:b/>
                <w:lang w:val="bg-BG"/>
              </w:rPr>
              <w:t>Внимание!</w:t>
            </w:r>
            <w:r w:rsidRPr="004C591A">
              <w:rPr>
                <w:lang w:val="bg-BG"/>
              </w:rPr>
              <w:t xml:space="preserve"> Алинея 3 и ал. 4 на чл. 35 от НВМОП могат да се прилагат едновременно за намаляване на срока по чл. 35, ал. 1 от НВМОП, но не и за срока по чл. 35, ал. 2 от НВМОП.</w:t>
            </w:r>
          </w:p>
          <w:p w:rsidR="002F66F4" w:rsidRPr="004C591A" w:rsidRDefault="002F66F4" w:rsidP="001A581B">
            <w:pPr>
              <w:rPr>
                <w:b/>
                <w:lang w:val="bg-BG"/>
              </w:rPr>
            </w:pPr>
            <w:r w:rsidRPr="004C591A">
              <w:rPr>
                <w:b/>
                <w:lang w:val="bg-BG"/>
              </w:rPr>
              <w:t>(чл. 35, ал. 1 от НВМОП)</w:t>
            </w:r>
          </w:p>
          <w:p w:rsidR="002F66F4" w:rsidRPr="004C591A" w:rsidRDefault="002F66F4" w:rsidP="001A581B">
            <w:pPr>
              <w:rPr>
                <w:b/>
                <w:lang w:val="bg-BG"/>
              </w:rPr>
            </w:pPr>
            <w:r w:rsidRPr="004C591A">
              <w:rPr>
                <w:b/>
                <w:color w:val="333399"/>
                <w:lang w:val="bg-BG"/>
              </w:rPr>
              <w:t xml:space="preserve">т. </w:t>
            </w:r>
            <w:r w:rsidR="004949D8" w:rsidRPr="004C591A">
              <w:rPr>
                <w:b/>
                <w:color w:val="333399"/>
                <w:lang w:val="bg-BG"/>
              </w:rPr>
              <w:t xml:space="preserve">3 </w:t>
            </w:r>
            <w:r w:rsidRPr="004C591A">
              <w:rPr>
                <w:b/>
                <w:color w:val="333399"/>
                <w:lang w:val="bg-BG"/>
              </w:rPr>
              <w:t>от  Насоките</w:t>
            </w:r>
          </w:p>
          <w:p w:rsidR="002F66F4" w:rsidRPr="004C591A" w:rsidRDefault="002F66F4">
            <w:pPr>
              <w:jc w:val="both"/>
              <w:rPr>
                <w:color w:val="C0504D"/>
                <w:lang w:val="bg-BG"/>
              </w:rPr>
            </w:pPr>
            <w:r w:rsidRPr="004C591A">
              <w:rPr>
                <w:b/>
                <w:bCs/>
                <w:color w:val="C0504D"/>
                <w:lang w:val="bg-BG"/>
              </w:rPr>
              <w:lastRenderedPageBreak/>
              <w:t xml:space="preserve">Насочващи източници на информация: </w:t>
            </w:r>
            <w:r w:rsidRPr="004C591A">
              <w:rPr>
                <w:color w:val="C0504D"/>
                <w:lang w:val="bg-BG"/>
              </w:rPr>
              <w:t>прегледайте обявлението за обществената поръчка в частта относно срока за получаване на офертите и датата на изпращане на документа</w:t>
            </w:r>
            <w:r w:rsidRPr="004C591A">
              <w:rPr>
                <w:bCs/>
                <w:color w:val="C0504D"/>
                <w:lang w:val="bg-BG"/>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4C591A">
              <w:rPr>
                <w:color w:val="C0504D"/>
                <w:lang w:val="bg-BG"/>
              </w:rPr>
              <w:t>.</w:t>
            </w:r>
          </w:p>
          <w:p w:rsidR="004949D8" w:rsidRPr="004C591A" w:rsidRDefault="004949D8">
            <w:pPr>
              <w:jc w:val="both"/>
              <w:rPr>
                <w:b/>
                <w:lang w:val="bg-BG"/>
              </w:rPr>
            </w:pPr>
            <w:r w:rsidRPr="004C591A">
              <w:rPr>
                <w:b/>
                <w:color w:val="548DD4"/>
              </w:rPr>
              <w:t>Използвайте таблица № 1</w:t>
            </w:r>
          </w:p>
          <w:p w:rsidR="002F66F4" w:rsidRPr="004C591A" w:rsidRDefault="002F66F4" w:rsidP="00071102">
            <w:pPr>
              <w:jc w:val="both"/>
              <w:rPr>
                <w:color w:val="008000"/>
                <w:lang w:val="bg-BG"/>
              </w:rPr>
            </w:pPr>
            <w:r w:rsidRPr="004C591A">
              <w:rPr>
                <w:color w:val="008000"/>
                <w:lang w:val="bg-BG"/>
              </w:rPr>
              <w:t>Анализирайте броят на календарните дни между датата на изпращане на обявлението и датата, определена за краен срок за получаване на офертите.</w:t>
            </w:r>
          </w:p>
          <w:p w:rsidR="002F66F4" w:rsidRPr="004C591A" w:rsidRDefault="002F66F4" w:rsidP="009B620B">
            <w:pPr>
              <w:jc w:val="both"/>
              <w:outlineLvl w:val="1"/>
              <w:rPr>
                <w:color w:val="008000"/>
                <w:lang w:val="bg-BG"/>
              </w:rPr>
            </w:pPr>
            <w:r w:rsidRPr="004C591A">
              <w:rPr>
                <w:b/>
                <w:color w:val="008000"/>
                <w:lang w:val="bg-BG"/>
              </w:rPr>
              <w:t xml:space="preserve">За чл. 35, ал. 2 от НВМОП, </w:t>
            </w:r>
            <w:r w:rsidRPr="004C591A">
              <w:rPr>
                <w:color w:val="008000"/>
                <w:lang w:val="bg-BG"/>
              </w:rPr>
              <w:t xml:space="preserve">анализирайте: </w:t>
            </w:r>
          </w:p>
          <w:p w:rsidR="002F66F4" w:rsidRPr="004C591A" w:rsidRDefault="002F66F4" w:rsidP="009B620B">
            <w:pPr>
              <w:jc w:val="both"/>
              <w:outlineLvl w:val="1"/>
              <w:rPr>
                <w:color w:val="008000"/>
                <w:lang w:val="bg-BG"/>
              </w:rPr>
            </w:pPr>
            <w:r w:rsidRPr="004C591A">
              <w:rPr>
                <w:color w:val="008000"/>
                <w:lang w:val="bg-BG"/>
              </w:rPr>
              <w:t>- изпратено ли е предварително обявление и кога е изпратено;</w:t>
            </w:r>
          </w:p>
          <w:p w:rsidR="002F66F4" w:rsidRPr="004C591A" w:rsidRDefault="002F66F4" w:rsidP="009B620B">
            <w:pPr>
              <w:jc w:val="both"/>
              <w:outlineLvl w:val="1"/>
              <w:rPr>
                <w:color w:val="008000"/>
                <w:lang w:val="bg-BG"/>
              </w:rPr>
            </w:pPr>
            <w:r w:rsidRPr="004C591A">
              <w:rPr>
                <w:color w:val="008000"/>
                <w:lang w:val="bg-BG"/>
              </w:rPr>
              <w:t>- дали предварителното обявление е изпратено между 52 дни и 12 месеца преди датата на изпращане на обявлението за ОП;</w:t>
            </w:r>
          </w:p>
          <w:p w:rsidR="004949D8" w:rsidRPr="004C591A" w:rsidRDefault="002F66F4" w:rsidP="004949D8">
            <w:pPr>
              <w:jc w:val="both"/>
              <w:outlineLvl w:val="1"/>
              <w:rPr>
                <w:color w:val="008000"/>
                <w:lang w:val="bg-BG" w:eastAsia="bg-BG"/>
              </w:rPr>
            </w:pPr>
            <w:r w:rsidRPr="004C591A">
              <w:rPr>
                <w:color w:val="008000"/>
                <w:lang w:val="bg-BG"/>
              </w:rPr>
              <w:t xml:space="preserve">- </w:t>
            </w:r>
            <w:r w:rsidR="004949D8" w:rsidRPr="004C591A">
              <w:rPr>
                <w:color w:val="008000"/>
                <w:lang w:val="bg-BG" w:eastAsia="bg-BG"/>
              </w:rPr>
              <w:t>дали предварителното обявление съдържа информация за обществената поръчка, която е налична към момента на изпращането й – да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p>
          <w:p w:rsidR="002F66F4" w:rsidRPr="004C591A" w:rsidRDefault="004949D8" w:rsidP="004949D8">
            <w:pPr>
              <w:jc w:val="both"/>
              <w:outlineLvl w:val="1"/>
              <w:rPr>
                <w:color w:val="008000"/>
                <w:lang w:val="bg-BG"/>
              </w:rPr>
            </w:pPr>
            <w:r w:rsidRPr="004C591A">
              <w:rPr>
                <w:b/>
                <w:color w:val="008000"/>
                <w:lang w:val="bg-BG" w:eastAsia="bg-BG"/>
              </w:rPr>
              <w:t>ВНИМАНИЕ!</w:t>
            </w:r>
            <w:r w:rsidRPr="004C591A">
              <w:rPr>
                <w:color w:val="008000"/>
                <w:lang w:val="bg-BG" w:eastAsia="bg-BG"/>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F66F4" w:rsidRPr="004C591A" w:rsidRDefault="002F66F4" w:rsidP="009B620B">
            <w:pPr>
              <w:jc w:val="both"/>
              <w:outlineLvl w:val="1"/>
              <w:rPr>
                <w:b/>
                <w:color w:val="008000"/>
                <w:lang w:val="bg-BG"/>
              </w:rPr>
            </w:pPr>
            <w:r w:rsidRPr="004C591A">
              <w:rPr>
                <w:b/>
                <w:color w:val="008000"/>
                <w:lang w:val="bg-BG"/>
              </w:rPr>
              <w:t>За чл. 35, ал. 3 и ал. 4 от НВМОП:</w:t>
            </w:r>
          </w:p>
          <w:p w:rsidR="002F66F4" w:rsidRPr="004C591A" w:rsidRDefault="002F66F4" w:rsidP="009B620B">
            <w:pPr>
              <w:jc w:val="both"/>
              <w:outlineLvl w:val="1"/>
              <w:rPr>
                <w:color w:val="008000"/>
                <w:lang w:val="bg-BG"/>
              </w:rPr>
            </w:pPr>
            <w:r w:rsidRPr="004C591A">
              <w:rPr>
                <w:i/>
                <w:color w:val="008000"/>
                <w:u w:val="single"/>
                <w:lang w:val="bg-BG"/>
              </w:rPr>
              <w:t>Забележка:</w:t>
            </w:r>
            <w:r w:rsidRPr="004C591A">
              <w:rPr>
                <w:color w:val="008000"/>
                <w:lang w:val="bg-BG"/>
              </w:rPr>
              <w:t xml:space="preserve"> Основанията за намаляване на срока по цитираните правни норми може да се прилагат към срока по чл. 35, ал. 1 от НВМОП (33 календарни дни), но не и към срока по чл. 35, ал. 2 от НВМОП (20 календарни дни)</w:t>
            </w:r>
          </w:p>
          <w:p w:rsidR="002F66F4" w:rsidRPr="004C591A" w:rsidRDefault="002F66F4" w:rsidP="009B620B">
            <w:pPr>
              <w:jc w:val="both"/>
              <w:outlineLvl w:val="1"/>
              <w:rPr>
                <w:color w:val="008000"/>
                <w:lang w:val="bg-BG"/>
              </w:rPr>
            </w:pPr>
            <w:r w:rsidRPr="004C591A">
              <w:rPr>
                <w:color w:val="008000"/>
                <w:lang w:val="bg-BG"/>
              </w:rPr>
              <w:t>Анализирайте:</w:t>
            </w:r>
          </w:p>
          <w:p w:rsidR="002F66F4" w:rsidRPr="0054517B" w:rsidRDefault="002F66F4" w:rsidP="009B620B">
            <w:pPr>
              <w:jc w:val="both"/>
              <w:outlineLvl w:val="1"/>
              <w:rPr>
                <w:color w:val="008000"/>
                <w:lang w:val="bg-BG"/>
              </w:rPr>
            </w:pPr>
            <w:r w:rsidRPr="004C591A">
              <w:rPr>
                <w:color w:val="008000"/>
                <w:lang w:val="bg-BG"/>
              </w:rPr>
              <w:t xml:space="preserve">- дали обявлението за ОП е изпратено по електронен път (7 </w:t>
            </w:r>
            <w:r w:rsidR="00DD3E49">
              <w:rPr>
                <w:color w:val="008000"/>
                <w:lang w:val="bg-BG"/>
              </w:rPr>
              <w:t xml:space="preserve">календарни </w:t>
            </w:r>
            <w:r w:rsidRPr="0054517B">
              <w:rPr>
                <w:color w:val="008000"/>
                <w:lang w:val="bg-BG"/>
              </w:rPr>
              <w:t>дни).</w:t>
            </w:r>
          </w:p>
          <w:p w:rsidR="00DD3E49" w:rsidRDefault="002F66F4" w:rsidP="00DD3E49">
            <w:pPr>
              <w:jc w:val="both"/>
              <w:rPr>
                <w:color w:val="008000"/>
              </w:rPr>
            </w:pPr>
            <w:r w:rsidRPr="0054517B">
              <w:rPr>
                <w:color w:val="008000"/>
              </w:rPr>
              <w:t xml:space="preserve">- дали от датата на обнародване на обявлението за ОП е предоставен пълен електронен достъп до документацията за участие и дали в обявлението </w:t>
            </w:r>
            <w:r w:rsidR="004949D8" w:rsidRPr="0054517B">
              <w:rPr>
                <w:color w:val="008000"/>
              </w:rPr>
              <w:t xml:space="preserve">е посочено, че до документацията за участие е осигурен електронен достъп, както и  </w:t>
            </w:r>
            <w:r w:rsidRPr="0054517B">
              <w:rPr>
                <w:color w:val="008000"/>
              </w:rPr>
              <w:t xml:space="preserve">интернет адрес, на който може да бъде намерена (5 </w:t>
            </w:r>
            <w:r w:rsidR="00DD3E49">
              <w:rPr>
                <w:color w:val="008000"/>
                <w:lang w:val="bg-BG"/>
              </w:rPr>
              <w:t xml:space="preserve">календарни </w:t>
            </w:r>
            <w:r w:rsidRPr="0054517B">
              <w:rPr>
                <w:color w:val="008000"/>
              </w:rPr>
              <w:t>дни)</w:t>
            </w:r>
            <w:r w:rsidR="00DD3E49">
              <w:rPr>
                <w:color w:val="008000"/>
              </w:rPr>
              <w:t xml:space="preserve"> и</w:t>
            </w:r>
          </w:p>
          <w:p w:rsidR="002F66F4" w:rsidRPr="0054517B" w:rsidRDefault="00DD3E49" w:rsidP="004C591A">
            <w:pPr>
              <w:jc w:val="both"/>
              <w:rPr>
                <w:b/>
                <w:bCs/>
                <w:lang w:val="bg-BG"/>
              </w:rPr>
            </w:pPr>
            <w:r>
              <w:rPr>
                <w:color w:val="00800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Pr="005A1CAE">
              <w:rPr>
                <w:color w:val="008000"/>
              </w:rPr>
              <w:t>.</w:t>
            </w:r>
            <w:r w:rsidR="002F66F4" w:rsidRPr="0054517B">
              <w:rPr>
                <w:color w:val="008000"/>
              </w:rPr>
              <w:t>.</w:t>
            </w:r>
          </w:p>
        </w:tc>
        <w:tc>
          <w:tcPr>
            <w:tcW w:w="700" w:type="dxa"/>
          </w:tcPr>
          <w:p w:rsidR="002F66F4" w:rsidRPr="0054517B" w:rsidRDefault="002F66F4" w:rsidP="00171A80">
            <w:pPr>
              <w:jc w:val="center"/>
              <w:outlineLvl w:val="1"/>
              <w:rPr>
                <w:lang w:val="bg-BG"/>
              </w:rPr>
            </w:pPr>
          </w:p>
        </w:tc>
        <w:tc>
          <w:tcPr>
            <w:tcW w:w="5240" w:type="dxa"/>
          </w:tcPr>
          <w:p w:rsidR="002F66F4" w:rsidRPr="0054517B" w:rsidRDefault="002F66F4" w:rsidP="00171A80">
            <w:pPr>
              <w:jc w:val="center"/>
              <w:outlineLvl w:val="1"/>
              <w:rPr>
                <w:lang w:val="bg-BG"/>
              </w:rPr>
            </w:pPr>
          </w:p>
        </w:tc>
      </w:tr>
      <w:tr w:rsidR="00810B7D" w:rsidRPr="004C591A" w:rsidTr="00521D9D">
        <w:trPr>
          <w:trHeight w:val="270"/>
        </w:trPr>
        <w:tc>
          <w:tcPr>
            <w:tcW w:w="828" w:type="dxa"/>
          </w:tcPr>
          <w:p w:rsidR="00810B7D" w:rsidRPr="009A461F" w:rsidRDefault="009A461F" w:rsidP="00D85181">
            <w:pPr>
              <w:pStyle w:val="BodyText"/>
              <w:widowControl w:val="0"/>
              <w:spacing w:before="240" w:after="60"/>
              <w:ind w:left="180"/>
              <w:jc w:val="both"/>
              <w:rPr>
                <w:b/>
                <w:lang w:val="bg-BG"/>
              </w:rPr>
            </w:pPr>
            <w:r>
              <w:rPr>
                <w:b/>
                <w:lang w:val="bg-BG"/>
              </w:rPr>
              <w:lastRenderedPageBreak/>
              <w:t>17</w:t>
            </w:r>
          </w:p>
        </w:tc>
        <w:tc>
          <w:tcPr>
            <w:tcW w:w="8100" w:type="dxa"/>
            <w:gridSpan w:val="2"/>
            <w:noWrap/>
          </w:tcPr>
          <w:p w:rsidR="00810B7D" w:rsidRPr="004C591A" w:rsidRDefault="00810B7D" w:rsidP="00810B7D">
            <w:pPr>
              <w:jc w:val="both"/>
              <w:rPr>
                <w:b/>
                <w:lang w:val="bg-BG" w:eastAsia="bg-BG"/>
              </w:rPr>
            </w:pPr>
            <w:r w:rsidRPr="004C591A">
              <w:rPr>
                <w:b/>
                <w:lang w:val="bg-BG" w:eastAsia="bg-BG"/>
              </w:rPr>
              <w:t>Срокът за закупуване на документацията за участие законосъобразен ли е?</w:t>
            </w:r>
          </w:p>
          <w:p w:rsidR="00810B7D" w:rsidRPr="0054517B" w:rsidRDefault="00810B7D" w:rsidP="00810B7D">
            <w:pPr>
              <w:jc w:val="both"/>
              <w:rPr>
                <w:lang w:val="bg-BG" w:eastAsia="bg-BG"/>
              </w:rPr>
            </w:pPr>
            <w:r w:rsidRPr="0054517B">
              <w:rPr>
                <w:lang w:val="bg-BG" w:eastAsia="bg-BG"/>
              </w:rPr>
              <w:t>Срокът за закупуване на документацията за участие следва да е до 7 дни преди изтичането на срока за подаване на офертите.</w:t>
            </w:r>
          </w:p>
          <w:p w:rsidR="00810B7D" w:rsidRPr="0054517B" w:rsidRDefault="00810B7D" w:rsidP="00810B7D">
            <w:pPr>
              <w:jc w:val="both"/>
              <w:rPr>
                <w:lang w:val="bg-BG" w:eastAsia="bg-BG"/>
              </w:rPr>
            </w:pPr>
          </w:p>
          <w:p w:rsidR="00810B7D" w:rsidRPr="0054517B" w:rsidRDefault="00810B7D" w:rsidP="00810B7D">
            <w:pPr>
              <w:jc w:val="both"/>
              <w:rPr>
                <w:lang w:val="bg-BG" w:eastAsia="bg-BG"/>
              </w:rPr>
            </w:pPr>
            <w:r w:rsidRPr="0054517B">
              <w:rPr>
                <w:b/>
                <w:lang w:val="bg-BG" w:eastAsia="bg-BG"/>
              </w:rPr>
              <w:t>Внимание!</w:t>
            </w:r>
            <w:r w:rsidRPr="0054517B">
              <w:rPr>
                <w:lang w:val="bg-BG" w:eastAsia="bg-BG"/>
              </w:rPr>
              <w:t xml:space="preserve"> Когато се удължава срокът за получаване на офертите, задължително се променя и срока за получаван/закупуване на документацията за участие. </w:t>
            </w:r>
          </w:p>
          <w:p w:rsidR="00810B7D" w:rsidRPr="0054517B" w:rsidRDefault="00810B7D" w:rsidP="00810B7D">
            <w:pPr>
              <w:jc w:val="both"/>
              <w:rPr>
                <w:b/>
                <w:lang w:val="bg-BG" w:eastAsia="bg-BG"/>
              </w:rPr>
            </w:pPr>
            <w:r w:rsidRPr="0054517B">
              <w:rPr>
                <w:b/>
                <w:lang w:val="bg-BG" w:eastAsia="bg-BG"/>
              </w:rPr>
              <w:t>(чл. 8, ал. 5 от НВМОП)</w:t>
            </w:r>
          </w:p>
          <w:p w:rsidR="00810B7D" w:rsidRPr="00722655" w:rsidRDefault="00810B7D" w:rsidP="00810B7D">
            <w:pPr>
              <w:rPr>
                <w:b/>
                <w:color w:val="333399"/>
                <w:lang w:val="bg-BG" w:eastAsia="bg-BG"/>
              </w:rPr>
            </w:pPr>
            <w:r w:rsidRPr="00722655">
              <w:rPr>
                <w:b/>
                <w:color w:val="333399"/>
                <w:lang w:val="bg-BG" w:eastAsia="bg-BG"/>
              </w:rPr>
              <w:t xml:space="preserve">т. 4 от  Насоките </w:t>
            </w:r>
          </w:p>
          <w:p w:rsidR="00810B7D" w:rsidRPr="004C591A" w:rsidRDefault="00810B7D" w:rsidP="00810B7D">
            <w:pPr>
              <w:jc w:val="both"/>
              <w:rPr>
                <w:color w:val="C0504D"/>
                <w:lang w:val="bg-BG" w:eastAsia="bg-BG"/>
              </w:rPr>
            </w:pPr>
            <w:r w:rsidRPr="00223A61">
              <w:rPr>
                <w:b/>
                <w:color w:val="C0504D"/>
                <w:lang w:val="bg-BG" w:eastAsia="bg-BG"/>
              </w:rPr>
              <w:t xml:space="preserve">Насочващи източници на информация: </w:t>
            </w:r>
            <w:r w:rsidRPr="004C591A">
              <w:rPr>
                <w:color w:val="C0504D"/>
                <w:lang w:val="bg-BG" w:eastAsia="bg-BG"/>
              </w:rPr>
              <w:t xml:space="preserve">прегледайте обявлението за обществената поръчка в частта относно срока за получаване на офертите (т. ІV. 3.4.), датата на изпращане на документа </w:t>
            </w:r>
            <w:r w:rsidRPr="004C591A">
              <w:rPr>
                <w:bCs/>
                <w:color w:val="C0504D"/>
                <w:lang w:val="bg-BG" w:eastAsia="bg-BG"/>
              </w:rPr>
              <w:t>(т. VІ.5), електронният адрес,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4C591A">
              <w:rPr>
                <w:color w:val="C0504D"/>
                <w:lang w:val="bg-BG" w:eastAsia="bg-BG"/>
              </w:rPr>
              <w:t>.</w:t>
            </w:r>
          </w:p>
          <w:p w:rsidR="00810B7D" w:rsidRPr="004C591A" w:rsidRDefault="00810B7D" w:rsidP="00810B7D">
            <w:pPr>
              <w:outlineLvl w:val="1"/>
              <w:rPr>
                <w:color w:val="008000"/>
                <w:lang w:val="bg-BG" w:eastAsia="bg-BG"/>
              </w:rPr>
            </w:pPr>
            <w:r w:rsidRPr="004C591A">
              <w:rPr>
                <w:color w:val="008000"/>
                <w:lang w:val="bg-BG" w:eastAsia="bg-BG"/>
              </w:rPr>
              <w:t>Анализирайте:</w:t>
            </w:r>
          </w:p>
          <w:p w:rsidR="00810B7D" w:rsidRPr="004C591A" w:rsidRDefault="00810B7D" w:rsidP="00810B7D">
            <w:pPr>
              <w:outlineLvl w:val="1"/>
              <w:rPr>
                <w:color w:val="008000"/>
                <w:lang w:val="bg-BG" w:eastAsia="bg-BG"/>
              </w:rPr>
            </w:pPr>
            <w:r w:rsidRPr="004C591A">
              <w:rPr>
                <w:color w:val="008000"/>
                <w:lang w:val="bg-BG" w:eastAsia="bg-BG"/>
              </w:rPr>
              <w:t>- крайната дата за получаване/закупуване на документация за участие;</w:t>
            </w:r>
          </w:p>
          <w:p w:rsidR="00810B7D" w:rsidRPr="004C591A" w:rsidRDefault="00810B7D" w:rsidP="00810B7D">
            <w:pPr>
              <w:outlineLvl w:val="1"/>
              <w:rPr>
                <w:color w:val="008000"/>
                <w:lang w:val="bg-BG" w:eastAsia="bg-BG"/>
              </w:rPr>
            </w:pPr>
            <w:r w:rsidRPr="004C591A">
              <w:rPr>
                <w:color w:val="008000"/>
                <w:lang w:val="bg-BG" w:eastAsia="bg-BG"/>
              </w:rPr>
              <w:t>- крайната дата за получаване на офертите;</w:t>
            </w:r>
          </w:p>
          <w:p w:rsidR="00810B7D" w:rsidRDefault="00810B7D" w:rsidP="00810B7D">
            <w:pPr>
              <w:jc w:val="both"/>
              <w:rPr>
                <w:color w:val="008000"/>
                <w:lang w:val="bg-BG" w:eastAsia="bg-BG"/>
              </w:rPr>
            </w:pPr>
            <w:r w:rsidRPr="004C591A">
              <w:rPr>
                <w:color w:val="008000"/>
                <w:lang w:val="bg-BG" w:eastAsia="bg-BG"/>
              </w:rPr>
              <w:t>- броят на календарните дни между двете дати, който следва да е 7 дни за поръчки при опростени правила.</w:t>
            </w:r>
          </w:p>
          <w:p w:rsidR="00DD3E49" w:rsidRDefault="00DD3E49" w:rsidP="00DD3E49">
            <w:pPr>
              <w:jc w:val="both"/>
              <w:rPr>
                <w:color w:val="008000"/>
              </w:rPr>
            </w:pPr>
            <w:r>
              <w:rPr>
                <w:color w:val="00800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срокът за получаване на офертите е удължаван, при изчисляване на съотношението е необходимо да вземете предвид удължените срокове.</w:t>
            </w:r>
          </w:p>
          <w:p w:rsidR="00DD3E49" w:rsidRPr="004C591A" w:rsidRDefault="00DD3E49" w:rsidP="00DD3E49">
            <w:pPr>
              <w:jc w:val="both"/>
              <w:rPr>
                <w:b/>
                <w:lang w:val="bg-BG"/>
              </w:rPr>
            </w:pPr>
            <w:r>
              <w:rPr>
                <w:color w:val="008000"/>
              </w:rPr>
              <w:t>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w:t>
            </w:r>
          </w:p>
        </w:tc>
        <w:tc>
          <w:tcPr>
            <w:tcW w:w="700" w:type="dxa"/>
          </w:tcPr>
          <w:p w:rsidR="00810B7D" w:rsidRPr="0054517B" w:rsidRDefault="00810B7D" w:rsidP="00171A80">
            <w:pPr>
              <w:jc w:val="center"/>
              <w:outlineLvl w:val="1"/>
              <w:rPr>
                <w:b/>
              </w:rPr>
            </w:pPr>
          </w:p>
        </w:tc>
        <w:tc>
          <w:tcPr>
            <w:tcW w:w="5240" w:type="dxa"/>
          </w:tcPr>
          <w:p w:rsidR="00810B7D" w:rsidRPr="0054517B" w:rsidRDefault="00810B7D" w:rsidP="00171A80">
            <w:pPr>
              <w:jc w:val="center"/>
              <w:outlineLvl w:val="1"/>
              <w:rPr>
                <w:lang w:val="bg-BG"/>
              </w:rPr>
            </w:pPr>
          </w:p>
        </w:tc>
      </w:tr>
      <w:tr w:rsidR="002F66F4" w:rsidRPr="004C591A" w:rsidTr="00AF7445">
        <w:trPr>
          <w:trHeight w:val="270"/>
        </w:trPr>
        <w:tc>
          <w:tcPr>
            <w:tcW w:w="828" w:type="dxa"/>
          </w:tcPr>
          <w:p w:rsidR="002F66F4" w:rsidRPr="009A461F" w:rsidRDefault="009A461F" w:rsidP="00D85181">
            <w:pPr>
              <w:pStyle w:val="BodyText"/>
              <w:widowControl w:val="0"/>
              <w:spacing w:before="240" w:after="60"/>
              <w:ind w:left="180"/>
              <w:jc w:val="both"/>
              <w:rPr>
                <w:b/>
                <w:lang w:val="bg-BG"/>
              </w:rPr>
            </w:pPr>
            <w:r>
              <w:rPr>
                <w:b/>
                <w:lang w:val="bg-BG"/>
              </w:rPr>
              <w:t>18</w:t>
            </w:r>
          </w:p>
        </w:tc>
        <w:tc>
          <w:tcPr>
            <w:tcW w:w="8100" w:type="dxa"/>
            <w:gridSpan w:val="2"/>
            <w:noWrap/>
          </w:tcPr>
          <w:p w:rsidR="002F66F4" w:rsidRPr="004C591A" w:rsidRDefault="0000344B" w:rsidP="00A06A5A">
            <w:pPr>
              <w:jc w:val="both"/>
              <w:rPr>
                <w:b/>
                <w:lang w:val="bg-BG"/>
              </w:rPr>
            </w:pPr>
            <w:r w:rsidRPr="004C591A">
              <w:rPr>
                <w:b/>
                <w:lang w:val="bg-BG"/>
              </w:rPr>
              <w:t>Удължаван ли е срокът за подаване на оферти? Ако отговорът е „Да”,</w:t>
            </w:r>
          </w:p>
          <w:p w:rsidR="002F66F4" w:rsidRPr="004C591A" w:rsidRDefault="0000344B" w:rsidP="00A06A5A">
            <w:pPr>
              <w:jc w:val="both"/>
              <w:rPr>
                <w:lang w:val="bg-BG"/>
              </w:rPr>
            </w:pPr>
            <w:r w:rsidRPr="004C591A">
              <w:rPr>
                <w:lang w:val="bg-BG"/>
              </w:rPr>
              <w:t xml:space="preserve">- </w:t>
            </w:r>
            <w:r w:rsidRPr="004C591A">
              <w:rPr>
                <w:b/>
                <w:lang w:val="bg-BG"/>
              </w:rPr>
              <w:t>спазено ли е ограничението за не повече от 30 календарни дни?</w:t>
            </w:r>
          </w:p>
          <w:p w:rsidR="002F66F4" w:rsidRPr="0054517B" w:rsidRDefault="0000344B" w:rsidP="00A06A5A">
            <w:pPr>
              <w:jc w:val="both"/>
              <w:rPr>
                <w:b/>
                <w:lang w:val="bg-BG"/>
              </w:rPr>
            </w:pPr>
            <w:r w:rsidRPr="004C591A">
              <w:rPr>
                <w:b/>
                <w:lang w:val="bg-BG"/>
              </w:rPr>
              <w:t>- изпратено ли е решението за удължаване на срока до ДВ и РОП, а за процедури, открити след 01.01.2009 г. само до РОП?</w:t>
            </w:r>
            <w:r w:rsidRPr="0054517B">
              <w:rPr>
                <w:b/>
                <w:lang w:val="bg-BG"/>
              </w:rPr>
              <w:t xml:space="preserve"> </w:t>
            </w:r>
          </w:p>
          <w:p w:rsidR="002F66F4" w:rsidRPr="0054517B" w:rsidRDefault="002F66F4" w:rsidP="00A06A5A">
            <w:pPr>
              <w:jc w:val="both"/>
              <w:rPr>
                <w:lang w:val="bg-BG"/>
              </w:rPr>
            </w:pPr>
            <w:r w:rsidRPr="0054517B">
              <w:rPr>
                <w:lang w:val="bg-BG"/>
              </w:rPr>
              <w:t xml:space="preserve">Възложителят </w:t>
            </w:r>
            <w:r w:rsidRPr="0054517B">
              <w:rPr>
                <w:u w:val="single"/>
                <w:lang w:val="bg-BG"/>
              </w:rPr>
              <w:t>е длъжен</w:t>
            </w:r>
            <w:r w:rsidRPr="0054517B">
              <w:rPr>
                <w:lang w:val="bg-BG"/>
              </w:rPr>
              <w:t xml:space="preserve"> да удължи срока за получаване на офертите, когато първоначално обявения срок е недостатъчен и е необходимо разглеждане на място на допълнителни документи към документацията за участие и/или оглед на мястото на изпълнението на поръчката.</w:t>
            </w:r>
          </w:p>
          <w:p w:rsidR="002F66F4" w:rsidRPr="0054517B" w:rsidRDefault="002F66F4" w:rsidP="00A06A5A">
            <w:pPr>
              <w:jc w:val="both"/>
              <w:rPr>
                <w:lang w:val="bg-BG"/>
              </w:rPr>
            </w:pPr>
            <w:r w:rsidRPr="0054517B">
              <w:rPr>
                <w:lang w:val="bg-BG"/>
              </w:rPr>
              <w:t xml:space="preserve">Възложителят </w:t>
            </w:r>
            <w:r w:rsidRPr="0054517B">
              <w:rPr>
                <w:u w:val="single"/>
                <w:lang w:val="bg-BG"/>
              </w:rPr>
              <w:t>може</w:t>
            </w:r>
            <w:r w:rsidRPr="0054517B">
              <w:rPr>
                <w:lang w:val="bg-BG"/>
              </w:rPr>
              <w:t xml:space="preserve"> да удължи срока за получаване на офертите, ако в определения срок за получаване на офертите, не е постъпила нито една оферта.</w:t>
            </w:r>
          </w:p>
          <w:p w:rsidR="002F66F4" w:rsidRPr="00722655" w:rsidRDefault="002F66F4" w:rsidP="00A06A5A">
            <w:pPr>
              <w:jc w:val="both"/>
              <w:rPr>
                <w:b/>
                <w:lang w:val="bg-BG"/>
              </w:rPr>
            </w:pPr>
            <w:r w:rsidRPr="00722655">
              <w:rPr>
                <w:b/>
                <w:lang w:val="bg-BG"/>
              </w:rPr>
              <w:lastRenderedPageBreak/>
              <w:t>(чл. 36, ал. 2 и ал. 3 от НВМОП)</w:t>
            </w:r>
          </w:p>
          <w:p w:rsidR="002F66F4" w:rsidRPr="004C591A" w:rsidRDefault="002F66F4" w:rsidP="00A06A5A">
            <w:pPr>
              <w:rPr>
                <w:b/>
                <w:color w:val="333399"/>
                <w:lang w:val="bg-BG"/>
              </w:rPr>
            </w:pPr>
            <w:r w:rsidRPr="00223A61">
              <w:rPr>
                <w:b/>
                <w:color w:val="333399"/>
                <w:lang w:val="bg-BG"/>
              </w:rPr>
              <w:t xml:space="preserve">т. </w:t>
            </w:r>
            <w:r w:rsidR="0000344B" w:rsidRPr="004C591A">
              <w:rPr>
                <w:b/>
                <w:color w:val="333399"/>
                <w:lang w:val="bg-BG"/>
              </w:rPr>
              <w:t xml:space="preserve">3, 4 и 5 </w:t>
            </w:r>
            <w:r w:rsidRPr="004C591A">
              <w:rPr>
                <w:b/>
                <w:color w:val="333399"/>
                <w:lang w:val="bg-BG"/>
              </w:rPr>
              <w:t xml:space="preserve">от  Насоките </w:t>
            </w:r>
          </w:p>
          <w:p w:rsidR="002F66F4" w:rsidRPr="004C591A" w:rsidRDefault="002F66F4">
            <w:pPr>
              <w:jc w:val="both"/>
              <w:rPr>
                <w:b/>
                <w:color w:val="333399"/>
                <w:lang w:val="bg-BG"/>
              </w:rPr>
            </w:pPr>
            <w:r w:rsidRPr="004C591A">
              <w:rPr>
                <w:b/>
                <w:bCs/>
                <w:color w:val="C0504D"/>
                <w:lang w:val="bg-BG"/>
              </w:rPr>
              <w:t xml:space="preserve">Насочващи източници на информация: </w:t>
            </w:r>
            <w:r w:rsidRPr="004C591A">
              <w:rPr>
                <w:bCs/>
                <w:color w:val="C0504D"/>
                <w:lang w:val="bg-BG"/>
              </w:rPr>
              <w:t xml:space="preserve">прегледайте </w:t>
            </w:r>
            <w:r w:rsidRPr="004C591A">
              <w:rPr>
                <w:color w:val="C0504D"/>
                <w:lang w:val="bg-BG"/>
              </w:rPr>
              <w:t>решение 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p>
          <w:p w:rsidR="002F66F4" w:rsidRPr="004C591A" w:rsidRDefault="002F66F4" w:rsidP="00A06A5A">
            <w:pPr>
              <w:jc w:val="both"/>
              <w:outlineLvl w:val="1"/>
              <w:rPr>
                <w:color w:val="008000"/>
                <w:lang w:val="bg-BG"/>
              </w:rPr>
            </w:pPr>
            <w:r w:rsidRPr="004C591A">
              <w:rPr>
                <w:color w:val="008000"/>
                <w:lang w:val="bg-BG"/>
              </w:rPr>
              <w:t>Анализирайте:</w:t>
            </w:r>
          </w:p>
          <w:p w:rsidR="002F66F4" w:rsidRPr="004C591A" w:rsidRDefault="002F66F4" w:rsidP="00A06A5A">
            <w:pPr>
              <w:jc w:val="both"/>
              <w:outlineLvl w:val="1"/>
              <w:rPr>
                <w:color w:val="008000"/>
                <w:lang w:val="bg-BG"/>
              </w:rPr>
            </w:pPr>
            <w:r w:rsidRPr="004C591A">
              <w:rPr>
                <w:color w:val="008000"/>
                <w:lang w:val="bg-BG"/>
              </w:rPr>
              <w:t>- дали решението за удължаване на срока за получаване на оферти е издадено преди изтичане на срока за получаване на офертите;</w:t>
            </w:r>
          </w:p>
          <w:p w:rsidR="002F66F4" w:rsidRPr="004C591A" w:rsidRDefault="002F66F4" w:rsidP="00A06A5A">
            <w:pPr>
              <w:jc w:val="both"/>
              <w:outlineLvl w:val="1"/>
              <w:rPr>
                <w:color w:val="008000"/>
                <w:lang w:val="bg-BG"/>
              </w:rPr>
            </w:pPr>
            <w:r w:rsidRPr="004C591A">
              <w:rPr>
                <w:color w:val="008000"/>
                <w:lang w:val="bg-BG"/>
              </w:rPr>
              <w:t>- с колко календарни дни е удължен срока за получаване на офертите;</w:t>
            </w:r>
          </w:p>
          <w:p w:rsidR="002F66F4" w:rsidRPr="004C591A" w:rsidRDefault="002F66F4" w:rsidP="00A06A5A">
            <w:pPr>
              <w:jc w:val="both"/>
              <w:outlineLvl w:val="1"/>
              <w:rPr>
                <w:color w:val="008000"/>
                <w:lang w:val="bg-BG"/>
              </w:rPr>
            </w:pPr>
            <w:r w:rsidRPr="004C591A">
              <w:rPr>
                <w:color w:val="008000"/>
                <w:lang w:val="bg-BG"/>
              </w:rPr>
              <w:t>- датите, на които решението за удължаване е изпратено до ДВ и РОП, а за процедури, открити след 01.01.2009 г. само до РОП;</w:t>
            </w:r>
          </w:p>
          <w:p w:rsidR="002F66F4" w:rsidRPr="004C591A" w:rsidRDefault="002F66F4" w:rsidP="00A06A5A">
            <w:pPr>
              <w:jc w:val="both"/>
              <w:rPr>
                <w:b/>
                <w:lang w:val="bg-BG"/>
              </w:rPr>
            </w:pPr>
            <w:r w:rsidRPr="004C591A">
              <w:rPr>
                <w:color w:val="008000"/>
                <w:lang w:val="bg-BG"/>
              </w:rPr>
              <w:t>- в срока за получаване на офертите има ли постъпили оферти и ако да, колко и на кои участници.</w:t>
            </w:r>
          </w:p>
        </w:tc>
        <w:tc>
          <w:tcPr>
            <w:tcW w:w="700" w:type="dxa"/>
          </w:tcPr>
          <w:p w:rsidR="002F66F4" w:rsidRPr="004C591A" w:rsidRDefault="002F66F4" w:rsidP="00171A80">
            <w:pPr>
              <w:jc w:val="center"/>
              <w:outlineLvl w:val="1"/>
              <w:rPr>
                <w:lang w:val="bg-BG"/>
              </w:rPr>
            </w:pPr>
          </w:p>
        </w:tc>
        <w:tc>
          <w:tcPr>
            <w:tcW w:w="5240" w:type="dxa"/>
          </w:tcPr>
          <w:p w:rsidR="002F66F4" w:rsidRPr="004C591A" w:rsidRDefault="002F66F4" w:rsidP="00171A80">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 xml:space="preserve">I.2 Условия за възлагане на обществената поръчка    </w:t>
            </w:r>
          </w:p>
        </w:tc>
      </w:tr>
      <w:tr w:rsidR="002F66F4" w:rsidRPr="004C591A" w:rsidTr="00AF7445">
        <w:trPr>
          <w:trHeight w:val="270"/>
        </w:trPr>
        <w:tc>
          <w:tcPr>
            <w:tcW w:w="932" w:type="dxa"/>
            <w:gridSpan w:val="2"/>
          </w:tcPr>
          <w:p w:rsidR="002F66F4" w:rsidRPr="009A461F" w:rsidRDefault="009A461F" w:rsidP="00734DD6">
            <w:pPr>
              <w:pStyle w:val="BodyText"/>
              <w:widowControl w:val="0"/>
              <w:spacing w:before="240" w:after="60"/>
              <w:ind w:left="72"/>
              <w:jc w:val="both"/>
              <w:rPr>
                <w:b/>
                <w:lang w:val="bg-BG"/>
              </w:rPr>
            </w:pPr>
            <w:r>
              <w:rPr>
                <w:b/>
                <w:lang w:val="bg-BG"/>
              </w:rPr>
              <w:t>19</w:t>
            </w:r>
          </w:p>
        </w:tc>
        <w:tc>
          <w:tcPr>
            <w:tcW w:w="7996" w:type="dxa"/>
            <w:noWrap/>
          </w:tcPr>
          <w:p w:rsidR="002F66F4" w:rsidRPr="004C591A" w:rsidRDefault="005116D5" w:rsidP="00671C10">
            <w:pPr>
              <w:jc w:val="both"/>
              <w:rPr>
                <w:b/>
                <w:lang w:val="bg-BG" w:eastAsia="fr-FR"/>
              </w:rPr>
            </w:pPr>
            <w:r w:rsidRPr="004C591A">
              <w:rPr>
                <w:b/>
                <w:lang w:val="bg-BG" w:eastAsia="fr-FR"/>
              </w:rPr>
              <w:t>Обявлението за обществена поръчка съдържа ли следната информация:</w:t>
            </w:r>
          </w:p>
          <w:p w:rsidR="00E0349A" w:rsidRDefault="00E0349A" w:rsidP="00E0349A">
            <w:pPr>
              <w:numPr>
                <w:ilvl w:val="0"/>
                <w:numId w:val="19"/>
              </w:numPr>
              <w:tabs>
                <w:tab w:val="left" w:pos="355"/>
              </w:tabs>
              <w:jc w:val="both"/>
              <w:rPr>
                <w:lang w:val="bg-BG" w:eastAsia="fr-FR"/>
              </w:rPr>
            </w:pPr>
            <w:r w:rsidRPr="004C7340">
              <w:rPr>
                <w:lang w:eastAsia="fr-FR"/>
              </w:rPr>
              <w:t>обект и предмет на поръчката, както и количество или обем, включително на обособените позиции</w:t>
            </w:r>
            <w:r>
              <w:rPr>
                <w:lang w:eastAsia="fr-FR"/>
              </w:rPr>
              <w:t>;</w:t>
            </w:r>
          </w:p>
          <w:p w:rsidR="002F66F4" w:rsidRPr="004C591A" w:rsidRDefault="002F66F4" w:rsidP="00E0349A">
            <w:pPr>
              <w:numPr>
                <w:ilvl w:val="0"/>
                <w:numId w:val="19"/>
              </w:numPr>
              <w:tabs>
                <w:tab w:val="left" w:pos="355"/>
              </w:tabs>
              <w:jc w:val="both"/>
              <w:rPr>
                <w:lang w:val="bg-BG" w:eastAsia="fr-FR"/>
              </w:rPr>
            </w:pPr>
            <w:r w:rsidRPr="004C591A">
              <w:rPr>
                <w:lang w:val="bg-BG" w:eastAsia="fr-FR"/>
              </w:rPr>
              <w:t xml:space="preserve">размер на гаранциите за участие и изпълнение, </w:t>
            </w:r>
          </w:p>
          <w:p w:rsidR="002F66F4" w:rsidRPr="004C591A" w:rsidRDefault="002F66F4" w:rsidP="00E0349A">
            <w:pPr>
              <w:numPr>
                <w:ilvl w:val="0"/>
                <w:numId w:val="19"/>
              </w:numPr>
              <w:jc w:val="both"/>
              <w:rPr>
                <w:lang w:val="bg-BG" w:eastAsia="fr-FR"/>
              </w:rPr>
            </w:pPr>
            <w:r w:rsidRPr="004C591A">
              <w:rPr>
                <w:lang w:val="bg-BG" w:eastAsia="fr-FR"/>
              </w:rPr>
              <w:t>критерий за оценка на офертите и показателите за оценка, когато критерият за оценка е „икономически най-изгодна оферта“;</w:t>
            </w:r>
          </w:p>
          <w:p w:rsidR="002F66F4" w:rsidRPr="004C591A" w:rsidRDefault="002F66F4" w:rsidP="00E0349A">
            <w:pPr>
              <w:numPr>
                <w:ilvl w:val="0"/>
                <w:numId w:val="19"/>
              </w:numPr>
              <w:jc w:val="both"/>
              <w:rPr>
                <w:lang w:val="bg-BG" w:eastAsia="fr-FR"/>
              </w:rPr>
            </w:pPr>
            <w:r w:rsidRPr="004C591A">
              <w:rPr>
                <w:lang w:val="bg-BG" w:eastAsia="fr-FR"/>
              </w:rPr>
              <w:t>възможност за предоставяне на варианти на офертите (ако е приложимо за случая)</w:t>
            </w:r>
          </w:p>
          <w:p w:rsidR="002F66F4" w:rsidRPr="004C591A" w:rsidRDefault="002F66F4" w:rsidP="00E0349A">
            <w:pPr>
              <w:numPr>
                <w:ilvl w:val="0"/>
                <w:numId w:val="19"/>
              </w:numPr>
              <w:jc w:val="both"/>
              <w:rPr>
                <w:lang w:val="bg-BG" w:eastAsia="fr-FR"/>
              </w:rPr>
            </w:pPr>
            <w:r w:rsidRPr="004C591A">
              <w:rPr>
                <w:lang w:val="bg-BG" w:eastAsia="fr-FR"/>
              </w:rPr>
              <w:t>възможност за предоставяне на оферти за една или няколко обособени позиции;</w:t>
            </w:r>
          </w:p>
          <w:p w:rsidR="002F66F4" w:rsidRPr="004C591A" w:rsidRDefault="002F66F4" w:rsidP="00E0349A">
            <w:pPr>
              <w:numPr>
                <w:ilvl w:val="0"/>
                <w:numId w:val="19"/>
              </w:numPr>
              <w:jc w:val="both"/>
              <w:rPr>
                <w:lang w:val="bg-BG" w:eastAsia="fr-FR"/>
              </w:rPr>
            </w:pPr>
            <w:r w:rsidRPr="004C591A">
              <w:rPr>
                <w:lang w:val="bg-BG" w:eastAsia="fr-FR"/>
              </w:rPr>
              <w:t>място и срок за закупуване на документацията за участие;</w:t>
            </w:r>
          </w:p>
          <w:p w:rsidR="002F66F4" w:rsidRPr="004C591A" w:rsidRDefault="002F66F4" w:rsidP="00E0349A">
            <w:pPr>
              <w:numPr>
                <w:ilvl w:val="0"/>
                <w:numId w:val="19"/>
              </w:numPr>
              <w:jc w:val="both"/>
              <w:rPr>
                <w:lang w:val="bg-BG" w:eastAsia="fr-FR"/>
              </w:rPr>
            </w:pPr>
            <w:r w:rsidRPr="004C591A">
              <w:rPr>
                <w:lang w:val="bg-BG" w:eastAsia="fr-FR"/>
              </w:rPr>
              <w:t>място и срок за получаване на офертите и изменения в срока, ако има такива;</w:t>
            </w:r>
          </w:p>
          <w:p w:rsidR="002F66F4" w:rsidRPr="004C591A" w:rsidRDefault="002F66F4" w:rsidP="00E0349A">
            <w:pPr>
              <w:numPr>
                <w:ilvl w:val="0"/>
                <w:numId w:val="19"/>
              </w:numPr>
              <w:jc w:val="both"/>
              <w:rPr>
                <w:lang w:val="bg-BG" w:eastAsia="fr-FR"/>
              </w:rPr>
            </w:pPr>
            <w:r w:rsidRPr="004C591A">
              <w:rPr>
                <w:lang w:val="bg-BG" w:eastAsia="fr-FR"/>
              </w:rPr>
              <w:t>място и дата на отваряне на офертите;</w:t>
            </w:r>
          </w:p>
          <w:p w:rsidR="002F66F4" w:rsidRPr="004C591A" w:rsidRDefault="002F66F4" w:rsidP="00E0349A">
            <w:pPr>
              <w:numPr>
                <w:ilvl w:val="0"/>
                <w:numId w:val="19"/>
              </w:numPr>
              <w:jc w:val="both"/>
              <w:rPr>
                <w:lang w:val="bg-BG" w:eastAsia="fr-FR"/>
              </w:rPr>
            </w:pPr>
            <w:r w:rsidRPr="004C591A">
              <w:rPr>
                <w:lang w:val="bg-BG" w:eastAsia="fr-FR"/>
              </w:rPr>
              <w:t>изисквания за създаване на юридическо лице (ако е приложимо);</w:t>
            </w:r>
          </w:p>
          <w:p w:rsidR="002F66F4" w:rsidRPr="0054517B" w:rsidRDefault="002F66F4" w:rsidP="00E0349A">
            <w:pPr>
              <w:numPr>
                <w:ilvl w:val="0"/>
                <w:numId w:val="19"/>
              </w:numPr>
              <w:jc w:val="both"/>
              <w:rPr>
                <w:lang w:val="bg-BG" w:eastAsia="fr-FR"/>
              </w:rPr>
            </w:pPr>
            <w:r w:rsidRPr="004C591A">
              <w:rPr>
                <w:lang w:val="bg-BG" w:eastAsia="fr-FR"/>
              </w:rPr>
              <w:t>поръчката е свързана с проект на ЕС?</w:t>
            </w:r>
          </w:p>
          <w:p w:rsidR="002F66F4" w:rsidRPr="0054517B" w:rsidRDefault="002F66F4" w:rsidP="00671C10">
            <w:pPr>
              <w:jc w:val="both"/>
              <w:rPr>
                <w:b/>
                <w:lang w:val="bg-BG" w:eastAsia="fr-FR"/>
              </w:rPr>
            </w:pPr>
            <w:r w:rsidRPr="0054517B">
              <w:rPr>
                <w:b/>
                <w:lang w:val="bg-BG" w:eastAsia="fr-FR"/>
              </w:rPr>
              <w:t>(чл. 6, ал. 1 от НВМОП)</w:t>
            </w:r>
          </w:p>
          <w:p w:rsidR="002F66F4" w:rsidRPr="0054517B" w:rsidRDefault="002F66F4">
            <w:pPr>
              <w:jc w:val="both"/>
              <w:rPr>
                <w:bCs/>
                <w:color w:val="C0504D"/>
                <w:lang w:val="bg-BG"/>
              </w:rPr>
            </w:pPr>
            <w:r w:rsidRPr="0054517B">
              <w:rPr>
                <w:b/>
                <w:bCs/>
                <w:color w:val="C0504D"/>
                <w:lang w:val="bg-BG" w:eastAsia="fr-FR"/>
              </w:rPr>
              <w:t>Насочващи из</w:t>
            </w:r>
            <w:r w:rsidRPr="0054517B">
              <w:rPr>
                <w:b/>
                <w:bCs/>
                <w:color w:val="C0504D"/>
                <w:lang w:val="bg-BG"/>
              </w:rPr>
              <w:t xml:space="preserve">точници на информация: </w:t>
            </w:r>
            <w:r w:rsidRPr="0054517B">
              <w:rPr>
                <w:bCs/>
                <w:color w:val="C0504D"/>
                <w:lang w:val="bg-BG"/>
              </w:rPr>
              <w:t>прегледайте обявлението за МОП.</w:t>
            </w:r>
          </w:p>
          <w:p w:rsidR="00291291" w:rsidRDefault="00291291">
            <w:pPr>
              <w:jc w:val="both"/>
              <w:rPr>
                <w:b/>
                <w:color w:val="333399"/>
                <w:lang w:val="bg-BG"/>
              </w:rPr>
            </w:pPr>
            <w:r w:rsidRPr="0054517B">
              <w:rPr>
                <w:b/>
                <w:color w:val="333399"/>
              </w:rPr>
              <w:t>т. 8 от  Насоките</w:t>
            </w:r>
          </w:p>
          <w:p w:rsidR="00E0349A" w:rsidRPr="00E0349A" w:rsidRDefault="00E0349A">
            <w:pPr>
              <w:jc w:val="both"/>
              <w:rPr>
                <w:lang w:val="bg-BG" w:eastAsia="fr-FR"/>
              </w:rPr>
            </w:pPr>
            <w:r>
              <w:rPr>
                <w:color w:val="008000"/>
              </w:rPr>
              <w:t>Във всеки случай, в който се установи, че в обявлението липсват 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tc>
        <w:tc>
          <w:tcPr>
            <w:tcW w:w="700" w:type="dxa"/>
          </w:tcPr>
          <w:p w:rsidR="002F66F4" w:rsidRPr="0054517B" w:rsidRDefault="002F66F4" w:rsidP="007365F6">
            <w:pPr>
              <w:jc w:val="center"/>
              <w:outlineLvl w:val="1"/>
              <w:rPr>
                <w:lang w:val="bg-BG"/>
              </w:rPr>
            </w:pPr>
          </w:p>
        </w:tc>
        <w:tc>
          <w:tcPr>
            <w:tcW w:w="5240" w:type="dxa"/>
          </w:tcPr>
          <w:p w:rsidR="002F66F4" w:rsidRPr="0054517B"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rsidP="00734DD6">
            <w:pPr>
              <w:pStyle w:val="BodyText"/>
              <w:widowControl w:val="0"/>
              <w:spacing w:before="240" w:after="60"/>
              <w:ind w:left="72"/>
              <w:jc w:val="both"/>
              <w:rPr>
                <w:b/>
                <w:lang w:val="bg-BG"/>
              </w:rPr>
            </w:pPr>
            <w:r>
              <w:rPr>
                <w:b/>
                <w:lang w:val="bg-BG"/>
              </w:rPr>
              <w:lastRenderedPageBreak/>
              <w:t>20</w:t>
            </w:r>
          </w:p>
        </w:tc>
        <w:tc>
          <w:tcPr>
            <w:tcW w:w="7996" w:type="dxa"/>
            <w:noWrap/>
          </w:tcPr>
          <w:p w:rsidR="002F66F4" w:rsidRPr="0054517B" w:rsidRDefault="00F72DA5" w:rsidP="00071102">
            <w:pPr>
              <w:jc w:val="both"/>
              <w:rPr>
                <w:b/>
                <w:lang w:val="bg-BG" w:eastAsia="fr-FR"/>
              </w:rPr>
            </w:pPr>
            <w:r w:rsidRPr="004C591A">
              <w:rPr>
                <w:b/>
                <w:lang w:val="bg-BG" w:eastAsia="fr-FR"/>
              </w:rPr>
              <w:t>Законосъобразни ли са размерите на гаранцията за участие и гаранцията за изпълнение, ако са предвидени такива в обявлението за</w:t>
            </w:r>
            <w:r w:rsidR="002F66F4" w:rsidRPr="004C591A">
              <w:rPr>
                <w:b/>
                <w:lang w:val="bg-BG" w:eastAsia="fr-FR"/>
              </w:rPr>
              <w:t xml:space="preserve"> ОП?</w:t>
            </w:r>
          </w:p>
          <w:p w:rsidR="002F66F4" w:rsidRPr="0054517B" w:rsidRDefault="002F66F4" w:rsidP="00071102">
            <w:pPr>
              <w:jc w:val="both"/>
              <w:rPr>
                <w:lang w:val="bg-BG" w:eastAsia="fr-FR"/>
              </w:rPr>
            </w:pPr>
            <w:r w:rsidRPr="0054517B">
              <w:rPr>
                <w:lang w:val="bg-BG" w:eastAsia="fr-FR"/>
              </w:rPr>
              <w:t>Гаранцията за участие следва да не надхвърля 1 % от прогнозната стойност на поръчката.</w:t>
            </w:r>
          </w:p>
          <w:p w:rsidR="002F66F4" w:rsidRPr="0054517B" w:rsidRDefault="002F66F4" w:rsidP="00671C10">
            <w:pPr>
              <w:jc w:val="both"/>
              <w:rPr>
                <w:lang w:val="bg-BG" w:eastAsia="fr-FR"/>
              </w:rPr>
            </w:pPr>
            <w:r w:rsidRPr="0054517B">
              <w:rPr>
                <w:lang w:val="bg-BG" w:eastAsia="fr-FR"/>
              </w:rPr>
              <w:t>Гаранцията за изпълнение 5 %/3 % от стойността на договора от гаранция за изпълнение.</w:t>
            </w:r>
          </w:p>
          <w:p w:rsidR="002F66F4" w:rsidRPr="0054517B" w:rsidRDefault="002F66F4" w:rsidP="00671C10">
            <w:pPr>
              <w:jc w:val="both"/>
              <w:rPr>
                <w:lang w:val="bg-BG" w:eastAsia="fr-FR"/>
              </w:rPr>
            </w:pPr>
            <w:r w:rsidRPr="0054517B">
              <w:rPr>
                <w:lang w:val="bg-BG" w:eastAsia="fr-FR"/>
              </w:rPr>
              <w:t>Възложителят не е длъжен да изисква от участниците тези видове гаранции. Същият има задължение, ако изисква гаранции, да посочи изискването в обявлението за ОП.</w:t>
            </w:r>
          </w:p>
          <w:p w:rsidR="002F66F4" w:rsidRPr="00722655" w:rsidRDefault="002F66F4" w:rsidP="00671C10">
            <w:pPr>
              <w:jc w:val="both"/>
              <w:rPr>
                <w:lang w:val="bg-BG" w:eastAsia="fr-FR"/>
              </w:rPr>
            </w:pPr>
            <w:r w:rsidRPr="00722655">
              <w:rPr>
                <w:b/>
                <w:lang w:val="bg-BG" w:eastAsia="fr-FR"/>
              </w:rPr>
              <w:t>(чл. 26, ал. 2 и ал. 3 от НВМОП)</w:t>
            </w:r>
          </w:p>
          <w:p w:rsidR="002F66F4" w:rsidRPr="004C591A" w:rsidRDefault="002F66F4" w:rsidP="00671C10">
            <w:pPr>
              <w:jc w:val="both"/>
              <w:rPr>
                <w:b/>
                <w:lang w:val="bg-BG" w:eastAsia="fr-FR"/>
              </w:rPr>
            </w:pPr>
            <w:r w:rsidRPr="00223A61">
              <w:rPr>
                <w:b/>
                <w:color w:val="333399"/>
                <w:lang w:val="bg-BG"/>
              </w:rPr>
              <w:t xml:space="preserve">т. </w:t>
            </w:r>
            <w:r w:rsidR="00CD283D" w:rsidRPr="004C591A">
              <w:rPr>
                <w:b/>
                <w:color w:val="333399"/>
                <w:lang w:val="bg-BG"/>
              </w:rPr>
              <w:t xml:space="preserve">9 </w:t>
            </w:r>
            <w:r w:rsidRPr="004C591A">
              <w:rPr>
                <w:b/>
                <w:color w:val="333399"/>
                <w:lang w:val="bg-BG"/>
              </w:rPr>
              <w:t>от  Насоките</w:t>
            </w:r>
          </w:p>
          <w:p w:rsidR="002F66F4" w:rsidRPr="004C591A" w:rsidRDefault="002F66F4" w:rsidP="00671C10">
            <w:pPr>
              <w:jc w:val="both"/>
              <w:rPr>
                <w:b/>
                <w:lang w:val="bg-BG" w:eastAsia="fr-FR"/>
              </w:rPr>
            </w:pPr>
            <w:r w:rsidRPr="004C591A">
              <w:rPr>
                <w:b/>
                <w:bCs/>
                <w:color w:val="C0504D"/>
                <w:lang w:val="bg-BG" w:eastAsia="fr-FR"/>
              </w:rPr>
              <w:t>Насочващи из</w:t>
            </w:r>
            <w:r w:rsidRPr="004C591A">
              <w:rPr>
                <w:b/>
                <w:bCs/>
                <w:color w:val="C0504D"/>
                <w:lang w:val="bg-BG"/>
              </w:rPr>
              <w:t xml:space="preserve">точници на информация: </w:t>
            </w:r>
            <w:r w:rsidRPr="004C591A">
              <w:rPr>
                <w:bCs/>
                <w:color w:val="C0504D"/>
                <w:lang w:val="bg-BG"/>
              </w:rPr>
              <w:t>прегледайте обявлението за МОП.</w:t>
            </w:r>
          </w:p>
          <w:p w:rsidR="002F66F4" w:rsidRPr="004C591A" w:rsidRDefault="002F66F4" w:rsidP="00671C10">
            <w:pPr>
              <w:jc w:val="both"/>
              <w:rPr>
                <w:b/>
                <w:color w:val="008000"/>
                <w:lang w:val="bg-BG" w:eastAsia="fr-FR"/>
              </w:rPr>
            </w:pPr>
            <w:r w:rsidRPr="004C591A">
              <w:rPr>
                <w:color w:val="008000"/>
                <w:lang w:val="bg-BG" w:eastAsia="fr-FR"/>
              </w:rPr>
              <w:t>Преценете дали гаранцията за участие и гаранцията за изпълнение са определени в правно допустимия размер по чл. 26, ал. 2 и ал. 3 от НВМОП. Преценката за законосъобразността на размера им се прави по всяка обособена позиция поотделно (ако има такива).</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rsidP="00734DD6">
            <w:pPr>
              <w:pStyle w:val="BodyText"/>
              <w:widowControl w:val="0"/>
              <w:spacing w:before="240" w:after="60"/>
              <w:ind w:left="72"/>
              <w:jc w:val="both"/>
              <w:rPr>
                <w:b/>
                <w:lang w:val="bg-BG"/>
              </w:rPr>
            </w:pPr>
            <w:r>
              <w:rPr>
                <w:b/>
                <w:lang w:val="bg-BG"/>
              </w:rPr>
              <w:t>21</w:t>
            </w:r>
          </w:p>
        </w:tc>
        <w:tc>
          <w:tcPr>
            <w:tcW w:w="7996" w:type="dxa"/>
            <w:noWrap/>
          </w:tcPr>
          <w:p w:rsidR="002F66F4" w:rsidRPr="0054517B" w:rsidRDefault="00F72DA5" w:rsidP="00196A78">
            <w:pPr>
              <w:jc w:val="both"/>
              <w:rPr>
                <w:b/>
                <w:lang w:val="bg-BG" w:eastAsia="fr-FR"/>
              </w:rPr>
            </w:pPr>
            <w:r w:rsidRPr="004C591A">
              <w:rPr>
                <w:b/>
                <w:lang w:val="bg-BG" w:eastAsia="fr-FR"/>
              </w:rPr>
              <w:t xml:space="preserve">Предметът на обществената поръчка от обявлението за </w:t>
            </w:r>
            <w:r w:rsidR="002F66F4" w:rsidRPr="004C591A">
              <w:rPr>
                <w:b/>
                <w:lang w:val="bg-BG" w:eastAsia="fr-FR"/>
              </w:rPr>
              <w:t xml:space="preserve">МОП, </w:t>
            </w:r>
            <w:r w:rsidRPr="004C591A">
              <w:rPr>
                <w:b/>
                <w:lang w:val="bg-BG" w:eastAsia="fr-FR"/>
              </w:rPr>
              <w:t>от документацията за участие и техническите спецификации осигурява ли спазване на принципите за свободна и лоялна конкуренция, равен достъп и недопускане на дискриминация на лицата?</w:t>
            </w:r>
          </w:p>
          <w:p w:rsidR="002F66F4" w:rsidRPr="0054517B" w:rsidRDefault="002F66F4" w:rsidP="00196A78">
            <w:pPr>
              <w:jc w:val="both"/>
              <w:rPr>
                <w:lang w:val="bg-BG" w:eastAsia="fr-FR"/>
              </w:rPr>
            </w:pPr>
            <w:r w:rsidRPr="0054517B">
              <w:rPr>
                <w:lang w:val="bg-BG" w:eastAsia="fr-FR"/>
              </w:rPr>
              <w:t xml:space="preserve">Възложителят е длъжен да формулира предмета на ОП в обявлението за МОП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2F66F4" w:rsidRPr="0054517B" w:rsidRDefault="002F66F4" w:rsidP="00196A78">
            <w:pPr>
              <w:jc w:val="both"/>
              <w:rPr>
                <w:lang w:val="bg-BG" w:eastAsia="fr-FR"/>
              </w:rPr>
            </w:pPr>
            <w:r w:rsidRPr="0054517B">
              <w:rPr>
                <w:b/>
                <w:lang w:val="bg-BG" w:eastAsia="fr-FR"/>
              </w:rPr>
              <w:t xml:space="preserve">Внимание! </w:t>
            </w:r>
            <w:r w:rsidRPr="0054517B">
              <w:rPr>
                <w:lang w:val="bg-B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F66F4" w:rsidRPr="00223A61" w:rsidRDefault="002F66F4" w:rsidP="0084689B">
            <w:pPr>
              <w:jc w:val="both"/>
              <w:rPr>
                <w:b/>
                <w:lang w:val="bg-BG" w:eastAsia="fr-FR"/>
              </w:rPr>
            </w:pPr>
            <w:r w:rsidRPr="00722655">
              <w:rPr>
                <w:lang w:val="bg-B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F66F4" w:rsidRPr="004C591A" w:rsidRDefault="002F66F4" w:rsidP="0084689B">
            <w:pPr>
              <w:jc w:val="both"/>
              <w:rPr>
                <w:lang w:val="bg-BG" w:eastAsia="fr-FR"/>
              </w:rPr>
            </w:pPr>
            <w:r w:rsidRPr="004C591A">
              <w:rPr>
                <w:lang w:val="bg-B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F66F4" w:rsidRPr="004C591A" w:rsidRDefault="002F66F4" w:rsidP="0084689B">
            <w:pPr>
              <w:jc w:val="both"/>
              <w:rPr>
                <w:lang w:val="bg-BG" w:eastAsia="fr-FR"/>
              </w:rPr>
            </w:pPr>
            <w:r w:rsidRPr="004C591A">
              <w:rPr>
                <w:lang w:val="bg-BG" w:eastAsia="fr-FR"/>
              </w:rPr>
              <w:t>Техническите спецификации не трябва да се определят чрез посочване на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w:t>
            </w:r>
          </w:p>
          <w:p w:rsidR="002F66F4" w:rsidRPr="004C591A" w:rsidRDefault="002F66F4" w:rsidP="0084689B">
            <w:pPr>
              <w:jc w:val="both"/>
              <w:rPr>
                <w:b/>
                <w:lang w:val="bg-BG" w:eastAsia="fr-FR"/>
              </w:rPr>
            </w:pPr>
            <w:r w:rsidRPr="004C591A">
              <w:rPr>
                <w:b/>
                <w:lang w:val="bg-BG" w:eastAsia="fr-FR"/>
              </w:rPr>
              <w:t xml:space="preserve">Важно! </w:t>
            </w:r>
            <w:r w:rsidRPr="004C591A">
              <w:rPr>
                <w:lang w:val="bg-B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F66F4" w:rsidRPr="004C591A" w:rsidRDefault="002F66F4" w:rsidP="0084689B">
            <w:pPr>
              <w:jc w:val="both"/>
              <w:rPr>
                <w:b/>
                <w:lang w:val="bg-BG" w:eastAsia="fr-FR"/>
              </w:rPr>
            </w:pPr>
            <w:r w:rsidRPr="004C591A">
              <w:rPr>
                <w:b/>
                <w:lang w:val="bg-BG" w:eastAsia="fr-FR"/>
              </w:rPr>
              <w:t xml:space="preserve">(чл. 9 от НВМОП и § 2 от ПЗР на НВМОП във връзка с чл. 2 и чл. 32, ал. 1 и ал. 2 от </w:t>
            </w:r>
            <w:r w:rsidRPr="004C591A">
              <w:rPr>
                <w:b/>
                <w:lang w:val="bg-BG" w:eastAsia="fr-FR"/>
              </w:rPr>
              <w:lastRenderedPageBreak/>
              <w:t>ЗОП)</w:t>
            </w:r>
          </w:p>
          <w:p w:rsidR="002F66F4" w:rsidRPr="004C591A" w:rsidRDefault="002F66F4" w:rsidP="0084689B">
            <w:pPr>
              <w:jc w:val="both"/>
              <w:rPr>
                <w:lang w:val="bg-BG" w:eastAsia="fr-FR"/>
              </w:rPr>
            </w:pPr>
            <w:r w:rsidRPr="004C591A">
              <w:rPr>
                <w:b/>
                <w:lang w:val="bg-BG" w:eastAsia="fr-FR"/>
              </w:rPr>
              <w:t>(§ 2 от ПЗР на НВМОП във връзка с чл. 30 от ЗОП и § 1, т.  30 и т. 31 от ДР на ЗОП)</w:t>
            </w:r>
          </w:p>
          <w:p w:rsidR="002F66F4" w:rsidRPr="004C591A" w:rsidRDefault="002F66F4" w:rsidP="0084689B">
            <w:pPr>
              <w:jc w:val="both"/>
              <w:rPr>
                <w:b/>
                <w:lang w:val="bg-BG" w:eastAsia="fr-FR"/>
              </w:rPr>
            </w:pPr>
            <w:r w:rsidRPr="004C591A">
              <w:rPr>
                <w:b/>
                <w:lang w:val="bg-BG" w:eastAsia="fr-FR"/>
              </w:rPr>
              <w:t>(чл. 32, ал. 1 от ЗОП)</w:t>
            </w:r>
          </w:p>
          <w:p w:rsidR="002F66F4" w:rsidRPr="004C591A" w:rsidRDefault="002F66F4" w:rsidP="0084689B">
            <w:pPr>
              <w:jc w:val="both"/>
              <w:rPr>
                <w:b/>
                <w:lang w:val="bg-BG" w:eastAsia="fr-FR"/>
              </w:rPr>
            </w:pPr>
            <w:r w:rsidRPr="004C591A">
              <w:rPr>
                <w:b/>
                <w:lang w:val="bg-BG" w:eastAsia="fr-FR"/>
              </w:rPr>
              <w:t>(чл. 32, ал. 2 от ЗОП)</w:t>
            </w:r>
            <w:r w:rsidRPr="004C591A" w:rsidDel="007F46BE">
              <w:rPr>
                <w:lang w:val="bg-BG" w:eastAsia="fr-FR"/>
              </w:rPr>
              <w:t xml:space="preserve"> </w:t>
            </w:r>
          </w:p>
          <w:p w:rsidR="002F66F4" w:rsidRPr="004C591A" w:rsidRDefault="002F66F4" w:rsidP="0084689B">
            <w:pPr>
              <w:jc w:val="both"/>
              <w:rPr>
                <w:b/>
                <w:lang w:val="bg-BG" w:eastAsia="fr-FR"/>
              </w:rPr>
            </w:pPr>
            <w:r w:rsidRPr="004C591A">
              <w:rPr>
                <w:b/>
                <w:color w:val="C0504D"/>
                <w:lang w:val="bg-BG"/>
              </w:rPr>
              <w:t xml:space="preserve">Насочващи източници на информация: </w:t>
            </w:r>
            <w:r w:rsidRPr="004C591A">
              <w:rPr>
                <w:bCs/>
                <w:color w:val="C0504D"/>
                <w:lang w:val="bg-BG"/>
              </w:rPr>
              <w:t>прегледайте</w:t>
            </w:r>
            <w:r w:rsidRPr="004C591A">
              <w:rPr>
                <w:color w:val="C0504D"/>
                <w:lang w:val="bg-BG"/>
              </w:rPr>
              <w:t xml:space="preserve"> обявлението за МОП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2F66F4" w:rsidRPr="004C591A" w:rsidRDefault="002F66F4" w:rsidP="0084689B">
            <w:pPr>
              <w:jc w:val="both"/>
              <w:rPr>
                <w:b/>
                <w:color w:val="000080"/>
                <w:lang w:val="bg-BG"/>
              </w:rPr>
            </w:pPr>
            <w:r w:rsidRPr="004C591A">
              <w:rPr>
                <w:b/>
                <w:color w:val="333399"/>
                <w:lang w:val="bg-BG"/>
              </w:rPr>
              <w:t xml:space="preserve">т. </w:t>
            </w:r>
            <w:r w:rsidR="00CD283D" w:rsidRPr="004C591A">
              <w:rPr>
                <w:b/>
                <w:color w:val="333399"/>
                <w:lang w:val="bg-BG"/>
              </w:rPr>
              <w:t xml:space="preserve">11 и 12 </w:t>
            </w:r>
            <w:r w:rsidRPr="004C591A">
              <w:rPr>
                <w:b/>
                <w:color w:val="333399"/>
                <w:lang w:val="bg-BG"/>
              </w:rPr>
              <w:t>от Насоките</w:t>
            </w:r>
          </w:p>
          <w:p w:rsidR="002F66F4" w:rsidRPr="004C591A" w:rsidRDefault="002F66F4" w:rsidP="0084689B">
            <w:pPr>
              <w:jc w:val="both"/>
              <w:rPr>
                <w:color w:val="008000"/>
                <w:lang w:val="bg-BG"/>
              </w:rPr>
            </w:pPr>
            <w:r w:rsidRPr="004C591A">
              <w:rPr>
                <w:color w:val="008000"/>
                <w:lang w:val="bg-BG"/>
              </w:rPr>
              <w:t>Анализирайте посочените насочващи източници с цел да установите дали предметът на ОП е дефиниран пълно и ясно. Установете дали съществуват противоречия в тази връзка между съдържащата се информация относно предмета на ОП в обявлението на МОП и останалата част от документацията за участие.</w:t>
            </w:r>
          </w:p>
          <w:p w:rsidR="002F66F4" w:rsidRPr="004C591A" w:rsidRDefault="002F66F4">
            <w:pPr>
              <w:jc w:val="both"/>
              <w:rPr>
                <w:b/>
                <w:lang w:val="bg-BG" w:eastAsia="fr-FR"/>
              </w:rPr>
            </w:pPr>
            <w:r w:rsidRPr="004C591A">
              <w:rPr>
                <w:color w:val="008000"/>
                <w:lang w:val="bg-BG"/>
              </w:rPr>
              <w:t xml:space="preserve">Анализирайте техническите спецификации, за да оцените дали са приложени изискванията на цитираните правни норми. </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Del="001B16C7" w:rsidRDefault="009A461F" w:rsidP="00734DD6">
            <w:pPr>
              <w:pStyle w:val="BodyText"/>
              <w:widowControl w:val="0"/>
              <w:spacing w:before="240" w:after="60"/>
              <w:ind w:left="72"/>
              <w:jc w:val="both"/>
              <w:rPr>
                <w:b/>
                <w:lang w:val="bg-BG"/>
              </w:rPr>
            </w:pPr>
            <w:r>
              <w:rPr>
                <w:b/>
                <w:lang w:val="bg-BG"/>
              </w:rPr>
              <w:t>22</w:t>
            </w:r>
          </w:p>
        </w:tc>
        <w:tc>
          <w:tcPr>
            <w:tcW w:w="7996" w:type="dxa"/>
            <w:noWrap/>
          </w:tcPr>
          <w:p w:rsidR="002F66F4" w:rsidRPr="004C591A" w:rsidRDefault="002F66F4" w:rsidP="001B16C7">
            <w:pPr>
              <w:jc w:val="both"/>
              <w:rPr>
                <w:b/>
                <w:u w:val="single"/>
                <w:lang w:val="bg-BG" w:eastAsia="fr-FR"/>
              </w:rPr>
            </w:pPr>
            <w:r w:rsidRPr="004C591A">
              <w:rPr>
                <w:b/>
                <w:u w:val="single"/>
                <w:lang w:val="bg-BG" w:eastAsia="fr-FR"/>
              </w:rPr>
              <w:t>При поръчки с обект строителство:</w:t>
            </w:r>
          </w:p>
          <w:p w:rsidR="002F66F4" w:rsidRPr="0054517B" w:rsidRDefault="00CD283D" w:rsidP="001B16C7">
            <w:pPr>
              <w:jc w:val="both"/>
              <w:rPr>
                <w:b/>
                <w:lang w:val="bg-BG" w:eastAsia="fr-FR"/>
              </w:rPr>
            </w:pPr>
            <w:r w:rsidRPr="004C591A">
              <w:rPr>
                <w:b/>
                <w:lang w:val="bg-BG" w:eastAsia="fr-FR"/>
              </w:rPr>
              <w:t>Включени ли са в предмета на поръчката услуги или доставки, които не са свързани с изпълнението на строителството</w:t>
            </w:r>
            <w:r w:rsidR="002F66F4" w:rsidRPr="004C591A">
              <w:rPr>
                <w:b/>
                <w:lang w:val="bg-BG" w:eastAsia="fr-FR"/>
              </w:rPr>
              <w:t>?</w:t>
            </w:r>
          </w:p>
          <w:p w:rsidR="002F66F4" w:rsidRPr="0054517B" w:rsidRDefault="002F66F4" w:rsidP="001B16C7">
            <w:pPr>
              <w:jc w:val="both"/>
              <w:rPr>
                <w:lang w:val="bg-BG" w:eastAsia="fr-FR"/>
              </w:rPr>
            </w:pPr>
            <w:r w:rsidRPr="0054517B">
              <w:rPr>
                <w:lang w:val="bg-B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F66F4" w:rsidRPr="0054517B" w:rsidRDefault="002F66F4" w:rsidP="001B16C7">
            <w:pPr>
              <w:jc w:val="both"/>
              <w:rPr>
                <w:lang w:val="bg-BG" w:eastAsia="fr-FR"/>
              </w:rPr>
            </w:pPr>
            <w:r w:rsidRPr="0054517B">
              <w:rPr>
                <w:lang w:val="bg-B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F66F4" w:rsidRPr="00722655" w:rsidRDefault="002F66F4" w:rsidP="001B16C7">
            <w:pPr>
              <w:jc w:val="both"/>
              <w:rPr>
                <w:b/>
                <w:lang w:val="bg-BG" w:eastAsia="fr-FR"/>
              </w:rPr>
            </w:pPr>
            <w:r w:rsidRPr="00722655">
              <w:rPr>
                <w:b/>
                <w:lang w:val="bg-BG" w:eastAsia="fr-FR"/>
              </w:rPr>
              <w:t>(§ 2 от ПЗР на НВМОП във връзка с чл. 15, ал. 7 от ЗОП, чл. 3, ал. 1, т. 3 от ЗОП)</w:t>
            </w:r>
          </w:p>
          <w:p w:rsidR="002F66F4" w:rsidRPr="004C591A" w:rsidRDefault="002F66F4" w:rsidP="001B16C7">
            <w:pPr>
              <w:jc w:val="both"/>
              <w:rPr>
                <w:color w:val="C0504D"/>
                <w:lang w:val="bg-BG"/>
              </w:rPr>
            </w:pPr>
            <w:r w:rsidRPr="00223A61">
              <w:rPr>
                <w:b/>
                <w:color w:val="C0504D"/>
                <w:lang w:val="bg-BG"/>
              </w:rPr>
              <w:t xml:space="preserve">Насочващи източници на информация: </w:t>
            </w:r>
            <w:r w:rsidRPr="004C591A">
              <w:rPr>
                <w:color w:val="C0504D"/>
                <w:lang w:val="bg-BG"/>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F66F4" w:rsidRPr="004C591A" w:rsidRDefault="002F66F4" w:rsidP="001B16C7">
            <w:pPr>
              <w:jc w:val="both"/>
              <w:rPr>
                <w:b/>
                <w:lang w:val="bg-BG" w:eastAsia="fr-FR"/>
              </w:rPr>
            </w:pPr>
            <w:r w:rsidRPr="004C591A">
              <w:rPr>
                <w:b/>
                <w:color w:val="333399"/>
                <w:lang w:val="bg-BG"/>
              </w:rPr>
              <w:t xml:space="preserve">т. </w:t>
            </w:r>
            <w:r w:rsidR="00CD283D" w:rsidRPr="004C591A">
              <w:rPr>
                <w:b/>
                <w:color w:val="333399"/>
                <w:lang w:val="bg-BG"/>
              </w:rPr>
              <w:t xml:space="preserve">11 </w:t>
            </w:r>
            <w:r w:rsidRPr="004C591A">
              <w:rPr>
                <w:b/>
                <w:color w:val="333399"/>
                <w:lang w:val="bg-BG"/>
              </w:rPr>
              <w:t>от Насоките</w:t>
            </w:r>
          </w:p>
          <w:p w:rsidR="002F66F4" w:rsidRPr="004C591A" w:rsidRDefault="002F66F4" w:rsidP="001B16C7">
            <w:pPr>
              <w:jc w:val="both"/>
              <w:rPr>
                <w:b/>
                <w:lang w:val="bg-BG" w:eastAsia="fr-FR"/>
              </w:rPr>
            </w:pPr>
            <w:r w:rsidRPr="004C591A">
              <w:rPr>
                <w:color w:val="008000"/>
                <w:lang w:val="bg-BG"/>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rsidP="00671C10">
            <w:pPr>
              <w:pStyle w:val="BodyText"/>
              <w:widowControl w:val="0"/>
              <w:spacing w:before="240" w:after="60"/>
              <w:ind w:left="180"/>
              <w:jc w:val="both"/>
              <w:rPr>
                <w:b/>
                <w:lang w:val="bg-BG"/>
              </w:rPr>
            </w:pPr>
            <w:r>
              <w:rPr>
                <w:b/>
                <w:lang w:val="bg-BG"/>
              </w:rPr>
              <w:t>23</w:t>
            </w:r>
          </w:p>
        </w:tc>
        <w:tc>
          <w:tcPr>
            <w:tcW w:w="7996" w:type="dxa"/>
            <w:noWrap/>
          </w:tcPr>
          <w:p w:rsidR="002F66F4" w:rsidRPr="004C591A" w:rsidRDefault="00CD283D" w:rsidP="00196A78">
            <w:pPr>
              <w:jc w:val="both"/>
              <w:rPr>
                <w:b/>
                <w:lang w:val="bg-BG" w:eastAsia="fr-FR"/>
              </w:rPr>
            </w:pPr>
            <w:r w:rsidRPr="004C591A">
              <w:rPr>
                <w:b/>
                <w:lang w:val="bg-BG" w:eastAsia="fr-FR"/>
              </w:rPr>
              <w:t xml:space="preserve">Всички критерии за подбор (минималните изисквания към финансовото и икономическо състояние, техническите възможности и професионална квалификация на участниците) посочени ли са изчерпателно в обявлението на </w:t>
            </w:r>
            <w:r w:rsidRPr="004C591A">
              <w:rPr>
                <w:b/>
                <w:lang w:val="bg-BG" w:eastAsia="fr-FR"/>
              </w:rPr>
              <w:lastRenderedPageBreak/>
              <w:t>МОП?</w:t>
            </w:r>
          </w:p>
          <w:p w:rsidR="002F66F4" w:rsidRPr="0054517B" w:rsidRDefault="00CD283D" w:rsidP="00196A78">
            <w:pPr>
              <w:jc w:val="both"/>
              <w:rPr>
                <w:b/>
                <w:lang w:val="bg-BG" w:eastAsia="fr-FR"/>
              </w:rPr>
            </w:pPr>
            <w:r w:rsidRPr="004C591A">
              <w:rPr>
                <w:b/>
                <w:lang w:val="bg-BG" w:eastAsia="fr-FR"/>
              </w:rPr>
              <w:t>Всички документи за доказване на критериите за подбор посочени ли са в обявлението на МОП изчерпателно</w:t>
            </w:r>
            <w:r w:rsidR="002F66F4" w:rsidRPr="004C591A">
              <w:rPr>
                <w:b/>
                <w:lang w:val="bg-BG" w:eastAsia="fr-FR"/>
              </w:rPr>
              <w:t>?</w:t>
            </w:r>
          </w:p>
          <w:p w:rsidR="002F66F4" w:rsidRPr="0054517B" w:rsidRDefault="002F66F4" w:rsidP="00196A78">
            <w:pPr>
              <w:jc w:val="both"/>
              <w:rPr>
                <w:lang w:val="bg-BG"/>
              </w:rPr>
            </w:pPr>
            <w:r w:rsidRPr="0054517B">
              <w:rPr>
                <w:lang w:val="bg-BG"/>
              </w:rPr>
              <w:t>В случай, че възложителят е определил критерии за подбор, той е длъжен да определи документите, с които се доказват (чл. 25, ал. 2, т. 6 от ЗОП). Възложителите нямат право да искат представяне на документи по чл. 50 и чл. 51 от ЗОП, без да са определили съответни критерии за подбор.</w:t>
            </w:r>
          </w:p>
          <w:p w:rsidR="002F66F4" w:rsidRPr="0054517B" w:rsidRDefault="002F66F4" w:rsidP="00196A78">
            <w:pPr>
              <w:jc w:val="both"/>
              <w:rPr>
                <w:lang w:val="bg-BG"/>
              </w:rPr>
            </w:pPr>
            <w:r w:rsidRPr="0054517B">
              <w:rPr>
                <w:lang w:val="bg-BG"/>
              </w:rPr>
              <w:t>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При неизчерпателно посочване на критериите за подбор и/или документите за доказването им се нарушава освен чл. 25, ал. 2, т. 6 от ЗОП и принципа за публичност и прозрачност по чл. 2, ал. 1, т. 1 от ЗОП, тъй като възложителят не е осигурил пълния обем от информация.</w:t>
            </w:r>
          </w:p>
          <w:p w:rsidR="002F66F4" w:rsidRPr="00722655" w:rsidRDefault="002F66F4" w:rsidP="00196A78">
            <w:pPr>
              <w:jc w:val="both"/>
              <w:rPr>
                <w:b/>
                <w:color w:val="000080"/>
                <w:lang w:val="bg-BG"/>
              </w:rPr>
            </w:pPr>
            <w:r w:rsidRPr="0054517B">
              <w:rPr>
                <w:b/>
                <w:color w:val="000080"/>
                <w:lang w:val="bg-BG"/>
              </w:rPr>
              <w:t xml:space="preserve">т. </w:t>
            </w:r>
            <w:r w:rsidR="00CD283D" w:rsidRPr="0054517B">
              <w:rPr>
                <w:b/>
                <w:color w:val="000080"/>
                <w:lang w:val="bg-BG"/>
              </w:rPr>
              <w:t xml:space="preserve">8 </w:t>
            </w:r>
            <w:r w:rsidRPr="00722655">
              <w:rPr>
                <w:b/>
                <w:color w:val="000080"/>
                <w:lang w:val="bg-BG"/>
              </w:rPr>
              <w:t xml:space="preserve">от  Насоките </w:t>
            </w:r>
          </w:p>
          <w:p w:rsidR="00CD283D" w:rsidRPr="004C591A" w:rsidRDefault="00CD283D" w:rsidP="00196A78">
            <w:pPr>
              <w:jc w:val="both"/>
              <w:rPr>
                <w:b/>
                <w:color w:val="000080"/>
                <w:lang w:val="bg-BG"/>
              </w:rPr>
            </w:pPr>
            <w:r w:rsidRPr="00223A61">
              <w:rPr>
                <w:b/>
                <w:color w:val="548DD4"/>
              </w:rPr>
              <w:t>използвайте таблица № 2</w:t>
            </w:r>
          </w:p>
          <w:p w:rsidR="002F66F4" w:rsidRPr="004C591A" w:rsidRDefault="002F66F4" w:rsidP="00196A78">
            <w:pPr>
              <w:jc w:val="both"/>
              <w:rPr>
                <w:b/>
                <w:color w:val="000080"/>
                <w:lang w:val="bg-BG"/>
              </w:rPr>
            </w:pPr>
            <w:r w:rsidRPr="004C591A">
              <w:rPr>
                <w:b/>
                <w:bCs/>
                <w:color w:val="C0504D"/>
                <w:lang w:val="bg-BG"/>
              </w:rPr>
              <w:t xml:space="preserve">Насочващи източници на информация: </w:t>
            </w:r>
            <w:r w:rsidRPr="004C591A">
              <w:rPr>
                <w:bCs/>
                <w:color w:val="C0504D"/>
                <w:lang w:val="bg-BG"/>
              </w:rPr>
              <w:t>прегледайте</w:t>
            </w:r>
            <w:r w:rsidRPr="004C591A">
              <w:rPr>
                <w:color w:val="C0504D"/>
                <w:lang w:val="bg-BG"/>
              </w:rPr>
              <w:t xml:space="preserve"> обявлението за МОП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p w:rsidR="002F66F4" w:rsidRPr="004C591A" w:rsidRDefault="002F66F4" w:rsidP="00071102">
            <w:pPr>
              <w:jc w:val="both"/>
              <w:rPr>
                <w:b/>
                <w:lang w:val="bg-BG" w:eastAsia="fr-FR"/>
              </w:rPr>
            </w:pPr>
            <w:r w:rsidRPr="004C591A">
              <w:rPr>
                <w:color w:val="008000"/>
                <w:lang w:val="bg-BG"/>
              </w:rPr>
              <w:t xml:space="preserve">Анализирайте критериите за подбор и документите за доказването им. </w:t>
            </w:r>
            <w:r w:rsidRPr="004C591A">
              <w:rPr>
                <w:lang w:val="bg-BG" w:eastAsia="fr-FR"/>
              </w:rPr>
              <w:t xml:space="preserve">     </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pPr>
              <w:jc w:val="right"/>
              <w:outlineLvl w:val="1"/>
              <w:rPr>
                <w:lang w:val="bg-BG"/>
              </w:rPr>
            </w:pPr>
            <w:r w:rsidRPr="004C591A">
              <w:rPr>
                <w:b/>
                <w:lang w:val="bg-BG"/>
              </w:rPr>
              <w:t xml:space="preserve">    </w:t>
            </w:r>
          </w:p>
        </w:tc>
      </w:tr>
      <w:tr w:rsidR="002F66F4" w:rsidRPr="004C591A" w:rsidTr="00AF7445">
        <w:trPr>
          <w:trHeight w:val="270"/>
        </w:trPr>
        <w:tc>
          <w:tcPr>
            <w:tcW w:w="932" w:type="dxa"/>
            <w:gridSpan w:val="2"/>
          </w:tcPr>
          <w:p w:rsidR="002F66F4" w:rsidRPr="009A461F" w:rsidRDefault="009A461F" w:rsidP="00671C10">
            <w:pPr>
              <w:pStyle w:val="BodyText"/>
              <w:widowControl w:val="0"/>
              <w:spacing w:before="240" w:after="60"/>
              <w:ind w:left="180"/>
              <w:jc w:val="both"/>
              <w:rPr>
                <w:b/>
                <w:lang w:val="bg-BG"/>
              </w:rPr>
            </w:pPr>
            <w:r>
              <w:rPr>
                <w:b/>
                <w:lang w:val="bg-BG"/>
              </w:rPr>
              <w:t>24</w:t>
            </w:r>
          </w:p>
        </w:tc>
        <w:tc>
          <w:tcPr>
            <w:tcW w:w="7996" w:type="dxa"/>
            <w:noWrap/>
          </w:tcPr>
          <w:p w:rsidR="002F66F4" w:rsidRPr="004C591A" w:rsidRDefault="002F66F4" w:rsidP="00196A78">
            <w:pPr>
              <w:jc w:val="both"/>
              <w:rPr>
                <w:b/>
                <w:u w:val="single"/>
                <w:lang w:val="bg-BG" w:eastAsia="fr-FR"/>
              </w:rPr>
            </w:pPr>
            <w:r w:rsidRPr="004C591A">
              <w:rPr>
                <w:b/>
                <w:u w:val="single"/>
                <w:lang w:val="bg-BG" w:eastAsia="fr-FR"/>
              </w:rPr>
              <w:t>При критерий за оценка „икономически най-изгодна оферта”:</w:t>
            </w:r>
          </w:p>
          <w:p w:rsidR="002F66F4" w:rsidRPr="0054517B" w:rsidRDefault="00A03636" w:rsidP="00196A78">
            <w:pPr>
              <w:jc w:val="both"/>
              <w:rPr>
                <w:b/>
                <w:lang w:val="bg-BG" w:eastAsia="fr-FR"/>
              </w:rPr>
            </w:pPr>
            <w:r w:rsidRPr="004C591A">
              <w:rPr>
                <w:b/>
                <w:lang w:val="bg-BG" w:eastAsia="fr-FR"/>
              </w:rPr>
              <w:t xml:space="preserve">В обявлението за </w:t>
            </w:r>
            <w:r w:rsidR="002547E2" w:rsidRPr="004C591A">
              <w:rPr>
                <w:b/>
                <w:lang w:val="bg-BG" w:eastAsia="fr-FR"/>
              </w:rPr>
              <w:t xml:space="preserve">МОП </w:t>
            </w:r>
            <w:r w:rsidRPr="004C591A">
              <w:rPr>
                <w:b/>
                <w:lang w:val="bg-BG" w:eastAsia="fr-FR"/>
              </w:rPr>
              <w:t>и в методиката за оценка на офертите включени ли са като показатели критерии за подбор на участниците</w:t>
            </w:r>
            <w:r w:rsidR="002F66F4" w:rsidRPr="004C591A">
              <w:rPr>
                <w:b/>
                <w:lang w:val="bg-BG" w:eastAsia="fr-FR"/>
              </w:rPr>
              <w:t>?</w:t>
            </w:r>
          </w:p>
          <w:p w:rsidR="002F66F4" w:rsidRPr="0054517B" w:rsidRDefault="002F66F4" w:rsidP="00B47454">
            <w:pPr>
              <w:jc w:val="both"/>
              <w:rPr>
                <w:lang w:val="bg-BG" w:eastAsia="fr-FR"/>
              </w:rPr>
            </w:pPr>
            <w:r w:rsidRPr="0054517B">
              <w:rPr>
                <w:lang w:val="bg-B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F66F4" w:rsidRPr="0054517B" w:rsidRDefault="002F66F4" w:rsidP="00B47454">
            <w:pPr>
              <w:jc w:val="both"/>
              <w:rPr>
                <w:b/>
                <w:lang w:val="bg-BG" w:eastAsia="fr-FR"/>
              </w:rPr>
            </w:pPr>
            <w:r w:rsidRPr="0054517B">
              <w:rPr>
                <w:b/>
                <w:lang w:val="bg-BG" w:eastAsia="fr-FR"/>
              </w:rPr>
              <w:t>(§ 1, т. 8 от ДР на ЗОП във връзка с § 2 от ПЗР на НВМОП)</w:t>
            </w:r>
          </w:p>
          <w:p w:rsidR="002F66F4" w:rsidRPr="0054517B" w:rsidRDefault="002F66F4" w:rsidP="00B47454">
            <w:pPr>
              <w:jc w:val="both"/>
              <w:rPr>
                <w:b/>
                <w:lang w:val="bg-BG" w:eastAsia="fr-FR"/>
              </w:rPr>
            </w:pPr>
            <w:r w:rsidRPr="0054517B">
              <w:rPr>
                <w:b/>
                <w:lang w:val="bg-BG" w:eastAsia="fr-FR"/>
              </w:rPr>
              <w:t>(чл. 6, ал. 5 от НВМОП)</w:t>
            </w:r>
          </w:p>
          <w:p w:rsidR="002F66F4" w:rsidRPr="00722655" w:rsidRDefault="002F66F4" w:rsidP="00196A78">
            <w:pPr>
              <w:jc w:val="both"/>
              <w:rPr>
                <w:b/>
                <w:color w:val="000080"/>
                <w:lang w:val="bg-BG"/>
              </w:rPr>
            </w:pPr>
            <w:r w:rsidRPr="0054517B">
              <w:rPr>
                <w:b/>
                <w:color w:val="000080"/>
                <w:lang w:val="bg-BG"/>
              </w:rPr>
              <w:t xml:space="preserve">т. </w:t>
            </w:r>
            <w:r w:rsidR="00A03636" w:rsidRPr="0054517B">
              <w:rPr>
                <w:b/>
                <w:color w:val="000080"/>
                <w:lang w:val="bg-BG"/>
              </w:rPr>
              <w:t xml:space="preserve">9 </w:t>
            </w:r>
            <w:r w:rsidRPr="00722655">
              <w:rPr>
                <w:b/>
                <w:color w:val="000080"/>
                <w:lang w:val="bg-BG"/>
              </w:rPr>
              <w:t xml:space="preserve">от  Насоките </w:t>
            </w:r>
          </w:p>
          <w:p w:rsidR="002F66F4" w:rsidRPr="004C591A" w:rsidRDefault="002F66F4" w:rsidP="00196A78">
            <w:pPr>
              <w:jc w:val="both"/>
              <w:rPr>
                <w:b/>
                <w:color w:val="000080"/>
                <w:lang w:val="bg-BG"/>
              </w:rPr>
            </w:pPr>
            <w:r w:rsidRPr="00223A61">
              <w:rPr>
                <w:b/>
                <w:bCs/>
                <w:color w:val="C0504D"/>
                <w:lang w:val="bg-BG"/>
              </w:rPr>
              <w:lastRenderedPageBreak/>
              <w:t xml:space="preserve">Насочващи източници на информация: </w:t>
            </w:r>
            <w:r w:rsidRPr="004C591A">
              <w:rPr>
                <w:bCs/>
                <w:color w:val="C0504D"/>
                <w:lang w:val="bg-BG"/>
              </w:rPr>
              <w:t>прегледайте обявлението за МОП в частта относно критериите за възлагане и документацията за участие в частта относно методиката за оценка на офертите.</w:t>
            </w:r>
          </w:p>
          <w:p w:rsidR="002F66F4" w:rsidRPr="004C591A" w:rsidRDefault="002F66F4" w:rsidP="00B47454">
            <w:pPr>
              <w:jc w:val="both"/>
              <w:rPr>
                <w:color w:val="008000"/>
                <w:lang w:val="bg-BG"/>
              </w:rPr>
            </w:pPr>
            <w:r w:rsidRPr="004C591A">
              <w:rPr>
                <w:color w:val="008000"/>
                <w:lang w:val="bg-BG"/>
              </w:rPr>
              <w:t xml:space="preserve">Анализирайте всички показатели за оценка на офертите с тяхната относителна тежест, включително </w:t>
            </w:r>
            <w:r w:rsidR="00D157DF" w:rsidRPr="004C591A">
              <w:rPr>
                <w:color w:val="008000"/>
                <w:lang w:val="bg-BG"/>
              </w:rPr>
              <w:t xml:space="preserve">подпоказателите и компонентите за оценяване </w:t>
            </w:r>
            <w:r w:rsidRPr="004C591A">
              <w:rPr>
                <w:color w:val="008000"/>
                <w:lang w:val="bg-BG"/>
              </w:rPr>
              <w:t>(ако има такива), съдържащи се в методиката за оценка и обявлението за МОП.</w:t>
            </w:r>
          </w:p>
          <w:p w:rsidR="002F66F4" w:rsidRPr="004C591A" w:rsidDel="00671C10" w:rsidRDefault="002F66F4" w:rsidP="00196A78">
            <w:pPr>
              <w:jc w:val="both"/>
              <w:rPr>
                <w:bCs/>
                <w:lang w:val="bg-BG" w:eastAsia="fr-FR"/>
              </w:rPr>
            </w:pPr>
            <w:r w:rsidRPr="004C591A">
              <w:rPr>
                <w:color w:val="008000"/>
                <w:lang w:val="bg-BG"/>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pPr>
              <w:pStyle w:val="BodyText"/>
              <w:widowControl w:val="0"/>
              <w:spacing w:before="240" w:after="60"/>
              <w:ind w:left="180"/>
              <w:jc w:val="both"/>
              <w:rPr>
                <w:b/>
                <w:lang w:val="bg-BG"/>
              </w:rPr>
            </w:pPr>
            <w:r>
              <w:rPr>
                <w:b/>
                <w:lang w:val="bg-BG"/>
              </w:rPr>
              <w:t>25</w:t>
            </w:r>
          </w:p>
        </w:tc>
        <w:tc>
          <w:tcPr>
            <w:tcW w:w="7996" w:type="dxa"/>
            <w:noWrap/>
          </w:tcPr>
          <w:p w:rsidR="002F66F4" w:rsidRPr="0054517B" w:rsidRDefault="00A03636" w:rsidP="00196A78">
            <w:pPr>
              <w:jc w:val="both"/>
              <w:rPr>
                <w:b/>
                <w:lang w:val="bg-BG"/>
              </w:rPr>
            </w:pPr>
            <w:r w:rsidRPr="004C591A">
              <w:rPr>
                <w:b/>
                <w:lang w:val="bg-BG"/>
              </w:rPr>
              <w:t xml:space="preserve">Формулирани ли са условия или изисквания, които дават предимство или </w:t>
            </w:r>
            <w:r w:rsidRPr="004C591A">
              <w:rPr>
                <w:b/>
                <w:u w:val="single"/>
                <w:lang w:val="bg-BG"/>
              </w:rPr>
              <w:t>необосновано</w:t>
            </w:r>
            <w:r w:rsidRPr="004C591A">
              <w:rPr>
                <w:b/>
                <w:lang w:val="bg-BG"/>
              </w:rPr>
              <w:t xml:space="preserve"> ограничават участието на лица в процедурата</w:t>
            </w:r>
            <w:r w:rsidR="002F66F4" w:rsidRPr="004C591A">
              <w:rPr>
                <w:b/>
                <w:lang w:val="bg-BG"/>
              </w:rPr>
              <w:t>?</w:t>
            </w:r>
          </w:p>
          <w:p w:rsidR="00E83E96" w:rsidRPr="0054517B" w:rsidRDefault="00A03636" w:rsidP="008A5402">
            <w:pPr>
              <w:jc w:val="both"/>
              <w:rPr>
                <w:color w:val="008000"/>
                <w:u w:val="single"/>
                <w:lang w:val="bg-BG" w:eastAsia="bg-BG"/>
              </w:rPr>
            </w:pPr>
            <w:r w:rsidRPr="004C591A">
              <w:rPr>
                <w:b/>
                <w:lang w:val="bg-BG" w:eastAsia="bg-BG"/>
              </w:rPr>
              <w:t>Формулирани ли са незаконосъобразни изисквания в процедурата?</w:t>
            </w:r>
            <w:r w:rsidRPr="0054517B">
              <w:rPr>
                <w:color w:val="008000"/>
                <w:u w:val="single"/>
                <w:lang w:val="bg-BG" w:eastAsia="bg-BG"/>
              </w:rPr>
              <w:t xml:space="preserve"> </w:t>
            </w:r>
          </w:p>
          <w:p w:rsidR="002F66F4" w:rsidRPr="0054517B" w:rsidRDefault="002F66F4" w:rsidP="008A5402">
            <w:pPr>
              <w:jc w:val="both"/>
              <w:rPr>
                <w:lang w:val="bg-BG"/>
              </w:rPr>
            </w:pPr>
            <w:r w:rsidRPr="0054517B">
              <w:rPr>
                <w:lang w:val="bg-BG"/>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9 от НВМОП,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F66F4" w:rsidRDefault="002F66F4" w:rsidP="008A5402">
            <w:pPr>
              <w:jc w:val="both"/>
              <w:rPr>
                <w:lang w:val="bg-BG"/>
              </w:rPr>
            </w:pPr>
            <w:r w:rsidRPr="0054517B">
              <w:rPr>
                <w:lang w:val="bg-BG"/>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E0349A" w:rsidRPr="0054517B" w:rsidRDefault="00E0349A" w:rsidP="008A5402">
            <w:pPr>
              <w:jc w:val="both"/>
              <w:rPr>
                <w:i/>
                <w:lang w:val="bg-BG"/>
              </w:rPr>
            </w:pPr>
            <w:r w:rsidRPr="004C591A">
              <w:rPr>
                <w:b/>
              </w:rPr>
              <w:t>ВАЖНО!</w:t>
            </w:r>
            <w:r w:rsidRPr="00583DE5">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2F66F4" w:rsidRPr="0054517B" w:rsidRDefault="002F66F4" w:rsidP="00196A78">
            <w:pPr>
              <w:jc w:val="both"/>
              <w:rPr>
                <w:b/>
                <w:lang w:val="bg-BG"/>
              </w:rPr>
            </w:pPr>
            <w:r w:rsidRPr="0054517B">
              <w:rPr>
                <w:b/>
                <w:lang w:val="bg-BG" w:eastAsia="fr-FR"/>
              </w:rPr>
              <w:t>(чл. 9 от НВМОП</w:t>
            </w:r>
            <w:r w:rsidRPr="0054517B">
              <w:rPr>
                <w:b/>
                <w:lang w:val="bg-BG"/>
              </w:rPr>
              <w:t>)</w:t>
            </w:r>
          </w:p>
          <w:p w:rsidR="002F66F4" w:rsidRPr="0054517B" w:rsidRDefault="002F66F4" w:rsidP="00196A78">
            <w:pPr>
              <w:jc w:val="both"/>
              <w:rPr>
                <w:b/>
                <w:lang w:val="bg-BG"/>
              </w:rPr>
            </w:pPr>
            <w:r w:rsidRPr="0054517B">
              <w:rPr>
                <w:b/>
                <w:lang w:val="bg-BG"/>
              </w:rPr>
              <w:t>(чл. 50 и чл. 51 от ЗОП)</w:t>
            </w:r>
          </w:p>
          <w:p w:rsidR="002F66F4" w:rsidRPr="0054517B" w:rsidRDefault="002F66F4" w:rsidP="00196A78">
            <w:pPr>
              <w:jc w:val="both"/>
              <w:rPr>
                <w:b/>
                <w:lang w:val="bg-BG"/>
              </w:rPr>
            </w:pPr>
            <w:r w:rsidRPr="0054517B">
              <w:rPr>
                <w:b/>
                <w:lang w:val="bg-BG"/>
              </w:rPr>
              <w:t>(чл. 2, ал. 1, т. 3 от ЗОП)</w:t>
            </w:r>
          </w:p>
          <w:p w:rsidR="002F66F4" w:rsidRPr="00722655" w:rsidRDefault="002F66F4" w:rsidP="00196A78">
            <w:pPr>
              <w:jc w:val="both"/>
              <w:outlineLvl w:val="1"/>
              <w:rPr>
                <w:b/>
                <w:color w:val="000080"/>
                <w:lang w:val="bg-BG"/>
              </w:rPr>
            </w:pPr>
            <w:r w:rsidRPr="00722655">
              <w:rPr>
                <w:b/>
                <w:color w:val="000080"/>
                <w:lang w:val="bg-BG"/>
              </w:rPr>
              <w:t xml:space="preserve">т. </w:t>
            </w:r>
            <w:r w:rsidR="00A03636" w:rsidRPr="00722655">
              <w:rPr>
                <w:b/>
                <w:color w:val="000080"/>
                <w:lang w:val="bg-BG"/>
              </w:rPr>
              <w:t xml:space="preserve">9 и 10 </w:t>
            </w:r>
            <w:r w:rsidRPr="00722655">
              <w:rPr>
                <w:b/>
                <w:color w:val="000080"/>
                <w:lang w:val="bg-BG"/>
              </w:rPr>
              <w:t xml:space="preserve">от  Насоките </w:t>
            </w:r>
          </w:p>
          <w:p w:rsidR="002F66F4" w:rsidRPr="004C591A" w:rsidRDefault="002F66F4" w:rsidP="008A5402">
            <w:pPr>
              <w:jc w:val="both"/>
              <w:rPr>
                <w:b/>
                <w:lang w:val="bg-BG"/>
              </w:rPr>
            </w:pPr>
            <w:r w:rsidRPr="00223A61">
              <w:rPr>
                <w:b/>
                <w:bCs/>
                <w:color w:val="C0504D"/>
                <w:lang w:val="bg-BG"/>
              </w:rPr>
              <w:t xml:space="preserve">Насочващи източници на </w:t>
            </w:r>
            <w:r w:rsidRPr="004C591A">
              <w:rPr>
                <w:b/>
                <w:bCs/>
                <w:color w:val="C0504D"/>
                <w:lang w:val="bg-BG"/>
              </w:rPr>
              <w:t xml:space="preserve">информация: </w:t>
            </w:r>
            <w:r w:rsidRPr="004C591A">
              <w:rPr>
                <w:bCs/>
                <w:color w:val="C0504D"/>
                <w:lang w:val="bg-BG"/>
              </w:rPr>
              <w:t>прегледайте</w:t>
            </w:r>
            <w:r w:rsidRPr="004C591A">
              <w:rPr>
                <w:color w:val="C0504D"/>
                <w:lang w:val="bg-BG"/>
              </w:rPr>
              <w:t xml:space="preserve"> обявлението за МОП и документацията за участие.</w:t>
            </w:r>
          </w:p>
          <w:p w:rsidR="002F66F4" w:rsidRPr="004C591A" w:rsidRDefault="002F66F4" w:rsidP="00B23D73">
            <w:pPr>
              <w:jc w:val="both"/>
              <w:rPr>
                <w:color w:val="008000"/>
                <w:u w:val="single"/>
              </w:rPr>
            </w:pPr>
            <w:r w:rsidRPr="004C591A">
              <w:rPr>
                <w:color w:val="008000"/>
                <w:u w:val="single"/>
              </w:rPr>
              <w:t>За обществени поръчки с предмет, обособен в позиции:</w:t>
            </w:r>
          </w:p>
          <w:p w:rsidR="002F66F4" w:rsidRPr="004C591A" w:rsidRDefault="002F66F4" w:rsidP="00196A78">
            <w:pPr>
              <w:jc w:val="both"/>
              <w:rPr>
                <w:b/>
                <w:lang w:val="bg-BG" w:eastAsia="fr-FR"/>
              </w:rPr>
            </w:pPr>
            <w:r w:rsidRPr="004C591A">
              <w:rPr>
                <w:color w:val="00800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pPr>
              <w:pStyle w:val="BodyText"/>
              <w:widowControl w:val="0"/>
              <w:spacing w:before="240" w:after="60"/>
              <w:ind w:left="180"/>
              <w:jc w:val="both"/>
              <w:rPr>
                <w:b/>
                <w:lang w:val="bg-BG"/>
              </w:rPr>
            </w:pPr>
            <w:r>
              <w:rPr>
                <w:b/>
                <w:lang w:val="bg-BG"/>
              </w:rPr>
              <w:t>26</w:t>
            </w:r>
          </w:p>
        </w:tc>
        <w:tc>
          <w:tcPr>
            <w:tcW w:w="7996" w:type="dxa"/>
            <w:noWrap/>
          </w:tcPr>
          <w:p w:rsidR="002F66F4" w:rsidRPr="004C591A" w:rsidRDefault="002F66F4" w:rsidP="00E87C4E">
            <w:pPr>
              <w:jc w:val="both"/>
              <w:rPr>
                <w:b/>
                <w:lang w:val="bg-BG" w:eastAsia="fr-FR"/>
              </w:rPr>
            </w:pPr>
            <w:r w:rsidRPr="004C591A">
              <w:rPr>
                <w:b/>
                <w:u w:val="single"/>
                <w:lang w:val="bg-BG" w:eastAsia="fr-FR"/>
              </w:rPr>
              <w:t>При критерий за оценка „икономически най-изгодна оферта”:</w:t>
            </w:r>
          </w:p>
          <w:p w:rsidR="002F66F4" w:rsidRPr="0054517B" w:rsidRDefault="00A03636" w:rsidP="00E87C4E">
            <w:pPr>
              <w:jc w:val="both"/>
              <w:rPr>
                <w:b/>
                <w:lang w:val="bg-BG" w:eastAsia="fr-FR"/>
              </w:rPr>
            </w:pPr>
            <w:r w:rsidRPr="004C591A">
              <w:rPr>
                <w:b/>
                <w:lang w:val="bg-BG" w:eastAsia="fr-FR"/>
              </w:rPr>
              <w:t>Методиката за оценка на офертите</w:t>
            </w:r>
            <w:r w:rsidR="00E0349A">
              <w:rPr>
                <w:b/>
                <w:lang w:val="bg-BG" w:eastAsia="fr-FR"/>
              </w:rPr>
              <w:t xml:space="preserve"> законосъобразна ли е, включително</w:t>
            </w:r>
            <w:r w:rsidRPr="004C591A">
              <w:rPr>
                <w:b/>
                <w:lang w:val="bg-BG" w:eastAsia="fr-FR"/>
              </w:rPr>
              <w:t xml:space="preserve"> съдържа ли точни указания за определяне на оценката по всеки показател и за определяне на </w:t>
            </w:r>
            <w:r w:rsidRPr="004C591A">
              <w:rPr>
                <w:b/>
                <w:lang w:val="bg-BG" w:eastAsia="fr-FR"/>
              </w:rPr>
              <w:lastRenderedPageBreak/>
              <w:t>комплексната оценка</w:t>
            </w:r>
            <w:r w:rsidR="002F66F4" w:rsidRPr="004C591A">
              <w:rPr>
                <w:b/>
                <w:lang w:val="bg-BG" w:eastAsia="fr-FR"/>
              </w:rPr>
              <w:t>?</w:t>
            </w:r>
          </w:p>
          <w:p w:rsidR="002F66F4" w:rsidRDefault="002F66F4" w:rsidP="00E87C4E">
            <w:pPr>
              <w:jc w:val="both"/>
              <w:rPr>
                <w:lang w:val="bg-BG" w:eastAsia="fr-FR"/>
              </w:rPr>
            </w:pPr>
            <w:r w:rsidRPr="0054517B">
              <w:rPr>
                <w:lang w:val="bg-BG" w:eastAsia="fr-FR"/>
              </w:rPr>
              <w:t>Възложителят е длъжен в методиката за оценка да даде точни указания за определяне на оценката по всеки показател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E0349A" w:rsidRPr="0054517B" w:rsidRDefault="00E0349A" w:rsidP="00E87C4E">
            <w:pPr>
              <w:jc w:val="both"/>
              <w:rPr>
                <w:lang w:val="bg-BG" w:eastAsia="fr-FR"/>
              </w:rPr>
            </w:pPr>
            <w:r w:rsidRPr="004C591A">
              <w:rPr>
                <w:b/>
                <w:lang w:eastAsia="fr-FR"/>
              </w:rPr>
              <w:t>ВАЖНО!</w:t>
            </w:r>
            <w:r w:rsidRPr="00583DE5">
              <w:rPr>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F66F4" w:rsidRPr="0054517B" w:rsidRDefault="004E4709" w:rsidP="00E87C4E">
            <w:pPr>
              <w:jc w:val="both"/>
              <w:rPr>
                <w:b/>
                <w:lang w:val="bg-BG" w:eastAsia="fr-FR"/>
              </w:rPr>
            </w:pPr>
            <w:r w:rsidRPr="0054517B">
              <w:rPr>
                <w:b/>
                <w:lang w:val="bg-BG" w:eastAsia="fr-FR"/>
              </w:rPr>
              <w:t>(</w:t>
            </w:r>
            <w:r w:rsidR="002F66F4" w:rsidRPr="0054517B">
              <w:rPr>
                <w:b/>
                <w:lang w:val="bg-BG" w:eastAsia="fr-FR"/>
              </w:rPr>
              <w:t xml:space="preserve">чл. 8, ал. 2 от </w:t>
            </w:r>
            <w:r w:rsidRPr="0054517B">
              <w:rPr>
                <w:b/>
                <w:lang w:val="bg-BG" w:eastAsia="fr-FR"/>
              </w:rPr>
              <w:t>НВМО</w:t>
            </w:r>
            <w:r w:rsidR="002F66F4" w:rsidRPr="0054517B">
              <w:rPr>
                <w:b/>
                <w:lang w:val="bg-BG" w:eastAsia="fr-FR"/>
              </w:rPr>
              <w:t>П)</w:t>
            </w:r>
          </w:p>
          <w:p w:rsidR="002F66F4" w:rsidRPr="00722655" w:rsidRDefault="002F66F4" w:rsidP="00E87C4E">
            <w:pPr>
              <w:jc w:val="both"/>
              <w:outlineLvl w:val="1"/>
              <w:rPr>
                <w:b/>
                <w:color w:val="000080"/>
                <w:lang w:val="bg-BG"/>
              </w:rPr>
            </w:pPr>
            <w:r w:rsidRPr="00722655">
              <w:rPr>
                <w:b/>
                <w:color w:val="000080"/>
                <w:lang w:val="bg-BG"/>
              </w:rPr>
              <w:t xml:space="preserve">т. </w:t>
            </w:r>
            <w:r w:rsidR="00A03636" w:rsidRPr="00722655">
              <w:rPr>
                <w:b/>
                <w:color w:val="000080"/>
                <w:lang w:val="bg-BG"/>
              </w:rPr>
              <w:t xml:space="preserve">8 или 9 </w:t>
            </w:r>
            <w:r w:rsidRPr="00722655">
              <w:rPr>
                <w:b/>
                <w:color w:val="000080"/>
                <w:lang w:val="bg-BG"/>
              </w:rPr>
              <w:t>от  Насоките</w:t>
            </w:r>
          </w:p>
          <w:p w:rsidR="002F66F4" w:rsidRPr="004C591A" w:rsidRDefault="002F66F4" w:rsidP="00E87C4E">
            <w:pPr>
              <w:jc w:val="both"/>
              <w:outlineLvl w:val="1"/>
              <w:rPr>
                <w:b/>
                <w:color w:val="000080"/>
                <w:lang w:val="bg-BG"/>
              </w:rPr>
            </w:pPr>
            <w:r w:rsidRPr="00223A61">
              <w:rPr>
                <w:b/>
                <w:bCs/>
                <w:color w:val="C0504D"/>
                <w:lang w:val="bg-BG"/>
              </w:rPr>
              <w:t>Насочващи източници на</w:t>
            </w:r>
            <w:r w:rsidRPr="004C591A">
              <w:rPr>
                <w:b/>
                <w:bCs/>
                <w:color w:val="C0504D"/>
                <w:lang w:val="bg-BG"/>
              </w:rPr>
              <w:t xml:space="preserve"> информация: </w:t>
            </w:r>
            <w:r w:rsidRPr="004C591A">
              <w:rPr>
                <w:bCs/>
                <w:color w:val="C0504D"/>
                <w:lang w:val="bg-BG"/>
              </w:rPr>
              <w:t>прегледайте</w:t>
            </w:r>
            <w:r w:rsidRPr="004C591A">
              <w:rPr>
                <w:color w:val="C0504D"/>
                <w:lang w:val="bg-BG"/>
              </w:rPr>
              <w:t xml:space="preserve"> обявлението за обществената поръчка и документацията за участие.</w:t>
            </w:r>
          </w:p>
          <w:p w:rsidR="002F66F4" w:rsidRPr="004C591A" w:rsidRDefault="002F66F4" w:rsidP="00071102">
            <w:pPr>
              <w:pStyle w:val="ListParagraph"/>
              <w:ind w:left="6"/>
              <w:jc w:val="both"/>
              <w:rPr>
                <w:b/>
                <w:lang w:val="bg-BG" w:eastAsia="fr-FR"/>
              </w:rPr>
            </w:pPr>
            <w:r w:rsidRPr="004C591A">
              <w:rPr>
                <w:color w:val="008000"/>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 ПРОВЕЖДАНЕ НА ПРОЦЕДУРАТА ЗА ОБЩЕСТВЕНА ПОРЪЧКА</w:t>
            </w: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 xml:space="preserve">ІІ.1 Искания за разяснения по документацията за участие  </w:t>
            </w:r>
          </w:p>
        </w:tc>
      </w:tr>
      <w:tr w:rsidR="00616A17" w:rsidRPr="004C591A" w:rsidTr="00521D9D">
        <w:trPr>
          <w:trHeight w:val="270"/>
        </w:trPr>
        <w:tc>
          <w:tcPr>
            <w:tcW w:w="828" w:type="dxa"/>
          </w:tcPr>
          <w:p w:rsidR="00616A17" w:rsidRPr="009A461F" w:rsidRDefault="009A461F" w:rsidP="00071102">
            <w:pPr>
              <w:pStyle w:val="BodyText"/>
              <w:widowControl w:val="0"/>
              <w:spacing w:before="240" w:after="60"/>
              <w:ind w:left="72"/>
              <w:jc w:val="both"/>
              <w:rPr>
                <w:b/>
                <w:lang w:val="bg-BG"/>
              </w:rPr>
            </w:pPr>
            <w:r>
              <w:rPr>
                <w:b/>
                <w:lang w:val="bg-BG"/>
              </w:rPr>
              <w:t>27</w:t>
            </w:r>
          </w:p>
        </w:tc>
        <w:tc>
          <w:tcPr>
            <w:tcW w:w="8100" w:type="dxa"/>
            <w:gridSpan w:val="2"/>
            <w:noWrap/>
          </w:tcPr>
          <w:p w:rsidR="00616A17" w:rsidRPr="0054517B" w:rsidRDefault="00616A17" w:rsidP="00616A17">
            <w:pPr>
              <w:jc w:val="both"/>
              <w:rPr>
                <w:b/>
                <w:lang w:val="bg-BG" w:eastAsia="fr-FR"/>
              </w:rPr>
            </w:pPr>
            <w:r w:rsidRPr="004C591A">
              <w:rPr>
                <w:b/>
                <w:lang w:val="bg-BG" w:eastAsia="fr-FR"/>
              </w:rPr>
              <w:t>Спазен ли е срокът за отговор на постъпилите искания за разяснение по документацията за участие ?</w:t>
            </w:r>
            <w:r w:rsidRPr="0054517B">
              <w:rPr>
                <w:b/>
                <w:lang w:val="bg-BG" w:eastAsia="fr-FR"/>
              </w:rPr>
              <w:t xml:space="preserve"> </w:t>
            </w:r>
          </w:p>
          <w:p w:rsidR="00616A17" w:rsidRPr="0054517B" w:rsidRDefault="00616A17" w:rsidP="00616A17">
            <w:pPr>
              <w:jc w:val="both"/>
              <w:rPr>
                <w:lang w:val="bg-BG" w:eastAsia="fr-FR"/>
              </w:rPr>
            </w:pPr>
            <w:r w:rsidRPr="0054517B">
              <w:rPr>
                <w:lang w:val="bg-BG" w:eastAsia="fr-FR"/>
              </w:rPr>
              <w:t>Възложителят е длъжен да даде отговор на заинтересованите лица в 3-дневен срок от постъпването на искането за разяснение.</w:t>
            </w:r>
          </w:p>
          <w:p w:rsidR="00616A17" w:rsidRPr="0054517B" w:rsidRDefault="00616A17" w:rsidP="00616A17">
            <w:pPr>
              <w:jc w:val="both"/>
              <w:rPr>
                <w:lang w:val="bg-BG" w:eastAsia="fr-FR"/>
              </w:rPr>
            </w:pPr>
            <w:r w:rsidRPr="0054517B">
              <w:rPr>
                <w:i/>
                <w:u w:val="single"/>
                <w:lang w:val="bg-BG" w:eastAsia="fr-FR"/>
              </w:rPr>
              <w:t>Забележка:</w:t>
            </w:r>
            <w:r w:rsidRPr="0054517B">
              <w:rPr>
                <w:lang w:val="bg-BG" w:eastAsia="fr-FR"/>
              </w:rPr>
              <w:t xml:space="preserve"> Срокът за отговор е 4-дневен от юли 2010 г.</w:t>
            </w:r>
          </w:p>
          <w:p w:rsidR="00616A17" w:rsidRPr="0054517B" w:rsidRDefault="00616A17" w:rsidP="00616A17">
            <w:pPr>
              <w:jc w:val="both"/>
              <w:rPr>
                <w:b/>
                <w:lang w:val="bg-BG" w:eastAsia="fr-FR"/>
              </w:rPr>
            </w:pPr>
            <w:r w:rsidRPr="0054517B">
              <w:rPr>
                <w:b/>
                <w:lang w:val="bg-BG" w:eastAsia="fr-FR"/>
              </w:rPr>
              <w:t>(чл. 10, ал. 1 от НВМОП)</w:t>
            </w:r>
          </w:p>
          <w:p w:rsidR="00616A17" w:rsidRPr="00722655" w:rsidRDefault="00616A17" w:rsidP="00616A17">
            <w:pPr>
              <w:jc w:val="both"/>
              <w:rPr>
                <w:color w:val="C0504D"/>
                <w:lang w:val="bg-BG" w:eastAsia="bg-BG"/>
              </w:rPr>
            </w:pPr>
            <w:r w:rsidRPr="00722655">
              <w:rPr>
                <w:b/>
                <w:color w:val="C0504D"/>
                <w:lang w:val="bg-BG" w:eastAsia="bg-BG"/>
              </w:rPr>
              <w:t xml:space="preserve">Насочващи източници на информация: </w:t>
            </w:r>
            <w:r w:rsidRPr="00722655">
              <w:rPr>
                <w:color w:val="C0504D"/>
                <w:lang w:val="bg-BG" w:eastAsia="bg-BG"/>
              </w:rPr>
              <w:t>прегледайте постъпилите искания за разяснения и дадените отговори.</w:t>
            </w:r>
          </w:p>
          <w:p w:rsidR="00616A17" w:rsidRPr="00223A61" w:rsidRDefault="00616A17" w:rsidP="00616A17">
            <w:pPr>
              <w:rPr>
                <w:b/>
                <w:color w:val="000080"/>
                <w:lang w:val="bg-BG" w:eastAsia="bg-BG"/>
              </w:rPr>
            </w:pPr>
            <w:r w:rsidRPr="00223A61">
              <w:rPr>
                <w:b/>
                <w:color w:val="000080"/>
                <w:lang w:val="bg-BG" w:eastAsia="bg-BG"/>
              </w:rPr>
              <w:t>т. 8 или 9 от  Насоките</w:t>
            </w:r>
          </w:p>
          <w:p w:rsidR="00616A17" w:rsidRPr="004C591A" w:rsidRDefault="00616A17" w:rsidP="00616A17">
            <w:pPr>
              <w:rPr>
                <w:color w:val="008000"/>
                <w:lang w:val="bg-BG" w:eastAsia="bg-BG"/>
              </w:rPr>
            </w:pPr>
            <w:r w:rsidRPr="004C591A">
              <w:rPr>
                <w:b/>
                <w:color w:val="548DD4"/>
                <w:lang w:val="bg-BG" w:eastAsia="bg-BG"/>
              </w:rPr>
              <w:t>използвайте таблица № 3</w:t>
            </w:r>
          </w:p>
          <w:p w:rsidR="00545E0E" w:rsidRPr="005A1CAE" w:rsidRDefault="00545E0E" w:rsidP="00545E0E">
            <w:pPr>
              <w:keepNext/>
              <w:keepLines/>
              <w:jc w:val="both"/>
              <w:outlineLvl w:val="1"/>
              <w:rPr>
                <w:color w:val="008000"/>
              </w:rPr>
            </w:pPr>
            <w:r w:rsidRPr="005A1CAE">
              <w:rPr>
                <w:color w:val="008000"/>
              </w:rPr>
              <w:t>За всяко постъпило искане поотделно анализирайте и документирайте в таблица по образец:</w:t>
            </w:r>
          </w:p>
          <w:p w:rsidR="00545E0E" w:rsidRPr="005A1CAE" w:rsidRDefault="00545E0E" w:rsidP="00545E0E">
            <w:pPr>
              <w:keepNext/>
              <w:keepLines/>
              <w:jc w:val="both"/>
              <w:outlineLvl w:val="1"/>
              <w:rPr>
                <w:color w:val="008000"/>
              </w:rPr>
            </w:pPr>
            <w:r w:rsidRPr="005A1CAE">
              <w:rPr>
                <w:color w:val="008000"/>
              </w:rPr>
              <w:t>- датата, на която е постъпило искането за разяснение, включително и наименованието на подателя;</w:t>
            </w:r>
          </w:p>
          <w:p w:rsidR="00616A17" w:rsidRPr="009A7F2D" w:rsidRDefault="00545E0E" w:rsidP="009A7F2D">
            <w:pPr>
              <w:jc w:val="both"/>
              <w:rPr>
                <w:color w:val="008000"/>
                <w:lang w:val="en-US"/>
              </w:rPr>
            </w:pPr>
            <w:r w:rsidRPr="005A1CAE">
              <w:rPr>
                <w:color w:val="008000"/>
              </w:rPr>
              <w:t>- датата, на която е изпратен отговора на поисканото разяснение, както и получателите.</w:t>
            </w:r>
          </w:p>
        </w:tc>
        <w:tc>
          <w:tcPr>
            <w:tcW w:w="700" w:type="dxa"/>
          </w:tcPr>
          <w:p w:rsidR="00616A17" w:rsidRPr="0054517B" w:rsidRDefault="00616A17" w:rsidP="00473FD8">
            <w:pPr>
              <w:jc w:val="center"/>
              <w:outlineLvl w:val="1"/>
              <w:rPr>
                <w:b/>
              </w:rPr>
            </w:pPr>
          </w:p>
        </w:tc>
        <w:tc>
          <w:tcPr>
            <w:tcW w:w="5240" w:type="dxa"/>
          </w:tcPr>
          <w:p w:rsidR="00616A17" w:rsidRPr="0054517B" w:rsidRDefault="00616A17" w:rsidP="00473FD8">
            <w:pPr>
              <w:jc w:val="center"/>
              <w:outlineLvl w:val="1"/>
              <w:rPr>
                <w:lang w:val="bg-BG"/>
              </w:rPr>
            </w:pPr>
          </w:p>
        </w:tc>
      </w:tr>
      <w:tr w:rsidR="002F66F4" w:rsidRPr="004C591A" w:rsidTr="00AF7445">
        <w:trPr>
          <w:trHeight w:val="270"/>
        </w:trPr>
        <w:tc>
          <w:tcPr>
            <w:tcW w:w="828" w:type="dxa"/>
          </w:tcPr>
          <w:p w:rsidR="002F66F4" w:rsidRPr="009A461F" w:rsidRDefault="009A461F" w:rsidP="00071102">
            <w:pPr>
              <w:pStyle w:val="BodyText"/>
              <w:widowControl w:val="0"/>
              <w:spacing w:before="240" w:after="60"/>
              <w:ind w:left="72"/>
              <w:jc w:val="both"/>
              <w:rPr>
                <w:b/>
                <w:lang w:val="bg-BG"/>
              </w:rPr>
            </w:pPr>
            <w:r>
              <w:rPr>
                <w:b/>
                <w:lang w:val="bg-BG"/>
              </w:rPr>
              <w:t>28</w:t>
            </w:r>
          </w:p>
        </w:tc>
        <w:tc>
          <w:tcPr>
            <w:tcW w:w="8100" w:type="dxa"/>
            <w:gridSpan w:val="2"/>
            <w:noWrap/>
          </w:tcPr>
          <w:p w:rsidR="002F66F4" w:rsidRPr="0054517B" w:rsidRDefault="00616A17" w:rsidP="00622E1A">
            <w:pPr>
              <w:jc w:val="both"/>
              <w:rPr>
                <w:b/>
                <w:lang w:val="bg-BG" w:eastAsia="fr-FR"/>
              </w:rPr>
            </w:pPr>
            <w:r w:rsidRPr="004C591A">
              <w:rPr>
                <w:b/>
                <w:lang w:val="bg-BG" w:eastAsia="fr-FR"/>
              </w:rPr>
              <w:t>Даденото разяснение променя ли съдържанието на изискванията, съдържащи се в документацията за участие</w:t>
            </w:r>
            <w:r w:rsidR="002F66F4" w:rsidRPr="004C591A">
              <w:rPr>
                <w:b/>
                <w:lang w:val="bg-BG" w:eastAsia="fr-FR"/>
              </w:rPr>
              <w:t>?</w:t>
            </w:r>
          </w:p>
          <w:p w:rsidR="002F66F4" w:rsidRPr="0054517B" w:rsidRDefault="002F66F4" w:rsidP="00622E1A">
            <w:pPr>
              <w:jc w:val="both"/>
              <w:rPr>
                <w:lang w:val="bg-BG" w:eastAsia="fr-FR"/>
              </w:rPr>
            </w:pPr>
            <w:r w:rsidRPr="0054517B">
              <w:rPr>
                <w:lang w:val="bg-BG" w:eastAsia="fr-FR"/>
              </w:rPr>
              <w:lastRenderedPageBreak/>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2F66F4" w:rsidRPr="0054517B" w:rsidRDefault="002F66F4" w:rsidP="00622E1A">
            <w:pPr>
              <w:jc w:val="both"/>
              <w:rPr>
                <w:b/>
                <w:lang w:val="bg-BG" w:eastAsia="fr-FR"/>
              </w:rPr>
            </w:pPr>
            <w:r w:rsidRPr="0054517B">
              <w:rPr>
                <w:b/>
                <w:lang w:val="bg-BG" w:eastAsia="fr-FR"/>
              </w:rPr>
              <w:t xml:space="preserve">(чл. 10, ал. 1 от НВМОП) </w:t>
            </w:r>
          </w:p>
          <w:p w:rsidR="002F66F4" w:rsidRPr="0054517B" w:rsidRDefault="002F66F4" w:rsidP="00622E1A">
            <w:pPr>
              <w:jc w:val="both"/>
              <w:outlineLvl w:val="1"/>
              <w:rPr>
                <w:color w:val="C0504D"/>
                <w:lang w:val="bg-BG"/>
              </w:rPr>
            </w:pPr>
            <w:r w:rsidRPr="0054517B">
              <w:rPr>
                <w:b/>
                <w:color w:val="C0504D"/>
                <w:lang w:val="bg-BG"/>
              </w:rPr>
              <w:t xml:space="preserve">Насочващи източници на информация: </w:t>
            </w:r>
            <w:r w:rsidRPr="0054517B">
              <w:rPr>
                <w:color w:val="C0504D"/>
                <w:lang w:val="bg-BG"/>
              </w:rPr>
              <w:t>прегледайте изпратените до участниците отговори, както и документацията за участие, включително обявлението за МОП.</w:t>
            </w:r>
          </w:p>
          <w:p w:rsidR="002F66F4" w:rsidRPr="00722655" w:rsidRDefault="002F66F4" w:rsidP="00622E1A">
            <w:pPr>
              <w:jc w:val="both"/>
              <w:rPr>
                <w:b/>
                <w:lang w:val="bg-BG" w:eastAsia="fr-FR"/>
              </w:rPr>
            </w:pPr>
            <w:r w:rsidRPr="0054517B">
              <w:rPr>
                <w:b/>
                <w:color w:val="333399"/>
                <w:lang w:val="bg-BG"/>
              </w:rPr>
              <w:t xml:space="preserve">т. </w:t>
            </w:r>
            <w:r w:rsidR="00616A17" w:rsidRPr="0054517B">
              <w:rPr>
                <w:b/>
                <w:color w:val="333399"/>
                <w:lang w:val="bg-BG"/>
              </w:rPr>
              <w:t xml:space="preserve">8 или 9 </w:t>
            </w:r>
            <w:r w:rsidRPr="00722655">
              <w:rPr>
                <w:b/>
                <w:color w:val="333399"/>
                <w:lang w:val="bg-BG"/>
              </w:rPr>
              <w:t xml:space="preserve">от Насоките </w:t>
            </w:r>
          </w:p>
          <w:p w:rsidR="00545E0E" w:rsidRDefault="002F66F4" w:rsidP="00622E1A">
            <w:pPr>
              <w:jc w:val="both"/>
              <w:rPr>
                <w:color w:val="008000"/>
                <w:lang w:val="bg-BG"/>
              </w:rPr>
            </w:pPr>
            <w:r w:rsidRPr="00223A61">
              <w:rPr>
                <w:color w:val="008000"/>
                <w:lang w:val="bg-BG"/>
              </w:rPr>
              <w:t>Анализирайте дали дадените отговори на практика изменят изисквания, съдържащи се в документацията за участие.</w:t>
            </w:r>
          </w:p>
          <w:p w:rsidR="002F66F4" w:rsidRPr="0054517B" w:rsidRDefault="00545E0E" w:rsidP="00622E1A">
            <w:pPr>
              <w:jc w:val="both"/>
              <w:rPr>
                <w:b/>
                <w:lang w:val="bg-BG" w:eastAsia="fr-FR"/>
              </w:rPr>
            </w:pPr>
            <w:r w:rsidRPr="00583DE5">
              <w:rPr>
                <w:color w:val="00800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 2 Получаване и регистриране на офертите</w:t>
            </w:r>
          </w:p>
        </w:tc>
      </w:tr>
      <w:tr w:rsidR="002F66F4" w:rsidRPr="004C591A" w:rsidTr="00AF7445">
        <w:trPr>
          <w:trHeight w:val="270"/>
        </w:trPr>
        <w:tc>
          <w:tcPr>
            <w:tcW w:w="828" w:type="dxa"/>
          </w:tcPr>
          <w:p w:rsidR="002F66F4" w:rsidRPr="009A461F" w:rsidRDefault="009A461F" w:rsidP="00071102">
            <w:pPr>
              <w:pStyle w:val="BodyText"/>
              <w:widowControl w:val="0"/>
              <w:spacing w:before="240" w:after="60"/>
              <w:ind w:left="72"/>
              <w:jc w:val="both"/>
              <w:rPr>
                <w:b/>
                <w:lang w:val="bg-BG"/>
              </w:rPr>
            </w:pPr>
            <w:r>
              <w:rPr>
                <w:b/>
                <w:lang w:val="bg-BG"/>
              </w:rPr>
              <w:t>29</w:t>
            </w:r>
          </w:p>
        </w:tc>
        <w:tc>
          <w:tcPr>
            <w:tcW w:w="8100" w:type="dxa"/>
            <w:gridSpan w:val="2"/>
            <w:noWrap/>
          </w:tcPr>
          <w:p w:rsidR="002F66F4" w:rsidRPr="0054517B" w:rsidRDefault="00F72DA5" w:rsidP="00E3281D">
            <w:pPr>
              <w:jc w:val="both"/>
              <w:rPr>
                <w:b/>
                <w:lang w:val="bg-BG" w:eastAsia="fr-FR"/>
              </w:rPr>
            </w:pPr>
            <w:r w:rsidRPr="004C591A">
              <w:rPr>
                <w:b/>
                <w:lang w:val="bg-BG" w:eastAsia="fr-FR"/>
              </w:rPr>
              <w:t>Регистрирани ли са всички разгледани и оценени оферти?</w:t>
            </w:r>
          </w:p>
          <w:p w:rsidR="002F66F4" w:rsidRPr="0054517B" w:rsidRDefault="002F66F4" w:rsidP="00E3281D">
            <w:pPr>
              <w:jc w:val="both"/>
              <w:rPr>
                <w:b/>
                <w:lang w:val="bg-BG" w:eastAsia="fr-FR"/>
              </w:rPr>
            </w:pPr>
            <w:r w:rsidRPr="0054517B">
              <w:rPr>
                <w:lang w:val="bg-BG" w:eastAsia="fr-FR"/>
              </w:rPr>
              <w:t>Всички получени оферти трябва да са регистрирани в деловодната система и/или регистър на получените оферти.</w:t>
            </w:r>
            <w:r w:rsidRPr="004C591A">
              <w:rPr>
                <w:lang w:val="bg-BG" w:eastAsia="fr-FR"/>
              </w:rPr>
              <w:t xml:space="preserve"> </w:t>
            </w:r>
          </w:p>
          <w:p w:rsidR="002F66F4" w:rsidRPr="0054517B" w:rsidRDefault="002F66F4" w:rsidP="00AE4EE4">
            <w:pPr>
              <w:jc w:val="both"/>
              <w:rPr>
                <w:lang w:val="bg-BG" w:eastAsia="fr-FR"/>
              </w:rPr>
            </w:pPr>
            <w:r w:rsidRPr="0054517B">
              <w:rPr>
                <w:b/>
                <w:lang w:val="bg-BG" w:eastAsia="fr-FR"/>
              </w:rPr>
              <w:t>(чл. 14, aл. 3 от НВМОП)</w:t>
            </w:r>
            <w:r w:rsidRPr="0054517B">
              <w:rPr>
                <w:lang w:val="bg-BG" w:eastAsia="fr-FR"/>
              </w:rPr>
              <w:t xml:space="preserve"> </w:t>
            </w:r>
          </w:p>
          <w:p w:rsidR="002F66F4" w:rsidRPr="0054517B" w:rsidRDefault="002F66F4" w:rsidP="00E3281D">
            <w:pPr>
              <w:jc w:val="both"/>
              <w:rPr>
                <w:color w:val="C0504D"/>
                <w:lang w:val="bg-BG"/>
              </w:rPr>
            </w:pPr>
            <w:r w:rsidRPr="0054517B">
              <w:rPr>
                <w:b/>
                <w:color w:val="C0504D"/>
                <w:lang w:val="bg-BG"/>
              </w:rPr>
              <w:t xml:space="preserve">Насочващи източници на информация: </w:t>
            </w:r>
            <w:r w:rsidRPr="0054517B">
              <w:rPr>
                <w:color w:val="C0504D"/>
                <w:lang w:val="bg-BG"/>
              </w:rPr>
              <w:t>извлечение от деловодната система и/ или регистър на получените оферти, други документи.</w:t>
            </w:r>
          </w:p>
          <w:p w:rsidR="002F66F4" w:rsidRPr="00722655" w:rsidRDefault="002F66F4" w:rsidP="00F8672C">
            <w:pPr>
              <w:jc w:val="both"/>
              <w:rPr>
                <w:lang w:val="bg-BG" w:eastAsia="fr-FR"/>
              </w:rPr>
            </w:pPr>
            <w:r w:rsidRPr="00722655">
              <w:rPr>
                <w:b/>
                <w:color w:val="333399"/>
                <w:lang w:val="bg-BG"/>
              </w:rPr>
              <w:t xml:space="preserve">т. </w:t>
            </w:r>
            <w:r w:rsidR="00F8672C" w:rsidRPr="00722655">
              <w:rPr>
                <w:b/>
                <w:color w:val="333399"/>
                <w:lang w:val="bg-BG"/>
              </w:rPr>
              <w:t xml:space="preserve">16 </w:t>
            </w:r>
            <w:r w:rsidRPr="00722655">
              <w:rPr>
                <w:b/>
                <w:color w:val="333399"/>
                <w:lang w:val="bg-BG"/>
              </w:rPr>
              <w:t xml:space="preserve">от Насоките </w:t>
            </w:r>
          </w:p>
        </w:tc>
        <w:tc>
          <w:tcPr>
            <w:tcW w:w="700" w:type="dxa"/>
          </w:tcPr>
          <w:p w:rsidR="002F66F4" w:rsidRPr="00223A61"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 xml:space="preserve">ІІ.3 Назначаване на комисия за провеждане на процедурата  </w:t>
            </w:r>
          </w:p>
        </w:tc>
      </w:tr>
      <w:tr w:rsidR="002F66F4" w:rsidRPr="004C591A" w:rsidTr="00AF7445">
        <w:trPr>
          <w:trHeight w:val="270"/>
        </w:trPr>
        <w:tc>
          <w:tcPr>
            <w:tcW w:w="828" w:type="dxa"/>
          </w:tcPr>
          <w:p w:rsidR="002F66F4" w:rsidRPr="009A461F" w:rsidRDefault="009A461F" w:rsidP="00071102">
            <w:pPr>
              <w:pStyle w:val="BodyText"/>
              <w:widowControl w:val="0"/>
              <w:spacing w:before="240" w:after="60"/>
              <w:jc w:val="both"/>
              <w:rPr>
                <w:b/>
                <w:lang w:val="bg-BG"/>
              </w:rPr>
            </w:pPr>
            <w:r>
              <w:rPr>
                <w:b/>
                <w:lang w:val="bg-BG"/>
              </w:rPr>
              <w:t>30</w:t>
            </w:r>
          </w:p>
        </w:tc>
        <w:tc>
          <w:tcPr>
            <w:tcW w:w="8100" w:type="dxa"/>
            <w:gridSpan w:val="2"/>
            <w:noWrap/>
          </w:tcPr>
          <w:p w:rsidR="002F66F4" w:rsidRPr="0054517B" w:rsidRDefault="00F8672C" w:rsidP="00607EDB">
            <w:pPr>
              <w:ind w:right="110"/>
              <w:jc w:val="both"/>
              <w:outlineLvl w:val="1"/>
              <w:rPr>
                <w:b/>
                <w:lang w:val="bg-BG" w:eastAsia="fr-FR"/>
              </w:rPr>
            </w:pPr>
            <w:r w:rsidRPr="004C591A">
              <w:rPr>
                <w:b/>
                <w:lang w:val="bg-BG" w:eastAsia="fr-FR"/>
              </w:rPr>
              <w:t>Декларирана ли е липсата на обстоятелствата</w:t>
            </w:r>
            <w:r w:rsidR="00F72DA5" w:rsidRPr="004C591A">
              <w:rPr>
                <w:b/>
                <w:lang w:val="bg-BG" w:eastAsia="fr-FR"/>
              </w:rPr>
              <w:t xml:space="preserve"> по чл. 19, ал. </w:t>
            </w:r>
            <w:r w:rsidRPr="004C591A">
              <w:rPr>
                <w:b/>
                <w:lang w:val="bg-BG" w:eastAsia="fr-FR"/>
              </w:rPr>
              <w:t xml:space="preserve">1 и ал. 2 </w:t>
            </w:r>
            <w:r w:rsidR="00F72DA5" w:rsidRPr="004C591A">
              <w:rPr>
                <w:b/>
                <w:lang w:val="bg-BG" w:eastAsia="fr-FR"/>
              </w:rPr>
              <w:t xml:space="preserve">от </w:t>
            </w:r>
            <w:r w:rsidR="00D824D3" w:rsidRPr="004C591A">
              <w:rPr>
                <w:b/>
                <w:lang w:val="bg-BG" w:eastAsia="fr-FR"/>
              </w:rPr>
              <w:t>НВМОП</w:t>
            </w:r>
            <w:r w:rsidR="00F72DA5" w:rsidRPr="004C591A">
              <w:rPr>
                <w:b/>
                <w:lang w:val="bg-BG" w:eastAsia="fr-FR"/>
              </w:rPr>
              <w:t xml:space="preserve"> от всички членове на комисията за провеждане на процедурата и консултантите, ако има такива, след получаване списъка с постъпилите оферти?</w:t>
            </w:r>
          </w:p>
          <w:p w:rsidR="002F66F4" w:rsidRPr="0054517B" w:rsidRDefault="002F66F4" w:rsidP="00607EDB">
            <w:pPr>
              <w:ind w:right="110"/>
              <w:jc w:val="both"/>
              <w:outlineLvl w:val="1"/>
              <w:rPr>
                <w:lang w:val="bg-BG" w:eastAsia="fr-FR"/>
              </w:rPr>
            </w:pPr>
            <w:r w:rsidRPr="0054517B">
              <w:rPr>
                <w:lang w:val="bg-B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19, ал. 1 и ал. 2 от НВМОП </w:t>
            </w:r>
            <w:r w:rsidRPr="0054517B">
              <w:rPr>
                <w:b/>
                <w:lang w:val="bg-BG" w:eastAsia="fr-FR"/>
              </w:rPr>
              <w:t>след получаване списъка на постъпилите оферти.</w:t>
            </w:r>
          </w:p>
          <w:p w:rsidR="002F66F4" w:rsidRPr="0054517B" w:rsidRDefault="002F66F4" w:rsidP="00607EDB">
            <w:pPr>
              <w:ind w:right="110"/>
              <w:jc w:val="both"/>
              <w:outlineLvl w:val="1"/>
              <w:rPr>
                <w:b/>
                <w:lang w:val="bg-BG" w:eastAsia="fr-FR"/>
              </w:rPr>
            </w:pPr>
            <w:r w:rsidRPr="0054517B">
              <w:rPr>
                <w:b/>
                <w:lang w:val="bg-BG" w:eastAsia="fr-FR"/>
              </w:rPr>
              <w:t xml:space="preserve">(чл. 19, ал. 3 от НВМОП)  </w:t>
            </w:r>
          </w:p>
          <w:p w:rsidR="002F66F4" w:rsidRPr="0054517B" w:rsidRDefault="002F66F4" w:rsidP="00607EDB">
            <w:pPr>
              <w:jc w:val="both"/>
              <w:outlineLvl w:val="1"/>
              <w:rPr>
                <w:b/>
                <w:color w:val="000080"/>
                <w:lang w:val="bg-BG"/>
              </w:rPr>
            </w:pPr>
            <w:r w:rsidRPr="0054517B">
              <w:rPr>
                <w:b/>
                <w:color w:val="000080"/>
                <w:lang w:val="bg-BG"/>
              </w:rPr>
              <w:t xml:space="preserve">т. </w:t>
            </w:r>
            <w:r w:rsidR="00F8672C" w:rsidRPr="0054517B">
              <w:rPr>
                <w:b/>
                <w:color w:val="000080"/>
                <w:lang w:val="bg-BG"/>
              </w:rPr>
              <w:t xml:space="preserve">21 </w:t>
            </w:r>
            <w:r w:rsidRPr="0054517B">
              <w:rPr>
                <w:b/>
                <w:color w:val="000080"/>
                <w:lang w:val="bg-BG"/>
              </w:rPr>
              <w:t>от  Насоките</w:t>
            </w:r>
          </w:p>
          <w:p w:rsidR="002F66F4" w:rsidRPr="00223A61" w:rsidRDefault="002F66F4" w:rsidP="00607EDB">
            <w:pPr>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подадените декларации протокола за работата на комисията.</w:t>
            </w:r>
          </w:p>
          <w:p w:rsidR="002F66F4" w:rsidRDefault="002F66F4" w:rsidP="00607EDB">
            <w:pPr>
              <w:ind w:right="110"/>
              <w:jc w:val="both"/>
              <w:outlineLvl w:val="1"/>
              <w:rPr>
                <w:color w:val="008000"/>
                <w:lang w:val="bg-BG"/>
              </w:rPr>
            </w:pPr>
            <w:r w:rsidRPr="004C591A">
              <w:rPr>
                <w:color w:val="008000"/>
              </w:rPr>
              <w:t xml:space="preserve">Анализирайте броя на членовете на комисията и нейните консултанти, датата на получаване на списъка с постъпилите оферти, броя на подадените декларации, датата на </w:t>
            </w:r>
            <w:r w:rsidRPr="004C591A">
              <w:rPr>
                <w:color w:val="008000"/>
              </w:rPr>
              <w:lastRenderedPageBreak/>
              <w:t>подаване на декларациите, съдържанието на декларациите.</w:t>
            </w:r>
          </w:p>
          <w:p w:rsidR="00545E0E" w:rsidRPr="00545E0E" w:rsidRDefault="00545E0E" w:rsidP="00607EDB">
            <w:pPr>
              <w:ind w:right="110"/>
              <w:jc w:val="both"/>
              <w:outlineLvl w:val="1"/>
              <w:rPr>
                <w:lang w:val="bg-BG" w:eastAsia="fr-FR"/>
              </w:rPr>
            </w:pPr>
            <w:r>
              <w:rPr>
                <w:color w:val="00800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ІІ.4 Работа на комисията за провеждане на процедурата</w:t>
            </w: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31</w:t>
            </w:r>
          </w:p>
        </w:tc>
        <w:tc>
          <w:tcPr>
            <w:tcW w:w="8100" w:type="dxa"/>
            <w:gridSpan w:val="2"/>
            <w:noWrap/>
          </w:tcPr>
          <w:p w:rsidR="002F66F4" w:rsidRPr="0054517B" w:rsidRDefault="00D824D3" w:rsidP="00071102">
            <w:pPr>
              <w:jc w:val="both"/>
              <w:rPr>
                <w:b/>
                <w:lang w:val="bg-BG" w:eastAsia="fr-FR"/>
              </w:rPr>
            </w:pPr>
            <w:r w:rsidRPr="004C591A">
              <w:rPr>
                <w:b/>
                <w:lang w:val="bg-BG" w:eastAsia="fr-FR"/>
              </w:rPr>
              <w:t>Публичните заседания на комисията (за отваряне на офертите и за отваряне на ценовите предложения) проведени ли са законосъобразно?</w:t>
            </w:r>
            <w:r w:rsidR="002F66F4" w:rsidRPr="0054517B">
              <w:rPr>
                <w:b/>
                <w:lang w:val="bg-BG" w:eastAsia="fr-FR"/>
              </w:rPr>
              <w:t xml:space="preserve"> </w:t>
            </w:r>
          </w:p>
          <w:p w:rsidR="002F66F4" w:rsidRPr="0054517B" w:rsidRDefault="002F66F4">
            <w:pPr>
              <w:jc w:val="both"/>
              <w:rPr>
                <w:lang w:val="bg-BG" w:eastAsia="fr-FR"/>
              </w:rPr>
            </w:pPr>
            <w:r w:rsidRPr="0054517B">
              <w:rPr>
                <w:b/>
                <w:lang w:val="bg-BG" w:eastAsia="fr-FR"/>
              </w:rPr>
              <w:t>(чл. 38 от НВМОП)</w:t>
            </w:r>
            <w:r w:rsidRPr="0054517B">
              <w:rPr>
                <w:lang w:val="bg-BG" w:eastAsia="fr-FR"/>
              </w:rPr>
              <w:t xml:space="preserve"> </w:t>
            </w:r>
          </w:p>
          <w:p w:rsidR="002F66F4" w:rsidRPr="0054517B" w:rsidRDefault="002F66F4" w:rsidP="00F33F9A">
            <w:pPr>
              <w:jc w:val="both"/>
              <w:outlineLvl w:val="1"/>
              <w:rPr>
                <w:b/>
                <w:color w:val="000080"/>
                <w:lang w:val="bg-BG"/>
              </w:rPr>
            </w:pPr>
            <w:r w:rsidRPr="0054517B">
              <w:rPr>
                <w:b/>
                <w:color w:val="000080"/>
                <w:lang w:val="bg-BG"/>
              </w:rPr>
              <w:t xml:space="preserve">т. </w:t>
            </w:r>
            <w:r w:rsidR="00F8672C" w:rsidRPr="0054517B">
              <w:rPr>
                <w:b/>
                <w:color w:val="000080"/>
                <w:lang w:val="bg-BG"/>
              </w:rPr>
              <w:t xml:space="preserve">16 </w:t>
            </w:r>
            <w:r w:rsidRPr="0054517B">
              <w:rPr>
                <w:b/>
                <w:color w:val="000080"/>
                <w:lang w:val="bg-BG"/>
              </w:rPr>
              <w:t xml:space="preserve">от  Насоките </w:t>
            </w:r>
          </w:p>
          <w:p w:rsidR="002F66F4" w:rsidRPr="00223A61" w:rsidRDefault="002F66F4" w:rsidP="00F33F9A">
            <w:pPr>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протокола за работата на комисията и обявлението за МОП в частта за срока и мястото на отваряне на офертите.</w:t>
            </w:r>
          </w:p>
          <w:p w:rsidR="002F66F4" w:rsidRPr="004C591A" w:rsidRDefault="002F66F4" w:rsidP="00F33F9A">
            <w:pPr>
              <w:ind w:right="110"/>
              <w:jc w:val="both"/>
              <w:outlineLvl w:val="1"/>
              <w:rPr>
                <w:color w:val="008000"/>
                <w:lang w:val="bg-BG"/>
              </w:rPr>
            </w:pPr>
            <w:r w:rsidRPr="004C591A">
              <w:rPr>
                <w:color w:val="008000"/>
                <w:lang w:val="bg-BG"/>
              </w:rPr>
              <w:t xml:space="preserve">Анализирайте дали датата и мястото на публичното заседание съгласно обявлението за ОП съвпадат с датата и мястото на проведеното публично заседание. </w:t>
            </w:r>
          </w:p>
          <w:p w:rsidR="002F66F4" w:rsidRPr="004C591A" w:rsidRDefault="002F66F4" w:rsidP="00071102">
            <w:pPr>
              <w:ind w:right="110"/>
              <w:jc w:val="both"/>
              <w:outlineLvl w:val="1"/>
              <w:rPr>
                <w:b/>
                <w:lang w:val="bg-BG" w:eastAsia="fr-FR"/>
              </w:rPr>
            </w:pPr>
            <w:r w:rsidRPr="004C591A">
              <w:rPr>
                <w:color w:val="008000"/>
                <w:lang w:val="bg-BG"/>
              </w:rPr>
              <w:t>Анализирайте дали е проведено публично заседание за</w:t>
            </w:r>
            <w:r w:rsidRPr="004C591A">
              <w:rPr>
                <w:b/>
                <w:color w:val="008000"/>
                <w:lang w:val="bg-BG" w:eastAsia="fr-FR"/>
              </w:rPr>
              <w:t xml:space="preserve"> </w:t>
            </w:r>
            <w:r w:rsidRPr="004C591A">
              <w:rPr>
                <w:color w:val="008000"/>
                <w:lang w:val="bg-BG" w:eastAsia="fr-FR"/>
              </w:rPr>
              <w:t>отваряне на ценовите предложения</w:t>
            </w:r>
            <w:r w:rsidRPr="004C591A">
              <w:rPr>
                <w:color w:val="008000"/>
                <w:lang w:val="bg-BG"/>
              </w:rPr>
              <w:t xml:space="preserve"> и дали участниците са уведомени в подходящ срок за това.</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32</w:t>
            </w:r>
          </w:p>
        </w:tc>
        <w:tc>
          <w:tcPr>
            <w:tcW w:w="8100" w:type="dxa"/>
            <w:gridSpan w:val="2"/>
            <w:noWrap/>
          </w:tcPr>
          <w:p w:rsidR="002F66F4" w:rsidRPr="004C591A" w:rsidRDefault="002F66F4" w:rsidP="00391BEE">
            <w:pPr>
              <w:jc w:val="both"/>
              <w:rPr>
                <w:b/>
                <w:u w:val="single"/>
                <w:lang w:val="bg-BG" w:eastAsia="fr-FR"/>
              </w:rPr>
            </w:pPr>
            <w:r w:rsidRPr="004C591A">
              <w:rPr>
                <w:b/>
                <w:u w:val="single"/>
                <w:lang w:val="bg-BG" w:eastAsia="fr-FR"/>
              </w:rPr>
              <w:t>За процедури, открити след ноември 2010 г.:</w:t>
            </w:r>
          </w:p>
          <w:p w:rsidR="002F66F4" w:rsidRPr="0054517B" w:rsidRDefault="00D824D3" w:rsidP="00391BEE">
            <w:pPr>
              <w:jc w:val="both"/>
              <w:rPr>
                <w:b/>
                <w:lang w:val="bg-BG" w:eastAsia="fr-FR"/>
              </w:rPr>
            </w:pPr>
            <w:r w:rsidRPr="004C591A">
              <w:rPr>
                <w:b/>
                <w:lang w:val="bg-BG" w:eastAsia="fr-FR"/>
              </w:rPr>
              <w:t xml:space="preserve">Изпратен ли е на всички участници в процедурата протокола по чл. 38, ал. 7 от </w:t>
            </w:r>
            <w:r w:rsidR="002F66F4" w:rsidRPr="004C591A">
              <w:rPr>
                <w:b/>
                <w:lang w:val="bg-BG" w:eastAsia="fr-FR"/>
              </w:rPr>
              <w:t xml:space="preserve">НВМОП, ДВ, </w:t>
            </w:r>
            <w:r w:rsidR="00F8672C" w:rsidRPr="004C591A">
              <w:rPr>
                <w:b/>
                <w:lang w:val="bg-BG" w:eastAsia="fr-FR"/>
              </w:rPr>
              <w:t>бр</w:t>
            </w:r>
            <w:r w:rsidR="002F66F4" w:rsidRPr="004C591A">
              <w:rPr>
                <w:b/>
                <w:lang w:val="bg-BG" w:eastAsia="fr-FR"/>
              </w:rPr>
              <w:t xml:space="preserve">. 86/2010 </w:t>
            </w:r>
            <w:r w:rsidRPr="004C591A">
              <w:rPr>
                <w:b/>
                <w:lang w:val="bg-BG" w:eastAsia="fr-FR"/>
              </w:rPr>
              <w:t>г.?</w:t>
            </w:r>
          </w:p>
          <w:p w:rsidR="002F66F4" w:rsidRPr="0054517B" w:rsidRDefault="00D824D3" w:rsidP="00391BEE">
            <w:pPr>
              <w:jc w:val="both"/>
              <w:rPr>
                <w:b/>
                <w:lang w:val="bg-BG" w:eastAsia="fr-FR"/>
              </w:rPr>
            </w:pPr>
            <w:r w:rsidRPr="0054517B">
              <w:rPr>
                <w:b/>
                <w:lang w:val="bg-BG" w:eastAsia="fr-FR"/>
              </w:rPr>
              <w:t>Срокът за представяне на документите еднакъв ли е за всички участници?</w:t>
            </w:r>
          </w:p>
          <w:p w:rsidR="002F66F4" w:rsidRPr="0054517B" w:rsidRDefault="002F66F4" w:rsidP="00391BEE">
            <w:pPr>
              <w:jc w:val="both"/>
              <w:rPr>
                <w:b/>
                <w:lang w:val="bg-BG" w:eastAsia="fr-FR"/>
              </w:rPr>
            </w:pPr>
            <w:r w:rsidRPr="0054517B">
              <w:rPr>
                <w:b/>
                <w:lang w:val="bg-BG" w:eastAsia="fr-FR"/>
              </w:rPr>
              <w:t>(чл. 38, ал. 7 и ал. 8 от ЗОП, ДВ, бр. 86/2010 г.)</w:t>
            </w:r>
          </w:p>
          <w:p w:rsidR="002F66F4" w:rsidRPr="00722655" w:rsidRDefault="002F66F4" w:rsidP="00391BEE">
            <w:pPr>
              <w:jc w:val="both"/>
              <w:rPr>
                <w:b/>
                <w:color w:val="000080"/>
                <w:lang w:val="bg-BG"/>
              </w:rPr>
            </w:pPr>
            <w:r w:rsidRPr="00722655">
              <w:rPr>
                <w:b/>
                <w:color w:val="000080"/>
                <w:lang w:val="bg-BG"/>
              </w:rPr>
              <w:t xml:space="preserve">т. </w:t>
            </w:r>
            <w:r w:rsidR="00F8672C" w:rsidRPr="00722655">
              <w:rPr>
                <w:b/>
                <w:color w:val="000080"/>
                <w:lang w:val="bg-BG"/>
              </w:rPr>
              <w:t xml:space="preserve">16 </w:t>
            </w:r>
            <w:r w:rsidRPr="00722655">
              <w:rPr>
                <w:b/>
                <w:color w:val="000080"/>
                <w:lang w:val="bg-BG"/>
              </w:rPr>
              <w:t>от  Насоките</w:t>
            </w:r>
          </w:p>
          <w:p w:rsidR="002F66F4" w:rsidRPr="004C591A" w:rsidRDefault="002F66F4" w:rsidP="00391BEE">
            <w:pPr>
              <w:jc w:val="both"/>
              <w:rPr>
                <w:b/>
                <w:color w:val="000080"/>
                <w:lang w:val="bg-BG"/>
              </w:rPr>
            </w:pPr>
            <w:r w:rsidRPr="00223A61">
              <w:rPr>
                <w:b/>
                <w:bCs/>
                <w:color w:val="C0504D"/>
                <w:lang w:val="bg-BG"/>
              </w:rPr>
              <w:t xml:space="preserve">Насочващи източници на информация: </w:t>
            </w:r>
            <w:r w:rsidRPr="004C591A">
              <w:rPr>
                <w:bCs/>
                <w:color w:val="C0504D"/>
                <w:lang w:val="bg-BG"/>
              </w:rPr>
              <w:t>прегледайте писмата, с които е изпратен протокола по чл. 38, ал. 7 от НВМОП, както и други документи, свързани с установяването на подлежащите на проверка факти, ако е необходимо.</w:t>
            </w:r>
          </w:p>
          <w:p w:rsidR="002F66F4" w:rsidRPr="004C591A" w:rsidRDefault="002F66F4" w:rsidP="00391BEE">
            <w:pPr>
              <w:jc w:val="both"/>
              <w:rPr>
                <w:color w:val="008000"/>
                <w:lang w:val="bg-BG"/>
              </w:rPr>
            </w:pPr>
            <w:r w:rsidRPr="004C591A">
              <w:rPr>
                <w:color w:val="008000"/>
                <w:lang w:val="bg-BG"/>
              </w:rPr>
              <w:t>Анализирайте:</w:t>
            </w:r>
          </w:p>
          <w:p w:rsidR="002F66F4" w:rsidRPr="004C591A" w:rsidRDefault="002F66F4" w:rsidP="00391BEE">
            <w:pPr>
              <w:jc w:val="both"/>
              <w:rPr>
                <w:color w:val="008000"/>
                <w:lang w:val="bg-BG"/>
              </w:rPr>
            </w:pPr>
            <w:r w:rsidRPr="004C591A">
              <w:rPr>
                <w:color w:val="008000"/>
                <w:lang w:val="bg-BG"/>
              </w:rPr>
              <w:t>- датата и адресата на писмата, с които е изпратен протокола;</w:t>
            </w:r>
          </w:p>
          <w:p w:rsidR="002F66F4" w:rsidRPr="004C591A" w:rsidRDefault="002F66F4" w:rsidP="00391BEE">
            <w:pPr>
              <w:jc w:val="both"/>
              <w:rPr>
                <w:color w:val="008000"/>
                <w:lang w:val="bg-BG"/>
              </w:rPr>
            </w:pPr>
            <w:r w:rsidRPr="004C591A">
              <w:rPr>
                <w:color w:val="008000"/>
                <w:lang w:val="bg-BG"/>
              </w:rPr>
              <w:t>- определения срок за представяне на документите;</w:t>
            </w:r>
          </w:p>
          <w:p w:rsidR="002F66F4" w:rsidRPr="004C591A" w:rsidRDefault="002F66F4" w:rsidP="00391BEE">
            <w:pPr>
              <w:jc w:val="both"/>
              <w:rPr>
                <w:b/>
                <w:lang w:val="bg-BG" w:eastAsia="fr-FR"/>
              </w:rPr>
            </w:pPr>
            <w:r w:rsidRPr="004C591A">
              <w:rPr>
                <w:color w:val="008000"/>
                <w:lang w:val="bg-BG"/>
              </w:rPr>
              <w:t>- дали срокът е еднакъв за всички участници.</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33</w:t>
            </w:r>
          </w:p>
        </w:tc>
        <w:tc>
          <w:tcPr>
            <w:tcW w:w="8100" w:type="dxa"/>
            <w:gridSpan w:val="2"/>
            <w:noWrap/>
          </w:tcPr>
          <w:p w:rsidR="002F66F4" w:rsidRPr="004C591A" w:rsidRDefault="002F66F4" w:rsidP="00E71DE8">
            <w:pPr>
              <w:jc w:val="both"/>
              <w:rPr>
                <w:b/>
                <w:u w:val="single"/>
                <w:lang w:val="bg-BG" w:eastAsia="fr-FR"/>
              </w:rPr>
            </w:pPr>
            <w:r w:rsidRPr="004C591A">
              <w:rPr>
                <w:b/>
                <w:u w:val="single"/>
                <w:lang w:val="bg-BG" w:eastAsia="fr-FR"/>
              </w:rPr>
              <w:t>За процедури, открити след ноември 2010 г.:</w:t>
            </w:r>
          </w:p>
          <w:p w:rsidR="002F66F4" w:rsidRPr="0054517B" w:rsidRDefault="00F8672C" w:rsidP="00E71DE8">
            <w:pPr>
              <w:jc w:val="both"/>
              <w:rPr>
                <w:b/>
                <w:lang w:val="bg-BG" w:eastAsia="fr-FR"/>
              </w:rPr>
            </w:pPr>
            <w:r w:rsidRPr="004C591A">
              <w:rPr>
                <w:b/>
                <w:lang w:val="bg-BG" w:eastAsia="fr-FR"/>
              </w:rPr>
              <w:t>Правилно ли са установени всички липсващи и нередовни документи, съдържащи се в плик № 1, на отстранените във връзка с тези документи участници</w:t>
            </w:r>
            <w:r w:rsidR="002F66F4" w:rsidRPr="004C591A">
              <w:rPr>
                <w:b/>
                <w:lang w:val="bg-BG" w:eastAsia="fr-FR"/>
              </w:rPr>
              <w:t>?</w:t>
            </w:r>
          </w:p>
          <w:p w:rsidR="002F66F4" w:rsidRPr="0054517B" w:rsidRDefault="002F66F4" w:rsidP="00E71DE8">
            <w:pPr>
              <w:jc w:val="both"/>
              <w:rPr>
                <w:lang w:val="bg-BG" w:eastAsia="fr-FR"/>
              </w:rPr>
            </w:pPr>
            <w:r w:rsidRPr="0054517B">
              <w:rPr>
                <w:lang w:val="bg-BG" w:eastAsia="fr-FR"/>
              </w:rPr>
              <w:t>При прегледа на документите от плик № 1 комисията е длъжна да установи всички липсващи или нередовни документи.</w:t>
            </w:r>
          </w:p>
          <w:p w:rsidR="002F66F4" w:rsidRPr="0054517B" w:rsidRDefault="002F66F4" w:rsidP="00D6088F">
            <w:pPr>
              <w:jc w:val="both"/>
              <w:rPr>
                <w:b/>
                <w:color w:val="000080"/>
                <w:lang w:val="bg-BG"/>
              </w:rPr>
            </w:pPr>
            <w:r w:rsidRPr="0054517B">
              <w:rPr>
                <w:b/>
                <w:color w:val="000080"/>
                <w:lang w:val="bg-BG"/>
              </w:rPr>
              <w:t xml:space="preserve">т. </w:t>
            </w:r>
            <w:r w:rsidR="00F8672C" w:rsidRPr="0054517B">
              <w:rPr>
                <w:b/>
                <w:color w:val="000080"/>
                <w:lang w:val="bg-BG"/>
              </w:rPr>
              <w:t xml:space="preserve">13-15 и 17 </w:t>
            </w:r>
            <w:r w:rsidRPr="0054517B">
              <w:rPr>
                <w:b/>
                <w:color w:val="000080"/>
                <w:lang w:val="bg-BG"/>
              </w:rPr>
              <w:t>от  Насоките</w:t>
            </w:r>
          </w:p>
          <w:p w:rsidR="002F66F4" w:rsidRPr="004C591A" w:rsidRDefault="002F66F4" w:rsidP="00D6088F">
            <w:pPr>
              <w:jc w:val="both"/>
              <w:rPr>
                <w:b/>
                <w:color w:val="000080"/>
                <w:lang w:val="bg-BG"/>
              </w:rPr>
            </w:pPr>
            <w:r w:rsidRPr="00722655">
              <w:rPr>
                <w:b/>
                <w:bCs/>
                <w:color w:val="C0504D"/>
                <w:lang w:val="bg-BG"/>
              </w:rPr>
              <w:lastRenderedPageBreak/>
              <w:t xml:space="preserve">Насочващи източници на информация: </w:t>
            </w:r>
            <w:r w:rsidRPr="00722655">
              <w:rPr>
                <w:bCs/>
                <w:color w:val="C0504D"/>
                <w:lang w:val="bg-BG"/>
              </w:rPr>
              <w:t>прегледайте протокола за работата на комисията и оферт</w:t>
            </w:r>
            <w:r w:rsidRPr="00223A61">
              <w:rPr>
                <w:bCs/>
                <w:color w:val="C0504D"/>
                <w:lang w:val="bg-BG"/>
              </w:rPr>
              <w:t>ите на отстранените участници в частта на документите от плик № 1 и допълнително представените документи.</w:t>
            </w:r>
          </w:p>
          <w:p w:rsidR="002F66F4" w:rsidRPr="004C591A" w:rsidRDefault="002F66F4" w:rsidP="00D6088F">
            <w:pPr>
              <w:jc w:val="both"/>
              <w:rPr>
                <w:color w:val="008000"/>
                <w:lang w:val="bg-BG"/>
              </w:rPr>
            </w:pPr>
            <w:r w:rsidRPr="004C591A">
              <w:rPr>
                <w:color w:val="008000"/>
                <w:lang w:val="bg-BG"/>
              </w:rPr>
              <w:t>Анализирайте:</w:t>
            </w:r>
          </w:p>
          <w:p w:rsidR="002F66F4" w:rsidRPr="004C591A" w:rsidRDefault="002F66F4" w:rsidP="00D6088F">
            <w:pPr>
              <w:jc w:val="both"/>
              <w:rPr>
                <w:color w:val="008000"/>
                <w:lang w:val="bg-BG"/>
              </w:rPr>
            </w:pPr>
            <w:r w:rsidRPr="004C591A">
              <w:rPr>
                <w:color w:val="008000"/>
                <w:lang w:val="bg-BG"/>
              </w:rPr>
              <w:t>- офертите на ОТСТРАНЕНИТЕ участници в случай, че са отстранени във връзка с нередовности на документите, съдържащи се в плик № 1.</w:t>
            </w:r>
          </w:p>
          <w:p w:rsidR="002F66F4" w:rsidRPr="004C591A" w:rsidRDefault="002F66F4" w:rsidP="00D6088F">
            <w:pPr>
              <w:jc w:val="both"/>
              <w:rPr>
                <w:color w:val="008000"/>
                <w:lang w:val="bg-BG"/>
              </w:rPr>
            </w:pPr>
            <w:r w:rsidRPr="004C591A">
              <w:rPr>
                <w:color w:val="008000"/>
                <w:lang w:val="bg-BG"/>
              </w:rPr>
              <w:t>- установените от комисията нередовности и изисканите от участниците документи за отстраняването им. Установете дали комисията е действала правилно спрямо участника.</w:t>
            </w:r>
          </w:p>
          <w:p w:rsidR="002F66F4" w:rsidRPr="004C591A" w:rsidRDefault="002F66F4" w:rsidP="00E931D5">
            <w:pPr>
              <w:jc w:val="both"/>
              <w:rPr>
                <w:b/>
                <w:lang w:val="bg-BG" w:eastAsia="fr-FR"/>
              </w:rPr>
            </w:pPr>
            <w:r w:rsidRPr="004C591A">
              <w:rPr>
                <w:color w:val="008000"/>
                <w:lang w:val="bg-BG"/>
              </w:rPr>
              <w:t>Анализът се прави за всеки отстранен участник поотделно с цел</w:t>
            </w:r>
            <w:r w:rsidRPr="004C591A">
              <w:rPr>
                <w:color w:val="008000"/>
                <w:lang w:val="bg-BG" w:eastAsia="bg-BG"/>
              </w:rPr>
              <w:t xml:space="preserve"> да се потвърди </w:t>
            </w:r>
            <w:r w:rsidR="00E931D5" w:rsidRPr="004C591A">
              <w:rPr>
                <w:color w:val="008000"/>
                <w:lang w:val="bg-BG" w:eastAsia="bg-BG"/>
              </w:rPr>
              <w:t>законосъобразността на дейността на комисията</w:t>
            </w:r>
            <w:r w:rsidRPr="004C591A">
              <w:rPr>
                <w:color w:val="008000"/>
                <w:lang w:val="bg-BG" w:eastAsia="bg-BG"/>
              </w:rPr>
              <w:t>.</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34</w:t>
            </w:r>
          </w:p>
        </w:tc>
        <w:tc>
          <w:tcPr>
            <w:tcW w:w="8100" w:type="dxa"/>
            <w:gridSpan w:val="2"/>
            <w:noWrap/>
          </w:tcPr>
          <w:p w:rsidR="002B7A0D" w:rsidRPr="004C591A" w:rsidRDefault="002B7A0D" w:rsidP="00172CA4">
            <w:pPr>
              <w:jc w:val="both"/>
              <w:rPr>
                <w:b/>
                <w:lang w:val="bg-BG" w:eastAsia="fr-FR"/>
              </w:rPr>
            </w:pPr>
            <w:r w:rsidRPr="004C591A">
              <w:rPr>
                <w:b/>
                <w:lang w:val="bg-BG" w:eastAsia="fr-FR"/>
              </w:rPr>
              <w:t>Офертата на участника, определен за изпълнител, отговаря ли на изискванията на възложителя?</w:t>
            </w:r>
          </w:p>
          <w:p w:rsidR="002F66F4" w:rsidRPr="004C591A" w:rsidRDefault="002B7A0D" w:rsidP="00172CA4">
            <w:pPr>
              <w:jc w:val="both"/>
              <w:rPr>
                <w:b/>
                <w:lang w:val="bg-BG" w:eastAsia="fr-FR"/>
              </w:rPr>
            </w:pPr>
            <w:r w:rsidRPr="004C591A">
              <w:rPr>
                <w:b/>
                <w:lang w:val="bg-BG" w:eastAsia="fr-FR"/>
              </w:rPr>
              <w:t>Съдържа ли тази оферта всички изискуеми документи и по-специално</w:t>
            </w:r>
            <w:r w:rsidR="002F66F4" w:rsidRPr="004C591A">
              <w:rPr>
                <w:b/>
                <w:lang w:val="bg-BG" w:eastAsia="fr-FR"/>
              </w:rPr>
              <w:t>:</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 xml:space="preserve">удостоверение за актуално състояние или копие от документа за регистрация или ЕИК съгласно </w:t>
            </w:r>
            <w:hyperlink r:id="rId7" w:history="1">
              <w:r w:rsidRPr="004C591A">
                <w:rPr>
                  <w:rStyle w:val="Hyperlink"/>
                  <w:color w:val="auto"/>
                  <w:u w:val="none"/>
                  <w:lang w:val="bg-BG"/>
                </w:rPr>
                <w:t>чл. 23 от Закона за търговския регистър</w:t>
              </w:r>
            </w:hyperlink>
            <w:r w:rsidRPr="004C591A">
              <w:rPr>
                <w:lang w:val="bg-BG"/>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документ за гаранция за участие (преводно нареждане, разписка или документ за банкова гаранция), ако възложителят е определил такава;</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доказателства за годността на участника (документите по чл. 50 и чл. 51 от ЗОП);</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декларация за отсъствие на обстоятелствата по чл. 47, ал. 1, ал. 2 и ал. 5 от ЗОП;</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подизпълнителите, ако участникът предвижда такива, както и вида на работите, които ще извършват, и дела на тяхното участие;</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срок за изпълнение на поръчката;</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предлагана цена;</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 xml:space="preserve">декларация, че в предложената цена е спазено изискването за минимална цена на труда - в случаите, когато обществената поръчка е за строителство; </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техническо предложение за изпълнение на поръчката, а когато е приложимо и за изпълнение на показателите за комплексна оценка на офертите.</w:t>
            </w:r>
          </w:p>
          <w:p w:rsidR="002F66F4" w:rsidRPr="004C591A" w:rsidRDefault="002F66F4" w:rsidP="009C1E25">
            <w:pPr>
              <w:numPr>
                <w:ilvl w:val="0"/>
                <w:numId w:val="11"/>
              </w:numPr>
              <w:tabs>
                <w:tab w:val="clear" w:pos="720"/>
                <w:tab w:val="num" w:pos="220"/>
                <w:tab w:val="left" w:pos="290"/>
              </w:tabs>
              <w:ind w:left="220" w:hanging="180"/>
              <w:jc w:val="both"/>
              <w:rPr>
                <w:lang w:val="bg-BG"/>
              </w:rPr>
            </w:pPr>
            <w:r w:rsidRPr="004C591A">
              <w:rPr>
                <w:lang w:val="bg-BG"/>
              </w:rPr>
              <w:t xml:space="preserve"> друга информация, посочена в обявлението или в документацията за участие;</w:t>
            </w:r>
          </w:p>
          <w:p w:rsidR="002F66F4" w:rsidRPr="004C591A" w:rsidRDefault="002F66F4" w:rsidP="009C1E25">
            <w:pPr>
              <w:numPr>
                <w:ilvl w:val="0"/>
                <w:numId w:val="11"/>
              </w:numPr>
              <w:tabs>
                <w:tab w:val="clear" w:pos="720"/>
                <w:tab w:val="num" w:pos="220"/>
                <w:tab w:val="left" w:pos="290"/>
              </w:tabs>
              <w:ind w:left="220" w:hanging="180"/>
              <w:jc w:val="both"/>
              <w:rPr>
                <w:lang w:val="bg-BG"/>
              </w:rPr>
            </w:pPr>
            <w:r w:rsidRPr="004C591A">
              <w:rPr>
                <w:lang w:val="bg-BG"/>
              </w:rPr>
              <w:t xml:space="preserve"> списък на документите, съдържащи се в офертата, подписан от участника?</w:t>
            </w:r>
          </w:p>
          <w:p w:rsidR="002F66F4" w:rsidRPr="0054517B" w:rsidRDefault="002F66F4" w:rsidP="00172CA4">
            <w:pPr>
              <w:ind w:left="40"/>
              <w:jc w:val="both"/>
              <w:rPr>
                <w:b/>
                <w:lang w:val="bg-BG"/>
              </w:rPr>
            </w:pPr>
            <w:r w:rsidRPr="0054517B">
              <w:rPr>
                <w:b/>
                <w:lang w:val="bg-BG"/>
              </w:rPr>
              <w:t>(чл. 13, ал. 1 от НВМОП)</w:t>
            </w:r>
          </w:p>
          <w:p w:rsidR="002F66F4" w:rsidRPr="0054517B" w:rsidRDefault="002F66F4" w:rsidP="00172CA4">
            <w:pPr>
              <w:ind w:left="40"/>
              <w:jc w:val="both"/>
              <w:rPr>
                <w:b/>
                <w:i/>
                <w:lang w:val="bg-BG"/>
              </w:rPr>
            </w:pPr>
            <w:r w:rsidRPr="0054517B">
              <w:rPr>
                <w:b/>
                <w:i/>
                <w:lang w:val="bg-BG"/>
              </w:rPr>
              <w:t>Забележка:</w:t>
            </w:r>
          </w:p>
          <w:p w:rsidR="002F66F4" w:rsidRPr="0054517B" w:rsidRDefault="002F66F4" w:rsidP="00172CA4">
            <w:pPr>
              <w:ind w:left="40"/>
              <w:jc w:val="both"/>
              <w:rPr>
                <w:lang w:val="bg-BG"/>
              </w:rPr>
            </w:pPr>
            <w:r w:rsidRPr="0054517B">
              <w:rPr>
                <w:lang w:val="bg-BG"/>
              </w:rPr>
              <w:t>Документите, доказващи годността на участника, се представят от подизпълнителите и от всички лица от обединенията, които не са регистрирани като юридически лица. (чл. 13, ал. 3 и ал. 4 от НВМОП)</w:t>
            </w:r>
          </w:p>
          <w:p w:rsidR="002F66F4" w:rsidRPr="0054517B" w:rsidRDefault="002F66F4" w:rsidP="00172CA4">
            <w:pPr>
              <w:ind w:left="40"/>
              <w:jc w:val="both"/>
              <w:rPr>
                <w:lang w:val="bg-BG"/>
              </w:rPr>
            </w:pPr>
            <w:r w:rsidRPr="0054517B">
              <w:rPr>
                <w:lang w:val="bg-BG"/>
              </w:rPr>
              <w:lastRenderedPageBreak/>
              <w:t>Декларациите по чл. 47, ал. 1, ал. 2 и ал. 5 от ЗОП се представят от лицата, посочени в чл. 47, ал. 4, т. 1-7 от ЗОП. Това важи и за подизпълнителите и всички лица в обединенията, които не са регистрирани като юридически лица. (чл. 13, ал. 3 и ал. 4 от НВМОП)</w:t>
            </w:r>
          </w:p>
          <w:p w:rsidR="002F66F4" w:rsidRPr="00722655" w:rsidRDefault="002F66F4" w:rsidP="00172CA4">
            <w:pPr>
              <w:ind w:left="40"/>
              <w:jc w:val="both"/>
              <w:rPr>
                <w:lang w:val="bg-BG"/>
              </w:rPr>
            </w:pPr>
            <w:r w:rsidRPr="00722655">
              <w:rPr>
                <w:lang w:val="bg-BG"/>
              </w:rPr>
              <w:t>Декларацията по чл. 13, ал. 1, т. 8 от НВМОП се представя от подизпълнителите (чл. 13, ал. 3 от НВМОП).</w:t>
            </w:r>
          </w:p>
          <w:p w:rsidR="002F66F4" w:rsidRPr="004C591A" w:rsidRDefault="002F66F4" w:rsidP="00D02467">
            <w:pPr>
              <w:jc w:val="both"/>
              <w:rPr>
                <w:b/>
                <w:color w:val="000080"/>
                <w:lang w:val="bg-BG"/>
              </w:rPr>
            </w:pPr>
            <w:r w:rsidRPr="00223A61">
              <w:rPr>
                <w:b/>
                <w:color w:val="000080"/>
                <w:lang w:val="bg-BG"/>
              </w:rPr>
              <w:t xml:space="preserve">т. </w:t>
            </w:r>
            <w:r w:rsidR="002B7A0D" w:rsidRPr="004C591A">
              <w:rPr>
                <w:b/>
                <w:color w:val="000080"/>
                <w:lang w:val="bg-BG"/>
              </w:rPr>
              <w:t xml:space="preserve">13 </w:t>
            </w:r>
            <w:r w:rsidRPr="004C591A">
              <w:rPr>
                <w:b/>
                <w:color w:val="000080"/>
                <w:lang w:val="bg-BG"/>
              </w:rPr>
              <w:t>от  Насоките</w:t>
            </w:r>
          </w:p>
          <w:p w:rsidR="002B7A0D" w:rsidRPr="004C591A" w:rsidRDefault="002B7A0D" w:rsidP="00D02467">
            <w:pPr>
              <w:jc w:val="both"/>
              <w:rPr>
                <w:b/>
                <w:color w:val="000080"/>
                <w:lang w:val="bg-BG"/>
              </w:rPr>
            </w:pPr>
            <w:r w:rsidRPr="004C591A">
              <w:rPr>
                <w:b/>
                <w:color w:val="548DD4"/>
              </w:rPr>
              <w:t>използвайте Таблица № 4</w:t>
            </w:r>
          </w:p>
          <w:p w:rsidR="002F66F4" w:rsidRPr="004C591A" w:rsidRDefault="002F66F4">
            <w:pPr>
              <w:jc w:val="both"/>
              <w:rPr>
                <w:lang w:val="bg-BG"/>
              </w:rPr>
            </w:pPr>
            <w:r w:rsidRPr="004C591A">
              <w:rPr>
                <w:b/>
                <w:bCs/>
                <w:color w:val="C0504D"/>
                <w:lang w:val="bg-BG"/>
              </w:rPr>
              <w:t xml:space="preserve">Насочващи източници на информация: </w:t>
            </w:r>
            <w:r w:rsidRPr="004C591A">
              <w:rPr>
                <w:bCs/>
                <w:color w:val="C0504D"/>
                <w:lang w:val="bg-BG"/>
              </w:rPr>
              <w:t>прегледайте всички документи от офертата на участника, определен за изпълнител.</w:t>
            </w:r>
          </w:p>
          <w:p w:rsidR="009A1921" w:rsidRPr="004C591A" w:rsidRDefault="009A1921" w:rsidP="009A1921">
            <w:pPr>
              <w:jc w:val="both"/>
              <w:rPr>
                <w:color w:val="008000"/>
                <w:lang w:val="bg-BG" w:eastAsia="bg-BG"/>
              </w:rPr>
            </w:pPr>
            <w:r w:rsidRPr="004C591A">
              <w:rPr>
                <w:color w:val="008000"/>
                <w:lang w:val="bg-BG" w:eastAsia="bg-BG"/>
              </w:rPr>
              <w:t xml:space="preserve">Прегледайте цялата оферта на участника, определен за изпълнител, и преценете дали отговаря на </w:t>
            </w:r>
            <w:r w:rsidRPr="004C591A">
              <w:rPr>
                <w:b/>
                <w:color w:val="008000"/>
                <w:lang w:val="bg-BG" w:eastAsia="bg-BG"/>
              </w:rPr>
              <w:t>ВСИЧКИ ИЗИСКВАНИЯ НА ВЪЗЛОЖИТЕЛЯ</w:t>
            </w:r>
            <w:r w:rsidRPr="004C591A">
              <w:rPr>
                <w:color w:val="008000"/>
                <w:lang w:val="bg-BG" w:eastAsia="bg-BG"/>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9A1921" w:rsidRPr="004C591A" w:rsidRDefault="009A1921" w:rsidP="009A1921">
            <w:pPr>
              <w:numPr>
                <w:ilvl w:val="0"/>
                <w:numId w:val="15"/>
              </w:numPr>
              <w:jc w:val="both"/>
              <w:rPr>
                <w:color w:val="008000"/>
                <w:lang w:val="bg-BG" w:eastAsia="bg-BG"/>
              </w:rPr>
            </w:pPr>
            <w:r w:rsidRPr="004C591A">
              <w:rPr>
                <w:color w:val="008000"/>
                <w:lang w:val="bg-BG" w:eastAsia="bg-BG"/>
              </w:rPr>
              <w:t>надлежно изпълнение на задължението за представяне на гаранция за участие;</w:t>
            </w:r>
          </w:p>
          <w:p w:rsidR="009A1921" w:rsidRPr="004C591A" w:rsidRDefault="009A1921" w:rsidP="009A1921">
            <w:pPr>
              <w:numPr>
                <w:ilvl w:val="0"/>
                <w:numId w:val="15"/>
              </w:numPr>
              <w:jc w:val="both"/>
              <w:rPr>
                <w:color w:val="008000"/>
                <w:lang w:val="bg-BG" w:eastAsia="bg-BG"/>
              </w:rPr>
            </w:pPr>
            <w:r w:rsidRPr="004C591A">
              <w:rPr>
                <w:color w:val="008000"/>
                <w:lang w:val="bg-BG" w:eastAsia="bg-BG"/>
              </w:rPr>
              <w:t>деклариране на обстоятелствата по чл. 47 от ЗОП от всички задължени лица;</w:t>
            </w:r>
          </w:p>
          <w:p w:rsidR="009A1921" w:rsidRPr="004C591A" w:rsidRDefault="009A1921" w:rsidP="009A1921">
            <w:pPr>
              <w:numPr>
                <w:ilvl w:val="0"/>
                <w:numId w:val="15"/>
              </w:numPr>
              <w:jc w:val="both"/>
              <w:rPr>
                <w:color w:val="008000"/>
                <w:lang w:val="bg-BG" w:eastAsia="bg-BG"/>
              </w:rPr>
            </w:pPr>
            <w:r w:rsidRPr="004C591A">
              <w:rPr>
                <w:color w:val="008000"/>
                <w:lang w:val="bg-BG" w:eastAsia="bg-BG"/>
              </w:rPr>
              <w:t xml:space="preserve">спазване на обстоятелствата по чл. 56, ал. 1, т. 11 от ЗОП за поръчки за строителство и услуги.  </w:t>
            </w:r>
          </w:p>
          <w:p w:rsidR="009A1921" w:rsidRPr="004C591A" w:rsidRDefault="009A1921" w:rsidP="009A1921">
            <w:pPr>
              <w:jc w:val="both"/>
              <w:rPr>
                <w:color w:val="008000"/>
                <w:lang w:val="bg-BG" w:eastAsia="bg-BG"/>
              </w:rPr>
            </w:pPr>
            <w:r w:rsidRPr="004C591A">
              <w:rPr>
                <w:color w:val="008000"/>
                <w:lang w:val="bg-BG" w:eastAsia="bg-BG"/>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A1921" w:rsidRPr="004C591A" w:rsidRDefault="009A1921" w:rsidP="009A1921">
            <w:pPr>
              <w:jc w:val="both"/>
              <w:rPr>
                <w:color w:val="008000"/>
                <w:lang w:val="bg-BG" w:eastAsia="bg-BG"/>
              </w:rPr>
            </w:pPr>
            <w:r w:rsidRPr="004C591A">
              <w:rPr>
                <w:color w:val="008000"/>
                <w:lang w:val="bg-BG" w:eastAsia="bg-BG"/>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9A1921" w:rsidRPr="004C591A" w:rsidRDefault="009A1921" w:rsidP="009A1921">
            <w:pPr>
              <w:jc w:val="both"/>
              <w:rPr>
                <w:b/>
                <w:color w:val="008000"/>
                <w:lang w:val="bg-BG" w:eastAsia="bg-BG"/>
              </w:rPr>
            </w:pPr>
            <w:r w:rsidRPr="004C591A">
              <w:rPr>
                <w:b/>
                <w:color w:val="008000"/>
                <w:lang w:val="bg-BG" w:eastAsia="bg-BG"/>
              </w:rPr>
              <w:t xml:space="preserve">ВНИМАНИЕ! ДА СЕ АНАЛИЗИРА ДАЛИ УЧАСТНИКЪТ, ОПРЕДЕЛЕН ЗА ИЗПЪЛНИТЕЛ, Е ТРЕТИРАН ПО-БЛАГОПРИЯТНО ОТ ОТСТРАНЕНИТЕ УЧАСТНИЦИ. </w:t>
            </w:r>
          </w:p>
          <w:p w:rsidR="002F66F4" w:rsidRPr="0054517B" w:rsidRDefault="009A1921" w:rsidP="00E71DE8">
            <w:pPr>
              <w:jc w:val="both"/>
              <w:rPr>
                <w:b/>
                <w:lang w:val="bg-BG" w:eastAsia="fr-FR"/>
              </w:rPr>
            </w:pPr>
            <w:r w:rsidRPr="004C591A">
              <w:rPr>
                <w:color w:val="008000"/>
                <w:lang w:val="bg-BG" w:eastAsia="bg-BG"/>
              </w:rPr>
              <w:t xml:space="preserve">За целта </w:t>
            </w:r>
            <w:r w:rsidR="00542908">
              <w:rPr>
                <w:color w:val="008000"/>
                <w:lang w:val="bg-BG" w:eastAsia="bg-BG"/>
              </w:rPr>
              <w:t>проверете</w:t>
            </w:r>
            <w:r w:rsidRPr="0054517B">
              <w:rPr>
                <w:color w:val="008000"/>
                <w:lang w:val="bg-BG" w:eastAsia="bg-BG"/>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pPr>
              <w:pStyle w:val="Heading1"/>
              <w:keepNext w:val="0"/>
              <w:jc w:val="right"/>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35</w:t>
            </w:r>
          </w:p>
        </w:tc>
        <w:tc>
          <w:tcPr>
            <w:tcW w:w="8100" w:type="dxa"/>
            <w:gridSpan w:val="2"/>
            <w:noWrap/>
          </w:tcPr>
          <w:p w:rsidR="002F66F4" w:rsidRPr="0054517B" w:rsidRDefault="009A1921" w:rsidP="00E71DE8">
            <w:pPr>
              <w:jc w:val="both"/>
              <w:rPr>
                <w:b/>
                <w:lang w:val="bg-BG" w:eastAsia="fr-FR"/>
              </w:rPr>
            </w:pPr>
            <w:r w:rsidRPr="004C591A">
              <w:rPr>
                <w:b/>
                <w:lang w:val="bg-BG" w:eastAsia="fr-FR"/>
              </w:rPr>
              <w:t>Отстранените участници и оферти действително ли не отговарят на обявените от възложителя условия</w:t>
            </w:r>
            <w:r w:rsidR="002F66F4" w:rsidRPr="004C591A">
              <w:rPr>
                <w:b/>
                <w:lang w:val="bg-BG" w:eastAsia="fr-FR"/>
              </w:rPr>
              <w:t>?</w:t>
            </w:r>
          </w:p>
          <w:p w:rsidR="002F66F4" w:rsidRPr="0054517B" w:rsidRDefault="002F66F4" w:rsidP="00E71DE8">
            <w:pPr>
              <w:jc w:val="both"/>
              <w:rPr>
                <w:lang w:val="bg-BG" w:eastAsia="fr-FR"/>
              </w:rPr>
            </w:pPr>
            <w:r w:rsidRPr="0054517B">
              <w:rPr>
                <w:lang w:val="bg-BG" w:eastAsia="fr-FR"/>
              </w:rPr>
              <w:t>Участникът/ офертата се отстранява, ако не са представени някои от документите по чл. 13, ал. 1 от НВМОП и/или не отговаря на критериите за подбор и/или други изисквания на възложителя.</w:t>
            </w:r>
          </w:p>
          <w:p w:rsidR="002F66F4" w:rsidRPr="0054517B" w:rsidRDefault="002F66F4" w:rsidP="00E71DE8">
            <w:pPr>
              <w:jc w:val="both"/>
              <w:rPr>
                <w:lang w:val="bg-BG" w:eastAsia="fr-FR"/>
              </w:rPr>
            </w:pPr>
            <w:r w:rsidRPr="0054517B">
              <w:rPr>
                <w:lang w:val="bg-B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F66F4" w:rsidRPr="00722655" w:rsidRDefault="002F66F4" w:rsidP="00E71DE8">
            <w:pPr>
              <w:jc w:val="both"/>
              <w:rPr>
                <w:lang w:val="bg-BG" w:eastAsia="fr-FR"/>
              </w:rPr>
            </w:pPr>
            <w:r w:rsidRPr="00722655">
              <w:rPr>
                <w:b/>
                <w:lang w:val="bg-BG" w:eastAsia="fr-FR"/>
              </w:rPr>
              <w:t>(чл. 21, ал. 1 от НВМОП)</w:t>
            </w:r>
            <w:r w:rsidRPr="00722655">
              <w:rPr>
                <w:lang w:val="bg-BG" w:eastAsia="fr-FR"/>
              </w:rPr>
              <w:t xml:space="preserve"> </w:t>
            </w:r>
          </w:p>
          <w:p w:rsidR="002F66F4" w:rsidRPr="004C591A" w:rsidRDefault="002F66F4" w:rsidP="00E71DE8">
            <w:pPr>
              <w:jc w:val="both"/>
              <w:rPr>
                <w:b/>
                <w:color w:val="000080"/>
                <w:lang w:val="bg-BG"/>
              </w:rPr>
            </w:pPr>
            <w:r w:rsidRPr="00223A61">
              <w:rPr>
                <w:b/>
                <w:color w:val="000080"/>
                <w:lang w:val="bg-BG"/>
              </w:rPr>
              <w:t xml:space="preserve">т. </w:t>
            </w:r>
            <w:r w:rsidR="009A1921" w:rsidRPr="004C591A">
              <w:rPr>
                <w:b/>
                <w:color w:val="000080"/>
                <w:lang w:val="bg-BG"/>
              </w:rPr>
              <w:t xml:space="preserve">14 </w:t>
            </w:r>
            <w:r w:rsidRPr="004C591A">
              <w:rPr>
                <w:b/>
                <w:color w:val="000080"/>
                <w:lang w:val="bg-BG"/>
              </w:rPr>
              <w:t>от Насоките</w:t>
            </w:r>
          </w:p>
          <w:p w:rsidR="002F66F4" w:rsidRPr="004C591A" w:rsidRDefault="002F66F4" w:rsidP="00E71DE8">
            <w:pPr>
              <w:jc w:val="both"/>
              <w:rPr>
                <w:b/>
                <w:color w:val="000080"/>
                <w:lang w:val="bg-BG"/>
              </w:rPr>
            </w:pPr>
            <w:r w:rsidRPr="004C591A">
              <w:rPr>
                <w:b/>
                <w:bCs/>
                <w:color w:val="C0504D"/>
                <w:lang w:val="bg-BG"/>
              </w:rPr>
              <w:lastRenderedPageBreak/>
              <w:t xml:space="preserve">Насочващи източници на информация: </w:t>
            </w:r>
            <w:r w:rsidRPr="004C591A">
              <w:rPr>
                <w:bCs/>
                <w:color w:val="C0504D"/>
                <w:lang w:val="bg-BG"/>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rsidR="002F66F4" w:rsidRPr="004C591A" w:rsidRDefault="002F66F4" w:rsidP="00071102">
            <w:pPr>
              <w:jc w:val="both"/>
              <w:rPr>
                <w:color w:val="008000"/>
                <w:lang w:val="bg-BG"/>
              </w:rPr>
            </w:pPr>
            <w:r w:rsidRPr="004C591A">
              <w:rPr>
                <w:color w:val="008000"/>
                <w:lang w:val="bg-BG"/>
              </w:rPr>
              <w:t>Анализирайте наименованията на отстранените участници. За всеки от тях по отделно проверете и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p w:rsidR="009A1921" w:rsidRPr="004C591A" w:rsidRDefault="009A1921" w:rsidP="009A1921">
            <w:pPr>
              <w:jc w:val="both"/>
              <w:rPr>
                <w:color w:val="008000"/>
                <w:lang w:val="bg-BG" w:eastAsia="bg-BG"/>
              </w:rPr>
            </w:pPr>
            <w:r w:rsidRPr="004C591A">
              <w:rPr>
                <w:color w:val="008000"/>
                <w:lang w:val="bg-BG" w:eastAsia="bg-BG"/>
              </w:rPr>
              <w:t>За целта е необходимо да се прегледат офертите на отстранените участници в частта, относима към основанието за отстраняването им. Прегледът включва:</w:t>
            </w:r>
          </w:p>
          <w:p w:rsidR="009A1921" w:rsidRPr="004C591A" w:rsidRDefault="009A1921" w:rsidP="00AF7445">
            <w:pPr>
              <w:numPr>
                <w:ilvl w:val="0"/>
                <w:numId w:val="16"/>
              </w:numPr>
              <w:jc w:val="both"/>
              <w:rPr>
                <w:b/>
                <w:lang w:val="bg-BG" w:eastAsia="fr-FR"/>
              </w:rPr>
            </w:pPr>
            <w:r w:rsidRPr="004C591A">
              <w:rPr>
                <w:color w:val="008000"/>
                <w:lang w:val="bg-BG" w:eastAsia="bg-BG"/>
              </w:rPr>
              <w:t xml:space="preserve"> 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 </w:t>
            </w:r>
          </w:p>
          <w:p w:rsidR="009A1921" w:rsidRPr="004C591A" w:rsidRDefault="009A1921" w:rsidP="00AF7445">
            <w:pPr>
              <w:numPr>
                <w:ilvl w:val="0"/>
                <w:numId w:val="16"/>
              </w:numPr>
              <w:jc w:val="both"/>
              <w:rPr>
                <w:b/>
                <w:lang w:val="bg-BG" w:eastAsia="fr-FR"/>
              </w:rPr>
            </w:pPr>
            <w:r w:rsidRPr="004C591A">
              <w:rPr>
                <w:color w:val="008000"/>
                <w:lang w:val="bg-BG" w:eastAsia="bg-BG"/>
              </w:rPr>
              <w:t>установяване съдържанието на офертата в частта, която не отговаря на изискванията на възложителя.</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542908" w:rsidRPr="004C591A" w:rsidTr="00AF7445">
        <w:trPr>
          <w:trHeight w:val="270"/>
        </w:trPr>
        <w:tc>
          <w:tcPr>
            <w:tcW w:w="828" w:type="dxa"/>
          </w:tcPr>
          <w:p w:rsidR="00542908"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36</w:t>
            </w:r>
          </w:p>
        </w:tc>
        <w:tc>
          <w:tcPr>
            <w:tcW w:w="8100" w:type="dxa"/>
            <w:gridSpan w:val="2"/>
            <w:noWrap/>
          </w:tcPr>
          <w:p w:rsidR="00542908" w:rsidRDefault="00542908" w:rsidP="00542908">
            <w:pPr>
              <w:jc w:val="both"/>
              <w:rPr>
                <w:b/>
                <w:lang w:eastAsia="fr-FR"/>
              </w:rPr>
            </w:pPr>
            <w:r>
              <w:rPr>
                <w:b/>
                <w:lang w:eastAsia="fr-FR"/>
              </w:rPr>
              <w:t>Подизпълнител на участника, определен за изпълнител, представил ли е самостоятелна оферта?</w:t>
            </w:r>
          </w:p>
          <w:p w:rsidR="00542908" w:rsidRDefault="00542908" w:rsidP="00542908">
            <w:pPr>
              <w:jc w:val="both"/>
              <w:rPr>
                <w:b/>
                <w:lang w:eastAsia="fr-FR"/>
              </w:rPr>
            </w:pPr>
            <w:r>
              <w:rPr>
                <w:b/>
                <w:lang w:eastAsia="fr-FR"/>
              </w:rPr>
              <w:t>В случай, че участникът, определен за изпълнител, е обединение, съдружник в обединението представил ли е самостоятелна оферта?</w:t>
            </w:r>
          </w:p>
          <w:p w:rsidR="00542908" w:rsidRDefault="00542908" w:rsidP="00542908">
            <w:pPr>
              <w:jc w:val="both"/>
              <w:rPr>
                <w:b/>
                <w:lang w:eastAsia="fr-FR"/>
              </w:rPr>
            </w:pPr>
            <w:r>
              <w:rPr>
                <w:b/>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542908" w:rsidRDefault="00542908" w:rsidP="00542908">
            <w:pPr>
              <w:jc w:val="both"/>
              <w:rPr>
                <w:lang w:eastAsia="fr-FR"/>
              </w:rPr>
            </w:pPr>
            <w:r w:rsidRPr="006E77D9">
              <w:rPr>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542908" w:rsidRPr="006E77D9" w:rsidRDefault="00542908" w:rsidP="00542908">
            <w:pPr>
              <w:jc w:val="both"/>
              <w:rPr>
                <w:lang w:eastAsia="fr-FR"/>
              </w:rPr>
            </w:pPr>
            <w:r w:rsidRPr="006E77D9">
              <w:rPr>
                <w:lang w:eastAsia="fr-FR"/>
              </w:rPr>
              <w:t>В процедура за възлагане на обществена поръчка едно физическо или юридическо лице може да участва само в едно обединение.</w:t>
            </w:r>
          </w:p>
          <w:p w:rsidR="00542908" w:rsidRPr="005A1CAE" w:rsidRDefault="00542908" w:rsidP="00542908">
            <w:pPr>
              <w:jc w:val="both"/>
              <w:rPr>
                <w:b/>
                <w:lang w:eastAsia="fr-FR"/>
              </w:rPr>
            </w:pPr>
            <w:r>
              <w:rPr>
                <w:b/>
                <w:lang w:eastAsia="fr-FR"/>
              </w:rPr>
              <w:t>(чл. 55</w:t>
            </w:r>
            <w:r w:rsidRPr="005A1CAE">
              <w:rPr>
                <w:b/>
                <w:lang w:eastAsia="fr-FR"/>
              </w:rPr>
              <w:t xml:space="preserve">, ал. </w:t>
            </w:r>
            <w:r>
              <w:rPr>
                <w:b/>
                <w:lang w:eastAsia="fr-FR"/>
              </w:rPr>
              <w:t>5 и ал. 6</w:t>
            </w:r>
            <w:r w:rsidRPr="005A1CAE">
              <w:rPr>
                <w:b/>
                <w:lang w:eastAsia="fr-FR"/>
              </w:rPr>
              <w:t xml:space="preserve"> от ЗОП</w:t>
            </w:r>
            <w:r>
              <w:rPr>
                <w:b/>
                <w:lang w:val="bg-BG" w:eastAsia="fr-FR"/>
              </w:rPr>
              <w:t>, в вр. с § 2 от НВМОП</w:t>
            </w:r>
            <w:r w:rsidRPr="005A1CAE">
              <w:rPr>
                <w:b/>
                <w:lang w:eastAsia="fr-FR"/>
              </w:rPr>
              <w:t>)</w:t>
            </w:r>
          </w:p>
          <w:p w:rsidR="00542908" w:rsidRPr="006E77D9" w:rsidRDefault="00542908" w:rsidP="00542908">
            <w:pPr>
              <w:jc w:val="both"/>
              <w:rPr>
                <w:color w:val="C0504D"/>
              </w:rPr>
            </w:pPr>
            <w:r w:rsidRPr="005A1CAE">
              <w:rPr>
                <w:b/>
                <w:color w:val="C0504D"/>
              </w:rPr>
              <w:t xml:space="preserve">Насочващи източници на информация: </w:t>
            </w:r>
            <w:r w:rsidRPr="005A1CAE">
              <w:rPr>
                <w:color w:val="C0504D"/>
              </w:rPr>
              <w:t xml:space="preserve">прегледайте съответните документи от офертите на </w:t>
            </w:r>
            <w:r>
              <w:rPr>
                <w:color w:val="C0504D"/>
              </w:rPr>
              <w:t>определения за изпълнител участник, както и от на другите</w:t>
            </w:r>
            <w:r w:rsidRPr="005A1CAE">
              <w:rPr>
                <w:color w:val="C0504D"/>
              </w:rPr>
              <w:t xml:space="preserve"> участници</w:t>
            </w:r>
            <w:r>
              <w:rPr>
                <w:color w:val="C0504D"/>
              </w:rPr>
              <w:t>, вкл. отстранените. Анализирайте</w:t>
            </w:r>
            <w:r w:rsidRPr="005A1CAE">
              <w:rPr>
                <w:color w:val="C0504D"/>
              </w:rPr>
              <w:t xml:space="preserve"> протоколите за работата на комисията и решението за класиране на участниците и определяне на изпълнител.</w:t>
            </w:r>
            <w:r>
              <w:rPr>
                <w:color w:val="C0504D"/>
              </w:rPr>
              <w:t xml:space="preserve"> При необходимост направете справки в </w:t>
            </w:r>
            <w:r w:rsidRPr="006E77D9">
              <w:rPr>
                <w:color w:val="C0504D"/>
              </w:rPr>
              <w:t>официални регистри и други публични източници на информация.</w:t>
            </w:r>
          </w:p>
          <w:p w:rsidR="00542908" w:rsidRPr="005A1CAE" w:rsidRDefault="00542908" w:rsidP="00542908">
            <w:pPr>
              <w:jc w:val="both"/>
            </w:pPr>
            <w:r w:rsidRPr="005A1CAE">
              <w:rPr>
                <w:b/>
                <w:color w:val="000080"/>
              </w:rPr>
              <w:t xml:space="preserve">т. </w:t>
            </w:r>
            <w:r>
              <w:rPr>
                <w:b/>
                <w:color w:val="000080"/>
              </w:rPr>
              <w:t xml:space="preserve">13 и т. </w:t>
            </w:r>
            <w:r w:rsidRPr="005A1CAE">
              <w:rPr>
                <w:b/>
                <w:color w:val="000080"/>
              </w:rPr>
              <w:t xml:space="preserve">14 от Насоките </w:t>
            </w:r>
          </w:p>
          <w:p w:rsidR="00542908" w:rsidRDefault="00542908" w:rsidP="00542908">
            <w:pPr>
              <w:jc w:val="both"/>
              <w:rPr>
                <w:color w:val="008000"/>
              </w:rPr>
            </w:pPr>
            <w:r>
              <w:rPr>
                <w:color w:val="00800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rPr>
              <w:t xml:space="preserve"> </w:t>
            </w:r>
            <w:r>
              <w:rPr>
                <w:color w:val="008000"/>
              </w:rPr>
              <w:t xml:space="preserve">поотделно направете проверка дали са подали самостоятелни оферти в регистъра на получените </w:t>
            </w:r>
            <w:r>
              <w:rPr>
                <w:color w:val="008000"/>
              </w:rPr>
              <w:lastRenderedPageBreak/>
              <w:t>оферти.</w:t>
            </w:r>
          </w:p>
          <w:p w:rsidR="00542908" w:rsidRPr="0054517B" w:rsidRDefault="00542908" w:rsidP="00542908">
            <w:pPr>
              <w:jc w:val="both"/>
              <w:rPr>
                <w:b/>
                <w:lang w:val="bg-BG" w:eastAsia="fr-FR"/>
              </w:rPr>
            </w:pPr>
            <w:r>
              <w:rPr>
                <w:color w:val="00800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00" w:type="dxa"/>
          </w:tcPr>
          <w:p w:rsidR="00542908" w:rsidRPr="007733AB" w:rsidRDefault="00542908" w:rsidP="00DB60CD">
            <w:pPr>
              <w:pStyle w:val="Heading1"/>
              <w:keepNext w:val="0"/>
              <w:rPr>
                <w:rFonts w:ascii="Times New Roman" w:hAnsi="Times New Roman"/>
                <w:kern w:val="0"/>
                <w:sz w:val="20"/>
                <w:szCs w:val="20"/>
                <w:lang w:val="bg-BG"/>
              </w:rPr>
            </w:pPr>
          </w:p>
        </w:tc>
        <w:tc>
          <w:tcPr>
            <w:tcW w:w="5240" w:type="dxa"/>
          </w:tcPr>
          <w:p w:rsidR="00542908" w:rsidRPr="007733AB" w:rsidRDefault="00542908"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37</w:t>
            </w:r>
          </w:p>
        </w:tc>
        <w:tc>
          <w:tcPr>
            <w:tcW w:w="8100" w:type="dxa"/>
            <w:gridSpan w:val="2"/>
            <w:noWrap/>
          </w:tcPr>
          <w:p w:rsidR="002F66F4" w:rsidRPr="0054517B" w:rsidRDefault="004D3507" w:rsidP="00102D56">
            <w:pPr>
              <w:ind w:right="110"/>
              <w:jc w:val="both"/>
              <w:outlineLvl w:val="1"/>
              <w:rPr>
                <w:b/>
                <w:lang w:val="bg-BG" w:eastAsia="fr-FR"/>
              </w:rPr>
            </w:pPr>
            <w:r w:rsidRPr="004C591A">
              <w:rPr>
                <w:b/>
                <w:lang w:val="bg-BG" w:eastAsia="fr-FR"/>
              </w:rPr>
              <w:t>Комисията приложила ли е точно и обективно методиката за оценка на офертите, включително правилно ли са изчислени оценките</w:t>
            </w:r>
            <w:r w:rsidR="002F66F4" w:rsidRPr="004C591A">
              <w:rPr>
                <w:b/>
                <w:lang w:val="bg-BG" w:eastAsia="fr-FR"/>
              </w:rPr>
              <w:t>?</w:t>
            </w:r>
            <w:r w:rsidR="002F66F4" w:rsidRPr="0054517B">
              <w:rPr>
                <w:b/>
                <w:lang w:val="bg-BG" w:eastAsia="fr-FR"/>
              </w:rPr>
              <w:t xml:space="preserve"> </w:t>
            </w:r>
          </w:p>
          <w:p w:rsidR="002F66F4" w:rsidRPr="0054517B" w:rsidRDefault="002F66F4" w:rsidP="00102D56">
            <w:pPr>
              <w:ind w:right="110"/>
              <w:jc w:val="both"/>
              <w:outlineLvl w:val="1"/>
              <w:rPr>
                <w:b/>
                <w:lang w:val="bg-BG" w:eastAsia="fr-FR"/>
              </w:rPr>
            </w:pPr>
            <w:r w:rsidRPr="0054517B">
              <w:rPr>
                <w:lang w:val="bg-B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w:t>
            </w:r>
            <w:r w:rsidRPr="0054517B">
              <w:rPr>
                <w:b/>
                <w:lang w:val="bg-BG" w:eastAsia="fr-FR"/>
              </w:rPr>
              <w:t>по отношение на всички допуснати до оценка оферти, без да я променя.</w:t>
            </w:r>
          </w:p>
          <w:p w:rsidR="002F66F4" w:rsidRPr="007733AB" w:rsidRDefault="002F66F4" w:rsidP="00102D56">
            <w:pPr>
              <w:pStyle w:val="Heading1"/>
              <w:keepNext w:val="0"/>
              <w:spacing w:before="0" w:line="240" w:lineRule="auto"/>
              <w:jc w:val="both"/>
              <w:rPr>
                <w:rFonts w:ascii="Times New Roman" w:hAnsi="Times New Roman"/>
                <w:kern w:val="0"/>
                <w:sz w:val="20"/>
                <w:szCs w:val="20"/>
                <w:lang w:val="bg-BG"/>
              </w:rPr>
            </w:pPr>
            <w:r w:rsidRPr="007733AB">
              <w:rPr>
                <w:rFonts w:ascii="Times New Roman" w:hAnsi="Times New Roman"/>
                <w:bCs w:val="0"/>
                <w:kern w:val="0"/>
                <w:sz w:val="20"/>
                <w:szCs w:val="20"/>
                <w:lang w:val="bg-BG" w:eastAsia="fr-FR"/>
              </w:rPr>
              <w:t>(чл. 40, ал. 1 от НВМОП)</w:t>
            </w:r>
            <w:r w:rsidRPr="007733AB">
              <w:rPr>
                <w:rFonts w:ascii="Times New Roman" w:hAnsi="Times New Roman"/>
                <w:kern w:val="0"/>
                <w:sz w:val="20"/>
                <w:szCs w:val="20"/>
                <w:lang w:val="bg-BG"/>
              </w:rPr>
              <w:t xml:space="preserve"> </w:t>
            </w:r>
          </w:p>
          <w:p w:rsidR="002F66F4" w:rsidRPr="0054517B" w:rsidRDefault="002F66F4" w:rsidP="00102D56">
            <w:pPr>
              <w:ind w:right="110"/>
              <w:jc w:val="both"/>
              <w:outlineLvl w:val="1"/>
              <w:rPr>
                <w:b/>
                <w:color w:val="000080"/>
                <w:lang w:val="bg-BG"/>
              </w:rPr>
            </w:pPr>
            <w:r w:rsidRPr="0054517B">
              <w:rPr>
                <w:b/>
                <w:color w:val="000080"/>
                <w:lang w:val="bg-BG"/>
              </w:rPr>
              <w:t xml:space="preserve">т. </w:t>
            </w:r>
            <w:r w:rsidR="004D3507" w:rsidRPr="0054517B">
              <w:rPr>
                <w:b/>
                <w:color w:val="000080"/>
                <w:lang w:val="bg-BG"/>
              </w:rPr>
              <w:t xml:space="preserve">15 </w:t>
            </w:r>
            <w:r w:rsidRPr="0054517B">
              <w:rPr>
                <w:b/>
                <w:color w:val="000080"/>
                <w:lang w:val="bg-BG"/>
              </w:rPr>
              <w:t>от Насоките</w:t>
            </w:r>
          </w:p>
          <w:p w:rsidR="002F66F4" w:rsidRPr="00223A61" w:rsidRDefault="002F66F4" w:rsidP="00102D56">
            <w:pPr>
              <w:ind w:right="110"/>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 xml:space="preserve">прегледайте </w:t>
            </w:r>
            <w:r w:rsidRPr="00722655">
              <w:rPr>
                <w:color w:val="C0504D"/>
                <w:lang w:val="bg-BG"/>
              </w:rPr>
              <w:t>подлежащите на оценка документи от офертите на допуснатите до оценяване участници, както и протокола за работата на комисията.</w:t>
            </w:r>
          </w:p>
          <w:p w:rsidR="002F66F4" w:rsidRPr="007733AB" w:rsidRDefault="002F66F4" w:rsidP="00102D56">
            <w:pPr>
              <w:pStyle w:val="Heading1"/>
              <w:keepNext w:val="0"/>
              <w:spacing w:before="0" w:line="240" w:lineRule="auto"/>
              <w:jc w:val="both"/>
              <w:rPr>
                <w:rFonts w:ascii="Times New Roman" w:hAnsi="Times New Roman"/>
                <w:b w:val="0"/>
                <w:color w:val="008000"/>
                <w:kern w:val="0"/>
                <w:sz w:val="20"/>
                <w:szCs w:val="20"/>
                <w:lang w:val="bg-BG"/>
              </w:rPr>
            </w:pPr>
            <w:r w:rsidRPr="007733AB">
              <w:rPr>
                <w:rFonts w:ascii="Times New Roman" w:hAnsi="Times New Roman"/>
                <w:b w:val="0"/>
                <w:color w:val="008000"/>
                <w:kern w:val="0"/>
                <w:sz w:val="20"/>
                <w:szCs w:val="20"/>
                <w:lang w:val="bg-BG"/>
              </w:rPr>
              <w:t xml:space="preserve">Анализирайте дали методиката за оценка е приложена точно и обективно съгласно указанията за това по отношение на </w:t>
            </w:r>
            <w:r w:rsidR="004D3507" w:rsidRPr="007733AB">
              <w:rPr>
                <w:rFonts w:ascii="Times New Roman" w:hAnsi="Times New Roman"/>
                <w:b w:val="0"/>
                <w:color w:val="008000"/>
                <w:kern w:val="0"/>
                <w:sz w:val="20"/>
                <w:szCs w:val="20"/>
                <w:lang w:val="bg-BG"/>
              </w:rPr>
              <w:t xml:space="preserve">КЛАСИРАНИТЕ </w:t>
            </w:r>
            <w:r w:rsidRPr="007733AB">
              <w:rPr>
                <w:rFonts w:ascii="Times New Roman" w:hAnsi="Times New Roman"/>
                <w:b w:val="0"/>
                <w:color w:val="008000"/>
                <w:kern w:val="0"/>
                <w:sz w:val="20"/>
                <w:szCs w:val="20"/>
                <w:lang w:val="bg-BG"/>
              </w:rPr>
              <w:t>оферти.</w:t>
            </w:r>
          </w:p>
          <w:p w:rsidR="002F66F4" w:rsidRPr="004C591A" w:rsidRDefault="002F66F4" w:rsidP="00102D56">
            <w:pPr>
              <w:jc w:val="both"/>
              <w:rPr>
                <w:b/>
                <w:lang w:val="bg-BG" w:eastAsia="fr-FR"/>
              </w:rPr>
            </w:pPr>
            <w:r w:rsidRPr="004C591A">
              <w:rPr>
                <w:color w:val="008000"/>
                <w:lang w:val="bg-BG"/>
              </w:rPr>
              <w:t>Пресметнете оценките по всеки един показател на всеки участник съгласно методиката за оценка на офертите.</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38</w:t>
            </w:r>
          </w:p>
        </w:tc>
        <w:tc>
          <w:tcPr>
            <w:tcW w:w="8100" w:type="dxa"/>
            <w:gridSpan w:val="2"/>
            <w:noWrap/>
          </w:tcPr>
          <w:p w:rsidR="002F66F4" w:rsidRPr="004C591A" w:rsidRDefault="002F66F4" w:rsidP="00102D56">
            <w:pPr>
              <w:ind w:right="110"/>
              <w:jc w:val="both"/>
              <w:outlineLvl w:val="1"/>
              <w:rPr>
                <w:b/>
                <w:u w:val="single"/>
                <w:lang w:val="bg-BG" w:eastAsia="fr-FR"/>
              </w:rPr>
            </w:pPr>
            <w:r w:rsidRPr="004C591A">
              <w:rPr>
                <w:b/>
                <w:u w:val="single"/>
                <w:lang w:val="bg-BG" w:eastAsia="fr-FR"/>
              </w:rPr>
              <w:t>За процедури, открити преди ноември 2010 г.:</w:t>
            </w:r>
          </w:p>
          <w:p w:rsidR="002F66F4" w:rsidRPr="004C591A" w:rsidRDefault="00381492" w:rsidP="00102D56">
            <w:pPr>
              <w:ind w:right="110"/>
              <w:jc w:val="both"/>
              <w:outlineLvl w:val="1"/>
              <w:rPr>
                <w:b/>
                <w:lang w:val="bg-BG" w:eastAsia="fr-FR"/>
              </w:rPr>
            </w:pPr>
            <w:r w:rsidRPr="004C591A">
              <w:rPr>
                <w:b/>
                <w:lang w:val="bg-BG" w:eastAsia="fr-FR"/>
              </w:rPr>
              <w:t xml:space="preserve">Комисията изискала ли е </w:t>
            </w:r>
            <w:r w:rsidRPr="004C591A">
              <w:rPr>
                <w:b/>
                <w:u w:val="single"/>
                <w:lang w:val="bg-BG" w:eastAsia="fr-FR"/>
              </w:rPr>
              <w:t>обосновка</w:t>
            </w:r>
            <w:r w:rsidRPr="004C591A">
              <w:rPr>
                <w:b/>
                <w:lang w:val="bg-BG" w:eastAsia="fr-FR"/>
              </w:rPr>
              <w:t xml:space="preserve"> на предложението на участника, ако е предложил цена, която е с повече от 30% по-ниска от средната цена на останалите ценови предложения, които са допуснати до оценка? </w:t>
            </w:r>
          </w:p>
          <w:p w:rsidR="002F66F4" w:rsidRPr="004C591A" w:rsidRDefault="00381492" w:rsidP="00102D56">
            <w:pPr>
              <w:ind w:right="110"/>
              <w:jc w:val="both"/>
              <w:outlineLvl w:val="1"/>
              <w:rPr>
                <w:b/>
                <w:lang w:val="bg-BG" w:eastAsia="fr-FR"/>
              </w:rPr>
            </w:pPr>
            <w:r w:rsidRPr="004C591A">
              <w:rPr>
                <w:b/>
                <w:lang w:val="bg-BG" w:eastAsia="fr-FR"/>
              </w:rPr>
              <w:t>Определила ли е разумен срок за предоставянето й (не по-кратък от 3 дни)?</w:t>
            </w:r>
          </w:p>
          <w:p w:rsidR="002F66F4" w:rsidRPr="0054517B" w:rsidRDefault="00381492" w:rsidP="00102D56">
            <w:pPr>
              <w:ind w:right="110"/>
              <w:jc w:val="both"/>
              <w:outlineLvl w:val="1"/>
              <w:rPr>
                <w:lang w:val="bg-BG" w:eastAsia="fr-FR"/>
              </w:rPr>
            </w:pPr>
            <w:r w:rsidRPr="004C591A">
              <w:rPr>
                <w:b/>
                <w:lang w:val="bg-BG" w:eastAsia="fr-FR"/>
              </w:rPr>
              <w:t>Писмената обосновка на участника свързана ли е с обективните обстоятелства, визирани в чл. 39, ал. 2, т. 1-5 от НВМОП?</w:t>
            </w:r>
            <w:r w:rsidRPr="0054517B">
              <w:rPr>
                <w:lang w:val="bg-BG" w:eastAsia="fr-FR"/>
              </w:rPr>
              <w:t xml:space="preserve"> </w:t>
            </w:r>
          </w:p>
          <w:p w:rsidR="002F66F4" w:rsidRPr="0054517B" w:rsidRDefault="002F66F4" w:rsidP="00102D56">
            <w:pPr>
              <w:ind w:right="110"/>
              <w:jc w:val="both"/>
              <w:outlineLvl w:val="1"/>
              <w:rPr>
                <w:lang w:val="bg-BG" w:eastAsia="fr-FR"/>
              </w:rPr>
            </w:pPr>
            <w:r w:rsidRPr="0054517B">
              <w:rPr>
                <w:lang w:val="bg-BG" w:eastAsia="fr-FR"/>
              </w:rPr>
              <w:t xml:space="preserve">Нормата на чл. 39 от НВМОП се прилага, ако са </w:t>
            </w:r>
            <w:r w:rsidRPr="0054517B">
              <w:rPr>
                <w:b/>
                <w:u w:val="single"/>
                <w:lang w:val="bg-BG" w:eastAsia="fr-FR"/>
              </w:rPr>
              <w:t>отворени и допуснати</w:t>
            </w:r>
            <w:r w:rsidRPr="0054517B">
              <w:rPr>
                <w:lang w:val="bg-BG" w:eastAsia="fr-FR"/>
              </w:rPr>
              <w:t xml:space="preserve"> за оценяване поне 3 ценови оферти.</w:t>
            </w:r>
          </w:p>
          <w:p w:rsidR="002F66F4" w:rsidRPr="0054517B" w:rsidRDefault="002F66F4" w:rsidP="00102D56">
            <w:pPr>
              <w:ind w:right="110"/>
              <w:jc w:val="both"/>
              <w:outlineLvl w:val="1"/>
              <w:rPr>
                <w:b/>
                <w:lang w:val="bg-BG" w:eastAsia="fr-FR"/>
              </w:rPr>
            </w:pPr>
            <w:r w:rsidRPr="0054517B">
              <w:rPr>
                <w:b/>
                <w:lang w:val="bg-BG" w:eastAsia="fr-FR"/>
              </w:rPr>
              <w:t xml:space="preserve">(чл. 39, ал. 1 и 2 от НВМОП) </w:t>
            </w:r>
          </w:p>
          <w:p w:rsidR="002F66F4" w:rsidRPr="0054517B" w:rsidRDefault="002F66F4" w:rsidP="00102D56">
            <w:pPr>
              <w:ind w:right="110"/>
              <w:jc w:val="both"/>
              <w:outlineLvl w:val="1"/>
              <w:rPr>
                <w:b/>
                <w:color w:val="000080"/>
                <w:lang w:val="bg-BG"/>
              </w:rPr>
            </w:pPr>
            <w:r w:rsidRPr="0054517B">
              <w:rPr>
                <w:b/>
                <w:color w:val="000080"/>
                <w:lang w:val="bg-BG"/>
              </w:rPr>
              <w:t xml:space="preserve">т. </w:t>
            </w:r>
            <w:r w:rsidR="00381492" w:rsidRPr="0054517B">
              <w:rPr>
                <w:b/>
                <w:color w:val="000080"/>
                <w:lang w:val="bg-BG"/>
              </w:rPr>
              <w:t xml:space="preserve">15 и 20 </w:t>
            </w:r>
            <w:r w:rsidRPr="0054517B">
              <w:rPr>
                <w:b/>
                <w:color w:val="000080"/>
                <w:lang w:val="bg-BG"/>
              </w:rPr>
              <w:t>от Насоките</w:t>
            </w:r>
          </w:p>
          <w:p w:rsidR="002F66F4" w:rsidRPr="00223A61" w:rsidRDefault="002F66F4" w:rsidP="00102D56">
            <w:pPr>
              <w:ind w:right="110"/>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ценовите предложения на допуснатите до оценяване участници, протокола на комисията, получените обосновки.</w:t>
            </w:r>
          </w:p>
          <w:p w:rsidR="002F66F4" w:rsidRPr="004C591A" w:rsidRDefault="002F66F4" w:rsidP="00102D56">
            <w:pPr>
              <w:pStyle w:val="BodyText"/>
              <w:spacing w:before="0" w:after="0"/>
              <w:jc w:val="both"/>
              <w:rPr>
                <w:bCs/>
                <w:color w:val="008000"/>
                <w:lang w:val="bg-BG"/>
              </w:rPr>
            </w:pPr>
            <w:r w:rsidRPr="004C591A">
              <w:rPr>
                <w:bCs/>
                <w:color w:val="008000"/>
                <w:lang w:val="bg-BG"/>
              </w:rPr>
              <w:t>Анализирайте:</w:t>
            </w:r>
          </w:p>
          <w:p w:rsidR="002F66F4" w:rsidRPr="004C591A" w:rsidRDefault="002F66F4" w:rsidP="00102D56">
            <w:pPr>
              <w:pStyle w:val="BodyText"/>
              <w:spacing w:before="0" w:after="0"/>
              <w:jc w:val="both"/>
              <w:rPr>
                <w:bCs/>
                <w:color w:val="008000"/>
                <w:lang w:val="bg-BG"/>
              </w:rPr>
            </w:pPr>
            <w:r w:rsidRPr="004C591A">
              <w:rPr>
                <w:bCs/>
                <w:color w:val="008000"/>
                <w:lang w:val="bg-BG"/>
              </w:rPr>
              <w:t xml:space="preserve">- цените на участника, предложил необичайно ниска цена, и цените от офертите на </w:t>
            </w:r>
            <w:r w:rsidRPr="004C591A">
              <w:rPr>
                <w:bCs/>
                <w:color w:val="008000"/>
                <w:lang w:val="bg-BG"/>
              </w:rPr>
              <w:lastRenderedPageBreak/>
              <w:t xml:space="preserve">останалите участници; </w:t>
            </w:r>
          </w:p>
          <w:p w:rsidR="002F66F4" w:rsidRPr="004C591A" w:rsidRDefault="002F66F4" w:rsidP="00102D56">
            <w:pPr>
              <w:pStyle w:val="BodyText"/>
              <w:spacing w:before="0" w:after="0"/>
              <w:jc w:val="both"/>
              <w:rPr>
                <w:color w:val="008000"/>
                <w:lang w:val="bg-BG"/>
              </w:rPr>
            </w:pPr>
            <w:r w:rsidRPr="004C591A">
              <w:rPr>
                <w:bCs/>
                <w:color w:val="008000"/>
                <w:lang w:val="bg-BG"/>
              </w:rPr>
              <w:t>-  дали цената от офертата на участника е с 30 % по-ниска от средната цена на останалите оферти (последните не могат да бъдат по-малко от две);</w:t>
            </w:r>
          </w:p>
          <w:p w:rsidR="002F66F4" w:rsidRPr="004C591A" w:rsidRDefault="002F66F4" w:rsidP="00102D56">
            <w:pPr>
              <w:pStyle w:val="BodyText"/>
              <w:spacing w:before="0" w:after="0"/>
              <w:jc w:val="both"/>
              <w:rPr>
                <w:color w:val="008000"/>
                <w:lang w:val="bg-BG"/>
              </w:rPr>
            </w:pPr>
            <w:r w:rsidRPr="004C591A">
              <w:rPr>
                <w:color w:val="008000"/>
                <w:lang w:val="bg-BG"/>
              </w:rPr>
              <w:t>- определеният от комисията срок за получаване на писмената обосновка;</w:t>
            </w:r>
          </w:p>
          <w:p w:rsidR="002F66F4" w:rsidRPr="004C591A" w:rsidRDefault="002F66F4" w:rsidP="00102D56">
            <w:pPr>
              <w:pStyle w:val="BodyText"/>
              <w:spacing w:before="0" w:after="0"/>
              <w:jc w:val="both"/>
              <w:rPr>
                <w:color w:val="008000"/>
                <w:lang w:val="bg-BG"/>
              </w:rPr>
            </w:pPr>
            <w:r w:rsidRPr="004C591A">
              <w:rPr>
                <w:color w:val="008000"/>
                <w:lang w:val="bg-BG"/>
              </w:rPr>
              <w:t>- дата на постъпване на писмената обосновка;</w:t>
            </w:r>
          </w:p>
          <w:p w:rsidR="002F66F4" w:rsidRPr="004C591A" w:rsidRDefault="002F66F4" w:rsidP="00102D56">
            <w:pPr>
              <w:jc w:val="both"/>
              <w:rPr>
                <w:b/>
                <w:lang w:val="bg-BG" w:eastAsia="fr-FR"/>
              </w:rPr>
            </w:pPr>
            <w:r w:rsidRPr="004C591A">
              <w:rPr>
                <w:color w:val="008000"/>
                <w:lang w:val="bg-BG"/>
              </w:rPr>
              <w:t>- дали писмената обосновка съдържа обективните обстоятелства, визирани в чл. 39, ал. 2, т. 1-5 от НВМОП.</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39</w:t>
            </w:r>
          </w:p>
        </w:tc>
        <w:tc>
          <w:tcPr>
            <w:tcW w:w="8100" w:type="dxa"/>
            <w:gridSpan w:val="2"/>
            <w:noWrap/>
          </w:tcPr>
          <w:p w:rsidR="002F66F4" w:rsidRPr="004C591A" w:rsidRDefault="002F66F4" w:rsidP="00102D56">
            <w:pPr>
              <w:ind w:right="110"/>
              <w:jc w:val="both"/>
              <w:outlineLvl w:val="1"/>
              <w:rPr>
                <w:b/>
                <w:u w:val="single"/>
                <w:lang w:val="bg-BG" w:eastAsia="fr-FR"/>
              </w:rPr>
            </w:pPr>
            <w:r w:rsidRPr="004C591A">
              <w:rPr>
                <w:b/>
                <w:u w:val="single"/>
                <w:lang w:val="bg-BG" w:eastAsia="fr-FR"/>
              </w:rPr>
              <w:t>За процедури, открити след ноември 2010 г.:</w:t>
            </w:r>
          </w:p>
          <w:p w:rsidR="002F66F4" w:rsidRPr="004C591A" w:rsidRDefault="00381492" w:rsidP="00102D56">
            <w:pPr>
              <w:ind w:right="110"/>
              <w:jc w:val="both"/>
              <w:outlineLvl w:val="1"/>
              <w:rPr>
                <w:b/>
                <w:lang w:val="bg-BG" w:eastAsia="fr-FR"/>
              </w:rPr>
            </w:pPr>
            <w:r w:rsidRPr="004C591A">
              <w:rPr>
                <w:b/>
                <w:lang w:val="bg-BG" w:eastAsia="fr-FR"/>
              </w:rPr>
              <w:t xml:space="preserve">Комисията изискала ли е обосновка от  участника, ако предложението му е с 30% по-благоприятно от средната стойност на съответните предложения в останалите допуснати до оценка оферти ? </w:t>
            </w:r>
          </w:p>
          <w:p w:rsidR="002F66F4" w:rsidRPr="004C591A" w:rsidRDefault="00381492" w:rsidP="00102D56">
            <w:pPr>
              <w:ind w:right="110"/>
              <w:jc w:val="both"/>
              <w:outlineLvl w:val="1"/>
              <w:rPr>
                <w:b/>
                <w:lang w:val="bg-BG" w:eastAsia="fr-FR"/>
              </w:rPr>
            </w:pPr>
            <w:r w:rsidRPr="004C591A">
              <w:rPr>
                <w:b/>
                <w:lang w:val="bg-BG" w:eastAsia="fr-FR"/>
              </w:rPr>
              <w:t>Определила ли е разумен срок за предоставянето й (не по-кратък от 3 работни дни)?</w:t>
            </w:r>
          </w:p>
          <w:p w:rsidR="002F66F4" w:rsidRPr="0054517B" w:rsidRDefault="00381492" w:rsidP="00102D56">
            <w:pPr>
              <w:ind w:right="110"/>
              <w:jc w:val="both"/>
              <w:outlineLvl w:val="1"/>
              <w:rPr>
                <w:b/>
                <w:lang w:val="bg-BG" w:eastAsia="fr-FR"/>
              </w:rPr>
            </w:pPr>
            <w:r w:rsidRPr="004C591A">
              <w:rPr>
                <w:b/>
                <w:lang w:val="bg-BG" w:eastAsia="fr-FR"/>
              </w:rPr>
              <w:t>Писмената обосновка на участника свързана ли е с обективните обстоятелства, визирани в чл. 39, ал. 2, т. 1-5 от НВМОП?</w:t>
            </w:r>
            <w:r w:rsidRPr="0054517B">
              <w:rPr>
                <w:b/>
                <w:lang w:val="bg-BG" w:eastAsia="fr-FR"/>
              </w:rPr>
              <w:t xml:space="preserve"> </w:t>
            </w:r>
          </w:p>
          <w:p w:rsidR="002F66F4" w:rsidRPr="0054517B" w:rsidRDefault="002F66F4" w:rsidP="00102D56">
            <w:pPr>
              <w:ind w:right="110"/>
              <w:jc w:val="both"/>
              <w:outlineLvl w:val="1"/>
              <w:rPr>
                <w:b/>
                <w:lang w:val="bg-BG" w:eastAsia="fr-FR"/>
              </w:rPr>
            </w:pPr>
            <w:r w:rsidRPr="0054517B">
              <w:rPr>
                <w:b/>
                <w:lang w:val="bg-BG" w:eastAsia="fr-FR"/>
              </w:rPr>
              <w:t>(чл. 39, ал. 1 и 2 от НВМОП)</w:t>
            </w:r>
          </w:p>
          <w:p w:rsidR="002F66F4" w:rsidRPr="0054517B" w:rsidRDefault="002F66F4" w:rsidP="00102D56">
            <w:pPr>
              <w:ind w:right="110"/>
              <w:jc w:val="both"/>
              <w:outlineLvl w:val="1"/>
              <w:rPr>
                <w:b/>
                <w:color w:val="000080"/>
                <w:lang w:val="bg-BG"/>
              </w:rPr>
            </w:pPr>
            <w:r w:rsidRPr="0054517B">
              <w:rPr>
                <w:b/>
                <w:color w:val="000080"/>
                <w:lang w:val="bg-BG"/>
              </w:rPr>
              <w:t xml:space="preserve">т. </w:t>
            </w:r>
            <w:r w:rsidR="00381492" w:rsidRPr="0054517B">
              <w:rPr>
                <w:b/>
                <w:color w:val="000080"/>
                <w:lang w:val="bg-BG"/>
              </w:rPr>
              <w:t xml:space="preserve">15 и 20 </w:t>
            </w:r>
            <w:r w:rsidRPr="0054517B">
              <w:rPr>
                <w:b/>
                <w:color w:val="000080"/>
                <w:lang w:val="bg-BG"/>
              </w:rPr>
              <w:t>от Насоките</w:t>
            </w:r>
          </w:p>
          <w:p w:rsidR="002F66F4" w:rsidRPr="004C591A" w:rsidRDefault="002F66F4" w:rsidP="00102D56">
            <w:pPr>
              <w:ind w:right="110"/>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съответните документи от офертите на участни</w:t>
            </w:r>
            <w:r w:rsidRPr="00223A61">
              <w:rPr>
                <w:bCs/>
                <w:color w:val="C0504D"/>
                <w:lang w:val="bg-BG"/>
              </w:rPr>
              <w:t>ците, допуснати до оценяване, протокола за работата на комисията и получените обосновки.</w:t>
            </w:r>
          </w:p>
          <w:p w:rsidR="002F66F4" w:rsidRPr="004C591A" w:rsidRDefault="002F66F4" w:rsidP="00102D56">
            <w:pPr>
              <w:jc w:val="both"/>
              <w:rPr>
                <w:b/>
                <w:lang w:val="bg-BG" w:eastAsia="fr-FR"/>
              </w:rPr>
            </w:pPr>
            <w:r w:rsidRPr="004C591A">
              <w:rPr>
                <w:color w:val="008000"/>
                <w:lang w:val="bg-BG" w:eastAsia="fr-FR"/>
              </w:rPr>
              <w:t>Вижте и приложете разясненията по горния въпрос.</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381492" w:rsidRPr="004C591A" w:rsidTr="00521D9D">
        <w:trPr>
          <w:trHeight w:val="270"/>
        </w:trPr>
        <w:tc>
          <w:tcPr>
            <w:tcW w:w="828" w:type="dxa"/>
          </w:tcPr>
          <w:p w:rsidR="00381492"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40</w:t>
            </w:r>
          </w:p>
        </w:tc>
        <w:tc>
          <w:tcPr>
            <w:tcW w:w="8100" w:type="dxa"/>
            <w:gridSpan w:val="2"/>
            <w:noWrap/>
          </w:tcPr>
          <w:p w:rsidR="00381492" w:rsidRPr="004C591A" w:rsidRDefault="00542908" w:rsidP="00381492">
            <w:pPr>
              <w:ind w:right="110"/>
              <w:jc w:val="both"/>
              <w:outlineLvl w:val="1"/>
              <w:rPr>
                <w:b/>
                <w:lang w:val="bg-BG" w:eastAsia="fr-FR"/>
              </w:rPr>
            </w:pPr>
            <w:r>
              <w:rPr>
                <w:b/>
                <w:lan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пликове № 2 и № 3</w:t>
            </w:r>
            <w:r w:rsidR="00381492" w:rsidRPr="004C591A">
              <w:rPr>
                <w:b/>
                <w:lang w:val="bg-BG" w:eastAsia="fr-FR"/>
              </w:rPr>
              <w:t>?</w:t>
            </w:r>
          </w:p>
          <w:p w:rsidR="00381492" w:rsidRPr="0054517B" w:rsidRDefault="00381492" w:rsidP="00381492">
            <w:pPr>
              <w:ind w:right="110"/>
              <w:jc w:val="both"/>
              <w:outlineLvl w:val="1"/>
              <w:rPr>
                <w:lang w:val="bg-BG" w:eastAsia="fr-FR"/>
              </w:rPr>
            </w:pPr>
            <w:r w:rsidRPr="0054517B">
              <w:rPr>
                <w:lang w:val="bg-B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38, ал. 11 от НВМОП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381492" w:rsidRPr="0054517B" w:rsidRDefault="00381492" w:rsidP="00381492">
            <w:pPr>
              <w:ind w:right="110"/>
              <w:jc w:val="both"/>
              <w:outlineLvl w:val="1"/>
              <w:rPr>
                <w:b/>
                <w:lang w:val="bg-BG" w:eastAsia="fr-FR"/>
              </w:rPr>
            </w:pPr>
            <w:r w:rsidRPr="0054517B">
              <w:rPr>
                <w:b/>
                <w:lang w:val="bg-BG" w:eastAsia="fr-FR"/>
              </w:rPr>
              <w:t>(чл. 38, ал. 11 от НВМОП)</w:t>
            </w:r>
          </w:p>
          <w:p w:rsidR="00381492" w:rsidRPr="00722655" w:rsidRDefault="00381492" w:rsidP="00381492">
            <w:pPr>
              <w:ind w:right="110"/>
              <w:jc w:val="both"/>
              <w:outlineLvl w:val="1"/>
              <w:rPr>
                <w:b/>
                <w:lang w:val="bg-BG" w:eastAsia="fr-FR"/>
              </w:rPr>
            </w:pPr>
            <w:r w:rsidRPr="0054517B">
              <w:rPr>
                <w:b/>
                <w:color w:val="C0504D"/>
                <w:lang w:val="bg-BG" w:eastAsia="bg-BG"/>
              </w:rPr>
              <w:t xml:space="preserve">Насочващи източници на информация: </w:t>
            </w:r>
            <w:r w:rsidRPr="0054517B">
              <w:rPr>
                <w:color w:val="C0504D"/>
                <w:lang w:val="bg-BG" w:eastAsia="bg-BG"/>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381492" w:rsidRPr="004C591A" w:rsidRDefault="00381492" w:rsidP="00381492">
            <w:pPr>
              <w:jc w:val="both"/>
              <w:rPr>
                <w:lang w:val="bg-BG" w:eastAsia="bg-BG"/>
              </w:rPr>
            </w:pPr>
            <w:r w:rsidRPr="00223A61">
              <w:rPr>
                <w:b/>
                <w:color w:val="000080"/>
                <w:lang w:val="bg-BG" w:eastAsia="bg-BG"/>
              </w:rPr>
              <w:t xml:space="preserve">т. 17 от Насоките </w:t>
            </w:r>
          </w:p>
          <w:p w:rsidR="00381492" w:rsidRPr="004C591A" w:rsidRDefault="00381492" w:rsidP="00381492">
            <w:pPr>
              <w:ind w:right="110"/>
              <w:jc w:val="both"/>
              <w:outlineLvl w:val="1"/>
              <w:rPr>
                <w:b/>
                <w:u w:val="single"/>
                <w:lang w:val="bg-BG" w:eastAsia="fr-FR"/>
              </w:rPr>
            </w:pPr>
            <w:r w:rsidRPr="004C591A">
              <w:rPr>
                <w:color w:val="008000"/>
                <w:lang w:val="bg-BG" w:eastAsia="fr-FR"/>
              </w:rPr>
              <w:t>Анализирайте документите, съдържащи се в досието на обществената поръчка, за да установите дали комисията е допуснала изменение на оферт</w:t>
            </w:r>
            <w:r w:rsidR="00542908">
              <w:rPr>
                <w:color w:val="008000"/>
                <w:lang w:val="bg-BG" w:eastAsia="fr-FR"/>
              </w:rPr>
              <w:t>ата</w:t>
            </w:r>
            <w:r w:rsidRPr="0054517B">
              <w:rPr>
                <w:color w:val="008000"/>
                <w:lang w:val="bg-BG" w:eastAsia="fr-FR"/>
              </w:rPr>
              <w:t xml:space="preserve"> на участни</w:t>
            </w:r>
            <w:r w:rsidR="00542908">
              <w:rPr>
                <w:color w:val="008000"/>
                <w:lang w:val="bg-BG" w:eastAsia="fr-FR"/>
              </w:rPr>
              <w:t xml:space="preserve">ка, определен </w:t>
            </w:r>
            <w:r w:rsidR="00542908">
              <w:rPr>
                <w:color w:val="008000"/>
                <w:lang w:val="bg-BG" w:eastAsia="fr-FR"/>
              </w:rPr>
              <w:lastRenderedPageBreak/>
              <w:t>за изпълнител</w:t>
            </w:r>
            <w:r w:rsidRPr="0054517B">
              <w:rPr>
                <w:color w:val="008000"/>
                <w:lang w:val="bg-BG" w:eastAsia="fr-FR"/>
              </w:rPr>
              <w:t>.</w:t>
            </w:r>
          </w:p>
        </w:tc>
        <w:tc>
          <w:tcPr>
            <w:tcW w:w="700" w:type="dxa"/>
          </w:tcPr>
          <w:p w:rsidR="00381492" w:rsidRPr="007733AB" w:rsidRDefault="00381492" w:rsidP="00DB60CD">
            <w:pPr>
              <w:pStyle w:val="Heading1"/>
              <w:keepNext w:val="0"/>
              <w:rPr>
                <w:rFonts w:ascii="Times New Roman" w:hAnsi="Times New Roman"/>
                <w:kern w:val="0"/>
                <w:sz w:val="20"/>
                <w:szCs w:val="20"/>
                <w:lang w:val="bg-BG"/>
              </w:rPr>
            </w:pPr>
          </w:p>
        </w:tc>
        <w:tc>
          <w:tcPr>
            <w:tcW w:w="5240" w:type="dxa"/>
          </w:tcPr>
          <w:p w:rsidR="00381492" w:rsidRPr="007733AB" w:rsidRDefault="00381492"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ІІІ. ПРИКЛЮЧВАНЕ НА ПРОЦЕДУРАТА ЗА ОБЩЕСТВЕНА ПОРЪЧКА</w:t>
            </w: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ІІІ. 1 Решение за класиране и определяне на изпълнител</w:t>
            </w: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41</w:t>
            </w:r>
          </w:p>
        </w:tc>
        <w:tc>
          <w:tcPr>
            <w:tcW w:w="8100" w:type="dxa"/>
            <w:gridSpan w:val="2"/>
            <w:noWrap/>
          </w:tcPr>
          <w:p w:rsidR="002F66F4" w:rsidRPr="0054517B" w:rsidRDefault="00381492" w:rsidP="00877C0C">
            <w:pPr>
              <w:ind w:right="110"/>
              <w:jc w:val="both"/>
              <w:outlineLvl w:val="1"/>
              <w:rPr>
                <w:b/>
                <w:lang w:val="bg-BG" w:eastAsia="fr-FR"/>
              </w:rPr>
            </w:pPr>
            <w:r w:rsidRPr="004C591A">
              <w:rPr>
                <w:b/>
                <w:lang w:val="bg-BG" w:eastAsia="fr-FR"/>
              </w:rPr>
              <w:t>Възложителят определил ли е за изпълнител на обществената поръчка участника, класиран на първо място</w:t>
            </w:r>
            <w:r w:rsidR="002F66F4" w:rsidRPr="004C591A">
              <w:rPr>
                <w:b/>
                <w:lang w:val="bg-BG" w:eastAsia="fr-FR"/>
              </w:rPr>
              <w:t>?</w:t>
            </w:r>
            <w:r w:rsidR="002F66F4" w:rsidRPr="0054517B">
              <w:rPr>
                <w:b/>
                <w:lang w:val="bg-BG" w:eastAsia="fr-FR"/>
              </w:rPr>
              <w:t xml:space="preserve"> </w:t>
            </w:r>
          </w:p>
          <w:p w:rsidR="002F66F4" w:rsidRPr="0054517B" w:rsidRDefault="002F66F4" w:rsidP="00877C0C">
            <w:pPr>
              <w:ind w:right="110"/>
              <w:jc w:val="both"/>
              <w:outlineLvl w:val="1"/>
              <w:rPr>
                <w:lang w:val="bg-BG" w:eastAsia="fr-FR"/>
              </w:rPr>
            </w:pPr>
            <w:r w:rsidRPr="0054517B">
              <w:rPr>
                <w:lang w:val="bg-BG" w:eastAsia="fr-FR"/>
              </w:rPr>
              <w:t>Възложителят е длъжен да определи за изпълнител участника, класиран от комисията на първо място.</w:t>
            </w:r>
          </w:p>
          <w:p w:rsidR="002F66F4" w:rsidRPr="007733AB" w:rsidRDefault="002F66F4" w:rsidP="00877C0C">
            <w:pPr>
              <w:pStyle w:val="Heading1"/>
              <w:keepNext w:val="0"/>
              <w:spacing w:before="0" w:line="240" w:lineRule="auto"/>
              <w:jc w:val="both"/>
              <w:rPr>
                <w:rFonts w:ascii="Times New Roman" w:hAnsi="Times New Roman"/>
                <w:b w:val="0"/>
                <w:kern w:val="0"/>
                <w:sz w:val="20"/>
                <w:szCs w:val="20"/>
                <w:lang w:val="bg-BG"/>
              </w:rPr>
            </w:pPr>
            <w:r w:rsidRPr="007733AB">
              <w:rPr>
                <w:rFonts w:ascii="Times New Roman" w:hAnsi="Times New Roman"/>
                <w:bCs w:val="0"/>
                <w:kern w:val="0"/>
                <w:sz w:val="20"/>
                <w:szCs w:val="20"/>
                <w:lang w:val="bg-BG" w:eastAsia="fr-FR"/>
              </w:rPr>
              <w:t>(чл. 43, ал. 1 от НВМОП)</w:t>
            </w:r>
            <w:r w:rsidRPr="007733AB">
              <w:rPr>
                <w:rFonts w:ascii="Times New Roman" w:hAnsi="Times New Roman"/>
                <w:b w:val="0"/>
                <w:kern w:val="0"/>
                <w:sz w:val="20"/>
                <w:szCs w:val="20"/>
                <w:lang w:val="bg-BG"/>
              </w:rPr>
              <w:t xml:space="preserve"> </w:t>
            </w:r>
          </w:p>
          <w:p w:rsidR="002F66F4" w:rsidRPr="00722655" w:rsidRDefault="002F66F4" w:rsidP="00E91857">
            <w:pPr>
              <w:ind w:right="110"/>
              <w:jc w:val="both"/>
              <w:outlineLvl w:val="1"/>
              <w:rPr>
                <w:b/>
                <w:color w:val="000080"/>
                <w:lang w:val="bg-BG"/>
              </w:rPr>
            </w:pPr>
            <w:r w:rsidRPr="0054517B">
              <w:rPr>
                <w:b/>
                <w:color w:val="000080"/>
                <w:lang w:val="bg-BG"/>
              </w:rPr>
              <w:t xml:space="preserve">т. </w:t>
            </w:r>
            <w:r w:rsidR="00381492" w:rsidRPr="0054517B">
              <w:rPr>
                <w:b/>
                <w:color w:val="000080"/>
                <w:lang w:val="bg-BG"/>
              </w:rPr>
              <w:t xml:space="preserve">15-18 </w:t>
            </w:r>
            <w:r w:rsidRPr="00722655">
              <w:rPr>
                <w:b/>
                <w:color w:val="000080"/>
                <w:lang w:val="bg-BG"/>
              </w:rPr>
              <w:t>от Насоките</w:t>
            </w:r>
          </w:p>
          <w:p w:rsidR="002F66F4" w:rsidRPr="004C591A" w:rsidRDefault="002F66F4">
            <w:pPr>
              <w:jc w:val="both"/>
              <w:rPr>
                <w:lang w:val="bg-BG" w:eastAsia="fr-FR"/>
              </w:rPr>
            </w:pPr>
            <w:r w:rsidRPr="00223A61">
              <w:rPr>
                <w:b/>
                <w:bCs/>
                <w:color w:val="C0504D"/>
                <w:lang w:val="bg-BG"/>
              </w:rPr>
              <w:t xml:space="preserve">Насочващи източници на информация: </w:t>
            </w:r>
            <w:r w:rsidRPr="004C591A">
              <w:rPr>
                <w:bCs/>
                <w:color w:val="C0504D"/>
                <w:lang w:val="bg-BG"/>
              </w:rPr>
              <w:t>прегледайте</w:t>
            </w:r>
            <w:r w:rsidRPr="004C591A">
              <w:rPr>
                <w:color w:val="C0504D"/>
                <w:lang w:val="bg-BG" w:eastAsia="fr-FR"/>
              </w:rPr>
              <w:t xml:space="preserve"> решението за класиране на участниците и определяне на изпълнител.</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9A461F" w:rsidRPr="009A461F" w:rsidRDefault="009A461F" w:rsidP="009A461F">
            <w:pPr>
              <w:pStyle w:val="BodyText"/>
              <w:widowControl w:val="0"/>
              <w:spacing w:before="240" w:after="60"/>
              <w:ind w:left="72"/>
              <w:jc w:val="both"/>
              <w:rPr>
                <w:b/>
                <w:lang w:val="bg-BG"/>
              </w:rPr>
            </w:pPr>
            <w:r>
              <w:rPr>
                <w:b/>
                <w:lang w:val="bg-BG"/>
              </w:rPr>
              <w:t>42</w:t>
            </w:r>
          </w:p>
        </w:tc>
        <w:tc>
          <w:tcPr>
            <w:tcW w:w="8100" w:type="dxa"/>
            <w:gridSpan w:val="2"/>
            <w:noWrap/>
          </w:tcPr>
          <w:p w:rsidR="002F66F4" w:rsidRPr="0054517B" w:rsidRDefault="00D71F6B" w:rsidP="006927C7">
            <w:pPr>
              <w:ind w:right="110"/>
              <w:jc w:val="both"/>
              <w:outlineLvl w:val="1"/>
              <w:rPr>
                <w:b/>
                <w:lang w:val="bg-BG" w:eastAsia="fr-FR"/>
              </w:rPr>
            </w:pPr>
            <w:r w:rsidRPr="004C591A">
              <w:rPr>
                <w:b/>
                <w:lang w:val="bg-BG" w:eastAsia="fr-FR"/>
              </w:rPr>
              <w:t>Решението за класиране и определяне на изпълнител изпратено ли е на всички участници в 3-дневен срок от издаването му</w:t>
            </w:r>
            <w:r w:rsidR="002F66F4" w:rsidRPr="004C591A">
              <w:rPr>
                <w:b/>
                <w:lang w:val="bg-BG" w:eastAsia="fr-FR"/>
              </w:rPr>
              <w:t>?</w:t>
            </w:r>
          </w:p>
          <w:p w:rsidR="002F66F4" w:rsidRPr="0054517B" w:rsidRDefault="002F66F4" w:rsidP="006927C7">
            <w:pPr>
              <w:ind w:right="110"/>
              <w:jc w:val="both"/>
              <w:outlineLvl w:val="1"/>
              <w:rPr>
                <w:b/>
                <w:lang w:val="bg-BG" w:eastAsia="fr-FR"/>
              </w:rPr>
            </w:pPr>
            <w:r w:rsidRPr="0054517B">
              <w:rPr>
                <w:lang w:val="bg-B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54517B">
              <w:rPr>
                <w:b/>
                <w:lang w:val="bg-BG" w:eastAsia="fr-FR"/>
              </w:rPr>
              <w:t xml:space="preserve"> </w:t>
            </w:r>
          </w:p>
          <w:p w:rsidR="002F66F4" w:rsidRPr="007733AB" w:rsidRDefault="002F66F4" w:rsidP="006927C7">
            <w:pPr>
              <w:pStyle w:val="Heading1"/>
              <w:keepNext w:val="0"/>
              <w:spacing w:before="0" w:line="240" w:lineRule="auto"/>
              <w:rPr>
                <w:rFonts w:ascii="Times New Roman" w:hAnsi="Times New Roman"/>
                <w:bCs w:val="0"/>
                <w:kern w:val="0"/>
                <w:sz w:val="20"/>
                <w:szCs w:val="20"/>
                <w:lang w:val="bg-BG" w:eastAsia="fr-FR"/>
              </w:rPr>
            </w:pPr>
            <w:r w:rsidRPr="007733AB">
              <w:rPr>
                <w:rFonts w:ascii="Times New Roman" w:hAnsi="Times New Roman"/>
                <w:bCs w:val="0"/>
                <w:kern w:val="0"/>
                <w:sz w:val="20"/>
                <w:szCs w:val="20"/>
                <w:lang w:val="bg-BG" w:eastAsia="fr-FR"/>
              </w:rPr>
              <w:t>(чл. 42, ал. 3 от НВМОП)</w:t>
            </w:r>
          </w:p>
          <w:p w:rsidR="002F66F4" w:rsidRPr="007733AB" w:rsidRDefault="002F66F4" w:rsidP="00734EDB">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7733AB">
              <w:rPr>
                <w:rFonts w:ascii="Times New Roman" w:hAnsi="Times New Roman"/>
                <w:color w:val="C0504D"/>
                <w:kern w:val="0"/>
                <w:sz w:val="20"/>
                <w:szCs w:val="20"/>
                <w:lang w:val="bg-BG"/>
              </w:rPr>
              <w:t>Насочващи източници на информация:</w:t>
            </w:r>
            <w:r w:rsidRPr="007733AB">
              <w:rPr>
                <w:rFonts w:ascii="Times New Roman" w:hAnsi="Times New Roman"/>
                <w:b w:val="0"/>
                <w:color w:val="C0504D"/>
                <w:kern w:val="0"/>
                <w:sz w:val="20"/>
                <w:szCs w:val="20"/>
                <w:lang w:val="bg-BG"/>
              </w:rPr>
              <w:t xml:space="preserve"> прегледайте </w:t>
            </w:r>
            <w:r w:rsidRPr="007733AB">
              <w:rPr>
                <w:rFonts w:ascii="Times New Roman" w:hAnsi="Times New Roman"/>
                <w:b w:val="0"/>
                <w:bCs w:val="0"/>
                <w:color w:val="C0504D"/>
                <w:kern w:val="0"/>
                <w:sz w:val="20"/>
                <w:szCs w:val="20"/>
                <w:lang w:val="bg-BG" w:eastAsia="fr-FR"/>
              </w:rPr>
              <w:t>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D71F6B" w:rsidRPr="004C591A" w:rsidRDefault="00D71F6B" w:rsidP="00D71F6B">
            <w:pPr>
              <w:rPr>
                <w:sz w:val="24"/>
                <w:szCs w:val="24"/>
                <w:lang w:val="bg-BG" w:eastAsia="fr-FR"/>
              </w:rPr>
            </w:pPr>
            <w:r w:rsidRPr="00223A61">
              <w:rPr>
                <w:b/>
                <w:color w:val="000080"/>
                <w:lang w:val="bg-BG" w:eastAsia="bg-BG"/>
              </w:rPr>
              <w:t>т. 16 от Насоките</w:t>
            </w:r>
          </w:p>
          <w:p w:rsidR="002F66F4" w:rsidRPr="007733AB" w:rsidRDefault="002F66F4" w:rsidP="006927C7">
            <w:pPr>
              <w:pStyle w:val="Heading1"/>
              <w:keepNext w:val="0"/>
              <w:spacing w:before="0" w:line="240" w:lineRule="auto"/>
              <w:rPr>
                <w:rFonts w:ascii="Times New Roman" w:hAnsi="Times New Roman"/>
                <w:b w:val="0"/>
                <w:color w:val="008000"/>
                <w:kern w:val="0"/>
                <w:sz w:val="20"/>
                <w:szCs w:val="20"/>
                <w:lang w:val="bg-BG"/>
              </w:rPr>
            </w:pPr>
            <w:r w:rsidRPr="007733AB">
              <w:rPr>
                <w:rFonts w:ascii="Times New Roman" w:hAnsi="Times New Roman"/>
                <w:b w:val="0"/>
                <w:color w:val="008000"/>
                <w:kern w:val="0"/>
                <w:sz w:val="20"/>
                <w:szCs w:val="20"/>
                <w:lang w:val="bg-BG"/>
              </w:rPr>
              <w:t>Анализирайте:</w:t>
            </w:r>
          </w:p>
          <w:p w:rsidR="002F66F4" w:rsidRPr="004C591A" w:rsidRDefault="002F66F4" w:rsidP="006927C7">
            <w:pPr>
              <w:pStyle w:val="BodyText"/>
              <w:spacing w:before="0" w:after="0"/>
              <w:jc w:val="both"/>
              <w:rPr>
                <w:color w:val="008000"/>
                <w:lang w:val="bg-BG"/>
              </w:rPr>
            </w:pPr>
            <w:r w:rsidRPr="004C591A">
              <w:rPr>
                <w:color w:val="008000"/>
                <w:lang w:val="bg-BG"/>
              </w:rPr>
              <w:t>- датата на решението за класиране и определяне на изпълнител;</w:t>
            </w:r>
          </w:p>
          <w:p w:rsidR="002F66F4" w:rsidRPr="004C591A" w:rsidRDefault="002F66F4" w:rsidP="006927C7">
            <w:pPr>
              <w:pStyle w:val="BodyText"/>
              <w:spacing w:before="0" w:after="0"/>
              <w:jc w:val="both"/>
              <w:rPr>
                <w:color w:val="008000"/>
                <w:lang w:val="bg-BG"/>
              </w:rPr>
            </w:pPr>
            <w:r w:rsidRPr="004C591A">
              <w:rPr>
                <w:color w:val="008000"/>
                <w:lang w:val="bg-BG"/>
              </w:rPr>
              <w:t>- датата и адресата на придружителното писмо, с което е изпратено писмото (за всеки участник поотделно); или</w:t>
            </w:r>
          </w:p>
          <w:p w:rsidR="002F66F4" w:rsidRPr="004C591A" w:rsidRDefault="002F66F4">
            <w:pPr>
              <w:pStyle w:val="BodyText"/>
              <w:spacing w:before="0" w:after="0"/>
              <w:jc w:val="both"/>
              <w:rPr>
                <w:i/>
                <w:lang w:val="bg-BG" w:eastAsia="fr-FR"/>
              </w:rPr>
            </w:pPr>
            <w:r w:rsidRPr="004C591A">
              <w:rPr>
                <w:color w:val="008000"/>
                <w:lang w:val="bg-BG"/>
              </w:rPr>
              <w:t>- датата на получаване на решението на ръка (за всеки участник поотделно).</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AD2DC0">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ІІІ. 3 Решение за прекратяване на процедурата</w:t>
            </w: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43</w:t>
            </w:r>
          </w:p>
        </w:tc>
        <w:tc>
          <w:tcPr>
            <w:tcW w:w="8100" w:type="dxa"/>
            <w:gridSpan w:val="2"/>
            <w:noWrap/>
          </w:tcPr>
          <w:p w:rsidR="002F66F4" w:rsidRPr="004C591A" w:rsidRDefault="003502DD" w:rsidP="00101E04">
            <w:pPr>
              <w:ind w:right="110"/>
              <w:jc w:val="both"/>
              <w:outlineLvl w:val="1"/>
              <w:rPr>
                <w:b/>
                <w:lang w:val="bg-BG" w:eastAsia="fr-FR"/>
              </w:rPr>
            </w:pPr>
            <w:r w:rsidRPr="004C591A">
              <w:rPr>
                <w:b/>
                <w:lang w:val="bg-B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F66F4" w:rsidRPr="004C591A" w:rsidRDefault="002F66F4" w:rsidP="009C1E25">
            <w:pPr>
              <w:numPr>
                <w:ilvl w:val="0"/>
                <w:numId w:val="12"/>
              </w:numPr>
              <w:tabs>
                <w:tab w:val="clear" w:pos="720"/>
                <w:tab w:val="num" w:pos="400"/>
              </w:tabs>
              <w:ind w:left="400" w:right="110" w:hanging="180"/>
              <w:jc w:val="both"/>
              <w:outlineLvl w:val="1"/>
              <w:rPr>
                <w:b/>
                <w:lang w:val="bg-BG"/>
              </w:rPr>
            </w:pPr>
            <w:r w:rsidRPr="004C591A">
              <w:rPr>
                <w:b/>
                <w:lang w:val="bg-BG"/>
              </w:rPr>
              <w:t xml:space="preserve">не е подадена нито една оферта или няма участник, който отговаря на изискванията по </w:t>
            </w:r>
            <w:hyperlink r:id="rId8" w:history="1">
              <w:r w:rsidRPr="004C591A">
                <w:rPr>
                  <w:rStyle w:val="Hyperlink"/>
                  <w:b/>
                  <w:color w:val="auto"/>
                  <w:u w:val="none"/>
                  <w:lang w:val="bg-BG"/>
                </w:rPr>
                <w:t>чл. 47 - 53а</w:t>
              </w:r>
            </w:hyperlink>
            <w:r w:rsidRPr="004C591A">
              <w:rPr>
                <w:b/>
                <w:lang w:val="bg-BG"/>
              </w:rPr>
              <w:t xml:space="preserve"> от ЗОП; </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всички оферти не отговарят на предварително обявените условия;</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всички оферти, които отговарят на предварително обявените от възложителя условия, надвишават финансовия ресурс, който възложителят може да осигури;</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lastRenderedPageBreak/>
              <w:t>първият или вторият класиран участник са отказали да сключат договор;</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отпаднала 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установени са нарушения при откриването и провеждането на процедурата, които не могат да бъдат отстранени, без това да промени условията, при които е обявена;</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 xml:space="preserve">поради наличие на някое от основанията по </w:t>
            </w:r>
            <w:hyperlink r:id="rId9" w:history="1">
              <w:r w:rsidRPr="004C591A">
                <w:rPr>
                  <w:rStyle w:val="Hyperlink"/>
                  <w:rFonts w:ascii="Times New Roman" w:hAnsi="Times New Roman"/>
                  <w:b/>
                  <w:color w:val="auto"/>
                  <w:sz w:val="20"/>
                  <w:szCs w:val="20"/>
                  <w:u w:val="none"/>
                  <w:lang w:val="bg-BG"/>
                </w:rPr>
                <w:t>чл. 32, ал. 1</w:t>
              </w:r>
            </w:hyperlink>
            <w:r w:rsidRPr="004C591A">
              <w:rPr>
                <w:rFonts w:ascii="Times New Roman" w:hAnsi="Times New Roman" w:cs="Times New Roman"/>
                <w:b/>
                <w:sz w:val="20"/>
                <w:szCs w:val="20"/>
                <w:lang w:val="bg-BG"/>
              </w:rPr>
              <w:t xml:space="preserve"> от НВМОП не се сключва договор за обществена поръчка.</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подадена е само една оферта;</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 xml:space="preserve">има само един участник, който отговаря на изискванията по </w:t>
            </w:r>
            <w:hyperlink r:id="rId10" w:history="1">
              <w:r w:rsidRPr="004C591A">
                <w:rPr>
                  <w:rStyle w:val="Hyperlink"/>
                  <w:rFonts w:ascii="Times New Roman" w:hAnsi="Times New Roman"/>
                  <w:b/>
                  <w:color w:val="auto"/>
                  <w:sz w:val="20"/>
                  <w:szCs w:val="20"/>
                  <w:u w:val="none"/>
                  <w:lang w:val="bg-BG"/>
                </w:rPr>
                <w:t>чл. 47 - 53а</w:t>
              </w:r>
            </w:hyperlink>
            <w:r w:rsidRPr="004C591A">
              <w:rPr>
                <w:rFonts w:ascii="Times New Roman" w:hAnsi="Times New Roman" w:cs="Times New Roman"/>
                <w:b/>
                <w:sz w:val="20"/>
                <w:szCs w:val="20"/>
                <w:lang w:val="bg-BG"/>
              </w:rPr>
              <w:t xml:space="preserve"> от ЗОП, или само една оферта отговаря на предварително обявените условия от възложителя?</w:t>
            </w:r>
          </w:p>
          <w:p w:rsidR="002F66F4" w:rsidRPr="0054517B" w:rsidRDefault="002F66F4" w:rsidP="00101E04">
            <w:pPr>
              <w:pStyle w:val="NormalWeb"/>
              <w:spacing w:before="0" w:beforeAutospacing="0" w:after="0" w:afterAutospacing="0"/>
              <w:jc w:val="both"/>
              <w:rPr>
                <w:rFonts w:ascii="Times New Roman" w:hAnsi="Times New Roman" w:cs="Times New Roman"/>
                <w:sz w:val="20"/>
                <w:szCs w:val="20"/>
                <w:lang w:val="bg-BG"/>
              </w:rPr>
            </w:pPr>
            <w:r w:rsidRPr="0054517B">
              <w:rPr>
                <w:rFonts w:ascii="Times New Roman" w:hAnsi="Times New Roman" w:cs="Times New Roman"/>
                <w:sz w:val="20"/>
                <w:szCs w:val="20"/>
                <w:lang w:val="bg-BG"/>
              </w:rPr>
              <w:t xml:space="preserve">Възложителят е </w:t>
            </w:r>
            <w:r w:rsidRPr="0054517B">
              <w:rPr>
                <w:rFonts w:ascii="Times New Roman" w:hAnsi="Times New Roman" w:cs="Times New Roman"/>
                <w:b/>
                <w:i/>
                <w:sz w:val="20"/>
                <w:szCs w:val="20"/>
                <w:u w:val="single"/>
                <w:lang w:val="bg-BG"/>
              </w:rPr>
              <w:t>длъжен</w:t>
            </w:r>
            <w:r w:rsidRPr="0054517B">
              <w:rPr>
                <w:rFonts w:ascii="Times New Roman" w:hAnsi="Times New Roman" w:cs="Times New Roman"/>
                <w:sz w:val="20"/>
                <w:szCs w:val="20"/>
                <w:lang w:val="bg-BG"/>
              </w:rPr>
              <w:t xml:space="preserve"> да прекрати процедурата на основанията по т. 1-7 от настоящия въпрос при възникване на обстоятелствата, визирани в чл. 24, ал. 1 от НВМОП. За това издава мотивирано решение, с което обосновава настъпването на всички обстоятелства. </w:t>
            </w:r>
          </w:p>
          <w:p w:rsidR="002F66F4" w:rsidRPr="0054517B" w:rsidRDefault="002F66F4" w:rsidP="00101E04">
            <w:pPr>
              <w:pStyle w:val="NormalWeb"/>
              <w:spacing w:before="0" w:beforeAutospacing="0" w:after="0" w:afterAutospacing="0"/>
              <w:jc w:val="both"/>
              <w:rPr>
                <w:rFonts w:ascii="Times New Roman" w:hAnsi="Times New Roman" w:cs="Times New Roman"/>
                <w:sz w:val="20"/>
                <w:szCs w:val="20"/>
                <w:lang w:val="bg-BG"/>
              </w:rPr>
            </w:pPr>
            <w:r w:rsidRPr="0054517B">
              <w:rPr>
                <w:rFonts w:ascii="Times New Roman" w:hAnsi="Times New Roman" w:cs="Times New Roman"/>
                <w:sz w:val="20"/>
                <w:szCs w:val="20"/>
                <w:lang w:val="bg-BG"/>
              </w:rPr>
              <w:t xml:space="preserve">Възложителят  по преценка </w:t>
            </w:r>
            <w:r w:rsidRPr="0054517B">
              <w:rPr>
                <w:rFonts w:ascii="Times New Roman" w:hAnsi="Times New Roman" w:cs="Times New Roman"/>
                <w:b/>
                <w:i/>
                <w:sz w:val="20"/>
                <w:szCs w:val="20"/>
                <w:u w:val="single"/>
                <w:lang w:val="bg-BG"/>
              </w:rPr>
              <w:t>може</w:t>
            </w:r>
            <w:r w:rsidRPr="0054517B">
              <w:rPr>
                <w:rFonts w:ascii="Times New Roman" w:hAnsi="Times New Roman" w:cs="Times New Roman"/>
                <w:b/>
                <w:sz w:val="20"/>
                <w:szCs w:val="20"/>
                <w:lang w:val="bg-BG"/>
              </w:rPr>
              <w:t xml:space="preserve"> </w:t>
            </w:r>
            <w:r w:rsidRPr="0054517B">
              <w:rPr>
                <w:rFonts w:ascii="Times New Roman" w:hAnsi="Times New Roman" w:cs="Times New Roman"/>
                <w:sz w:val="20"/>
                <w:szCs w:val="20"/>
                <w:lang w:val="bg-BG"/>
              </w:rPr>
              <w:t>да прекрати процедурата на основанията по т. 8 и 9 от настоящия въпрос при възникване на обстоятелствата, визирани в чл. 24, ал. 2 от НВМОП.</w:t>
            </w:r>
          </w:p>
          <w:p w:rsidR="002F66F4" w:rsidRPr="007733AB" w:rsidRDefault="002F66F4" w:rsidP="00101E04">
            <w:pPr>
              <w:pStyle w:val="Heading1"/>
              <w:keepNext w:val="0"/>
              <w:spacing w:before="0" w:line="240" w:lineRule="auto"/>
              <w:jc w:val="both"/>
              <w:rPr>
                <w:rFonts w:ascii="Times New Roman" w:hAnsi="Times New Roman"/>
                <w:bCs w:val="0"/>
                <w:kern w:val="0"/>
                <w:sz w:val="20"/>
                <w:szCs w:val="20"/>
                <w:lang w:val="bg-BG"/>
              </w:rPr>
            </w:pPr>
            <w:r w:rsidRPr="007733AB">
              <w:rPr>
                <w:rFonts w:ascii="Times New Roman" w:hAnsi="Times New Roman"/>
                <w:bCs w:val="0"/>
                <w:kern w:val="0"/>
                <w:sz w:val="20"/>
                <w:szCs w:val="20"/>
                <w:lang w:val="bg-BG"/>
              </w:rPr>
              <w:t>(чл. 24, ал. 1 и ал. 2 от НВМОП)</w:t>
            </w:r>
          </w:p>
          <w:p w:rsidR="002F66F4" w:rsidRPr="007733AB" w:rsidRDefault="002F66F4" w:rsidP="00101E04">
            <w:pPr>
              <w:pStyle w:val="Heading1"/>
              <w:keepNext w:val="0"/>
              <w:spacing w:before="0" w:line="240" w:lineRule="auto"/>
              <w:jc w:val="both"/>
              <w:rPr>
                <w:rFonts w:ascii="Times New Roman" w:hAnsi="Times New Roman"/>
                <w:b w:val="0"/>
                <w:color w:val="C0504D"/>
                <w:kern w:val="0"/>
                <w:sz w:val="20"/>
                <w:szCs w:val="20"/>
                <w:lang w:val="bg-BG"/>
              </w:rPr>
            </w:pPr>
            <w:r w:rsidRPr="007733AB">
              <w:rPr>
                <w:rFonts w:ascii="Times New Roman" w:hAnsi="Times New Roman"/>
                <w:color w:val="C0504D"/>
                <w:kern w:val="0"/>
                <w:sz w:val="20"/>
                <w:szCs w:val="20"/>
                <w:lang w:val="bg-BG"/>
              </w:rPr>
              <w:t>Насочващи източници на информация:</w:t>
            </w:r>
            <w:r w:rsidRPr="007733AB">
              <w:rPr>
                <w:rFonts w:ascii="Times New Roman" w:hAnsi="Times New Roman"/>
                <w:b w:val="0"/>
                <w:color w:val="C0504D"/>
                <w:kern w:val="0"/>
                <w:sz w:val="20"/>
                <w:szCs w:val="20"/>
                <w:lang w:val="bg-BG"/>
              </w:rPr>
              <w:t xml:space="preserve"> прегледайте протокола за работата на комисията, решението за прекратяване на процедурата и документите, които обосновават, съдържащи се в мотивите на издаденото решение.</w:t>
            </w:r>
          </w:p>
          <w:p w:rsidR="00741C8A" w:rsidRPr="00722655" w:rsidRDefault="00741C8A" w:rsidP="00741C8A">
            <w:pPr>
              <w:ind w:right="110"/>
              <w:jc w:val="both"/>
              <w:outlineLvl w:val="1"/>
              <w:rPr>
                <w:b/>
                <w:color w:val="365F91"/>
                <w:sz w:val="24"/>
                <w:szCs w:val="24"/>
                <w:lang w:val="bg-BG" w:eastAsia="bg-BG"/>
              </w:rPr>
            </w:pPr>
            <w:r w:rsidRPr="00722655">
              <w:rPr>
                <w:b/>
                <w:color w:val="365F91"/>
                <w:lang w:val="bg-BG" w:eastAsia="fr-FR"/>
              </w:rPr>
              <w:t>т. 13-20 от Насоки</w:t>
            </w:r>
          </w:p>
          <w:p w:rsidR="002F66F4" w:rsidRPr="007733AB" w:rsidRDefault="002F66F4" w:rsidP="00101E04">
            <w:pPr>
              <w:pStyle w:val="Heading1"/>
              <w:keepNext w:val="0"/>
              <w:spacing w:before="0" w:line="240" w:lineRule="auto"/>
              <w:jc w:val="both"/>
              <w:rPr>
                <w:rFonts w:ascii="Times New Roman" w:hAnsi="Times New Roman"/>
                <w:b w:val="0"/>
                <w:color w:val="008000"/>
                <w:kern w:val="0"/>
                <w:sz w:val="20"/>
                <w:szCs w:val="20"/>
                <w:lang w:val="bg-BG"/>
              </w:rPr>
            </w:pPr>
            <w:r w:rsidRPr="007733AB">
              <w:rPr>
                <w:rFonts w:ascii="Times New Roman" w:hAnsi="Times New Roman"/>
                <w:b w:val="0"/>
                <w:color w:val="008000"/>
                <w:kern w:val="0"/>
                <w:sz w:val="20"/>
                <w:szCs w:val="20"/>
                <w:lang w:val="bg-BG"/>
              </w:rPr>
              <w:t>Анализирайте:</w:t>
            </w:r>
          </w:p>
          <w:p w:rsidR="002F66F4" w:rsidRPr="007733AB" w:rsidRDefault="002F66F4" w:rsidP="00071102">
            <w:pPr>
              <w:pStyle w:val="Heading1"/>
              <w:keepNext w:val="0"/>
              <w:spacing w:before="0" w:line="240" w:lineRule="auto"/>
              <w:jc w:val="both"/>
              <w:rPr>
                <w:rFonts w:ascii="Times New Roman" w:hAnsi="Times New Roman"/>
                <w:b w:val="0"/>
                <w:bCs w:val="0"/>
                <w:color w:val="008000"/>
                <w:kern w:val="0"/>
                <w:sz w:val="20"/>
                <w:szCs w:val="20"/>
                <w:lang w:val="bg-BG"/>
              </w:rPr>
            </w:pPr>
            <w:r w:rsidRPr="007733AB">
              <w:rPr>
                <w:rFonts w:ascii="Times New Roman" w:hAnsi="Times New Roman"/>
                <w:b w:val="0"/>
                <w:bCs w:val="0"/>
                <w:color w:val="008000"/>
                <w:kern w:val="0"/>
                <w:sz w:val="20"/>
                <w:szCs w:val="20"/>
                <w:lang w:val="bg-BG"/>
              </w:rPr>
              <w:t>- дали решението съдържа мотиви относно всички обстоятелства, визирани в съответното правно основание;</w:t>
            </w:r>
          </w:p>
          <w:p w:rsidR="002F66F4" w:rsidRPr="004C591A" w:rsidRDefault="002F66F4">
            <w:pPr>
              <w:pStyle w:val="NormalWeb"/>
              <w:spacing w:before="0" w:beforeAutospacing="0" w:after="0" w:afterAutospacing="0"/>
              <w:jc w:val="both"/>
              <w:rPr>
                <w:rFonts w:ascii="Times New Roman" w:hAnsi="Times New Roman" w:cs="Times New Roman"/>
                <w:sz w:val="20"/>
                <w:szCs w:val="20"/>
                <w:lang w:val="bg-BG" w:eastAsia="fr-FR"/>
              </w:rPr>
            </w:pPr>
            <w:r w:rsidRPr="004C591A">
              <w:rPr>
                <w:rFonts w:ascii="Times New Roman" w:hAnsi="Times New Roman" w:cs="Times New Roman"/>
                <w:color w:val="008000"/>
                <w:sz w:val="20"/>
                <w:szCs w:val="20"/>
                <w:lang w:val="bg-BG"/>
              </w:rPr>
              <w:t>-  дали настъпването на всички обстоятелства, визирани в съответното правно основание, се потвърждават от доказателства, намиращи се при  възложителя.</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9A461F" w:rsidRPr="009A461F" w:rsidRDefault="009A461F" w:rsidP="009A461F">
            <w:pPr>
              <w:pStyle w:val="BodyText"/>
              <w:widowControl w:val="0"/>
              <w:spacing w:before="240" w:after="60"/>
              <w:ind w:left="72"/>
              <w:jc w:val="both"/>
              <w:rPr>
                <w:b/>
                <w:lang w:val="bg-BG"/>
              </w:rPr>
            </w:pPr>
            <w:r>
              <w:rPr>
                <w:b/>
                <w:lang w:val="bg-BG"/>
              </w:rPr>
              <w:t>44</w:t>
            </w:r>
          </w:p>
        </w:tc>
        <w:tc>
          <w:tcPr>
            <w:tcW w:w="8100" w:type="dxa"/>
            <w:gridSpan w:val="2"/>
            <w:noWrap/>
          </w:tcPr>
          <w:p w:rsidR="002F66F4" w:rsidRPr="0054517B" w:rsidRDefault="00741C8A" w:rsidP="0070432A">
            <w:pPr>
              <w:ind w:right="110"/>
              <w:jc w:val="both"/>
              <w:outlineLvl w:val="1"/>
              <w:rPr>
                <w:b/>
                <w:lang w:val="bg-BG" w:eastAsia="fr-FR"/>
              </w:rPr>
            </w:pPr>
            <w:r w:rsidRPr="004C591A">
              <w:rPr>
                <w:b/>
                <w:lang w:val="bg-BG" w:eastAsia="fr-FR"/>
              </w:rPr>
              <w:t>Възложителят провел ли е процедура по договаряне за възлагането на настоящата обществена поръчка</w:t>
            </w:r>
            <w:r w:rsidR="002F66F4" w:rsidRPr="004C591A">
              <w:rPr>
                <w:b/>
                <w:lang w:val="bg-BG" w:eastAsia="fr-FR"/>
              </w:rPr>
              <w:t>?</w:t>
            </w:r>
            <w:r w:rsidR="002F66F4" w:rsidRPr="0054517B">
              <w:rPr>
                <w:b/>
                <w:lang w:val="bg-BG" w:eastAsia="fr-FR"/>
              </w:rPr>
              <w:t xml:space="preserve"> </w:t>
            </w:r>
          </w:p>
          <w:p w:rsidR="002F66F4" w:rsidRPr="0054517B" w:rsidRDefault="002F66F4" w:rsidP="0070432A">
            <w:pPr>
              <w:ind w:right="110"/>
              <w:jc w:val="both"/>
              <w:outlineLvl w:val="1"/>
              <w:rPr>
                <w:b/>
                <w:lang w:val="bg-BG" w:eastAsia="fr-FR"/>
              </w:rPr>
            </w:pPr>
            <w:r w:rsidRPr="0054517B">
              <w:rPr>
                <w:lang w:val="bg-BG" w:eastAsia="fr-FR"/>
              </w:rPr>
              <w:t>В случай, че е проведена процедура по договаряне за възлагането на настоящата поръчка да се провери дали са спазени правно установените изисквания за избора на вида процедура, като се попълни контролен лист за процедура по договаряне с обявление /договаряне без обявление.</w:t>
            </w: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r w:rsidR="002F66F4" w:rsidRPr="004C591A" w:rsidTr="00AF7445">
        <w:trPr>
          <w:trHeight w:val="463"/>
        </w:trPr>
        <w:tc>
          <w:tcPr>
            <w:tcW w:w="14868" w:type="dxa"/>
            <w:gridSpan w:val="5"/>
          </w:tcPr>
          <w:p w:rsidR="002F66F4" w:rsidRPr="004C591A" w:rsidRDefault="002F66F4" w:rsidP="00AD2DC0">
            <w:pPr>
              <w:jc w:val="both"/>
              <w:outlineLvl w:val="1"/>
              <w:rPr>
                <w:b/>
                <w:lang w:val="bg-BG"/>
              </w:rPr>
            </w:pPr>
            <w:r w:rsidRPr="004C591A">
              <w:rPr>
                <w:b/>
                <w:bCs/>
                <w:lang w:val="bg-BG"/>
              </w:rPr>
              <w:lastRenderedPageBreak/>
              <w:t>ІІІ.4 Договор за обществена поръчка</w:t>
            </w:r>
          </w:p>
        </w:tc>
      </w:tr>
      <w:tr w:rsidR="002F66F4" w:rsidRPr="004C591A" w:rsidTr="00AF7445">
        <w:trPr>
          <w:trHeight w:val="270"/>
        </w:trPr>
        <w:tc>
          <w:tcPr>
            <w:tcW w:w="828" w:type="dxa"/>
          </w:tcPr>
          <w:p w:rsidR="009A461F" w:rsidRPr="009A461F" w:rsidRDefault="009A461F" w:rsidP="009A461F">
            <w:pPr>
              <w:pStyle w:val="BodyText"/>
              <w:widowControl w:val="0"/>
              <w:spacing w:before="240" w:after="60"/>
              <w:ind w:left="72"/>
              <w:jc w:val="both"/>
              <w:rPr>
                <w:b/>
                <w:lang w:val="bg-BG"/>
              </w:rPr>
            </w:pPr>
            <w:r>
              <w:rPr>
                <w:b/>
                <w:lang w:val="bg-BG"/>
              </w:rPr>
              <w:t>45</w:t>
            </w:r>
          </w:p>
        </w:tc>
        <w:tc>
          <w:tcPr>
            <w:tcW w:w="8100" w:type="dxa"/>
            <w:gridSpan w:val="2"/>
            <w:noWrap/>
          </w:tcPr>
          <w:p w:rsidR="002F66F4" w:rsidRPr="004C591A" w:rsidRDefault="002F66F4" w:rsidP="00373A71">
            <w:pPr>
              <w:jc w:val="both"/>
              <w:rPr>
                <w:b/>
                <w:u w:val="single"/>
                <w:lang w:val="bg-BG" w:eastAsia="fr-FR"/>
              </w:rPr>
            </w:pPr>
            <w:r w:rsidRPr="004C591A">
              <w:rPr>
                <w:b/>
                <w:u w:val="single"/>
                <w:lang w:val="bg-BG" w:eastAsia="fr-FR"/>
              </w:rPr>
              <w:t>За процедури, открити преди ноември 2010 г.:</w:t>
            </w:r>
          </w:p>
          <w:p w:rsidR="002F66F4" w:rsidRPr="004C591A" w:rsidRDefault="00741C8A" w:rsidP="00373A71">
            <w:pPr>
              <w:jc w:val="both"/>
              <w:rPr>
                <w:b/>
                <w:lang w:val="bg-BG" w:eastAsia="fr-FR"/>
              </w:rPr>
            </w:pPr>
            <w:r w:rsidRPr="004C591A">
              <w:rPr>
                <w:b/>
                <w:lang w:val="bg-B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r w:rsidR="002F66F4" w:rsidRPr="004C591A">
              <w:rPr>
                <w:b/>
                <w:lang w:val="bg-BG" w:eastAsia="fr-FR"/>
              </w:rPr>
              <w:t>:</w:t>
            </w:r>
          </w:p>
          <w:p w:rsidR="002F66F4" w:rsidRPr="004C591A" w:rsidRDefault="00741C8A" w:rsidP="009C1E25">
            <w:pPr>
              <w:numPr>
                <w:ilvl w:val="0"/>
                <w:numId w:val="13"/>
              </w:numPr>
              <w:tabs>
                <w:tab w:val="clear" w:pos="720"/>
                <w:tab w:val="num" w:pos="220"/>
              </w:tabs>
              <w:ind w:left="220" w:hanging="180"/>
              <w:jc w:val="both"/>
              <w:rPr>
                <w:b/>
                <w:lang w:val="bg-BG" w:eastAsia="fr-FR"/>
              </w:rPr>
            </w:pPr>
            <w:r w:rsidRPr="004C591A">
              <w:rPr>
                <w:b/>
                <w:lang w:val="bg-BG" w:eastAsia="fr-FR"/>
              </w:rPr>
              <w:t>не е подадена жалба срещу него или</w:t>
            </w:r>
          </w:p>
          <w:p w:rsidR="002F66F4" w:rsidRPr="004C591A" w:rsidRDefault="00741C8A" w:rsidP="009C1E25">
            <w:pPr>
              <w:numPr>
                <w:ilvl w:val="0"/>
                <w:numId w:val="13"/>
              </w:numPr>
              <w:tabs>
                <w:tab w:val="clear" w:pos="720"/>
                <w:tab w:val="num" w:pos="220"/>
              </w:tabs>
              <w:ind w:left="220" w:hanging="180"/>
              <w:jc w:val="both"/>
              <w:rPr>
                <w:b/>
                <w:lang w:val="bg-BG" w:eastAsia="fr-FR"/>
              </w:rPr>
            </w:pPr>
            <w:r w:rsidRPr="004C591A">
              <w:rPr>
                <w:b/>
                <w:lang w:val="bg-BG" w:eastAsia="fr-FR"/>
              </w:rPr>
              <w:t>е подадена такава, но не е поискано налагането на временна мярка спиране?</w:t>
            </w:r>
          </w:p>
          <w:p w:rsidR="002F66F4" w:rsidRPr="0054517B" w:rsidRDefault="00741C8A" w:rsidP="00373A71">
            <w:pPr>
              <w:jc w:val="both"/>
              <w:rPr>
                <w:b/>
                <w:lang w:val="bg-BG" w:eastAsia="fr-FR"/>
              </w:rPr>
            </w:pPr>
            <w:r w:rsidRPr="004C591A">
              <w:rPr>
                <w:b/>
                <w:lang w:val="bg-BG" w:eastAsia="fr-FR"/>
              </w:rPr>
              <w:t>договорът за обществена поръчка сключен ли е, след като е влязло в сила определението на кзк/вас за отхвърлянето на искането за налагане на временна мярка спиране?</w:t>
            </w:r>
          </w:p>
          <w:p w:rsidR="002F66F4" w:rsidRPr="0054517B" w:rsidRDefault="002F66F4" w:rsidP="00373A71">
            <w:pPr>
              <w:ind w:right="110"/>
              <w:jc w:val="both"/>
              <w:outlineLvl w:val="1"/>
              <w:rPr>
                <w:b/>
                <w:lang w:val="bg-BG" w:eastAsia="fr-FR"/>
              </w:rPr>
            </w:pPr>
            <w:r w:rsidRPr="0054517B">
              <w:rPr>
                <w:b/>
                <w:lang w:val="bg-BG" w:eastAsia="fr-FR"/>
              </w:rPr>
              <w:t>(чл. 31, ал. 3 и 4 от НВМОП)</w:t>
            </w:r>
          </w:p>
          <w:p w:rsidR="002F66F4" w:rsidRPr="0054517B" w:rsidRDefault="002F66F4" w:rsidP="00505E62">
            <w:pPr>
              <w:ind w:right="110"/>
              <w:jc w:val="both"/>
              <w:outlineLvl w:val="1"/>
              <w:rPr>
                <w:b/>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2F66F4" w:rsidRPr="00722655" w:rsidRDefault="002F66F4" w:rsidP="00505E62">
            <w:pPr>
              <w:ind w:right="110"/>
              <w:jc w:val="both"/>
              <w:outlineLvl w:val="1"/>
              <w:rPr>
                <w:b/>
                <w:color w:val="333399"/>
                <w:lang w:val="bg-BG"/>
              </w:rPr>
            </w:pPr>
            <w:r w:rsidRPr="00722655">
              <w:rPr>
                <w:b/>
                <w:color w:val="333399"/>
                <w:lang w:val="bg-BG"/>
              </w:rPr>
              <w:t xml:space="preserve">т. </w:t>
            </w:r>
            <w:r w:rsidR="00741C8A" w:rsidRPr="00722655">
              <w:rPr>
                <w:b/>
                <w:color w:val="333399"/>
                <w:lang w:val="bg-BG"/>
              </w:rPr>
              <w:t xml:space="preserve">18 </w:t>
            </w:r>
            <w:r w:rsidRPr="00722655">
              <w:rPr>
                <w:b/>
                <w:color w:val="333399"/>
                <w:lang w:val="bg-BG"/>
              </w:rPr>
              <w:t>от Насоките</w:t>
            </w:r>
          </w:p>
          <w:p w:rsidR="002F66F4" w:rsidRPr="00223A61" w:rsidRDefault="002F66F4" w:rsidP="00505E62">
            <w:pPr>
              <w:ind w:right="110"/>
              <w:jc w:val="both"/>
              <w:outlineLvl w:val="1"/>
              <w:rPr>
                <w:bCs/>
                <w:color w:val="008000"/>
                <w:lang w:val="bg-BG"/>
              </w:rPr>
            </w:pPr>
            <w:r w:rsidRPr="00223A61">
              <w:rPr>
                <w:bCs/>
                <w:color w:val="008000"/>
                <w:lang w:val="bg-BG"/>
              </w:rPr>
              <w:t>Анализирайте:</w:t>
            </w:r>
          </w:p>
          <w:p w:rsidR="002F66F4" w:rsidRPr="004C591A" w:rsidRDefault="002F66F4" w:rsidP="00505E62">
            <w:pPr>
              <w:ind w:right="110"/>
              <w:jc w:val="both"/>
              <w:outlineLvl w:val="1"/>
              <w:rPr>
                <w:bCs/>
                <w:color w:val="008000"/>
                <w:lang w:val="bg-BG"/>
              </w:rPr>
            </w:pPr>
            <w:r w:rsidRPr="004C591A">
              <w:rPr>
                <w:bCs/>
                <w:color w:val="008000"/>
                <w:lang w:val="bg-BG"/>
              </w:rPr>
              <w:t>- датите, на които е получено решението за класиране на участниците и определяне на изпълнител (това е начална дата за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дата, на която е изтекъл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номер и дата на сключения договор;</w:t>
            </w:r>
          </w:p>
          <w:p w:rsidR="002F66F4" w:rsidRPr="004C591A" w:rsidRDefault="002F66F4" w:rsidP="00505E62">
            <w:pPr>
              <w:ind w:right="110"/>
              <w:jc w:val="both"/>
              <w:outlineLvl w:val="1"/>
              <w:rPr>
                <w:lang w:val="bg-BG" w:eastAsia="fr-FR"/>
              </w:rPr>
            </w:pPr>
            <w:r w:rsidRPr="004C591A">
              <w:rPr>
                <w:bCs/>
                <w:color w:val="008000"/>
                <w:lang w:val="bg-BG"/>
              </w:rPr>
              <w:t>- информация относно липсата/наличието на подадени жалби, придружени с искания за мярка спиране.</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9A461F" w:rsidRPr="009A461F" w:rsidRDefault="009A461F">
            <w:pPr>
              <w:pStyle w:val="BodyText"/>
              <w:widowControl w:val="0"/>
              <w:spacing w:before="240" w:after="60"/>
              <w:ind w:left="72"/>
              <w:jc w:val="both"/>
              <w:rPr>
                <w:b/>
                <w:lang w:val="bg-BG"/>
              </w:rPr>
            </w:pPr>
            <w:r>
              <w:rPr>
                <w:b/>
                <w:lang w:val="bg-BG"/>
              </w:rPr>
              <w:t>46</w:t>
            </w:r>
          </w:p>
          <w:p w:rsidR="009A461F" w:rsidRDefault="009A461F">
            <w:pPr>
              <w:pStyle w:val="BodyText"/>
              <w:widowControl w:val="0"/>
              <w:spacing w:before="240" w:after="60"/>
              <w:ind w:left="72"/>
              <w:jc w:val="both"/>
              <w:rPr>
                <w:b/>
                <w:lang w:val="bg-BG"/>
              </w:rPr>
            </w:pPr>
          </w:p>
          <w:p w:rsidR="002F66F4" w:rsidRPr="0054517B" w:rsidRDefault="002F66F4">
            <w:pPr>
              <w:pStyle w:val="BodyText"/>
              <w:widowControl w:val="0"/>
              <w:spacing w:before="240" w:after="60"/>
              <w:ind w:left="72"/>
              <w:jc w:val="both"/>
              <w:rPr>
                <w:b/>
                <w:lang w:val="bg-BG"/>
              </w:rPr>
            </w:pPr>
            <w:r w:rsidRPr="0054517B">
              <w:rPr>
                <w:b/>
                <w:lang w:val="bg-BG"/>
              </w:rPr>
              <w:t>.</w:t>
            </w:r>
          </w:p>
        </w:tc>
        <w:tc>
          <w:tcPr>
            <w:tcW w:w="8100" w:type="dxa"/>
            <w:gridSpan w:val="2"/>
            <w:noWrap/>
          </w:tcPr>
          <w:p w:rsidR="002F66F4" w:rsidRPr="004C591A" w:rsidRDefault="002F66F4" w:rsidP="00E76604">
            <w:pPr>
              <w:jc w:val="both"/>
              <w:rPr>
                <w:b/>
                <w:u w:val="single"/>
                <w:lang w:val="bg-BG" w:eastAsia="fr-FR"/>
              </w:rPr>
            </w:pPr>
            <w:r w:rsidRPr="004C591A">
              <w:rPr>
                <w:b/>
                <w:u w:val="single"/>
                <w:lang w:val="bg-BG" w:eastAsia="fr-FR"/>
              </w:rPr>
              <w:t>За процедури, открити след ноември 2010 г.:</w:t>
            </w:r>
          </w:p>
          <w:p w:rsidR="002F66F4" w:rsidRPr="0054517B" w:rsidRDefault="00741C8A" w:rsidP="00E76604">
            <w:pPr>
              <w:jc w:val="both"/>
              <w:rPr>
                <w:b/>
                <w:lang w:val="bg-BG" w:eastAsia="fr-FR"/>
              </w:rPr>
            </w:pPr>
            <w:r w:rsidRPr="004C591A">
              <w:rPr>
                <w:b/>
                <w:lang w:val="bg-B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F66F4" w:rsidRPr="004C591A">
              <w:rPr>
                <w:b/>
                <w:lang w:val="bg-BG" w:eastAsia="fr-FR"/>
              </w:rPr>
              <w:t>?</w:t>
            </w:r>
          </w:p>
          <w:p w:rsidR="002F66F4" w:rsidRPr="0054517B" w:rsidRDefault="002F66F4" w:rsidP="00E76604">
            <w:pPr>
              <w:jc w:val="both"/>
              <w:rPr>
                <w:b/>
                <w:lang w:val="bg-BG" w:eastAsia="fr-FR"/>
              </w:rPr>
            </w:pPr>
            <w:r w:rsidRPr="0054517B">
              <w:rPr>
                <w:b/>
                <w:lang w:val="bg-BG" w:eastAsia="fr-FR"/>
              </w:rPr>
              <w:t>(чл. 31, ал. 3, 4 и ал. 5 от НВМОП)</w:t>
            </w:r>
          </w:p>
          <w:p w:rsidR="002F66F4" w:rsidRPr="0054517B" w:rsidRDefault="002F66F4" w:rsidP="00505E62">
            <w:pPr>
              <w:ind w:right="110"/>
              <w:jc w:val="both"/>
              <w:outlineLvl w:val="1"/>
              <w:rPr>
                <w:b/>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2F66F4" w:rsidRPr="00722655" w:rsidRDefault="002F66F4" w:rsidP="00505E62">
            <w:pPr>
              <w:ind w:right="110"/>
              <w:jc w:val="both"/>
              <w:outlineLvl w:val="1"/>
              <w:rPr>
                <w:b/>
                <w:color w:val="333399"/>
                <w:lang w:val="bg-BG"/>
              </w:rPr>
            </w:pPr>
            <w:r w:rsidRPr="00722655">
              <w:rPr>
                <w:b/>
                <w:color w:val="333399"/>
                <w:lang w:val="bg-BG"/>
              </w:rPr>
              <w:t xml:space="preserve">т. </w:t>
            </w:r>
            <w:r w:rsidR="00741C8A" w:rsidRPr="00722655">
              <w:rPr>
                <w:b/>
                <w:color w:val="333399"/>
                <w:lang w:val="bg-BG"/>
              </w:rPr>
              <w:t xml:space="preserve">18 </w:t>
            </w:r>
            <w:r w:rsidRPr="00722655">
              <w:rPr>
                <w:b/>
                <w:color w:val="333399"/>
                <w:lang w:val="bg-BG"/>
              </w:rPr>
              <w:t>от Насоките</w:t>
            </w:r>
          </w:p>
          <w:p w:rsidR="002F66F4" w:rsidRPr="00223A61" w:rsidRDefault="002F66F4" w:rsidP="00505E62">
            <w:pPr>
              <w:ind w:right="110"/>
              <w:jc w:val="both"/>
              <w:outlineLvl w:val="1"/>
              <w:rPr>
                <w:bCs/>
                <w:color w:val="008000"/>
                <w:lang w:val="bg-BG"/>
              </w:rPr>
            </w:pPr>
            <w:r w:rsidRPr="00223A61">
              <w:rPr>
                <w:bCs/>
                <w:color w:val="008000"/>
                <w:lang w:val="bg-BG"/>
              </w:rPr>
              <w:t>Анализирайте:</w:t>
            </w:r>
          </w:p>
          <w:p w:rsidR="002F66F4" w:rsidRPr="004C591A" w:rsidRDefault="002F66F4" w:rsidP="00505E62">
            <w:pPr>
              <w:ind w:right="110"/>
              <w:jc w:val="both"/>
              <w:outlineLvl w:val="1"/>
              <w:rPr>
                <w:bCs/>
                <w:color w:val="008000"/>
                <w:lang w:val="bg-BG"/>
              </w:rPr>
            </w:pPr>
            <w:r w:rsidRPr="004C591A">
              <w:rPr>
                <w:bCs/>
                <w:color w:val="008000"/>
                <w:lang w:val="bg-BG"/>
              </w:rPr>
              <w:t>- датите, на които е получено решението за класиране на участниците и определяне на изпълнител (това е начална дата за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lastRenderedPageBreak/>
              <w:t>- дата, на която е изтекъл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номер и дата на сключения договор;</w:t>
            </w:r>
          </w:p>
          <w:p w:rsidR="002F66F4" w:rsidRPr="004C591A" w:rsidRDefault="002F66F4" w:rsidP="00505E62">
            <w:pPr>
              <w:jc w:val="both"/>
              <w:rPr>
                <w:b/>
                <w:lang w:val="bg-BG" w:eastAsia="fr-FR"/>
              </w:rPr>
            </w:pPr>
            <w:r w:rsidRPr="004C591A">
              <w:rPr>
                <w:bCs/>
                <w:color w:val="008000"/>
                <w:lang w:val="bg-BG"/>
              </w:rPr>
              <w:t>- информация относно датата, на която решението/ определението за допуснато предварително изпълнение е влязло в сила.</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47</w:t>
            </w:r>
          </w:p>
        </w:tc>
        <w:tc>
          <w:tcPr>
            <w:tcW w:w="8100" w:type="dxa"/>
            <w:gridSpan w:val="2"/>
            <w:noWrap/>
          </w:tcPr>
          <w:p w:rsidR="00741C8A" w:rsidRPr="004C591A" w:rsidRDefault="00741C8A" w:rsidP="00741C8A">
            <w:pPr>
              <w:jc w:val="both"/>
              <w:rPr>
                <w:b/>
                <w:lang w:val="bg-BG" w:eastAsia="fr-FR"/>
              </w:rPr>
            </w:pPr>
            <w:r w:rsidRPr="004C591A">
              <w:rPr>
                <w:b/>
                <w:lang w:val="bg-BG" w:eastAsia="fr-FR"/>
              </w:rPr>
              <w:t>Преди сключване на договора за обществена поръчка участникът, определен за изпълнител:</w:t>
            </w:r>
          </w:p>
          <w:p w:rsidR="00741C8A" w:rsidRPr="004C591A" w:rsidRDefault="00741C8A" w:rsidP="00741C8A">
            <w:pPr>
              <w:jc w:val="both"/>
              <w:rPr>
                <w:b/>
                <w:lang w:val="bg-BG" w:eastAsia="fr-FR"/>
              </w:rPr>
            </w:pPr>
            <w:r w:rsidRPr="004C591A">
              <w:rPr>
                <w:b/>
                <w:lang w:val="bg-BG" w:eastAsia="fr-FR"/>
              </w:rPr>
              <w:t>- 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rsidR="00741C8A" w:rsidRPr="004C591A" w:rsidRDefault="00741C8A" w:rsidP="00741C8A">
            <w:pPr>
              <w:jc w:val="both"/>
              <w:rPr>
                <w:b/>
                <w:u w:val="single"/>
                <w:lang w:val="bg-BG" w:eastAsia="fr-FR"/>
              </w:rPr>
            </w:pPr>
            <w:r w:rsidRPr="004C591A">
              <w:rPr>
                <w:b/>
                <w:lang w:val="bg-BG" w:eastAsia="fr-FR"/>
              </w:rPr>
              <w:t>- представил ли е документи, доказващи липсата на обстоятелствата по чл. 47, ал. 1, 2 и 5 от ЗОП;</w:t>
            </w:r>
          </w:p>
          <w:p w:rsidR="00741C8A" w:rsidRPr="004C591A" w:rsidRDefault="00741C8A" w:rsidP="00741C8A">
            <w:pPr>
              <w:ind w:left="760" w:hanging="760"/>
              <w:jc w:val="both"/>
              <w:rPr>
                <w:b/>
                <w:lang w:val="bg-BG" w:eastAsia="fr-FR"/>
              </w:rPr>
            </w:pPr>
            <w:r w:rsidRPr="004C591A">
              <w:rPr>
                <w:b/>
                <w:lang w:val="bg-BG" w:eastAsia="fr-FR"/>
              </w:rPr>
              <w:t>- представил ли е документ за внесена гаранция за изпълнение;</w:t>
            </w:r>
          </w:p>
          <w:p w:rsidR="00741C8A" w:rsidRPr="0054517B" w:rsidRDefault="00741C8A" w:rsidP="00ED1F80">
            <w:pPr>
              <w:ind w:right="110"/>
              <w:jc w:val="both"/>
              <w:outlineLvl w:val="1"/>
              <w:rPr>
                <w:b/>
                <w:lang w:val="bg-BG" w:eastAsia="fr-FR"/>
              </w:rPr>
            </w:pPr>
            <w:r w:rsidRPr="004C591A">
              <w:rPr>
                <w:b/>
                <w:lang w:val="bg-B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r w:rsidRPr="004C591A" w:rsidDel="00741C8A">
              <w:rPr>
                <w:b/>
                <w:lang w:val="bg-BG" w:eastAsia="fr-FR"/>
              </w:rPr>
              <w:t xml:space="preserve"> </w:t>
            </w:r>
          </w:p>
          <w:p w:rsidR="00ED1F80" w:rsidRPr="0054517B" w:rsidRDefault="00ED1F80" w:rsidP="00ED1F80">
            <w:pPr>
              <w:ind w:right="110"/>
              <w:jc w:val="both"/>
              <w:outlineLvl w:val="1"/>
              <w:rPr>
                <w:b/>
                <w:lang w:val="bg-BG" w:eastAsia="fr-FR"/>
              </w:rPr>
            </w:pPr>
            <w:r w:rsidRPr="0054517B">
              <w:rPr>
                <w:b/>
                <w:lang w:val="bg-BG" w:eastAsia="fr-FR"/>
              </w:rPr>
              <w:t>(чл. 32, ал. 1 и ал. 2 от НВМОП)</w:t>
            </w:r>
          </w:p>
          <w:p w:rsidR="00ED1F80" w:rsidRPr="0054517B" w:rsidRDefault="00ED1F80" w:rsidP="00ED1F80">
            <w:pPr>
              <w:ind w:right="110"/>
              <w:jc w:val="both"/>
              <w:outlineLvl w:val="1"/>
              <w:rPr>
                <w:b/>
                <w:color w:val="000080"/>
                <w:lang w:val="bg-BG"/>
              </w:rPr>
            </w:pPr>
            <w:r w:rsidRPr="0054517B">
              <w:rPr>
                <w:b/>
                <w:color w:val="000080"/>
                <w:lang w:val="bg-BG"/>
              </w:rPr>
              <w:t xml:space="preserve">т. </w:t>
            </w:r>
            <w:r w:rsidR="00741C8A" w:rsidRPr="0054517B">
              <w:rPr>
                <w:b/>
                <w:color w:val="000080"/>
                <w:lang w:val="bg-BG"/>
              </w:rPr>
              <w:t>18</w:t>
            </w:r>
            <w:r w:rsidRPr="0054517B">
              <w:rPr>
                <w:b/>
                <w:color w:val="000080"/>
                <w:lang w:val="bg-BG"/>
              </w:rPr>
              <w:t xml:space="preserve"> от Насоките</w:t>
            </w:r>
          </w:p>
          <w:p w:rsidR="00ED1F80" w:rsidRPr="00223A61" w:rsidRDefault="00ED1F80" w:rsidP="00ED1F80">
            <w:pPr>
              <w:ind w:right="110"/>
              <w:jc w:val="both"/>
              <w:outlineLvl w:val="1"/>
              <w:rPr>
                <w:b/>
                <w:lang w:val="bg-BG" w:eastAsia="fr-FR"/>
              </w:rPr>
            </w:pPr>
            <w:r w:rsidRPr="00722655">
              <w:rPr>
                <w:b/>
                <w:bCs/>
                <w:color w:val="C0504D"/>
                <w:lang w:val="bg-BG"/>
              </w:rPr>
              <w:t xml:space="preserve">Насочващи източници на информация: </w:t>
            </w:r>
            <w:r w:rsidRPr="00722655">
              <w:rPr>
                <w:bCs/>
                <w:color w:val="C0504D"/>
                <w:lang w:val="bg-BG"/>
              </w:rPr>
              <w:t>прегледайте</w:t>
            </w:r>
            <w:r w:rsidRPr="00722655">
              <w:rPr>
                <w:color w:val="C0504D"/>
                <w:lang w:val="bg-BG" w:eastAsia="fr-FR"/>
              </w:rPr>
              <w:t xml:space="preserve"> удостоверенията от съответните компетентни органи, документа за гаранция за изпълнение и др.</w:t>
            </w:r>
          </w:p>
          <w:p w:rsidR="00ED1F80" w:rsidRPr="004C591A" w:rsidRDefault="00ED1F80" w:rsidP="00ED1F80">
            <w:pPr>
              <w:ind w:right="110"/>
              <w:jc w:val="both"/>
              <w:outlineLvl w:val="1"/>
              <w:rPr>
                <w:color w:val="008000"/>
                <w:lang w:val="bg-BG" w:eastAsia="fr-FR"/>
              </w:rPr>
            </w:pPr>
            <w:r w:rsidRPr="004C591A">
              <w:rPr>
                <w:color w:val="008000"/>
                <w:lang w:val="bg-BG" w:eastAsia="fr-FR"/>
              </w:rPr>
              <w:t>Анализирайте датите и издателя на следните документи:</w:t>
            </w:r>
          </w:p>
          <w:p w:rsidR="00ED1F80" w:rsidRPr="004C591A" w:rsidRDefault="00ED1F80" w:rsidP="00ED1F80">
            <w:pPr>
              <w:ind w:right="110"/>
              <w:jc w:val="both"/>
              <w:outlineLvl w:val="1"/>
              <w:rPr>
                <w:color w:val="008000"/>
                <w:lang w:val="bg-BG" w:eastAsia="fr-FR"/>
              </w:rPr>
            </w:pPr>
            <w:r w:rsidRPr="004C591A">
              <w:rPr>
                <w:color w:val="008000"/>
                <w:lang w:val="bg-BG" w:eastAsia="fr-FR"/>
              </w:rPr>
              <w:t>- 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ED1F80" w:rsidRPr="004C591A" w:rsidRDefault="00ED1F80" w:rsidP="00ED1F80">
            <w:pPr>
              <w:ind w:right="110"/>
              <w:jc w:val="both"/>
              <w:outlineLvl w:val="1"/>
              <w:rPr>
                <w:color w:val="008000"/>
                <w:lang w:val="bg-BG" w:eastAsia="fr-FR"/>
              </w:rPr>
            </w:pPr>
            <w:r w:rsidRPr="004C591A">
              <w:rPr>
                <w:color w:val="008000"/>
                <w:lang w:val="bg-BG" w:eastAsia="fr-FR"/>
              </w:rPr>
              <w:t>- свидетелства за съдимост на лицата по чл. 47, ал. 4 от ЗОП (като се има предвид и разпоредбите на чл. 56, ал. 2 и ал. 3 от ЗОП);</w:t>
            </w:r>
          </w:p>
          <w:p w:rsidR="00ED1F80" w:rsidRPr="004C591A" w:rsidRDefault="00ED1F80" w:rsidP="00ED1F80">
            <w:pPr>
              <w:ind w:right="110"/>
              <w:jc w:val="both"/>
              <w:outlineLvl w:val="1"/>
              <w:rPr>
                <w:color w:val="008000"/>
                <w:lang w:val="bg-BG" w:eastAsia="fr-FR"/>
              </w:rPr>
            </w:pPr>
            <w:r w:rsidRPr="004C591A">
              <w:rPr>
                <w:color w:val="008000"/>
                <w:lang w:val="bg-BG" w:eastAsia="fr-FR"/>
              </w:rPr>
              <w:t>- удостоверение за актуално състояние, ако участникът не е представил ЕИК по чл. 23 от ЗТР;</w:t>
            </w:r>
          </w:p>
          <w:p w:rsidR="00ED1F80" w:rsidRPr="004C591A" w:rsidRDefault="00ED1F80" w:rsidP="00ED1F80">
            <w:pPr>
              <w:ind w:right="110"/>
              <w:jc w:val="both"/>
              <w:outlineLvl w:val="1"/>
              <w:rPr>
                <w:color w:val="008000"/>
                <w:lang w:val="bg-BG" w:eastAsia="fr-FR"/>
              </w:rPr>
            </w:pPr>
            <w:r w:rsidRPr="004C591A">
              <w:rPr>
                <w:color w:val="008000"/>
                <w:lang w:val="bg-BG" w:eastAsia="fr-FR"/>
              </w:rPr>
              <w:t>- удостоверение за липса на задължения към държавата/общината, ако е посочено подобно изискване в обявлението за ОП;</w:t>
            </w:r>
          </w:p>
          <w:p w:rsidR="00ED1F80" w:rsidRPr="004C591A" w:rsidRDefault="00ED1F80" w:rsidP="00ED1F80">
            <w:pPr>
              <w:ind w:right="110"/>
              <w:jc w:val="both"/>
              <w:outlineLvl w:val="1"/>
              <w:rPr>
                <w:color w:val="008000"/>
                <w:lang w:val="bg-BG" w:eastAsia="fr-FR"/>
              </w:rPr>
            </w:pPr>
            <w:r w:rsidRPr="004C591A">
              <w:rPr>
                <w:color w:val="008000"/>
                <w:lang w:val="bg-BG" w:eastAsia="fr-FR"/>
              </w:rPr>
              <w:t>- документ за гаранция за изпълнение – платежно нареждане, разписка или банкова гаранция;</w:t>
            </w:r>
          </w:p>
          <w:p w:rsidR="00ED1F80" w:rsidRPr="004C591A" w:rsidRDefault="00ED1F80" w:rsidP="00ED1F80">
            <w:pPr>
              <w:ind w:right="110"/>
              <w:jc w:val="both"/>
              <w:outlineLvl w:val="1"/>
              <w:rPr>
                <w:color w:val="008000"/>
                <w:lang w:val="bg-BG" w:eastAsia="fr-FR"/>
              </w:rPr>
            </w:pPr>
            <w:r w:rsidRPr="004C591A">
              <w:rPr>
                <w:color w:val="008000"/>
                <w:lang w:val="bg-BG" w:eastAsia="fr-FR"/>
              </w:rPr>
              <w:t>- други документи, поискани от възложителя.</w:t>
            </w:r>
          </w:p>
          <w:p w:rsidR="00741C8A" w:rsidRPr="004C591A" w:rsidRDefault="00ED1F80" w:rsidP="00741C8A">
            <w:pPr>
              <w:ind w:right="110"/>
              <w:jc w:val="both"/>
              <w:outlineLvl w:val="1"/>
              <w:rPr>
                <w:color w:val="008000"/>
                <w:lang w:val="bg-BG" w:eastAsia="fr-FR"/>
              </w:rPr>
            </w:pPr>
            <w:r w:rsidRPr="004C591A">
              <w:rPr>
                <w:color w:val="008000"/>
                <w:lang w:val="bg-BG" w:eastAsia="fr-FR"/>
              </w:rPr>
              <w:t>Проверете дали документът за гаранция за изпълнение удостоверява изпълнението на цялото задължение за внасянето й.</w:t>
            </w:r>
            <w:r w:rsidR="00741C8A" w:rsidRPr="004C591A">
              <w:rPr>
                <w:color w:val="008000"/>
                <w:lang w:val="bg-BG" w:eastAsia="fr-FR"/>
              </w:rPr>
              <w:t xml:space="preserve"> Проверете дали документът за гаранция за изпълнение удостоверява изпълнението на цялото задължение за внасянето й</w:t>
            </w:r>
          </w:p>
          <w:p w:rsidR="002F66F4" w:rsidRPr="004C591A" w:rsidRDefault="00741C8A">
            <w:pPr>
              <w:ind w:right="110"/>
              <w:jc w:val="both"/>
              <w:outlineLvl w:val="1"/>
              <w:rPr>
                <w:b/>
                <w:i/>
                <w:lang w:val="bg-BG" w:eastAsia="fr-FR"/>
              </w:rPr>
            </w:pPr>
            <w:r w:rsidRPr="004C591A">
              <w:rPr>
                <w:color w:val="008000"/>
                <w:lang w:val="bg-BG" w:eastAsia="fr-FR"/>
              </w:rPr>
              <w:t>- други регистрационни документи.</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lastRenderedPageBreak/>
              <w:t>48</w:t>
            </w:r>
          </w:p>
        </w:tc>
        <w:tc>
          <w:tcPr>
            <w:tcW w:w="8100" w:type="dxa"/>
            <w:gridSpan w:val="2"/>
            <w:noWrap/>
          </w:tcPr>
          <w:p w:rsidR="002F66F4" w:rsidRPr="0054517B" w:rsidRDefault="00741C8A" w:rsidP="00E34603">
            <w:pPr>
              <w:ind w:right="110"/>
              <w:jc w:val="both"/>
              <w:outlineLvl w:val="1"/>
              <w:rPr>
                <w:b/>
                <w:lang w:val="bg-BG" w:eastAsia="fr-FR"/>
              </w:rPr>
            </w:pPr>
            <w:r w:rsidRPr="004C591A">
              <w:rPr>
                <w:b/>
                <w:lang w:val="bg-B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F66F4" w:rsidRPr="004C591A">
              <w:rPr>
                <w:b/>
                <w:lang w:val="bg-BG" w:eastAsia="fr-FR"/>
              </w:rPr>
              <w:t>?</w:t>
            </w:r>
          </w:p>
          <w:p w:rsidR="002F66F4" w:rsidRPr="0054517B" w:rsidRDefault="002F66F4" w:rsidP="00E34603">
            <w:pPr>
              <w:ind w:right="110"/>
              <w:jc w:val="both"/>
              <w:outlineLvl w:val="1"/>
              <w:rPr>
                <w:b/>
                <w:bCs/>
                <w:lang w:val="bg-BG"/>
              </w:rPr>
            </w:pPr>
            <w:r w:rsidRPr="0054517B">
              <w:rPr>
                <w:lang w:val="bg-B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54517B">
              <w:rPr>
                <w:b/>
                <w:bCs/>
                <w:lang w:val="bg-BG"/>
              </w:rPr>
              <w:t xml:space="preserve"> </w:t>
            </w:r>
          </w:p>
          <w:p w:rsidR="002F66F4" w:rsidRPr="0054517B" w:rsidRDefault="002F66F4" w:rsidP="00E34603">
            <w:pPr>
              <w:ind w:right="110"/>
              <w:jc w:val="both"/>
              <w:outlineLvl w:val="1"/>
              <w:rPr>
                <w:b/>
                <w:color w:val="000080"/>
                <w:lang w:val="bg-BG"/>
              </w:rPr>
            </w:pPr>
            <w:r w:rsidRPr="0054517B">
              <w:rPr>
                <w:b/>
                <w:color w:val="000080"/>
                <w:lang w:val="bg-BG"/>
              </w:rPr>
              <w:t xml:space="preserve">т. </w:t>
            </w:r>
            <w:r w:rsidR="00741C8A" w:rsidRPr="0054517B">
              <w:rPr>
                <w:b/>
                <w:color w:val="000080"/>
                <w:lang w:val="bg-BG"/>
              </w:rPr>
              <w:t>17 и 18</w:t>
            </w:r>
            <w:r w:rsidRPr="0054517B">
              <w:rPr>
                <w:b/>
                <w:color w:val="000080"/>
                <w:lang w:val="bg-BG"/>
              </w:rPr>
              <w:t>от Насоките</w:t>
            </w:r>
          </w:p>
          <w:p w:rsidR="002F66F4" w:rsidRPr="0054517B" w:rsidRDefault="002F66F4" w:rsidP="00337B06">
            <w:pPr>
              <w:ind w:right="110"/>
              <w:jc w:val="both"/>
              <w:outlineLvl w:val="1"/>
              <w:rPr>
                <w:b/>
                <w:bCs/>
                <w:lang w:val="bg-BG"/>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2F66F4" w:rsidRPr="00223A61" w:rsidRDefault="002F66F4" w:rsidP="00071102">
            <w:pPr>
              <w:ind w:right="110"/>
              <w:jc w:val="both"/>
              <w:outlineLvl w:val="1"/>
              <w:rPr>
                <w:b/>
                <w:lang w:val="bg-BG" w:eastAsia="fr-FR"/>
              </w:rPr>
            </w:pPr>
            <w:r w:rsidRPr="0054517B">
              <w:rPr>
                <w:bCs/>
                <w:color w:val="008000"/>
                <w:lang w:val="bg-BG"/>
              </w:rPr>
              <w:t>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w:t>
            </w:r>
            <w:r w:rsidRPr="00722655">
              <w:rPr>
                <w:color w:val="008000"/>
                <w:lang w:val="bg-BG"/>
              </w:rPr>
              <w:t xml:space="preserve"> 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49</w:t>
            </w:r>
          </w:p>
        </w:tc>
        <w:tc>
          <w:tcPr>
            <w:tcW w:w="8100" w:type="dxa"/>
            <w:gridSpan w:val="2"/>
            <w:noWrap/>
          </w:tcPr>
          <w:p w:rsidR="002F66F4" w:rsidRPr="0054517B" w:rsidRDefault="00741C8A" w:rsidP="00E34603">
            <w:pPr>
              <w:ind w:right="110"/>
              <w:jc w:val="both"/>
              <w:outlineLvl w:val="1"/>
              <w:rPr>
                <w:b/>
                <w:lang w:val="bg-BG" w:eastAsia="fr-FR"/>
              </w:rPr>
            </w:pPr>
            <w:r w:rsidRPr="004C591A">
              <w:rPr>
                <w:b/>
                <w:lang w:val="bg-BG" w:eastAsia="fr-FR"/>
              </w:rPr>
              <w:t>Договорът за обществена поръчка съдържа ли всички предложения от офертата на участника, определен за изпълнител</w:t>
            </w:r>
            <w:r w:rsidR="002F66F4" w:rsidRPr="004C591A">
              <w:rPr>
                <w:b/>
                <w:lang w:val="bg-BG" w:eastAsia="fr-FR"/>
              </w:rPr>
              <w:t>?</w:t>
            </w:r>
          </w:p>
          <w:p w:rsidR="002F66F4" w:rsidRPr="007733AB" w:rsidRDefault="002F66F4" w:rsidP="00E34603">
            <w:pPr>
              <w:pStyle w:val="Heading1"/>
              <w:spacing w:before="0" w:line="240" w:lineRule="auto"/>
              <w:jc w:val="both"/>
              <w:rPr>
                <w:rFonts w:ascii="Times New Roman" w:hAnsi="Times New Roman"/>
                <w:bCs w:val="0"/>
                <w:kern w:val="0"/>
                <w:sz w:val="20"/>
                <w:szCs w:val="20"/>
                <w:lang w:val="bg-BG" w:eastAsia="fr-FR"/>
              </w:rPr>
            </w:pPr>
            <w:r w:rsidRPr="007733AB">
              <w:rPr>
                <w:rFonts w:ascii="Times New Roman" w:hAnsi="Times New Roman"/>
                <w:bCs w:val="0"/>
                <w:kern w:val="0"/>
                <w:sz w:val="20"/>
                <w:szCs w:val="20"/>
                <w:lang w:val="bg-BG" w:eastAsia="fr-FR"/>
              </w:rPr>
              <w:t>(чл. 31, ал. 2 от НВМОП)</w:t>
            </w:r>
          </w:p>
          <w:p w:rsidR="002F66F4" w:rsidRPr="004C591A" w:rsidRDefault="002F66F4" w:rsidP="00C4296B">
            <w:pPr>
              <w:ind w:right="110"/>
              <w:jc w:val="both"/>
              <w:outlineLvl w:val="1"/>
              <w:rPr>
                <w:b/>
                <w:color w:val="000080"/>
                <w:lang w:val="bg-BG"/>
              </w:rPr>
            </w:pPr>
            <w:r w:rsidRPr="004C591A">
              <w:rPr>
                <w:b/>
                <w:color w:val="000080"/>
                <w:lang w:val="bg-BG"/>
              </w:rPr>
              <w:t xml:space="preserve">т. </w:t>
            </w:r>
            <w:r w:rsidR="00741C8A" w:rsidRPr="004C591A">
              <w:rPr>
                <w:b/>
                <w:color w:val="000080"/>
                <w:lang w:val="bg-BG"/>
              </w:rPr>
              <w:t xml:space="preserve">17 и  18 </w:t>
            </w:r>
            <w:r w:rsidRPr="004C591A">
              <w:rPr>
                <w:b/>
                <w:color w:val="000080"/>
                <w:lang w:val="bg-BG"/>
              </w:rPr>
              <w:t>от Насоките</w:t>
            </w:r>
          </w:p>
          <w:p w:rsidR="002F66F4" w:rsidRPr="0054517B" w:rsidRDefault="002F66F4" w:rsidP="00C4296B">
            <w:pPr>
              <w:ind w:right="110"/>
              <w:jc w:val="both"/>
              <w:outlineLvl w:val="1"/>
              <w:rPr>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сключения договор за обществена поръчка и документите, съдържащи предложения, въз основа на които участникът е определен за изпълнител.</w:t>
            </w:r>
          </w:p>
          <w:p w:rsidR="002F66F4" w:rsidRPr="00223A61" w:rsidRDefault="002F66F4" w:rsidP="00E34603">
            <w:pPr>
              <w:ind w:right="110"/>
              <w:jc w:val="both"/>
              <w:outlineLvl w:val="1"/>
              <w:rPr>
                <w:b/>
                <w:lang w:val="bg-BG" w:eastAsia="fr-FR"/>
              </w:rPr>
            </w:pPr>
            <w:r w:rsidRPr="0054517B">
              <w:rPr>
                <w:bCs/>
                <w:color w:val="008000"/>
                <w:lang w:val="bg-BG"/>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r w:rsidRPr="00722655">
              <w:rPr>
                <w:color w:val="008000"/>
                <w:lang w:val="bg-BG"/>
              </w:rPr>
              <w:t xml:space="preserve"> Обърнете внимание на срока за изпълнение, цената, техническите спецификации и предвидените дейности за изпълнение.</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54517B" w:rsidRDefault="009A461F">
            <w:pPr>
              <w:pStyle w:val="BodyText"/>
              <w:widowControl w:val="0"/>
              <w:spacing w:before="240" w:after="60"/>
              <w:ind w:left="72"/>
              <w:jc w:val="both"/>
              <w:rPr>
                <w:b/>
                <w:lang w:val="bg-BG"/>
              </w:rPr>
            </w:pPr>
            <w:r>
              <w:rPr>
                <w:b/>
                <w:lang w:val="bg-BG"/>
              </w:rPr>
              <w:t>50</w:t>
            </w:r>
          </w:p>
        </w:tc>
        <w:tc>
          <w:tcPr>
            <w:tcW w:w="8100" w:type="dxa"/>
            <w:gridSpan w:val="2"/>
            <w:noWrap/>
          </w:tcPr>
          <w:p w:rsidR="002F66F4" w:rsidRPr="0054517B" w:rsidRDefault="00741C8A" w:rsidP="007B39DE">
            <w:pPr>
              <w:ind w:right="110"/>
              <w:jc w:val="both"/>
              <w:outlineLvl w:val="1"/>
              <w:rPr>
                <w:b/>
                <w:lang w:val="bg-BG" w:eastAsia="fr-FR"/>
              </w:rPr>
            </w:pPr>
            <w:r w:rsidRPr="004C591A">
              <w:rPr>
                <w:b/>
                <w:lang w:val="bg-BG" w:eastAsia="fr-FR"/>
              </w:rPr>
              <w:t>Изпратена ли е информация за сключения договор до АОП за вписване в РОП в срок от 7 дни от подписване на договора за обществена поръчка</w:t>
            </w:r>
            <w:r w:rsidR="002F66F4" w:rsidRPr="004C591A">
              <w:rPr>
                <w:b/>
                <w:lang w:val="bg-BG" w:eastAsia="fr-FR"/>
              </w:rPr>
              <w:t>?</w:t>
            </w:r>
            <w:r w:rsidR="002F66F4" w:rsidRPr="0054517B">
              <w:rPr>
                <w:b/>
                <w:lang w:val="bg-BG" w:eastAsia="fr-FR"/>
              </w:rPr>
              <w:t xml:space="preserve"> </w:t>
            </w:r>
          </w:p>
          <w:p w:rsidR="002F66F4" w:rsidRPr="0054517B" w:rsidRDefault="002F66F4" w:rsidP="007B39DE">
            <w:pPr>
              <w:ind w:right="110"/>
              <w:jc w:val="both"/>
              <w:outlineLvl w:val="1"/>
              <w:rPr>
                <w:b/>
                <w:lang w:val="bg-BG" w:eastAsia="fr-FR"/>
              </w:rPr>
            </w:pPr>
            <w:r w:rsidRPr="0054517B">
              <w:rPr>
                <w:b/>
                <w:lang w:val="bg-BG" w:eastAsia="fr-FR"/>
              </w:rPr>
              <w:t>(чл. 34, ал. 1 от НВМОП)</w:t>
            </w:r>
          </w:p>
          <w:p w:rsidR="002F66F4" w:rsidRPr="0054517B" w:rsidRDefault="002F66F4" w:rsidP="007B39DE">
            <w:pPr>
              <w:ind w:right="110"/>
              <w:jc w:val="both"/>
              <w:outlineLvl w:val="1"/>
              <w:rPr>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писмата/ документите, с които е изпратена информацията до АОП.</w:t>
            </w:r>
          </w:p>
          <w:p w:rsidR="002F66F4" w:rsidRPr="0054517B" w:rsidRDefault="002F66F4" w:rsidP="00071102">
            <w:pPr>
              <w:ind w:right="110"/>
              <w:jc w:val="both"/>
              <w:outlineLvl w:val="1"/>
              <w:rPr>
                <w:b/>
                <w:lang w:val="bg-BG" w:eastAsia="fr-FR"/>
              </w:rPr>
            </w:pPr>
            <w:r w:rsidRPr="0054517B">
              <w:rPr>
                <w:bCs/>
                <w:color w:val="008000"/>
                <w:lang w:val="bg-BG"/>
              </w:rPr>
              <w:t>Анализирайте датата на писмото, с което е изпратена информацията до АОП.</w:t>
            </w:r>
          </w:p>
        </w:tc>
        <w:tc>
          <w:tcPr>
            <w:tcW w:w="700" w:type="dxa"/>
          </w:tcPr>
          <w:p w:rsidR="002F66F4" w:rsidRPr="00722655" w:rsidRDefault="002F66F4" w:rsidP="00473FD8">
            <w:pPr>
              <w:jc w:val="center"/>
              <w:outlineLvl w:val="1"/>
              <w:rPr>
                <w:lang w:val="bg-BG"/>
              </w:rPr>
            </w:pPr>
          </w:p>
        </w:tc>
        <w:tc>
          <w:tcPr>
            <w:tcW w:w="5240" w:type="dxa"/>
          </w:tcPr>
          <w:p w:rsidR="002F66F4" w:rsidRPr="00223A61" w:rsidRDefault="002F66F4" w:rsidP="00473FD8">
            <w:pPr>
              <w:jc w:val="center"/>
              <w:outlineLvl w:val="1"/>
              <w:rPr>
                <w:lang w:val="bg-BG"/>
              </w:rPr>
            </w:pPr>
          </w:p>
        </w:tc>
      </w:tr>
      <w:tr w:rsidR="002F66F4" w:rsidRPr="004C591A" w:rsidTr="00AF7445">
        <w:trPr>
          <w:trHeight w:val="270"/>
        </w:trPr>
        <w:tc>
          <w:tcPr>
            <w:tcW w:w="828" w:type="dxa"/>
          </w:tcPr>
          <w:p w:rsidR="002F66F4" w:rsidRPr="0054517B" w:rsidRDefault="000E53C0">
            <w:pPr>
              <w:pStyle w:val="BodyText"/>
              <w:widowControl w:val="0"/>
              <w:spacing w:before="240" w:after="60"/>
              <w:ind w:left="72"/>
              <w:jc w:val="both"/>
              <w:rPr>
                <w:b/>
                <w:lang w:val="bg-BG"/>
              </w:rPr>
            </w:pPr>
            <w:r>
              <w:rPr>
                <w:b/>
                <w:lang w:val="bg-BG"/>
              </w:rPr>
              <w:t>51</w:t>
            </w:r>
          </w:p>
        </w:tc>
        <w:tc>
          <w:tcPr>
            <w:tcW w:w="8100" w:type="dxa"/>
            <w:gridSpan w:val="2"/>
            <w:noWrap/>
          </w:tcPr>
          <w:p w:rsidR="00AA3F80" w:rsidRPr="00AA3F80" w:rsidRDefault="00AA3F80" w:rsidP="00AA3F80">
            <w:pPr>
              <w:jc w:val="both"/>
              <w:rPr>
                <w:b/>
                <w:lang w:val="bg-BG" w:eastAsia="fr-FR"/>
              </w:rPr>
            </w:pPr>
            <w:r w:rsidRPr="00AA3F80">
              <w:rPr>
                <w:b/>
                <w:lang w:val="bg-BG" w:eastAsia="fr-FR"/>
              </w:rPr>
              <w:t>Договорът за обществена поръчка изменян ли е от подписването му до момента на извършване на настоящата проверка?</w:t>
            </w:r>
          </w:p>
          <w:p w:rsidR="00741C8A" w:rsidRPr="0054517B" w:rsidRDefault="00AA3F80" w:rsidP="00741C8A">
            <w:pPr>
              <w:jc w:val="both"/>
              <w:rPr>
                <w:lang w:val="bg-BG" w:eastAsia="fr-FR"/>
              </w:rPr>
            </w:pPr>
            <w:r w:rsidRPr="00AA3F80">
              <w:rPr>
                <w:b/>
                <w:lang w:val="bg-B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r w:rsidR="00741C8A" w:rsidRPr="0054517B">
              <w:rPr>
                <w:lang w:val="bg-BG" w:eastAsia="fr-FR"/>
              </w:rPr>
              <w:t xml:space="preserve">Възложителят няма право да изменя подписания договор за обществена поръчка </w:t>
            </w:r>
            <w:r w:rsidR="00741C8A" w:rsidRPr="0054517B">
              <w:rPr>
                <w:lang w:val="bg-BG" w:eastAsia="fr-FR"/>
              </w:rPr>
              <w:lastRenderedPageBreak/>
              <w:t>освен в изключителни случаи.</w:t>
            </w:r>
          </w:p>
          <w:p w:rsidR="00741C8A" w:rsidRPr="0054517B" w:rsidRDefault="00741C8A" w:rsidP="00741C8A">
            <w:pPr>
              <w:jc w:val="both"/>
              <w:rPr>
                <w:lang w:val="bg-BG" w:eastAsia="fr-FR"/>
              </w:rPr>
            </w:pPr>
            <w:r w:rsidRPr="0054517B">
              <w:rPr>
                <w:lang w:val="bg-BG" w:eastAsia="fr-FR"/>
              </w:rPr>
              <w:t>Съществени изменения на условия на договора ще са налице, ако:</w:t>
            </w:r>
          </w:p>
          <w:p w:rsidR="00741C8A" w:rsidRPr="0054517B" w:rsidRDefault="00741C8A" w:rsidP="00741C8A">
            <w:pPr>
              <w:jc w:val="both"/>
              <w:rPr>
                <w:lang w:val="bg-BG" w:eastAsia="fr-FR"/>
              </w:rPr>
            </w:pPr>
            <w:r w:rsidRPr="0054517B">
              <w:rPr>
                <w:lang w:val="bg-BG" w:eastAsia="fr-FR"/>
              </w:rPr>
              <w:t>- изменението, ако е било включено като условия за възлагане на поръчката в ДУ, е могло да доведе до постъпване на съществено различни предложения за изпълнение на поръчката,</w:t>
            </w:r>
          </w:p>
          <w:p w:rsidR="00741C8A" w:rsidRPr="0054517B" w:rsidRDefault="00741C8A" w:rsidP="00741C8A">
            <w:pPr>
              <w:jc w:val="both"/>
              <w:rPr>
                <w:lang w:val="bg-BG" w:eastAsia="fr-FR"/>
              </w:rPr>
            </w:pPr>
            <w:r w:rsidRPr="0054517B">
              <w:rPr>
                <w:lang w:val="bg-BG" w:eastAsia="fr-FR"/>
              </w:rPr>
              <w:t>- изменението е променило обхвата на потенциално заинтересованите към поръчката лица.</w:t>
            </w:r>
          </w:p>
          <w:p w:rsidR="002F66F4" w:rsidRPr="0054517B" w:rsidRDefault="00741C8A" w:rsidP="00E876D9">
            <w:pPr>
              <w:jc w:val="both"/>
              <w:rPr>
                <w:lang w:val="bg-BG" w:eastAsia="fr-FR"/>
              </w:rPr>
            </w:pPr>
            <w:r w:rsidRPr="0054517B">
              <w:rPr>
                <w:lang w:val="bg-BG" w:eastAsia="fr-FR"/>
              </w:rPr>
              <w:t>- изменението е променило икономическия баланс по договора в полза на възложителя.</w:t>
            </w:r>
          </w:p>
          <w:p w:rsidR="002F66F4" w:rsidRPr="00722655" w:rsidRDefault="002F66F4" w:rsidP="00D00C4C">
            <w:pPr>
              <w:jc w:val="both"/>
              <w:rPr>
                <w:b/>
                <w:lang w:val="bg-BG" w:eastAsia="fr-FR"/>
              </w:rPr>
            </w:pPr>
            <w:r w:rsidRPr="00722655">
              <w:rPr>
                <w:b/>
                <w:lang w:val="bg-BG" w:eastAsia="fr-FR"/>
              </w:rPr>
              <w:t>(чл. 33, ал. 1 от НВМОП)</w:t>
            </w:r>
          </w:p>
          <w:p w:rsidR="002F66F4" w:rsidRPr="004C591A" w:rsidRDefault="002F66F4" w:rsidP="008C125D">
            <w:pPr>
              <w:ind w:right="110"/>
              <w:jc w:val="both"/>
              <w:outlineLvl w:val="1"/>
              <w:rPr>
                <w:b/>
                <w:color w:val="000080"/>
                <w:lang w:val="bg-BG"/>
              </w:rPr>
            </w:pPr>
            <w:r w:rsidRPr="00223A61">
              <w:rPr>
                <w:b/>
                <w:color w:val="000080"/>
                <w:lang w:val="bg-BG"/>
              </w:rPr>
              <w:t xml:space="preserve">т. </w:t>
            </w:r>
            <w:r w:rsidR="00741C8A" w:rsidRPr="004C591A">
              <w:rPr>
                <w:b/>
                <w:color w:val="000080"/>
                <w:lang w:val="bg-BG"/>
              </w:rPr>
              <w:t xml:space="preserve">22 и </w:t>
            </w:r>
            <w:r w:rsidRPr="004C591A">
              <w:rPr>
                <w:b/>
                <w:color w:val="000080"/>
                <w:lang w:val="bg-BG"/>
              </w:rPr>
              <w:t>24 от Насоките</w:t>
            </w:r>
          </w:p>
          <w:p w:rsidR="00542908" w:rsidRPr="0054517B" w:rsidRDefault="00542908" w:rsidP="00542908">
            <w:pPr>
              <w:jc w:val="both"/>
              <w:rPr>
                <w:b/>
                <w:i/>
                <w:lang w:val="bg-BG" w:eastAsia="fr-FR"/>
              </w:rPr>
            </w:pP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bl>
    <w:p w:rsidR="002F66F4" w:rsidRPr="004C591A" w:rsidRDefault="002F66F4" w:rsidP="00A25811">
      <w:pPr>
        <w:rPr>
          <w:lang w:val="bg-BG"/>
        </w:rPr>
      </w:pPr>
    </w:p>
    <w:tbl>
      <w:tblPr>
        <w:tblW w:w="148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100"/>
        <w:gridCol w:w="700"/>
        <w:gridCol w:w="5240"/>
      </w:tblGrid>
      <w:tr w:rsidR="000E53C0" w:rsidRPr="000E53C0" w:rsidTr="00A30106">
        <w:trPr>
          <w:trHeight w:val="270"/>
        </w:trPr>
        <w:tc>
          <w:tcPr>
            <w:tcW w:w="14868" w:type="dxa"/>
            <w:gridSpan w:val="4"/>
          </w:tcPr>
          <w:p w:rsidR="000E53C0" w:rsidRPr="000E53C0" w:rsidRDefault="000E53C0" w:rsidP="000E53C0">
            <w:pPr>
              <w:jc w:val="both"/>
              <w:rPr>
                <w:b/>
              </w:rPr>
            </w:pPr>
            <w:r w:rsidRPr="000E53C0">
              <w:rPr>
                <w:b/>
                <w:lang w:val="en-US"/>
              </w:rPr>
              <w:t>IV</w:t>
            </w:r>
            <w:r w:rsidRPr="000E53C0">
              <w:rPr>
                <w:b/>
                <w:lang w:val="ru-RU"/>
              </w:rPr>
              <w:t xml:space="preserve">. </w:t>
            </w:r>
            <w:r w:rsidRPr="000E53C0">
              <w:rPr>
                <w:b/>
              </w:rPr>
              <w:t xml:space="preserve">ИНДИКАТОРИ ЗА НЕРЕДНОСТИ И ИЗМАМИ, КОИТО ИМАТ ОТНОШЕНИЕ КЪМ </w:t>
            </w:r>
            <w:r w:rsidRPr="000E53C0" w:rsidDel="00FC4D9A">
              <w:rPr>
                <w:b/>
              </w:rPr>
              <w:t xml:space="preserve">ПРОВЕДЕНАТА </w:t>
            </w:r>
            <w:r w:rsidRPr="000E53C0">
              <w:rPr>
                <w:b/>
              </w:rPr>
              <w:t xml:space="preserve">ОБЩЕСТВЕНАТА ПОРЪЧКА </w:t>
            </w:r>
          </w:p>
          <w:p w:rsidR="000E53C0" w:rsidRPr="000E53C0" w:rsidRDefault="000E53C0" w:rsidP="000E53C0">
            <w:pPr>
              <w:jc w:val="both"/>
              <w:rPr>
                <w:b/>
                <w:lang w:val="bg-BG"/>
              </w:rPr>
            </w:pPr>
            <w:r w:rsidRPr="000E53C0">
              <w:rPr>
                <w:b/>
              </w:rPr>
              <w:t>(„ЧЕРВЕНИ ФЛАГОВЕ“)</w:t>
            </w:r>
          </w:p>
        </w:tc>
      </w:tr>
      <w:tr w:rsidR="000E53C0" w:rsidRPr="000E53C0" w:rsidTr="00A30106">
        <w:trPr>
          <w:trHeight w:val="270"/>
        </w:trPr>
        <w:tc>
          <w:tcPr>
            <w:tcW w:w="828" w:type="dxa"/>
          </w:tcPr>
          <w:p w:rsidR="000E53C0" w:rsidRPr="000E53C0" w:rsidRDefault="000E53C0" w:rsidP="000E53C0">
            <w:pPr>
              <w:jc w:val="both"/>
              <w:rPr>
                <w:b/>
                <w:lang w:val="bg-BG"/>
              </w:rPr>
            </w:pPr>
            <w:r w:rsidRPr="000E53C0">
              <w:rPr>
                <w:b/>
                <w:lang w:val="bg-BG"/>
              </w:rPr>
              <w:t>52.</w:t>
            </w:r>
          </w:p>
        </w:tc>
        <w:tc>
          <w:tcPr>
            <w:tcW w:w="8100" w:type="dxa"/>
            <w:noWrap/>
          </w:tcPr>
          <w:p w:rsidR="000E53C0" w:rsidRPr="000E53C0" w:rsidRDefault="000E53C0" w:rsidP="000E53C0">
            <w:pPr>
              <w:jc w:val="both"/>
              <w:rPr>
                <w:b/>
              </w:rPr>
            </w:pPr>
            <w:r w:rsidRPr="000E53C0">
              <w:rPr>
                <w:b/>
              </w:rPr>
              <w:t>Налице ли са в проверяваната процедурата индикатори за конфликт на интереси?</w:t>
            </w:r>
          </w:p>
          <w:p w:rsidR="000E53C0" w:rsidRPr="000E53C0" w:rsidRDefault="000E53C0" w:rsidP="000E53C0">
            <w:pPr>
              <w:jc w:val="both"/>
              <w:rPr>
                <w:b/>
                <w:lang w:val="bg-BG"/>
              </w:rPr>
            </w:pPr>
            <w:r w:rsidRPr="000E53C0">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700" w:type="dxa"/>
          </w:tcPr>
          <w:p w:rsidR="000E53C0" w:rsidRPr="000E53C0" w:rsidRDefault="000E53C0" w:rsidP="000E53C0">
            <w:pPr>
              <w:jc w:val="both"/>
              <w:rPr>
                <w:lang w:val="bg-BG"/>
              </w:rPr>
            </w:pPr>
          </w:p>
        </w:tc>
        <w:tc>
          <w:tcPr>
            <w:tcW w:w="5240" w:type="dxa"/>
          </w:tcPr>
          <w:p w:rsidR="000E53C0" w:rsidRPr="000E53C0" w:rsidRDefault="000E53C0" w:rsidP="000E53C0">
            <w:pPr>
              <w:jc w:val="both"/>
              <w:rPr>
                <w:lang w:val="bg-BG"/>
              </w:rPr>
            </w:pPr>
          </w:p>
        </w:tc>
      </w:tr>
      <w:tr w:rsidR="000E53C0" w:rsidRPr="000E53C0" w:rsidTr="00A30106">
        <w:trPr>
          <w:trHeight w:val="270"/>
        </w:trPr>
        <w:tc>
          <w:tcPr>
            <w:tcW w:w="828" w:type="dxa"/>
          </w:tcPr>
          <w:p w:rsidR="000E53C0" w:rsidRPr="000E53C0" w:rsidRDefault="000E53C0" w:rsidP="000E53C0">
            <w:pPr>
              <w:jc w:val="both"/>
              <w:rPr>
                <w:b/>
                <w:lang w:val="ru-RU"/>
              </w:rPr>
            </w:pPr>
            <w:r w:rsidRPr="000E53C0">
              <w:rPr>
                <w:b/>
                <w:lang w:val="ru-RU"/>
              </w:rPr>
              <w:t>53.</w:t>
            </w:r>
          </w:p>
        </w:tc>
        <w:tc>
          <w:tcPr>
            <w:tcW w:w="8100" w:type="dxa"/>
            <w:noWrap/>
          </w:tcPr>
          <w:p w:rsidR="000E53C0" w:rsidRPr="000E53C0" w:rsidRDefault="000E53C0" w:rsidP="000E53C0">
            <w:pPr>
              <w:jc w:val="both"/>
            </w:pPr>
            <w:r w:rsidRPr="000E53C0">
              <w:rPr>
                <w:b/>
              </w:rPr>
              <w:t>Налице ли са в проверяваната процедурата индикатори за договаряне при офериране?</w:t>
            </w:r>
          </w:p>
          <w:p w:rsidR="000E53C0" w:rsidRPr="000E53C0" w:rsidRDefault="000E53C0" w:rsidP="000E53C0">
            <w:pPr>
              <w:jc w:val="both"/>
              <w:rPr>
                <w:b/>
                <w:lang w:val="bg-BG"/>
              </w:rPr>
            </w:pPr>
            <w:r w:rsidRPr="000E53C0">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700" w:type="dxa"/>
          </w:tcPr>
          <w:p w:rsidR="000E53C0" w:rsidRPr="000E53C0" w:rsidRDefault="000E53C0" w:rsidP="000E53C0">
            <w:pPr>
              <w:jc w:val="both"/>
              <w:rPr>
                <w:lang w:val="bg-BG"/>
              </w:rPr>
            </w:pPr>
          </w:p>
        </w:tc>
        <w:tc>
          <w:tcPr>
            <w:tcW w:w="5240" w:type="dxa"/>
          </w:tcPr>
          <w:p w:rsidR="000E53C0" w:rsidRPr="000E53C0" w:rsidRDefault="000E53C0" w:rsidP="000E53C0">
            <w:pPr>
              <w:jc w:val="both"/>
              <w:rPr>
                <w:lang w:val="bg-BG"/>
              </w:rPr>
            </w:pPr>
          </w:p>
        </w:tc>
      </w:tr>
      <w:tr w:rsidR="000E53C0" w:rsidRPr="000E53C0" w:rsidTr="00A30106">
        <w:trPr>
          <w:trHeight w:val="270"/>
        </w:trPr>
        <w:tc>
          <w:tcPr>
            <w:tcW w:w="828" w:type="dxa"/>
          </w:tcPr>
          <w:p w:rsidR="000E53C0" w:rsidRPr="000E53C0" w:rsidRDefault="000E53C0" w:rsidP="000E53C0">
            <w:pPr>
              <w:jc w:val="both"/>
              <w:rPr>
                <w:b/>
                <w:lang w:val="ru-RU"/>
              </w:rPr>
            </w:pPr>
            <w:r w:rsidRPr="000E53C0">
              <w:rPr>
                <w:b/>
                <w:lang w:val="ru-RU"/>
              </w:rPr>
              <w:t>54.</w:t>
            </w:r>
          </w:p>
        </w:tc>
        <w:tc>
          <w:tcPr>
            <w:tcW w:w="8100" w:type="dxa"/>
            <w:noWrap/>
          </w:tcPr>
          <w:p w:rsidR="000E53C0" w:rsidRPr="000E53C0" w:rsidRDefault="000E53C0" w:rsidP="000E53C0">
            <w:pPr>
              <w:jc w:val="both"/>
              <w:rPr>
                <w:b/>
              </w:rPr>
            </w:pPr>
            <w:r w:rsidRPr="000E53C0">
              <w:rPr>
                <w:b/>
              </w:rPr>
              <w:t>Налице ли са в проверяваната процедурата индикатори за неоснователно възлагане на един изпълнител?</w:t>
            </w:r>
          </w:p>
          <w:p w:rsidR="000E53C0" w:rsidRPr="000E53C0" w:rsidRDefault="000E53C0" w:rsidP="000E53C0">
            <w:pPr>
              <w:jc w:val="both"/>
              <w:rPr>
                <w:b/>
                <w:lang w:val="bg-BG"/>
              </w:rPr>
            </w:pPr>
            <w:r w:rsidRPr="000E53C0">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700" w:type="dxa"/>
          </w:tcPr>
          <w:p w:rsidR="000E53C0" w:rsidRPr="000E53C0" w:rsidRDefault="000E53C0" w:rsidP="000E53C0">
            <w:pPr>
              <w:jc w:val="both"/>
              <w:rPr>
                <w:lang w:val="bg-BG"/>
              </w:rPr>
            </w:pPr>
          </w:p>
        </w:tc>
        <w:tc>
          <w:tcPr>
            <w:tcW w:w="5240" w:type="dxa"/>
          </w:tcPr>
          <w:p w:rsidR="000E53C0" w:rsidRPr="000E53C0" w:rsidRDefault="000E53C0" w:rsidP="000E53C0">
            <w:pPr>
              <w:jc w:val="both"/>
              <w:rPr>
                <w:lang w:val="bg-BG"/>
              </w:rPr>
            </w:pPr>
          </w:p>
        </w:tc>
      </w:tr>
    </w:tbl>
    <w:p w:rsidR="000E53C0" w:rsidRPr="000E53C0" w:rsidRDefault="000E53C0" w:rsidP="000E53C0">
      <w:pPr>
        <w:jc w:val="both"/>
        <w:rPr>
          <w:lang w:val="bg-BG"/>
        </w:rPr>
      </w:pPr>
    </w:p>
    <w:p w:rsidR="00B54D89" w:rsidRPr="004C591A" w:rsidRDefault="00B54D89" w:rsidP="00B54D89">
      <w:pPr>
        <w:jc w:val="both"/>
      </w:pPr>
    </w:p>
    <w:p w:rsidR="00B54D89" w:rsidRPr="004C591A" w:rsidRDefault="00B54D89" w:rsidP="00B54D89">
      <w:pPr>
        <w:ind w:left="-360"/>
        <w:jc w:val="both"/>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9F0AAB" w:rsidTr="009F0AAB">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hideMark/>
          </w:tcPr>
          <w:p w:rsidR="009F0AAB" w:rsidRDefault="009F0AAB">
            <w:pPr>
              <w:ind w:left="142" w:right="283"/>
              <w:rPr>
                <w:b/>
                <w:lang w:val="bg-BG" w:eastAsia="bg-BG"/>
              </w:rPr>
            </w:pPr>
            <w:r>
              <w:rPr>
                <w:b/>
              </w:rPr>
              <w:t>Заключение относно вероятност за налагане на финансови корекции</w:t>
            </w:r>
          </w:p>
        </w:tc>
      </w:tr>
      <w:tr w:rsidR="009F0AAB" w:rsidTr="009F0AAB">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hideMark/>
          </w:tcPr>
          <w:p w:rsidR="009F0AAB" w:rsidRDefault="009F0AAB">
            <w:pPr>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9F0AAB" w:rsidRDefault="009F0AAB">
            <w:pPr>
              <w:rPr>
                <w:sz w:val="18"/>
                <w:szCs w:val="18"/>
              </w:rPr>
            </w:pPr>
            <w:r>
              <w:rPr>
                <w:sz w:val="18"/>
                <w:szCs w:val="18"/>
              </w:rPr>
              <w:t>Експерт</w:t>
            </w:r>
          </w:p>
          <w:p w:rsidR="009F0AAB" w:rsidRDefault="009F0AAB">
            <w:pPr>
              <w:rPr>
                <w:b/>
                <w:sz w:val="24"/>
                <w:szCs w:val="24"/>
              </w:rPr>
            </w:pPr>
            <w:r>
              <w:rPr>
                <w:b/>
              </w:rPr>
              <w:t>Да/Не</w:t>
            </w:r>
          </w:p>
        </w:tc>
      </w:tr>
    </w:tbl>
    <w:p w:rsidR="009F0AAB" w:rsidRDefault="009F0AAB" w:rsidP="009F0AAB">
      <w:pPr>
        <w:rPr>
          <w:lang w:val="en-US"/>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9F0AAB" w:rsidTr="009F0AAB">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hideMark/>
          </w:tcPr>
          <w:p w:rsidR="009F0AAB" w:rsidRDefault="009F0AAB">
            <w:pPr>
              <w:ind w:left="214" w:right="283" w:hanging="72"/>
              <w:rPr>
                <w:b/>
                <w:lang w:val="bg-BG"/>
              </w:rPr>
            </w:pPr>
            <w:r>
              <w:rPr>
                <w:b/>
              </w:rPr>
              <w:lastRenderedPageBreak/>
              <w:t>Заключение* относно законосъобразността на процедурата: ………………………………………………………………………………………………</w:t>
            </w:r>
          </w:p>
          <w:p w:rsidR="009F0AAB" w:rsidRDefault="009F0AAB">
            <w:pPr>
              <w:ind w:left="142" w:right="283"/>
              <w:rPr>
                <w:i/>
              </w:rPr>
            </w:pPr>
            <w:r>
              <w:rPr>
                <w:i/>
              </w:rPr>
              <w:t>*Експертът, следва да направи заключение относно законосъобразността на процедурата, напр.:</w:t>
            </w:r>
          </w:p>
          <w:p w:rsidR="009F0AAB" w:rsidRDefault="009F0AAB">
            <w:pPr>
              <w:ind w:left="142" w:right="283"/>
              <w:rPr>
                <w:i/>
              </w:rPr>
            </w:pPr>
            <w:r>
              <w:rPr>
                <w:i/>
              </w:rPr>
              <w:t>Процедурата е проведена законосъобразно, като не установих нарушения. ИЛИ</w:t>
            </w:r>
          </w:p>
          <w:p w:rsidR="009F0AAB" w:rsidRDefault="009F0AAB">
            <w:pPr>
              <w:ind w:left="142" w:right="283"/>
              <w:rPr>
                <w:i/>
              </w:rPr>
            </w:pPr>
            <w:r>
              <w:rPr>
                <w:i/>
              </w:rPr>
              <w:t>Установих ......... броя нарушения, които нямат финансов ефект – Референция № ............. по-горе.  И/ИЛИ</w:t>
            </w:r>
          </w:p>
          <w:p w:rsidR="009F0AAB" w:rsidRDefault="009F0AAB">
            <w:pPr>
              <w:ind w:left="142" w:right="283"/>
              <w:rPr>
                <w:b/>
              </w:rPr>
            </w:pPr>
            <w:r>
              <w:rPr>
                <w:i/>
              </w:rPr>
              <w:t>Установих ......... броя нарушения,  които имат финансов ефект – Референция № ............ по-горе.</w:t>
            </w:r>
          </w:p>
        </w:tc>
      </w:tr>
      <w:tr w:rsidR="009F0AAB" w:rsidTr="009F0AAB">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9F0AAB" w:rsidRDefault="009F0AAB">
            <w:pPr>
              <w:ind w:left="142" w:right="283"/>
              <w:rPr>
                <w:b/>
              </w:rPr>
            </w:pPr>
            <w:r>
              <w:rPr>
                <w:b/>
              </w:rPr>
              <w:t>Проверката е извършена в периода от …. до ……..</w:t>
            </w:r>
          </w:p>
        </w:tc>
      </w:tr>
      <w:tr w:rsidR="009F0AAB" w:rsidTr="009F0AAB">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9F0AAB" w:rsidRDefault="009F0AAB">
            <w:pPr>
              <w:ind w:left="142" w:right="283"/>
              <w:rPr>
                <w:b/>
              </w:rPr>
            </w:pPr>
            <w:r>
              <w:rPr>
                <w:b/>
              </w:rPr>
              <w:t xml:space="preserve">Извършили проверката: </w:t>
            </w:r>
          </w:p>
          <w:p w:rsidR="009F0AAB" w:rsidRDefault="009F0AAB">
            <w:pPr>
              <w:ind w:left="142" w:right="283"/>
              <w:rPr>
                <w:b/>
              </w:rPr>
            </w:pPr>
          </w:p>
          <w:p w:rsidR="009F0AAB" w:rsidRDefault="009F0AAB">
            <w:pPr>
              <w:ind w:left="142" w:right="283"/>
              <w:rPr>
                <w:b/>
              </w:rPr>
            </w:pPr>
            <w:r>
              <w:rPr>
                <w:b/>
              </w:rPr>
              <w:t>Експерт ………………………………………………...............................................................</w:t>
            </w:r>
          </w:p>
          <w:p w:rsidR="009F0AAB" w:rsidRDefault="009F0AAB">
            <w:pPr>
              <w:ind w:left="142" w:right="283"/>
              <w:rPr>
                <w:b/>
              </w:rPr>
            </w:pPr>
            <w:r>
              <w:rPr>
                <w:b/>
              </w:rPr>
              <w:t xml:space="preserve">                                       /име и фамилия, длъжност, дата и подпис/</w:t>
            </w:r>
          </w:p>
          <w:p w:rsidR="009F0AAB" w:rsidRDefault="009F0AAB">
            <w:pPr>
              <w:ind w:left="142" w:right="283"/>
              <w:rPr>
                <w:b/>
              </w:rPr>
            </w:pPr>
          </w:p>
          <w:p w:rsidR="009F0AAB" w:rsidRDefault="009F0AAB">
            <w:pPr>
              <w:ind w:left="142" w:right="283"/>
              <w:rPr>
                <w:b/>
              </w:rPr>
            </w:pPr>
          </w:p>
          <w:p w:rsidR="009F0AAB" w:rsidRDefault="009F0AAB">
            <w:pPr>
              <w:ind w:left="142" w:right="283"/>
              <w:rPr>
                <w:b/>
              </w:rPr>
            </w:pPr>
          </w:p>
        </w:tc>
      </w:tr>
    </w:tbl>
    <w:p w:rsidR="009F0AAB" w:rsidRDefault="009F0AAB" w:rsidP="009F0AAB"/>
    <w:p w:rsidR="009F0AAB" w:rsidRDefault="009F0AAB" w:rsidP="009F0AAB"/>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9F0AAB" w:rsidTr="009F0AAB">
        <w:trPr>
          <w:trHeight w:val="498"/>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pPr>
              <w:spacing w:before="120" w:line="276" w:lineRule="auto"/>
              <w:jc w:val="center"/>
              <w:rPr>
                <w:bCs/>
              </w:rPr>
            </w:pPr>
            <w:r>
              <w:rPr>
                <w:b/>
                <w:bCs/>
                <w:lang w:val="en-US"/>
              </w:rPr>
              <w:t>II.</w:t>
            </w:r>
            <w:r>
              <w:rPr>
                <w:b/>
                <w:bCs/>
              </w:rPr>
              <w:t>Заключ</w:t>
            </w:r>
            <w:r w:rsidR="006B18B9">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t>Да/Не/НП</w:t>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432"/>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bCs/>
              </w:rPr>
            </w:pPr>
            <w:r>
              <w:rPr>
                <w:b/>
                <w:bCs/>
              </w:rPr>
              <w:sym w:font="Wingdings 2" w:char="F0A3"/>
            </w:r>
            <w:r>
              <w:rPr>
                <w:b/>
                <w:bCs/>
              </w:rPr>
              <w:sym w:font="Wingdings 2" w:char="F0A3"/>
            </w:r>
            <w:r>
              <w:rPr>
                <w:b/>
                <w:bCs/>
              </w:rPr>
              <w:sym w:font="Wingdings 2" w:char="F0A3"/>
            </w:r>
          </w:p>
        </w:tc>
      </w:tr>
      <w:tr w:rsidR="009F0AAB" w:rsidTr="009F0AAB">
        <w:tc>
          <w:tcPr>
            <w:tcW w:w="12014" w:type="dxa"/>
            <w:gridSpan w:val="2"/>
            <w:tcBorders>
              <w:top w:val="single" w:sz="4" w:space="0" w:color="auto"/>
              <w:left w:val="single" w:sz="4" w:space="0" w:color="auto"/>
              <w:bottom w:val="single" w:sz="4" w:space="0" w:color="auto"/>
              <w:right w:val="single" w:sz="4" w:space="0" w:color="auto"/>
            </w:tcBorders>
          </w:tcPr>
          <w:p w:rsidR="009F0AAB" w:rsidRDefault="009F0AAB">
            <w:pPr>
              <w:spacing w:before="120"/>
              <w:jc w:val="both"/>
              <w:rPr>
                <w:b/>
                <w:i/>
              </w:rPr>
            </w:pPr>
            <w:r>
              <w:rPr>
                <w:b/>
                <w:i/>
              </w:rPr>
              <w:t>Бележки:</w:t>
            </w:r>
          </w:p>
          <w:p w:rsidR="009F0AAB" w:rsidRDefault="009F0AAB">
            <w:pPr>
              <w:spacing w:before="120"/>
              <w:jc w:val="both"/>
              <w:rPr>
                <w:b/>
                <w:smallCaps/>
              </w:rPr>
            </w:pPr>
          </w:p>
        </w:tc>
      </w:tr>
    </w:tbl>
    <w:p w:rsidR="009F0AAB" w:rsidRDefault="009F0AAB" w:rsidP="009F0AAB"/>
    <w:p w:rsidR="009F0AAB" w:rsidRDefault="009F0AAB" w:rsidP="009F0AAB"/>
    <w:p w:rsidR="009F0AAB" w:rsidRPr="009F0AAB" w:rsidRDefault="009F0AAB" w:rsidP="009F0AAB">
      <w:pPr>
        <w:rPr>
          <w:vanish/>
          <w:sz w:val="24"/>
          <w:szCs w:val="24"/>
          <w:lang w:val="bg-BG" w:eastAsia="bg-BG"/>
        </w:rPr>
      </w:pPr>
    </w:p>
    <w:tbl>
      <w:tblPr>
        <w:tblpPr w:leftFromText="141" w:rightFromText="141" w:vertAnchor="text" w:horzAnchor="page" w:tblpX="1954" w:tblpY="14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9F0AAB" w:rsidTr="009F0AAB">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hideMark/>
          </w:tcPr>
          <w:p w:rsidR="009F0AAB" w:rsidRPr="006B18B9" w:rsidRDefault="009F0AAB">
            <w:pPr>
              <w:rPr>
                <w:lang w:val="en-US"/>
              </w:rPr>
            </w:pPr>
            <w:r>
              <w:rPr>
                <w:sz w:val="28"/>
                <w:szCs w:val="28"/>
              </w:rPr>
              <w:t xml:space="preserve">Одобрение : </w:t>
            </w:r>
            <w:r w:rsidR="000E53C0">
              <w:rPr>
                <w:sz w:val="28"/>
                <w:szCs w:val="28"/>
                <w:lang w:val="bg-BG"/>
              </w:rPr>
              <w:t xml:space="preserve">Началник на отдел </w:t>
            </w:r>
            <w:r w:rsidR="006B18B9">
              <w:rPr>
                <w:sz w:val="28"/>
                <w:szCs w:val="28"/>
                <w:lang w:val="en-US"/>
              </w:rPr>
              <w:t>“</w:t>
            </w:r>
            <w:r w:rsidR="000E53C0">
              <w:rPr>
                <w:sz w:val="28"/>
                <w:szCs w:val="28"/>
                <w:lang w:val="bg-BG"/>
              </w:rPr>
              <w:t>КОП</w:t>
            </w:r>
            <w:r w:rsidR="006B18B9">
              <w:rPr>
                <w:sz w:val="28"/>
                <w:szCs w:val="28"/>
                <w:lang w:val="en-US"/>
              </w:rPr>
              <w:t>”</w:t>
            </w:r>
          </w:p>
        </w:tc>
      </w:tr>
      <w:tr w:rsidR="009F0AAB" w:rsidTr="009F0AAB">
        <w:tc>
          <w:tcPr>
            <w:tcW w:w="11874" w:type="dxa"/>
            <w:tcBorders>
              <w:top w:val="single" w:sz="4" w:space="0" w:color="auto"/>
              <w:left w:val="single" w:sz="4" w:space="0" w:color="auto"/>
              <w:bottom w:val="single" w:sz="4" w:space="0" w:color="auto"/>
              <w:right w:val="single" w:sz="4" w:space="0" w:color="auto"/>
            </w:tcBorders>
            <w:shd w:val="clear" w:color="auto" w:fill="FFFF99"/>
          </w:tcPr>
          <w:p w:rsidR="009F0AAB" w:rsidRDefault="00637141">
            <w:pPr>
              <w:rPr>
                <w:b/>
                <w:bCs/>
              </w:rPr>
            </w:pPr>
            <w:r>
              <w:rPr>
                <w:noProof/>
                <w:lang w:val="bg-BG" w:eastAsia="bg-BG"/>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9F0AAB" w:rsidRDefault="009F0AAB" w:rsidP="009F0AAB">
                                  <w:r>
                                    <w:t xml:space="preserve">Име / Позиция  / Подпис </w:t>
                                  </w:r>
                                </w:p>
                                <w:p w:rsidR="009F0AAB" w:rsidRDefault="009F0AAB" w:rsidP="009F0A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XQKgIAAFE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pLV0CoCAABRBAAADgAAAAAAAAAAAAAAAAAuAgAAZHJz&#10;L2Uyb0RvYy54bWxQSwECLQAUAAYACAAAACEA7oBjz+AAAAAKAQAADwAAAAAAAAAAAAAAAACEBAAA&#10;ZHJzL2Rvd25yZXYueG1sUEsFBgAAAAAEAAQA8wAAAJEFAAAAAA==&#10;">
                      <v:textbox>
                        <w:txbxContent>
                          <w:p w:rsidR="009F0AAB" w:rsidRDefault="009F0AAB" w:rsidP="009F0AAB">
                            <w:r>
                              <w:t xml:space="preserve">Име / Позиция  / Подпис </w:t>
                            </w:r>
                          </w:p>
                          <w:p w:rsidR="009F0AAB" w:rsidRDefault="009F0AAB" w:rsidP="009F0AAB"/>
                        </w:txbxContent>
                      </v:textbox>
                    </v:shape>
                  </w:pict>
                </mc:Fallback>
              </mc:AlternateContent>
            </w:r>
            <w:r w:rsidR="009F0AAB">
              <w:rPr>
                <w:b/>
                <w:bCs/>
              </w:rPr>
              <w:t>1. Приключване на одобрението.</w:t>
            </w:r>
          </w:p>
          <w:p w:rsidR="009F0AAB" w:rsidRDefault="009F0AAB"/>
          <w:p w:rsidR="009F0AAB" w:rsidRDefault="009F0AAB"/>
          <w:p w:rsidR="009F0AAB" w:rsidRDefault="009F0AAB">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9F0AAB" w:rsidRDefault="009F0AAB">
            <w:pPr>
              <w:rPr>
                <w:lang w:val="ru-RU"/>
              </w:rPr>
            </w:pPr>
          </w:p>
        </w:tc>
      </w:tr>
    </w:tbl>
    <w:p w:rsidR="009F0AAB" w:rsidRDefault="009F0AAB" w:rsidP="009F0AAB">
      <w:pPr>
        <w:rPr>
          <w:lang w:val="bg-BG"/>
        </w:rPr>
      </w:pPr>
    </w:p>
    <w:p w:rsidR="009F0AAB" w:rsidRDefault="009F0AAB" w:rsidP="009F0AAB"/>
    <w:p w:rsidR="009F0AAB" w:rsidRDefault="009F0AAB" w:rsidP="009F0AAB"/>
    <w:p w:rsidR="009F0AAB" w:rsidRDefault="009F0AAB" w:rsidP="009F0AAB"/>
    <w:p w:rsidR="00B54D89" w:rsidRPr="00AF7445" w:rsidRDefault="00B54D89" w:rsidP="00B54D89">
      <w:pPr>
        <w:ind w:left="-360"/>
        <w:jc w:val="both"/>
      </w:pPr>
    </w:p>
    <w:p w:rsidR="00B54D89" w:rsidRPr="00AF7445" w:rsidRDefault="00B54D89" w:rsidP="00A25811">
      <w:pPr>
        <w:rPr>
          <w:lang w:val="en-US"/>
        </w:rPr>
      </w:pPr>
    </w:p>
    <w:p w:rsidR="002F66F4" w:rsidRPr="00AF7445" w:rsidRDefault="002F66F4" w:rsidP="00B54D89">
      <w:pPr>
        <w:rPr>
          <w:lang w:val="bg-BG"/>
        </w:rPr>
      </w:pPr>
    </w:p>
    <w:sectPr w:rsidR="002F66F4" w:rsidRPr="00AF7445" w:rsidSect="007A209B">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D42" w:rsidRDefault="00E33D42">
      <w:r>
        <w:separator/>
      </w:r>
    </w:p>
  </w:endnote>
  <w:endnote w:type="continuationSeparator" w:id="0">
    <w:p w:rsidR="00E33D42" w:rsidRDefault="00E3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34A" w:rsidRDefault="006B134A" w:rsidP="00887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134A" w:rsidRDefault="006B134A" w:rsidP="001164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34A" w:rsidRDefault="006B134A" w:rsidP="00887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C3291">
      <w:rPr>
        <w:rStyle w:val="PageNumber"/>
        <w:noProof/>
      </w:rPr>
      <w:t>1</w:t>
    </w:r>
    <w:r>
      <w:rPr>
        <w:rStyle w:val="PageNumber"/>
      </w:rPr>
      <w:fldChar w:fldCharType="end"/>
    </w:r>
  </w:p>
  <w:p w:rsidR="006B134A" w:rsidRDefault="006B134A" w:rsidP="0011647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291" w:rsidRDefault="00AC32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D42" w:rsidRDefault="00E33D42">
      <w:r>
        <w:separator/>
      </w:r>
    </w:p>
  </w:footnote>
  <w:footnote w:type="continuationSeparator" w:id="0">
    <w:p w:rsidR="00E33D42" w:rsidRDefault="00E33D42">
      <w:r>
        <w:continuationSeparator/>
      </w:r>
    </w:p>
  </w:footnote>
  <w:footnote w:id="1">
    <w:p w:rsidR="000127D3" w:rsidRPr="00FD636E" w:rsidRDefault="000127D3" w:rsidP="000127D3">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291" w:rsidRDefault="00AC32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7A209B"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7A209B" w:rsidRPr="000E0EEA" w:rsidRDefault="007A209B" w:rsidP="007A209B">
          <w:pPr>
            <w:tabs>
              <w:tab w:val="center" w:pos="4536"/>
            </w:tabs>
            <w:ind w:firstLine="709"/>
            <w:jc w:val="right"/>
            <w:rPr>
              <w:b/>
            </w:rPr>
          </w:pPr>
          <w:r w:rsidRPr="000E0EEA">
            <w:rPr>
              <w:b/>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7A209B" w:rsidRPr="000E0EEA" w:rsidRDefault="007A209B" w:rsidP="007A209B">
          <w:pPr>
            <w:tabs>
              <w:tab w:val="center" w:pos="4536"/>
              <w:tab w:val="right" w:pos="9072"/>
            </w:tabs>
            <w:ind w:firstLine="120"/>
            <w:jc w:val="center"/>
            <w:rPr>
              <w:b/>
            </w:rPr>
          </w:pPr>
          <w:r w:rsidRPr="00775CE0">
            <w:rPr>
              <w:b/>
            </w:rPr>
            <w:t>4.0</w:t>
          </w:r>
          <w:r>
            <w:rPr>
              <w:b/>
            </w:rPr>
            <w:t>4</w:t>
          </w:r>
          <w:r w:rsidRPr="00775CE0">
            <w:rPr>
              <w:b/>
            </w:rPr>
            <w:t>.</w:t>
          </w:r>
        </w:p>
      </w:tc>
    </w:tr>
    <w:tr w:rsidR="007A209B" w:rsidRPr="000E0EEA" w:rsidTr="00A24F66">
      <w:tc>
        <w:tcPr>
          <w:tcW w:w="12186" w:type="dxa"/>
          <w:gridSpan w:val="3"/>
          <w:tcBorders>
            <w:top w:val="single" w:sz="4" w:space="0" w:color="999999"/>
            <w:left w:val="single" w:sz="4" w:space="0" w:color="999999"/>
            <w:right w:val="single" w:sz="4" w:space="0" w:color="999999"/>
          </w:tcBorders>
          <w:vAlign w:val="center"/>
        </w:tcPr>
        <w:p w:rsidR="007A209B" w:rsidRPr="000E0EEA" w:rsidRDefault="007A209B" w:rsidP="007A209B">
          <w:pPr>
            <w:tabs>
              <w:tab w:val="center" w:pos="4536"/>
              <w:tab w:val="right" w:pos="9072"/>
            </w:tabs>
            <w:jc w:val="center"/>
            <w:rPr>
              <w:b/>
            </w:rPr>
          </w:pPr>
          <w:r>
            <w:rPr>
              <w:b/>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7A209B" w:rsidRPr="000E0EEA" w:rsidRDefault="007A209B" w:rsidP="007A209B">
          <w:pPr>
            <w:tabs>
              <w:tab w:val="center" w:pos="4536"/>
              <w:tab w:val="right" w:pos="9072"/>
            </w:tabs>
            <w:jc w:val="center"/>
            <w:rPr>
              <w:b/>
            </w:rPr>
          </w:pPr>
          <w:r w:rsidRPr="000E0EEA">
            <w:rPr>
              <w:b/>
            </w:rPr>
            <w:t xml:space="preserve">стр. </w:t>
          </w:r>
          <w:r w:rsidRPr="000E0EEA">
            <w:rPr>
              <w:b/>
            </w:rPr>
            <w:fldChar w:fldCharType="begin"/>
          </w:r>
          <w:r w:rsidRPr="000E0EEA">
            <w:rPr>
              <w:b/>
            </w:rPr>
            <w:instrText xml:space="preserve"> PAGE </w:instrText>
          </w:r>
          <w:r w:rsidRPr="000E0EEA">
            <w:rPr>
              <w:b/>
            </w:rPr>
            <w:fldChar w:fldCharType="separate"/>
          </w:r>
          <w:r w:rsidR="00AC3291">
            <w:rPr>
              <w:b/>
              <w:noProof/>
            </w:rPr>
            <w:t>1</w:t>
          </w:r>
          <w:r w:rsidRPr="000E0EEA">
            <w:rPr>
              <w:b/>
            </w:rPr>
            <w:fldChar w:fldCharType="end"/>
          </w:r>
          <w:r w:rsidRPr="000E0EEA">
            <w:rPr>
              <w:b/>
            </w:rPr>
            <w:t>/</w:t>
          </w:r>
          <w:r w:rsidRPr="000E0EEA">
            <w:rPr>
              <w:b/>
            </w:rPr>
            <w:fldChar w:fldCharType="begin"/>
          </w:r>
          <w:r w:rsidRPr="000E0EEA">
            <w:rPr>
              <w:b/>
            </w:rPr>
            <w:instrText xml:space="preserve"> NUMPAGES </w:instrText>
          </w:r>
          <w:r w:rsidRPr="000E0EEA">
            <w:rPr>
              <w:b/>
            </w:rPr>
            <w:fldChar w:fldCharType="separate"/>
          </w:r>
          <w:r w:rsidR="00AC3291">
            <w:rPr>
              <w:b/>
              <w:noProof/>
            </w:rPr>
            <w:t>28</w:t>
          </w:r>
          <w:r w:rsidRPr="000E0EEA">
            <w:rPr>
              <w:b/>
            </w:rPr>
            <w:fldChar w:fldCharType="end"/>
          </w:r>
        </w:p>
      </w:tc>
    </w:tr>
    <w:tr w:rsidR="00AC3291"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AC3291" w:rsidRPr="000E0EEA" w:rsidRDefault="00AC3291" w:rsidP="00AC3291">
          <w:pPr>
            <w:jc w:val="center"/>
            <w:rPr>
              <w:sz w:val="24"/>
              <w:szCs w:val="24"/>
            </w:rPr>
          </w:pPr>
          <w:bookmarkStart w:id="0" w:name="_GoBack" w:colFirst="3" w:colLast="3"/>
          <w:r w:rsidRPr="000E0EEA">
            <w:rPr>
              <w:b/>
              <w:sz w:val="24"/>
              <w:szCs w:val="24"/>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AC3291" w:rsidRPr="000E0EEA" w:rsidRDefault="00AC3291" w:rsidP="00AC3291">
          <w:pPr>
            <w:tabs>
              <w:tab w:val="left" w:pos="1725"/>
            </w:tabs>
            <w:jc w:val="center"/>
            <w:rPr>
              <w:rFonts w:ascii="Arial" w:hAnsi="Arial" w:cs="Arial"/>
              <w:lang w:val="ru-RU"/>
            </w:rPr>
          </w:pPr>
          <w:r w:rsidRPr="00105A4B">
            <w:rPr>
              <w:rFonts w:ascii="Arial" w:hAnsi="Arial" w:cs="Arial"/>
              <w:noProof/>
              <w:sz w:val="24"/>
              <w:szCs w:val="24"/>
              <w:lang w:val="bg-BG" w:eastAsia="bg-BG"/>
            </w:rPr>
            <mc:AlternateContent>
              <mc:Choice Requires="wpg">
                <w:drawing>
                  <wp:inline distT="0" distB="0" distL="0" distR="0" wp14:anchorId="10FEB5B6" wp14:editId="168DBAE5">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AC3291" w:rsidRPr="002536C6" w:rsidRDefault="00AC3291" w:rsidP="007A209B">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AC3291" w:rsidRPr="008003D3" w:rsidRDefault="00AC3291" w:rsidP="007A209B">
                                  <w:pPr>
                                    <w:ind w:right="30"/>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AC3291" w:rsidRPr="002536C6" w:rsidRDefault="00AC3291" w:rsidP="007A209B">
                                  <w:pPr>
                                    <w:rPr>
                                      <w:rFonts w:ascii="Arial" w:hAnsi="Arial" w:cs="Arial"/>
                                      <w:b/>
                                      <w:sz w:val="18"/>
                                      <w:szCs w:val="18"/>
                                    </w:rPr>
                                  </w:pPr>
                                  <w:r w:rsidRPr="002536C6">
                                    <w:rPr>
                                      <w:rFonts w:ascii="Arial" w:hAnsi="Arial" w:cs="Arial"/>
                                      <w:b/>
                                      <w:sz w:val="18"/>
                                      <w:szCs w:val="18"/>
                                    </w:rPr>
                                    <w:t>ЕВРОПЕЙСКИ</w:t>
                                  </w:r>
                                </w:p>
                                <w:p w:rsidR="00AC3291" w:rsidRPr="002536C6" w:rsidRDefault="00AC3291" w:rsidP="007A209B">
                                  <w:pPr>
                                    <w:spacing w:after="20"/>
                                    <w:rPr>
                                      <w:rFonts w:ascii="Arial" w:hAnsi="Arial" w:cs="Arial"/>
                                      <w:b/>
                                      <w:sz w:val="18"/>
                                      <w:szCs w:val="18"/>
                                    </w:rPr>
                                  </w:pPr>
                                  <w:r w:rsidRPr="002536C6">
                                    <w:rPr>
                                      <w:rFonts w:ascii="Arial" w:hAnsi="Arial" w:cs="Arial"/>
                                      <w:b/>
                                      <w:sz w:val="18"/>
                                      <w:szCs w:val="18"/>
                                    </w:rPr>
                                    <w:t>СЪЮЗ</w:t>
                                  </w:r>
                                </w:p>
                                <w:p w:rsidR="00AC3291" w:rsidRPr="002536C6" w:rsidRDefault="00AC3291" w:rsidP="007A209B">
                                  <w:pPr>
                                    <w:rPr>
                                      <w:rFonts w:ascii="Arial" w:hAnsi="Arial" w:cs="Arial"/>
                                      <w:sz w:val="18"/>
                                      <w:szCs w:val="18"/>
                                    </w:rPr>
                                  </w:pPr>
                                  <w:r w:rsidRPr="002536C6">
                                    <w:rPr>
                                      <w:rFonts w:ascii="Arial" w:hAnsi="Arial" w:cs="Arial"/>
                                      <w:sz w:val="18"/>
                                      <w:szCs w:val="18"/>
                                    </w:rPr>
                                    <w:t>Европейски фонд за</w:t>
                                  </w:r>
                                </w:p>
                                <w:p w:rsidR="00AC3291" w:rsidRPr="002536C6" w:rsidRDefault="00AC3291" w:rsidP="007A209B">
                                  <w:pPr>
                                    <w:rPr>
                                      <w:rFonts w:ascii="Arial" w:hAnsi="Arial" w:cs="Arial"/>
                                      <w:sz w:val="18"/>
                                      <w:szCs w:val="18"/>
                                    </w:rPr>
                                  </w:pPr>
                                  <w:r w:rsidRPr="002536C6">
                                    <w:rPr>
                                      <w:rFonts w:ascii="Arial" w:hAnsi="Arial" w:cs="Arial"/>
                                      <w:sz w:val="18"/>
                                      <w:szCs w:val="18"/>
                                    </w:rPr>
                                    <w:t>регионално развитие</w:t>
                                  </w:r>
                                </w:p>
                                <w:p w:rsidR="00AC3291" w:rsidRPr="002536C6" w:rsidRDefault="00AC3291" w:rsidP="007A209B">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0FEB5B6"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AC3291" w:rsidRPr="002536C6" w:rsidRDefault="00AC3291" w:rsidP="007A209B">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AC3291" w:rsidRPr="008003D3" w:rsidRDefault="00AC3291" w:rsidP="007A209B">
                            <w:pPr>
                              <w:ind w:right="30"/>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AC3291" w:rsidRPr="002536C6" w:rsidRDefault="00AC3291" w:rsidP="007A209B">
                            <w:pPr>
                              <w:rPr>
                                <w:rFonts w:ascii="Arial" w:hAnsi="Arial" w:cs="Arial"/>
                                <w:b/>
                                <w:sz w:val="18"/>
                                <w:szCs w:val="18"/>
                              </w:rPr>
                            </w:pPr>
                            <w:r w:rsidRPr="002536C6">
                              <w:rPr>
                                <w:rFonts w:ascii="Arial" w:hAnsi="Arial" w:cs="Arial"/>
                                <w:b/>
                                <w:sz w:val="18"/>
                                <w:szCs w:val="18"/>
                              </w:rPr>
                              <w:t>ЕВРОПЕЙСКИ</w:t>
                            </w:r>
                          </w:p>
                          <w:p w:rsidR="00AC3291" w:rsidRPr="002536C6" w:rsidRDefault="00AC3291" w:rsidP="007A209B">
                            <w:pPr>
                              <w:spacing w:after="20"/>
                              <w:rPr>
                                <w:rFonts w:ascii="Arial" w:hAnsi="Arial" w:cs="Arial"/>
                                <w:b/>
                                <w:sz w:val="18"/>
                                <w:szCs w:val="18"/>
                              </w:rPr>
                            </w:pPr>
                            <w:r w:rsidRPr="002536C6">
                              <w:rPr>
                                <w:rFonts w:ascii="Arial" w:hAnsi="Arial" w:cs="Arial"/>
                                <w:b/>
                                <w:sz w:val="18"/>
                                <w:szCs w:val="18"/>
                              </w:rPr>
                              <w:t>СЪЮЗ</w:t>
                            </w:r>
                          </w:p>
                          <w:p w:rsidR="00AC3291" w:rsidRPr="002536C6" w:rsidRDefault="00AC3291" w:rsidP="007A209B">
                            <w:pPr>
                              <w:rPr>
                                <w:rFonts w:ascii="Arial" w:hAnsi="Arial" w:cs="Arial"/>
                                <w:sz w:val="18"/>
                                <w:szCs w:val="18"/>
                              </w:rPr>
                            </w:pPr>
                            <w:r w:rsidRPr="002536C6">
                              <w:rPr>
                                <w:rFonts w:ascii="Arial" w:hAnsi="Arial" w:cs="Arial"/>
                                <w:sz w:val="18"/>
                                <w:szCs w:val="18"/>
                              </w:rPr>
                              <w:t>Европейски фонд за</w:t>
                            </w:r>
                          </w:p>
                          <w:p w:rsidR="00AC3291" w:rsidRPr="002536C6" w:rsidRDefault="00AC3291" w:rsidP="007A209B">
                            <w:pPr>
                              <w:rPr>
                                <w:rFonts w:ascii="Arial" w:hAnsi="Arial" w:cs="Arial"/>
                                <w:sz w:val="18"/>
                                <w:szCs w:val="18"/>
                              </w:rPr>
                            </w:pPr>
                            <w:r w:rsidRPr="002536C6">
                              <w:rPr>
                                <w:rFonts w:ascii="Arial" w:hAnsi="Arial" w:cs="Arial"/>
                                <w:sz w:val="18"/>
                                <w:szCs w:val="18"/>
                              </w:rPr>
                              <w:t>регионално развитие</w:t>
                            </w:r>
                          </w:p>
                          <w:p w:rsidR="00AC3291" w:rsidRPr="002536C6" w:rsidRDefault="00AC3291" w:rsidP="007A209B">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AC3291" w:rsidRPr="000E0EEA" w:rsidRDefault="00AC3291" w:rsidP="00AC3291">
          <w:pPr>
            <w:jc w:val="center"/>
            <w:rPr>
              <w:rFonts w:ascii="Arial" w:hAnsi="Arial" w:cs="Arial"/>
              <w:b/>
            </w:rPr>
          </w:pPr>
          <w:r>
            <w:rPr>
              <w:rFonts w:ascii="Arial" w:hAnsi="Arial" w:cs="Arial"/>
              <w:i/>
              <w:noProof/>
              <w:color w:val="003399"/>
              <w:sz w:val="18"/>
              <w:szCs w:val="18"/>
              <w:lang w:val="bg-BG" w:eastAsia="bg-BG"/>
            </w:rPr>
            <mc:AlternateContent>
              <mc:Choice Requires="wpg">
                <w:drawing>
                  <wp:inline distT="0" distB="0" distL="0" distR="0" wp14:anchorId="5647AA5F" wp14:editId="165FEDC8">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AC3291" w:rsidRPr="00D57704" w:rsidRDefault="00AC3291" w:rsidP="007A209B">
                                  <w:pPr>
                                    <w:jc w:val="center"/>
                                    <w:rPr>
                                      <w:rFonts w:ascii="Arial" w:hAnsi="Arial" w:cs="Arial"/>
                                      <w:b/>
                                      <w:sz w:val="12"/>
                                      <w:szCs w:val="12"/>
                                    </w:rPr>
                                  </w:pPr>
                                  <w:r w:rsidRPr="00D57704">
                                    <w:rPr>
                                      <w:rFonts w:ascii="Arial" w:hAnsi="Arial" w:cs="Arial"/>
                                      <w:b/>
                                      <w:sz w:val="12"/>
                                      <w:szCs w:val="12"/>
                                    </w:rPr>
                                    <w:t>ТРАНСПОРТ И</w:t>
                                  </w:r>
                                </w:p>
                                <w:p w:rsidR="00AC3291" w:rsidRPr="00D57704" w:rsidRDefault="00AC3291" w:rsidP="007A209B">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AC3291" w:rsidRPr="00D57704" w:rsidRDefault="00AC3291" w:rsidP="007A209B">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647AA5F"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AC3291" w:rsidRPr="00D57704" w:rsidRDefault="00AC3291" w:rsidP="007A209B">
                            <w:pPr>
                              <w:jc w:val="center"/>
                              <w:rPr>
                                <w:rFonts w:ascii="Arial" w:hAnsi="Arial" w:cs="Arial"/>
                                <w:b/>
                                <w:sz w:val="12"/>
                                <w:szCs w:val="12"/>
                              </w:rPr>
                            </w:pPr>
                            <w:r w:rsidRPr="00D57704">
                              <w:rPr>
                                <w:rFonts w:ascii="Arial" w:hAnsi="Arial" w:cs="Arial"/>
                                <w:b/>
                                <w:sz w:val="12"/>
                                <w:szCs w:val="12"/>
                              </w:rPr>
                              <w:t>ТРАНСПОРТ И</w:t>
                            </w:r>
                          </w:p>
                          <w:p w:rsidR="00AC3291" w:rsidRPr="00D57704" w:rsidRDefault="00AC3291" w:rsidP="007A209B">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AC3291" w:rsidRPr="00D57704" w:rsidRDefault="00AC3291" w:rsidP="007A209B">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AC3291" w:rsidRDefault="00AC3291" w:rsidP="00AC3291">
          <w:pPr>
            <w:autoSpaceDE w:val="0"/>
            <w:autoSpaceDN w:val="0"/>
            <w:adjustRightInd w:val="0"/>
            <w:spacing w:line="241" w:lineRule="atLeast"/>
            <w:jc w:val="center"/>
            <w:rPr>
              <w:b/>
              <w:noProof/>
              <w:lang w:val="en-US" w:eastAsia="bg-BG"/>
            </w:rPr>
          </w:pPr>
          <w:r>
            <w:rPr>
              <w:b/>
              <w:noProof/>
              <w:lang w:eastAsia="bg-BG"/>
            </w:rPr>
            <w:t>VI</w:t>
          </w:r>
          <w:r>
            <w:rPr>
              <w:b/>
              <w:noProof/>
              <w:lang w:val="en-US" w:eastAsia="bg-BG"/>
            </w:rPr>
            <w:t xml:space="preserve">I </w:t>
          </w:r>
          <w:r>
            <w:rPr>
              <w:b/>
              <w:noProof/>
              <w:lang w:eastAsia="bg-BG"/>
            </w:rPr>
            <w:t>2022</w:t>
          </w:r>
        </w:p>
      </w:tc>
    </w:tr>
    <w:tr w:rsidR="00AC3291"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AC3291" w:rsidRPr="000E0EEA" w:rsidRDefault="00AC3291" w:rsidP="00AC3291">
          <w:pPr>
            <w:autoSpaceDE w:val="0"/>
            <w:autoSpaceDN w:val="0"/>
            <w:adjustRightInd w:val="0"/>
            <w:jc w:val="center"/>
            <w:rPr>
              <w:b/>
              <w:sz w:val="24"/>
              <w:szCs w:val="24"/>
              <w:lang w:eastAsia="bg-BG"/>
            </w:rPr>
          </w:pPr>
          <w:r w:rsidRPr="000E0EEA">
            <w:rPr>
              <w:b/>
              <w:sz w:val="24"/>
              <w:szCs w:val="24"/>
              <w:lang w:eastAsia="bg-BG"/>
            </w:rPr>
            <w:t>ПНУИ</w:t>
          </w:r>
        </w:p>
        <w:p w:rsidR="00AC3291" w:rsidRPr="000E0EEA" w:rsidRDefault="00AC3291" w:rsidP="00AC3291">
          <w:pPr>
            <w:autoSpaceDE w:val="0"/>
            <w:autoSpaceDN w:val="0"/>
            <w:adjustRightInd w:val="0"/>
            <w:jc w:val="center"/>
            <w:rPr>
              <w:b/>
              <w:sz w:val="24"/>
              <w:szCs w:val="24"/>
              <w:lang w:eastAsia="bg-BG"/>
            </w:rPr>
          </w:pPr>
          <w:r w:rsidRPr="000E0EEA">
            <w:rPr>
              <w:b/>
              <w:sz w:val="24"/>
              <w:szCs w:val="24"/>
              <w:lang w:eastAsia="bg-BG"/>
            </w:rPr>
            <w:t>на</w:t>
          </w:r>
        </w:p>
        <w:p w:rsidR="00AC3291" w:rsidRPr="000E0EEA" w:rsidRDefault="00AC3291" w:rsidP="00AC3291">
          <w:pPr>
            <w:autoSpaceDE w:val="0"/>
            <w:autoSpaceDN w:val="0"/>
            <w:adjustRightInd w:val="0"/>
            <w:jc w:val="center"/>
            <w:rPr>
              <w:b/>
              <w:sz w:val="24"/>
              <w:szCs w:val="24"/>
              <w:lang w:eastAsia="bg-BG"/>
            </w:rPr>
          </w:pPr>
          <w:r w:rsidRPr="000E0EEA">
            <w:rPr>
              <w:b/>
              <w:sz w:val="24"/>
              <w:szCs w:val="24"/>
              <w:lang w:eastAsia="bg-BG"/>
            </w:rPr>
            <w:t>ОПТТИ</w:t>
          </w:r>
        </w:p>
        <w:p w:rsidR="00AC3291" w:rsidRPr="000E0EEA" w:rsidRDefault="00AC3291" w:rsidP="00AC3291">
          <w:pPr>
            <w:autoSpaceDE w:val="0"/>
            <w:autoSpaceDN w:val="0"/>
            <w:adjustRightInd w:val="0"/>
            <w:jc w:val="center"/>
            <w:rPr>
              <w:color w:val="000000"/>
              <w:sz w:val="24"/>
              <w:szCs w:val="24"/>
              <w:lang w:eastAsia="bg-BG"/>
            </w:rPr>
          </w:pPr>
          <w:r w:rsidRPr="000E0EEA">
            <w:rPr>
              <w:b/>
              <w:sz w:val="24"/>
              <w:szCs w:val="24"/>
              <w:lang w:eastAsia="bg-BG"/>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AC3291" w:rsidRPr="000E0EEA" w:rsidRDefault="00AC3291" w:rsidP="00AC3291">
          <w:pPr>
            <w:autoSpaceDE w:val="0"/>
            <w:autoSpaceDN w:val="0"/>
            <w:adjustRightInd w:val="0"/>
            <w:spacing w:line="241" w:lineRule="atLeast"/>
            <w:jc w:val="center"/>
            <w:rPr>
              <w:color w:val="000000"/>
              <w:lang w:eastAsia="bg-BG"/>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AC3291" w:rsidRPr="000E0EEA" w:rsidRDefault="00AC3291" w:rsidP="00AC3291">
          <w:pPr>
            <w:autoSpaceDE w:val="0"/>
            <w:autoSpaceDN w:val="0"/>
            <w:adjustRightInd w:val="0"/>
            <w:spacing w:line="241" w:lineRule="atLeast"/>
          </w:pPr>
        </w:p>
      </w:tc>
      <w:tc>
        <w:tcPr>
          <w:tcW w:w="2410" w:type="dxa"/>
          <w:tcBorders>
            <w:top w:val="single" w:sz="4" w:space="0" w:color="999999"/>
            <w:left w:val="single" w:sz="4" w:space="0" w:color="999999"/>
            <w:bottom w:val="single" w:sz="4" w:space="0" w:color="999999"/>
            <w:right w:val="single" w:sz="4" w:space="0" w:color="999999"/>
          </w:tcBorders>
          <w:vAlign w:val="center"/>
        </w:tcPr>
        <w:p w:rsidR="00AC3291" w:rsidRDefault="00AC3291" w:rsidP="00AC3291">
          <w:pPr>
            <w:autoSpaceDE w:val="0"/>
            <w:autoSpaceDN w:val="0"/>
            <w:adjustRightInd w:val="0"/>
            <w:spacing w:line="241" w:lineRule="atLeast"/>
            <w:jc w:val="center"/>
            <w:rPr>
              <w:b/>
              <w:noProof/>
              <w:lang w:val="en-US" w:eastAsia="bg-BG"/>
            </w:rPr>
          </w:pPr>
          <w:r>
            <w:rPr>
              <w:b/>
              <w:noProof/>
              <w:lang w:eastAsia="bg-BG"/>
            </w:rPr>
            <w:t>Версия 4</w:t>
          </w:r>
          <w:r>
            <w:rPr>
              <w:b/>
              <w:noProof/>
              <w:lang w:val="en-US" w:eastAsia="bg-BG"/>
            </w:rPr>
            <w:t>.4</w:t>
          </w:r>
        </w:p>
      </w:tc>
    </w:tr>
    <w:bookmarkEnd w:id="0"/>
  </w:tbl>
  <w:p w:rsidR="007A209B" w:rsidRDefault="007A209B" w:rsidP="007A209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291" w:rsidRDefault="00AC32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956DA94"/>
    <w:lvl w:ilvl="0">
      <w:start w:val="1"/>
      <w:numFmt w:val="bullet"/>
      <w:pStyle w:val="ListBullet4"/>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04629BA"/>
    <w:multiLevelType w:val="hybridMultilevel"/>
    <w:tmpl w:val="E0221FE2"/>
    <w:name w:val="WW8Num199"/>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C36E04"/>
    <w:multiLevelType w:val="hybridMultilevel"/>
    <w:tmpl w:val="CE7AB12C"/>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9"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3F570C3"/>
    <w:multiLevelType w:val="hybridMultilevel"/>
    <w:tmpl w:val="ECB67FF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0"/>
  </w:num>
  <w:num w:numId="2">
    <w:abstractNumId w:val="13"/>
  </w:num>
  <w:num w:numId="3">
    <w:abstractNumId w:val="17"/>
  </w:num>
  <w:num w:numId="4">
    <w:abstractNumId w:val="7"/>
  </w:num>
  <w:num w:numId="5">
    <w:abstractNumId w:val="8"/>
  </w:num>
  <w:num w:numId="6">
    <w:abstractNumId w:val="15"/>
  </w:num>
  <w:num w:numId="7">
    <w:abstractNumId w:val="11"/>
  </w:num>
  <w:num w:numId="8">
    <w:abstractNumId w:val="6"/>
  </w:num>
  <w:num w:numId="9">
    <w:abstractNumId w:val="14"/>
  </w:num>
  <w:num w:numId="10">
    <w:abstractNumId w:val="5"/>
  </w:num>
  <w:num w:numId="11">
    <w:abstractNumId w:val="3"/>
  </w:num>
  <w:num w:numId="12">
    <w:abstractNumId w:val="20"/>
  </w:num>
  <w:num w:numId="13">
    <w:abstractNumId w:val="10"/>
  </w:num>
  <w:num w:numId="14">
    <w:abstractNumId w:val="9"/>
  </w:num>
  <w:num w:numId="15">
    <w:abstractNumId w:val="19"/>
  </w:num>
  <w:num w:numId="16">
    <w:abstractNumId w:val="16"/>
  </w:num>
  <w:num w:numId="17">
    <w:abstractNumId w:val="18"/>
  </w:num>
  <w:num w:numId="18">
    <w:abstractNumId w:val="4"/>
  </w:num>
  <w:num w:numId="19">
    <w:abstractNumId w:val="1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D84"/>
    <w:rsid w:val="000007FE"/>
    <w:rsid w:val="00002D82"/>
    <w:rsid w:val="00003059"/>
    <w:rsid w:val="000031AA"/>
    <w:rsid w:val="0000344B"/>
    <w:rsid w:val="0000422E"/>
    <w:rsid w:val="00005CDC"/>
    <w:rsid w:val="00011D76"/>
    <w:rsid w:val="000127D3"/>
    <w:rsid w:val="000154F8"/>
    <w:rsid w:val="00015577"/>
    <w:rsid w:val="00020C2D"/>
    <w:rsid w:val="00021A04"/>
    <w:rsid w:val="0002284F"/>
    <w:rsid w:val="0002288D"/>
    <w:rsid w:val="0002600D"/>
    <w:rsid w:val="0002713E"/>
    <w:rsid w:val="00027B3D"/>
    <w:rsid w:val="00032BA1"/>
    <w:rsid w:val="0003715D"/>
    <w:rsid w:val="0004025E"/>
    <w:rsid w:val="000415BE"/>
    <w:rsid w:val="000431DD"/>
    <w:rsid w:val="00043687"/>
    <w:rsid w:val="000439AA"/>
    <w:rsid w:val="000465F7"/>
    <w:rsid w:val="000470AC"/>
    <w:rsid w:val="000470D9"/>
    <w:rsid w:val="00052CF2"/>
    <w:rsid w:val="000534D1"/>
    <w:rsid w:val="00054E63"/>
    <w:rsid w:val="00055C1E"/>
    <w:rsid w:val="00056107"/>
    <w:rsid w:val="00056828"/>
    <w:rsid w:val="00057056"/>
    <w:rsid w:val="0005717A"/>
    <w:rsid w:val="00060538"/>
    <w:rsid w:val="00060B02"/>
    <w:rsid w:val="000628DA"/>
    <w:rsid w:val="00062B13"/>
    <w:rsid w:val="00067C82"/>
    <w:rsid w:val="00067F00"/>
    <w:rsid w:val="00071102"/>
    <w:rsid w:val="000723BF"/>
    <w:rsid w:val="00074B34"/>
    <w:rsid w:val="0007531B"/>
    <w:rsid w:val="00075934"/>
    <w:rsid w:val="00075FAF"/>
    <w:rsid w:val="000808C0"/>
    <w:rsid w:val="00080C76"/>
    <w:rsid w:val="00080E00"/>
    <w:rsid w:val="0008135A"/>
    <w:rsid w:val="00082BF7"/>
    <w:rsid w:val="00083D67"/>
    <w:rsid w:val="000856A3"/>
    <w:rsid w:val="00085728"/>
    <w:rsid w:val="00087477"/>
    <w:rsid w:val="00091C94"/>
    <w:rsid w:val="00093636"/>
    <w:rsid w:val="0009545B"/>
    <w:rsid w:val="0009648E"/>
    <w:rsid w:val="000A037F"/>
    <w:rsid w:val="000A3077"/>
    <w:rsid w:val="000A5D19"/>
    <w:rsid w:val="000A62D8"/>
    <w:rsid w:val="000A64C6"/>
    <w:rsid w:val="000B0242"/>
    <w:rsid w:val="000B0295"/>
    <w:rsid w:val="000B0B46"/>
    <w:rsid w:val="000B26A4"/>
    <w:rsid w:val="000B2FD9"/>
    <w:rsid w:val="000B3827"/>
    <w:rsid w:val="000B4031"/>
    <w:rsid w:val="000B49FF"/>
    <w:rsid w:val="000B4F91"/>
    <w:rsid w:val="000B59F3"/>
    <w:rsid w:val="000B749E"/>
    <w:rsid w:val="000C06A8"/>
    <w:rsid w:val="000C09A2"/>
    <w:rsid w:val="000C4563"/>
    <w:rsid w:val="000C591C"/>
    <w:rsid w:val="000C771F"/>
    <w:rsid w:val="000D1996"/>
    <w:rsid w:val="000D3DAD"/>
    <w:rsid w:val="000D40E9"/>
    <w:rsid w:val="000D53FD"/>
    <w:rsid w:val="000D5B09"/>
    <w:rsid w:val="000D602E"/>
    <w:rsid w:val="000D6BB9"/>
    <w:rsid w:val="000E0055"/>
    <w:rsid w:val="000E02CC"/>
    <w:rsid w:val="000E51FA"/>
    <w:rsid w:val="000E53C0"/>
    <w:rsid w:val="000E67B0"/>
    <w:rsid w:val="000E7525"/>
    <w:rsid w:val="000F1036"/>
    <w:rsid w:val="000F7803"/>
    <w:rsid w:val="00101BE5"/>
    <w:rsid w:val="00101E04"/>
    <w:rsid w:val="001026CB"/>
    <w:rsid w:val="00102D2F"/>
    <w:rsid w:val="00102D56"/>
    <w:rsid w:val="00104687"/>
    <w:rsid w:val="0010653F"/>
    <w:rsid w:val="00107D0F"/>
    <w:rsid w:val="0011025D"/>
    <w:rsid w:val="001124C7"/>
    <w:rsid w:val="0011401F"/>
    <w:rsid w:val="00115692"/>
    <w:rsid w:val="0011647F"/>
    <w:rsid w:val="00117EBA"/>
    <w:rsid w:val="00123C58"/>
    <w:rsid w:val="00126D76"/>
    <w:rsid w:val="00126E3C"/>
    <w:rsid w:val="00126EFE"/>
    <w:rsid w:val="0013018E"/>
    <w:rsid w:val="00131672"/>
    <w:rsid w:val="00134122"/>
    <w:rsid w:val="00134EB2"/>
    <w:rsid w:val="00135F16"/>
    <w:rsid w:val="00137076"/>
    <w:rsid w:val="001373DC"/>
    <w:rsid w:val="0014197D"/>
    <w:rsid w:val="00143344"/>
    <w:rsid w:val="001457DE"/>
    <w:rsid w:val="00152D53"/>
    <w:rsid w:val="0015773C"/>
    <w:rsid w:val="00161F78"/>
    <w:rsid w:val="00162565"/>
    <w:rsid w:val="00162A1F"/>
    <w:rsid w:val="00163AC8"/>
    <w:rsid w:val="00171A80"/>
    <w:rsid w:val="00172CA4"/>
    <w:rsid w:val="00173F70"/>
    <w:rsid w:val="00175ACE"/>
    <w:rsid w:val="001765C9"/>
    <w:rsid w:val="001772B0"/>
    <w:rsid w:val="001815DF"/>
    <w:rsid w:val="00181BC6"/>
    <w:rsid w:val="00181F26"/>
    <w:rsid w:val="00182C6D"/>
    <w:rsid w:val="00183A90"/>
    <w:rsid w:val="001857A0"/>
    <w:rsid w:val="00186F80"/>
    <w:rsid w:val="00196A78"/>
    <w:rsid w:val="00197059"/>
    <w:rsid w:val="001A0B5D"/>
    <w:rsid w:val="001A0D51"/>
    <w:rsid w:val="001A2766"/>
    <w:rsid w:val="001A424A"/>
    <w:rsid w:val="001A4497"/>
    <w:rsid w:val="001A4583"/>
    <w:rsid w:val="001A581B"/>
    <w:rsid w:val="001A6A53"/>
    <w:rsid w:val="001A7A96"/>
    <w:rsid w:val="001B01DB"/>
    <w:rsid w:val="001B0D78"/>
    <w:rsid w:val="001B1536"/>
    <w:rsid w:val="001B16C7"/>
    <w:rsid w:val="001B2AC1"/>
    <w:rsid w:val="001B31A4"/>
    <w:rsid w:val="001B359A"/>
    <w:rsid w:val="001B4686"/>
    <w:rsid w:val="001B54D0"/>
    <w:rsid w:val="001B6AB1"/>
    <w:rsid w:val="001B7170"/>
    <w:rsid w:val="001B7DBB"/>
    <w:rsid w:val="001C0812"/>
    <w:rsid w:val="001C0B96"/>
    <w:rsid w:val="001C221A"/>
    <w:rsid w:val="001C2A1F"/>
    <w:rsid w:val="001C58FA"/>
    <w:rsid w:val="001D0CE3"/>
    <w:rsid w:val="001D1270"/>
    <w:rsid w:val="001D14D8"/>
    <w:rsid w:val="001D2E40"/>
    <w:rsid w:val="001D3274"/>
    <w:rsid w:val="001D3E6C"/>
    <w:rsid w:val="001D4264"/>
    <w:rsid w:val="001D57D3"/>
    <w:rsid w:val="001D5DDD"/>
    <w:rsid w:val="001D5FF5"/>
    <w:rsid w:val="001D675A"/>
    <w:rsid w:val="001E07DA"/>
    <w:rsid w:val="001E3182"/>
    <w:rsid w:val="001F02DC"/>
    <w:rsid w:val="001F0CDF"/>
    <w:rsid w:val="001F36AE"/>
    <w:rsid w:val="001F5203"/>
    <w:rsid w:val="001F7CA6"/>
    <w:rsid w:val="00200EAD"/>
    <w:rsid w:val="0020319F"/>
    <w:rsid w:val="00204805"/>
    <w:rsid w:val="00204B4F"/>
    <w:rsid w:val="00205915"/>
    <w:rsid w:val="00205E6D"/>
    <w:rsid w:val="002122D5"/>
    <w:rsid w:val="00213E78"/>
    <w:rsid w:val="0021740E"/>
    <w:rsid w:val="00217D72"/>
    <w:rsid w:val="00222504"/>
    <w:rsid w:val="002237F2"/>
    <w:rsid w:val="00223A61"/>
    <w:rsid w:val="00224118"/>
    <w:rsid w:val="00224860"/>
    <w:rsid w:val="00224F3B"/>
    <w:rsid w:val="002270A8"/>
    <w:rsid w:val="00227F44"/>
    <w:rsid w:val="002317AE"/>
    <w:rsid w:val="00232BA8"/>
    <w:rsid w:val="0023397E"/>
    <w:rsid w:val="00234FDE"/>
    <w:rsid w:val="002350D4"/>
    <w:rsid w:val="00235A5A"/>
    <w:rsid w:val="002360F9"/>
    <w:rsid w:val="002372D5"/>
    <w:rsid w:val="0023742D"/>
    <w:rsid w:val="00237B24"/>
    <w:rsid w:val="002404B9"/>
    <w:rsid w:val="00240877"/>
    <w:rsid w:val="00240975"/>
    <w:rsid w:val="00240FB2"/>
    <w:rsid w:val="00240FBE"/>
    <w:rsid w:val="002424AF"/>
    <w:rsid w:val="002435B6"/>
    <w:rsid w:val="00244598"/>
    <w:rsid w:val="00244CA6"/>
    <w:rsid w:val="002508E1"/>
    <w:rsid w:val="002522F8"/>
    <w:rsid w:val="00252744"/>
    <w:rsid w:val="002528A7"/>
    <w:rsid w:val="002547E2"/>
    <w:rsid w:val="00255F3D"/>
    <w:rsid w:val="002601F6"/>
    <w:rsid w:val="002631A0"/>
    <w:rsid w:val="00267B52"/>
    <w:rsid w:val="00267BE1"/>
    <w:rsid w:val="00270B23"/>
    <w:rsid w:val="00270E4D"/>
    <w:rsid w:val="00270F6A"/>
    <w:rsid w:val="00274971"/>
    <w:rsid w:val="002756B1"/>
    <w:rsid w:val="00276B74"/>
    <w:rsid w:val="00276C05"/>
    <w:rsid w:val="0028049F"/>
    <w:rsid w:val="00282844"/>
    <w:rsid w:val="0028359C"/>
    <w:rsid w:val="00286506"/>
    <w:rsid w:val="00287F07"/>
    <w:rsid w:val="0029061B"/>
    <w:rsid w:val="00291291"/>
    <w:rsid w:val="002A00AF"/>
    <w:rsid w:val="002A04F8"/>
    <w:rsid w:val="002A12C3"/>
    <w:rsid w:val="002A4C7A"/>
    <w:rsid w:val="002A7EA6"/>
    <w:rsid w:val="002B0919"/>
    <w:rsid w:val="002B11DD"/>
    <w:rsid w:val="002B194C"/>
    <w:rsid w:val="002B3D2E"/>
    <w:rsid w:val="002B426A"/>
    <w:rsid w:val="002B647E"/>
    <w:rsid w:val="002B7A0D"/>
    <w:rsid w:val="002C362C"/>
    <w:rsid w:val="002C391B"/>
    <w:rsid w:val="002C6A7B"/>
    <w:rsid w:val="002C71CA"/>
    <w:rsid w:val="002C727D"/>
    <w:rsid w:val="002C72E9"/>
    <w:rsid w:val="002C760F"/>
    <w:rsid w:val="002D0C13"/>
    <w:rsid w:val="002D1E3F"/>
    <w:rsid w:val="002D46D2"/>
    <w:rsid w:val="002D6010"/>
    <w:rsid w:val="002D664B"/>
    <w:rsid w:val="002D666B"/>
    <w:rsid w:val="002D7792"/>
    <w:rsid w:val="002E03FB"/>
    <w:rsid w:val="002E091A"/>
    <w:rsid w:val="002E1E30"/>
    <w:rsid w:val="002E2755"/>
    <w:rsid w:val="002E4154"/>
    <w:rsid w:val="002E6E54"/>
    <w:rsid w:val="002E789C"/>
    <w:rsid w:val="002F02F7"/>
    <w:rsid w:val="002F316B"/>
    <w:rsid w:val="002F5058"/>
    <w:rsid w:val="002F5BF2"/>
    <w:rsid w:val="002F632D"/>
    <w:rsid w:val="002F64B2"/>
    <w:rsid w:val="002F66F4"/>
    <w:rsid w:val="002F7AC8"/>
    <w:rsid w:val="00300FE7"/>
    <w:rsid w:val="00301191"/>
    <w:rsid w:val="00302CD1"/>
    <w:rsid w:val="003055AC"/>
    <w:rsid w:val="0031221C"/>
    <w:rsid w:val="00312D63"/>
    <w:rsid w:val="0031429C"/>
    <w:rsid w:val="003146B9"/>
    <w:rsid w:val="00316501"/>
    <w:rsid w:val="003203ED"/>
    <w:rsid w:val="003205F6"/>
    <w:rsid w:val="00320FB9"/>
    <w:rsid w:val="003211EC"/>
    <w:rsid w:val="00321ABB"/>
    <w:rsid w:val="00321B17"/>
    <w:rsid w:val="0032317A"/>
    <w:rsid w:val="00324F2E"/>
    <w:rsid w:val="00325AC4"/>
    <w:rsid w:val="00326422"/>
    <w:rsid w:val="00326B33"/>
    <w:rsid w:val="00326E67"/>
    <w:rsid w:val="003309EA"/>
    <w:rsid w:val="00330CBB"/>
    <w:rsid w:val="00333C9F"/>
    <w:rsid w:val="00334058"/>
    <w:rsid w:val="00334FEC"/>
    <w:rsid w:val="003353F5"/>
    <w:rsid w:val="00336175"/>
    <w:rsid w:val="0033721D"/>
    <w:rsid w:val="003378C6"/>
    <w:rsid w:val="00337B06"/>
    <w:rsid w:val="00342665"/>
    <w:rsid w:val="00342711"/>
    <w:rsid w:val="00342FD4"/>
    <w:rsid w:val="00344B4F"/>
    <w:rsid w:val="00345E34"/>
    <w:rsid w:val="003502DD"/>
    <w:rsid w:val="00353CD0"/>
    <w:rsid w:val="003547A1"/>
    <w:rsid w:val="0035630A"/>
    <w:rsid w:val="003566D5"/>
    <w:rsid w:val="00360B54"/>
    <w:rsid w:val="00361A0C"/>
    <w:rsid w:val="00362605"/>
    <w:rsid w:val="00364DF0"/>
    <w:rsid w:val="003658A0"/>
    <w:rsid w:val="00365BBA"/>
    <w:rsid w:val="00365F61"/>
    <w:rsid w:val="00367AF3"/>
    <w:rsid w:val="00373A71"/>
    <w:rsid w:val="00374FF0"/>
    <w:rsid w:val="003761BA"/>
    <w:rsid w:val="00381492"/>
    <w:rsid w:val="00383479"/>
    <w:rsid w:val="00383D19"/>
    <w:rsid w:val="00384BE5"/>
    <w:rsid w:val="00387C0A"/>
    <w:rsid w:val="00390D20"/>
    <w:rsid w:val="00391BEE"/>
    <w:rsid w:val="0039239A"/>
    <w:rsid w:val="00392E1E"/>
    <w:rsid w:val="00393759"/>
    <w:rsid w:val="003958BD"/>
    <w:rsid w:val="003A1017"/>
    <w:rsid w:val="003A12E7"/>
    <w:rsid w:val="003A4C6E"/>
    <w:rsid w:val="003A57F2"/>
    <w:rsid w:val="003B09D5"/>
    <w:rsid w:val="003B36C6"/>
    <w:rsid w:val="003B65FE"/>
    <w:rsid w:val="003B6A6A"/>
    <w:rsid w:val="003B6C61"/>
    <w:rsid w:val="003C124C"/>
    <w:rsid w:val="003C21D9"/>
    <w:rsid w:val="003C27F6"/>
    <w:rsid w:val="003C7650"/>
    <w:rsid w:val="003D0611"/>
    <w:rsid w:val="003D1091"/>
    <w:rsid w:val="003D15F3"/>
    <w:rsid w:val="003D1880"/>
    <w:rsid w:val="003D333E"/>
    <w:rsid w:val="003D4C2B"/>
    <w:rsid w:val="003D5907"/>
    <w:rsid w:val="003D704C"/>
    <w:rsid w:val="003E2E3B"/>
    <w:rsid w:val="003E3C90"/>
    <w:rsid w:val="003E40DA"/>
    <w:rsid w:val="003E66E3"/>
    <w:rsid w:val="003F2DEA"/>
    <w:rsid w:val="003F34BF"/>
    <w:rsid w:val="003F3728"/>
    <w:rsid w:val="003F4420"/>
    <w:rsid w:val="003F4A58"/>
    <w:rsid w:val="003F589F"/>
    <w:rsid w:val="003F6A33"/>
    <w:rsid w:val="003F704D"/>
    <w:rsid w:val="003F72EE"/>
    <w:rsid w:val="00405760"/>
    <w:rsid w:val="00406352"/>
    <w:rsid w:val="00410568"/>
    <w:rsid w:val="004108C5"/>
    <w:rsid w:val="00412A46"/>
    <w:rsid w:val="00413B14"/>
    <w:rsid w:val="00413CBA"/>
    <w:rsid w:val="00414CA7"/>
    <w:rsid w:val="00415CB3"/>
    <w:rsid w:val="004167D4"/>
    <w:rsid w:val="00417208"/>
    <w:rsid w:val="00417C14"/>
    <w:rsid w:val="00421509"/>
    <w:rsid w:val="00422437"/>
    <w:rsid w:val="00422B21"/>
    <w:rsid w:val="00422B93"/>
    <w:rsid w:val="004242F5"/>
    <w:rsid w:val="0042468E"/>
    <w:rsid w:val="00425A9E"/>
    <w:rsid w:val="0042673C"/>
    <w:rsid w:val="00426F4C"/>
    <w:rsid w:val="00427508"/>
    <w:rsid w:val="00431182"/>
    <w:rsid w:val="00432294"/>
    <w:rsid w:val="00432CAB"/>
    <w:rsid w:val="0043359B"/>
    <w:rsid w:val="00436BBD"/>
    <w:rsid w:val="00436F96"/>
    <w:rsid w:val="00437582"/>
    <w:rsid w:val="00437CE1"/>
    <w:rsid w:val="00442809"/>
    <w:rsid w:val="00442923"/>
    <w:rsid w:val="00443C26"/>
    <w:rsid w:val="00444668"/>
    <w:rsid w:val="00453D9B"/>
    <w:rsid w:val="004556E7"/>
    <w:rsid w:val="00456029"/>
    <w:rsid w:val="00461990"/>
    <w:rsid w:val="00461FF7"/>
    <w:rsid w:val="0046308F"/>
    <w:rsid w:val="004630F9"/>
    <w:rsid w:val="00463B71"/>
    <w:rsid w:val="00463F25"/>
    <w:rsid w:val="0046472A"/>
    <w:rsid w:val="004674DD"/>
    <w:rsid w:val="00471CFD"/>
    <w:rsid w:val="00471D9F"/>
    <w:rsid w:val="00473FD8"/>
    <w:rsid w:val="004760C3"/>
    <w:rsid w:val="00476259"/>
    <w:rsid w:val="00476A87"/>
    <w:rsid w:val="00482B5A"/>
    <w:rsid w:val="004846A1"/>
    <w:rsid w:val="004852CF"/>
    <w:rsid w:val="00491D5B"/>
    <w:rsid w:val="004932BE"/>
    <w:rsid w:val="004949D8"/>
    <w:rsid w:val="0049611A"/>
    <w:rsid w:val="0049686C"/>
    <w:rsid w:val="00497AFD"/>
    <w:rsid w:val="004A118F"/>
    <w:rsid w:val="004A1A94"/>
    <w:rsid w:val="004A1C9D"/>
    <w:rsid w:val="004A21D0"/>
    <w:rsid w:val="004A40BF"/>
    <w:rsid w:val="004A5987"/>
    <w:rsid w:val="004A5F46"/>
    <w:rsid w:val="004A63BB"/>
    <w:rsid w:val="004B0243"/>
    <w:rsid w:val="004B123C"/>
    <w:rsid w:val="004B1459"/>
    <w:rsid w:val="004B3769"/>
    <w:rsid w:val="004B3DF6"/>
    <w:rsid w:val="004B4A80"/>
    <w:rsid w:val="004B5FFB"/>
    <w:rsid w:val="004C29E5"/>
    <w:rsid w:val="004C591A"/>
    <w:rsid w:val="004C6AF0"/>
    <w:rsid w:val="004C7422"/>
    <w:rsid w:val="004C74D8"/>
    <w:rsid w:val="004C7796"/>
    <w:rsid w:val="004D0127"/>
    <w:rsid w:val="004D0A67"/>
    <w:rsid w:val="004D170E"/>
    <w:rsid w:val="004D3507"/>
    <w:rsid w:val="004D7B4C"/>
    <w:rsid w:val="004E0D6E"/>
    <w:rsid w:val="004E1A6C"/>
    <w:rsid w:val="004E2AD9"/>
    <w:rsid w:val="004E2B1B"/>
    <w:rsid w:val="004E4709"/>
    <w:rsid w:val="004E4AA2"/>
    <w:rsid w:val="004E5BD4"/>
    <w:rsid w:val="004E7141"/>
    <w:rsid w:val="004E7ACE"/>
    <w:rsid w:val="004F336F"/>
    <w:rsid w:val="004F748E"/>
    <w:rsid w:val="004F7B47"/>
    <w:rsid w:val="004F7CF9"/>
    <w:rsid w:val="005001E1"/>
    <w:rsid w:val="0050044F"/>
    <w:rsid w:val="00500A3D"/>
    <w:rsid w:val="0050149F"/>
    <w:rsid w:val="00501E9C"/>
    <w:rsid w:val="00502D3E"/>
    <w:rsid w:val="00503181"/>
    <w:rsid w:val="005034DF"/>
    <w:rsid w:val="0050388B"/>
    <w:rsid w:val="005038E9"/>
    <w:rsid w:val="00505E62"/>
    <w:rsid w:val="00506A32"/>
    <w:rsid w:val="005116D5"/>
    <w:rsid w:val="00512136"/>
    <w:rsid w:val="00512F4D"/>
    <w:rsid w:val="005157FC"/>
    <w:rsid w:val="00521D9D"/>
    <w:rsid w:val="005231B5"/>
    <w:rsid w:val="00530105"/>
    <w:rsid w:val="00531401"/>
    <w:rsid w:val="005320DB"/>
    <w:rsid w:val="0053360C"/>
    <w:rsid w:val="00533C13"/>
    <w:rsid w:val="00535153"/>
    <w:rsid w:val="00536C65"/>
    <w:rsid w:val="0053729B"/>
    <w:rsid w:val="00537DCD"/>
    <w:rsid w:val="005417EF"/>
    <w:rsid w:val="00541A4D"/>
    <w:rsid w:val="00542908"/>
    <w:rsid w:val="00543312"/>
    <w:rsid w:val="00543FE5"/>
    <w:rsid w:val="00544F54"/>
    <w:rsid w:val="0054517B"/>
    <w:rsid w:val="005452A7"/>
    <w:rsid w:val="00545E0E"/>
    <w:rsid w:val="00545F1C"/>
    <w:rsid w:val="005476E4"/>
    <w:rsid w:val="00550E6D"/>
    <w:rsid w:val="00551698"/>
    <w:rsid w:val="005529E9"/>
    <w:rsid w:val="00554352"/>
    <w:rsid w:val="005549EF"/>
    <w:rsid w:val="00555994"/>
    <w:rsid w:val="0055659E"/>
    <w:rsid w:val="00556D16"/>
    <w:rsid w:val="005574DE"/>
    <w:rsid w:val="00560467"/>
    <w:rsid w:val="0056128C"/>
    <w:rsid w:val="00561E93"/>
    <w:rsid w:val="00562EE0"/>
    <w:rsid w:val="00563E69"/>
    <w:rsid w:val="00567639"/>
    <w:rsid w:val="005704BA"/>
    <w:rsid w:val="0057442B"/>
    <w:rsid w:val="005749CA"/>
    <w:rsid w:val="00583D04"/>
    <w:rsid w:val="005841EC"/>
    <w:rsid w:val="00584CAF"/>
    <w:rsid w:val="005865D8"/>
    <w:rsid w:val="0058746D"/>
    <w:rsid w:val="00591F82"/>
    <w:rsid w:val="005956C3"/>
    <w:rsid w:val="00596F6E"/>
    <w:rsid w:val="005A06C0"/>
    <w:rsid w:val="005A1D21"/>
    <w:rsid w:val="005A3EC6"/>
    <w:rsid w:val="005A5FD7"/>
    <w:rsid w:val="005A7289"/>
    <w:rsid w:val="005B0146"/>
    <w:rsid w:val="005B0202"/>
    <w:rsid w:val="005B03C9"/>
    <w:rsid w:val="005B166B"/>
    <w:rsid w:val="005B1B6E"/>
    <w:rsid w:val="005B344B"/>
    <w:rsid w:val="005B5359"/>
    <w:rsid w:val="005C3CD0"/>
    <w:rsid w:val="005C4D30"/>
    <w:rsid w:val="005C5326"/>
    <w:rsid w:val="005C6E3D"/>
    <w:rsid w:val="005D063E"/>
    <w:rsid w:val="005D0F88"/>
    <w:rsid w:val="005D15D5"/>
    <w:rsid w:val="005D38FF"/>
    <w:rsid w:val="005D4311"/>
    <w:rsid w:val="005D436B"/>
    <w:rsid w:val="005D5661"/>
    <w:rsid w:val="005D6004"/>
    <w:rsid w:val="005D7360"/>
    <w:rsid w:val="005D77F8"/>
    <w:rsid w:val="005D7C02"/>
    <w:rsid w:val="005E1D13"/>
    <w:rsid w:val="005E29D8"/>
    <w:rsid w:val="005E2B65"/>
    <w:rsid w:val="005E2C71"/>
    <w:rsid w:val="005E411A"/>
    <w:rsid w:val="005F009D"/>
    <w:rsid w:val="005F03BC"/>
    <w:rsid w:val="005F09D4"/>
    <w:rsid w:val="005F0E98"/>
    <w:rsid w:val="005F2045"/>
    <w:rsid w:val="005F454B"/>
    <w:rsid w:val="005F4824"/>
    <w:rsid w:val="005F549D"/>
    <w:rsid w:val="005F56B4"/>
    <w:rsid w:val="005F6AB9"/>
    <w:rsid w:val="005F7ADA"/>
    <w:rsid w:val="00602352"/>
    <w:rsid w:val="00602B03"/>
    <w:rsid w:val="00602CB4"/>
    <w:rsid w:val="00603048"/>
    <w:rsid w:val="0060374D"/>
    <w:rsid w:val="00607A86"/>
    <w:rsid w:val="00607D2E"/>
    <w:rsid w:val="00607EDB"/>
    <w:rsid w:val="006103A3"/>
    <w:rsid w:val="006108C8"/>
    <w:rsid w:val="006138B9"/>
    <w:rsid w:val="006144D4"/>
    <w:rsid w:val="00616A17"/>
    <w:rsid w:val="00617A54"/>
    <w:rsid w:val="00622E1A"/>
    <w:rsid w:val="00625318"/>
    <w:rsid w:val="006268F6"/>
    <w:rsid w:val="006275CF"/>
    <w:rsid w:val="00627E83"/>
    <w:rsid w:val="00631758"/>
    <w:rsid w:val="00633064"/>
    <w:rsid w:val="00637141"/>
    <w:rsid w:val="006371E3"/>
    <w:rsid w:val="0063749F"/>
    <w:rsid w:val="00637BA0"/>
    <w:rsid w:val="00641B19"/>
    <w:rsid w:val="00646923"/>
    <w:rsid w:val="006477BC"/>
    <w:rsid w:val="00650480"/>
    <w:rsid w:val="006504EE"/>
    <w:rsid w:val="006543C2"/>
    <w:rsid w:val="006554A3"/>
    <w:rsid w:val="00655F74"/>
    <w:rsid w:val="006570B7"/>
    <w:rsid w:val="00657D87"/>
    <w:rsid w:val="0066040C"/>
    <w:rsid w:val="006633B7"/>
    <w:rsid w:val="006663DA"/>
    <w:rsid w:val="0067165F"/>
    <w:rsid w:val="00671C10"/>
    <w:rsid w:val="006726E2"/>
    <w:rsid w:val="00676A87"/>
    <w:rsid w:val="00677109"/>
    <w:rsid w:val="00677E7B"/>
    <w:rsid w:val="00684447"/>
    <w:rsid w:val="00684CAC"/>
    <w:rsid w:val="0068514B"/>
    <w:rsid w:val="006861F6"/>
    <w:rsid w:val="0068663C"/>
    <w:rsid w:val="0068774E"/>
    <w:rsid w:val="0069131F"/>
    <w:rsid w:val="006927C7"/>
    <w:rsid w:val="0069553A"/>
    <w:rsid w:val="00696095"/>
    <w:rsid w:val="00696962"/>
    <w:rsid w:val="006A2819"/>
    <w:rsid w:val="006A31D0"/>
    <w:rsid w:val="006A3A6A"/>
    <w:rsid w:val="006A4393"/>
    <w:rsid w:val="006A5379"/>
    <w:rsid w:val="006A5A29"/>
    <w:rsid w:val="006B08A8"/>
    <w:rsid w:val="006B095A"/>
    <w:rsid w:val="006B10C8"/>
    <w:rsid w:val="006B134A"/>
    <w:rsid w:val="006B1380"/>
    <w:rsid w:val="006B18B9"/>
    <w:rsid w:val="006B6BD3"/>
    <w:rsid w:val="006C1943"/>
    <w:rsid w:val="006D14F8"/>
    <w:rsid w:val="006D1F16"/>
    <w:rsid w:val="006D2826"/>
    <w:rsid w:val="006D4349"/>
    <w:rsid w:val="006D6062"/>
    <w:rsid w:val="006D622E"/>
    <w:rsid w:val="006E1556"/>
    <w:rsid w:val="006E1E5E"/>
    <w:rsid w:val="006E5FDF"/>
    <w:rsid w:val="006E6713"/>
    <w:rsid w:val="006E6A4A"/>
    <w:rsid w:val="006F1211"/>
    <w:rsid w:val="006F2C2E"/>
    <w:rsid w:val="006F360A"/>
    <w:rsid w:val="006F370F"/>
    <w:rsid w:val="006F6189"/>
    <w:rsid w:val="006F70F8"/>
    <w:rsid w:val="007001D9"/>
    <w:rsid w:val="00703967"/>
    <w:rsid w:val="0070432A"/>
    <w:rsid w:val="00707ACE"/>
    <w:rsid w:val="00707F0F"/>
    <w:rsid w:val="007100BF"/>
    <w:rsid w:val="00711916"/>
    <w:rsid w:val="00711952"/>
    <w:rsid w:val="00714B44"/>
    <w:rsid w:val="00714B80"/>
    <w:rsid w:val="0071597B"/>
    <w:rsid w:val="00715AD2"/>
    <w:rsid w:val="00716B4D"/>
    <w:rsid w:val="00722655"/>
    <w:rsid w:val="0072575A"/>
    <w:rsid w:val="007261C0"/>
    <w:rsid w:val="00726835"/>
    <w:rsid w:val="00727FE5"/>
    <w:rsid w:val="0073114A"/>
    <w:rsid w:val="0073147B"/>
    <w:rsid w:val="00731BEA"/>
    <w:rsid w:val="00732746"/>
    <w:rsid w:val="00732C16"/>
    <w:rsid w:val="00734511"/>
    <w:rsid w:val="00734DC3"/>
    <w:rsid w:val="00734DD6"/>
    <w:rsid w:val="00734EDB"/>
    <w:rsid w:val="00735321"/>
    <w:rsid w:val="0073551F"/>
    <w:rsid w:val="007365F6"/>
    <w:rsid w:val="00736AAD"/>
    <w:rsid w:val="00737787"/>
    <w:rsid w:val="00737F52"/>
    <w:rsid w:val="00741C8A"/>
    <w:rsid w:val="0074276B"/>
    <w:rsid w:val="007476C6"/>
    <w:rsid w:val="00750B44"/>
    <w:rsid w:val="00750D98"/>
    <w:rsid w:val="0075441B"/>
    <w:rsid w:val="00755131"/>
    <w:rsid w:val="00756028"/>
    <w:rsid w:val="00756047"/>
    <w:rsid w:val="00756B47"/>
    <w:rsid w:val="00760B2F"/>
    <w:rsid w:val="00763501"/>
    <w:rsid w:val="00765421"/>
    <w:rsid w:val="00767BFB"/>
    <w:rsid w:val="00770747"/>
    <w:rsid w:val="00770D07"/>
    <w:rsid w:val="00770E7B"/>
    <w:rsid w:val="007733AB"/>
    <w:rsid w:val="00773F06"/>
    <w:rsid w:val="007742B3"/>
    <w:rsid w:val="0077444C"/>
    <w:rsid w:val="0077550E"/>
    <w:rsid w:val="00776120"/>
    <w:rsid w:val="00780872"/>
    <w:rsid w:val="007814F6"/>
    <w:rsid w:val="0078283B"/>
    <w:rsid w:val="00785148"/>
    <w:rsid w:val="00787F72"/>
    <w:rsid w:val="007914A9"/>
    <w:rsid w:val="00793B94"/>
    <w:rsid w:val="00794E1C"/>
    <w:rsid w:val="007958DE"/>
    <w:rsid w:val="007A209B"/>
    <w:rsid w:val="007A298F"/>
    <w:rsid w:val="007A31B1"/>
    <w:rsid w:val="007A3C08"/>
    <w:rsid w:val="007A6FA4"/>
    <w:rsid w:val="007A7BB1"/>
    <w:rsid w:val="007B0009"/>
    <w:rsid w:val="007B0237"/>
    <w:rsid w:val="007B1B97"/>
    <w:rsid w:val="007B1EF2"/>
    <w:rsid w:val="007B2BCE"/>
    <w:rsid w:val="007B39DE"/>
    <w:rsid w:val="007B3FD5"/>
    <w:rsid w:val="007B4ED2"/>
    <w:rsid w:val="007C0ED6"/>
    <w:rsid w:val="007C1173"/>
    <w:rsid w:val="007C19F5"/>
    <w:rsid w:val="007C293D"/>
    <w:rsid w:val="007C30F3"/>
    <w:rsid w:val="007C3450"/>
    <w:rsid w:val="007C43CC"/>
    <w:rsid w:val="007C49B3"/>
    <w:rsid w:val="007C4E45"/>
    <w:rsid w:val="007C6C89"/>
    <w:rsid w:val="007D068F"/>
    <w:rsid w:val="007D1D43"/>
    <w:rsid w:val="007D711C"/>
    <w:rsid w:val="007E1033"/>
    <w:rsid w:val="007E1388"/>
    <w:rsid w:val="007E39EA"/>
    <w:rsid w:val="007E4C04"/>
    <w:rsid w:val="007E5CA9"/>
    <w:rsid w:val="007E5DE4"/>
    <w:rsid w:val="007E6061"/>
    <w:rsid w:val="007F06A8"/>
    <w:rsid w:val="007F21D0"/>
    <w:rsid w:val="007F28FD"/>
    <w:rsid w:val="007F38E2"/>
    <w:rsid w:val="007F46BE"/>
    <w:rsid w:val="007F540C"/>
    <w:rsid w:val="007F6DDB"/>
    <w:rsid w:val="007F7B4F"/>
    <w:rsid w:val="00800D47"/>
    <w:rsid w:val="00801664"/>
    <w:rsid w:val="00801D54"/>
    <w:rsid w:val="00802F29"/>
    <w:rsid w:val="0080583B"/>
    <w:rsid w:val="00810B7D"/>
    <w:rsid w:val="00812C62"/>
    <w:rsid w:val="00813AB7"/>
    <w:rsid w:val="008142F5"/>
    <w:rsid w:val="00815350"/>
    <w:rsid w:val="00816980"/>
    <w:rsid w:val="00817015"/>
    <w:rsid w:val="0081749E"/>
    <w:rsid w:val="00820670"/>
    <w:rsid w:val="008223F9"/>
    <w:rsid w:val="00822B99"/>
    <w:rsid w:val="00824859"/>
    <w:rsid w:val="00824983"/>
    <w:rsid w:val="008250DA"/>
    <w:rsid w:val="00830575"/>
    <w:rsid w:val="00832CEA"/>
    <w:rsid w:val="0083573F"/>
    <w:rsid w:val="0083596D"/>
    <w:rsid w:val="008433E6"/>
    <w:rsid w:val="00843786"/>
    <w:rsid w:val="00845DE9"/>
    <w:rsid w:val="0084689B"/>
    <w:rsid w:val="00851E74"/>
    <w:rsid w:val="00852419"/>
    <w:rsid w:val="008571F9"/>
    <w:rsid w:val="008644D1"/>
    <w:rsid w:val="00867E1D"/>
    <w:rsid w:val="00871F99"/>
    <w:rsid w:val="00872206"/>
    <w:rsid w:val="0087244D"/>
    <w:rsid w:val="00872D84"/>
    <w:rsid w:val="00874D18"/>
    <w:rsid w:val="00877C0C"/>
    <w:rsid w:val="00880616"/>
    <w:rsid w:val="00882D66"/>
    <w:rsid w:val="00884735"/>
    <w:rsid w:val="00887F2C"/>
    <w:rsid w:val="00892E07"/>
    <w:rsid w:val="008931D4"/>
    <w:rsid w:val="008933BF"/>
    <w:rsid w:val="00893AAC"/>
    <w:rsid w:val="00894779"/>
    <w:rsid w:val="00895729"/>
    <w:rsid w:val="00895B3D"/>
    <w:rsid w:val="008A104C"/>
    <w:rsid w:val="008A2242"/>
    <w:rsid w:val="008A3D73"/>
    <w:rsid w:val="008A4C1C"/>
    <w:rsid w:val="008A4D8B"/>
    <w:rsid w:val="008A5402"/>
    <w:rsid w:val="008A5632"/>
    <w:rsid w:val="008A6F70"/>
    <w:rsid w:val="008B2E97"/>
    <w:rsid w:val="008B36AE"/>
    <w:rsid w:val="008B61BC"/>
    <w:rsid w:val="008B72BC"/>
    <w:rsid w:val="008B75E9"/>
    <w:rsid w:val="008B7E8C"/>
    <w:rsid w:val="008C125D"/>
    <w:rsid w:val="008C198F"/>
    <w:rsid w:val="008C1A92"/>
    <w:rsid w:val="008C2276"/>
    <w:rsid w:val="008C3FED"/>
    <w:rsid w:val="008C4223"/>
    <w:rsid w:val="008C47F8"/>
    <w:rsid w:val="008C5E95"/>
    <w:rsid w:val="008C79B8"/>
    <w:rsid w:val="008D0E82"/>
    <w:rsid w:val="008D1262"/>
    <w:rsid w:val="008D5B24"/>
    <w:rsid w:val="008E032D"/>
    <w:rsid w:val="008E1276"/>
    <w:rsid w:val="008E211F"/>
    <w:rsid w:val="008E3C33"/>
    <w:rsid w:val="008E5189"/>
    <w:rsid w:val="008E6E4D"/>
    <w:rsid w:val="008E777A"/>
    <w:rsid w:val="008F0021"/>
    <w:rsid w:val="008F1467"/>
    <w:rsid w:val="008F271D"/>
    <w:rsid w:val="008F362D"/>
    <w:rsid w:val="008F575B"/>
    <w:rsid w:val="008F5FAA"/>
    <w:rsid w:val="00900B5A"/>
    <w:rsid w:val="00910691"/>
    <w:rsid w:val="00910FB9"/>
    <w:rsid w:val="00912A6E"/>
    <w:rsid w:val="009135B3"/>
    <w:rsid w:val="00913D6E"/>
    <w:rsid w:val="00913F2A"/>
    <w:rsid w:val="00915D8E"/>
    <w:rsid w:val="00917866"/>
    <w:rsid w:val="009214E5"/>
    <w:rsid w:val="00921C4D"/>
    <w:rsid w:val="0092200F"/>
    <w:rsid w:val="009235EE"/>
    <w:rsid w:val="00923FAD"/>
    <w:rsid w:val="009240B6"/>
    <w:rsid w:val="009256C7"/>
    <w:rsid w:val="009261CA"/>
    <w:rsid w:val="0092658D"/>
    <w:rsid w:val="00930B96"/>
    <w:rsid w:val="00930CA1"/>
    <w:rsid w:val="009322A3"/>
    <w:rsid w:val="00934A64"/>
    <w:rsid w:val="00934CF4"/>
    <w:rsid w:val="00935E86"/>
    <w:rsid w:val="009373E2"/>
    <w:rsid w:val="00937638"/>
    <w:rsid w:val="00937EBE"/>
    <w:rsid w:val="00940057"/>
    <w:rsid w:val="009400F1"/>
    <w:rsid w:val="00940B99"/>
    <w:rsid w:val="00940F06"/>
    <w:rsid w:val="0094344C"/>
    <w:rsid w:val="009452B8"/>
    <w:rsid w:val="00945A08"/>
    <w:rsid w:val="00950970"/>
    <w:rsid w:val="00950D6C"/>
    <w:rsid w:val="00954C9B"/>
    <w:rsid w:val="00955670"/>
    <w:rsid w:val="0095658A"/>
    <w:rsid w:val="00961136"/>
    <w:rsid w:val="00961B7C"/>
    <w:rsid w:val="0096505C"/>
    <w:rsid w:val="00966DEA"/>
    <w:rsid w:val="009674F8"/>
    <w:rsid w:val="0096778E"/>
    <w:rsid w:val="00971CF0"/>
    <w:rsid w:val="00972401"/>
    <w:rsid w:val="00973BEE"/>
    <w:rsid w:val="00974E6B"/>
    <w:rsid w:val="00974F6C"/>
    <w:rsid w:val="00975684"/>
    <w:rsid w:val="0097688F"/>
    <w:rsid w:val="0097799F"/>
    <w:rsid w:val="009814E4"/>
    <w:rsid w:val="00982600"/>
    <w:rsid w:val="0098425D"/>
    <w:rsid w:val="00985541"/>
    <w:rsid w:val="0098648C"/>
    <w:rsid w:val="0098670E"/>
    <w:rsid w:val="00987797"/>
    <w:rsid w:val="0099176F"/>
    <w:rsid w:val="009935CC"/>
    <w:rsid w:val="00994D2A"/>
    <w:rsid w:val="0099550C"/>
    <w:rsid w:val="00995F76"/>
    <w:rsid w:val="009A10A5"/>
    <w:rsid w:val="009A1921"/>
    <w:rsid w:val="009A1A11"/>
    <w:rsid w:val="009A3534"/>
    <w:rsid w:val="009A40D9"/>
    <w:rsid w:val="009A461F"/>
    <w:rsid w:val="009A7F2D"/>
    <w:rsid w:val="009B1019"/>
    <w:rsid w:val="009B1F49"/>
    <w:rsid w:val="009B42FC"/>
    <w:rsid w:val="009B620B"/>
    <w:rsid w:val="009C0508"/>
    <w:rsid w:val="009C0ABA"/>
    <w:rsid w:val="009C1E25"/>
    <w:rsid w:val="009C3192"/>
    <w:rsid w:val="009C3F00"/>
    <w:rsid w:val="009C42E7"/>
    <w:rsid w:val="009C5B54"/>
    <w:rsid w:val="009C7A47"/>
    <w:rsid w:val="009D0096"/>
    <w:rsid w:val="009D1364"/>
    <w:rsid w:val="009D5F73"/>
    <w:rsid w:val="009D7AD5"/>
    <w:rsid w:val="009E0AA9"/>
    <w:rsid w:val="009E2319"/>
    <w:rsid w:val="009E4050"/>
    <w:rsid w:val="009E4721"/>
    <w:rsid w:val="009E4AF4"/>
    <w:rsid w:val="009E735B"/>
    <w:rsid w:val="009E75BB"/>
    <w:rsid w:val="009E7BDE"/>
    <w:rsid w:val="009E7D66"/>
    <w:rsid w:val="009F0AAB"/>
    <w:rsid w:val="009F53C0"/>
    <w:rsid w:val="009F5E1F"/>
    <w:rsid w:val="009F629D"/>
    <w:rsid w:val="009F6581"/>
    <w:rsid w:val="00A02DD7"/>
    <w:rsid w:val="00A03636"/>
    <w:rsid w:val="00A04042"/>
    <w:rsid w:val="00A043B8"/>
    <w:rsid w:val="00A04F69"/>
    <w:rsid w:val="00A06A5A"/>
    <w:rsid w:val="00A0775A"/>
    <w:rsid w:val="00A11465"/>
    <w:rsid w:val="00A11FD9"/>
    <w:rsid w:val="00A147E0"/>
    <w:rsid w:val="00A1736C"/>
    <w:rsid w:val="00A17FE7"/>
    <w:rsid w:val="00A20149"/>
    <w:rsid w:val="00A206D7"/>
    <w:rsid w:val="00A206F3"/>
    <w:rsid w:val="00A2297D"/>
    <w:rsid w:val="00A24C79"/>
    <w:rsid w:val="00A25811"/>
    <w:rsid w:val="00A30106"/>
    <w:rsid w:val="00A30908"/>
    <w:rsid w:val="00A30D0E"/>
    <w:rsid w:val="00A32A7F"/>
    <w:rsid w:val="00A33E21"/>
    <w:rsid w:val="00A3616D"/>
    <w:rsid w:val="00A418C3"/>
    <w:rsid w:val="00A42670"/>
    <w:rsid w:val="00A42974"/>
    <w:rsid w:val="00A4341C"/>
    <w:rsid w:val="00A43D48"/>
    <w:rsid w:val="00A441AE"/>
    <w:rsid w:val="00A444A6"/>
    <w:rsid w:val="00A45D8E"/>
    <w:rsid w:val="00A5001D"/>
    <w:rsid w:val="00A5179D"/>
    <w:rsid w:val="00A51FD5"/>
    <w:rsid w:val="00A52A3E"/>
    <w:rsid w:val="00A53CEA"/>
    <w:rsid w:val="00A547D4"/>
    <w:rsid w:val="00A573E1"/>
    <w:rsid w:val="00A60E69"/>
    <w:rsid w:val="00A60F1F"/>
    <w:rsid w:val="00A636E7"/>
    <w:rsid w:val="00A6397F"/>
    <w:rsid w:val="00A63F2E"/>
    <w:rsid w:val="00A653F9"/>
    <w:rsid w:val="00A65B37"/>
    <w:rsid w:val="00A66ECC"/>
    <w:rsid w:val="00A678AF"/>
    <w:rsid w:val="00A7198C"/>
    <w:rsid w:val="00A71AF9"/>
    <w:rsid w:val="00A72495"/>
    <w:rsid w:val="00A73DE7"/>
    <w:rsid w:val="00A7795D"/>
    <w:rsid w:val="00A77E35"/>
    <w:rsid w:val="00A81062"/>
    <w:rsid w:val="00A824E3"/>
    <w:rsid w:val="00A84C35"/>
    <w:rsid w:val="00A85F86"/>
    <w:rsid w:val="00A87177"/>
    <w:rsid w:val="00A873BE"/>
    <w:rsid w:val="00A90253"/>
    <w:rsid w:val="00A90744"/>
    <w:rsid w:val="00A920F6"/>
    <w:rsid w:val="00A92A90"/>
    <w:rsid w:val="00A9390D"/>
    <w:rsid w:val="00A944F2"/>
    <w:rsid w:val="00A95B8D"/>
    <w:rsid w:val="00A96536"/>
    <w:rsid w:val="00A96C74"/>
    <w:rsid w:val="00AA0BC1"/>
    <w:rsid w:val="00AA2D46"/>
    <w:rsid w:val="00AA3F80"/>
    <w:rsid w:val="00AA4651"/>
    <w:rsid w:val="00AA6978"/>
    <w:rsid w:val="00AB07F1"/>
    <w:rsid w:val="00AB0DC5"/>
    <w:rsid w:val="00AB31C8"/>
    <w:rsid w:val="00AB399F"/>
    <w:rsid w:val="00AB59A0"/>
    <w:rsid w:val="00AB65ED"/>
    <w:rsid w:val="00AB7340"/>
    <w:rsid w:val="00AC078F"/>
    <w:rsid w:val="00AC10DD"/>
    <w:rsid w:val="00AC1165"/>
    <w:rsid w:val="00AC3291"/>
    <w:rsid w:val="00AC345C"/>
    <w:rsid w:val="00AC34CE"/>
    <w:rsid w:val="00AC7558"/>
    <w:rsid w:val="00AC7644"/>
    <w:rsid w:val="00AD2DC0"/>
    <w:rsid w:val="00AD4B33"/>
    <w:rsid w:val="00AD53C0"/>
    <w:rsid w:val="00AD6143"/>
    <w:rsid w:val="00AD725C"/>
    <w:rsid w:val="00AE0F14"/>
    <w:rsid w:val="00AE10CC"/>
    <w:rsid w:val="00AE32AA"/>
    <w:rsid w:val="00AE3451"/>
    <w:rsid w:val="00AE4EE4"/>
    <w:rsid w:val="00AE5802"/>
    <w:rsid w:val="00AE64F1"/>
    <w:rsid w:val="00AF2286"/>
    <w:rsid w:val="00AF6836"/>
    <w:rsid w:val="00AF6F1E"/>
    <w:rsid w:val="00AF7445"/>
    <w:rsid w:val="00AF7D85"/>
    <w:rsid w:val="00B01CE6"/>
    <w:rsid w:val="00B01FBB"/>
    <w:rsid w:val="00B034C4"/>
    <w:rsid w:val="00B03843"/>
    <w:rsid w:val="00B06517"/>
    <w:rsid w:val="00B066C2"/>
    <w:rsid w:val="00B06BAD"/>
    <w:rsid w:val="00B06E66"/>
    <w:rsid w:val="00B11372"/>
    <w:rsid w:val="00B12F60"/>
    <w:rsid w:val="00B14413"/>
    <w:rsid w:val="00B15A19"/>
    <w:rsid w:val="00B15F59"/>
    <w:rsid w:val="00B16A50"/>
    <w:rsid w:val="00B16DF1"/>
    <w:rsid w:val="00B17072"/>
    <w:rsid w:val="00B23D73"/>
    <w:rsid w:val="00B259E0"/>
    <w:rsid w:val="00B25A1D"/>
    <w:rsid w:val="00B260AE"/>
    <w:rsid w:val="00B263FB"/>
    <w:rsid w:val="00B26FC4"/>
    <w:rsid w:val="00B2709C"/>
    <w:rsid w:val="00B3017D"/>
    <w:rsid w:val="00B333C5"/>
    <w:rsid w:val="00B3586C"/>
    <w:rsid w:val="00B36B5A"/>
    <w:rsid w:val="00B36F95"/>
    <w:rsid w:val="00B376AE"/>
    <w:rsid w:val="00B40DCD"/>
    <w:rsid w:val="00B455CB"/>
    <w:rsid w:val="00B467D6"/>
    <w:rsid w:val="00B47454"/>
    <w:rsid w:val="00B5173C"/>
    <w:rsid w:val="00B52AA6"/>
    <w:rsid w:val="00B52D62"/>
    <w:rsid w:val="00B53F29"/>
    <w:rsid w:val="00B5491D"/>
    <w:rsid w:val="00B54D89"/>
    <w:rsid w:val="00B559F7"/>
    <w:rsid w:val="00B55C77"/>
    <w:rsid w:val="00B56A3F"/>
    <w:rsid w:val="00B57A9A"/>
    <w:rsid w:val="00B60C8D"/>
    <w:rsid w:val="00B6209A"/>
    <w:rsid w:val="00B63633"/>
    <w:rsid w:val="00B6523C"/>
    <w:rsid w:val="00B65B4F"/>
    <w:rsid w:val="00B675E4"/>
    <w:rsid w:val="00B676E8"/>
    <w:rsid w:val="00B70744"/>
    <w:rsid w:val="00B71245"/>
    <w:rsid w:val="00B71268"/>
    <w:rsid w:val="00B74695"/>
    <w:rsid w:val="00B75119"/>
    <w:rsid w:val="00B758AE"/>
    <w:rsid w:val="00B76811"/>
    <w:rsid w:val="00B7704D"/>
    <w:rsid w:val="00B77704"/>
    <w:rsid w:val="00B77A9A"/>
    <w:rsid w:val="00B824CD"/>
    <w:rsid w:val="00B82EE5"/>
    <w:rsid w:val="00B836D8"/>
    <w:rsid w:val="00B84526"/>
    <w:rsid w:val="00B867C9"/>
    <w:rsid w:val="00B87831"/>
    <w:rsid w:val="00B9036D"/>
    <w:rsid w:val="00B91BF7"/>
    <w:rsid w:val="00B91F54"/>
    <w:rsid w:val="00B931C8"/>
    <w:rsid w:val="00B938E3"/>
    <w:rsid w:val="00B93DC9"/>
    <w:rsid w:val="00B958C3"/>
    <w:rsid w:val="00BA0F61"/>
    <w:rsid w:val="00BA4AD0"/>
    <w:rsid w:val="00BA6A32"/>
    <w:rsid w:val="00BA6FFE"/>
    <w:rsid w:val="00BB0892"/>
    <w:rsid w:val="00BB0CFA"/>
    <w:rsid w:val="00BB324C"/>
    <w:rsid w:val="00BB3399"/>
    <w:rsid w:val="00BB3F4A"/>
    <w:rsid w:val="00BB4D59"/>
    <w:rsid w:val="00BB4E4A"/>
    <w:rsid w:val="00BB508A"/>
    <w:rsid w:val="00BB52F2"/>
    <w:rsid w:val="00BB71AC"/>
    <w:rsid w:val="00BC0C4F"/>
    <w:rsid w:val="00BC20DD"/>
    <w:rsid w:val="00BC2441"/>
    <w:rsid w:val="00BC2AD5"/>
    <w:rsid w:val="00BC4D84"/>
    <w:rsid w:val="00BD1F97"/>
    <w:rsid w:val="00BD246B"/>
    <w:rsid w:val="00BD32FA"/>
    <w:rsid w:val="00BD7584"/>
    <w:rsid w:val="00BE0965"/>
    <w:rsid w:val="00BE6909"/>
    <w:rsid w:val="00BF1AA2"/>
    <w:rsid w:val="00BF470E"/>
    <w:rsid w:val="00BF4771"/>
    <w:rsid w:val="00BF4902"/>
    <w:rsid w:val="00BF4A4D"/>
    <w:rsid w:val="00BF6C5F"/>
    <w:rsid w:val="00BF7F8C"/>
    <w:rsid w:val="00C01C7A"/>
    <w:rsid w:val="00C01CE3"/>
    <w:rsid w:val="00C03452"/>
    <w:rsid w:val="00C037C4"/>
    <w:rsid w:val="00C038E9"/>
    <w:rsid w:val="00C05C63"/>
    <w:rsid w:val="00C062F6"/>
    <w:rsid w:val="00C11EF8"/>
    <w:rsid w:val="00C126D8"/>
    <w:rsid w:val="00C12B6B"/>
    <w:rsid w:val="00C140AB"/>
    <w:rsid w:val="00C14C84"/>
    <w:rsid w:val="00C173E9"/>
    <w:rsid w:val="00C17A06"/>
    <w:rsid w:val="00C17AE0"/>
    <w:rsid w:val="00C21CC5"/>
    <w:rsid w:val="00C221EA"/>
    <w:rsid w:val="00C24747"/>
    <w:rsid w:val="00C24AF2"/>
    <w:rsid w:val="00C25CF3"/>
    <w:rsid w:val="00C2785C"/>
    <w:rsid w:val="00C3058E"/>
    <w:rsid w:val="00C30C2C"/>
    <w:rsid w:val="00C30D43"/>
    <w:rsid w:val="00C31F43"/>
    <w:rsid w:val="00C3229B"/>
    <w:rsid w:val="00C3244B"/>
    <w:rsid w:val="00C32516"/>
    <w:rsid w:val="00C338C6"/>
    <w:rsid w:val="00C37448"/>
    <w:rsid w:val="00C37C34"/>
    <w:rsid w:val="00C37E0A"/>
    <w:rsid w:val="00C423CE"/>
    <w:rsid w:val="00C4296B"/>
    <w:rsid w:val="00C42D94"/>
    <w:rsid w:val="00C4436E"/>
    <w:rsid w:val="00C45D7C"/>
    <w:rsid w:val="00C500CF"/>
    <w:rsid w:val="00C503B9"/>
    <w:rsid w:val="00C5312F"/>
    <w:rsid w:val="00C54B23"/>
    <w:rsid w:val="00C556D7"/>
    <w:rsid w:val="00C558B0"/>
    <w:rsid w:val="00C5676E"/>
    <w:rsid w:val="00C56E8E"/>
    <w:rsid w:val="00C606C9"/>
    <w:rsid w:val="00C6073E"/>
    <w:rsid w:val="00C613F9"/>
    <w:rsid w:val="00C61897"/>
    <w:rsid w:val="00C6388C"/>
    <w:rsid w:val="00C644E0"/>
    <w:rsid w:val="00C648C3"/>
    <w:rsid w:val="00C64C83"/>
    <w:rsid w:val="00C64D22"/>
    <w:rsid w:val="00C6500F"/>
    <w:rsid w:val="00C67B48"/>
    <w:rsid w:val="00C7010D"/>
    <w:rsid w:val="00C705D4"/>
    <w:rsid w:val="00C70A6C"/>
    <w:rsid w:val="00C70D67"/>
    <w:rsid w:val="00C7384D"/>
    <w:rsid w:val="00C74312"/>
    <w:rsid w:val="00C75FF5"/>
    <w:rsid w:val="00C763C3"/>
    <w:rsid w:val="00C76F3F"/>
    <w:rsid w:val="00C801E8"/>
    <w:rsid w:val="00C80298"/>
    <w:rsid w:val="00C806DA"/>
    <w:rsid w:val="00C81130"/>
    <w:rsid w:val="00C83322"/>
    <w:rsid w:val="00C839CE"/>
    <w:rsid w:val="00C83DE0"/>
    <w:rsid w:val="00C84F66"/>
    <w:rsid w:val="00C85A85"/>
    <w:rsid w:val="00C876A2"/>
    <w:rsid w:val="00C876A9"/>
    <w:rsid w:val="00C90209"/>
    <w:rsid w:val="00C903FE"/>
    <w:rsid w:val="00C912B7"/>
    <w:rsid w:val="00C9176C"/>
    <w:rsid w:val="00C92D28"/>
    <w:rsid w:val="00C93B8E"/>
    <w:rsid w:val="00C941BE"/>
    <w:rsid w:val="00C95C32"/>
    <w:rsid w:val="00C9681C"/>
    <w:rsid w:val="00C97AD1"/>
    <w:rsid w:val="00CA0BDF"/>
    <w:rsid w:val="00CA1478"/>
    <w:rsid w:val="00CA1DB2"/>
    <w:rsid w:val="00CA46CE"/>
    <w:rsid w:val="00CA6436"/>
    <w:rsid w:val="00CA660E"/>
    <w:rsid w:val="00CA77FB"/>
    <w:rsid w:val="00CB0A98"/>
    <w:rsid w:val="00CB2728"/>
    <w:rsid w:val="00CB31F4"/>
    <w:rsid w:val="00CB3B72"/>
    <w:rsid w:val="00CB613D"/>
    <w:rsid w:val="00CC4BCD"/>
    <w:rsid w:val="00CC4C60"/>
    <w:rsid w:val="00CC57D5"/>
    <w:rsid w:val="00CC6EEB"/>
    <w:rsid w:val="00CD283D"/>
    <w:rsid w:val="00CD333E"/>
    <w:rsid w:val="00CD4AAB"/>
    <w:rsid w:val="00CD4ABE"/>
    <w:rsid w:val="00CD6264"/>
    <w:rsid w:val="00CE0FB6"/>
    <w:rsid w:val="00CE2438"/>
    <w:rsid w:val="00CE3AFC"/>
    <w:rsid w:val="00CE48C0"/>
    <w:rsid w:val="00CE5B57"/>
    <w:rsid w:val="00CE6211"/>
    <w:rsid w:val="00CE62C9"/>
    <w:rsid w:val="00CF0B9A"/>
    <w:rsid w:val="00CF1E3C"/>
    <w:rsid w:val="00CF294F"/>
    <w:rsid w:val="00CF47B6"/>
    <w:rsid w:val="00CF770D"/>
    <w:rsid w:val="00D00A7C"/>
    <w:rsid w:val="00D00C4C"/>
    <w:rsid w:val="00D014B9"/>
    <w:rsid w:val="00D02467"/>
    <w:rsid w:val="00D045E6"/>
    <w:rsid w:val="00D04F61"/>
    <w:rsid w:val="00D0575B"/>
    <w:rsid w:val="00D06379"/>
    <w:rsid w:val="00D07AEE"/>
    <w:rsid w:val="00D109A1"/>
    <w:rsid w:val="00D12A84"/>
    <w:rsid w:val="00D12B65"/>
    <w:rsid w:val="00D12F98"/>
    <w:rsid w:val="00D144FA"/>
    <w:rsid w:val="00D14B64"/>
    <w:rsid w:val="00D157DF"/>
    <w:rsid w:val="00D16FCE"/>
    <w:rsid w:val="00D17007"/>
    <w:rsid w:val="00D21BE5"/>
    <w:rsid w:val="00D2735E"/>
    <w:rsid w:val="00D27AC4"/>
    <w:rsid w:val="00D30AB3"/>
    <w:rsid w:val="00D337AE"/>
    <w:rsid w:val="00D34018"/>
    <w:rsid w:val="00D34420"/>
    <w:rsid w:val="00D357E5"/>
    <w:rsid w:val="00D361AD"/>
    <w:rsid w:val="00D3681F"/>
    <w:rsid w:val="00D43345"/>
    <w:rsid w:val="00D45D32"/>
    <w:rsid w:val="00D46499"/>
    <w:rsid w:val="00D47538"/>
    <w:rsid w:val="00D50111"/>
    <w:rsid w:val="00D50A49"/>
    <w:rsid w:val="00D5277E"/>
    <w:rsid w:val="00D52C31"/>
    <w:rsid w:val="00D54453"/>
    <w:rsid w:val="00D57989"/>
    <w:rsid w:val="00D6088F"/>
    <w:rsid w:val="00D613C6"/>
    <w:rsid w:val="00D700B3"/>
    <w:rsid w:val="00D703B7"/>
    <w:rsid w:val="00D71875"/>
    <w:rsid w:val="00D71F6B"/>
    <w:rsid w:val="00D75D17"/>
    <w:rsid w:val="00D75E58"/>
    <w:rsid w:val="00D7672C"/>
    <w:rsid w:val="00D76B44"/>
    <w:rsid w:val="00D817B3"/>
    <w:rsid w:val="00D818D9"/>
    <w:rsid w:val="00D81D15"/>
    <w:rsid w:val="00D81EC5"/>
    <w:rsid w:val="00D8245B"/>
    <w:rsid w:val="00D824D3"/>
    <w:rsid w:val="00D8282C"/>
    <w:rsid w:val="00D82EE5"/>
    <w:rsid w:val="00D85181"/>
    <w:rsid w:val="00D85308"/>
    <w:rsid w:val="00D919F0"/>
    <w:rsid w:val="00D936BA"/>
    <w:rsid w:val="00D944D1"/>
    <w:rsid w:val="00D97377"/>
    <w:rsid w:val="00D97EC5"/>
    <w:rsid w:val="00DA23BF"/>
    <w:rsid w:val="00DA3278"/>
    <w:rsid w:val="00DA3396"/>
    <w:rsid w:val="00DA33D8"/>
    <w:rsid w:val="00DA412A"/>
    <w:rsid w:val="00DA4D0D"/>
    <w:rsid w:val="00DA4D7C"/>
    <w:rsid w:val="00DA5F1D"/>
    <w:rsid w:val="00DB084B"/>
    <w:rsid w:val="00DB155C"/>
    <w:rsid w:val="00DB1F68"/>
    <w:rsid w:val="00DB60CD"/>
    <w:rsid w:val="00DB677B"/>
    <w:rsid w:val="00DC0834"/>
    <w:rsid w:val="00DC11B7"/>
    <w:rsid w:val="00DC156D"/>
    <w:rsid w:val="00DC2910"/>
    <w:rsid w:val="00DC357C"/>
    <w:rsid w:val="00DC4642"/>
    <w:rsid w:val="00DC4D6A"/>
    <w:rsid w:val="00DC7D6D"/>
    <w:rsid w:val="00DD1EDE"/>
    <w:rsid w:val="00DD32A2"/>
    <w:rsid w:val="00DD3E49"/>
    <w:rsid w:val="00DD3FB9"/>
    <w:rsid w:val="00DD53ED"/>
    <w:rsid w:val="00DD5DC4"/>
    <w:rsid w:val="00DD78E5"/>
    <w:rsid w:val="00DE3F8E"/>
    <w:rsid w:val="00DE5501"/>
    <w:rsid w:val="00DE6AC7"/>
    <w:rsid w:val="00DE7BA8"/>
    <w:rsid w:val="00DF0C3F"/>
    <w:rsid w:val="00DF1A5C"/>
    <w:rsid w:val="00DF24CD"/>
    <w:rsid w:val="00DF381C"/>
    <w:rsid w:val="00DF7257"/>
    <w:rsid w:val="00E0087C"/>
    <w:rsid w:val="00E0198F"/>
    <w:rsid w:val="00E01CB4"/>
    <w:rsid w:val="00E0349A"/>
    <w:rsid w:val="00E03F2B"/>
    <w:rsid w:val="00E07F75"/>
    <w:rsid w:val="00E1360C"/>
    <w:rsid w:val="00E16134"/>
    <w:rsid w:val="00E1668E"/>
    <w:rsid w:val="00E176ED"/>
    <w:rsid w:val="00E208F3"/>
    <w:rsid w:val="00E2093D"/>
    <w:rsid w:val="00E227F5"/>
    <w:rsid w:val="00E23940"/>
    <w:rsid w:val="00E25D00"/>
    <w:rsid w:val="00E2780C"/>
    <w:rsid w:val="00E27EC8"/>
    <w:rsid w:val="00E3281D"/>
    <w:rsid w:val="00E32C14"/>
    <w:rsid w:val="00E33D42"/>
    <w:rsid w:val="00E3403B"/>
    <w:rsid w:val="00E34603"/>
    <w:rsid w:val="00E364DB"/>
    <w:rsid w:val="00E369CF"/>
    <w:rsid w:val="00E37CE0"/>
    <w:rsid w:val="00E37FB4"/>
    <w:rsid w:val="00E4116D"/>
    <w:rsid w:val="00E4411A"/>
    <w:rsid w:val="00E44A16"/>
    <w:rsid w:val="00E44FFF"/>
    <w:rsid w:val="00E45CEC"/>
    <w:rsid w:val="00E46ED6"/>
    <w:rsid w:val="00E5062C"/>
    <w:rsid w:val="00E50902"/>
    <w:rsid w:val="00E51092"/>
    <w:rsid w:val="00E51306"/>
    <w:rsid w:val="00E51A4F"/>
    <w:rsid w:val="00E561B1"/>
    <w:rsid w:val="00E573B4"/>
    <w:rsid w:val="00E622E2"/>
    <w:rsid w:val="00E6258C"/>
    <w:rsid w:val="00E63215"/>
    <w:rsid w:val="00E64FD7"/>
    <w:rsid w:val="00E66F02"/>
    <w:rsid w:val="00E67B5D"/>
    <w:rsid w:val="00E67EC1"/>
    <w:rsid w:val="00E70B26"/>
    <w:rsid w:val="00E71DE8"/>
    <w:rsid w:val="00E758F3"/>
    <w:rsid w:val="00E76604"/>
    <w:rsid w:val="00E76F90"/>
    <w:rsid w:val="00E812E1"/>
    <w:rsid w:val="00E82740"/>
    <w:rsid w:val="00E83417"/>
    <w:rsid w:val="00E83E96"/>
    <w:rsid w:val="00E83F0E"/>
    <w:rsid w:val="00E86BD3"/>
    <w:rsid w:val="00E876D9"/>
    <w:rsid w:val="00E87C4E"/>
    <w:rsid w:val="00E90CAD"/>
    <w:rsid w:val="00E91857"/>
    <w:rsid w:val="00E9192C"/>
    <w:rsid w:val="00E91E91"/>
    <w:rsid w:val="00E91EB9"/>
    <w:rsid w:val="00E92A27"/>
    <w:rsid w:val="00E92DA3"/>
    <w:rsid w:val="00E931D4"/>
    <w:rsid w:val="00E931D5"/>
    <w:rsid w:val="00E93485"/>
    <w:rsid w:val="00E93ABA"/>
    <w:rsid w:val="00E93E6C"/>
    <w:rsid w:val="00E94D56"/>
    <w:rsid w:val="00E95CA9"/>
    <w:rsid w:val="00E95F74"/>
    <w:rsid w:val="00EA035A"/>
    <w:rsid w:val="00EA04F2"/>
    <w:rsid w:val="00EA051F"/>
    <w:rsid w:val="00EA1C41"/>
    <w:rsid w:val="00EA1C46"/>
    <w:rsid w:val="00EA48C7"/>
    <w:rsid w:val="00EA4B8A"/>
    <w:rsid w:val="00EA690E"/>
    <w:rsid w:val="00EA76DB"/>
    <w:rsid w:val="00EA776B"/>
    <w:rsid w:val="00EB0EEF"/>
    <w:rsid w:val="00EB2D11"/>
    <w:rsid w:val="00EB43A4"/>
    <w:rsid w:val="00EB4516"/>
    <w:rsid w:val="00EB5911"/>
    <w:rsid w:val="00EB5FB0"/>
    <w:rsid w:val="00EB601A"/>
    <w:rsid w:val="00EC0D29"/>
    <w:rsid w:val="00EC2410"/>
    <w:rsid w:val="00EC3ED4"/>
    <w:rsid w:val="00EC4234"/>
    <w:rsid w:val="00EC578F"/>
    <w:rsid w:val="00EC694A"/>
    <w:rsid w:val="00EC74D3"/>
    <w:rsid w:val="00ED040D"/>
    <w:rsid w:val="00ED1806"/>
    <w:rsid w:val="00ED1F80"/>
    <w:rsid w:val="00ED3C97"/>
    <w:rsid w:val="00ED5EF1"/>
    <w:rsid w:val="00ED72D5"/>
    <w:rsid w:val="00ED74DC"/>
    <w:rsid w:val="00EE1AFC"/>
    <w:rsid w:val="00EE1C11"/>
    <w:rsid w:val="00EE4103"/>
    <w:rsid w:val="00EF0DEA"/>
    <w:rsid w:val="00EF2045"/>
    <w:rsid w:val="00EF47C3"/>
    <w:rsid w:val="00EF581F"/>
    <w:rsid w:val="00EF6655"/>
    <w:rsid w:val="00EF72F4"/>
    <w:rsid w:val="00EF7C97"/>
    <w:rsid w:val="00F01562"/>
    <w:rsid w:val="00F02F72"/>
    <w:rsid w:val="00F03F22"/>
    <w:rsid w:val="00F05349"/>
    <w:rsid w:val="00F073F0"/>
    <w:rsid w:val="00F102DF"/>
    <w:rsid w:val="00F105CF"/>
    <w:rsid w:val="00F118F4"/>
    <w:rsid w:val="00F11AF0"/>
    <w:rsid w:val="00F12673"/>
    <w:rsid w:val="00F13033"/>
    <w:rsid w:val="00F13BD6"/>
    <w:rsid w:val="00F14887"/>
    <w:rsid w:val="00F17CD3"/>
    <w:rsid w:val="00F208C4"/>
    <w:rsid w:val="00F21AB9"/>
    <w:rsid w:val="00F229A7"/>
    <w:rsid w:val="00F22C77"/>
    <w:rsid w:val="00F22C9B"/>
    <w:rsid w:val="00F24C06"/>
    <w:rsid w:val="00F26A51"/>
    <w:rsid w:val="00F30BC0"/>
    <w:rsid w:val="00F31703"/>
    <w:rsid w:val="00F31B10"/>
    <w:rsid w:val="00F31CE2"/>
    <w:rsid w:val="00F32CB1"/>
    <w:rsid w:val="00F33F06"/>
    <w:rsid w:val="00F33F9A"/>
    <w:rsid w:val="00F34704"/>
    <w:rsid w:val="00F35B18"/>
    <w:rsid w:val="00F35F16"/>
    <w:rsid w:val="00F36BBB"/>
    <w:rsid w:val="00F372EC"/>
    <w:rsid w:val="00F37746"/>
    <w:rsid w:val="00F42A9E"/>
    <w:rsid w:val="00F45B8E"/>
    <w:rsid w:val="00F51D83"/>
    <w:rsid w:val="00F51EC2"/>
    <w:rsid w:val="00F52611"/>
    <w:rsid w:val="00F608F3"/>
    <w:rsid w:val="00F6168A"/>
    <w:rsid w:val="00F624F1"/>
    <w:rsid w:val="00F63994"/>
    <w:rsid w:val="00F64565"/>
    <w:rsid w:val="00F64D6F"/>
    <w:rsid w:val="00F64DDF"/>
    <w:rsid w:val="00F665D4"/>
    <w:rsid w:val="00F675AB"/>
    <w:rsid w:val="00F67A80"/>
    <w:rsid w:val="00F70C49"/>
    <w:rsid w:val="00F72DA5"/>
    <w:rsid w:val="00F80A64"/>
    <w:rsid w:val="00F817AA"/>
    <w:rsid w:val="00F817E0"/>
    <w:rsid w:val="00F824C4"/>
    <w:rsid w:val="00F82AD1"/>
    <w:rsid w:val="00F83017"/>
    <w:rsid w:val="00F833F4"/>
    <w:rsid w:val="00F83D0B"/>
    <w:rsid w:val="00F84928"/>
    <w:rsid w:val="00F84E8E"/>
    <w:rsid w:val="00F8672C"/>
    <w:rsid w:val="00F87E25"/>
    <w:rsid w:val="00F90304"/>
    <w:rsid w:val="00F92AF5"/>
    <w:rsid w:val="00F92C69"/>
    <w:rsid w:val="00F93FF2"/>
    <w:rsid w:val="00F9497A"/>
    <w:rsid w:val="00F94B30"/>
    <w:rsid w:val="00FA059F"/>
    <w:rsid w:val="00FA0FD4"/>
    <w:rsid w:val="00FA1823"/>
    <w:rsid w:val="00FA2A6F"/>
    <w:rsid w:val="00FA320C"/>
    <w:rsid w:val="00FB10B8"/>
    <w:rsid w:val="00FB2169"/>
    <w:rsid w:val="00FB38B0"/>
    <w:rsid w:val="00FB3D4E"/>
    <w:rsid w:val="00FB41F8"/>
    <w:rsid w:val="00FB546B"/>
    <w:rsid w:val="00FB6769"/>
    <w:rsid w:val="00FC1BD8"/>
    <w:rsid w:val="00FC28AE"/>
    <w:rsid w:val="00FC354F"/>
    <w:rsid w:val="00FC440E"/>
    <w:rsid w:val="00FC6095"/>
    <w:rsid w:val="00FC67B5"/>
    <w:rsid w:val="00FC7F7D"/>
    <w:rsid w:val="00FD0AA1"/>
    <w:rsid w:val="00FD2395"/>
    <w:rsid w:val="00FD2434"/>
    <w:rsid w:val="00FD3107"/>
    <w:rsid w:val="00FD5FA3"/>
    <w:rsid w:val="00FE254B"/>
    <w:rsid w:val="00FE2F38"/>
    <w:rsid w:val="00FE3581"/>
    <w:rsid w:val="00FE3653"/>
    <w:rsid w:val="00FE6A9A"/>
    <w:rsid w:val="00FE7C76"/>
    <w:rsid w:val="00FF2C88"/>
    <w:rsid w:val="00FF2E28"/>
    <w:rsid w:val="00FF5F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8F345D0-CEE4-4085-A742-3FE1E8B2F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713"/>
    <w:rPr>
      <w:lang w:val="pl-PL" w:eastAsia="pl-PL"/>
    </w:rPr>
  </w:style>
  <w:style w:type="paragraph" w:styleId="Heading1">
    <w:name w:val="heading 1"/>
    <w:basedOn w:val="Heading2"/>
    <w:next w:val="BodyText"/>
    <w:link w:val="Heading1Char"/>
    <w:qFormat/>
    <w:rsid w:val="00C76F3F"/>
    <w:pPr>
      <w:outlineLvl w:val="0"/>
    </w:pPr>
    <w:rPr>
      <w:rFonts w:ascii="Cambria" w:hAnsi="Cambria"/>
      <w:bCs/>
      <w:i w:val="0"/>
      <w:kern w:val="32"/>
      <w:sz w:val="32"/>
      <w:szCs w:val="32"/>
      <w:lang w:val="pl-PL" w:eastAsia="pl-PL"/>
    </w:rPr>
  </w:style>
  <w:style w:type="paragraph" w:styleId="Heading2">
    <w:name w:val="heading 2"/>
    <w:aliases w:val="Heading 2 Char1,Heading 2 Char Char,Car"/>
    <w:basedOn w:val="Heading3"/>
    <w:next w:val="BodyText"/>
    <w:link w:val="Heading2Char"/>
    <w:qFormat/>
    <w:rsid w:val="00C76F3F"/>
    <w:pPr>
      <w:spacing w:line="280" w:lineRule="atLeast"/>
      <w:outlineLvl w:val="1"/>
    </w:pPr>
    <w:rPr>
      <w:rFonts w:ascii="Times New Roman" w:hAnsi="Times New Roman" w:cs="Times New Roman"/>
      <w:bCs w:val="0"/>
      <w:sz w:val="24"/>
      <w:szCs w:val="20"/>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C76F3F"/>
    <w:pPr>
      <w:keepNext/>
      <w:keepLines/>
      <w:spacing w:after="0" w:line="260" w:lineRule="atLeast"/>
      <w:outlineLvl w:val="2"/>
    </w:pPr>
    <w:rPr>
      <w:rFonts w:ascii="Arial" w:hAnsi="Arial" w:cs="Arial"/>
      <w:b/>
      <w:bCs/>
      <w:i/>
      <w:sz w:val="26"/>
      <w:szCs w:val="26"/>
      <w:lang w:val="bg-BG" w:eastAsia="bg-BG"/>
    </w:rPr>
  </w:style>
  <w:style w:type="paragraph" w:styleId="Heading4">
    <w:name w:val="heading 4"/>
    <w:basedOn w:val="BodyText"/>
    <w:next w:val="BodyText"/>
    <w:link w:val="Heading4Char"/>
    <w:qFormat/>
    <w:rsid w:val="00C76F3F"/>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C76F3F"/>
    <w:pPr>
      <w:outlineLvl w:val="4"/>
    </w:pPr>
    <w:rPr>
      <w:rFonts w:ascii="Calibri" w:hAnsi="Calibri"/>
      <w:b/>
      <w:bCs/>
      <w:i/>
      <w:iCs/>
      <w:sz w:val="26"/>
      <w:szCs w:val="26"/>
    </w:rPr>
  </w:style>
  <w:style w:type="paragraph" w:styleId="Heading6">
    <w:name w:val="heading 6"/>
    <w:basedOn w:val="Normal"/>
    <w:next w:val="Normal"/>
    <w:link w:val="Heading6Char"/>
    <w:qFormat/>
    <w:rsid w:val="00C76F3F"/>
    <w:pPr>
      <w:outlineLvl w:val="5"/>
    </w:pPr>
    <w:rPr>
      <w:rFonts w:ascii="Calibri" w:hAnsi="Calibri"/>
      <w:b/>
      <w:bCs/>
    </w:rPr>
  </w:style>
  <w:style w:type="paragraph" w:styleId="Heading7">
    <w:name w:val="heading 7"/>
    <w:basedOn w:val="Normal"/>
    <w:next w:val="Normal"/>
    <w:link w:val="Heading7Char"/>
    <w:qFormat/>
    <w:rsid w:val="00C76F3F"/>
    <w:pPr>
      <w:outlineLvl w:val="6"/>
    </w:pPr>
    <w:rPr>
      <w:rFonts w:ascii="Calibri" w:hAnsi="Calibri"/>
      <w:sz w:val="24"/>
      <w:szCs w:val="24"/>
    </w:rPr>
  </w:style>
  <w:style w:type="paragraph" w:styleId="Heading8">
    <w:name w:val="heading 8"/>
    <w:basedOn w:val="Normal"/>
    <w:next w:val="Normal"/>
    <w:link w:val="Heading8Char"/>
    <w:qFormat/>
    <w:rsid w:val="00C76F3F"/>
    <w:pPr>
      <w:outlineLvl w:val="7"/>
    </w:pPr>
    <w:rPr>
      <w:rFonts w:ascii="Calibri" w:hAnsi="Calibri"/>
      <w:i/>
      <w:iCs/>
      <w:sz w:val="24"/>
      <w:szCs w:val="24"/>
    </w:rPr>
  </w:style>
  <w:style w:type="paragraph" w:styleId="Heading9">
    <w:name w:val="heading 9"/>
    <w:basedOn w:val="Normal"/>
    <w:next w:val="Normal"/>
    <w:link w:val="Heading9Char"/>
    <w:qFormat/>
    <w:rsid w:val="00C76F3F"/>
    <w:pPr>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C4642"/>
    <w:rPr>
      <w:rFonts w:ascii="Cambria" w:hAnsi="Cambria" w:cs="Times New Roman"/>
      <w:b/>
      <w:bCs/>
      <w:kern w:val="32"/>
      <w:sz w:val="32"/>
      <w:szCs w:val="32"/>
      <w:lang w:val="pl-PL" w:eastAsia="pl-PL"/>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7E1033"/>
    <w:rPr>
      <w:rFonts w:ascii="Arial" w:hAnsi="Arial" w:cs="Arial"/>
      <w:b/>
      <w:bCs/>
      <w:i/>
      <w:sz w:val="26"/>
      <w:szCs w:val="26"/>
      <w:lang w:val="bg-BG" w:eastAsia="bg-BG" w:bidi="ar-SA"/>
    </w:rPr>
  </w:style>
  <w:style w:type="character" w:customStyle="1" w:styleId="Heading4Char">
    <w:name w:val="Heading 4 Char"/>
    <w:link w:val="Heading4"/>
    <w:semiHidden/>
    <w:locked/>
    <w:rsid w:val="00DC4642"/>
    <w:rPr>
      <w:rFonts w:ascii="Calibri" w:hAnsi="Calibri" w:cs="Times New Roman"/>
      <w:b/>
      <w:bCs/>
      <w:sz w:val="28"/>
      <w:szCs w:val="28"/>
      <w:lang w:val="pl-PL" w:eastAsia="pl-PL"/>
    </w:rPr>
  </w:style>
  <w:style w:type="character" w:customStyle="1" w:styleId="Heading5Char">
    <w:name w:val="Heading 5 Char"/>
    <w:link w:val="Heading5"/>
    <w:semiHidden/>
    <w:locked/>
    <w:rsid w:val="00DC4642"/>
    <w:rPr>
      <w:rFonts w:ascii="Calibri" w:hAnsi="Calibri" w:cs="Times New Roman"/>
      <w:b/>
      <w:bCs/>
      <w:i/>
      <w:iCs/>
      <w:sz w:val="26"/>
      <w:szCs w:val="26"/>
      <w:lang w:val="pl-PL" w:eastAsia="pl-PL"/>
    </w:rPr>
  </w:style>
  <w:style w:type="character" w:customStyle="1" w:styleId="Heading6Char">
    <w:name w:val="Heading 6 Char"/>
    <w:link w:val="Heading6"/>
    <w:semiHidden/>
    <w:locked/>
    <w:rsid w:val="00DC4642"/>
    <w:rPr>
      <w:rFonts w:ascii="Calibri" w:hAnsi="Calibri" w:cs="Times New Roman"/>
      <w:b/>
      <w:bCs/>
      <w:lang w:val="pl-PL" w:eastAsia="pl-PL"/>
    </w:rPr>
  </w:style>
  <w:style w:type="character" w:customStyle="1" w:styleId="Heading7Char">
    <w:name w:val="Heading 7 Char"/>
    <w:link w:val="Heading7"/>
    <w:semiHidden/>
    <w:locked/>
    <w:rsid w:val="00DC4642"/>
    <w:rPr>
      <w:rFonts w:ascii="Calibri" w:hAnsi="Calibri" w:cs="Times New Roman"/>
      <w:sz w:val="24"/>
      <w:szCs w:val="24"/>
      <w:lang w:val="pl-PL" w:eastAsia="pl-PL"/>
    </w:rPr>
  </w:style>
  <w:style w:type="character" w:customStyle="1" w:styleId="Heading8Char">
    <w:name w:val="Heading 8 Char"/>
    <w:link w:val="Heading8"/>
    <w:semiHidden/>
    <w:locked/>
    <w:rsid w:val="00DC4642"/>
    <w:rPr>
      <w:rFonts w:ascii="Calibri" w:hAnsi="Calibri" w:cs="Times New Roman"/>
      <w:i/>
      <w:iCs/>
      <w:sz w:val="24"/>
      <w:szCs w:val="24"/>
      <w:lang w:val="pl-PL" w:eastAsia="pl-PL"/>
    </w:rPr>
  </w:style>
  <w:style w:type="character" w:customStyle="1" w:styleId="Heading9Char">
    <w:name w:val="Heading 9 Char"/>
    <w:link w:val="Heading9"/>
    <w:semiHidden/>
    <w:locked/>
    <w:rsid w:val="00DC4642"/>
    <w:rPr>
      <w:rFonts w:ascii="Cambria" w:hAnsi="Cambria" w:cs="Times New Roman"/>
      <w:lang w:val="pl-PL" w:eastAsia="pl-PL"/>
    </w:rPr>
  </w:style>
  <w:style w:type="paragraph" w:styleId="BalloonText">
    <w:name w:val="Balloon Text"/>
    <w:basedOn w:val="Normal"/>
    <w:link w:val="BalloonTextChar"/>
    <w:semiHidden/>
    <w:rsid w:val="007E1033"/>
    <w:rPr>
      <w:sz w:val="2"/>
    </w:rPr>
  </w:style>
  <w:style w:type="character" w:customStyle="1" w:styleId="BalloonTextChar">
    <w:name w:val="Balloon Text Char"/>
    <w:link w:val="BalloonText"/>
    <w:semiHidden/>
    <w:locked/>
    <w:rsid w:val="00DC4642"/>
    <w:rPr>
      <w:rFonts w:cs="Times New Roman"/>
      <w:sz w:val="2"/>
      <w:lang w:val="pl-PL" w:eastAsia="pl-PL"/>
    </w:rPr>
  </w:style>
  <w:style w:type="paragraph" w:styleId="BodyText">
    <w:name w:val="Body Text"/>
    <w:basedOn w:val="Normal"/>
    <w:link w:val="BodyTextChar"/>
    <w:rsid w:val="00C76F3F"/>
    <w:pPr>
      <w:spacing w:before="130" w:after="130"/>
    </w:pPr>
  </w:style>
  <w:style w:type="character" w:customStyle="1" w:styleId="BodyTextChar">
    <w:name w:val="Body Text Char"/>
    <w:link w:val="BodyText"/>
    <w:semiHidden/>
    <w:locked/>
    <w:rsid w:val="00DC4642"/>
    <w:rPr>
      <w:rFonts w:cs="Times New Roman"/>
      <w:sz w:val="20"/>
      <w:szCs w:val="20"/>
      <w:lang w:val="pl-PL" w:eastAsia="pl-PL"/>
    </w:rPr>
  </w:style>
  <w:style w:type="paragraph" w:styleId="ListBullet">
    <w:name w:val="List Bullet"/>
    <w:basedOn w:val="BodyText"/>
    <w:rsid w:val="00C76F3F"/>
    <w:pPr>
      <w:numPr>
        <w:numId w:val="2"/>
      </w:numPr>
    </w:pPr>
  </w:style>
  <w:style w:type="paragraph" w:styleId="ListBullet2">
    <w:name w:val="List Bullet 2"/>
    <w:basedOn w:val="ListBullet"/>
    <w:rsid w:val="00C76F3F"/>
    <w:pPr>
      <w:numPr>
        <w:numId w:val="3"/>
      </w:numPr>
      <w:tabs>
        <w:tab w:val="num" w:pos="643"/>
      </w:tabs>
      <w:ind w:hanging="360"/>
    </w:pPr>
  </w:style>
  <w:style w:type="character" w:styleId="PageNumber">
    <w:name w:val="page number"/>
    <w:rsid w:val="00C76F3F"/>
    <w:rPr>
      <w:rFonts w:cs="Times New Roman"/>
      <w:sz w:val="22"/>
    </w:rPr>
  </w:style>
  <w:style w:type="paragraph" w:styleId="Signature">
    <w:name w:val="Signature"/>
    <w:basedOn w:val="Normal"/>
    <w:link w:val="SignatureChar"/>
    <w:rsid w:val="00C76F3F"/>
  </w:style>
  <w:style w:type="character" w:customStyle="1" w:styleId="SignatureChar">
    <w:name w:val="Signature Char"/>
    <w:link w:val="Signature"/>
    <w:semiHidden/>
    <w:locked/>
    <w:rsid w:val="00DC4642"/>
    <w:rPr>
      <w:rFonts w:cs="Times New Roman"/>
      <w:sz w:val="20"/>
      <w:szCs w:val="20"/>
      <w:lang w:val="pl-PL" w:eastAsia="pl-PL"/>
    </w:rPr>
  </w:style>
  <w:style w:type="paragraph" w:styleId="Header">
    <w:name w:val="header"/>
    <w:basedOn w:val="Normal"/>
    <w:link w:val="HeaderChar"/>
    <w:rsid w:val="00C76F3F"/>
    <w:pPr>
      <w:tabs>
        <w:tab w:val="center" w:pos="4253"/>
        <w:tab w:val="right" w:pos="8505"/>
      </w:tabs>
      <w:jc w:val="right"/>
    </w:pPr>
  </w:style>
  <w:style w:type="character" w:customStyle="1" w:styleId="HeaderChar">
    <w:name w:val="Header Char"/>
    <w:link w:val="Header"/>
    <w:semiHidden/>
    <w:locked/>
    <w:rsid w:val="00DC4642"/>
    <w:rPr>
      <w:rFonts w:cs="Times New Roman"/>
      <w:sz w:val="20"/>
      <w:szCs w:val="20"/>
      <w:lang w:val="pl-PL" w:eastAsia="pl-PL"/>
    </w:rPr>
  </w:style>
  <w:style w:type="paragraph" w:styleId="Footer">
    <w:name w:val="footer"/>
    <w:basedOn w:val="Normal"/>
    <w:link w:val="FooterChar"/>
    <w:rsid w:val="00C76F3F"/>
    <w:pPr>
      <w:tabs>
        <w:tab w:val="center" w:pos="4320"/>
        <w:tab w:val="right" w:pos="8640"/>
      </w:tabs>
    </w:pPr>
  </w:style>
  <w:style w:type="character" w:customStyle="1" w:styleId="FooterChar">
    <w:name w:val="Footer Char"/>
    <w:link w:val="Footer"/>
    <w:semiHidden/>
    <w:locked/>
    <w:rsid w:val="00DC4642"/>
    <w:rPr>
      <w:rFonts w:cs="Times New Roman"/>
      <w:sz w:val="20"/>
      <w:szCs w:val="20"/>
      <w:lang w:val="pl-PL" w:eastAsia="pl-PL"/>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bCs w:val="0"/>
      <w:i w:val="0"/>
      <w:sz w:val="20"/>
      <w:szCs w:val="18"/>
      <w:lang w:val="en-GB" w:eastAsia="fr-FR"/>
    </w:rPr>
  </w:style>
  <w:style w:type="paragraph" w:customStyle="1" w:styleId="BodyText21">
    <w:name w:val="Body Text 21"/>
    <w:basedOn w:val="Normal"/>
    <w:rsid w:val="007E1033"/>
    <w:pPr>
      <w:jc w:val="both"/>
    </w:pPr>
    <w:rPr>
      <w:sz w:val="24"/>
    </w:rPr>
  </w:style>
  <w:style w:type="character" w:styleId="Hyperlink">
    <w:name w:val="Hyperlink"/>
    <w:rsid w:val="007E1033"/>
    <w:rPr>
      <w:rFonts w:cs="Times New Roman"/>
      <w:color w:val="0000FF"/>
      <w:u w:val="single"/>
    </w:rPr>
  </w:style>
  <w:style w:type="paragraph" w:styleId="TOC1">
    <w:name w:val="toc 1"/>
    <w:basedOn w:val="Normal"/>
    <w:next w:val="Normal"/>
    <w:autoRedefine/>
    <w:semiHidden/>
    <w:rsid w:val="007E1033"/>
    <w:pPr>
      <w:spacing w:before="120" w:after="120"/>
    </w:pPr>
    <w:rPr>
      <w:b/>
      <w:sz w:val="24"/>
    </w:rPr>
  </w:style>
  <w:style w:type="paragraph" w:styleId="TOC2">
    <w:name w:val="toc 2"/>
    <w:basedOn w:val="Normal"/>
    <w:next w:val="Normal"/>
    <w:autoRedefine/>
    <w:semiHidden/>
    <w:rsid w:val="007E1033"/>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semiHidden/>
    <w:rsid w:val="007E1033"/>
    <w:pPr>
      <w:widowControl w:val="0"/>
      <w:tabs>
        <w:tab w:val="right" w:leader="dot" w:pos="9631"/>
      </w:tabs>
      <w:ind w:left="1701" w:hanging="567"/>
    </w:pPr>
    <w:rPr>
      <w:noProof/>
      <w:sz w:val="24"/>
    </w:rPr>
  </w:style>
  <w:style w:type="paragraph" w:styleId="TOC4">
    <w:name w:val="toc 4"/>
    <w:basedOn w:val="Normal"/>
    <w:next w:val="Normal"/>
    <w:autoRedefine/>
    <w:semiHidden/>
    <w:rsid w:val="007E1033"/>
    <w:pPr>
      <w:widowControl w:val="0"/>
      <w:tabs>
        <w:tab w:val="right" w:leader="dot" w:pos="9631"/>
      </w:tabs>
      <w:ind w:left="720" w:firstLine="698"/>
    </w:pPr>
    <w:rPr>
      <w:noProof/>
      <w:sz w:val="24"/>
    </w:rPr>
  </w:style>
  <w:style w:type="paragraph" w:styleId="TOC5">
    <w:name w:val="toc 5"/>
    <w:basedOn w:val="Normal"/>
    <w:next w:val="Normal"/>
    <w:autoRedefine/>
    <w:semiHidden/>
    <w:rsid w:val="007E1033"/>
    <w:pPr>
      <w:widowControl w:val="0"/>
      <w:tabs>
        <w:tab w:val="right" w:leader="dot" w:pos="9631"/>
      </w:tabs>
      <w:ind w:left="960" w:firstLine="1167"/>
    </w:pPr>
    <w:rPr>
      <w:noProof/>
      <w:sz w:val="24"/>
    </w:rPr>
  </w:style>
  <w:style w:type="paragraph" w:styleId="BodyText3">
    <w:name w:val="Body Text 3"/>
    <w:basedOn w:val="Normal"/>
    <w:link w:val="BodyText3Char"/>
    <w:rsid w:val="007E1033"/>
    <w:pPr>
      <w:jc w:val="both"/>
    </w:pPr>
    <w:rPr>
      <w:sz w:val="16"/>
      <w:szCs w:val="16"/>
    </w:rPr>
  </w:style>
  <w:style w:type="character" w:customStyle="1" w:styleId="BodyText3Char">
    <w:name w:val="Body Text 3 Char"/>
    <w:link w:val="BodyText3"/>
    <w:semiHidden/>
    <w:locked/>
    <w:rsid w:val="00DC4642"/>
    <w:rPr>
      <w:rFonts w:cs="Times New Roman"/>
      <w:sz w:val="16"/>
      <w:szCs w:val="16"/>
      <w:lang w:val="pl-PL" w:eastAsia="pl-PL"/>
    </w:rPr>
  </w:style>
  <w:style w:type="paragraph" w:customStyle="1" w:styleId="Styl1">
    <w:name w:val="Styl1"/>
    <w:basedOn w:val="NormalIndent"/>
    <w:rsid w:val="007E1033"/>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7E1033"/>
    <w:pPr>
      <w:widowControl w:val="0"/>
      <w:numPr>
        <w:numId w:val="4"/>
      </w:numPr>
      <w:tabs>
        <w:tab w:val="clear" w:pos="360"/>
      </w:tabs>
      <w:ind w:left="708" w:firstLine="0"/>
    </w:pPr>
    <w:rPr>
      <w:sz w:val="24"/>
    </w:rPr>
  </w:style>
  <w:style w:type="paragraph" w:styleId="BodyText2">
    <w:name w:val="Body Text 2"/>
    <w:basedOn w:val="Normal"/>
    <w:link w:val="BodyText2Char"/>
    <w:rsid w:val="007E1033"/>
    <w:pPr>
      <w:widowControl w:val="0"/>
    </w:pPr>
  </w:style>
  <w:style w:type="character" w:customStyle="1" w:styleId="BodyText2Char">
    <w:name w:val="Body Text 2 Char"/>
    <w:link w:val="BodyText2"/>
    <w:semiHidden/>
    <w:locked/>
    <w:rsid w:val="00DC4642"/>
    <w:rPr>
      <w:rFonts w:cs="Times New Roman"/>
      <w:sz w:val="20"/>
      <w:szCs w:val="20"/>
      <w:lang w:val="pl-PL" w:eastAsia="pl-PL"/>
    </w:rPr>
  </w:style>
  <w:style w:type="paragraph" w:customStyle="1" w:styleId="NumPar1">
    <w:name w:val="NumPar 1"/>
    <w:basedOn w:val="Normal"/>
    <w:next w:val="Normal"/>
    <w:link w:val="NumPar1Tegn"/>
    <w:rsid w:val="007E1033"/>
    <w:pPr>
      <w:tabs>
        <w:tab w:val="num" w:pos="360"/>
      </w:tabs>
      <w:spacing w:before="120" w:after="120"/>
      <w:ind w:left="360" w:hanging="360"/>
      <w:jc w:val="both"/>
    </w:pPr>
    <w:rPr>
      <w:snapToGrid w:val="0"/>
      <w:sz w:val="24"/>
      <w:lang w:val="en-GB"/>
    </w:rPr>
  </w:style>
  <w:style w:type="paragraph" w:customStyle="1" w:styleId="a">
    <w:name w:val="ŚŚ"/>
    <w:basedOn w:val="Normal"/>
    <w:rsid w:val="007E1033"/>
    <w:pPr>
      <w:spacing w:line="360" w:lineRule="auto"/>
      <w:jc w:val="both"/>
    </w:pPr>
    <w:rPr>
      <w:sz w:val="24"/>
    </w:rPr>
  </w:style>
  <w:style w:type="paragraph" w:customStyle="1" w:styleId="BodyText23">
    <w:name w:val="Body Text 23"/>
    <w:rsid w:val="007E1033"/>
    <w:pPr>
      <w:widowControl w:val="0"/>
      <w:tabs>
        <w:tab w:val="left" w:pos="360"/>
      </w:tabs>
      <w:jc w:val="both"/>
    </w:pPr>
    <w:rPr>
      <w:sz w:val="24"/>
      <w:lang w:val="pl-PL" w:eastAsia="pl-PL"/>
    </w:rPr>
  </w:style>
  <w:style w:type="paragraph" w:styleId="BodyTextIndent">
    <w:name w:val="Body Text Indent"/>
    <w:basedOn w:val="BodyText"/>
    <w:link w:val="BodyTextIndentChar"/>
    <w:rsid w:val="007E1033"/>
    <w:pPr>
      <w:spacing w:before="0" w:after="160"/>
      <w:ind w:left="360"/>
    </w:pPr>
  </w:style>
  <w:style w:type="character" w:customStyle="1" w:styleId="BodyTextIndentChar">
    <w:name w:val="Body Text Indent Char"/>
    <w:link w:val="BodyTextIndent"/>
    <w:semiHidden/>
    <w:locked/>
    <w:rsid w:val="00DC4642"/>
    <w:rPr>
      <w:rFonts w:cs="Times New Roman"/>
      <w:sz w:val="20"/>
      <w:szCs w:val="20"/>
      <w:lang w:val="pl-PL" w:eastAsia="pl-PL"/>
    </w:rPr>
  </w:style>
  <w:style w:type="paragraph" w:styleId="BodyTextIndent3">
    <w:name w:val="Body Text Indent 3"/>
    <w:basedOn w:val="Normal"/>
    <w:link w:val="BodyTextIndent3Char"/>
    <w:rsid w:val="007E1033"/>
    <w:pPr>
      <w:widowControl w:val="0"/>
      <w:shd w:val="clear" w:color="auto" w:fill="FFFFFF"/>
      <w:spacing w:line="274" w:lineRule="exact"/>
      <w:ind w:left="67"/>
      <w:jc w:val="both"/>
    </w:pPr>
    <w:rPr>
      <w:sz w:val="16"/>
      <w:szCs w:val="16"/>
    </w:rPr>
  </w:style>
  <w:style w:type="character" w:customStyle="1" w:styleId="BodyTextIndent3Char">
    <w:name w:val="Body Text Indent 3 Char"/>
    <w:link w:val="BodyTextIndent3"/>
    <w:semiHidden/>
    <w:locked/>
    <w:rsid w:val="00DC4642"/>
    <w:rPr>
      <w:rFonts w:cs="Times New Roman"/>
      <w:sz w:val="16"/>
      <w:szCs w:val="16"/>
      <w:lang w:val="pl-PL" w:eastAsia="pl-PL"/>
    </w:rPr>
  </w:style>
  <w:style w:type="paragraph" w:styleId="BodyTextIndent2">
    <w:name w:val="Body Text Indent 2"/>
    <w:basedOn w:val="Normal"/>
    <w:link w:val="BodyTextIndent2Char"/>
    <w:rsid w:val="007E1033"/>
    <w:pPr>
      <w:ind w:left="567"/>
      <w:outlineLvl w:val="0"/>
    </w:pPr>
  </w:style>
  <w:style w:type="character" w:customStyle="1" w:styleId="BodyTextIndent2Char">
    <w:name w:val="Body Text Indent 2 Char"/>
    <w:link w:val="BodyTextIndent2"/>
    <w:semiHidden/>
    <w:locked/>
    <w:rsid w:val="00DC4642"/>
    <w:rPr>
      <w:rFonts w:cs="Times New Roman"/>
      <w:sz w:val="20"/>
      <w:szCs w:val="20"/>
      <w:lang w:val="pl-PL" w:eastAsia="pl-PL"/>
    </w:rPr>
  </w:style>
  <w:style w:type="paragraph" w:styleId="BlockText">
    <w:name w:val="Block Text"/>
    <w:basedOn w:val="Normal"/>
    <w:rsid w:val="007E1033"/>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semiHidden/>
    <w:rsid w:val="007E1033"/>
    <w:pPr>
      <w:ind w:left="1440"/>
    </w:pPr>
    <w:rPr>
      <w:sz w:val="18"/>
    </w:rPr>
  </w:style>
  <w:style w:type="paragraph" w:styleId="TOC8">
    <w:name w:val="toc 8"/>
    <w:basedOn w:val="Normal"/>
    <w:next w:val="Normal"/>
    <w:autoRedefine/>
    <w:semiHidden/>
    <w:rsid w:val="007E1033"/>
    <w:pPr>
      <w:jc w:val="center"/>
    </w:pPr>
  </w:style>
  <w:style w:type="character" w:styleId="FollowedHyperlink">
    <w:name w:val="FollowedHyperlink"/>
    <w:rsid w:val="007E1033"/>
    <w:rPr>
      <w:rFonts w:cs="Times New Roman"/>
      <w:color w:val="800080"/>
      <w:u w:val="single"/>
    </w:rPr>
  </w:style>
  <w:style w:type="paragraph" w:customStyle="1" w:styleId="pkt">
    <w:name w:val="pkt"/>
    <w:basedOn w:val="Normal"/>
    <w:rsid w:val="007E1033"/>
    <w:pPr>
      <w:overflowPunct w:val="0"/>
      <w:adjustRightInd w:val="0"/>
      <w:spacing w:before="60" w:after="60"/>
      <w:ind w:left="851" w:hanging="295"/>
      <w:jc w:val="both"/>
    </w:pPr>
    <w:rPr>
      <w:sz w:val="24"/>
    </w:rPr>
  </w:style>
  <w:style w:type="paragraph" w:customStyle="1" w:styleId="ust">
    <w:name w:val="ust"/>
    <w:rsid w:val="007E1033"/>
    <w:pPr>
      <w:overflowPunct w:val="0"/>
      <w:adjustRightInd w:val="0"/>
      <w:spacing w:before="60" w:after="60"/>
      <w:ind w:left="426" w:hanging="284"/>
      <w:jc w:val="both"/>
    </w:pPr>
    <w:rPr>
      <w:sz w:val="24"/>
      <w:lang w:val="pl-PL" w:eastAsia="pl-PL"/>
    </w:rPr>
  </w:style>
  <w:style w:type="paragraph" w:styleId="NormalWeb">
    <w:name w:val="Normal (Web)"/>
    <w:basedOn w:val="Normal"/>
    <w:rsid w:val="007E1033"/>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7E1033"/>
    <w:pPr>
      <w:spacing w:line="360" w:lineRule="auto"/>
      <w:ind w:firstLine="708"/>
      <w:jc w:val="center"/>
    </w:pPr>
    <w:rPr>
      <w:rFonts w:ascii="Cambria" w:hAnsi="Cambria"/>
      <w:b/>
      <w:bCs/>
      <w:kern w:val="28"/>
      <w:sz w:val="32"/>
      <w:szCs w:val="32"/>
    </w:rPr>
  </w:style>
  <w:style w:type="character" w:customStyle="1" w:styleId="TitleChar">
    <w:name w:val="Title Char"/>
    <w:link w:val="Title"/>
    <w:locked/>
    <w:rsid w:val="00DC4642"/>
    <w:rPr>
      <w:rFonts w:ascii="Cambria" w:hAnsi="Cambria" w:cs="Times New Roman"/>
      <w:b/>
      <w:bCs/>
      <w:kern w:val="28"/>
      <w:sz w:val="32"/>
      <w:szCs w:val="32"/>
      <w:lang w:val="pl-PL" w:eastAsia="pl-PL"/>
    </w:rPr>
  </w:style>
  <w:style w:type="character" w:customStyle="1" w:styleId="tw4winTerm">
    <w:name w:val="tw4winTerm"/>
    <w:rsid w:val="007E1033"/>
    <w:rPr>
      <w:color w:val="0000FF"/>
    </w:rPr>
  </w:style>
  <w:style w:type="paragraph" w:styleId="TOC9">
    <w:name w:val="toc 9"/>
    <w:basedOn w:val="Normal"/>
    <w:next w:val="Normal"/>
    <w:autoRedefine/>
    <w:semiHidden/>
    <w:rsid w:val="007E1033"/>
    <w:pPr>
      <w:ind w:left="1920"/>
    </w:pPr>
    <w:rPr>
      <w:sz w:val="24"/>
      <w:szCs w:val="24"/>
    </w:rPr>
  </w:style>
  <w:style w:type="paragraph" w:styleId="TOC6">
    <w:name w:val="toc 6"/>
    <w:basedOn w:val="Normal"/>
    <w:next w:val="Normal"/>
    <w:autoRedefine/>
    <w:semiHidden/>
    <w:rsid w:val="007E1033"/>
    <w:pPr>
      <w:ind w:left="1200"/>
    </w:pPr>
    <w:rPr>
      <w:sz w:val="24"/>
      <w:szCs w:val="24"/>
    </w:rPr>
  </w:style>
  <w:style w:type="paragraph" w:customStyle="1" w:styleId="EntEmet">
    <w:name w:val="EntEmet"/>
    <w:basedOn w:val="Normal"/>
    <w:rsid w:val="007E1033"/>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7E1033"/>
    <w:pPr>
      <w:widowControl w:val="0"/>
    </w:pPr>
    <w:rPr>
      <w:b/>
      <w:sz w:val="24"/>
      <w:lang w:val="en-GB" w:eastAsia="fr-BE"/>
    </w:rPr>
  </w:style>
  <w:style w:type="character" w:customStyle="1" w:styleId="Marker">
    <w:name w:val="Marker"/>
    <w:rsid w:val="007E1033"/>
    <w:rPr>
      <w:rFonts w:cs="Times New Roman"/>
      <w:color w:val="0000FF"/>
    </w:rPr>
  </w:style>
  <w:style w:type="paragraph" w:customStyle="1" w:styleId="Datedadoption">
    <w:name w:val="Date d'adoption"/>
    <w:basedOn w:val="Normal"/>
    <w:next w:val="Normal"/>
    <w:rsid w:val="007E1033"/>
    <w:pPr>
      <w:spacing w:before="360"/>
      <w:jc w:val="center"/>
    </w:pPr>
    <w:rPr>
      <w:b/>
      <w:sz w:val="24"/>
      <w:lang w:val="en-GB" w:eastAsia="zh-CN"/>
    </w:rPr>
  </w:style>
  <w:style w:type="paragraph" w:customStyle="1" w:styleId="Statut">
    <w:name w:val="Statut"/>
    <w:basedOn w:val="Normal"/>
    <w:next w:val="Typedudocument"/>
    <w:rsid w:val="007E1033"/>
    <w:pPr>
      <w:spacing w:before="360"/>
      <w:jc w:val="center"/>
    </w:pPr>
    <w:rPr>
      <w:sz w:val="24"/>
      <w:lang w:val="en-GB" w:eastAsia="zh-CN"/>
    </w:rPr>
  </w:style>
  <w:style w:type="paragraph" w:customStyle="1" w:styleId="Typedudocument">
    <w:name w:val="Type du document"/>
    <w:basedOn w:val="Normal"/>
    <w:next w:val="Datedadoption"/>
    <w:rsid w:val="007E1033"/>
    <w:pPr>
      <w:spacing w:before="360"/>
      <w:jc w:val="center"/>
    </w:pPr>
    <w:rPr>
      <w:b/>
      <w:sz w:val="24"/>
      <w:lang w:val="en-GB" w:eastAsia="zh-CN"/>
    </w:rPr>
  </w:style>
  <w:style w:type="paragraph" w:customStyle="1" w:styleId="CharCharChar">
    <w:name w:val="Char Char Char"/>
    <w:basedOn w:val="Normal"/>
    <w:rsid w:val="007E1033"/>
    <w:pPr>
      <w:tabs>
        <w:tab w:val="left" w:pos="709"/>
      </w:tabs>
    </w:pPr>
    <w:rPr>
      <w:rFonts w:ascii="Tahoma" w:hAnsi="Tahoma"/>
      <w:sz w:val="24"/>
      <w:szCs w:val="24"/>
    </w:rPr>
  </w:style>
  <w:style w:type="paragraph" w:styleId="FootnoteText">
    <w:name w:val="footnote text"/>
    <w:aliases w:val="single space,Podrozdział"/>
    <w:basedOn w:val="Normal"/>
    <w:link w:val="FootnoteTextChar1"/>
    <w:rsid w:val="007E1033"/>
  </w:style>
  <w:style w:type="character" w:customStyle="1" w:styleId="FootnoteTextChar">
    <w:name w:val="Footnote Text Char"/>
    <w:aliases w:val="single space Char,Podrozdział Char,Podrozdział Char Char"/>
    <w:locked/>
    <w:rsid w:val="002D666B"/>
    <w:rPr>
      <w:rFonts w:cs="Times New Roman"/>
      <w:sz w:val="20"/>
      <w:szCs w:val="20"/>
      <w:lang w:val="pl-PL" w:eastAsia="pl-PL"/>
    </w:rPr>
  </w:style>
  <w:style w:type="character" w:customStyle="1" w:styleId="FootnoteTextChar1">
    <w:name w:val="Footnote Text Char1"/>
    <w:aliases w:val="single space Char1,Podrozdział Char1"/>
    <w:link w:val="FootnoteText"/>
    <w:semiHidden/>
    <w:locked/>
    <w:rsid w:val="00DC4642"/>
    <w:rPr>
      <w:rFonts w:cs="Times New Roman"/>
      <w:sz w:val="20"/>
      <w:szCs w:val="20"/>
      <w:lang w:val="pl-PL" w:eastAsia="pl-PL"/>
    </w:rPr>
  </w:style>
  <w:style w:type="paragraph" w:customStyle="1" w:styleId="Tiret1">
    <w:name w:val="Tiret 1"/>
    <w:basedOn w:val="Normal"/>
    <w:rsid w:val="007E1033"/>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7E1033"/>
    <w:pPr>
      <w:tabs>
        <w:tab w:val="left" w:pos="709"/>
      </w:tabs>
      <w:spacing w:line="360" w:lineRule="auto"/>
    </w:pPr>
    <w:rPr>
      <w:rFonts w:ascii="Tahoma" w:hAnsi="Tahoma"/>
      <w:sz w:val="24"/>
      <w:szCs w:val="24"/>
    </w:rPr>
  </w:style>
  <w:style w:type="paragraph" w:customStyle="1" w:styleId="TextinCSF">
    <w:name w:val="Text in CSF"/>
    <w:basedOn w:val="Normal"/>
    <w:rsid w:val="007E1033"/>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7E1033"/>
    <w:pPr>
      <w:spacing w:before="100" w:beforeAutospacing="1" w:after="100" w:afterAutospacing="1"/>
    </w:pPr>
    <w:rPr>
      <w:rFonts w:ascii="Verdana" w:hAnsi="Verdana"/>
      <w:color w:val="000000"/>
      <w:sz w:val="17"/>
      <w:szCs w:val="17"/>
      <w:lang w:val="bg-BG" w:eastAsia="bg-BG"/>
    </w:rPr>
  </w:style>
  <w:style w:type="table" w:styleId="TableGrid">
    <w:name w:val="Table Grid"/>
    <w:basedOn w:val="TableNormal"/>
    <w:rsid w:val="007E1033"/>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7E1033"/>
    <w:pPr>
      <w:autoSpaceDE w:val="0"/>
      <w:autoSpaceDN w:val="0"/>
      <w:adjustRightInd w:val="0"/>
    </w:pPr>
    <w:rPr>
      <w:lang w:val="en-US" w:eastAsia="fr-FR"/>
    </w:rPr>
  </w:style>
  <w:style w:type="character" w:customStyle="1" w:styleId="CharChar">
    <w:name w:val="Char Char"/>
    <w:rsid w:val="007E1033"/>
    <w:rPr>
      <w:rFonts w:cs="Times New Roman"/>
      <w:b/>
      <w:color w:val="FF0000"/>
      <w:sz w:val="24"/>
      <w:szCs w:val="24"/>
      <w:lang w:val="en-US" w:eastAsia="bg-BG" w:bidi="ar-SA"/>
    </w:rPr>
  </w:style>
  <w:style w:type="paragraph" w:styleId="Caption">
    <w:name w:val="caption"/>
    <w:basedOn w:val="Normal"/>
    <w:next w:val="Normal"/>
    <w:qFormat/>
    <w:rsid w:val="007E1033"/>
    <w:rPr>
      <w:b/>
      <w:bCs/>
      <w:lang w:val="bg-BG" w:eastAsia="bg-BG"/>
    </w:rPr>
  </w:style>
  <w:style w:type="paragraph" w:customStyle="1" w:styleId="Style">
    <w:name w:val="Style"/>
    <w:rsid w:val="007E1033"/>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7E1033"/>
    <w:pPr>
      <w:spacing w:before="100" w:after="100"/>
      <w:ind w:left="200"/>
      <w:jc w:val="center"/>
    </w:pPr>
    <w:rPr>
      <w:b/>
      <w:bCs/>
      <w:color w:val="000000"/>
      <w:sz w:val="28"/>
      <w:szCs w:val="28"/>
      <w:lang w:val="bg-BG" w:eastAsia="bg-BG"/>
    </w:rPr>
  </w:style>
  <w:style w:type="paragraph" w:customStyle="1" w:styleId="firstline">
    <w:name w:val="firstline"/>
    <w:basedOn w:val="Normal"/>
    <w:rsid w:val="007E1033"/>
    <w:pPr>
      <w:spacing w:line="240" w:lineRule="atLeast"/>
      <w:ind w:firstLine="640"/>
      <w:jc w:val="both"/>
    </w:pPr>
    <w:rPr>
      <w:color w:val="000000"/>
      <w:sz w:val="24"/>
      <w:szCs w:val="24"/>
      <w:lang w:val="bg-BG" w:eastAsia="bg-BG"/>
    </w:rPr>
  </w:style>
  <w:style w:type="paragraph" w:customStyle="1" w:styleId="text11">
    <w:name w:val="text11"/>
    <w:basedOn w:val="Normal"/>
    <w:rsid w:val="007E1033"/>
    <w:pPr>
      <w:spacing w:after="100" w:afterAutospacing="1"/>
    </w:pPr>
    <w:rPr>
      <w:rFonts w:ascii="Verdana" w:hAnsi="Verdana"/>
      <w:color w:val="333333"/>
      <w:sz w:val="17"/>
      <w:szCs w:val="17"/>
      <w:lang w:val="bg-BG" w:eastAsia="bg-BG"/>
    </w:rPr>
  </w:style>
  <w:style w:type="paragraph" w:customStyle="1" w:styleId="Text1">
    <w:name w:val="Text 1"/>
    <w:basedOn w:val="Normal"/>
    <w:rsid w:val="007E1033"/>
    <w:pPr>
      <w:spacing w:after="240"/>
      <w:ind w:left="482"/>
      <w:jc w:val="both"/>
    </w:pPr>
    <w:rPr>
      <w:sz w:val="24"/>
      <w:lang w:val="en-GB" w:eastAsia="en-US"/>
    </w:rPr>
  </w:style>
  <w:style w:type="paragraph" w:customStyle="1" w:styleId="Text2">
    <w:name w:val="Text 2"/>
    <w:basedOn w:val="Normal"/>
    <w:rsid w:val="007E1033"/>
    <w:pPr>
      <w:tabs>
        <w:tab w:val="left" w:pos="2302"/>
      </w:tabs>
      <w:spacing w:after="240"/>
      <w:ind w:left="1202"/>
      <w:jc w:val="both"/>
    </w:pPr>
    <w:rPr>
      <w:sz w:val="24"/>
      <w:lang w:val="en-GB" w:eastAsia="en-US"/>
    </w:rPr>
  </w:style>
  <w:style w:type="paragraph" w:customStyle="1" w:styleId="Text3">
    <w:name w:val="Text 3"/>
    <w:basedOn w:val="Normal"/>
    <w:rsid w:val="007E1033"/>
    <w:pPr>
      <w:tabs>
        <w:tab w:val="left" w:pos="2302"/>
      </w:tabs>
      <w:spacing w:after="240"/>
      <w:ind w:left="1202"/>
      <w:jc w:val="both"/>
    </w:pPr>
    <w:rPr>
      <w:sz w:val="24"/>
      <w:lang w:val="en-GB" w:eastAsia="en-US"/>
    </w:rPr>
  </w:style>
  <w:style w:type="paragraph" w:customStyle="1" w:styleId="ListNumberLevel2">
    <w:name w:val="List Number (Level 2)"/>
    <w:basedOn w:val="Normal"/>
    <w:rsid w:val="007E1033"/>
    <w:pPr>
      <w:spacing w:after="240"/>
      <w:jc w:val="both"/>
    </w:pPr>
    <w:rPr>
      <w:sz w:val="24"/>
      <w:lang w:val="en-GB" w:eastAsia="en-US"/>
    </w:rPr>
  </w:style>
  <w:style w:type="character" w:styleId="FootnoteReference">
    <w:name w:val="footnote reference"/>
    <w:rsid w:val="007E1033"/>
    <w:rPr>
      <w:rFonts w:cs="Times New Roman"/>
      <w:vertAlign w:val="superscript"/>
    </w:rPr>
  </w:style>
  <w:style w:type="paragraph" w:customStyle="1" w:styleId="Normal-bullet1">
    <w:name w:val="Normal-bullet1"/>
    <w:basedOn w:val="Normal"/>
    <w:rsid w:val="007E1033"/>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7E1033"/>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7E1033"/>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7E1033"/>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7E1033"/>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7E1033"/>
    <w:pPr>
      <w:keepNext/>
      <w:spacing w:before="360" w:after="120"/>
      <w:jc w:val="center"/>
    </w:pPr>
    <w:rPr>
      <w:i/>
      <w:sz w:val="24"/>
      <w:lang w:val="en-GB" w:eastAsia="zh-CN"/>
    </w:rPr>
  </w:style>
  <w:style w:type="paragraph" w:customStyle="1" w:styleId="TableText">
    <w:name w:val="Table Text"/>
    <w:basedOn w:val="Normal"/>
    <w:rsid w:val="007E1033"/>
    <w:pPr>
      <w:spacing w:line="280" w:lineRule="atLeast"/>
    </w:pPr>
    <w:rPr>
      <w:rFonts w:ascii="Arial" w:hAnsi="Arial"/>
      <w:sz w:val="16"/>
      <w:szCs w:val="24"/>
      <w:lang w:val="en-GB" w:eastAsia="en-US"/>
    </w:rPr>
  </w:style>
  <w:style w:type="character" w:styleId="CommentReference">
    <w:name w:val="annotation reference"/>
    <w:semiHidden/>
    <w:rsid w:val="007E1033"/>
    <w:rPr>
      <w:rFonts w:cs="Times New Roman"/>
      <w:sz w:val="16"/>
      <w:szCs w:val="16"/>
    </w:rPr>
  </w:style>
  <w:style w:type="paragraph" w:styleId="CommentText">
    <w:name w:val="annotation text"/>
    <w:basedOn w:val="Normal"/>
    <w:link w:val="CommentTextChar"/>
    <w:semiHidden/>
    <w:rsid w:val="007E1033"/>
  </w:style>
  <w:style w:type="character" w:customStyle="1" w:styleId="CommentTextChar">
    <w:name w:val="Comment Text Char"/>
    <w:link w:val="CommentText"/>
    <w:semiHidden/>
    <w:locked/>
    <w:rsid w:val="00DC4642"/>
    <w:rPr>
      <w:rFonts w:cs="Times New Roman"/>
      <w:sz w:val="20"/>
      <w:szCs w:val="20"/>
      <w:lang w:val="pl-PL" w:eastAsia="pl-PL"/>
    </w:rPr>
  </w:style>
  <w:style w:type="paragraph" w:styleId="CommentSubject">
    <w:name w:val="annotation subject"/>
    <w:basedOn w:val="CommentText"/>
    <w:next w:val="CommentText"/>
    <w:link w:val="CommentSubjectChar"/>
    <w:semiHidden/>
    <w:rsid w:val="007E1033"/>
    <w:rPr>
      <w:b/>
      <w:bCs/>
    </w:rPr>
  </w:style>
  <w:style w:type="character" w:customStyle="1" w:styleId="CommentSubjectChar">
    <w:name w:val="Comment Subject Char"/>
    <w:link w:val="CommentSubject"/>
    <w:semiHidden/>
    <w:locked/>
    <w:rsid w:val="00DC4642"/>
    <w:rPr>
      <w:rFonts w:cs="Times New Roman"/>
      <w:b/>
      <w:bCs/>
      <w:sz w:val="20"/>
      <w:szCs w:val="20"/>
      <w:lang w:val="pl-PL" w:eastAsia="pl-PL"/>
    </w:rPr>
  </w:style>
  <w:style w:type="paragraph" w:customStyle="1" w:styleId="Applicationdirecte">
    <w:name w:val="Application directe"/>
    <w:basedOn w:val="Normal"/>
    <w:next w:val="Normal"/>
    <w:rsid w:val="007E1033"/>
    <w:pPr>
      <w:spacing w:before="480" w:after="120"/>
      <w:jc w:val="both"/>
    </w:pPr>
    <w:rPr>
      <w:sz w:val="24"/>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7E1033"/>
    <w:rPr>
      <w:rFonts w:cs="Times New Roman"/>
      <w:i/>
      <w:sz w:val="22"/>
      <w:lang w:val="pl-PL" w:eastAsia="pl-PL" w:bidi="ar-SA"/>
    </w:rPr>
  </w:style>
  <w:style w:type="paragraph" w:styleId="ListNumber">
    <w:name w:val="List Number"/>
    <w:basedOn w:val="Normal"/>
    <w:rsid w:val="007E1033"/>
    <w:pPr>
      <w:spacing w:after="240"/>
      <w:jc w:val="both"/>
    </w:pPr>
    <w:rPr>
      <w:sz w:val="24"/>
      <w:lang w:val="en-GB" w:eastAsia="en-US"/>
    </w:rPr>
  </w:style>
  <w:style w:type="paragraph" w:customStyle="1" w:styleId="ZCom">
    <w:name w:val="Z_Com"/>
    <w:basedOn w:val="Normal"/>
    <w:next w:val="ZDGName"/>
    <w:rsid w:val="007E1033"/>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7E1033"/>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7E1033"/>
    <w:pPr>
      <w:tabs>
        <w:tab w:val="clear" w:pos="2302"/>
        <w:tab w:val="num" w:pos="1911"/>
      </w:tabs>
      <w:ind w:left="1911" w:hanging="709"/>
    </w:pPr>
  </w:style>
  <w:style w:type="paragraph" w:customStyle="1" w:styleId="Text4">
    <w:name w:val="Text 4"/>
    <w:basedOn w:val="Normal"/>
    <w:rsid w:val="007E1033"/>
    <w:pPr>
      <w:tabs>
        <w:tab w:val="left" w:pos="2302"/>
      </w:tabs>
      <w:spacing w:after="240"/>
      <w:ind w:left="1202"/>
      <w:jc w:val="both"/>
    </w:pPr>
    <w:rPr>
      <w:sz w:val="24"/>
      <w:lang w:val="en-GB" w:eastAsia="en-US"/>
    </w:rPr>
  </w:style>
  <w:style w:type="paragraph" w:styleId="ListNumber5">
    <w:name w:val="List Number 5"/>
    <w:basedOn w:val="Normal"/>
    <w:rsid w:val="007E1033"/>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7E1033"/>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sz w:val="24"/>
      <w:szCs w:val="24"/>
    </w:rPr>
  </w:style>
  <w:style w:type="character" w:customStyle="1" w:styleId="MessageHeaderChar">
    <w:name w:val="Message Header Char"/>
    <w:link w:val="MessageHeader"/>
    <w:semiHidden/>
    <w:locked/>
    <w:rsid w:val="00DC4642"/>
    <w:rPr>
      <w:rFonts w:ascii="Cambria" w:hAnsi="Cambria" w:cs="Times New Roman"/>
      <w:sz w:val="24"/>
      <w:szCs w:val="24"/>
      <w:shd w:val="pct20" w:color="auto" w:fill="auto"/>
      <w:lang w:val="pl-PL" w:eastAsia="pl-PL"/>
    </w:rPr>
  </w:style>
  <w:style w:type="paragraph" w:styleId="NoteHeading">
    <w:name w:val="Note Heading"/>
    <w:basedOn w:val="Normal"/>
    <w:next w:val="Normal"/>
    <w:link w:val="NoteHeadingChar"/>
    <w:rsid w:val="007E1033"/>
    <w:pPr>
      <w:spacing w:after="240"/>
      <w:jc w:val="both"/>
    </w:pPr>
  </w:style>
  <w:style w:type="character" w:customStyle="1" w:styleId="NoteHeadingChar">
    <w:name w:val="Note Heading Char"/>
    <w:link w:val="NoteHeading"/>
    <w:semiHidden/>
    <w:locked/>
    <w:rsid w:val="00DC4642"/>
    <w:rPr>
      <w:rFonts w:cs="Times New Roman"/>
      <w:sz w:val="20"/>
      <w:szCs w:val="20"/>
      <w:lang w:val="pl-PL" w:eastAsia="pl-PL"/>
    </w:rPr>
  </w:style>
  <w:style w:type="character" w:customStyle="1" w:styleId="NumPar1Tegn">
    <w:name w:val="NumPar 1 Tegn"/>
    <w:link w:val="NumPar1"/>
    <w:locked/>
    <w:rsid w:val="007E1033"/>
    <w:rPr>
      <w:rFonts w:cs="Times New Roman"/>
      <w:snapToGrid w:val="0"/>
      <w:sz w:val="24"/>
      <w:lang w:val="en-GB" w:eastAsia="pl-PL" w:bidi="ar-SA"/>
    </w:rPr>
  </w:style>
  <w:style w:type="paragraph" w:customStyle="1" w:styleId="PartTitle">
    <w:name w:val="PartTitle"/>
    <w:basedOn w:val="Normal"/>
    <w:next w:val="ChapterTitle"/>
    <w:rsid w:val="007E1033"/>
    <w:pPr>
      <w:keepNext/>
      <w:pageBreakBefore/>
      <w:spacing w:after="480"/>
      <w:jc w:val="center"/>
    </w:pPr>
    <w:rPr>
      <w:b/>
      <w:sz w:val="36"/>
      <w:lang w:val="en-GB" w:eastAsia="en-US"/>
    </w:rPr>
  </w:style>
  <w:style w:type="paragraph" w:customStyle="1" w:styleId="ChapterTitle">
    <w:name w:val="ChapterTitle"/>
    <w:basedOn w:val="Normal"/>
    <w:next w:val="SectionTitle"/>
    <w:rsid w:val="007E1033"/>
    <w:pPr>
      <w:keepNext/>
      <w:spacing w:after="480"/>
      <w:jc w:val="center"/>
    </w:pPr>
    <w:rPr>
      <w:b/>
      <w:sz w:val="32"/>
      <w:lang w:val="en-GB" w:eastAsia="en-US"/>
    </w:rPr>
  </w:style>
  <w:style w:type="paragraph" w:customStyle="1" w:styleId="SectionTitle">
    <w:name w:val="SectionTitle"/>
    <w:basedOn w:val="Normal"/>
    <w:next w:val="Heading1"/>
    <w:rsid w:val="007E1033"/>
    <w:pPr>
      <w:keepNext/>
      <w:spacing w:after="480"/>
      <w:jc w:val="center"/>
    </w:pPr>
    <w:rPr>
      <w:b/>
      <w:smallCaps/>
      <w:sz w:val="28"/>
      <w:lang w:val="en-GB" w:eastAsia="en-US"/>
    </w:rPr>
  </w:style>
  <w:style w:type="paragraph" w:customStyle="1" w:styleId="ListNumber4Level3">
    <w:name w:val="List Number 4 (Level 3)"/>
    <w:basedOn w:val="Text4"/>
    <w:rsid w:val="007E1033"/>
    <w:pPr>
      <w:tabs>
        <w:tab w:val="clear" w:pos="2302"/>
        <w:tab w:val="num" w:pos="3328"/>
      </w:tabs>
      <w:ind w:left="3328" w:hanging="709"/>
    </w:pPr>
  </w:style>
  <w:style w:type="paragraph" w:customStyle="1" w:styleId="ListNumber4Level4">
    <w:name w:val="List Number 4 (Level 4)"/>
    <w:basedOn w:val="Text4"/>
    <w:rsid w:val="007E1033"/>
    <w:pPr>
      <w:tabs>
        <w:tab w:val="clear" w:pos="2302"/>
        <w:tab w:val="num" w:pos="4037"/>
      </w:tabs>
      <w:ind w:left="4037" w:hanging="709"/>
    </w:pPr>
  </w:style>
  <w:style w:type="paragraph" w:styleId="TOCHeading">
    <w:name w:val="TOC Heading"/>
    <w:basedOn w:val="Normal"/>
    <w:next w:val="Normal"/>
    <w:qFormat/>
    <w:rsid w:val="007E1033"/>
    <w:pPr>
      <w:keepNext/>
      <w:spacing w:before="240" w:after="240"/>
      <w:jc w:val="center"/>
    </w:pPr>
    <w:rPr>
      <w:b/>
      <w:sz w:val="24"/>
      <w:lang w:val="en-GB" w:eastAsia="en-US"/>
    </w:rPr>
  </w:style>
  <w:style w:type="paragraph" w:customStyle="1" w:styleId="Contact">
    <w:name w:val="Contact"/>
    <w:basedOn w:val="Normal"/>
    <w:next w:val="Normal"/>
    <w:rsid w:val="007E1033"/>
    <w:pPr>
      <w:spacing w:after="480"/>
      <w:ind w:left="567" w:hanging="567"/>
    </w:pPr>
    <w:rPr>
      <w:sz w:val="24"/>
      <w:lang w:val="en-GB" w:eastAsia="en-US"/>
    </w:rPr>
  </w:style>
  <w:style w:type="paragraph" w:customStyle="1" w:styleId="Point1">
    <w:name w:val="Point 1"/>
    <w:basedOn w:val="Normal"/>
    <w:rsid w:val="007E1033"/>
    <w:pPr>
      <w:spacing w:before="120" w:after="120"/>
      <w:ind w:left="1418" w:hanging="567"/>
      <w:jc w:val="both"/>
    </w:pPr>
    <w:rPr>
      <w:sz w:val="24"/>
      <w:lang w:val="en-GB" w:eastAsia="fr-BE"/>
    </w:rPr>
  </w:style>
  <w:style w:type="paragraph" w:customStyle="1" w:styleId="Par-bullet">
    <w:name w:val="Par-bullet"/>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7E1033"/>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7E1033"/>
    <w:pPr>
      <w:widowControl w:val="0"/>
      <w:tabs>
        <w:tab w:val="clear" w:pos="4320"/>
        <w:tab w:val="clear" w:pos="8640"/>
        <w:tab w:val="center" w:pos="7371"/>
        <w:tab w:val="center" w:pos="11340"/>
        <w:tab w:val="right" w:pos="14572"/>
      </w:tabs>
    </w:pPr>
    <w:rPr>
      <w:sz w:val="24"/>
      <w:lang w:val="en-GB" w:eastAsia="fr-BE"/>
    </w:rPr>
  </w:style>
  <w:style w:type="paragraph" w:customStyle="1" w:styleId="Point3">
    <w:name w:val="Point 3"/>
    <w:basedOn w:val="Normal"/>
    <w:rsid w:val="007E1033"/>
    <w:pPr>
      <w:spacing w:before="120" w:after="120"/>
      <w:ind w:left="2552" w:hanging="567"/>
      <w:jc w:val="both"/>
    </w:pPr>
    <w:rPr>
      <w:sz w:val="24"/>
      <w:lang w:val="en-GB" w:eastAsia="fr-BE"/>
    </w:rPr>
  </w:style>
  <w:style w:type="paragraph" w:customStyle="1" w:styleId="Point4">
    <w:name w:val="Point 4"/>
    <w:basedOn w:val="Normal"/>
    <w:rsid w:val="007E1033"/>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7E1033"/>
    <w:pPr>
      <w:spacing w:before="360" w:after="360"/>
      <w:jc w:val="center"/>
    </w:pPr>
    <w:rPr>
      <w:b/>
      <w:sz w:val="24"/>
      <w:szCs w:val="24"/>
      <w:lang w:val="en-GB" w:eastAsia="zh-CN"/>
    </w:rPr>
  </w:style>
  <w:style w:type="character" w:customStyle="1" w:styleId="TitreobjetCharChar">
    <w:name w:val="Titre objet Char Char"/>
    <w:link w:val="TitreobjetChar"/>
    <w:locked/>
    <w:rsid w:val="007E1033"/>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7E1033"/>
    <w:pPr>
      <w:keepNext/>
      <w:spacing w:before="360" w:after="120"/>
      <w:jc w:val="center"/>
    </w:pPr>
    <w:rPr>
      <w:i/>
      <w:sz w:val="24"/>
      <w:szCs w:val="24"/>
      <w:lang w:val="en-GB" w:eastAsia="zh-CN"/>
    </w:rPr>
  </w:style>
  <w:style w:type="character" w:customStyle="1" w:styleId="TitrearticleCharChar">
    <w:name w:val="Titre article Char Char"/>
    <w:link w:val="TitrearticleChar"/>
    <w:locked/>
    <w:rsid w:val="007E1033"/>
    <w:rPr>
      <w:rFonts w:cs="Times New Roman"/>
      <w:i/>
      <w:sz w:val="24"/>
      <w:szCs w:val="24"/>
      <w:lang w:val="en-GB" w:eastAsia="zh-CN" w:bidi="ar-SA"/>
    </w:rPr>
  </w:style>
  <w:style w:type="paragraph" w:customStyle="1" w:styleId="Annexetitreacte">
    <w:name w:val="Annexe titre (acte)"/>
    <w:basedOn w:val="Normal"/>
    <w:next w:val="Normal"/>
    <w:rsid w:val="007E1033"/>
    <w:pPr>
      <w:spacing w:before="120" w:after="120"/>
      <w:jc w:val="center"/>
    </w:pPr>
    <w:rPr>
      <w:b/>
      <w:sz w:val="24"/>
      <w:u w:val="single"/>
      <w:lang w:val="en-GB" w:eastAsia="zh-CN"/>
    </w:rPr>
  </w:style>
  <w:style w:type="paragraph" w:styleId="ListBullet3">
    <w:name w:val="List Bullet 3"/>
    <w:basedOn w:val="Text3"/>
    <w:rsid w:val="007E1033"/>
    <w:pPr>
      <w:tabs>
        <w:tab w:val="clear" w:pos="2302"/>
        <w:tab w:val="num" w:pos="1485"/>
      </w:tabs>
      <w:ind w:left="1485" w:hanging="283"/>
    </w:pPr>
  </w:style>
  <w:style w:type="paragraph" w:styleId="DocumentMap">
    <w:name w:val="Document Map"/>
    <w:basedOn w:val="Normal"/>
    <w:link w:val="DocumentMapChar"/>
    <w:semiHidden/>
    <w:rsid w:val="007E1033"/>
    <w:pPr>
      <w:shd w:val="clear" w:color="auto" w:fill="000080"/>
    </w:pPr>
    <w:rPr>
      <w:sz w:val="2"/>
    </w:rPr>
  </w:style>
  <w:style w:type="character" w:customStyle="1" w:styleId="DocumentMapChar">
    <w:name w:val="Document Map Char"/>
    <w:link w:val="DocumentMap"/>
    <w:semiHidden/>
    <w:locked/>
    <w:rsid w:val="00DC4642"/>
    <w:rPr>
      <w:rFonts w:cs="Times New Roman"/>
      <w:sz w:val="2"/>
      <w:lang w:val="pl-PL" w:eastAsia="pl-PL"/>
    </w:rPr>
  </w:style>
  <w:style w:type="paragraph" w:customStyle="1" w:styleId="Char">
    <w:name w:val="Char"/>
    <w:basedOn w:val="Normal"/>
    <w:rsid w:val="007E1033"/>
    <w:pPr>
      <w:spacing w:after="160" w:line="240" w:lineRule="exact"/>
    </w:pPr>
    <w:rPr>
      <w:rFonts w:ascii="Tahoma" w:hAnsi="Tahoma"/>
      <w:lang w:val="en-US" w:eastAsia="en-US"/>
    </w:rPr>
  </w:style>
  <w:style w:type="paragraph" w:customStyle="1" w:styleId="1">
    <w:name w:val="1"/>
    <w:basedOn w:val="Normal"/>
    <w:rsid w:val="007E1033"/>
    <w:pPr>
      <w:spacing w:after="160" w:line="240" w:lineRule="exact"/>
    </w:pPr>
    <w:rPr>
      <w:rFonts w:ascii="Tahoma" w:hAnsi="Tahoma"/>
      <w:lang w:val="en-US" w:eastAsia="en-US"/>
    </w:rPr>
  </w:style>
  <w:style w:type="paragraph" w:customStyle="1" w:styleId="Footnote">
    <w:name w:val="Footnote"/>
    <w:basedOn w:val="Footer"/>
    <w:link w:val="FootnoteCar"/>
    <w:rsid w:val="007E1033"/>
    <w:pPr>
      <w:widowControl w:val="0"/>
      <w:suppressAutoHyphens/>
      <w:spacing w:before="120" w:beforeAutospacing="1" w:after="120" w:afterAutospacing="1"/>
      <w:jc w:val="both"/>
    </w:pPr>
    <w:rPr>
      <w:rFonts w:ascii="Times" w:hAnsi="Times"/>
      <w:color w:val="000000"/>
      <w:sz w:val="24"/>
      <w:szCs w:val="24"/>
      <w:lang w:val="en-US" w:eastAsia="en-US"/>
    </w:rPr>
  </w:style>
  <w:style w:type="character" w:customStyle="1" w:styleId="FootnoteCar">
    <w:name w:val="Footnote Car"/>
    <w:link w:val="Footnote"/>
    <w:locked/>
    <w:rsid w:val="007E1033"/>
    <w:rPr>
      <w:rFonts w:ascii="Times" w:hAnsi="Times" w:cs="Times New Roman"/>
      <w:color w:val="000000"/>
      <w:sz w:val="24"/>
      <w:szCs w:val="24"/>
      <w:lang w:val="en-US" w:eastAsia="en-US" w:bidi="ar-SA"/>
    </w:rPr>
  </w:style>
  <w:style w:type="paragraph" w:styleId="Subtitle">
    <w:name w:val="Subtitle"/>
    <w:basedOn w:val="Normal"/>
    <w:link w:val="SubtitleChar"/>
    <w:qFormat/>
    <w:rsid w:val="007E1033"/>
    <w:rPr>
      <w:rFonts w:ascii="Cambria" w:hAnsi="Cambria"/>
      <w:sz w:val="24"/>
      <w:szCs w:val="24"/>
    </w:rPr>
  </w:style>
  <w:style w:type="character" w:customStyle="1" w:styleId="SubtitleChar">
    <w:name w:val="Subtitle Char"/>
    <w:link w:val="Subtitle"/>
    <w:locked/>
    <w:rsid w:val="00DC4642"/>
    <w:rPr>
      <w:rFonts w:ascii="Cambria" w:hAnsi="Cambria" w:cs="Times New Roman"/>
      <w:sz w:val="24"/>
      <w:szCs w:val="24"/>
      <w:lang w:val="pl-PL" w:eastAsia="pl-PL"/>
    </w:rPr>
  </w:style>
  <w:style w:type="paragraph" w:customStyle="1" w:styleId="N">
    <w:name w:val="N"/>
    <w:rsid w:val="007E1033"/>
    <w:pPr>
      <w:suppressAutoHyphens/>
      <w:spacing w:after="120" w:line="360" w:lineRule="auto"/>
      <w:ind w:firstLine="720"/>
      <w:jc w:val="both"/>
    </w:pPr>
    <w:rPr>
      <w:sz w:val="24"/>
      <w:lang w:val="en-US" w:eastAsia="ar-SA"/>
    </w:rPr>
  </w:style>
  <w:style w:type="paragraph" w:customStyle="1" w:styleId="Formatvorlage1">
    <w:name w:val="Formatvorlage1"/>
    <w:basedOn w:val="Normal"/>
    <w:rsid w:val="007E1033"/>
    <w:pPr>
      <w:jc w:val="both"/>
    </w:pPr>
    <w:rPr>
      <w:sz w:val="24"/>
      <w:lang w:val="en-GB" w:eastAsia="bg-BG"/>
    </w:rPr>
  </w:style>
  <w:style w:type="paragraph" w:customStyle="1" w:styleId="Bullets">
    <w:name w:val="Bullets"/>
    <w:basedOn w:val="Normal"/>
    <w:rsid w:val="007E1033"/>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7E1033"/>
    <w:rPr>
      <w:rFonts w:ascii="Courier New" w:hAnsi="Courier New"/>
    </w:rPr>
  </w:style>
  <w:style w:type="character" w:customStyle="1" w:styleId="PlainTextChar">
    <w:name w:val="Plain Text Char"/>
    <w:link w:val="PlainText"/>
    <w:semiHidden/>
    <w:locked/>
    <w:rsid w:val="00DC4642"/>
    <w:rPr>
      <w:rFonts w:ascii="Courier New" w:hAnsi="Courier New" w:cs="Courier New"/>
      <w:sz w:val="20"/>
      <w:szCs w:val="20"/>
      <w:lang w:val="pl-PL" w:eastAsia="pl-PL"/>
    </w:rPr>
  </w:style>
  <w:style w:type="paragraph" w:styleId="List">
    <w:name w:val="List"/>
    <w:basedOn w:val="Normal"/>
    <w:rsid w:val="007E1033"/>
    <w:pPr>
      <w:ind w:left="283" w:hanging="283"/>
    </w:pPr>
    <w:rPr>
      <w:sz w:val="24"/>
      <w:szCs w:val="24"/>
      <w:lang w:val="bg-BG" w:eastAsia="en-US"/>
    </w:rPr>
  </w:style>
  <w:style w:type="paragraph" w:styleId="List2">
    <w:name w:val="List 2"/>
    <w:basedOn w:val="Normal"/>
    <w:rsid w:val="007E1033"/>
    <w:pPr>
      <w:ind w:left="566" w:hanging="283"/>
    </w:pPr>
    <w:rPr>
      <w:sz w:val="24"/>
      <w:szCs w:val="24"/>
      <w:lang w:val="bg-BG" w:eastAsia="en-US"/>
    </w:rPr>
  </w:style>
  <w:style w:type="paragraph" w:styleId="List3">
    <w:name w:val="List 3"/>
    <w:basedOn w:val="Normal"/>
    <w:rsid w:val="007E1033"/>
    <w:pPr>
      <w:ind w:left="849" w:hanging="283"/>
    </w:pPr>
    <w:rPr>
      <w:sz w:val="24"/>
      <w:szCs w:val="24"/>
      <w:lang w:val="bg-BG" w:eastAsia="en-US"/>
    </w:rPr>
  </w:style>
  <w:style w:type="paragraph" w:styleId="ListBullet4">
    <w:name w:val="List Bullet 4"/>
    <w:basedOn w:val="Normal"/>
    <w:autoRedefine/>
    <w:rsid w:val="007E1033"/>
    <w:pPr>
      <w:numPr>
        <w:numId w:val="1"/>
      </w:numPr>
      <w:tabs>
        <w:tab w:val="clear" w:pos="360"/>
        <w:tab w:val="num" w:pos="926"/>
        <w:tab w:val="num" w:pos="1209"/>
      </w:tabs>
      <w:ind w:left="1209"/>
    </w:pPr>
    <w:rPr>
      <w:sz w:val="24"/>
      <w:szCs w:val="24"/>
      <w:lang w:val="bg-BG" w:eastAsia="en-US"/>
    </w:rPr>
  </w:style>
  <w:style w:type="paragraph" w:styleId="ListContinue2">
    <w:name w:val="List Continue 2"/>
    <w:basedOn w:val="Normal"/>
    <w:rsid w:val="007E1033"/>
    <w:pPr>
      <w:spacing w:after="120"/>
      <w:ind w:left="566"/>
    </w:pPr>
    <w:rPr>
      <w:sz w:val="24"/>
      <w:szCs w:val="24"/>
      <w:lang w:val="bg-BG" w:eastAsia="en-US"/>
    </w:rPr>
  </w:style>
  <w:style w:type="character" w:customStyle="1" w:styleId="tstnp1">
    <w:name w:val="tstnp1"/>
    <w:rsid w:val="007E1033"/>
    <w:rPr>
      <w:rFonts w:ascii="Verdana" w:hAnsi="Verdana" w:cs="Times New Roman"/>
      <w:color w:val="000000"/>
      <w:sz w:val="20"/>
      <w:szCs w:val="20"/>
    </w:rPr>
  </w:style>
  <w:style w:type="character" w:customStyle="1" w:styleId="n0">
    <w:name w:val="n"/>
    <w:rsid w:val="007E1033"/>
    <w:rPr>
      <w:rFonts w:cs="Times New Roman"/>
    </w:rPr>
  </w:style>
  <w:style w:type="paragraph" w:customStyle="1" w:styleId="par">
    <w:name w:val="par"/>
    <w:basedOn w:val="Normal"/>
    <w:rsid w:val="007E1033"/>
    <w:pPr>
      <w:spacing w:before="100" w:beforeAutospacing="1" w:after="100" w:afterAutospacing="1"/>
    </w:pPr>
    <w:rPr>
      <w:sz w:val="24"/>
      <w:szCs w:val="24"/>
      <w:lang w:val="bg-BG" w:eastAsia="bg-BG"/>
    </w:rPr>
  </w:style>
  <w:style w:type="character" w:styleId="Strong">
    <w:name w:val="Strong"/>
    <w:qFormat/>
    <w:rsid w:val="007E1033"/>
    <w:rPr>
      <w:rFonts w:cs="Times New Roman"/>
      <w:b/>
      <w:bCs/>
    </w:rPr>
  </w:style>
  <w:style w:type="table" w:styleId="TableWeb1">
    <w:name w:val="Table Web 1"/>
    <w:basedOn w:val="TableNormal"/>
    <w:rsid w:val="007E103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7E103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7E103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7E103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7E10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7E1033"/>
    <w:pPr>
      <w:suppressAutoHyphens/>
      <w:spacing w:before="60" w:after="60"/>
    </w:pPr>
    <w:rPr>
      <w:color w:val="000000"/>
      <w:sz w:val="24"/>
      <w:lang w:val="bg-BG" w:eastAsia="ar-SA"/>
    </w:rPr>
  </w:style>
  <w:style w:type="character" w:styleId="Emphasis">
    <w:name w:val="Emphasis"/>
    <w:qFormat/>
    <w:rsid w:val="007E1033"/>
    <w:rPr>
      <w:rFonts w:cs="Times New Roman"/>
      <w:i/>
      <w:iCs/>
    </w:rPr>
  </w:style>
  <w:style w:type="paragraph" w:customStyle="1" w:styleId="txt">
    <w:name w:val="txt"/>
    <w:basedOn w:val="Normal"/>
    <w:rsid w:val="007E1033"/>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7E1033"/>
    <w:pPr>
      <w:tabs>
        <w:tab w:val="left" w:pos="709"/>
      </w:tabs>
    </w:pPr>
    <w:rPr>
      <w:rFonts w:ascii="Tahoma" w:hAnsi="Tahoma"/>
      <w:sz w:val="24"/>
      <w:szCs w:val="24"/>
    </w:rPr>
  </w:style>
  <w:style w:type="character" w:styleId="EndnoteReference">
    <w:name w:val="endnote reference"/>
    <w:semiHidden/>
    <w:rsid w:val="007E1033"/>
    <w:rPr>
      <w:rFonts w:cs="Times New Roman"/>
      <w:vertAlign w:val="superscript"/>
    </w:rPr>
  </w:style>
  <w:style w:type="paragraph" w:customStyle="1" w:styleId="Logo">
    <w:name w:val="Logo"/>
    <w:basedOn w:val="Normal"/>
    <w:rsid w:val="007E1033"/>
    <w:rPr>
      <w:sz w:val="22"/>
      <w:lang w:val="fr-FR" w:eastAsia="sk-SK"/>
    </w:rPr>
  </w:style>
  <w:style w:type="paragraph" w:customStyle="1" w:styleId="ZD">
    <w:name w:val="Z_D"/>
    <w:basedOn w:val="Logo"/>
    <w:rsid w:val="007E1033"/>
    <w:rPr>
      <w:rFonts w:ascii="Arial" w:hAnsi="Arial"/>
      <w:sz w:val="16"/>
    </w:rPr>
  </w:style>
  <w:style w:type="paragraph" w:customStyle="1" w:styleId="ZU">
    <w:name w:val="Z_U"/>
    <w:basedOn w:val="Logo"/>
    <w:rsid w:val="007E1033"/>
    <w:rPr>
      <w:rFonts w:ascii="Arial" w:hAnsi="Arial"/>
      <w:b/>
      <w:sz w:val="16"/>
    </w:rPr>
  </w:style>
  <w:style w:type="paragraph" w:styleId="EndnoteText">
    <w:name w:val="endnote text"/>
    <w:basedOn w:val="Normal"/>
    <w:link w:val="EndnoteTextChar"/>
    <w:semiHidden/>
    <w:rsid w:val="007E1033"/>
  </w:style>
  <w:style w:type="character" w:customStyle="1" w:styleId="EndnoteTextChar">
    <w:name w:val="Endnote Text Char"/>
    <w:link w:val="EndnoteText"/>
    <w:semiHidden/>
    <w:locked/>
    <w:rsid w:val="00DC4642"/>
    <w:rPr>
      <w:rFonts w:cs="Times New Roman"/>
      <w:sz w:val="20"/>
      <w:szCs w:val="20"/>
      <w:lang w:val="pl-PL" w:eastAsia="pl-PL"/>
    </w:rPr>
  </w:style>
  <w:style w:type="paragraph" w:customStyle="1" w:styleId="Application4">
    <w:name w:val="Application4"/>
    <w:basedOn w:val="Normal"/>
    <w:autoRedefine/>
    <w:rsid w:val="007E1033"/>
    <w:pPr>
      <w:widowControl w:val="0"/>
      <w:numPr>
        <w:numId w:val="7"/>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7E1033"/>
    <w:pPr>
      <w:spacing w:before="720" w:after="720"/>
      <w:jc w:val="center"/>
    </w:pPr>
    <w:rPr>
      <w:b/>
      <w:bCs/>
      <w:smallCaps/>
      <w:sz w:val="24"/>
      <w:szCs w:val="24"/>
      <w:lang w:val="en-GB" w:eastAsia="fr-FR"/>
    </w:rPr>
  </w:style>
  <w:style w:type="paragraph" w:customStyle="1" w:styleId="11Heading2">
    <w:name w:val="1.1 Heading 2"/>
    <w:basedOn w:val="Heading2"/>
    <w:rsid w:val="007E1033"/>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7E1033"/>
    <w:pPr>
      <w:keepLines w:val="0"/>
      <w:spacing w:before="360" w:after="240" w:line="240" w:lineRule="auto"/>
    </w:pPr>
    <w:rPr>
      <w:rFonts w:ascii="Arial" w:hAnsi="Arial"/>
      <w:bCs/>
      <w:i w:val="0"/>
      <w:iCs/>
      <w:kern w:val="28"/>
      <w:u w:val="single"/>
      <w:lang w:val="bg-BG"/>
    </w:rPr>
  </w:style>
  <w:style w:type="paragraph" w:customStyle="1" w:styleId="StyleHeading1JustifiedBefore0ptAfter0pt">
    <w:name w:val="Style Heading 1 + Justified Before:  0 pt After:  0 pt"/>
    <w:basedOn w:val="Heading1"/>
    <w:autoRedefine/>
    <w:rsid w:val="007E1033"/>
    <w:pPr>
      <w:keepLines w:val="0"/>
      <w:spacing w:before="240" w:after="120" w:line="240" w:lineRule="auto"/>
      <w:jc w:val="both"/>
    </w:pPr>
    <w:rPr>
      <w:bCs w:val="0"/>
      <w:kern w:val="28"/>
      <w:lang w:val="bg-BG" w:eastAsia="en-US"/>
    </w:rPr>
  </w:style>
  <w:style w:type="character" w:customStyle="1" w:styleId="StyleBlack">
    <w:name w:val="Style Black"/>
    <w:rsid w:val="007E1033"/>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7E1033"/>
    <w:pPr>
      <w:widowControl w:val="0"/>
      <w:numPr>
        <w:numId w:val="8"/>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7E1033"/>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7E1033"/>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7E1033"/>
    <w:pPr>
      <w:keepNext/>
      <w:widowControl w:val="0"/>
      <w:autoSpaceDE w:val="0"/>
      <w:autoSpaceDN w:val="0"/>
      <w:adjustRightInd w:val="0"/>
      <w:spacing w:before="240" w:after="120" w:line="240" w:lineRule="auto"/>
    </w:pPr>
    <w:rPr>
      <w:rFonts w:ascii="Arial" w:hAnsi="Arial"/>
      <w:b w:val="0"/>
      <w:bCs w:val="0"/>
      <w:i/>
      <w:iCs/>
      <w:noProof/>
      <w:sz w:val="24"/>
      <w:lang w:val="bg-BG" w:eastAsia="en-US"/>
    </w:rPr>
  </w:style>
  <w:style w:type="paragraph" w:customStyle="1" w:styleId="StyleHeading1">
    <w:name w:val="Style Heading 1 +"/>
    <w:basedOn w:val="Heading1"/>
    <w:autoRedefine/>
    <w:rsid w:val="007E1033"/>
    <w:pPr>
      <w:keepLines w:val="0"/>
      <w:spacing w:before="240" w:after="120" w:line="240" w:lineRule="auto"/>
    </w:pPr>
    <w:rPr>
      <w:bCs w:val="0"/>
      <w:lang w:val="bg-BG" w:eastAsia="en-US"/>
    </w:rPr>
  </w:style>
  <w:style w:type="character" w:customStyle="1" w:styleId="EmailStyle166">
    <w:name w:val="EmailStyle166"/>
    <w:semiHidden/>
    <w:rsid w:val="007E1033"/>
    <w:rPr>
      <w:rFonts w:ascii="Arial" w:hAnsi="Arial" w:cs="Arial"/>
      <w:color w:val="auto"/>
      <w:sz w:val="20"/>
      <w:szCs w:val="20"/>
    </w:rPr>
  </w:style>
  <w:style w:type="paragraph" w:customStyle="1" w:styleId="StyleHeading1Kernat14pt">
    <w:name w:val="Style Heading 1 + Kern at 14 pt"/>
    <w:basedOn w:val="Heading1"/>
    <w:autoRedefine/>
    <w:rsid w:val="007E1033"/>
    <w:pPr>
      <w:keepLines w:val="0"/>
      <w:numPr>
        <w:numId w:val="9"/>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7E1033"/>
    <w:pPr>
      <w:keepLines w:val="0"/>
      <w:numPr>
        <w:numId w:val="10"/>
      </w:numPr>
      <w:spacing w:before="240" w:after="60" w:line="240" w:lineRule="auto"/>
    </w:pPr>
    <w:rPr>
      <w:rFonts w:ascii="Arial" w:hAnsi="Arial" w:cs="Arial"/>
      <w:bCs w:val="0"/>
      <w:kern w:val="28"/>
      <w:lang w:val="en-US" w:eastAsia="en-US"/>
    </w:rPr>
  </w:style>
  <w:style w:type="paragraph" w:customStyle="1" w:styleId="xl66">
    <w:name w:val="xl66"/>
    <w:basedOn w:val="Normal"/>
    <w:rsid w:val="007E1033"/>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7E1033"/>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7E1033"/>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7E1033"/>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7E1033"/>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7E1033"/>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7E1033"/>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7E1033"/>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7E1033"/>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7E1033"/>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7E1033"/>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7E1033"/>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7E1033"/>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7E1033"/>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7E1033"/>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7E1033"/>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7E1033"/>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7E1033"/>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7E1033"/>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7E1033"/>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7E1033"/>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7E1033"/>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7E1033"/>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7E1033"/>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7E1033"/>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7E1033"/>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7E1033"/>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7E1033"/>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7E1033"/>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7E1033"/>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7E1033"/>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7E1033"/>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7E1033"/>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7E1033"/>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7E1033"/>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7E1033"/>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7E1033"/>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7E1033"/>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7E1033"/>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7E1033"/>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7E1033"/>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7E1033"/>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7E1033"/>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7E1033"/>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7E1033"/>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7E1033"/>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7E103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7E1033"/>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7E1033"/>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7E1033"/>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7E1033"/>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7E1033"/>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7E1033"/>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7E1033"/>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7E1033"/>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7E10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7E1033"/>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7E1033"/>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7E1033"/>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7E1033"/>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7E1033"/>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7E1033"/>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7E10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7E1033"/>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7E1033"/>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7E1033"/>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7E1033"/>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7E1033"/>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7E1033"/>
    <w:pPr>
      <w:tabs>
        <w:tab w:val="left" w:pos="709"/>
      </w:tabs>
    </w:pPr>
    <w:rPr>
      <w:rFonts w:ascii="Tahoma" w:hAnsi="Tahoma"/>
      <w:sz w:val="24"/>
      <w:szCs w:val="24"/>
    </w:rPr>
  </w:style>
  <w:style w:type="paragraph" w:customStyle="1" w:styleId="default">
    <w:name w:val="default"/>
    <w:basedOn w:val="Normal"/>
    <w:rsid w:val="007E1033"/>
    <w:pPr>
      <w:autoSpaceDE w:val="0"/>
      <w:autoSpaceDN w:val="0"/>
    </w:pPr>
    <w:rPr>
      <w:color w:val="000000"/>
      <w:sz w:val="24"/>
      <w:szCs w:val="24"/>
      <w:lang w:val="bg-BG" w:eastAsia="bg-BG"/>
    </w:rPr>
  </w:style>
  <w:style w:type="paragraph" w:styleId="ListParagraph">
    <w:name w:val="List Paragraph"/>
    <w:basedOn w:val="Normal"/>
    <w:qFormat/>
    <w:rsid w:val="00E92DA3"/>
    <w:pPr>
      <w:ind w:left="720"/>
      <w:contextualSpacing/>
    </w:pPr>
  </w:style>
  <w:style w:type="numbering" w:styleId="111111">
    <w:name w:val="Outline List 2"/>
    <w:basedOn w:val="NoList"/>
    <w:rsid w:val="00D270F9"/>
    <w:pPr>
      <w:numPr>
        <w:numId w:val="6"/>
      </w:numPr>
    </w:pPr>
  </w:style>
  <w:style w:type="paragraph" w:customStyle="1" w:styleId="Pa1">
    <w:name w:val="Pa1"/>
    <w:basedOn w:val="Normal"/>
    <w:next w:val="Normal"/>
    <w:rsid w:val="009A7F2D"/>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9A7F2D"/>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56007569">
      <w:bodyDiv w:val="1"/>
      <w:marLeft w:val="0"/>
      <w:marRight w:val="0"/>
      <w:marTop w:val="0"/>
      <w:marBottom w:val="0"/>
      <w:divBdr>
        <w:top w:val="none" w:sz="0" w:space="0" w:color="auto"/>
        <w:left w:val="none" w:sz="0" w:space="0" w:color="auto"/>
        <w:bottom w:val="none" w:sz="0" w:space="0" w:color="auto"/>
        <w:right w:val="none" w:sz="0" w:space="0" w:color="auto"/>
      </w:divBdr>
    </w:div>
    <w:div w:id="64612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NORM|40377|8|4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pis://NORM|40575|8|23|"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apis://NORM|40377|8|47|" TargetMode="External"/><Relationship Id="rId4" Type="http://schemas.openxmlformats.org/officeDocument/2006/relationships/webSettings" Target="webSettings.xml"/><Relationship Id="rId9" Type="http://schemas.openxmlformats.org/officeDocument/2006/relationships/hyperlink" Target="apis://NORM|40377|8|42|"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9695</Words>
  <Characters>55264</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64830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10</cp:revision>
  <cp:lastPrinted>2012-01-13T11:32:00Z</cp:lastPrinted>
  <dcterms:created xsi:type="dcterms:W3CDTF">2015-10-05T13:48:00Z</dcterms:created>
  <dcterms:modified xsi:type="dcterms:W3CDTF">2022-07-08T09:19:00Z</dcterms:modified>
</cp:coreProperties>
</file>